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6CA8" w14:textId="77777777" w:rsidR="00215CA0" w:rsidRPr="003101A0" w:rsidRDefault="00215CA0" w:rsidP="00215CA0">
      <w:pPr>
        <w:jc w:val="center"/>
        <w:rPr>
          <w:rFonts w:ascii="Times New Roman" w:hAnsi="Times New Roman" w:cs="Times New Roman"/>
          <w:b/>
          <w:sz w:val="24"/>
          <w:szCs w:val="24"/>
          <w:lang w:val="en-US"/>
        </w:rPr>
      </w:pPr>
      <w:r w:rsidRPr="003101A0">
        <w:rPr>
          <w:rFonts w:ascii="Times New Roman" w:hAnsi="Times New Roman" w:cs="Times New Roman"/>
          <w:b/>
          <w:sz w:val="24"/>
          <w:szCs w:val="24"/>
          <w:lang w:val="en-US"/>
        </w:rPr>
        <w:t>Covenants in convertible bonds: Boon or boilerplate?</w:t>
      </w:r>
    </w:p>
    <w:p w14:paraId="706C5440" w14:textId="77777777" w:rsidR="00215CA0" w:rsidRPr="003101A0" w:rsidRDefault="00215CA0" w:rsidP="00215CA0">
      <w:pPr>
        <w:jc w:val="center"/>
        <w:rPr>
          <w:sz w:val="24"/>
          <w:szCs w:val="24"/>
          <w:lang w:val="en-US"/>
        </w:rPr>
      </w:pPr>
    </w:p>
    <w:p w14:paraId="06E918C2" w14:textId="77777777" w:rsidR="00215CA0" w:rsidRPr="003101A0" w:rsidRDefault="00215CA0" w:rsidP="00215CA0">
      <w:pPr>
        <w:spacing w:after="0"/>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Marie Dutordoir</w:t>
      </w:r>
      <w:r w:rsidRPr="003101A0">
        <w:rPr>
          <w:rStyle w:val="FootnoteReference"/>
          <w:rFonts w:ascii="Times New Roman" w:hAnsi="Times New Roman" w:cs="Times New Roman"/>
          <w:sz w:val="24"/>
          <w:szCs w:val="24"/>
          <w:lang w:val="en-US"/>
        </w:rPr>
        <w:footnoteReference w:customMarkFollows="1" w:id="1"/>
        <w:t>*</w:t>
      </w:r>
    </w:p>
    <w:p w14:paraId="3767878B" w14:textId="77777777" w:rsidR="00215CA0" w:rsidRPr="003101A0" w:rsidRDefault="00215CA0" w:rsidP="00215CA0">
      <w:pPr>
        <w:spacing w:after="0"/>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Alliance Manchester Business School</w:t>
      </w:r>
    </w:p>
    <w:p w14:paraId="19C7BAC3" w14:textId="77777777" w:rsidR="00215CA0" w:rsidRPr="003101A0" w:rsidRDefault="00215CA0" w:rsidP="00215CA0">
      <w:pPr>
        <w:spacing w:after="0"/>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University of Manchester</w:t>
      </w:r>
    </w:p>
    <w:p w14:paraId="1E548776" w14:textId="77777777" w:rsidR="00215CA0" w:rsidRPr="003101A0" w:rsidRDefault="00215CA0" w:rsidP="00215CA0">
      <w:pPr>
        <w:spacing w:after="0" w:line="240" w:lineRule="auto"/>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E-</w:t>
      </w:r>
      <w:r w:rsidRPr="003101A0">
        <w:rPr>
          <w:rFonts w:ascii="Times New Roman" w:hAnsi="Times New Roman" w:cs="Times New Roman"/>
          <w:sz w:val="24"/>
          <w:szCs w:val="24"/>
          <w:lang w:val="en-US" w:eastAsia="zh-CN"/>
        </w:rPr>
        <w:t>mail</w:t>
      </w:r>
      <w:r w:rsidRPr="003101A0">
        <w:rPr>
          <w:rFonts w:ascii="Times New Roman" w:hAnsi="Times New Roman" w:cs="Times New Roman"/>
          <w:sz w:val="24"/>
          <w:szCs w:val="24"/>
          <w:lang w:val="en-US"/>
        </w:rPr>
        <w:t xml:space="preserve">: </w:t>
      </w:r>
      <w:hyperlink r:id="rId8" w:history="1">
        <w:r w:rsidRPr="003101A0" w:rsidDel="004E0E1E">
          <w:rPr>
            <w:rStyle w:val="Hyperlink"/>
            <w:rFonts w:ascii="Times New Roman" w:hAnsi="Times New Roman" w:cs="Times New Roman"/>
            <w:sz w:val="24"/>
            <w:szCs w:val="24"/>
            <w:lang w:val="en-US"/>
          </w:rPr>
          <w:t>marie.dutordoir@manchester.ac.uk</w:t>
        </w:r>
      </w:hyperlink>
      <w:r w:rsidRPr="003101A0">
        <w:rPr>
          <w:rStyle w:val="Hyperlink"/>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 xml:space="preserve">   </w:t>
      </w:r>
    </w:p>
    <w:p w14:paraId="2BDD6B52" w14:textId="77777777" w:rsidR="00215CA0" w:rsidRPr="003101A0" w:rsidRDefault="00215CA0" w:rsidP="00215CA0">
      <w:pPr>
        <w:spacing w:after="0" w:line="240" w:lineRule="auto"/>
        <w:jc w:val="center"/>
        <w:rPr>
          <w:rFonts w:ascii="Times New Roman" w:hAnsi="Times New Roman" w:cs="Times New Roman"/>
          <w:sz w:val="24"/>
          <w:szCs w:val="24"/>
          <w:lang w:val="en-US"/>
        </w:rPr>
      </w:pPr>
    </w:p>
    <w:p w14:paraId="686AFE21" w14:textId="77777777" w:rsidR="00215CA0" w:rsidRPr="003101A0" w:rsidRDefault="00215CA0" w:rsidP="00215CA0">
      <w:pPr>
        <w:spacing w:after="0" w:line="240" w:lineRule="auto"/>
        <w:jc w:val="center"/>
        <w:rPr>
          <w:rFonts w:ascii="Times New Roman" w:hAnsi="Times New Roman" w:cs="Times New Roman"/>
          <w:sz w:val="24"/>
          <w:szCs w:val="24"/>
          <w:lang w:val="en-US"/>
        </w:rPr>
      </w:pPr>
    </w:p>
    <w:p w14:paraId="6BA433EB" w14:textId="77777777" w:rsidR="00215CA0" w:rsidRPr="003101A0" w:rsidDel="004E0E1E" w:rsidRDefault="00215CA0" w:rsidP="00215CA0">
      <w:pPr>
        <w:spacing w:after="0" w:line="240" w:lineRule="auto"/>
        <w:jc w:val="center"/>
        <w:rPr>
          <w:rFonts w:ascii="Times New Roman" w:hAnsi="Times New Roman" w:cs="Times New Roman"/>
          <w:sz w:val="24"/>
          <w:szCs w:val="24"/>
          <w:lang w:val="en-US"/>
        </w:rPr>
      </w:pPr>
      <w:r w:rsidRPr="003101A0" w:rsidDel="004E0E1E">
        <w:rPr>
          <w:rFonts w:ascii="Times New Roman" w:hAnsi="Times New Roman" w:cs="Times New Roman"/>
          <w:sz w:val="24"/>
          <w:szCs w:val="24"/>
          <w:lang w:val="en-US"/>
        </w:rPr>
        <w:t>Kostas Pappas</w:t>
      </w:r>
    </w:p>
    <w:p w14:paraId="1568A8D9" w14:textId="77777777" w:rsidR="00215CA0" w:rsidRPr="003101A0" w:rsidRDefault="00215CA0" w:rsidP="00215CA0">
      <w:pPr>
        <w:spacing w:after="0" w:line="240" w:lineRule="auto"/>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Management School</w:t>
      </w:r>
    </w:p>
    <w:p w14:paraId="6B2244A7" w14:textId="77777777" w:rsidR="00215CA0" w:rsidRPr="003101A0" w:rsidRDefault="00215CA0" w:rsidP="00215CA0">
      <w:pPr>
        <w:spacing w:after="0" w:line="240" w:lineRule="auto"/>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University of Liverpool</w:t>
      </w:r>
    </w:p>
    <w:p w14:paraId="1CB0A0DF" w14:textId="77777777" w:rsidR="00215CA0" w:rsidRPr="003101A0" w:rsidRDefault="00215CA0" w:rsidP="00215CA0">
      <w:pPr>
        <w:spacing w:after="0"/>
        <w:jc w:val="center"/>
        <w:rPr>
          <w:rStyle w:val="Hyperlink"/>
          <w:rFonts w:ascii="Times New Roman" w:hAnsi="Times New Roman" w:cs="Times New Roman"/>
          <w:sz w:val="24"/>
          <w:szCs w:val="24"/>
          <w:lang w:val="en-US"/>
        </w:rPr>
      </w:pPr>
      <w:r w:rsidRPr="003101A0">
        <w:rPr>
          <w:rFonts w:ascii="Times New Roman" w:hAnsi="Times New Roman" w:cs="Times New Roman"/>
          <w:sz w:val="24"/>
          <w:szCs w:val="24"/>
          <w:lang w:val="en-US"/>
        </w:rPr>
        <w:t>E-</w:t>
      </w:r>
      <w:r w:rsidRPr="003101A0">
        <w:rPr>
          <w:rFonts w:ascii="Times New Roman" w:hAnsi="Times New Roman" w:cs="Times New Roman"/>
          <w:sz w:val="24"/>
          <w:szCs w:val="24"/>
          <w:lang w:val="en-US" w:eastAsia="zh-CN"/>
        </w:rPr>
        <w:t>mail</w:t>
      </w:r>
      <w:r w:rsidRPr="003101A0">
        <w:rPr>
          <w:rFonts w:ascii="Times New Roman" w:hAnsi="Times New Roman" w:cs="Times New Roman"/>
          <w:sz w:val="24"/>
          <w:szCs w:val="24"/>
          <w:lang w:val="en-US"/>
        </w:rPr>
        <w:t xml:space="preserve">: </w:t>
      </w:r>
      <w:hyperlink r:id="rId9" w:history="1">
        <w:r w:rsidRPr="003101A0">
          <w:rPr>
            <w:rStyle w:val="Hyperlink"/>
            <w:rFonts w:ascii="Times New Roman" w:hAnsi="Times New Roman" w:cs="Times New Roman"/>
            <w:sz w:val="24"/>
            <w:szCs w:val="24"/>
            <w:lang w:val="en-US"/>
          </w:rPr>
          <w:t>k.pappas@liverpool.ac.uk</w:t>
        </w:r>
      </w:hyperlink>
      <w:r w:rsidRPr="003101A0">
        <w:rPr>
          <w:rStyle w:val="Hyperlink"/>
          <w:rFonts w:ascii="Times New Roman" w:hAnsi="Times New Roman" w:cs="Times New Roman"/>
          <w:sz w:val="24"/>
          <w:szCs w:val="24"/>
          <w:lang w:val="en-US"/>
        </w:rPr>
        <w:t xml:space="preserve">  </w:t>
      </w:r>
    </w:p>
    <w:p w14:paraId="3F185B8F" w14:textId="77777777" w:rsidR="00215CA0" w:rsidRPr="003101A0" w:rsidRDefault="00215CA0" w:rsidP="00215CA0">
      <w:pPr>
        <w:spacing w:after="0"/>
        <w:jc w:val="center"/>
        <w:rPr>
          <w:rFonts w:ascii="Times New Roman" w:hAnsi="Times New Roman" w:cs="Times New Roman"/>
          <w:sz w:val="24"/>
          <w:szCs w:val="24"/>
          <w:lang w:val="en-US"/>
        </w:rPr>
      </w:pPr>
    </w:p>
    <w:p w14:paraId="247D60E8" w14:textId="77777777" w:rsidR="00215CA0" w:rsidRPr="003101A0" w:rsidRDefault="00215CA0" w:rsidP="00215CA0">
      <w:pPr>
        <w:spacing w:after="0"/>
        <w:jc w:val="center"/>
        <w:rPr>
          <w:rFonts w:ascii="Times New Roman" w:hAnsi="Times New Roman" w:cs="Times New Roman"/>
          <w:sz w:val="24"/>
          <w:szCs w:val="24"/>
          <w:lang w:val="en-US"/>
        </w:rPr>
      </w:pPr>
    </w:p>
    <w:p w14:paraId="78FB6398" w14:textId="77777777" w:rsidR="00215CA0" w:rsidRPr="003101A0" w:rsidRDefault="00215CA0" w:rsidP="00215CA0">
      <w:pPr>
        <w:spacing w:after="0"/>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Alice Liang Xu</w:t>
      </w:r>
    </w:p>
    <w:p w14:paraId="5F28AAB7" w14:textId="77777777" w:rsidR="00215CA0" w:rsidRPr="003101A0" w:rsidRDefault="00215CA0" w:rsidP="00215CA0">
      <w:pPr>
        <w:spacing w:after="0"/>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Alliance Manchester Business School</w:t>
      </w:r>
    </w:p>
    <w:p w14:paraId="362A08EB" w14:textId="77777777" w:rsidR="00215CA0" w:rsidRPr="003101A0" w:rsidRDefault="00215CA0" w:rsidP="00215CA0">
      <w:pPr>
        <w:spacing w:after="0"/>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University of Manchester</w:t>
      </w:r>
    </w:p>
    <w:p w14:paraId="05A5026E" w14:textId="77777777" w:rsidR="00215CA0" w:rsidRPr="0083339C" w:rsidRDefault="00215CA0" w:rsidP="00215CA0">
      <w:pPr>
        <w:jc w:val="center"/>
        <w:rPr>
          <w:rFonts w:ascii="Times New Roman" w:hAnsi="Times New Roman" w:cs="Times New Roman"/>
          <w:sz w:val="24"/>
          <w:szCs w:val="24"/>
          <w:lang w:val="en-US"/>
        </w:rPr>
      </w:pPr>
      <w:r w:rsidRPr="0083339C">
        <w:rPr>
          <w:rFonts w:ascii="Times New Roman" w:hAnsi="Times New Roman" w:cs="Times New Roman"/>
          <w:sz w:val="24"/>
          <w:szCs w:val="24"/>
          <w:lang w:val="en-US"/>
        </w:rPr>
        <w:t>E-</w:t>
      </w:r>
      <w:r w:rsidRPr="0083339C">
        <w:rPr>
          <w:rFonts w:ascii="Times New Roman" w:hAnsi="Times New Roman" w:cs="Times New Roman"/>
          <w:sz w:val="24"/>
          <w:szCs w:val="24"/>
          <w:lang w:val="en-US" w:eastAsia="zh-CN"/>
        </w:rPr>
        <w:t>mail</w:t>
      </w:r>
      <w:r w:rsidRPr="0083339C">
        <w:rPr>
          <w:rFonts w:ascii="Times New Roman" w:hAnsi="Times New Roman" w:cs="Times New Roman"/>
          <w:sz w:val="24"/>
          <w:szCs w:val="24"/>
          <w:lang w:val="en-US"/>
        </w:rPr>
        <w:t>:</w:t>
      </w:r>
      <w:r w:rsidRPr="0083339C">
        <w:rPr>
          <w:rFonts w:ascii="Times New Roman" w:hAnsi="Times New Roman" w:cs="Times New Roman"/>
          <w:bCs/>
          <w:i/>
          <w:iCs/>
          <w:sz w:val="24"/>
          <w:szCs w:val="24"/>
          <w:shd w:val="clear" w:color="auto" w:fill="FFFFFF"/>
        </w:rPr>
        <w:t xml:space="preserve"> </w:t>
      </w:r>
      <w:hyperlink r:id="rId10" w:history="1">
        <w:r w:rsidRPr="00BA3F0E">
          <w:rPr>
            <w:rStyle w:val="Hyperlink"/>
            <w:rFonts w:ascii="Times New Roman" w:hAnsi="Times New Roman" w:cs="Times New Roman"/>
            <w:bCs/>
            <w:sz w:val="24"/>
            <w:szCs w:val="24"/>
            <w:shd w:val="clear" w:color="auto" w:fill="FFFFFF"/>
          </w:rPr>
          <w:t>liang</w:t>
        </w:r>
        <w:r w:rsidRPr="00BA3F0E">
          <w:rPr>
            <w:rStyle w:val="Hyperlink"/>
            <w:rFonts w:ascii="Times New Roman" w:hAnsi="Times New Roman" w:cs="Times New Roman"/>
            <w:sz w:val="24"/>
            <w:szCs w:val="24"/>
            <w:shd w:val="clear" w:color="auto" w:fill="FFFFFF"/>
          </w:rPr>
          <w:t>.</w:t>
        </w:r>
        <w:r w:rsidRPr="00BA3F0E">
          <w:rPr>
            <w:rStyle w:val="Hyperlink"/>
            <w:rFonts w:ascii="Times New Roman" w:hAnsi="Times New Roman" w:cs="Times New Roman"/>
            <w:bCs/>
            <w:sz w:val="24"/>
            <w:szCs w:val="24"/>
            <w:shd w:val="clear" w:color="auto" w:fill="FFFFFF"/>
          </w:rPr>
          <w:t>xu</w:t>
        </w:r>
        <w:r w:rsidRPr="00BA3F0E">
          <w:rPr>
            <w:rStyle w:val="Hyperlink"/>
            <w:rFonts w:ascii="Times New Roman" w:hAnsi="Times New Roman" w:cs="Times New Roman"/>
            <w:sz w:val="24"/>
            <w:szCs w:val="24"/>
            <w:shd w:val="clear" w:color="auto" w:fill="FFFFFF"/>
          </w:rPr>
          <w:t>@manchester.ac.uk</w:t>
        </w:r>
      </w:hyperlink>
      <w:r>
        <w:rPr>
          <w:rFonts w:ascii="Times New Roman" w:hAnsi="Times New Roman" w:cs="Times New Roman"/>
          <w:sz w:val="24"/>
          <w:szCs w:val="24"/>
          <w:shd w:val="clear" w:color="auto" w:fill="FFFFFF"/>
        </w:rPr>
        <w:t xml:space="preserve"> </w:t>
      </w:r>
      <w:r w:rsidRPr="0083339C">
        <w:rPr>
          <w:rFonts w:ascii="Times New Roman" w:hAnsi="Times New Roman" w:cs="Times New Roman"/>
          <w:sz w:val="24"/>
          <w:szCs w:val="24"/>
          <w:lang w:val="en-US"/>
        </w:rPr>
        <w:t xml:space="preserve"> </w:t>
      </w:r>
      <w:r w:rsidRPr="0083339C">
        <w:rPr>
          <w:rStyle w:val="Hyperlink"/>
          <w:rFonts w:ascii="Times New Roman" w:hAnsi="Times New Roman" w:cs="Times New Roman"/>
          <w:sz w:val="24"/>
          <w:szCs w:val="24"/>
          <w:lang w:val="en-US"/>
        </w:rPr>
        <w:t xml:space="preserve">  </w:t>
      </w:r>
    </w:p>
    <w:p w14:paraId="265AEE62" w14:textId="77777777" w:rsidR="00215CA0" w:rsidRPr="003101A0" w:rsidRDefault="00215CA0" w:rsidP="00215CA0">
      <w:pPr>
        <w:spacing w:after="0"/>
        <w:jc w:val="center"/>
        <w:rPr>
          <w:rFonts w:ascii="Times New Roman" w:hAnsi="Times New Roman" w:cs="Times New Roman"/>
          <w:sz w:val="24"/>
          <w:szCs w:val="24"/>
          <w:lang w:val="en-US"/>
        </w:rPr>
      </w:pPr>
    </w:p>
    <w:p w14:paraId="0977F6D4" w14:textId="77777777" w:rsidR="00215CA0" w:rsidRPr="003101A0" w:rsidRDefault="00215CA0" w:rsidP="00215CA0">
      <w:pPr>
        <w:spacing w:after="0"/>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Cheng (Colin) Zeng</w:t>
      </w:r>
    </w:p>
    <w:p w14:paraId="5A44D298" w14:textId="77777777" w:rsidR="00215CA0" w:rsidRPr="003101A0" w:rsidRDefault="00215CA0" w:rsidP="00215CA0">
      <w:pPr>
        <w:spacing w:after="0"/>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School of Accounting and Finance</w:t>
      </w:r>
    </w:p>
    <w:p w14:paraId="1D4FF82C" w14:textId="77777777" w:rsidR="00215CA0" w:rsidRPr="003101A0" w:rsidRDefault="00215CA0" w:rsidP="00215CA0">
      <w:pPr>
        <w:spacing w:after="0"/>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Hong Kong Polytechnic University</w:t>
      </w:r>
    </w:p>
    <w:p w14:paraId="1FF0797E" w14:textId="77777777" w:rsidR="00215CA0" w:rsidRPr="003101A0" w:rsidRDefault="00215CA0" w:rsidP="00215CA0">
      <w:pPr>
        <w:spacing w:after="0"/>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E-</w:t>
      </w:r>
      <w:r w:rsidRPr="003101A0">
        <w:rPr>
          <w:rFonts w:ascii="Times New Roman" w:hAnsi="Times New Roman" w:cs="Times New Roman"/>
          <w:sz w:val="24"/>
          <w:szCs w:val="24"/>
          <w:lang w:val="en-US" w:eastAsia="zh-CN"/>
        </w:rPr>
        <w:t>mail</w:t>
      </w:r>
      <w:r w:rsidRPr="003101A0">
        <w:rPr>
          <w:rFonts w:ascii="Times New Roman" w:hAnsi="Times New Roman" w:cs="Times New Roman"/>
          <w:sz w:val="24"/>
          <w:szCs w:val="24"/>
          <w:lang w:val="en-US"/>
        </w:rPr>
        <w:t xml:space="preserve">: </w:t>
      </w:r>
      <w:hyperlink r:id="rId11" w:history="1">
        <w:r w:rsidRPr="003101A0">
          <w:rPr>
            <w:rStyle w:val="Hyperlink"/>
            <w:rFonts w:ascii="Times New Roman" w:hAnsi="Times New Roman" w:cs="Times New Roman"/>
            <w:sz w:val="24"/>
            <w:szCs w:val="24"/>
            <w:lang w:val="en-US"/>
          </w:rPr>
          <w:t>chengzeng@polyu.edu.hk</w:t>
        </w:r>
      </w:hyperlink>
      <w:r w:rsidRPr="003101A0">
        <w:rPr>
          <w:rFonts w:ascii="Times New Roman" w:hAnsi="Times New Roman" w:cs="Times New Roman"/>
          <w:sz w:val="24"/>
          <w:szCs w:val="24"/>
          <w:lang w:val="en-US"/>
        </w:rPr>
        <w:t xml:space="preserve"> </w:t>
      </w:r>
    </w:p>
    <w:p w14:paraId="6247DD58" w14:textId="77777777" w:rsidR="00215CA0" w:rsidRDefault="00215CA0" w:rsidP="003C494A">
      <w:pPr>
        <w:jc w:val="center"/>
        <w:rPr>
          <w:rFonts w:ascii="Times New Roman" w:hAnsi="Times New Roman" w:cs="Times New Roman"/>
          <w:b/>
          <w:sz w:val="24"/>
          <w:szCs w:val="24"/>
          <w:lang w:val="en-US"/>
        </w:rPr>
        <w:sectPr w:rsidR="00215CA0" w:rsidSect="00782A26">
          <w:headerReference w:type="default" r:id="rId12"/>
          <w:pgSz w:w="11906" w:h="16838"/>
          <w:pgMar w:top="1440" w:right="1440" w:bottom="1440" w:left="1440" w:header="708" w:footer="708" w:gutter="0"/>
          <w:pgNumType w:start="1"/>
          <w:cols w:space="708"/>
          <w:titlePg/>
          <w:docGrid w:linePitch="360"/>
        </w:sectPr>
      </w:pPr>
    </w:p>
    <w:p w14:paraId="64226E29" w14:textId="02FDFD9B" w:rsidR="00782A26" w:rsidRPr="007E41A1" w:rsidRDefault="00782A26" w:rsidP="003C494A">
      <w:pPr>
        <w:jc w:val="center"/>
        <w:rPr>
          <w:rFonts w:ascii="Times New Roman" w:hAnsi="Times New Roman" w:cs="Times New Roman"/>
          <w:sz w:val="24"/>
          <w:szCs w:val="24"/>
          <w:lang w:eastAsia="zh-CN"/>
        </w:rPr>
      </w:pPr>
      <w:r w:rsidRPr="003101A0">
        <w:rPr>
          <w:rFonts w:ascii="Times New Roman" w:hAnsi="Times New Roman" w:cs="Times New Roman"/>
          <w:b/>
          <w:sz w:val="24"/>
          <w:szCs w:val="24"/>
          <w:lang w:val="en-US"/>
        </w:rPr>
        <w:lastRenderedPageBreak/>
        <w:t>Covenants in convertible bonds: Bo</w:t>
      </w:r>
      <w:r w:rsidR="00151EDC" w:rsidRPr="003101A0">
        <w:rPr>
          <w:rFonts w:ascii="Times New Roman" w:hAnsi="Times New Roman" w:cs="Times New Roman"/>
          <w:b/>
          <w:sz w:val="24"/>
          <w:szCs w:val="24"/>
          <w:lang w:val="en-US"/>
        </w:rPr>
        <w:t>on</w:t>
      </w:r>
      <w:r w:rsidRPr="003101A0">
        <w:rPr>
          <w:rFonts w:ascii="Times New Roman" w:hAnsi="Times New Roman" w:cs="Times New Roman"/>
          <w:b/>
          <w:sz w:val="24"/>
          <w:szCs w:val="24"/>
          <w:lang w:val="en-US"/>
        </w:rPr>
        <w:t xml:space="preserve"> or boilerplate?</w:t>
      </w:r>
    </w:p>
    <w:p w14:paraId="78269EA4" w14:textId="77777777" w:rsidR="00FB5BEC" w:rsidRPr="003101A0" w:rsidRDefault="00FB5BEC" w:rsidP="00FB5BEC">
      <w:pPr>
        <w:jc w:val="center"/>
        <w:rPr>
          <w:rFonts w:ascii="Times New Roman" w:hAnsi="Times New Roman" w:cs="Times New Roman"/>
          <w:b/>
          <w:bCs/>
          <w:sz w:val="24"/>
          <w:szCs w:val="24"/>
          <w:lang w:val="en-US"/>
        </w:rPr>
      </w:pPr>
    </w:p>
    <w:p w14:paraId="2AAA6E9D" w14:textId="736B4DBD" w:rsidR="0029670D" w:rsidRDefault="0029670D" w:rsidP="00FB5BEC">
      <w:pPr>
        <w:jc w:val="center"/>
        <w:rPr>
          <w:rFonts w:ascii="Times New Roman" w:hAnsi="Times New Roman" w:cs="Times New Roman"/>
          <w:b/>
          <w:bCs/>
          <w:sz w:val="24"/>
          <w:szCs w:val="24"/>
          <w:lang w:val="en-US" w:eastAsia="zh-CN"/>
        </w:rPr>
      </w:pPr>
      <w:r w:rsidRPr="003101A0">
        <w:rPr>
          <w:rFonts w:ascii="Times New Roman" w:hAnsi="Times New Roman" w:cs="Times New Roman"/>
          <w:b/>
          <w:bCs/>
          <w:sz w:val="24"/>
          <w:szCs w:val="24"/>
          <w:lang w:val="en-US"/>
        </w:rPr>
        <w:t>A</w:t>
      </w:r>
      <w:r w:rsidRPr="003101A0">
        <w:rPr>
          <w:rFonts w:ascii="Times New Roman" w:hAnsi="Times New Roman" w:cs="Times New Roman"/>
          <w:b/>
          <w:bCs/>
          <w:sz w:val="24"/>
          <w:szCs w:val="24"/>
          <w:lang w:val="en-US" w:eastAsia="zh-CN"/>
        </w:rPr>
        <w:t>bstract</w:t>
      </w:r>
    </w:p>
    <w:p w14:paraId="7692462A" w14:textId="1D7426DC" w:rsidR="00082624" w:rsidRDefault="00082624" w:rsidP="00FB5BEC">
      <w:pPr>
        <w:jc w:val="center"/>
        <w:rPr>
          <w:rFonts w:ascii="Times New Roman" w:hAnsi="Times New Roman" w:cs="Times New Roman"/>
          <w:b/>
          <w:bCs/>
          <w:sz w:val="24"/>
          <w:szCs w:val="24"/>
          <w:lang w:val="en-US" w:eastAsia="zh-CN"/>
        </w:rPr>
      </w:pPr>
    </w:p>
    <w:p w14:paraId="0C03762E" w14:textId="77777777" w:rsidR="00082624" w:rsidRPr="003101A0" w:rsidRDefault="00082624" w:rsidP="00FB5BEC">
      <w:pPr>
        <w:jc w:val="center"/>
        <w:rPr>
          <w:rFonts w:ascii="Times New Roman" w:hAnsi="Times New Roman" w:cs="Times New Roman"/>
          <w:b/>
          <w:bCs/>
          <w:sz w:val="24"/>
          <w:szCs w:val="24"/>
          <w:lang w:val="en-US"/>
        </w:rPr>
      </w:pPr>
    </w:p>
    <w:p w14:paraId="063198AF" w14:textId="440D262E" w:rsidR="003736FD" w:rsidRPr="003101A0" w:rsidRDefault="00134DEC" w:rsidP="00FB5BEC">
      <w:pPr>
        <w:spacing w:after="0"/>
        <w:jc w:val="both"/>
        <w:rPr>
          <w:rFonts w:ascii="Times New Roman" w:hAnsi="Times New Roman" w:cs="Times New Roman"/>
          <w:sz w:val="24"/>
          <w:szCs w:val="24"/>
          <w:lang w:val="en-US"/>
        </w:rPr>
      </w:pPr>
      <w:bookmarkStart w:id="0" w:name="_Hlk115440280"/>
      <w:r w:rsidRPr="003101A0">
        <w:rPr>
          <w:rFonts w:ascii="Times New Roman" w:hAnsi="Times New Roman" w:cs="Times New Roman"/>
          <w:sz w:val="24"/>
          <w:szCs w:val="24"/>
          <w:lang w:val="en-US"/>
        </w:rPr>
        <w:t>This paper examines</w:t>
      </w:r>
      <w:r w:rsidR="000E4775" w:rsidRPr="003101A0">
        <w:rPr>
          <w:rFonts w:ascii="Times New Roman" w:hAnsi="Times New Roman" w:cs="Times New Roman"/>
          <w:sz w:val="24"/>
          <w:szCs w:val="24"/>
          <w:lang w:val="en-US"/>
        </w:rPr>
        <w:t xml:space="preserve"> the role of restrictive covenants in convertible bonds. </w:t>
      </w:r>
      <w:r w:rsidR="00D23E0E" w:rsidRPr="003101A0">
        <w:rPr>
          <w:rFonts w:ascii="Times New Roman" w:hAnsi="Times New Roman" w:cs="Times New Roman"/>
          <w:sz w:val="24"/>
          <w:szCs w:val="24"/>
          <w:lang w:val="en-US"/>
        </w:rPr>
        <w:t>A</w:t>
      </w:r>
      <w:r w:rsidR="00CC6BFD" w:rsidRPr="003101A0">
        <w:rPr>
          <w:rFonts w:ascii="Times New Roman" w:hAnsi="Times New Roman" w:cs="Times New Roman"/>
          <w:sz w:val="24"/>
          <w:szCs w:val="24"/>
          <w:lang w:val="en-US"/>
        </w:rPr>
        <w:t xml:space="preserve">fter controlling for </w:t>
      </w:r>
      <w:r w:rsidR="00422DAA" w:rsidRPr="003101A0">
        <w:rPr>
          <w:rFonts w:ascii="Times New Roman" w:hAnsi="Times New Roman" w:cs="Times New Roman"/>
          <w:sz w:val="24"/>
          <w:szCs w:val="24"/>
          <w:lang w:val="en-US"/>
        </w:rPr>
        <w:t>standard</w:t>
      </w:r>
      <w:r w:rsidR="00CC6BFD" w:rsidRPr="003101A0">
        <w:rPr>
          <w:rFonts w:ascii="Times New Roman" w:hAnsi="Times New Roman" w:cs="Times New Roman"/>
          <w:sz w:val="24"/>
          <w:szCs w:val="24"/>
          <w:lang w:val="en-US"/>
        </w:rPr>
        <w:t xml:space="preserve"> covenant intensity determinants, </w:t>
      </w:r>
      <w:r w:rsidR="003437A6" w:rsidRPr="009B12D4">
        <w:rPr>
          <w:rFonts w:ascii="Times New Roman" w:hAnsi="Times New Roman" w:cs="Times New Roman"/>
          <w:sz w:val="24"/>
          <w:szCs w:val="24"/>
          <w:lang w:val="en-US"/>
        </w:rPr>
        <w:t xml:space="preserve">an </w:t>
      </w:r>
      <w:r w:rsidR="00136C23" w:rsidRPr="009B12D4">
        <w:rPr>
          <w:rFonts w:ascii="Times New Roman" w:hAnsi="Times New Roman" w:cs="Times New Roman"/>
          <w:sz w:val="24"/>
          <w:szCs w:val="24"/>
          <w:lang w:val="en-US"/>
        </w:rPr>
        <w:t>average</w:t>
      </w:r>
      <w:r w:rsidR="00020F3B" w:rsidRPr="009B12D4">
        <w:rPr>
          <w:rFonts w:ascii="Times New Roman" w:hAnsi="Times New Roman" w:cs="Times New Roman"/>
          <w:sz w:val="24"/>
          <w:szCs w:val="24"/>
          <w:lang w:val="en-US"/>
        </w:rPr>
        <w:t xml:space="preserve"> convertible bond offering has </w:t>
      </w:r>
      <w:r w:rsidR="00422DAA" w:rsidRPr="009B12D4">
        <w:rPr>
          <w:rFonts w:ascii="Times New Roman" w:hAnsi="Times New Roman" w:cs="Times New Roman"/>
          <w:sz w:val="24"/>
          <w:szCs w:val="24"/>
          <w:lang w:val="en-US"/>
        </w:rPr>
        <w:t>3.</w:t>
      </w:r>
      <w:r w:rsidR="00D67D99">
        <w:rPr>
          <w:rFonts w:ascii="Times New Roman" w:hAnsi="Times New Roman" w:cs="Times New Roman"/>
          <w:sz w:val="24"/>
          <w:szCs w:val="24"/>
          <w:lang w:val="en-US"/>
        </w:rPr>
        <w:t>21</w:t>
      </w:r>
      <w:r w:rsidR="00422DAA" w:rsidRPr="009B12D4">
        <w:rPr>
          <w:rFonts w:ascii="Times New Roman" w:hAnsi="Times New Roman" w:cs="Times New Roman"/>
          <w:sz w:val="24"/>
          <w:szCs w:val="24"/>
          <w:lang w:val="en-US"/>
        </w:rPr>
        <w:t xml:space="preserve"> </w:t>
      </w:r>
      <w:r w:rsidR="00020F3B" w:rsidRPr="009B12D4">
        <w:rPr>
          <w:rFonts w:ascii="Times New Roman" w:hAnsi="Times New Roman" w:cs="Times New Roman"/>
          <w:sz w:val="24"/>
          <w:szCs w:val="24"/>
          <w:lang w:val="en-US"/>
        </w:rPr>
        <w:t>fewer covenants</w:t>
      </w:r>
      <w:r w:rsidR="00CC6BFD" w:rsidRPr="009B12D4">
        <w:rPr>
          <w:rFonts w:ascii="Times New Roman" w:hAnsi="Times New Roman" w:cs="Times New Roman"/>
          <w:sz w:val="24"/>
          <w:szCs w:val="24"/>
          <w:lang w:val="en-US"/>
        </w:rPr>
        <w:t xml:space="preserve"> than </w:t>
      </w:r>
      <w:r w:rsidR="00136C23" w:rsidRPr="009B12D4">
        <w:rPr>
          <w:rFonts w:ascii="Times New Roman" w:hAnsi="Times New Roman" w:cs="Times New Roman"/>
          <w:sz w:val="24"/>
          <w:szCs w:val="24"/>
          <w:lang w:val="en-US"/>
        </w:rPr>
        <w:t>an average</w:t>
      </w:r>
      <w:r w:rsidR="00CC6BFD" w:rsidRPr="009B12D4">
        <w:rPr>
          <w:rFonts w:ascii="Times New Roman" w:hAnsi="Times New Roman" w:cs="Times New Roman"/>
          <w:sz w:val="24"/>
          <w:szCs w:val="24"/>
          <w:lang w:val="en-US"/>
        </w:rPr>
        <w:t xml:space="preserve"> straight bond offering.</w:t>
      </w:r>
      <w:r w:rsidR="00020F3B" w:rsidRPr="009B12D4">
        <w:rPr>
          <w:rFonts w:ascii="Times New Roman" w:hAnsi="Times New Roman" w:cs="Times New Roman"/>
          <w:sz w:val="24"/>
          <w:szCs w:val="24"/>
          <w:lang w:val="en-US"/>
        </w:rPr>
        <w:t xml:space="preserve"> </w:t>
      </w:r>
      <w:r w:rsidR="000C77AB">
        <w:rPr>
          <w:rFonts w:ascii="Times New Roman" w:hAnsi="Times New Roman" w:cs="Times New Roman"/>
          <w:sz w:val="24"/>
          <w:szCs w:val="24"/>
          <w:lang w:val="en-US"/>
        </w:rPr>
        <w:t>While covenants negatively affect straight bond yields, there is</w:t>
      </w:r>
      <w:r w:rsidR="00F91442" w:rsidRPr="009B12D4">
        <w:rPr>
          <w:rFonts w:ascii="Times New Roman" w:hAnsi="Times New Roman" w:cs="Times New Roman"/>
          <w:sz w:val="24"/>
          <w:szCs w:val="24"/>
          <w:lang w:val="en-US"/>
        </w:rPr>
        <w:t xml:space="preserve"> no negative</w:t>
      </w:r>
      <w:r w:rsidRPr="009B12D4">
        <w:rPr>
          <w:rFonts w:ascii="Times New Roman" w:hAnsi="Times New Roman" w:cs="Times New Roman"/>
          <w:sz w:val="24"/>
          <w:szCs w:val="24"/>
          <w:lang w:val="en-US"/>
        </w:rPr>
        <w:t xml:space="preserve"> </w:t>
      </w:r>
      <w:r w:rsidR="00020F3B" w:rsidRPr="009B12D4">
        <w:rPr>
          <w:rFonts w:ascii="Times New Roman" w:hAnsi="Times New Roman" w:cs="Times New Roman"/>
          <w:sz w:val="24"/>
          <w:szCs w:val="24"/>
          <w:lang w:val="en-US"/>
        </w:rPr>
        <w:t>association between</w:t>
      </w:r>
      <w:r w:rsidRPr="009B12D4">
        <w:rPr>
          <w:rFonts w:ascii="Times New Roman" w:hAnsi="Times New Roman" w:cs="Times New Roman"/>
          <w:sz w:val="24"/>
          <w:szCs w:val="24"/>
          <w:lang w:val="en-US"/>
        </w:rPr>
        <w:t xml:space="preserve"> covenants </w:t>
      </w:r>
      <w:r w:rsidR="00020F3B" w:rsidRPr="009B12D4">
        <w:rPr>
          <w:rFonts w:ascii="Times New Roman" w:hAnsi="Times New Roman" w:cs="Times New Roman"/>
          <w:sz w:val="24"/>
          <w:szCs w:val="24"/>
          <w:lang w:val="en-US"/>
        </w:rPr>
        <w:t xml:space="preserve">and </w:t>
      </w:r>
      <w:r w:rsidR="00147B3D" w:rsidRPr="007E41A1">
        <w:rPr>
          <w:rFonts w:ascii="Times New Roman" w:hAnsi="Times New Roman" w:cs="Times New Roman"/>
          <w:sz w:val="24"/>
          <w:szCs w:val="24"/>
          <w:lang w:val="en-US"/>
        </w:rPr>
        <w:t xml:space="preserve">convertible bond </w:t>
      </w:r>
      <w:r w:rsidRPr="009B12D4">
        <w:rPr>
          <w:rFonts w:ascii="Times New Roman" w:hAnsi="Times New Roman" w:cs="Times New Roman"/>
          <w:sz w:val="24"/>
          <w:szCs w:val="24"/>
          <w:lang w:val="en-US"/>
        </w:rPr>
        <w:t>yields</w:t>
      </w:r>
      <w:r w:rsidR="00147B3D" w:rsidRPr="009B12D4">
        <w:rPr>
          <w:rFonts w:ascii="Times New Roman" w:hAnsi="Times New Roman" w:cs="Times New Roman"/>
          <w:sz w:val="24"/>
          <w:szCs w:val="24"/>
          <w:lang w:val="en-US"/>
        </w:rPr>
        <w:t xml:space="preserve">. </w:t>
      </w:r>
      <w:r w:rsidR="004E475B">
        <w:rPr>
          <w:rFonts w:ascii="Times New Roman" w:hAnsi="Times New Roman" w:cs="Times New Roman"/>
          <w:sz w:val="24"/>
          <w:szCs w:val="24"/>
          <w:lang w:val="en-US"/>
        </w:rPr>
        <w:t>Moreover, contrary to</w:t>
      </w:r>
      <w:r w:rsidR="009B12D4">
        <w:rPr>
          <w:rFonts w:ascii="Times New Roman" w:hAnsi="Times New Roman" w:cs="Times New Roman"/>
          <w:sz w:val="24"/>
          <w:szCs w:val="24"/>
          <w:lang w:val="en-US"/>
        </w:rPr>
        <w:t xml:space="preserve"> straight bond covenants, c</w:t>
      </w:r>
      <w:r w:rsidR="00147B3D" w:rsidRPr="009B12D4">
        <w:rPr>
          <w:rFonts w:ascii="Times New Roman" w:hAnsi="Times New Roman" w:cs="Times New Roman"/>
          <w:sz w:val="24"/>
          <w:szCs w:val="24"/>
          <w:lang w:val="en-US"/>
        </w:rPr>
        <w:t xml:space="preserve">onvertible bond covenants </w:t>
      </w:r>
      <w:r w:rsidR="009B12D4">
        <w:rPr>
          <w:rFonts w:ascii="Times New Roman" w:hAnsi="Times New Roman" w:cs="Times New Roman"/>
          <w:sz w:val="24"/>
          <w:szCs w:val="24"/>
          <w:lang w:val="en-US"/>
        </w:rPr>
        <w:t>are</w:t>
      </w:r>
      <w:r w:rsidR="00147B3D" w:rsidRPr="009B12D4">
        <w:rPr>
          <w:rFonts w:ascii="Times New Roman" w:hAnsi="Times New Roman" w:cs="Times New Roman"/>
          <w:sz w:val="24"/>
          <w:szCs w:val="24"/>
          <w:lang w:val="en-US"/>
        </w:rPr>
        <w:t xml:space="preserve"> set largely independently of issuer characteristics.</w:t>
      </w:r>
      <w:r w:rsidR="00525CD3" w:rsidRPr="009B12D4">
        <w:rPr>
          <w:rFonts w:ascii="Times New Roman" w:hAnsi="Times New Roman" w:cs="Times New Roman"/>
          <w:sz w:val="24"/>
          <w:szCs w:val="24"/>
          <w:lang w:val="en-US"/>
        </w:rPr>
        <w:t xml:space="preserve"> </w:t>
      </w:r>
      <w:r w:rsidR="000C77AB">
        <w:rPr>
          <w:rFonts w:ascii="Times New Roman" w:hAnsi="Times New Roman" w:cs="Times New Roman"/>
          <w:sz w:val="24"/>
          <w:szCs w:val="24"/>
          <w:lang w:val="en-US"/>
        </w:rPr>
        <w:t>Overall, o</w:t>
      </w:r>
      <w:r w:rsidRPr="009B12D4">
        <w:rPr>
          <w:rFonts w:ascii="Times New Roman" w:hAnsi="Times New Roman" w:cs="Times New Roman"/>
          <w:sz w:val="24"/>
          <w:szCs w:val="24"/>
          <w:lang w:val="en-US"/>
        </w:rPr>
        <w:t xml:space="preserve">ur </w:t>
      </w:r>
      <w:r w:rsidR="00026425" w:rsidRPr="009B12D4">
        <w:rPr>
          <w:rFonts w:ascii="Times New Roman" w:hAnsi="Times New Roman" w:cs="Times New Roman"/>
          <w:sz w:val="24"/>
          <w:szCs w:val="24"/>
          <w:lang w:val="en-US"/>
        </w:rPr>
        <w:t xml:space="preserve">findings </w:t>
      </w:r>
      <w:r w:rsidR="005A3785" w:rsidRPr="009B12D4">
        <w:rPr>
          <w:rFonts w:ascii="Times New Roman" w:hAnsi="Times New Roman" w:cs="Times New Roman"/>
          <w:sz w:val="24"/>
          <w:szCs w:val="24"/>
          <w:lang w:val="en-US"/>
        </w:rPr>
        <w:t>suggest that</w:t>
      </w:r>
      <w:r w:rsidR="007E4EA6" w:rsidRPr="009B12D4">
        <w:rPr>
          <w:rFonts w:ascii="Times New Roman" w:hAnsi="Times New Roman" w:cs="Times New Roman"/>
          <w:sz w:val="24"/>
          <w:szCs w:val="24"/>
          <w:lang w:val="en-US"/>
        </w:rPr>
        <w:t xml:space="preserve"> </w:t>
      </w:r>
      <w:r w:rsidR="00026425" w:rsidRPr="009B12D4">
        <w:rPr>
          <w:rFonts w:ascii="Times New Roman" w:hAnsi="Times New Roman" w:cs="Times New Roman"/>
          <w:sz w:val="24"/>
          <w:szCs w:val="24"/>
          <w:lang w:val="en-US"/>
        </w:rPr>
        <w:t>the</w:t>
      </w:r>
      <w:r w:rsidR="001257A1" w:rsidRPr="009B12D4">
        <w:rPr>
          <w:rFonts w:ascii="Times New Roman" w:hAnsi="Times New Roman" w:cs="Times New Roman"/>
          <w:sz w:val="24"/>
          <w:szCs w:val="24"/>
          <w:lang w:val="en-US"/>
        </w:rPr>
        <w:t xml:space="preserve"> conversion</w:t>
      </w:r>
      <w:r w:rsidR="001257A1" w:rsidRPr="003101A0">
        <w:rPr>
          <w:rFonts w:ascii="Times New Roman" w:hAnsi="Times New Roman" w:cs="Times New Roman"/>
          <w:sz w:val="24"/>
          <w:szCs w:val="24"/>
          <w:lang w:val="en-US"/>
        </w:rPr>
        <w:t xml:space="preserve"> option </w:t>
      </w:r>
      <w:r w:rsidR="00A95BD8" w:rsidRPr="003101A0">
        <w:rPr>
          <w:rFonts w:ascii="Times New Roman" w:hAnsi="Times New Roman" w:cs="Times New Roman"/>
          <w:sz w:val="24"/>
          <w:szCs w:val="24"/>
          <w:lang w:val="en-US"/>
        </w:rPr>
        <w:t xml:space="preserve">and </w:t>
      </w:r>
      <w:r w:rsidR="001257A1" w:rsidRPr="003101A0">
        <w:rPr>
          <w:rFonts w:ascii="Times New Roman" w:hAnsi="Times New Roman" w:cs="Times New Roman"/>
          <w:sz w:val="24"/>
          <w:szCs w:val="24"/>
          <w:lang w:val="en-US"/>
        </w:rPr>
        <w:t xml:space="preserve">certain </w:t>
      </w:r>
      <w:r w:rsidR="00A95BD8" w:rsidRPr="003101A0">
        <w:rPr>
          <w:rFonts w:ascii="Times New Roman" w:hAnsi="Times New Roman" w:cs="Times New Roman"/>
          <w:sz w:val="24"/>
          <w:szCs w:val="24"/>
          <w:lang w:val="en-US"/>
        </w:rPr>
        <w:t xml:space="preserve">covenants </w:t>
      </w:r>
      <w:r w:rsidR="00D23E0E" w:rsidRPr="003101A0">
        <w:rPr>
          <w:rFonts w:ascii="Times New Roman" w:hAnsi="Times New Roman" w:cs="Times New Roman"/>
          <w:sz w:val="24"/>
          <w:szCs w:val="24"/>
          <w:lang w:val="en-US"/>
        </w:rPr>
        <w:t>are</w:t>
      </w:r>
      <w:r w:rsidR="00026425" w:rsidRPr="003101A0">
        <w:rPr>
          <w:rFonts w:ascii="Times New Roman" w:hAnsi="Times New Roman" w:cs="Times New Roman"/>
          <w:sz w:val="24"/>
          <w:szCs w:val="24"/>
          <w:lang w:val="en-US"/>
        </w:rPr>
        <w:t xml:space="preserve"> </w:t>
      </w:r>
      <w:r w:rsidR="007E4EA6" w:rsidRPr="003101A0">
        <w:rPr>
          <w:rFonts w:ascii="Times New Roman" w:hAnsi="Times New Roman" w:cs="Times New Roman"/>
          <w:sz w:val="24"/>
          <w:szCs w:val="24"/>
          <w:lang w:val="en-US"/>
        </w:rPr>
        <w:t xml:space="preserve">substitutes </w:t>
      </w:r>
      <w:r w:rsidR="00F91442" w:rsidRPr="003101A0">
        <w:rPr>
          <w:rFonts w:ascii="Times New Roman" w:hAnsi="Times New Roman" w:cs="Times New Roman"/>
          <w:sz w:val="24"/>
          <w:szCs w:val="24"/>
          <w:lang w:val="en-US"/>
        </w:rPr>
        <w:t xml:space="preserve">for </w:t>
      </w:r>
      <w:r w:rsidR="00A95BD8" w:rsidRPr="003101A0">
        <w:rPr>
          <w:rFonts w:ascii="Times New Roman" w:hAnsi="Times New Roman" w:cs="Times New Roman"/>
          <w:sz w:val="24"/>
          <w:szCs w:val="24"/>
          <w:lang w:val="en-US"/>
        </w:rPr>
        <w:t>addressing debt-related financing costs</w:t>
      </w:r>
      <w:r w:rsidR="00D23E0E" w:rsidRPr="003101A0">
        <w:rPr>
          <w:rFonts w:ascii="Times New Roman" w:hAnsi="Times New Roman" w:cs="Times New Roman"/>
          <w:sz w:val="24"/>
          <w:szCs w:val="24"/>
          <w:lang w:val="en-US"/>
        </w:rPr>
        <w:t>.</w:t>
      </w:r>
      <w:r w:rsidR="007E4EA6" w:rsidRPr="003101A0">
        <w:rPr>
          <w:rFonts w:ascii="Times New Roman" w:hAnsi="Times New Roman" w:cs="Times New Roman"/>
          <w:sz w:val="24"/>
          <w:szCs w:val="24"/>
          <w:lang w:val="en-US"/>
        </w:rPr>
        <w:t xml:space="preserve"> </w:t>
      </w:r>
      <w:r w:rsidR="00D23E0E" w:rsidRPr="003101A0">
        <w:rPr>
          <w:rFonts w:ascii="Times New Roman" w:hAnsi="Times New Roman" w:cs="Times New Roman"/>
          <w:sz w:val="24"/>
          <w:szCs w:val="24"/>
          <w:lang w:val="en-US"/>
        </w:rPr>
        <w:t>T</w:t>
      </w:r>
      <w:r w:rsidR="007E4EA6" w:rsidRPr="003101A0">
        <w:rPr>
          <w:rFonts w:ascii="Times New Roman" w:hAnsi="Times New Roman" w:cs="Times New Roman"/>
          <w:sz w:val="24"/>
          <w:szCs w:val="24"/>
          <w:lang w:val="en-US"/>
        </w:rPr>
        <w:t>h</w:t>
      </w:r>
      <w:r w:rsidR="00993FB6" w:rsidRPr="003101A0">
        <w:rPr>
          <w:rFonts w:ascii="Times New Roman" w:hAnsi="Times New Roman" w:cs="Times New Roman"/>
          <w:sz w:val="24"/>
          <w:szCs w:val="24"/>
          <w:lang w:val="en-US"/>
        </w:rPr>
        <w:t>e few</w:t>
      </w:r>
      <w:r w:rsidR="007E4EA6" w:rsidRPr="003101A0">
        <w:rPr>
          <w:rFonts w:ascii="Times New Roman" w:hAnsi="Times New Roman" w:cs="Times New Roman"/>
          <w:sz w:val="24"/>
          <w:szCs w:val="24"/>
          <w:lang w:val="en-US"/>
        </w:rPr>
        <w:t xml:space="preserve"> covenants</w:t>
      </w:r>
      <w:r w:rsidR="002B342F" w:rsidRPr="003101A0">
        <w:rPr>
          <w:rFonts w:ascii="Times New Roman" w:hAnsi="Times New Roman" w:cs="Times New Roman"/>
          <w:sz w:val="24"/>
          <w:szCs w:val="24"/>
          <w:lang w:val="en-US"/>
        </w:rPr>
        <w:t xml:space="preserve"> in</w:t>
      </w:r>
      <w:r w:rsidR="00A95BD8" w:rsidRPr="003101A0">
        <w:rPr>
          <w:rFonts w:ascii="Times New Roman" w:hAnsi="Times New Roman" w:cs="Times New Roman"/>
          <w:sz w:val="24"/>
          <w:szCs w:val="24"/>
          <w:lang w:val="en-US"/>
        </w:rPr>
        <w:t>cluded in</w:t>
      </w:r>
      <w:r w:rsidR="002B342F" w:rsidRPr="003101A0">
        <w:rPr>
          <w:rFonts w:ascii="Times New Roman" w:hAnsi="Times New Roman" w:cs="Times New Roman"/>
          <w:sz w:val="24"/>
          <w:szCs w:val="24"/>
          <w:lang w:val="en-US"/>
        </w:rPr>
        <w:t xml:space="preserve"> </w:t>
      </w:r>
      <w:r w:rsidR="001257A1" w:rsidRPr="003101A0">
        <w:rPr>
          <w:rFonts w:ascii="Times New Roman" w:hAnsi="Times New Roman" w:cs="Times New Roman"/>
          <w:sz w:val="24"/>
          <w:szCs w:val="24"/>
          <w:lang w:val="en-US"/>
        </w:rPr>
        <w:t>convertibles</w:t>
      </w:r>
      <w:r w:rsidR="002B342F" w:rsidRPr="003101A0">
        <w:rPr>
          <w:rFonts w:ascii="Times New Roman" w:hAnsi="Times New Roman" w:cs="Times New Roman"/>
          <w:sz w:val="24"/>
          <w:szCs w:val="24"/>
          <w:lang w:val="en-US"/>
        </w:rPr>
        <w:t xml:space="preserve"> </w:t>
      </w:r>
      <w:r w:rsidR="00F17340" w:rsidRPr="003101A0">
        <w:rPr>
          <w:rFonts w:ascii="Times New Roman" w:hAnsi="Times New Roman" w:cs="Times New Roman"/>
          <w:sz w:val="24"/>
          <w:szCs w:val="24"/>
          <w:lang w:val="en-US"/>
        </w:rPr>
        <w:t>represent</w:t>
      </w:r>
      <w:r w:rsidR="00A95BD8" w:rsidRPr="003101A0">
        <w:rPr>
          <w:rFonts w:ascii="Times New Roman" w:hAnsi="Times New Roman" w:cs="Times New Roman"/>
          <w:sz w:val="24"/>
          <w:szCs w:val="24"/>
          <w:lang w:val="en-US"/>
        </w:rPr>
        <w:t xml:space="preserve"> </w:t>
      </w:r>
      <w:r w:rsidR="00993FB6" w:rsidRPr="003101A0">
        <w:rPr>
          <w:rFonts w:ascii="Times New Roman" w:hAnsi="Times New Roman" w:cs="Times New Roman"/>
          <w:sz w:val="24"/>
          <w:szCs w:val="24"/>
          <w:lang w:val="en-US"/>
        </w:rPr>
        <w:t xml:space="preserve">irrelevant </w:t>
      </w:r>
      <w:r w:rsidR="002B342F" w:rsidRPr="003101A0">
        <w:rPr>
          <w:rFonts w:ascii="Times New Roman" w:hAnsi="Times New Roman" w:cs="Times New Roman"/>
          <w:sz w:val="24"/>
          <w:szCs w:val="24"/>
          <w:lang w:val="en-US"/>
        </w:rPr>
        <w:t xml:space="preserve">boilerplate clauses. </w:t>
      </w:r>
    </w:p>
    <w:bookmarkEnd w:id="0"/>
    <w:p w14:paraId="223166EB" w14:textId="77777777" w:rsidR="003736FD" w:rsidRPr="003101A0" w:rsidRDefault="003736FD" w:rsidP="00FB5BEC">
      <w:pPr>
        <w:spacing w:after="0"/>
        <w:jc w:val="both"/>
        <w:rPr>
          <w:rFonts w:ascii="Times New Roman" w:hAnsi="Times New Roman" w:cs="Times New Roman"/>
          <w:sz w:val="24"/>
          <w:szCs w:val="24"/>
          <w:lang w:val="en-US"/>
        </w:rPr>
      </w:pPr>
    </w:p>
    <w:p w14:paraId="6A424294" w14:textId="6B6D9E48" w:rsidR="00C55F08" w:rsidRDefault="00C55F08" w:rsidP="00FB5BEC">
      <w:pPr>
        <w:jc w:val="both"/>
        <w:rPr>
          <w:rFonts w:ascii="Times New Roman" w:hAnsi="Times New Roman" w:cs="Times New Roman"/>
          <w:sz w:val="24"/>
          <w:szCs w:val="24"/>
          <w:lang w:val="en-US"/>
        </w:rPr>
      </w:pPr>
      <w:r w:rsidRPr="003101A0">
        <w:rPr>
          <w:rFonts w:ascii="Times New Roman" w:hAnsi="Times New Roman" w:cs="Times New Roman"/>
          <w:b/>
          <w:sz w:val="24"/>
          <w:szCs w:val="24"/>
          <w:lang w:val="en-US"/>
        </w:rPr>
        <w:t>Keywords</w:t>
      </w:r>
      <w:r w:rsidRPr="003101A0">
        <w:rPr>
          <w:rFonts w:ascii="Times New Roman" w:hAnsi="Times New Roman" w:cs="Times New Roman"/>
          <w:sz w:val="24"/>
          <w:szCs w:val="24"/>
          <w:lang w:val="en-US"/>
        </w:rPr>
        <w:t xml:space="preserve">: convertible bonds, </w:t>
      </w:r>
      <w:r w:rsidR="00DF5EDD" w:rsidRPr="003101A0">
        <w:rPr>
          <w:rFonts w:ascii="Times New Roman" w:hAnsi="Times New Roman" w:cs="Times New Roman"/>
          <w:sz w:val="24"/>
          <w:szCs w:val="24"/>
          <w:lang w:val="en-US"/>
        </w:rPr>
        <w:t xml:space="preserve">straight bonds, </w:t>
      </w:r>
      <w:r w:rsidR="00163574" w:rsidRPr="003101A0">
        <w:rPr>
          <w:rFonts w:ascii="Times New Roman" w:hAnsi="Times New Roman" w:cs="Times New Roman"/>
          <w:sz w:val="24"/>
          <w:szCs w:val="24"/>
          <w:lang w:val="en-US"/>
        </w:rPr>
        <w:t xml:space="preserve">restrictive </w:t>
      </w:r>
      <w:r w:rsidRPr="003101A0">
        <w:rPr>
          <w:rFonts w:ascii="Times New Roman" w:hAnsi="Times New Roman" w:cs="Times New Roman"/>
          <w:sz w:val="24"/>
          <w:szCs w:val="24"/>
          <w:lang w:val="en-US"/>
        </w:rPr>
        <w:t xml:space="preserve">covenants, </w:t>
      </w:r>
      <w:r w:rsidR="006C523B" w:rsidRPr="003101A0">
        <w:rPr>
          <w:rFonts w:ascii="Times New Roman" w:hAnsi="Times New Roman" w:cs="Times New Roman"/>
          <w:sz w:val="24"/>
          <w:szCs w:val="24"/>
          <w:lang w:val="en-US"/>
        </w:rPr>
        <w:t xml:space="preserve">agency costs, </w:t>
      </w:r>
      <w:r w:rsidRPr="003101A0">
        <w:rPr>
          <w:rFonts w:ascii="Times New Roman" w:hAnsi="Times New Roman" w:cs="Times New Roman"/>
          <w:sz w:val="24"/>
          <w:szCs w:val="24"/>
          <w:lang w:val="en-US"/>
        </w:rPr>
        <w:t>yields</w:t>
      </w:r>
    </w:p>
    <w:p w14:paraId="5E475D5D" w14:textId="7F8B0EE3" w:rsidR="00867F60" w:rsidRPr="003101A0" w:rsidRDefault="00867F60" w:rsidP="00FB5BE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JEL classification: </w:t>
      </w:r>
      <w:r w:rsidR="00C31F2D">
        <w:rPr>
          <w:rFonts w:ascii="Times New Roman" w:hAnsi="Times New Roman" w:cs="Times New Roman"/>
          <w:sz w:val="24"/>
          <w:szCs w:val="24"/>
          <w:lang w:val="en-US"/>
        </w:rPr>
        <w:t>G30; G32</w:t>
      </w:r>
    </w:p>
    <w:p w14:paraId="3C275F24" w14:textId="77777777" w:rsidR="00C55F08" w:rsidRPr="003101A0" w:rsidRDefault="00C55F08" w:rsidP="00FB5BEC">
      <w:pPr>
        <w:rPr>
          <w:rFonts w:ascii="Times New Roman" w:hAnsi="Times New Roman" w:cs="Times New Roman"/>
          <w:sz w:val="24"/>
          <w:szCs w:val="24"/>
          <w:lang w:val="en-US"/>
        </w:rPr>
      </w:pPr>
    </w:p>
    <w:p w14:paraId="212E12F8" w14:textId="77777777" w:rsidR="00A1553B" w:rsidRPr="003101A0" w:rsidRDefault="00A1553B" w:rsidP="00FB5BEC">
      <w:pPr>
        <w:rPr>
          <w:rFonts w:ascii="Times New Roman" w:hAnsi="Times New Roman" w:cs="Times New Roman"/>
          <w:sz w:val="24"/>
          <w:szCs w:val="24"/>
          <w:lang w:val="en-US"/>
        </w:rPr>
        <w:sectPr w:rsidR="00A1553B" w:rsidRPr="003101A0" w:rsidSect="00782A26">
          <w:pgSz w:w="11906" w:h="16838"/>
          <w:pgMar w:top="1440" w:right="1440" w:bottom="1440" w:left="1440" w:header="708" w:footer="708" w:gutter="0"/>
          <w:pgNumType w:start="1"/>
          <w:cols w:space="708"/>
          <w:titlePg/>
          <w:docGrid w:linePitch="360"/>
        </w:sectPr>
      </w:pPr>
    </w:p>
    <w:p w14:paraId="7F9A7906" w14:textId="77777777" w:rsidR="00C55F08" w:rsidRPr="003101A0" w:rsidRDefault="00C55F08" w:rsidP="00FB5BEC">
      <w:pPr>
        <w:pStyle w:val="ListParagraph"/>
        <w:numPr>
          <w:ilvl w:val="0"/>
          <w:numId w:val="2"/>
        </w:numPr>
        <w:spacing w:after="0" w:line="480" w:lineRule="auto"/>
        <w:ind w:left="426" w:hanging="426"/>
        <w:rPr>
          <w:rFonts w:ascii="Times New Roman" w:hAnsi="Times New Roman" w:cs="Times New Roman"/>
          <w:b/>
          <w:sz w:val="24"/>
          <w:szCs w:val="24"/>
          <w:lang w:val="en-US"/>
        </w:rPr>
      </w:pPr>
      <w:r w:rsidRPr="003101A0">
        <w:rPr>
          <w:rFonts w:ascii="Times New Roman" w:hAnsi="Times New Roman" w:cs="Times New Roman"/>
          <w:b/>
          <w:sz w:val="24"/>
          <w:szCs w:val="24"/>
          <w:lang w:val="en-US"/>
        </w:rPr>
        <w:lastRenderedPageBreak/>
        <w:t>Introduction</w:t>
      </w:r>
    </w:p>
    <w:p w14:paraId="028B091C" w14:textId="2A85F51C" w:rsidR="00143EC0" w:rsidRPr="003101A0" w:rsidRDefault="00B021AD" w:rsidP="00033631">
      <w:pPr>
        <w:spacing w:after="0" w:line="480" w:lineRule="auto"/>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Restrictive bond covenants are </w:t>
      </w:r>
      <w:r w:rsidR="005073BF" w:rsidRPr="003101A0">
        <w:rPr>
          <w:rFonts w:ascii="Times New Roman" w:hAnsi="Times New Roman" w:cs="Times New Roman"/>
          <w:sz w:val="24"/>
          <w:szCs w:val="24"/>
          <w:lang w:val="en-US"/>
        </w:rPr>
        <w:t>heterogeneous provisions</w:t>
      </w:r>
      <w:r w:rsidRPr="003101A0">
        <w:rPr>
          <w:rFonts w:ascii="Times New Roman" w:hAnsi="Times New Roman" w:cs="Times New Roman"/>
          <w:sz w:val="24"/>
          <w:szCs w:val="24"/>
          <w:lang w:val="en-US"/>
        </w:rPr>
        <w:t xml:space="preserve"> attached to individual securities</w:t>
      </w:r>
      <w:r w:rsidR="005073BF" w:rsidRPr="003101A0">
        <w:rPr>
          <w:rFonts w:ascii="Times New Roman" w:hAnsi="Times New Roman" w:cs="Times New Roman"/>
          <w:sz w:val="24"/>
          <w:szCs w:val="24"/>
          <w:lang w:val="en-US"/>
        </w:rPr>
        <w:t xml:space="preserve">, </w:t>
      </w:r>
      <w:r w:rsidR="00533314" w:rsidRPr="003101A0">
        <w:rPr>
          <w:rFonts w:ascii="Times New Roman" w:hAnsi="Times New Roman" w:cs="Times New Roman"/>
          <w:sz w:val="24"/>
          <w:szCs w:val="24"/>
          <w:lang w:val="en-US"/>
        </w:rPr>
        <w:t xml:space="preserve">limiting </w:t>
      </w:r>
      <w:r w:rsidR="005073BF" w:rsidRPr="003101A0">
        <w:rPr>
          <w:rFonts w:ascii="Times New Roman" w:hAnsi="Times New Roman" w:cs="Times New Roman"/>
          <w:sz w:val="24"/>
          <w:szCs w:val="24"/>
          <w:lang w:val="en-US"/>
        </w:rPr>
        <w:t xml:space="preserve">the firm from engaging in specified actions after the bonds have been sold (Smith and Warner, 1979; Miller and </w:t>
      </w:r>
      <w:proofErr w:type="spellStart"/>
      <w:r w:rsidR="005073BF" w:rsidRPr="003101A0">
        <w:rPr>
          <w:rFonts w:ascii="Times New Roman" w:hAnsi="Times New Roman" w:cs="Times New Roman"/>
          <w:sz w:val="24"/>
          <w:szCs w:val="24"/>
          <w:lang w:val="en-US"/>
        </w:rPr>
        <w:t>Reisel</w:t>
      </w:r>
      <w:proofErr w:type="spellEnd"/>
      <w:r w:rsidR="005073BF" w:rsidRPr="003101A0">
        <w:rPr>
          <w:rFonts w:ascii="Times New Roman" w:hAnsi="Times New Roman" w:cs="Times New Roman"/>
          <w:sz w:val="24"/>
          <w:szCs w:val="24"/>
          <w:lang w:val="en-US"/>
        </w:rPr>
        <w:t xml:space="preserve">, </w:t>
      </w:r>
      <w:r w:rsidR="00CB3467" w:rsidRPr="003101A0">
        <w:rPr>
          <w:rFonts w:ascii="Times New Roman" w:hAnsi="Times New Roman" w:cs="Times New Roman"/>
          <w:sz w:val="24"/>
          <w:szCs w:val="24"/>
          <w:lang w:val="en-US"/>
        </w:rPr>
        <w:t>2012</w:t>
      </w:r>
      <w:r w:rsidR="005073BF" w:rsidRPr="003101A0">
        <w:rPr>
          <w:rFonts w:ascii="Times New Roman" w:hAnsi="Times New Roman" w:cs="Times New Roman"/>
          <w:sz w:val="24"/>
          <w:szCs w:val="24"/>
          <w:lang w:val="en-US"/>
        </w:rPr>
        <w:t xml:space="preserve">). </w:t>
      </w:r>
      <w:r w:rsidR="00DF31A6" w:rsidRPr="003101A0">
        <w:rPr>
          <w:rFonts w:ascii="Times New Roman" w:hAnsi="Times New Roman" w:cs="Times New Roman"/>
          <w:sz w:val="24"/>
          <w:szCs w:val="24"/>
          <w:lang w:val="en-US"/>
        </w:rPr>
        <w:t>Academic studies on bond covenants</w:t>
      </w:r>
      <w:r w:rsidR="00136025" w:rsidRPr="003101A0">
        <w:rPr>
          <w:rFonts w:ascii="Times New Roman" w:hAnsi="Times New Roman" w:cs="Times New Roman"/>
          <w:sz w:val="24"/>
          <w:szCs w:val="24"/>
          <w:lang w:val="en-US"/>
        </w:rPr>
        <w:t xml:space="preserve"> </w:t>
      </w:r>
      <w:r w:rsidR="00A1553B" w:rsidRPr="003101A0">
        <w:rPr>
          <w:rFonts w:ascii="Times New Roman" w:hAnsi="Times New Roman" w:cs="Times New Roman"/>
          <w:sz w:val="24"/>
          <w:szCs w:val="24"/>
          <w:lang w:val="en-US"/>
        </w:rPr>
        <w:t>typically focus</w:t>
      </w:r>
      <w:r w:rsidR="00136025" w:rsidRPr="003101A0">
        <w:rPr>
          <w:rFonts w:ascii="Times New Roman" w:hAnsi="Times New Roman" w:cs="Times New Roman"/>
          <w:sz w:val="24"/>
          <w:szCs w:val="24"/>
          <w:lang w:val="en-US"/>
        </w:rPr>
        <w:t xml:space="preserve"> on straight</w:t>
      </w:r>
      <w:r w:rsidR="00A1553B" w:rsidRPr="003101A0">
        <w:rPr>
          <w:rFonts w:ascii="Times New Roman" w:hAnsi="Times New Roman" w:cs="Times New Roman"/>
          <w:sz w:val="24"/>
          <w:szCs w:val="24"/>
          <w:lang w:val="en-US"/>
        </w:rPr>
        <w:t>, non-convertible</w:t>
      </w:r>
      <w:r w:rsidR="00136025" w:rsidRPr="003101A0">
        <w:rPr>
          <w:rFonts w:ascii="Times New Roman" w:hAnsi="Times New Roman" w:cs="Times New Roman"/>
          <w:sz w:val="24"/>
          <w:szCs w:val="24"/>
          <w:lang w:val="en-US"/>
        </w:rPr>
        <w:t xml:space="preserve"> bond offerings and </w:t>
      </w:r>
      <w:r w:rsidR="00AF6228" w:rsidRPr="003101A0">
        <w:rPr>
          <w:rFonts w:ascii="Times New Roman" w:hAnsi="Times New Roman" w:cs="Times New Roman"/>
          <w:sz w:val="24"/>
          <w:szCs w:val="24"/>
          <w:lang w:val="en-US"/>
        </w:rPr>
        <w:t>exclude</w:t>
      </w:r>
      <w:r w:rsidR="00136025" w:rsidRPr="003101A0">
        <w:rPr>
          <w:rFonts w:ascii="Times New Roman" w:hAnsi="Times New Roman" w:cs="Times New Roman"/>
          <w:sz w:val="24"/>
          <w:szCs w:val="24"/>
          <w:lang w:val="en-US"/>
        </w:rPr>
        <w:t xml:space="preserve"> </w:t>
      </w:r>
      <w:r w:rsidR="001257A1" w:rsidRPr="003101A0">
        <w:rPr>
          <w:rFonts w:ascii="Times New Roman" w:hAnsi="Times New Roman" w:cs="Times New Roman"/>
          <w:sz w:val="24"/>
          <w:szCs w:val="24"/>
          <w:lang w:val="en-US"/>
        </w:rPr>
        <w:t>bonds</w:t>
      </w:r>
      <w:r w:rsidR="0061328F" w:rsidRPr="003101A0">
        <w:rPr>
          <w:rFonts w:ascii="Times New Roman" w:hAnsi="Times New Roman" w:cs="Times New Roman"/>
          <w:sz w:val="24"/>
          <w:szCs w:val="24"/>
          <w:lang w:val="en-US"/>
        </w:rPr>
        <w:t xml:space="preserve"> convertible into common stock</w:t>
      </w:r>
      <w:r w:rsidR="005A78B9" w:rsidRPr="003101A0">
        <w:rPr>
          <w:rFonts w:ascii="Times New Roman" w:hAnsi="Times New Roman" w:cs="Times New Roman"/>
          <w:sz w:val="24"/>
          <w:szCs w:val="24"/>
          <w:lang w:val="en-US"/>
        </w:rPr>
        <w:t xml:space="preserve"> (Qi and Wald, 2008; Qi et al., 2011; Miller and </w:t>
      </w:r>
      <w:proofErr w:type="spellStart"/>
      <w:r w:rsidR="005A78B9" w:rsidRPr="003101A0">
        <w:rPr>
          <w:rFonts w:ascii="Times New Roman" w:hAnsi="Times New Roman" w:cs="Times New Roman"/>
          <w:sz w:val="24"/>
          <w:szCs w:val="24"/>
          <w:lang w:val="en-US"/>
        </w:rPr>
        <w:t>Reisel</w:t>
      </w:r>
      <w:proofErr w:type="spellEnd"/>
      <w:r w:rsidR="005A78B9" w:rsidRPr="003101A0">
        <w:rPr>
          <w:rFonts w:ascii="Times New Roman" w:hAnsi="Times New Roman" w:cs="Times New Roman"/>
          <w:sz w:val="24"/>
          <w:szCs w:val="24"/>
          <w:lang w:val="en-US"/>
        </w:rPr>
        <w:t xml:space="preserve">, </w:t>
      </w:r>
      <w:r w:rsidR="00014AF9" w:rsidRPr="003101A0">
        <w:rPr>
          <w:rFonts w:ascii="Times New Roman" w:hAnsi="Times New Roman" w:cs="Times New Roman"/>
          <w:sz w:val="24"/>
          <w:szCs w:val="24"/>
          <w:lang w:val="en-US"/>
        </w:rPr>
        <w:t>2012</w:t>
      </w:r>
      <w:r w:rsidR="005A78B9" w:rsidRPr="003101A0">
        <w:rPr>
          <w:rFonts w:ascii="Times New Roman" w:hAnsi="Times New Roman" w:cs="Times New Roman"/>
          <w:sz w:val="24"/>
          <w:szCs w:val="24"/>
          <w:lang w:val="en-US"/>
        </w:rPr>
        <w:t xml:space="preserve">; </w:t>
      </w:r>
      <w:proofErr w:type="spellStart"/>
      <w:r w:rsidR="00DD0710" w:rsidRPr="003101A0">
        <w:rPr>
          <w:rFonts w:ascii="Times New Roman" w:hAnsi="Times New Roman" w:cs="Times New Roman"/>
          <w:sz w:val="24"/>
          <w:szCs w:val="24"/>
          <w:lang w:val="en-US"/>
        </w:rPr>
        <w:t>Reisel</w:t>
      </w:r>
      <w:proofErr w:type="spellEnd"/>
      <w:r w:rsidR="00DD0710" w:rsidRPr="003101A0">
        <w:rPr>
          <w:rFonts w:ascii="Times New Roman" w:hAnsi="Times New Roman" w:cs="Times New Roman"/>
          <w:sz w:val="24"/>
          <w:szCs w:val="24"/>
          <w:lang w:val="en-US"/>
        </w:rPr>
        <w:t xml:space="preserve">, 2014; </w:t>
      </w:r>
      <w:r w:rsidR="005A78B9" w:rsidRPr="003101A0">
        <w:rPr>
          <w:rFonts w:ascii="Times New Roman" w:hAnsi="Times New Roman" w:cs="Times New Roman"/>
          <w:sz w:val="24"/>
          <w:szCs w:val="24"/>
          <w:lang w:val="en-US"/>
        </w:rPr>
        <w:t>Zhang and Zhou, 2018</w:t>
      </w:r>
      <w:r w:rsidR="00DD0710" w:rsidRPr="003101A0">
        <w:rPr>
          <w:rFonts w:ascii="Times New Roman" w:hAnsi="Times New Roman" w:cs="Times New Roman"/>
          <w:sz w:val="24"/>
          <w:szCs w:val="24"/>
          <w:lang w:val="en-US"/>
        </w:rPr>
        <w:t>).</w:t>
      </w:r>
      <w:r w:rsidR="00AF6228" w:rsidRPr="003101A0">
        <w:rPr>
          <w:rStyle w:val="FootnoteReference"/>
          <w:rFonts w:ascii="Times New Roman" w:hAnsi="Times New Roman" w:cs="Times New Roman"/>
          <w:sz w:val="24"/>
          <w:szCs w:val="24"/>
          <w:lang w:val="en-US"/>
        </w:rPr>
        <w:footnoteReference w:id="2"/>
      </w:r>
      <w:r w:rsidR="00AF6228" w:rsidRPr="003101A0">
        <w:rPr>
          <w:rFonts w:ascii="Times New Roman" w:hAnsi="Times New Roman" w:cs="Times New Roman"/>
          <w:sz w:val="24"/>
          <w:szCs w:val="24"/>
          <w:lang w:val="en-US"/>
        </w:rPr>
        <w:t xml:space="preserve"> </w:t>
      </w:r>
      <w:r w:rsidR="006156F8" w:rsidRPr="003101A0">
        <w:rPr>
          <w:rFonts w:ascii="Times New Roman" w:hAnsi="Times New Roman" w:cs="Times New Roman"/>
          <w:sz w:val="24"/>
          <w:szCs w:val="24"/>
          <w:lang w:val="en-US"/>
        </w:rPr>
        <w:t xml:space="preserve">This </w:t>
      </w:r>
      <w:r w:rsidR="00D23E0E" w:rsidRPr="003101A0">
        <w:rPr>
          <w:rFonts w:ascii="Times New Roman" w:hAnsi="Times New Roman" w:cs="Times New Roman"/>
          <w:sz w:val="24"/>
          <w:szCs w:val="24"/>
          <w:lang w:val="en-US"/>
        </w:rPr>
        <w:t xml:space="preserve">omission </w:t>
      </w:r>
      <w:r w:rsidR="006156F8" w:rsidRPr="003101A0">
        <w:rPr>
          <w:rFonts w:ascii="Times New Roman" w:hAnsi="Times New Roman" w:cs="Times New Roman"/>
          <w:sz w:val="24"/>
          <w:szCs w:val="24"/>
          <w:lang w:val="en-US"/>
        </w:rPr>
        <w:t>is</w:t>
      </w:r>
      <w:r w:rsidR="00AF6228" w:rsidRPr="003101A0">
        <w:rPr>
          <w:rFonts w:ascii="Times New Roman" w:hAnsi="Times New Roman" w:cs="Times New Roman"/>
          <w:sz w:val="24"/>
          <w:szCs w:val="24"/>
          <w:lang w:val="en-US"/>
        </w:rPr>
        <w:t xml:space="preserve"> </w:t>
      </w:r>
      <w:r w:rsidR="00F9266E" w:rsidRPr="003101A0">
        <w:rPr>
          <w:rFonts w:ascii="Times New Roman" w:hAnsi="Times New Roman" w:cs="Times New Roman"/>
          <w:sz w:val="24"/>
          <w:szCs w:val="24"/>
          <w:lang w:val="en-US"/>
        </w:rPr>
        <w:t>unfortunate</w:t>
      </w:r>
      <w:r w:rsidR="00301D07" w:rsidRPr="003101A0">
        <w:rPr>
          <w:rFonts w:ascii="Times New Roman" w:hAnsi="Times New Roman" w:cs="Times New Roman"/>
          <w:sz w:val="24"/>
          <w:szCs w:val="24"/>
          <w:lang w:val="en-US"/>
        </w:rPr>
        <w:t xml:space="preserve"> </w:t>
      </w:r>
      <w:r w:rsidR="00D23E0E" w:rsidRPr="003101A0">
        <w:rPr>
          <w:rFonts w:ascii="Times New Roman" w:hAnsi="Times New Roman" w:cs="Times New Roman"/>
          <w:sz w:val="24"/>
          <w:szCs w:val="24"/>
          <w:lang w:val="en-US"/>
        </w:rPr>
        <w:t>because</w:t>
      </w:r>
      <w:r w:rsidR="00301D07" w:rsidRPr="003101A0">
        <w:rPr>
          <w:rFonts w:ascii="Times New Roman" w:hAnsi="Times New Roman" w:cs="Times New Roman"/>
          <w:sz w:val="24"/>
          <w:szCs w:val="24"/>
          <w:lang w:val="en-US"/>
        </w:rPr>
        <w:t xml:space="preserve"> c</w:t>
      </w:r>
      <w:r w:rsidR="0061328F" w:rsidRPr="003101A0">
        <w:rPr>
          <w:rFonts w:ascii="Times New Roman" w:hAnsi="Times New Roman" w:cs="Times New Roman"/>
          <w:sz w:val="24"/>
          <w:szCs w:val="24"/>
          <w:lang w:val="en-US"/>
        </w:rPr>
        <w:t>onvertible bonds</w:t>
      </w:r>
      <w:r w:rsidR="006156F8" w:rsidRPr="003101A0">
        <w:rPr>
          <w:rFonts w:ascii="Times New Roman" w:hAnsi="Times New Roman" w:cs="Times New Roman"/>
          <w:sz w:val="24"/>
          <w:szCs w:val="24"/>
          <w:lang w:val="en-US"/>
        </w:rPr>
        <w:t xml:space="preserve"> represent </w:t>
      </w:r>
      <w:r w:rsidR="00F9266E" w:rsidRPr="003101A0">
        <w:rPr>
          <w:rFonts w:ascii="Times New Roman" w:hAnsi="Times New Roman" w:cs="Times New Roman"/>
          <w:sz w:val="24"/>
          <w:szCs w:val="24"/>
          <w:lang w:val="en-US"/>
        </w:rPr>
        <w:t>an important</w:t>
      </w:r>
      <w:r w:rsidR="006156F8" w:rsidRPr="003101A0">
        <w:rPr>
          <w:rFonts w:ascii="Times New Roman" w:hAnsi="Times New Roman" w:cs="Times New Roman"/>
          <w:sz w:val="24"/>
          <w:szCs w:val="24"/>
          <w:lang w:val="en-US"/>
        </w:rPr>
        <w:t xml:space="preserve"> source of financing </w:t>
      </w:r>
      <w:r w:rsidR="00D23E0E" w:rsidRPr="003101A0">
        <w:rPr>
          <w:rFonts w:ascii="Times New Roman" w:hAnsi="Times New Roman" w:cs="Times New Roman"/>
          <w:sz w:val="24"/>
          <w:szCs w:val="24"/>
          <w:lang w:val="en-US"/>
        </w:rPr>
        <w:t xml:space="preserve">for </w:t>
      </w:r>
      <w:r w:rsidR="006156F8" w:rsidRPr="003101A0">
        <w:rPr>
          <w:rFonts w:ascii="Times New Roman" w:hAnsi="Times New Roman" w:cs="Times New Roman"/>
          <w:sz w:val="24"/>
          <w:szCs w:val="24"/>
          <w:lang w:val="en-US"/>
        </w:rPr>
        <w:t xml:space="preserve">companies, both </w:t>
      </w:r>
      <w:r w:rsidR="00D23E0E" w:rsidRPr="003101A0">
        <w:rPr>
          <w:rFonts w:ascii="Times New Roman" w:hAnsi="Times New Roman" w:cs="Times New Roman"/>
          <w:sz w:val="24"/>
          <w:szCs w:val="24"/>
          <w:lang w:val="en-US"/>
        </w:rPr>
        <w:t>in</w:t>
      </w:r>
      <w:r w:rsidR="006156F8" w:rsidRPr="003101A0">
        <w:rPr>
          <w:rFonts w:ascii="Times New Roman" w:hAnsi="Times New Roman" w:cs="Times New Roman"/>
          <w:sz w:val="24"/>
          <w:szCs w:val="24"/>
          <w:lang w:val="en-US"/>
        </w:rPr>
        <w:t xml:space="preserve"> absolute </w:t>
      </w:r>
      <w:r w:rsidR="00D23E0E" w:rsidRPr="003101A0">
        <w:rPr>
          <w:rFonts w:ascii="Times New Roman" w:hAnsi="Times New Roman" w:cs="Times New Roman"/>
          <w:sz w:val="24"/>
          <w:szCs w:val="24"/>
          <w:lang w:val="en-US"/>
        </w:rPr>
        <w:t>terms</w:t>
      </w:r>
      <w:r w:rsidR="006156F8" w:rsidRPr="003101A0">
        <w:rPr>
          <w:rFonts w:ascii="Times New Roman" w:hAnsi="Times New Roman" w:cs="Times New Roman"/>
          <w:sz w:val="24"/>
          <w:szCs w:val="24"/>
          <w:lang w:val="en-US"/>
        </w:rPr>
        <w:t xml:space="preserve"> and relative to seasoned equity and straight bond offerings (</w:t>
      </w:r>
      <w:r w:rsidR="002F025A" w:rsidRPr="003101A0">
        <w:rPr>
          <w:rFonts w:ascii="Times New Roman" w:hAnsi="Times New Roman" w:cs="Times New Roman"/>
          <w:sz w:val="24"/>
          <w:szCs w:val="24"/>
          <w:lang w:val="en-US"/>
        </w:rPr>
        <w:t>Gomes and Phillips, 2012</w:t>
      </w:r>
      <w:r w:rsidR="001C3134" w:rsidRPr="003101A0">
        <w:rPr>
          <w:rFonts w:ascii="Times New Roman" w:hAnsi="Times New Roman" w:cs="Times New Roman"/>
          <w:sz w:val="24"/>
          <w:szCs w:val="24"/>
          <w:lang w:val="en-US"/>
        </w:rPr>
        <w:t xml:space="preserve">; </w:t>
      </w:r>
      <w:r w:rsidR="006156F8" w:rsidRPr="003101A0">
        <w:rPr>
          <w:rFonts w:ascii="Times New Roman" w:hAnsi="Times New Roman" w:cs="Times New Roman"/>
          <w:sz w:val="24"/>
          <w:szCs w:val="24"/>
          <w:lang w:val="en-US"/>
        </w:rPr>
        <w:t>Dutordoir et al., 2014</w:t>
      </w:r>
      <w:r w:rsidR="00CA0D4D" w:rsidRPr="003101A0">
        <w:rPr>
          <w:rFonts w:ascii="Times New Roman" w:hAnsi="Times New Roman" w:cs="Times New Roman"/>
          <w:sz w:val="24"/>
          <w:szCs w:val="24"/>
          <w:lang w:val="en-US"/>
        </w:rPr>
        <w:t xml:space="preserve">; </w:t>
      </w:r>
      <w:proofErr w:type="spellStart"/>
      <w:r w:rsidR="00CA0D4D" w:rsidRPr="003101A0">
        <w:rPr>
          <w:rFonts w:ascii="Times New Roman" w:hAnsi="Times New Roman" w:cs="Times New Roman"/>
          <w:sz w:val="24"/>
          <w:szCs w:val="24"/>
          <w:lang w:val="en-US"/>
        </w:rPr>
        <w:t>Lyandres</w:t>
      </w:r>
      <w:proofErr w:type="spellEnd"/>
      <w:r w:rsidR="00CA0D4D" w:rsidRPr="003101A0">
        <w:rPr>
          <w:rFonts w:ascii="Times New Roman" w:hAnsi="Times New Roman" w:cs="Times New Roman"/>
          <w:sz w:val="24"/>
          <w:szCs w:val="24"/>
          <w:lang w:val="en-US"/>
        </w:rPr>
        <w:t xml:space="preserve"> and Zhdanov, 2014</w:t>
      </w:r>
      <w:r w:rsidR="006156F8" w:rsidRPr="003101A0">
        <w:rPr>
          <w:rFonts w:ascii="Times New Roman" w:hAnsi="Times New Roman" w:cs="Times New Roman"/>
          <w:sz w:val="24"/>
          <w:szCs w:val="24"/>
          <w:lang w:val="en-US"/>
        </w:rPr>
        <w:t xml:space="preserve">). </w:t>
      </w:r>
      <w:r w:rsidR="00DF31A6" w:rsidRPr="003101A0">
        <w:rPr>
          <w:rFonts w:ascii="Times New Roman" w:hAnsi="Times New Roman" w:cs="Times New Roman"/>
          <w:sz w:val="24"/>
          <w:szCs w:val="24"/>
          <w:lang w:val="en-US"/>
        </w:rPr>
        <w:t xml:space="preserve">In 2020 alone, </w:t>
      </w:r>
      <w:r w:rsidR="007A7F09" w:rsidRPr="003101A0">
        <w:rPr>
          <w:rFonts w:ascii="Times New Roman" w:hAnsi="Times New Roman" w:cs="Times New Roman"/>
          <w:sz w:val="24"/>
          <w:szCs w:val="24"/>
          <w:lang w:val="en-US"/>
        </w:rPr>
        <w:t>global convertible bond issuance amounted to</w:t>
      </w:r>
      <w:r w:rsidR="00CC6BFD" w:rsidRPr="003101A0">
        <w:rPr>
          <w:rFonts w:ascii="Times New Roman" w:hAnsi="Times New Roman" w:cs="Times New Roman"/>
          <w:sz w:val="24"/>
          <w:szCs w:val="24"/>
          <w:lang w:val="en-US"/>
        </w:rPr>
        <w:t xml:space="preserve"> a record</w:t>
      </w:r>
      <w:r w:rsidR="007A7F09" w:rsidRPr="003101A0">
        <w:rPr>
          <w:rFonts w:ascii="Times New Roman" w:hAnsi="Times New Roman" w:cs="Times New Roman"/>
          <w:sz w:val="24"/>
          <w:szCs w:val="24"/>
          <w:lang w:val="en-US"/>
        </w:rPr>
        <w:t xml:space="preserve"> $158.7 billion (</w:t>
      </w:r>
      <w:proofErr w:type="spellStart"/>
      <w:r w:rsidR="007A7F09" w:rsidRPr="003101A0">
        <w:rPr>
          <w:rFonts w:ascii="Times New Roman" w:hAnsi="Times New Roman" w:cs="Times New Roman"/>
          <w:sz w:val="24"/>
          <w:szCs w:val="24"/>
          <w:lang w:val="en-US"/>
        </w:rPr>
        <w:t>Calamos</w:t>
      </w:r>
      <w:proofErr w:type="spellEnd"/>
      <w:r w:rsidR="007A7F09" w:rsidRPr="003101A0">
        <w:rPr>
          <w:rFonts w:ascii="Times New Roman" w:hAnsi="Times New Roman" w:cs="Times New Roman"/>
          <w:sz w:val="24"/>
          <w:szCs w:val="24"/>
          <w:lang w:val="en-US"/>
        </w:rPr>
        <w:t>, 2020)</w:t>
      </w:r>
      <w:r w:rsidR="00896E6C" w:rsidRPr="003101A0">
        <w:rPr>
          <w:rFonts w:ascii="Times New Roman" w:hAnsi="Times New Roman" w:cs="Times New Roman"/>
          <w:color w:val="000000"/>
          <w:sz w:val="24"/>
          <w:szCs w:val="24"/>
          <w:shd w:val="clear" w:color="auto" w:fill="FFFFFF"/>
          <w:lang w:val="en-US"/>
        </w:rPr>
        <w:t>. R</w:t>
      </w:r>
      <w:r w:rsidR="00CC6BFD" w:rsidRPr="003101A0">
        <w:rPr>
          <w:rFonts w:ascii="Times New Roman" w:hAnsi="Times New Roman" w:cs="Times New Roman"/>
          <w:color w:val="000000"/>
          <w:sz w:val="24"/>
          <w:szCs w:val="24"/>
          <w:shd w:val="clear" w:color="auto" w:fill="FFFFFF"/>
          <w:lang w:val="en-US"/>
        </w:rPr>
        <w:t xml:space="preserve">ecent convertible bond </w:t>
      </w:r>
      <w:r w:rsidR="00DF31A6" w:rsidRPr="003101A0">
        <w:rPr>
          <w:rFonts w:ascii="Times New Roman" w:hAnsi="Times New Roman" w:cs="Times New Roman"/>
          <w:color w:val="000000"/>
          <w:sz w:val="24"/>
          <w:szCs w:val="24"/>
          <w:shd w:val="clear" w:color="auto" w:fill="FFFFFF"/>
          <w:lang w:val="en-US"/>
        </w:rPr>
        <w:t>issuers includ</w:t>
      </w:r>
      <w:r w:rsidR="00CC6BFD" w:rsidRPr="003101A0">
        <w:rPr>
          <w:rFonts w:ascii="Times New Roman" w:hAnsi="Times New Roman" w:cs="Times New Roman"/>
          <w:color w:val="000000"/>
          <w:sz w:val="24"/>
          <w:szCs w:val="24"/>
          <w:shd w:val="clear" w:color="auto" w:fill="FFFFFF"/>
          <w:lang w:val="en-US"/>
        </w:rPr>
        <w:t>e</w:t>
      </w:r>
      <w:r w:rsidR="00DF31A6" w:rsidRPr="003101A0">
        <w:rPr>
          <w:rFonts w:ascii="Times New Roman" w:hAnsi="Times New Roman" w:cs="Times New Roman"/>
          <w:color w:val="000000"/>
          <w:sz w:val="24"/>
          <w:szCs w:val="24"/>
          <w:shd w:val="clear" w:color="auto" w:fill="FFFFFF"/>
          <w:lang w:val="en-US"/>
        </w:rPr>
        <w:t xml:space="preserve"> </w:t>
      </w:r>
      <w:hyperlink r:id="rId13" w:tooltip="Airbnb" w:history="1">
        <w:r w:rsidR="00DF31A6" w:rsidRPr="003101A0">
          <w:rPr>
            <w:rFonts w:ascii="Times New Roman" w:hAnsi="Times New Roman" w:cs="Times New Roman"/>
            <w:color w:val="000000" w:themeColor="text1"/>
            <w:sz w:val="24"/>
            <w:szCs w:val="24"/>
            <w:bdr w:val="none" w:sz="0" w:space="0" w:color="auto" w:frame="1"/>
            <w:shd w:val="clear" w:color="auto" w:fill="FFFFFF"/>
            <w:lang w:val="en-US"/>
          </w:rPr>
          <w:t>Airbnb</w:t>
        </w:r>
      </w:hyperlink>
      <w:r w:rsidR="00DF31A6" w:rsidRPr="003101A0">
        <w:rPr>
          <w:rFonts w:ascii="Times New Roman" w:hAnsi="Times New Roman" w:cs="Times New Roman"/>
          <w:color w:val="000000" w:themeColor="text1"/>
          <w:sz w:val="24"/>
          <w:szCs w:val="24"/>
          <w:shd w:val="clear" w:color="auto" w:fill="FFFFFF"/>
          <w:lang w:val="en-US"/>
        </w:rPr>
        <w:t>, Ford</w:t>
      </w:r>
      <w:r w:rsidR="007A7F09" w:rsidRPr="003101A0">
        <w:rPr>
          <w:rFonts w:ascii="Times New Roman" w:hAnsi="Times New Roman" w:cs="Times New Roman"/>
          <w:color w:val="000000" w:themeColor="text1"/>
          <w:sz w:val="24"/>
          <w:szCs w:val="24"/>
          <w:lang w:val="en-US"/>
        </w:rPr>
        <w:t xml:space="preserve">, Spotify, </w:t>
      </w:r>
      <w:hyperlink r:id="rId14" w:tooltip="Twitter" w:history="1">
        <w:r w:rsidR="00DF31A6" w:rsidRPr="003101A0">
          <w:rPr>
            <w:rFonts w:ascii="Times New Roman" w:hAnsi="Times New Roman" w:cs="Times New Roman"/>
            <w:color w:val="000000" w:themeColor="text1"/>
            <w:sz w:val="24"/>
            <w:szCs w:val="24"/>
            <w:bdr w:val="none" w:sz="0" w:space="0" w:color="auto" w:frame="1"/>
            <w:shd w:val="clear" w:color="auto" w:fill="FFFFFF"/>
            <w:lang w:val="en-US"/>
          </w:rPr>
          <w:t>Twitter</w:t>
        </w:r>
      </w:hyperlink>
      <w:r w:rsidR="00DF31A6" w:rsidRPr="003101A0">
        <w:rPr>
          <w:rFonts w:ascii="Times New Roman" w:hAnsi="Times New Roman" w:cs="Times New Roman"/>
          <w:color w:val="000000" w:themeColor="text1"/>
          <w:sz w:val="24"/>
          <w:szCs w:val="24"/>
          <w:shd w:val="clear" w:color="auto" w:fill="FFFFFF"/>
          <w:lang w:val="en-US"/>
        </w:rPr>
        <w:t xml:space="preserve">, </w:t>
      </w:r>
      <w:r w:rsidR="007A7F09" w:rsidRPr="003101A0">
        <w:rPr>
          <w:rFonts w:ascii="Times New Roman" w:hAnsi="Times New Roman" w:cs="Times New Roman"/>
          <w:color w:val="000000" w:themeColor="text1"/>
          <w:sz w:val="24"/>
          <w:szCs w:val="24"/>
          <w:shd w:val="clear" w:color="auto" w:fill="FFFFFF"/>
          <w:lang w:val="en-US"/>
        </w:rPr>
        <w:t xml:space="preserve">and </w:t>
      </w:r>
      <w:hyperlink r:id="rId15" w:tooltip="Shake Shack" w:history="1">
        <w:r w:rsidR="00DF31A6" w:rsidRPr="003101A0">
          <w:rPr>
            <w:rFonts w:ascii="Times New Roman" w:hAnsi="Times New Roman" w:cs="Times New Roman"/>
            <w:color w:val="000000" w:themeColor="text1"/>
            <w:sz w:val="24"/>
            <w:szCs w:val="24"/>
            <w:bdr w:val="none" w:sz="0" w:space="0" w:color="auto" w:frame="1"/>
            <w:shd w:val="clear" w:color="auto" w:fill="FFFFFF"/>
            <w:lang w:val="en-US"/>
          </w:rPr>
          <w:t>Shake Shack</w:t>
        </w:r>
      </w:hyperlink>
      <w:r w:rsidR="00DF31A6" w:rsidRPr="003101A0">
        <w:rPr>
          <w:rFonts w:ascii="Times New Roman" w:hAnsi="Times New Roman" w:cs="Times New Roman"/>
          <w:color w:val="000000" w:themeColor="text1"/>
          <w:sz w:val="24"/>
          <w:szCs w:val="24"/>
          <w:shd w:val="clear" w:color="auto" w:fill="FFFFFF"/>
          <w:lang w:val="en-US"/>
        </w:rPr>
        <w:t xml:space="preserve"> (</w:t>
      </w:r>
      <w:proofErr w:type="spellStart"/>
      <w:r w:rsidR="00DF31A6" w:rsidRPr="003101A0">
        <w:rPr>
          <w:rFonts w:ascii="Times New Roman" w:hAnsi="Times New Roman" w:cs="Times New Roman"/>
          <w:color w:val="000000" w:themeColor="text1"/>
          <w:sz w:val="24"/>
          <w:szCs w:val="24"/>
          <w:shd w:val="clear" w:color="auto" w:fill="FFFFFF"/>
          <w:lang w:val="en-US"/>
        </w:rPr>
        <w:t>Driebusch</w:t>
      </w:r>
      <w:proofErr w:type="spellEnd"/>
      <w:r w:rsidR="00DF31A6" w:rsidRPr="003101A0">
        <w:rPr>
          <w:rFonts w:ascii="Times New Roman" w:hAnsi="Times New Roman" w:cs="Times New Roman"/>
          <w:color w:val="000000" w:themeColor="text1"/>
          <w:sz w:val="24"/>
          <w:szCs w:val="24"/>
          <w:shd w:val="clear" w:color="auto" w:fill="FFFFFF"/>
          <w:lang w:val="en-US"/>
        </w:rPr>
        <w:t xml:space="preserve">, 2022). </w:t>
      </w:r>
    </w:p>
    <w:p w14:paraId="6265ABDC" w14:textId="283FD002" w:rsidR="00925DA3" w:rsidRPr="003101A0" w:rsidRDefault="00FE0086" w:rsidP="00033631">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Our paper</w:t>
      </w:r>
      <w:r w:rsidR="00194508" w:rsidRPr="003101A0">
        <w:rPr>
          <w:rFonts w:ascii="Times New Roman" w:hAnsi="Times New Roman" w:cs="Times New Roman"/>
          <w:sz w:val="24"/>
          <w:szCs w:val="24"/>
          <w:lang w:val="en-US"/>
        </w:rPr>
        <w:t xml:space="preserve"> </w:t>
      </w:r>
      <w:r w:rsidR="007A0911" w:rsidRPr="003101A0">
        <w:rPr>
          <w:rFonts w:ascii="Times New Roman" w:hAnsi="Times New Roman" w:cs="Times New Roman"/>
          <w:sz w:val="24"/>
          <w:szCs w:val="24"/>
          <w:lang w:val="en-US"/>
        </w:rPr>
        <w:t>complements previous</w:t>
      </w:r>
      <w:r w:rsidR="00932F0D" w:rsidRPr="003101A0">
        <w:rPr>
          <w:rFonts w:ascii="Times New Roman" w:hAnsi="Times New Roman" w:cs="Times New Roman"/>
          <w:sz w:val="24"/>
          <w:szCs w:val="24"/>
          <w:lang w:val="en-US"/>
        </w:rPr>
        <w:t xml:space="preserve"> literature </w:t>
      </w:r>
      <w:r w:rsidR="007A0911" w:rsidRPr="003101A0">
        <w:rPr>
          <w:rFonts w:ascii="Times New Roman" w:hAnsi="Times New Roman" w:cs="Times New Roman"/>
          <w:sz w:val="24"/>
          <w:szCs w:val="24"/>
          <w:lang w:val="en-US"/>
        </w:rPr>
        <w:t xml:space="preserve">on bond covenants </w:t>
      </w:r>
      <w:r w:rsidR="00932F0D" w:rsidRPr="003101A0">
        <w:rPr>
          <w:rFonts w:ascii="Times New Roman" w:hAnsi="Times New Roman" w:cs="Times New Roman"/>
          <w:sz w:val="24"/>
          <w:szCs w:val="24"/>
          <w:lang w:val="en-US"/>
        </w:rPr>
        <w:t xml:space="preserve">by focusing </w:t>
      </w:r>
      <w:r w:rsidR="00305941" w:rsidRPr="003101A0">
        <w:rPr>
          <w:rFonts w:ascii="Times New Roman" w:hAnsi="Times New Roman" w:cs="Times New Roman"/>
          <w:sz w:val="24"/>
          <w:szCs w:val="24"/>
          <w:lang w:val="en-US"/>
        </w:rPr>
        <w:t>on the</w:t>
      </w:r>
      <w:r w:rsidR="000F5FA4" w:rsidRPr="003101A0">
        <w:rPr>
          <w:rFonts w:ascii="Times New Roman" w:hAnsi="Times New Roman" w:cs="Times New Roman"/>
          <w:sz w:val="24"/>
          <w:szCs w:val="24"/>
          <w:lang w:val="en-US"/>
        </w:rPr>
        <w:t xml:space="preserve"> frequency and role of covenants in convertible bonds</w:t>
      </w:r>
      <w:r w:rsidR="00194508" w:rsidRPr="003101A0">
        <w:rPr>
          <w:rFonts w:ascii="Times New Roman" w:hAnsi="Times New Roman" w:cs="Times New Roman"/>
          <w:sz w:val="24"/>
          <w:szCs w:val="24"/>
          <w:lang w:val="en-US"/>
        </w:rPr>
        <w:t xml:space="preserve">. </w:t>
      </w:r>
      <w:r w:rsidR="00147B3D">
        <w:rPr>
          <w:rFonts w:ascii="Times New Roman" w:hAnsi="Times New Roman" w:cs="Times New Roman"/>
          <w:sz w:val="24"/>
          <w:szCs w:val="24"/>
          <w:lang w:val="en-US"/>
        </w:rPr>
        <w:t>T</w:t>
      </w:r>
      <w:r w:rsidR="00194508" w:rsidRPr="003101A0">
        <w:rPr>
          <w:rFonts w:ascii="Times New Roman" w:hAnsi="Times New Roman" w:cs="Times New Roman"/>
          <w:sz w:val="24"/>
          <w:szCs w:val="24"/>
          <w:lang w:val="en-US"/>
        </w:rPr>
        <w:t xml:space="preserve">heory </w:t>
      </w:r>
      <w:r w:rsidR="00D23E0E" w:rsidRPr="003101A0">
        <w:rPr>
          <w:rFonts w:ascii="Times New Roman" w:hAnsi="Times New Roman" w:cs="Times New Roman"/>
          <w:sz w:val="24"/>
          <w:szCs w:val="24"/>
          <w:lang w:val="en-US"/>
        </w:rPr>
        <w:t>o</w:t>
      </w:r>
      <w:r w:rsidR="00147B3D">
        <w:rPr>
          <w:rFonts w:ascii="Times New Roman" w:hAnsi="Times New Roman" w:cs="Times New Roman"/>
          <w:sz w:val="24"/>
          <w:szCs w:val="24"/>
          <w:lang w:val="en-US"/>
        </w:rPr>
        <w:t>n</w:t>
      </w:r>
      <w:r w:rsidR="00D23E0E" w:rsidRPr="003101A0">
        <w:rPr>
          <w:rFonts w:ascii="Times New Roman" w:hAnsi="Times New Roman" w:cs="Times New Roman"/>
          <w:sz w:val="24"/>
          <w:szCs w:val="24"/>
          <w:lang w:val="en-US"/>
        </w:rPr>
        <w:t xml:space="preserve"> </w:t>
      </w:r>
      <w:r w:rsidR="005F774A">
        <w:rPr>
          <w:rFonts w:ascii="Times New Roman" w:hAnsi="Times New Roman" w:cs="Times New Roman"/>
          <w:sz w:val="24"/>
          <w:szCs w:val="24"/>
          <w:lang w:val="en-US"/>
        </w:rPr>
        <w:t xml:space="preserve">the role of </w:t>
      </w:r>
      <w:r w:rsidR="00194508" w:rsidRPr="003101A0">
        <w:rPr>
          <w:rFonts w:ascii="Times New Roman" w:hAnsi="Times New Roman" w:cs="Times New Roman"/>
          <w:sz w:val="24"/>
          <w:szCs w:val="24"/>
          <w:lang w:val="en-US"/>
        </w:rPr>
        <w:t xml:space="preserve">covenants </w:t>
      </w:r>
      <w:r w:rsidR="00A1553B" w:rsidRPr="003101A0">
        <w:rPr>
          <w:rFonts w:ascii="Times New Roman" w:hAnsi="Times New Roman" w:cs="Times New Roman"/>
          <w:sz w:val="24"/>
          <w:szCs w:val="24"/>
          <w:lang w:val="en-US"/>
        </w:rPr>
        <w:t xml:space="preserve">predicts that these restrictions can address </w:t>
      </w:r>
      <w:r w:rsidR="00D23E0E" w:rsidRPr="003101A0">
        <w:rPr>
          <w:rFonts w:ascii="Times New Roman" w:hAnsi="Times New Roman" w:cs="Times New Roman"/>
          <w:sz w:val="24"/>
          <w:szCs w:val="24"/>
          <w:lang w:val="en-US"/>
        </w:rPr>
        <w:t>various</w:t>
      </w:r>
      <w:r w:rsidR="00A1553B" w:rsidRPr="003101A0">
        <w:rPr>
          <w:rFonts w:ascii="Times New Roman" w:hAnsi="Times New Roman" w:cs="Times New Roman"/>
          <w:sz w:val="24"/>
          <w:szCs w:val="24"/>
          <w:lang w:val="en-US"/>
        </w:rPr>
        <w:t xml:space="preserve"> debt-related </w:t>
      </w:r>
      <w:r w:rsidR="0059240C" w:rsidRPr="003101A0">
        <w:rPr>
          <w:rFonts w:ascii="Times New Roman" w:hAnsi="Times New Roman" w:cs="Times New Roman"/>
          <w:sz w:val="24"/>
          <w:szCs w:val="24"/>
          <w:lang w:val="en-US"/>
        </w:rPr>
        <w:t>financing costs</w:t>
      </w:r>
      <w:r w:rsidR="00A1553B" w:rsidRPr="003101A0">
        <w:rPr>
          <w:rFonts w:ascii="Times New Roman" w:hAnsi="Times New Roman" w:cs="Times New Roman"/>
          <w:sz w:val="24"/>
          <w:szCs w:val="24"/>
          <w:lang w:val="en-US"/>
        </w:rPr>
        <w:t xml:space="preserve">, including asset substitution, </w:t>
      </w:r>
      <w:r w:rsidR="0061328F" w:rsidRPr="003101A0">
        <w:rPr>
          <w:rFonts w:ascii="Times New Roman" w:hAnsi="Times New Roman" w:cs="Times New Roman"/>
          <w:sz w:val="24"/>
          <w:szCs w:val="24"/>
          <w:lang w:val="en-US"/>
        </w:rPr>
        <w:t>underinvestment, claim dilution</w:t>
      </w:r>
      <w:r w:rsidR="0059240C" w:rsidRPr="003101A0">
        <w:rPr>
          <w:rFonts w:ascii="Times New Roman" w:hAnsi="Times New Roman" w:cs="Times New Roman"/>
          <w:sz w:val="24"/>
          <w:szCs w:val="24"/>
          <w:lang w:val="en-US"/>
        </w:rPr>
        <w:t>, and financial distress costs</w:t>
      </w:r>
      <w:r w:rsidR="00EB21A3" w:rsidRPr="003101A0">
        <w:rPr>
          <w:rFonts w:ascii="Times New Roman" w:hAnsi="Times New Roman" w:cs="Times New Roman"/>
          <w:sz w:val="24"/>
          <w:szCs w:val="24"/>
          <w:lang w:val="en-US"/>
        </w:rPr>
        <w:t xml:space="preserve"> (Smith and Warner, 1979; </w:t>
      </w:r>
      <w:proofErr w:type="spellStart"/>
      <w:r w:rsidR="00EB21A3" w:rsidRPr="003101A0">
        <w:rPr>
          <w:rFonts w:ascii="Times New Roman" w:hAnsi="Times New Roman" w:cs="Times New Roman"/>
          <w:sz w:val="24"/>
          <w:szCs w:val="24"/>
          <w:lang w:val="en-US"/>
        </w:rPr>
        <w:t>Malitz</w:t>
      </w:r>
      <w:proofErr w:type="spellEnd"/>
      <w:r w:rsidR="00EB21A3" w:rsidRPr="003101A0">
        <w:rPr>
          <w:rFonts w:ascii="Times New Roman" w:hAnsi="Times New Roman" w:cs="Times New Roman"/>
          <w:sz w:val="24"/>
          <w:szCs w:val="24"/>
          <w:lang w:val="en-US"/>
        </w:rPr>
        <w:t>, 1986)</w:t>
      </w:r>
      <w:r w:rsidR="0061328F" w:rsidRPr="003101A0">
        <w:rPr>
          <w:rFonts w:ascii="Times New Roman" w:hAnsi="Times New Roman" w:cs="Times New Roman"/>
          <w:sz w:val="24"/>
          <w:szCs w:val="24"/>
          <w:lang w:val="en-US"/>
        </w:rPr>
        <w:t>. T</w:t>
      </w:r>
      <w:r w:rsidR="00194508" w:rsidRPr="003101A0">
        <w:rPr>
          <w:rFonts w:ascii="Times New Roman" w:hAnsi="Times New Roman" w:cs="Times New Roman"/>
          <w:sz w:val="24"/>
          <w:szCs w:val="24"/>
          <w:lang w:val="en-US"/>
        </w:rPr>
        <w:t xml:space="preserve">heory on </w:t>
      </w:r>
      <w:r w:rsidR="000F5FA4" w:rsidRPr="003101A0">
        <w:rPr>
          <w:rFonts w:ascii="Times New Roman" w:hAnsi="Times New Roman" w:cs="Times New Roman"/>
          <w:sz w:val="24"/>
          <w:szCs w:val="24"/>
          <w:lang w:val="en-US"/>
        </w:rPr>
        <w:t>the role of convertible bonds</w:t>
      </w:r>
      <w:r w:rsidR="00147B3D">
        <w:rPr>
          <w:rFonts w:ascii="Times New Roman" w:hAnsi="Times New Roman" w:cs="Times New Roman"/>
          <w:sz w:val="24"/>
          <w:szCs w:val="24"/>
          <w:lang w:val="en-US"/>
        </w:rPr>
        <w:t>, in turn,</w:t>
      </w:r>
      <w:r w:rsidR="00194508" w:rsidRPr="003101A0">
        <w:rPr>
          <w:rFonts w:ascii="Times New Roman" w:hAnsi="Times New Roman" w:cs="Times New Roman"/>
          <w:sz w:val="24"/>
          <w:szCs w:val="24"/>
          <w:lang w:val="en-US"/>
        </w:rPr>
        <w:t xml:space="preserve"> </w:t>
      </w:r>
      <w:r w:rsidR="00092DB3" w:rsidRPr="003101A0">
        <w:rPr>
          <w:rFonts w:ascii="Times New Roman" w:hAnsi="Times New Roman" w:cs="Times New Roman"/>
          <w:sz w:val="24"/>
          <w:szCs w:val="24"/>
          <w:lang w:val="en-US"/>
        </w:rPr>
        <w:t xml:space="preserve">argues that firms can </w:t>
      </w:r>
      <w:r w:rsidR="005A3785" w:rsidRPr="003101A0">
        <w:rPr>
          <w:rFonts w:ascii="Times New Roman" w:hAnsi="Times New Roman" w:cs="Times New Roman"/>
          <w:sz w:val="24"/>
          <w:szCs w:val="24"/>
          <w:lang w:val="en-US"/>
        </w:rPr>
        <w:t xml:space="preserve">include a conversion option in their bond offerings </w:t>
      </w:r>
      <w:r w:rsidR="00092DB3" w:rsidRPr="003101A0">
        <w:rPr>
          <w:rFonts w:ascii="Times New Roman" w:hAnsi="Times New Roman" w:cs="Times New Roman"/>
          <w:sz w:val="24"/>
          <w:szCs w:val="24"/>
          <w:lang w:val="en-US"/>
        </w:rPr>
        <w:t xml:space="preserve">to address these same </w:t>
      </w:r>
      <w:r w:rsidR="00A337ED" w:rsidRPr="003101A0">
        <w:rPr>
          <w:rFonts w:ascii="Times New Roman" w:hAnsi="Times New Roman" w:cs="Times New Roman"/>
          <w:sz w:val="24"/>
          <w:szCs w:val="24"/>
          <w:lang w:val="en-US"/>
        </w:rPr>
        <w:t>debt-related costs</w:t>
      </w:r>
      <w:r w:rsidR="00092DB3" w:rsidRPr="003101A0">
        <w:rPr>
          <w:rFonts w:ascii="Times New Roman" w:hAnsi="Times New Roman" w:cs="Times New Roman"/>
          <w:sz w:val="24"/>
          <w:szCs w:val="24"/>
          <w:lang w:val="en-US"/>
        </w:rPr>
        <w:t xml:space="preserve"> </w:t>
      </w:r>
      <w:r w:rsidR="00194508" w:rsidRPr="003101A0">
        <w:rPr>
          <w:rFonts w:ascii="Times New Roman" w:hAnsi="Times New Roman" w:cs="Times New Roman"/>
          <w:sz w:val="24"/>
          <w:szCs w:val="24"/>
          <w:lang w:val="en-US"/>
        </w:rPr>
        <w:t>(Green, 1984; Brennan and Kraus, 1987; Brennan and Schwartz, 1988</w:t>
      </w:r>
      <w:r w:rsidR="0061328F" w:rsidRPr="003101A0">
        <w:rPr>
          <w:rFonts w:ascii="Times New Roman" w:hAnsi="Times New Roman" w:cs="Times New Roman"/>
          <w:sz w:val="24"/>
          <w:szCs w:val="24"/>
          <w:lang w:val="en-US"/>
        </w:rPr>
        <w:t xml:space="preserve">; Stein, 1992; </w:t>
      </w:r>
      <w:proofErr w:type="spellStart"/>
      <w:r w:rsidR="0061328F" w:rsidRPr="003101A0">
        <w:rPr>
          <w:rFonts w:ascii="Times New Roman" w:hAnsi="Times New Roman" w:cs="Times New Roman"/>
          <w:sz w:val="24"/>
          <w:szCs w:val="24"/>
          <w:lang w:val="en-US"/>
        </w:rPr>
        <w:t>Mayers</w:t>
      </w:r>
      <w:proofErr w:type="spellEnd"/>
      <w:r w:rsidR="0061328F" w:rsidRPr="003101A0">
        <w:rPr>
          <w:rFonts w:ascii="Times New Roman" w:hAnsi="Times New Roman" w:cs="Times New Roman"/>
          <w:sz w:val="24"/>
          <w:szCs w:val="24"/>
          <w:lang w:val="en-US"/>
        </w:rPr>
        <w:t xml:space="preserve">, 1998; </w:t>
      </w:r>
      <w:proofErr w:type="spellStart"/>
      <w:r w:rsidR="0061328F" w:rsidRPr="003101A0">
        <w:rPr>
          <w:rFonts w:ascii="Times New Roman" w:hAnsi="Times New Roman" w:cs="Times New Roman"/>
          <w:sz w:val="24"/>
          <w:szCs w:val="24"/>
          <w:lang w:val="en-US"/>
        </w:rPr>
        <w:t>Lyandres</w:t>
      </w:r>
      <w:proofErr w:type="spellEnd"/>
      <w:r w:rsidR="0061328F" w:rsidRPr="003101A0">
        <w:rPr>
          <w:rFonts w:ascii="Times New Roman" w:hAnsi="Times New Roman" w:cs="Times New Roman"/>
          <w:sz w:val="24"/>
          <w:szCs w:val="24"/>
          <w:lang w:val="en-US"/>
        </w:rPr>
        <w:t xml:space="preserve"> and Zhdanov, 2014</w:t>
      </w:r>
      <w:r w:rsidR="005B0751" w:rsidRPr="003101A0">
        <w:rPr>
          <w:rFonts w:ascii="Times New Roman" w:hAnsi="Times New Roman" w:cs="Times New Roman"/>
          <w:sz w:val="24"/>
          <w:szCs w:val="24"/>
          <w:lang w:val="en-US"/>
        </w:rPr>
        <w:t>)</w:t>
      </w:r>
      <w:r w:rsidR="00092DB3" w:rsidRPr="003101A0">
        <w:rPr>
          <w:rFonts w:ascii="Times New Roman" w:hAnsi="Times New Roman" w:cs="Times New Roman"/>
          <w:sz w:val="24"/>
          <w:szCs w:val="24"/>
          <w:lang w:val="en-US"/>
        </w:rPr>
        <w:t>.</w:t>
      </w:r>
      <w:r w:rsidR="005B0751" w:rsidRPr="003101A0">
        <w:rPr>
          <w:rFonts w:ascii="Times New Roman" w:hAnsi="Times New Roman" w:cs="Times New Roman"/>
          <w:sz w:val="24"/>
          <w:szCs w:val="24"/>
          <w:lang w:val="en-US"/>
        </w:rPr>
        <w:t xml:space="preserve"> </w:t>
      </w:r>
      <w:r w:rsidR="00F9266E" w:rsidRPr="003101A0">
        <w:rPr>
          <w:rFonts w:ascii="Times New Roman" w:hAnsi="Times New Roman" w:cs="Times New Roman"/>
          <w:sz w:val="24"/>
          <w:szCs w:val="24"/>
          <w:lang w:val="en-US"/>
        </w:rPr>
        <w:t>Drawing from these two strands of literature, we</w:t>
      </w:r>
      <w:r w:rsidR="00E2532C" w:rsidRPr="003101A0">
        <w:rPr>
          <w:rFonts w:ascii="Times New Roman" w:hAnsi="Times New Roman" w:cs="Times New Roman"/>
          <w:sz w:val="24"/>
          <w:szCs w:val="24"/>
          <w:lang w:val="en-US"/>
        </w:rPr>
        <w:t xml:space="preserve"> </w:t>
      </w:r>
      <w:r w:rsidR="005B0751" w:rsidRPr="003101A0">
        <w:rPr>
          <w:rFonts w:ascii="Times New Roman" w:hAnsi="Times New Roman" w:cs="Times New Roman"/>
          <w:sz w:val="24"/>
          <w:szCs w:val="24"/>
          <w:lang w:val="en-US"/>
        </w:rPr>
        <w:t>hypothesize</w:t>
      </w:r>
      <w:r w:rsidR="0061328F" w:rsidRPr="003101A0">
        <w:rPr>
          <w:rFonts w:ascii="Times New Roman" w:hAnsi="Times New Roman" w:cs="Times New Roman"/>
          <w:sz w:val="24"/>
          <w:szCs w:val="24"/>
          <w:lang w:val="en-US"/>
        </w:rPr>
        <w:t xml:space="preserve"> that </w:t>
      </w:r>
      <w:r w:rsidR="00A01005" w:rsidRPr="003101A0">
        <w:rPr>
          <w:rFonts w:ascii="Times New Roman" w:hAnsi="Times New Roman" w:cs="Times New Roman"/>
          <w:sz w:val="24"/>
          <w:szCs w:val="24"/>
          <w:lang w:val="en-US"/>
        </w:rPr>
        <w:t xml:space="preserve">firms use </w:t>
      </w:r>
      <w:r w:rsidR="00305941" w:rsidRPr="003101A0">
        <w:rPr>
          <w:rFonts w:ascii="Times New Roman" w:hAnsi="Times New Roman" w:cs="Times New Roman"/>
          <w:sz w:val="24"/>
          <w:szCs w:val="24"/>
          <w:lang w:val="en-US"/>
        </w:rPr>
        <w:t xml:space="preserve">a conversion option </w:t>
      </w:r>
      <w:r w:rsidR="005A3785" w:rsidRPr="003101A0">
        <w:rPr>
          <w:rFonts w:ascii="Times New Roman" w:hAnsi="Times New Roman" w:cs="Times New Roman"/>
          <w:sz w:val="24"/>
          <w:szCs w:val="24"/>
          <w:lang w:val="en-US"/>
        </w:rPr>
        <w:t>and covenants</w:t>
      </w:r>
      <w:r w:rsidR="00A01005" w:rsidRPr="003101A0">
        <w:rPr>
          <w:rFonts w:ascii="Times New Roman" w:hAnsi="Times New Roman" w:cs="Times New Roman"/>
          <w:sz w:val="24"/>
          <w:szCs w:val="24"/>
          <w:lang w:val="en-US"/>
        </w:rPr>
        <w:t xml:space="preserve"> as</w:t>
      </w:r>
      <w:r w:rsidR="001810C1" w:rsidRPr="003101A0">
        <w:rPr>
          <w:rFonts w:ascii="Times New Roman" w:hAnsi="Times New Roman" w:cs="Times New Roman"/>
          <w:sz w:val="24"/>
          <w:szCs w:val="24"/>
          <w:lang w:val="en-US"/>
        </w:rPr>
        <w:t xml:space="preserve"> substitute</w:t>
      </w:r>
      <w:r w:rsidR="00305941" w:rsidRPr="003101A0">
        <w:rPr>
          <w:rFonts w:ascii="Times New Roman" w:hAnsi="Times New Roman" w:cs="Times New Roman"/>
          <w:sz w:val="24"/>
          <w:szCs w:val="24"/>
          <w:lang w:val="en-US"/>
        </w:rPr>
        <w:t xml:space="preserve"> mechanisms</w:t>
      </w:r>
      <w:r w:rsidR="001810C1" w:rsidRPr="003101A0">
        <w:rPr>
          <w:rFonts w:ascii="Times New Roman" w:hAnsi="Times New Roman" w:cs="Times New Roman"/>
          <w:sz w:val="24"/>
          <w:szCs w:val="24"/>
          <w:lang w:val="en-US"/>
        </w:rPr>
        <w:t xml:space="preserve"> </w:t>
      </w:r>
      <w:r w:rsidR="00D23E0E" w:rsidRPr="003101A0">
        <w:rPr>
          <w:rFonts w:ascii="Times New Roman" w:hAnsi="Times New Roman" w:cs="Times New Roman"/>
          <w:sz w:val="24"/>
          <w:szCs w:val="24"/>
          <w:lang w:val="en-US"/>
        </w:rPr>
        <w:t>to</w:t>
      </w:r>
      <w:r w:rsidR="001810C1" w:rsidRPr="003101A0">
        <w:rPr>
          <w:rFonts w:ascii="Times New Roman" w:hAnsi="Times New Roman" w:cs="Times New Roman"/>
          <w:sz w:val="24"/>
          <w:szCs w:val="24"/>
          <w:lang w:val="en-US"/>
        </w:rPr>
        <w:t xml:space="preserve"> </w:t>
      </w:r>
      <w:r w:rsidR="008671A7" w:rsidRPr="003101A0">
        <w:rPr>
          <w:rFonts w:ascii="Times New Roman" w:hAnsi="Times New Roman" w:cs="Times New Roman"/>
          <w:sz w:val="24"/>
          <w:szCs w:val="24"/>
          <w:lang w:val="en-US"/>
        </w:rPr>
        <w:t>mitigat</w:t>
      </w:r>
      <w:r w:rsidR="00D23E0E" w:rsidRPr="003101A0">
        <w:rPr>
          <w:rFonts w:ascii="Times New Roman" w:hAnsi="Times New Roman" w:cs="Times New Roman"/>
          <w:sz w:val="24"/>
          <w:szCs w:val="24"/>
          <w:lang w:val="en-US"/>
        </w:rPr>
        <w:t>e</w:t>
      </w:r>
      <w:r w:rsidR="008671A7" w:rsidRPr="003101A0">
        <w:rPr>
          <w:rFonts w:ascii="Times New Roman" w:hAnsi="Times New Roman" w:cs="Times New Roman"/>
          <w:sz w:val="24"/>
          <w:szCs w:val="24"/>
          <w:lang w:val="en-US"/>
        </w:rPr>
        <w:t xml:space="preserve"> </w:t>
      </w:r>
      <w:r w:rsidR="00A337ED" w:rsidRPr="003101A0">
        <w:rPr>
          <w:rFonts w:ascii="Times New Roman" w:hAnsi="Times New Roman" w:cs="Times New Roman"/>
          <w:sz w:val="24"/>
          <w:szCs w:val="24"/>
          <w:lang w:val="en-US"/>
        </w:rPr>
        <w:t xml:space="preserve">costs associated with straight </w:t>
      </w:r>
      <w:r w:rsidR="00932F0D" w:rsidRPr="003101A0">
        <w:rPr>
          <w:rFonts w:ascii="Times New Roman" w:hAnsi="Times New Roman" w:cs="Times New Roman"/>
          <w:sz w:val="24"/>
          <w:szCs w:val="24"/>
          <w:lang w:val="en-US"/>
        </w:rPr>
        <w:t xml:space="preserve">bond </w:t>
      </w:r>
      <w:r w:rsidR="00A337ED" w:rsidRPr="003101A0">
        <w:rPr>
          <w:rFonts w:ascii="Times New Roman" w:hAnsi="Times New Roman" w:cs="Times New Roman"/>
          <w:sz w:val="24"/>
          <w:szCs w:val="24"/>
          <w:lang w:val="en-US"/>
        </w:rPr>
        <w:t>financing</w:t>
      </w:r>
      <w:r w:rsidR="005B0751" w:rsidRPr="003101A0">
        <w:rPr>
          <w:rFonts w:ascii="Times New Roman" w:hAnsi="Times New Roman" w:cs="Times New Roman"/>
          <w:sz w:val="24"/>
          <w:szCs w:val="24"/>
          <w:lang w:val="en-US"/>
        </w:rPr>
        <w:t>.</w:t>
      </w:r>
      <w:r w:rsidR="00F74FC4" w:rsidRPr="003101A0">
        <w:rPr>
          <w:rStyle w:val="FootnoteReference"/>
          <w:rFonts w:ascii="Times New Roman" w:hAnsi="Times New Roman" w:cs="Times New Roman"/>
          <w:sz w:val="24"/>
          <w:szCs w:val="24"/>
          <w:lang w:val="en-US"/>
        </w:rPr>
        <w:footnoteReference w:id="3"/>
      </w:r>
      <w:r w:rsidR="005B0751" w:rsidRPr="003101A0">
        <w:rPr>
          <w:rFonts w:ascii="Times New Roman" w:hAnsi="Times New Roman" w:cs="Times New Roman"/>
          <w:sz w:val="24"/>
          <w:szCs w:val="24"/>
          <w:lang w:val="en-US"/>
        </w:rPr>
        <w:t xml:space="preserve"> </w:t>
      </w:r>
      <w:r w:rsidR="00925DA3" w:rsidRPr="003101A0">
        <w:rPr>
          <w:rFonts w:ascii="Times New Roman" w:hAnsi="Times New Roman" w:cs="Times New Roman"/>
          <w:sz w:val="24"/>
          <w:szCs w:val="24"/>
          <w:lang w:val="en-US"/>
        </w:rPr>
        <w:t xml:space="preserve">This substitution </w:t>
      </w:r>
      <w:r w:rsidR="002B0564" w:rsidRPr="003101A0">
        <w:rPr>
          <w:rFonts w:ascii="Times New Roman" w:hAnsi="Times New Roman" w:cs="Times New Roman"/>
          <w:sz w:val="24"/>
          <w:szCs w:val="24"/>
          <w:lang w:val="en-US"/>
        </w:rPr>
        <w:t>rationale</w:t>
      </w:r>
      <w:r w:rsidR="00925DA3" w:rsidRPr="003101A0">
        <w:rPr>
          <w:rFonts w:ascii="Times New Roman" w:hAnsi="Times New Roman" w:cs="Times New Roman"/>
          <w:sz w:val="24"/>
          <w:szCs w:val="24"/>
          <w:lang w:val="en-US"/>
        </w:rPr>
        <w:t xml:space="preserve"> yields </w:t>
      </w:r>
      <w:r w:rsidR="002B0564" w:rsidRPr="003101A0">
        <w:rPr>
          <w:rFonts w:ascii="Times New Roman" w:hAnsi="Times New Roman" w:cs="Times New Roman"/>
          <w:sz w:val="24"/>
          <w:szCs w:val="24"/>
          <w:lang w:val="en-US"/>
        </w:rPr>
        <w:t xml:space="preserve">two </w:t>
      </w:r>
      <w:r w:rsidR="002B0564" w:rsidRPr="003101A0">
        <w:rPr>
          <w:rFonts w:ascii="Times New Roman" w:hAnsi="Times New Roman" w:cs="Times New Roman"/>
          <w:sz w:val="24"/>
          <w:szCs w:val="24"/>
          <w:lang w:val="en-US"/>
        </w:rPr>
        <w:lastRenderedPageBreak/>
        <w:t>testable predictions. Firstly, it implies</w:t>
      </w:r>
      <w:r w:rsidR="00925DA3" w:rsidRPr="003101A0">
        <w:rPr>
          <w:rFonts w:ascii="Times New Roman" w:hAnsi="Times New Roman" w:cs="Times New Roman"/>
          <w:sz w:val="24"/>
          <w:szCs w:val="24"/>
          <w:lang w:val="en-US"/>
        </w:rPr>
        <w:t xml:space="preserve"> that we should observe </w:t>
      </w:r>
      <w:r w:rsidR="004D64D4" w:rsidRPr="003101A0">
        <w:rPr>
          <w:rFonts w:ascii="Times New Roman" w:hAnsi="Times New Roman" w:cs="Times New Roman"/>
          <w:sz w:val="24"/>
          <w:szCs w:val="24"/>
          <w:lang w:val="en-US"/>
        </w:rPr>
        <w:t>a lower covenant intensity</w:t>
      </w:r>
      <w:r w:rsidR="00925DA3" w:rsidRPr="003101A0">
        <w:rPr>
          <w:rFonts w:ascii="Times New Roman" w:hAnsi="Times New Roman" w:cs="Times New Roman"/>
          <w:sz w:val="24"/>
          <w:szCs w:val="24"/>
          <w:lang w:val="en-US"/>
        </w:rPr>
        <w:t xml:space="preserve"> for convertible bonds </w:t>
      </w:r>
      <w:r w:rsidR="00D23E0E" w:rsidRPr="003101A0">
        <w:rPr>
          <w:rFonts w:ascii="Times New Roman" w:hAnsi="Times New Roman" w:cs="Times New Roman"/>
          <w:sz w:val="24"/>
          <w:szCs w:val="24"/>
          <w:lang w:val="en-US"/>
        </w:rPr>
        <w:t>than for</w:t>
      </w:r>
      <w:r w:rsidR="00925DA3" w:rsidRPr="003101A0">
        <w:rPr>
          <w:rFonts w:ascii="Times New Roman" w:hAnsi="Times New Roman" w:cs="Times New Roman"/>
          <w:sz w:val="24"/>
          <w:szCs w:val="24"/>
          <w:lang w:val="en-US"/>
        </w:rPr>
        <w:t xml:space="preserve"> straight bonds</w:t>
      </w:r>
      <w:r w:rsidR="002B0564" w:rsidRPr="003101A0">
        <w:rPr>
          <w:rFonts w:ascii="Times New Roman" w:hAnsi="Times New Roman" w:cs="Times New Roman"/>
          <w:sz w:val="24"/>
          <w:szCs w:val="24"/>
          <w:lang w:val="en-US"/>
        </w:rPr>
        <w:t xml:space="preserve"> (</w:t>
      </w:r>
      <w:r w:rsidR="002B0564" w:rsidRPr="003101A0">
        <w:rPr>
          <w:rFonts w:ascii="Times New Roman" w:hAnsi="Times New Roman" w:cs="Times New Roman"/>
          <w:i/>
          <w:iCs/>
          <w:sz w:val="24"/>
          <w:szCs w:val="24"/>
          <w:lang w:val="en-US"/>
        </w:rPr>
        <w:t>P</w:t>
      </w:r>
      <w:r w:rsidR="002B0564" w:rsidRPr="003101A0">
        <w:rPr>
          <w:rFonts w:ascii="Times New Roman" w:hAnsi="Times New Roman" w:cs="Times New Roman"/>
          <w:i/>
          <w:iCs/>
          <w:sz w:val="24"/>
          <w:szCs w:val="24"/>
          <w:vertAlign w:val="subscript"/>
          <w:lang w:val="en-US"/>
        </w:rPr>
        <w:t>1</w:t>
      </w:r>
      <w:r w:rsidR="002B0564" w:rsidRPr="003101A0">
        <w:rPr>
          <w:rFonts w:ascii="Times New Roman" w:hAnsi="Times New Roman" w:cs="Times New Roman"/>
          <w:sz w:val="24"/>
          <w:szCs w:val="24"/>
          <w:lang w:val="en-US"/>
        </w:rPr>
        <w:t>). Secondly,</w:t>
      </w:r>
      <w:r w:rsidR="00925DA3" w:rsidRPr="003101A0">
        <w:rPr>
          <w:rFonts w:ascii="Times New Roman" w:hAnsi="Times New Roman" w:cs="Times New Roman"/>
          <w:sz w:val="24"/>
          <w:szCs w:val="24"/>
          <w:lang w:val="en-US"/>
        </w:rPr>
        <w:t xml:space="preserve"> </w:t>
      </w:r>
      <w:r w:rsidR="00117BE4" w:rsidRPr="003101A0">
        <w:rPr>
          <w:rFonts w:ascii="Times New Roman" w:hAnsi="Times New Roman" w:cs="Times New Roman"/>
          <w:sz w:val="24"/>
          <w:szCs w:val="24"/>
          <w:lang w:val="en-US"/>
        </w:rPr>
        <w:t xml:space="preserve">it implies that </w:t>
      </w:r>
      <w:r w:rsidR="00925DA3" w:rsidRPr="003101A0">
        <w:rPr>
          <w:rFonts w:ascii="Times New Roman" w:hAnsi="Times New Roman" w:cs="Times New Roman"/>
          <w:sz w:val="24"/>
          <w:szCs w:val="24"/>
          <w:lang w:val="en-US"/>
        </w:rPr>
        <w:t xml:space="preserve">covenants </w:t>
      </w:r>
      <w:r w:rsidR="002B0564" w:rsidRPr="003101A0">
        <w:rPr>
          <w:rFonts w:ascii="Times New Roman" w:hAnsi="Times New Roman" w:cs="Times New Roman"/>
          <w:sz w:val="24"/>
          <w:szCs w:val="24"/>
          <w:lang w:val="en-US"/>
        </w:rPr>
        <w:t>should</w:t>
      </w:r>
      <w:r w:rsidR="001729DE">
        <w:rPr>
          <w:rFonts w:ascii="Times New Roman" w:hAnsi="Times New Roman" w:cs="Times New Roman"/>
          <w:sz w:val="24"/>
          <w:szCs w:val="24"/>
          <w:lang w:val="en-US"/>
        </w:rPr>
        <w:t xml:space="preserve"> have a </w:t>
      </w:r>
      <w:r w:rsidR="00400283">
        <w:rPr>
          <w:rFonts w:ascii="Times New Roman" w:hAnsi="Times New Roman" w:cs="Times New Roman"/>
          <w:sz w:val="24"/>
          <w:szCs w:val="24"/>
          <w:lang w:val="en-US"/>
        </w:rPr>
        <w:t>stronger</w:t>
      </w:r>
      <w:r w:rsidR="00400283" w:rsidRPr="003101A0">
        <w:rPr>
          <w:rFonts w:ascii="Times New Roman" w:hAnsi="Times New Roman" w:cs="Times New Roman"/>
          <w:sz w:val="24"/>
          <w:szCs w:val="24"/>
          <w:lang w:val="en-US"/>
        </w:rPr>
        <w:t xml:space="preserve"> </w:t>
      </w:r>
      <w:r w:rsidR="00925DA3" w:rsidRPr="003101A0">
        <w:rPr>
          <w:rFonts w:ascii="Times New Roman" w:hAnsi="Times New Roman" w:cs="Times New Roman"/>
          <w:sz w:val="24"/>
          <w:szCs w:val="24"/>
          <w:lang w:val="en-US"/>
        </w:rPr>
        <w:t xml:space="preserve">negative impact </w:t>
      </w:r>
      <w:r w:rsidR="001729DE">
        <w:rPr>
          <w:rFonts w:ascii="Times New Roman" w:hAnsi="Times New Roman" w:cs="Times New Roman"/>
          <w:sz w:val="24"/>
          <w:szCs w:val="24"/>
          <w:lang w:val="en-US"/>
        </w:rPr>
        <w:t>on straight</w:t>
      </w:r>
      <w:r w:rsidR="00925DA3" w:rsidRPr="003101A0">
        <w:rPr>
          <w:rFonts w:ascii="Times New Roman" w:hAnsi="Times New Roman" w:cs="Times New Roman"/>
          <w:sz w:val="24"/>
          <w:szCs w:val="24"/>
          <w:lang w:val="en-US"/>
        </w:rPr>
        <w:t xml:space="preserve"> bond</w:t>
      </w:r>
      <w:r w:rsidR="00305941" w:rsidRPr="003101A0">
        <w:rPr>
          <w:rFonts w:ascii="Times New Roman" w:hAnsi="Times New Roman" w:cs="Times New Roman"/>
          <w:sz w:val="24"/>
          <w:szCs w:val="24"/>
          <w:lang w:val="en-US"/>
        </w:rPr>
        <w:t xml:space="preserve"> yields</w:t>
      </w:r>
      <w:r w:rsidR="00932F0D" w:rsidRPr="003101A0">
        <w:rPr>
          <w:rFonts w:ascii="Times New Roman" w:hAnsi="Times New Roman" w:cs="Times New Roman"/>
          <w:sz w:val="24"/>
          <w:szCs w:val="24"/>
          <w:lang w:val="en-US"/>
        </w:rPr>
        <w:t xml:space="preserve"> </w:t>
      </w:r>
      <w:r w:rsidR="001729DE">
        <w:rPr>
          <w:rFonts w:ascii="Times New Roman" w:hAnsi="Times New Roman" w:cs="Times New Roman"/>
          <w:sz w:val="24"/>
          <w:szCs w:val="24"/>
          <w:lang w:val="en-US"/>
        </w:rPr>
        <w:t>than on convertible</w:t>
      </w:r>
      <w:r w:rsidR="00925DA3" w:rsidRPr="003101A0">
        <w:rPr>
          <w:rFonts w:ascii="Times New Roman" w:hAnsi="Times New Roman" w:cs="Times New Roman"/>
          <w:sz w:val="24"/>
          <w:szCs w:val="24"/>
          <w:lang w:val="en-US"/>
        </w:rPr>
        <w:t xml:space="preserve"> bond yields</w:t>
      </w:r>
      <w:r w:rsidR="006D2D68" w:rsidRPr="003101A0">
        <w:rPr>
          <w:rFonts w:ascii="Times New Roman" w:hAnsi="Times New Roman" w:cs="Times New Roman"/>
          <w:sz w:val="24"/>
          <w:szCs w:val="24"/>
          <w:lang w:val="en-US"/>
        </w:rPr>
        <w:t xml:space="preserve"> (</w:t>
      </w:r>
      <w:r w:rsidR="006D2D68" w:rsidRPr="003101A0">
        <w:rPr>
          <w:rFonts w:ascii="Times New Roman" w:hAnsi="Times New Roman" w:cs="Times New Roman"/>
          <w:i/>
          <w:iCs/>
          <w:sz w:val="24"/>
          <w:szCs w:val="24"/>
          <w:lang w:val="en-US"/>
        </w:rPr>
        <w:t>P</w:t>
      </w:r>
      <w:r w:rsidR="006D2D68" w:rsidRPr="003101A0">
        <w:rPr>
          <w:rFonts w:ascii="Times New Roman" w:hAnsi="Times New Roman" w:cs="Times New Roman"/>
          <w:i/>
          <w:iCs/>
          <w:sz w:val="24"/>
          <w:szCs w:val="24"/>
          <w:vertAlign w:val="subscript"/>
          <w:lang w:val="en-US"/>
        </w:rPr>
        <w:t>2</w:t>
      </w:r>
      <w:r w:rsidR="006D2D68" w:rsidRPr="003101A0">
        <w:rPr>
          <w:rFonts w:ascii="Times New Roman" w:hAnsi="Times New Roman" w:cs="Times New Roman"/>
          <w:sz w:val="24"/>
          <w:szCs w:val="24"/>
          <w:lang w:val="en-US"/>
        </w:rPr>
        <w:t>)</w:t>
      </w:r>
      <w:r w:rsidR="00925DA3" w:rsidRPr="003101A0">
        <w:rPr>
          <w:rFonts w:ascii="Times New Roman" w:hAnsi="Times New Roman" w:cs="Times New Roman"/>
          <w:sz w:val="24"/>
          <w:szCs w:val="24"/>
          <w:lang w:val="en-US"/>
        </w:rPr>
        <w:t xml:space="preserve">. The </w:t>
      </w:r>
      <w:r w:rsidR="00932F0D" w:rsidRPr="003101A0">
        <w:rPr>
          <w:rFonts w:ascii="Times New Roman" w:hAnsi="Times New Roman" w:cs="Times New Roman"/>
          <w:sz w:val="24"/>
          <w:szCs w:val="24"/>
          <w:lang w:val="en-US"/>
        </w:rPr>
        <w:t xml:space="preserve">rationale for </w:t>
      </w:r>
      <w:r w:rsidR="00932F0D" w:rsidRPr="003101A0">
        <w:rPr>
          <w:rFonts w:ascii="Times New Roman" w:hAnsi="Times New Roman" w:cs="Times New Roman"/>
          <w:i/>
          <w:iCs/>
          <w:sz w:val="24"/>
          <w:szCs w:val="24"/>
          <w:lang w:val="en-US"/>
        </w:rPr>
        <w:t>P</w:t>
      </w:r>
      <w:r w:rsidR="00932F0D" w:rsidRPr="003101A0">
        <w:rPr>
          <w:rFonts w:ascii="Times New Roman" w:hAnsi="Times New Roman" w:cs="Times New Roman"/>
          <w:i/>
          <w:iCs/>
          <w:sz w:val="24"/>
          <w:szCs w:val="24"/>
          <w:vertAlign w:val="subscript"/>
          <w:lang w:val="en-US"/>
        </w:rPr>
        <w:t>2</w:t>
      </w:r>
      <w:r w:rsidR="00932F0D" w:rsidRPr="003101A0">
        <w:rPr>
          <w:rFonts w:ascii="Times New Roman" w:hAnsi="Times New Roman" w:cs="Times New Roman"/>
          <w:sz w:val="24"/>
          <w:szCs w:val="24"/>
          <w:lang w:val="en-US"/>
        </w:rPr>
        <w:t xml:space="preserve"> </w:t>
      </w:r>
      <w:r w:rsidR="00925DA3" w:rsidRPr="003101A0">
        <w:rPr>
          <w:rFonts w:ascii="Times New Roman" w:hAnsi="Times New Roman" w:cs="Times New Roman"/>
          <w:sz w:val="24"/>
          <w:szCs w:val="24"/>
          <w:lang w:val="en-US"/>
        </w:rPr>
        <w:t xml:space="preserve">is that, in the case of convertible bonds, investor concerns about debt-related financing costs should already be </w:t>
      </w:r>
      <w:r w:rsidR="00305941" w:rsidRPr="003101A0">
        <w:rPr>
          <w:rFonts w:ascii="Times New Roman" w:hAnsi="Times New Roman" w:cs="Times New Roman"/>
          <w:sz w:val="24"/>
          <w:szCs w:val="24"/>
          <w:lang w:val="en-US"/>
        </w:rPr>
        <w:t xml:space="preserve">(partly) </w:t>
      </w:r>
      <w:r w:rsidR="00925DA3" w:rsidRPr="003101A0">
        <w:rPr>
          <w:rFonts w:ascii="Times New Roman" w:hAnsi="Times New Roman" w:cs="Times New Roman"/>
          <w:sz w:val="24"/>
          <w:szCs w:val="24"/>
          <w:lang w:val="en-US"/>
        </w:rPr>
        <w:t xml:space="preserve">mitigated by the conversion option, thereby reducing covenants’ </w:t>
      </w:r>
      <w:r w:rsidR="00305941" w:rsidRPr="003101A0">
        <w:rPr>
          <w:rFonts w:ascii="Times New Roman" w:hAnsi="Times New Roman" w:cs="Times New Roman"/>
          <w:sz w:val="24"/>
          <w:szCs w:val="24"/>
          <w:lang w:val="en-US"/>
        </w:rPr>
        <w:t>incremental advantages in</w:t>
      </w:r>
      <w:r w:rsidR="00925DA3" w:rsidRPr="003101A0">
        <w:rPr>
          <w:rFonts w:ascii="Times New Roman" w:hAnsi="Times New Roman" w:cs="Times New Roman"/>
          <w:sz w:val="24"/>
          <w:szCs w:val="24"/>
          <w:lang w:val="en-US"/>
        </w:rPr>
        <w:t xml:space="preserve"> reduc</w:t>
      </w:r>
      <w:r w:rsidR="00305941" w:rsidRPr="003101A0">
        <w:rPr>
          <w:rFonts w:ascii="Times New Roman" w:hAnsi="Times New Roman" w:cs="Times New Roman"/>
          <w:sz w:val="24"/>
          <w:szCs w:val="24"/>
          <w:lang w:val="en-US"/>
        </w:rPr>
        <w:t>ing</w:t>
      </w:r>
      <w:r w:rsidR="00925DA3" w:rsidRPr="003101A0">
        <w:rPr>
          <w:rFonts w:ascii="Times New Roman" w:hAnsi="Times New Roman" w:cs="Times New Roman"/>
          <w:sz w:val="24"/>
          <w:szCs w:val="24"/>
          <w:lang w:val="en-US"/>
        </w:rPr>
        <w:t xml:space="preserve"> required yields. </w:t>
      </w:r>
    </w:p>
    <w:p w14:paraId="51197412" w14:textId="39FABF59" w:rsidR="000A287F" w:rsidRPr="003101A0" w:rsidRDefault="00E2532C" w:rsidP="00811B7D">
      <w:pPr>
        <w:spacing w:after="0" w:line="480" w:lineRule="auto"/>
        <w:ind w:firstLine="426"/>
        <w:jc w:val="both"/>
        <w:rPr>
          <w:rFonts w:ascii="Times New Roman" w:hAnsi="Times New Roman" w:cs="Times New Roman"/>
          <w:sz w:val="24"/>
          <w:szCs w:val="24"/>
          <w:lang w:val="en-US" w:eastAsia="zh-CN"/>
        </w:rPr>
      </w:pPr>
      <w:r w:rsidRPr="003101A0">
        <w:rPr>
          <w:rFonts w:ascii="Times New Roman" w:hAnsi="Times New Roman" w:cs="Times New Roman"/>
          <w:sz w:val="24"/>
          <w:szCs w:val="24"/>
          <w:lang w:val="en-US"/>
        </w:rPr>
        <w:t xml:space="preserve">We </w:t>
      </w:r>
      <w:r w:rsidR="00A01005" w:rsidRPr="003101A0">
        <w:rPr>
          <w:rFonts w:ascii="Times New Roman" w:hAnsi="Times New Roman" w:cs="Times New Roman"/>
          <w:sz w:val="24"/>
          <w:szCs w:val="24"/>
          <w:lang w:val="en-US"/>
        </w:rPr>
        <w:t xml:space="preserve">empirically </w:t>
      </w:r>
      <w:r w:rsidR="001B4C5A" w:rsidRPr="003101A0">
        <w:rPr>
          <w:rFonts w:ascii="Times New Roman" w:hAnsi="Times New Roman" w:cs="Times New Roman"/>
          <w:sz w:val="24"/>
          <w:szCs w:val="24"/>
          <w:lang w:val="en-US"/>
        </w:rPr>
        <w:t>examine these</w:t>
      </w:r>
      <w:r w:rsidR="002B0564" w:rsidRPr="003101A0">
        <w:rPr>
          <w:rFonts w:ascii="Times New Roman" w:hAnsi="Times New Roman" w:cs="Times New Roman"/>
          <w:sz w:val="24"/>
          <w:szCs w:val="24"/>
          <w:lang w:val="en-US"/>
        </w:rPr>
        <w:t xml:space="preserve"> </w:t>
      </w:r>
      <w:r w:rsidR="005F0675">
        <w:rPr>
          <w:rFonts w:ascii="Times New Roman" w:hAnsi="Times New Roman" w:cs="Times New Roman"/>
          <w:sz w:val="24"/>
          <w:szCs w:val="24"/>
          <w:lang w:val="en-US"/>
        </w:rPr>
        <w:t>two</w:t>
      </w:r>
      <w:r w:rsidR="005F0675" w:rsidRPr="003101A0">
        <w:rPr>
          <w:rFonts w:ascii="Times New Roman" w:hAnsi="Times New Roman" w:cs="Times New Roman"/>
          <w:sz w:val="24"/>
          <w:szCs w:val="24"/>
          <w:lang w:val="en-US"/>
        </w:rPr>
        <w:t xml:space="preserve"> </w:t>
      </w:r>
      <w:r w:rsidR="002B0564" w:rsidRPr="003101A0">
        <w:rPr>
          <w:rFonts w:ascii="Times New Roman" w:hAnsi="Times New Roman" w:cs="Times New Roman"/>
          <w:sz w:val="24"/>
          <w:szCs w:val="24"/>
          <w:lang w:val="en-US"/>
        </w:rPr>
        <w:t>predictions</w:t>
      </w:r>
      <w:r w:rsidR="001B4C5A" w:rsidRPr="003101A0">
        <w:rPr>
          <w:rFonts w:ascii="Times New Roman" w:hAnsi="Times New Roman" w:cs="Times New Roman"/>
          <w:sz w:val="24"/>
          <w:szCs w:val="24"/>
          <w:lang w:val="en-US"/>
        </w:rPr>
        <w:t xml:space="preserve"> using a data set of </w:t>
      </w:r>
      <w:r w:rsidR="00830DEC" w:rsidRPr="003101A0">
        <w:rPr>
          <w:rFonts w:ascii="Times New Roman" w:hAnsi="Times New Roman" w:cs="Times New Roman"/>
          <w:sz w:val="24"/>
          <w:szCs w:val="24"/>
          <w:lang w:val="en-US"/>
        </w:rPr>
        <w:t>2,097</w:t>
      </w:r>
      <w:r w:rsidR="00695082" w:rsidRPr="003101A0">
        <w:rPr>
          <w:rFonts w:ascii="Times New Roman" w:hAnsi="Times New Roman" w:cs="Times New Roman"/>
          <w:sz w:val="24"/>
          <w:szCs w:val="24"/>
          <w:lang w:val="en-US"/>
        </w:rPr>
        <w:t xml:space="preserve"> </w:t>
      </w:r>
      <w:r w:rsidR="00830DEC" w:rsidRPr="003101A0">
        <w:rPr>
          <w:rFonts w:ascii="Times New Roman" w:hAnsi="Times New Roman" w:cs="Times New Roman"/>
          <w:sz w:val="24"/>
          <w:szCs w:val="24"/>
          <w:lang w:val="en-US"/>
        </w:rPr>
        <w:t>convertible</w:t>
      </w:r>
      <w:r w:rsidR="001B4C5A" w:rsidRPr="003101A0">
        <w:rPr>
          <w:rFonts w:ascii="Times New Roman" w:hAnsi="Times New Roman" w:cs="Times New Roman"/>
          <w:sz w:val="24"/>
          <w:szCs w:val="24"/>
          <w:lang w:val="en-US"/>
        </w:rPr>
        <w:t xml:space="preserve"> and </w:t>
      </w:r>
      <w:r w:rsidR="00830DEC" w:rsidRPr="003101A0">
        <w:rPr>
          <w:rFonts w:ascii="Times New Roman" w:hAnsi="Times New Roman" w:cs="Times New Roman"/>
          <w:sz w:val="24"/>
          <w:szCs w:val="24"/>
          <w:lang w:val="en-US"/>
        </w:rPr>
        <w:t>9,011</w:t>
      </w:r>
      <w:r w:rsidR="001B4C5A" w:rsidRPr="003101A0">
        <w:rPr>
          <w:rFonts w:ascii="Times New Roman" w:hAnsi="Times New Roman" w:cs="Times New Roman"/>
          <w:sz w:val="24"/>
          <w:szCs w:val="24"/>
          <w:lang w:val="en-US"/>
        </w:rPr>
        <w:t xml:space="preserve"> </w:t>
      </w:r>
      <w:r w:rsidR="00830DEC" w:rsidRPr="003101A0">
        <w:rPr>
          <w:rFonts w:ascii="Times New Roman" w:hAnsi="Times New Roman" w:cs="Times New Roman"/>
          <w:sz w:val="24"/>
          <w:szCs w:val="24"/>
          <w:lang w:val="en-US"/>
        </w:rPr>
        <w:t xml:space="preserve">straight </w:t>
      </w:r>
      <w:r w:rsidR="001B4C5A" w:rsidRPr="003101A0">
        <w:rPr>
          <w:rFonts w:ascii="Times New Roman" w:hAnsi="Times New Roman" w:cs="Times New Roman"/>
          <w:sz w:val="24"/>
          <w:szCs w:val="24"/>
          <w:lang w:val="en-US"/>
        </w:rPr>
        <w:t xml:space="preserve">bond offerings made by U.S. </w:t>
      </w:r>
      <w:r w:rsidR="00BB48C0">
        <w:rPr>
          <w:rFonts w:ascii="Times New Roman" w:hAnsi="Times New Roman" w:cs="Times New Roman"/>
          <w:sz w:val="24"/>
          <w:szCs w:val="24"/>
          <w:lang w:val="en-US"/>
        </w:rPr>
        <w:t xml:space="preserve">non-utility, </w:t>
      </w:r>
      <w:r w:rsidR="002F025A" w:rsidRPr="003101A0">
        <w:rPr>
          <w:rFonts w:ascii="Times New Roman" w:hAnsi="Times New Roman" w:cs="Times New Roman"/>
          <w:sz w:val="24"/>
          <w:szCs w:val="24"/>
          <w:lang w:val="en-US"/>
        </w:rPr>
        <w:t>non</w:t>
      </w:r>
      <w:r w:rsidR="00BB48C0">
        <w:rPr>
          <w:rFonts w:ascii="Times New Roman" w:hAnsi="Times New Roman" w:cs="Times New Roman"/>
          <w:sz w:val="24"/>
          <w:szCs w:val="24"/>
          <w:lang w:val="en-US"/>
        </w:rPr>
        <w:t>-</w:t>
      </w:r>
      <w:r w:rsidR="002F025A" w:rsidRPr="003101A0">
        <w:rPr>
          <w:rFonts w:ascii="Times New Roman" w:hAnsi="Times New Roman" w:cs="Times New Roman"/>
          <w:sz w:val="24"/>
          <w:szCs w:val="24"/>
          <w:lang w:val="en-US"/>
        </w:rPr>
        <w:t xml:space="preserve">financial </w:t>
      </w:r>
      <w:r w:rsidR="004D64D4" w:rsidRPr="003101A0">
        <w:rPr>
          <w:rFonts w:ascii="Times New Roman" w:hAnsi="Times New Roman" w:cs="Times New Roman"/>
          <w:sz w:val="24"/>
          <w:szCs w:val="24"/>
          <w:lang w:val="en-US"/>
        </w:rPr>
        <w:t xml:space="preserve">firms </w:t>
      </w:r>
      <w:r w:rsidR="001B4C5A" w:rsidRPr="003101A0">
        <w:rPr>
          <w:rFonts w:ascii="Times New Roman" w:hAnsi="Times New Roman" w:cs="Times New Roman"/>
          <w:sz w:val="24"/>
          <w:szCs w:val="24"/>
          <w:lang w:val="en-US"/>
        </w:rPr>
        <w:t>between 1989 and 20</w:t>
      </w:r>
      <w:r w:rsidR="00F74FC4" w:rsidRPr="003101A0">
        <w:rPr>
          <w:rFonts w:ascii="Times New Roman" w:hAnsi="Times New Roman" w:cs="Times New Roman"/>
          <w:sz w:val="24"/>
          <w:szCs w:val="24"/>
          <w:lang w:val="en-US"/>
        </w:rPr>
        <w:t>2</w:t>
      </w:r>
      <w:r w:rsidR="00B47EEF" w:rsidRPr="003101A0">
        <w:rPr>
          <w:rFonts w:ascii="Times New Roman" w:hAnsi="Times New Roman" w:cs="Times New Roman"/>
          <w:sz w:val="24"/>
          <w:szCs w:val="24"/>
          <w:lang w:val="en-US"/>
        </w:rPr>
        <w:t xml:space="preserve">0. We obtain bond offering and covenant information from the </w:t>
      </w:r>
      <w:proofErr w:type="spellStart"/>
      <w:r w:rsidR="00B47EEF" w:rsidRPr="003101A0">
        <w:rPr>
          <w:rFonts w:ascii="Times New Roman" w:hAnsi="Times New Roman" w:cs="Times New Roman"/>
          <w:sz w:val="24"/>
          <w:szCs w:val="24"/>
          <w:lang w:val="en-US"/>
        </w:rPr>
        <w:t>Mergent</w:t>
      </w:r>
      <w:proofErr w:type="spellEnd"/>
      <w:r w:rsidR="00B47EEF" w:rsidRPr="003101A0">
        <w:rPr>
          <w:rFonts w:ascii="Times New Roman" w:hAnsi="Times New Roman" w:cs="Times New Roman"/>
          <w:sz w:val="24"/>
          <w:szCs w:val="24"/>
          <w:lang w:val="en-US"/>
        </w:rPr>
        <w:t xml:space="preserve"> Fixed Investment Securities Database (</w:t>
      </w:r>
      <w:r w:rsidR="00F17857">
        <w:rPr>
          <w:rFonts w:ascii="Times New Roman" w:hAnsi="Times New Roman" w:cs="Times New Roman"/>
          <w:sz w:val="24"/>
          <w:szCs w:val="24"/>
          <w:lang w:val="en-US"/>
        </w:rPr>
        <w:t xml:space="preserve">henceforth, </w:t>
      </w:r>
      <w:proofErr w:type="spellStart"/>
      <w:r w:rsidR="00F17857">
        <w:rPr>
          <w:rFonts w:ascii="Times New Roman" w:hAnsi="Times New Roman" w:cs="Times New Roman"/>
          <w:sz w:val="24"/>
          <w:szCs w:val="24"/>
          <w:lang w:val="en-US"/>
        </w:rPr>
        <w:t>Mergent</w:t>
      </w:r>
      <w:proofErr w:type="spellEnd"/>
      <w:r w:rsidR="00F17857">
        <w:rPr>
          <w:rFonts w:ascii="Times New Roman" w:hAnsi="Times New Roman" w:cs="Times New Roman"/>
          <w:sz w:val="24"/>
          <w:szCs w:val="24"/>
          <w:lang w:val="en-US"/>
        </w:rPr>
        <w:t xml:space="preserve"> </w:t>
      </w:r>
      <w:r w:rsidR="00B47EEF" w:rsidRPr="003101A0">
        <w:rPr>
          <w:rFonts w:ascii="Times New Roman" w:hAnsi="Times New Roman" w:cs="Times New Roman"/>
          <w:sz w:val="24"/>
          <w:szCs w:val="24"/>
          <w:lang w:val="en-US"/>
        </w:rPr>
        <w:t>FISD)</w:t>
      </w:r>
      <w:r w:rsidR="00A01005" w:rsidRPr="003101A0">
        <w:rPr>
          <w:rFonts w:ascii="Times New Roman" w:hAnsi="Times New Roman" w:cs="Times New Roman"/>
          <w:sz w:val="24"/>
          <w:szCs w:val="24"/>
          <w:lang w:val="en-US"/>
        </w:rPr>
        <w:t xml:space="preserve">. </w:t>
      </w:r>
      <w:r w:rsidR="00EF0897" w:rsidRPr="003101A0">
        <w:rPr>
          <w:rFonts w:ascii="Times New Roman" w:hAnsi="Times New Roman" w:cs="Times New Roman"/>
          <w:sz w:val="24"/>
          <w:szCs w:val="24"/>
          <w:lang w:val="en-US"/>
        </w:rPr>
        <w:t>Employing</w:t>
      </w:r>
      <w:r w:rsidR="00F71908" w:rsidRPr="003101A0">
        <w:rPr>
          <w:rFonts w:ascii="Times New Roman" w:hAnsi="Times New Roman" w:cs="Times New Roman"/>
          <w:sz w:val="24"/>
          <w:szCs w:val="24"/>
          <w:lang w:val="en-US"/>
        </w:rPr>
        <w:t xml:space="preserve"> a covenant intensity </w:t>
      </w:r>
      <w:r w:rsidR="00932F0D" w:rsidRPr="003101A0">
        <w:rPr>
          <w:rFonts w:ascii="Times New Roman" w:hAnsi="Times New Roman" w:cs="Times New Roman"/>
          <w:sz w:val="24"/>
          <w:szCs w:val="24"/>
          <w:lang w:val="en-US"/>
        </w:rPr>
        <w:t>index (</w:t>
      </w:r>
      <w:r w:rsidR="00932F0D" w:rsidRPr="003101A0">
        <w:rPr>
          <w:rFonts w:ascii="Times New Roman" w:hAnsi="Times New Roman" w:cs="Times New Roman"/>
          <w:i/>
          <w:iCs/>
          <w:sz w:val="24"/>
          <w:szCs w:val="24"/>
          <w:lang w:val="en-US"/>
        </w:rPr>
        <w:t>CI index</w:t>
      </w:r>
      <w:r w:rsidR="00932F0D" w:rsidRPr="003101A0">
        <w:rPr>
          <w:rFonts w:ascii="Times New Roman" w:hAnsi="Times New Roman" w:cs="Times New Roman"/>
          <w:sz w:val="24"/>
          <w:szCs w:val="24"/>
          <w:lang w:val="en-US"/>
        </w:rPr>
        <w:t xml:space="preserve">) </w:t>
      </w:r>
      <w:r w:rsidR="008962B7">
        <w:rPr>
          <w:rFonts w:ascii="Times New Roman" w:hAnsi="Times New Roman" w:cs="Times New Roman"/>
          <w:sz w:val="24"/>
          <w:szCs w:val="24"/>
          <w:lang w:val="en-US"/>
        </w:rPr>
        <w:t>resembling</w:t>
      </w:r>
      <w:r w:rsidR="00F71908" w:rsidRPr="003101A0">
        <w:rPr>
          <w:rFonts w:ascii="Times New Roman" w:hAnsi="Times New Roman" w:cs="Times New Roman"/>
          <w:sz w:val="24"/>
          <w:szCs w:val="24"/>
          <w:lang w:val="en-US"/>
        </w:rPr>
        <w:t xml:space="preserve"> </w:t>
      </w:r>
      <w:r w:rsidR="00B47EEF" w:rsidRPr="003101A0">
        <w:rPr>
          <w:rFonts w:ascii="Times New Roman" w:hAnsi="Times New Roman" w:cs="Times New Roman"/>
          <w:sz w:val="24"/>
          <w:szCs w:val="24"/>
          <w:lang w:val="en-US"/>
        </w:rPr>
        <w:t xml:space="preserve">that in </w:t>
      </w:r>
      <w:proofErr w:type="spellStart"/>
      <w:r w:rsidR="00F71908" w:rsidRPr="003101A0">
        <w:rPr>
          <w:rFonts w:ascii="Times New Roman" w:hAnsi="Times New Roman" w:cs="Times New Roman"/>
          <w:sz w:val="24"/>
          <w:szCs w:val="24"/>
          <w:lang w:val="en-US"/>
        </w:rPr>
        <w:t>Billett</w:t>
      </w:r>
      <w:proofErr w:type="spellEnd"/>
      <w:r w:rsidR="00F71908" w:rsidRPr="003101A0">
        <w:rPr>
          <w:rFonts w:ascii="Times New Roman" w:hAnsi="Times New Roman" w:cs="Times New Roman"/>
          <w:sz w:val="24"/>
          <w:szCs w:val="24"/>
          <w:lang w:val="en-US"/>
        </w:rPr>
        <w:t xml:space="preserve"> et al. (2007)</w:t>
      </w:r>
      <w:r w:rsidR="00B47EEF" w:rsidRPr="003101A0">
        <w:rPr>
          <w:rFonts w:ascii="Times New Roman" w:hAnsi="Times New Roman" w:cs="Times New Roman"/>
          <w:sz w:val="24"/>
          <w:szCs w:val="24"/>
          <w:lang w:val="en-US"/>
        </w:rPr>
        <w:t>,</w:t>
      </w:r>
      <w:r w:rsidR="00775344" w:rsidRPr="003101A0">
        <w:rPr>
          <w:rFonts w:ascii="Times New Roman" w:hAnsi="Times New Roman" w:cs="Times New Roman"/>
          <w:sz w:val="24"/>
          <w:szCs w:val="24"/>
          <w:lang w:val="en-US"/>
        </w:rPr>
        <w:t xml:space="preserve"> </w:t>
      </w:r>
      <w:r w:rsidR="00F71908" w:rsidRPr="003101A0">
        <w:rPr>
          <w:rFonts w:ascii="Times New Roman" w:hAnsi="Times New Roman" w:cs="Times New Roman"/>
          <w:sz w:val="24"/>
          <w:szCs w:val="24"/>
          <w:lang w:val="en-US"/>
        </w:rPr>
        <w:t xml:space="preserve">we find that convertible bonds have significantly fewer covenants than straight bonds. </w:t>
      </w:r>
      <w:r w:rsidR="00932F0D" w:rsidRPr="003101A0">
        <w:rPr>
          <w:rFonts w:ascii="Times New Roman" w:hAnsi="Times New Roman" w:cs="Times New Roman"/>
          <w:sz w:val="24"/>
          <w:szCs w:val="24"/>
          <w:lang w:val="en-US"/>
        </w:rPr>
        <w:t xml:space="preserve">The difference remains significant after </w:t>
      </w:r>
      <w:r w:rsidR="000A287F" w:rsidRPr="003101A0">
        <w:rPr>
          <w:rFonts w:ascii="Times New Roman" w:hAnsi="Times New Roman" w:cs="Times New Roman"/>
          <w:sz w:val="24"/>
          <w:szCs w:val="24"/>
          <w:lang w:val="en-US"/>
        </w:rPr>
        <w:t xml:space="preserve">we impose a ‘like-for-like’ condition by controlling </w:t>
      </w:r>
      <w:r w:rsidR="00932F0D" w:rsidRPr="003101A0">
        <w:rPr>
          <w:rFonts w:ascii="Times New Roman" w:hAnsi="Times New Roman" w:cs="Times New Roman"/>
          <w:sz w:val="24"/>
          <w:szCs w:val="24"/>
          <w:lang w:val="en-US"/>
        </w:rPr>
        <w:t xml:space="preserve">for </w:t>
      </w:r>
      <w:r w:rsidR="00775344" w:rsidRPr="003101A0">
        <w:rPr>
          <w:rFonts w:ascii="Times New Roman" w:hAnsi="Times New Roman" w:cs="Times New Roman"/>
          <w:sz w:val="24"/>
          <w:szCs w:val="24"/>
          <w:lang w:val="en-US"/>
        </w:rPr>
        <w:t>standard</w:t>
      </w:r>
      <w:r w:rsidR="00932F0D" w:rsidRPr="003101A0">
        <w:rPr>
          <w:rFonts w:ascii="Times New Roman" w:hAnsi="Times New Roman" w:cs="Times New Roman"/>
          <w:sz w:val="24"/>
          <w:szCs w:val="24"/>
          <w:lang w:val="en-US"/>
        </w:rPr>
        <w:t xml:space="preserve"> </w:t>
      </w:r>
      <w:r w:rsidR="000A287F" w:rsidRPr="003101A0">
        <w:rPr>
          <w:rFonts w:ascii="Times New Roman" w:hAnsi="Times New Roman" w:cs="Times New Roman"/>
          <w:sz w:val="24"/>
          <w:szCs w:val="24"/>
          <w:lang w:val="en-US"/>
        </w:rPr>
        <w:t>covenant intensity determinants</w:t>
      </w:r>
      <w:r w:rsidR="00932F0D" w:rsidRPr="003101A0">
        <w:rPr>
          <w:rFonts w:ascii="Times New Roman" w:hAnsi="Times New Roman" w:cs="Times New Roman"/>
          <w:sz w:val="24"/>
          <w:szCs w:val="24"/>
          <w:lang w:val="en-US"/>
        </w:rPr>
        <w:t xml:space="preserve"> and for firms’ self-selection into issuing convertibles instead of straight bonds. </w:t>
      </w:r>
      <w:bookmarkStart w:id="1" w:name="_Hlk122610800"/>
      <w:r w:rsidR="000A287F" w:rsidRPr="003101A0">
        <w:rPr>
          <w:rFonts w:ascii="Times New Roman" w:hAnsi="Times New Roman" w:cs="Times New Roman"/>
          <w:sz w:val="24"/>
          <w:szCs w:val="24"/>
          <w:lang w:val="en-US"/>
        </w:rPr>
        <w:t>Our regression results indicate that, all else equal,</w:t>
      </w:r>
      <w:r w:rsidR="00932F0D" w:rsidRPr="003101A0">
        <w:rPr>
          <w:rFonts w:ascii="Times New Roman" w:hAnsi="Times New Roman" w:cs="Times New Roman"/>
          <w:sz w:val="24"/>
          <w:szCs w:val="24"/>
          <w:lang w:val="en-US"/>
        </w:rPr>
        <w:t xml:space="preserve"> the </w:t>
      </w:r>
      <w:r w:rsidR="0083345C" w:rsidRPr="003101A0">
        <w:rPr>
          <w:rFonts w:ascii="Times New Roman" w:hAnsi="Times New Roman" w:cs="Times New Roman"/>
          <w:i/>
          <w:iCs/>
          <w:sz w:val="24"/>
          <w:szCs w:val="24"/>
          <w:lang w:val="en-US"/>
        </w:rPr>
        <w:t xml:space="preserve">CI </w:t>
      </w:r>
      <w:r w:rsidR="00932F0D" w:rsidRPr="003101A0">
        <w:rPr>
          <w:rFonts w:ascii="Times New Roman" w:hAnsi="Times New Roman" w:cs="Times New Roman"/>
          <w:i/>
          <w:iCs/>
          <w:sz w:val="24"/>
          <w:szCs w:val="24"/>
          <w:lang w:val="en-US"/>
        </w:rPr>
        <w:t>i</w:t>
      </w:r>
      <w:r w:rsidR="0083345C" w:rsidRPr="003101A0">
        <w:rPr>
          <w:rFonts w:ascii="Times New Roman" w:hAnsi="Times New Roman" w:cs="Times New Roman"/>
          <w:i/>
          <w:iCs/>
          <w:sz w:val="24"/>
          <w:szCs w:val="24"/>
          <w:lang w:val="en-US"/>
        </w:rPr>
        <w:t>ndex</w:t>
      </w:r>
      <w:r w:rsidR="0083345C" w:rsidRPr="003101A0">
        <w:rPr>
          <w:rFonts w:ascii="Times New Roman" w:hAnsi="Times New Roman" w:cs="Times New Roman"/>
          <w:sz w:val="24"/>
          <w:szCs w:val="24"/>
          <w:lang w:val="en-US"/>
        </w:rPr>
        <w:t xml:space="preserve"> of convertible bonds is 0.</w:t>
      </w:r>
      <w:r w:rsidR="00D67D99">
        <w:rPr>
          <w:rFonts w:ascii="Times New Roman" w:hAnsi="Times New Roman" w:cs="Times New Roman"/>
          <w:sz w:val="24"/>
          <w:szCs w:val="24"/>
          <w:lang w:val="en-US"/>
        </w:rPr>
        <w:t>214</w:t>
      </w:r>
      <w:r w:rsidR="00844187" w:rsidRPr="003101A0">
        <w:rPr>
          <w:rFonts w:ascii="Times New Roman" w:hAnsi="Times New Roman" w:cs="Times New Roman"/>
          <w:sz w:val="24"/>
          <w:szCs w:val="24"/>
          <w:lang w:val="en-US"/>
        </w:rPr>
        <w:t xml:space="preserve"> </w:t>
      </w:r>
      <w:r w:rsidR="0083345C" w:rsidRPr="003101A0">
        <w:rPr>
          <w:rFonts w:ascii="Times New Roman" w:hAnsi="Times New Roman" w:cs="Times New Roman"/>
          <w:sz w:val="24"/>
          <w:szCs w:val="24"/>
          <w:lang w:val="en-US"/>
        </w:rPr>
        <w:t xml:space="preserve">lower than that of straight bonds, </w:t>
      </w:r>
      <w:r w:rsidR="00932F0D" w:rsidRPr="003101A0">
        <w:rPr>
          <w:rFonts w:ascii="Times New Roman" w:hAnsi="Times New Roman" w:cs="Times New Roman"/>
          <w:sz w:val="24"/>
          <w:szCs w:val="24"/>
          <w:lang w:val="en-US"/>
        </w:rPr>
        <w:t>translating</w:t>
      </w:r>
      <w:r w:rsidR="00A337ED" w:rsidRPr="003101A0">
        <w:rPr>
          <w:rFonts w:ascii="Times New Roman" w:hAnsi="Times New Roman" w:cs="Times New Roman"/>
          <w:sz w:val="24"/>
          <w:szCs w:val="24"/>
          <w:lang w:val="en-US"/>
        </w:rPr>
        <w:t xml:space="preserve"> into </w:t>
      </w:r>
      <w:r w:rsidR="00775344" w:rsidRPr="003101A0">
        <w:rPr>
          <w:rFonts w:ascii="Times New Roman" w:hAnsi="Times New Roman" w:cs="Times New Roman"/>
          <w:sz w:val="24"/>
          <w:szCs w:val="24"/>
          <w:lang w:val="en-US"/>
        </w:rPr>
        <w:t>3.</w:t>
      </w:r>
      <w:r w:rsidR="00D67D99">
        <w:rPr>
          <w:rFonts w:ascii="Times New Roman" w:hAnsi="Times New Roman" w:cs="Times New Roman"/>
          <w:sz w:val="24"/>
          <w:szCs w:val="24"/>
          <w:lang w:val="en-US"/>
        </w:rPr>
        <w:t>21</w:t>
      </w:r>
      <w:r w:rsidR="00AD4501" w:rsidRPr="003101A0">
        <w:rPr>
          <w:rFonts w:ascii="Times New Roman" w:hAnsi="Times New Roman" w:cs="Times New Roman"/>
          <w:sz w:val="24"/>
          <w:szCs w:val="24"/>
          <w:lang w:val="en-US"/>
        </w:rPr>
        <w:t xml:space="preserve"> </w:t>
      </w:r>
      <w:r w:rsidR="00A337ED" w:rsidRPr="003101A0">
        <w:rPr>
          <w:rFonts w:ascii="Times New Roman" w:hAnsi="Times New Roman" w:cs="Times New Roman"/>
          <w:sz w:val="24"/>
          <w:szCs w:val="24"/>
          <w:lang w:val="en-US"/>
        </w:rPr>
        <w:t>fewer covenants</w:t>
      </w:r>
      <w:r w:rsidR="004D64D4" w:rsidRPr="003101A0">
        <w:rPr>
          <w:rFonts w:ascii="Times New Roman" w:hAnsi="Times New Roman" w:cs="Times New Roman"/>
          <w:sz w:val="24"/>
          <w:szCs w:val="24"/>
          <w:lang w:val="en-US"/>
        </w:rPr>
        <w:t xml:space="preserve"> for the </w:t>
      </w:r>
      <w:r w:rsidR="00775344" w:rsidRPr="003101A0">
        <w:rPr>
          <w:rFonts w:ascii="Times New Roman" w:hAnsi="Times New Roman" w:cs="Times New Roman"/>
          <w:sz w:val="24"/>
          <w:szCs w:val="24"/>
          <w:lang w:val="en-US"/>
        </w:rPr>
        <w:t xml:space="preserve">average </w:t>
      </w:r>
      <w:r w:rsidR="004D64D4" w:rsidRPr="003101A0">
        <w:rPr>
          <w:rFonts w:ascii="Times New Roman" w:hAnsi="Times New Roman" w:cs="Times New Roman"/>
          <w:sz w:val="24"/>
          <w:szCs w:val="24"/>
          <w:lang w:val="en-US"/>
        </w:rPr>
        <w:t xml:space="preserve">convertible compared with the </w:t>
      </w:r>
      <w:r w:rsidR="00775344" w:rsidRPr="003101A0">
        <w:rPr>
          <w:rFonts w:ascii="Times New Roman" w:hAnsi="Times New Roman" w:cs="Times New Roman"/>
          <w:sz w:val="24"/>
          <w:szCs w:val="24"/>
          <w:lang w:val="en-US"/>
        </w:rPr>
        <w:t xml:space="preserve">average </w:t>
      </w:r>
      <w:r w:rsidR="004D64D4" w:rsidRPr="003101A0">
        <w:rPr>
          <w:rFonts w:ascii="Times New Roman" w:hAnsi="Times New Roman" w:cs="Times New Roman"/>
          <w:sz w:val="24"/>
          <w:szCs w:val="24"/>
          <w:lang w:val="en-US"/>
        </w:rPr>
        <w:t>straight bond offering</w:t>
      </w:r>
      <w:r w:rsidR="0036196B" w:rsidRPr="003101A0">
        <w:rPr>
          <w:rFonts w:ascii="Times New Roman" w:hAnsi="Times New Roman" w:cs="Times New Roman"/>
          <w:sz w:val="24"/>
          <w:szCs w:val="24"/>
          <w:lang w:val="en-US"/>
        </w:rPr>
        <w:t>.</w:t>
      </w:r>
      <w:r w:rsidR="00A337ED" w:rsidRPr="003101A0">
        <w:rPr>
          <w:rFonts w:ascii="Times New Roman" w:hAnsi="Times New Roman" w:cs="Times New Roman"/>
          <w:sz w:val="24"/>
          <w:szCs w:val="24"/>
          <w:lang w:val="en-US"/>
        </w:rPr>
        <w:t xml:space="preserve"> </w:t>
      </w:r>
    </w:p>
    <w:bookmarkEnd w:id="1"/>
    <w:p w14:paraId="4EF909C3" w14:textId="0406EA3E" w:rsidR="00F71908" w:rsidRPr="003101A0" w:rsidRDefault="0083345C" w:rsidP="009C452E">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However, th</w:t>
      </w:r>
      <w:r w:rsidR="005F0675">
        <w:rPr>
          <w:rFonts w:ascii="Times New Roman" w:hAnsi="Times New Roman" w:cs="Times New Roman"/>
          <w:sz w:val="24"/>
          <w:szCs w:val="24"/>
          <w:lang w:val="en-US"/>
        </w:rPr>
        <w:t>e</w:t>
      </w:r>
      <w:r w:rsidRPr="003101A0">
        <w:rPr>
          <w:rFonts w:ascii="Times New Roman" w:hAnsi="Times New Roman" w:cs="Times New Roman"/>
          <w:sz w:val="24"/>
          <w:szCs w:val="24"/>
          <w:lang w:val="en-US"/>
        </w:rPr>
        <w:t xml:space="preserve"> overall </w:t>
      </w:r>
      <w:r w:rsidR="00385DCE" w:rsidRPr="003101A0">
        <w:rPr>
          <w:rFonts w:ascii="Times New Roman" w:hAnsi="Times New Roman" w:cs="Times New Roman"/>
          <w:sz w:val="24"/>
          <w:szCs w:val="24"/>
          <w:lang w:val="en-US"/>
        </w:rPr>
        <w:t xml:space="preserve">discrepancy </w:t>
      </w:r>
      <w:r w:rsidRPr="003101A0">
        <w:rPr>
          <w:rFonts w:ascii="Times New Roman" w:hAnsi="Times New Roman" w:cs="Times New Roman"/>
          <w:sz w:val="24"/>
          <w:szCs w:val="24"/>
          <w:lang w:val="en-US"/>
        </w:rPr>
        <w:t xml:space="preserve">in covenant intensity </w:t>
      </w:r>
      <w:r w:rsidR="005F0675">
        <w:rPr>
          <w:rFonts w:ascii="Times New Roman" w:hAnsi="Times New Roman" w:cs="Times New Roman"/>
          <w:sz w:val="24"/>
          <w:szCs w:val="24"/>
          <w:lang w:val="en-US"/>
        </w:rPr>
        <w:t xml:space="preserve">between convertibles and straight bonds </w:t>
      </w:r>
      <w:r w:rsidRPr="003101A0">
        <w:rPr>
          <w:rFonts w:ascii="Times New Roman" w:hAnsi="Times New Roman" w:cs="Times New Roman"/>
          <w:sz w:val="24"/>
          <w:szCs w:val="24"/>
          <w:lang w:val="en-US"/>
        </w:rPr>
        <w:t xml:space="preserve">hides differences across individual covenant types. </w:t>
      </w:r>
      <w:r w:rsidR="001729DE">
        <w:rPr>
          <w:rFonts w:ascii="Times New Roman" w:hAnsi="Times New Roman" w:cs="Times New Roman"/>
          <w:sz w:val="24"/>
          <w:szCs w:val="24"/>
          <w:lang w:val="en-US"/>
        </w:rPr>
        <w:t>W</w:t>
      </w:r>
      <w:r w:rsidRPr="003101A0">
        <w:rPr>
          <w:rFonts w:ascii="Times New Roman" w:hAnsi="Times New Roman" w:cs="Times New Roman"/>
          <w:sz w:val="24"/>
          <w:szCs w:val="24"/>
          <w:lang w:val="en-US"/>
        </w:rPr>
        <w:t xml:space="preserve">hile convertibles include fewer covenants restricting payout and financing activity, the frequency of investment-restricting covenants is not significantly different between </w:t>
      </w:r>
      <w:r w:rsidR="007E2BBA" w:rsidRPr="003101A0">
        <w:rPr>
          <w:rFonts w:ascii="Times New Roman" w:hAnsi="Times New Roman" w:cs="Times New Roman"/>
          <w:sz w:val="24"/>
          <w:szCs w:val="24"/>
          <w:lang w:val="en-US"/>
        </w:rPr>
        <w:t>convertible and straight bonds</w:t>
      </w:r>
      <w:r w:rsidR="00082169" w:rsidRPr="003101A0">
        <w:rPr>
          <w:rFonts w:ascii="Times New Roman" w:hAnsi="Times New Roman" w:cs="Times New Roman"/>
          <w:sz w:val="24"/>
          <w:szCs w:val="24"/>
          <w:lang w:val="en-US"/>
        </w:rPr>
        <w:t xml:space="preserve"> after imposing the like-for-like condition</w:t>
      </w:r>
      <w:r w:rsidRPr="003101A0">
        <w:rPr>
          <w:rFonts w:ascii="Times New Roman" w:hAnsi="Times New Roman" w:cs="Times New Roman"/>
          <w:sz w:val="24"/>
          <w:szCs w:val="24"/>
          <w:lang w:val="en-US"/>
        </w:rPr>
        <w:t xml:space="preserve">, and convertibles have a higher frequency of event-driven covenants than straight bonds. </w:t>
      </w:r>
      <w:r w:rsidR="00826187" w:rsidRPr="003101A0">
        <w:rPr>
          <w:rFonts w:ascii="Times New Roman" w:hAnsi="Times New Roman" w:cs="Times New Roman"/>
          <w:sz w:val="24"/>
          <w:szCs w:val="24"/>
          <w:lang w:val="en-US"/>
        </w:rPr>
        <w:t xml:space="preserve">We thus find partial evidence for </w:t>
      </w:r>
      <w:r w:rsidR="00826187" w:rsidRPr="003101A0">
        <w:rPr>
          <w:rFonts w:ascii="Times New Roman" w:hAnsi="Times New Roman" w:cs="Times New Roman"/>
          <w:i/>
          <w:iCs/>
          <w:sz w:val="24"/>
          <w:szCs w:val="24"/>
          <w:lang w:val="en-US"/>
        </w:rPr>
        <w:t>P</w:t>
      </w:r>
      <w:r w:rsidR="00826187" w:rsidRPr="003101A0">
        <w:rPr>
          <w:rFonts w:ascii="Times New Roman" w:hAnsi="Times New Roman" w:cs="Times New Roman"/>
          <w:i/>
          <w:iCs/>
          <w:sz w:val="24"/>
          <w:szCs w:val="24"/>
          <w:vertAlign w:val="subscript"/>
          <w:lang w:val="en-US"/>
        </w:rPr>
        <w:t>1</w:t>
      </w:r>
      <w:r w:rsidR="00826187" w:rsidRPr="003101A0">
        <w:rPr>
          <w:rFonts w:ascii="Times New Roman" w:hAnsi="Times New Roman" w:cs="Times New Roman"/>
          <w:sz w:val="24"/>
          <w:szCs w:val="24"/>
          <w:lang w:val="en-US"/>
        </w:rPr>
        <w:t xml:space="preserve">. </w:t>
      </w:r>
    </w:p>
    <w:p w14:paraId="2132684B" w14:textId="79CF63AE" w:rsidR="00C1630A" w:rsidRPr="00584762" w:rsidRDefault="00A337ED" w:rsidP="009C452E">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Consistent with </w:t>
      </w:r>
      <w:r w:rsidR="007E2BBA" w:rsidRPr="003101A0">
        <w:rPr>
          <w:rFonts w:ascii="Times New Roman" w:hAnsi="Times New Roman" w:cs="Times New Roman"/>
          <w:i/>
          <w:iCs/>
          <w:sz w:val="24"/>
          <w:szCs w:val="24"/>
          <w:lang w:val="en-US"/>
        </w:rPr>
        <w:t>P</w:t>
      </w:r>
      <w:r w:rsidR="007E2BBA" w:rsidRPr="003101A0">
        <w:rPr>
          <w:rFonts w:ascii="Times New Roman" w:hAnsi="Times New Roman" w:cs="Times New Roman"/>
          <w:i/>
          <w:iCs/>
          <w:sz w:val="24"/>
          <w:szCs w:val="24"/>
          <w:vertAlign w:val="subscript"/>
          <w:lang w:val="en-US"/>
        </w:rPr>
        <w:t>2</w:t>
      </w:r>
      <w:r w:rsidRPr="003101A0">
        <w:rPr>
          <w:rFonts w:ascii="Times New Roman" w:hAnsi="Times New Roman" w:cs="Times New Roman"/>
          <w:sz w:val="24"/>
          <w:szCs w:val="24"/>
          <w:lang w:val="en-US"/>
        </w:rPr>
        <w:t xml:space="preserve">, we find that while the </w:t>
      </w:r>
      <w:r w:rsidRPr="003101A0">
        <w:rPr>
          <w:rFonts w:ascii="Times New Roman" w:hAnsi="Times New Roman" w:cs="Times New Roman"/>
          <w:i/>
          <w:iCs/>
          <w:sz w:val="24"/>
          <w:szCs w:val="24"/>
          <w:lang w:val="en-US"/>
        </w:rPr>
        <w:t xml:space="preserve">CI </w:t>
      </w:r>
      <w:r w:rsidR="000A287F" w:rsidRPr="003101A0">
        <w:rPr>
          <w:rFonts w:ascii="Times New Roman" w:hAnsi="Times New Roman" w:cs="Times New Roman"/>
          <w:i/>
          <w:iCs/>
          <w:sz w:val="24"/>
          <w:szCs w:val="24"/>
          <w:lang w:val="en-US"/>
        </w:rPr>
        <w:t>i</w:t>
      </w:r>
      <w:r w:rsidRPr="003101A0">
        <w:rPr>
          <w:rFonts w:ascii="Times New Roman" w:hAnsi="Times New Roman" w:cs="Times New Roman"/>
          <w:i/>
          <w:iCs/>
          <w:sz w:val="24"/>
          <w:szCs w:val="24"/>
          <w:lang w:val="en-US"/>
        </w:rPr>
        <w:t xml:space="preserve">ndex </w:t>
      </w:r>
      <w:r w:rsidR="0089027C" w:rsidRPr="003101A0">
        <w:rPr>
          <w:rFonts w:ascii="Times New Roman" w:hAnsi="Times New Roman" w:cs="Times New Roman"/>
          <w:sz w:val="24"/>
          <w:szCs w:val="24"/>
          <w:lang w:val="en-US"/>
        </w:rPr>
        <w:t>and</w:t>
      </w:r>
      <w:r w:rsidRPr="003101A0">
        <w:rPr>
          <w:rFonts w:ascii="Times New Roman" w:hAnsi="Times New Roman" w:cs="Times New Roman"/>
          <w:sz w:val="24"/>
          <w:szCs w:val="24"/>
          <w:lang w:val="en-US"/>
        </w:rPr>
        <w:t xml:space="preserve"> dumm</w:t>
      </w:r>
      <w:r w:rsidR="00081F7F" w:rsidRPr="003101A0">
        <w:rPr>
          <w:rFonts w:ascii="Times New Roman" w:hAnsi="Times New Roman" w:cs="Times New Roman"/>
          <w:sz w:val="24"/>
          <w:szCs w:val="24"/>
          <w:lang w:val="en-US"/>
        </w:rPr>
        <w:t>y variables</w:t>
      </w:r>
      <w:r w:rsidRPr="003101A0">
        <w:rPr>
          <w:rFonts w:ascii="Times New Roman" w:hAnsi="Times New Roman" w:cs="Times New Roman"/>
          <w:sz w:val="24"/>
          <w:szCs w:val="24"/>
          <w:lang w:val="en-US"/>
        </w:rPr>
        <w:t xml:space="preserve"> capturing individual types of covenants negative</w:t>
      </w:r>
      <w:r w:rsidR="00D23E0E" w:rsidRPr="003101A0">
        <w:rPr>
          <w:rFonts w:ascii="Times New Roman" w:hAnsi="Times New Roman" w:cs="Times New Roman"/>
          <w:sz w:val="24"/>
          <w:szCs w:val="24"/>
          <w:lang w:val="en-US"/>
        </w:rPr>
        <w:t>ly</w:t>
      </w:r>
      <w:r w:rsidRPr="003101A0">
        <w:rPr>
          <w:rFonts w:ascii="Times New Roman" w:hAnsi="Times New Roman" w:cs="Times New Roman"/>
          <w:sz w:val="24"/>
          <w:szCs w:val="24"/>
          <w:lang w:val="en-US"/>
        </w:rPr>
        <w:t xml:space="preserve"> impact </w:t>
      </w:r>
      <w:r w:rsidR="00385DCE" w:rsidRPr="003101A0">
        <w:rPr>
          <w:rFonts w:ascii="Times New Roman" w:hAnsi="Times New Roman" w:cs="Times New Roman"/>
          <w:sz w:val="24"/>
          <w:szCs w:val="24"/>
          <w:lang w:val="en-US"/>
        </w:rPr>
        <w:t xml:space="preserve">at-issue </w:t>
      </w:r>
      <w:r w:rsidRPr="003101A0">
        <w:rPr>
          <w:rFonts w:ascii="Times New Roman" w:hAnsi="Times New Roman" w:cs="Times New Roman"/>
          <w:sz w:val="24"/>
          <w:szCs w:val="24"/>
          <w:lang w:val="en-US"/>
        </w:rPr>
        <w:t xml:space="preserve">straight bond </w:t>
      </w:r>
      <w:r w:rsidR="00C1630A" w:rsidRPr="003101A0">
        <w:rPr>
          <w:rFonts w:ascii="Times New Roman" w:hAnsi="Times New Roman" w:cs="Times New Roman"/>
          <w:sz w:val="24"/>
          <w:szCs w:val="24"/>
          <w:lang w:val="en-US"/>
        </w:rPr>
        <w:t>yields</w:t>
      </w:r>
      <w:r w:rsidRPr="003101A0">
        <w:rPr>
          <w:rFonts w:ascii="Times New Roman" w:hAnsi="Times New Roman" w:cs="Times New Roman"/>
          <w:sz w:val="24"/>
          <w:szCs w:val="24"/>
          <w:lang w:val="en-US"/>
        </w:rPr>
        <w:t xml:space="preserve">, </w:t>
      </w:r>
      <w:r w:rsidR="00DB0F16" w:rsidRPr="003101A0">
        <w:rPr>
          <w:rFonts w:ascii="Times New Roman" w:hAnsi="Times New Roman" w:cs="Times New Roman"/>
          <w:sz w:val="24"/>
          <w:szCs w:val="24"/>
          <w:lang w:val="en-US"/>
        </w:rPr>
        <w:t xml:space="preserve">this does not hold </w:t>
      </w:r>
      <w:r w:rsidR="00DB0F16" w:rsidRPr="003101A0">
        <w:rPr>
          <w:rFonts w:ascii="Times New Roman" w:hAnsi="Times New Roman" w:cs="Times New Roman"/>
          <w:sz w:val="24"/>
          <w:szCs w:val="24"/>
          <w:lang w:val="en-US"/>
        </w:rPr>
        <w:lastRenderedPageBreak/>
        <w:t>for convertible bond offerings</w:t>
      </w:r>
      <w:r w:rsidRPr="003101A0">
        <w:rPr>
          <w:rFonts w:ascii="Times New Roman" w:hAnsi="Times New Roman" w:cs="Times New Roman"/>
          <w:sz w:val="24"/>
          <w:szCs w:val="24"/>
          <w:lang w:val="en-US"/>
        </w:rPr>
        <w:t xml:space="preserve">. </w:t>
      </w:r>
      <w:r w:rsidR="005F0675">
        <w:rPr>
          <w:rFonts w:ascii="Times New Roman" w:hAnsi="Times New Roman" w:cs="Times New Roman"/>
          <w:sz w:val="24"/>
          <w:szCs w:val="24"/>
          <w:lang w:val="en-US"/>
        </w:rPr>
        <w:t xml:space="preserve">The difference in the impact of </w:t>
      </w:r>
      <w:r w:rsidR="005F0675" w:rsidRPr="00630D2B">
        <w:rPr>
          <w:rFonts w:ascii="Times New Roman" w:hAnsi="Times New Roman" w:cs="Times New Roman"/>
          <w:i/>
          <w:iCs/>
          <w:sz w:val="24"/>
          <w:szCs w:val="24"/>
          <w:lang w:val="en-US"/>
        </w:rPr>
        <w:t>CI index</w:t>
      </w:r>
      <w:r w:rsidR="005F0675">
        <w:rPr>
          <w:rFonts w:ascii="Times New Roman" w:hAnsi="Times New Roman" w:cs="Times New Roman"/>
          <w:sz w:val="24"/>
          <w:szCs w:val="24"/>
          <w:lang w:val="en-US"/>
        </w:rPr>
        <w:t xml:space="preserve"> on straight and convertible bond yields is statistically significant. </w:t>
      </w:r>
    </w:p>
    <w:p w14:paraId="42F85B93" w14:textId="5CCA7EB5" w:rsidR="00A163C5" w:rsidRPr="003101A0" w:rsidRDefault="008962B7" w:rsidP="000E0E84">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results for </w:t>
      </w:r>
      <w:r w:rsidRPr="00DC14E8">
        <w:rPr>
          <w:rFonts w:ascii="Times New Roman" w:hAnsi="Times New Roman" w:cs="Times New Roman"/>
          <w:i/>
          <w:sz w:val="24"/>
          <w:szCs w:val="24"/>
          <w:lang w:val="en-US"/>
        </w:rPr>
        <w:t>P</w:t>
      </w:r>
      <w:r w:rsidRPr="00DC14E8">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and </w:t>
      </w:r>
      <w:r w:rsidRPr="00DC14E8">
        <w:rPr>
          <w:rFonts w:ascii="Times New Roman" w:hAnsi="Times New Roman" w:cs="Times New Roman"/>
          <w:i/>
          <w:sz w:val="24"/>
          <w:szCs w:val="24"/>
          <w:lang w:val="en-US"/>
        </w:rPr>
        <w:t>P</w:t>
      </w:r>
      <w:r w:rsidRPr="00DC14E8">
        <w:rPr>
          <w:rFonts w:ascii="Times New Roman" w:hAnsi="Times New Roman" w:cs="Times New Roman"/>
          <w:i/>
          <w:sz w:val="24"/>
          <w:szCs w:val="24"/>
          <w:vertAlign w:val="subscript"/>
          <w:lang w:val="en-US"/>
        </w:rPr>
        <w:t>2</w:t>
      </w:r>
      <w:r>
        <w:rPr>
          <w:rFonts w:ascii="Times New Roman" w:hAnsi="Times New Roman" w:cs="Times New Roman"/>
          <w:sz w:val="24"/>
          <w:szCs w:val="24"/>
          <w:lang w:val="en-US"/>
        </w:rPr>
        <w:t xml:space="preserve"> are </w:t>
      </w:r>
      <w:r w:rsidR="008152D5">
        <w:rPr>
          <w:rFonts w:ascii="Times New Roman" w:hAnsi="Times New Roman" w:cs="Times New Roman"/>
          <w:sz w:val="24"/>
          <w:szCs w:val="24"/>
          <w:lang w:val="en-US"/>
        </w:rPr>
        <w:t>robust to</w:t>
      </w:r>
      <w:r w:rsidR="00A452A1" w:rsidRPr="003101A0">
        <w:rPr>
          <w:rFonts w:ascii="Times New Roman" w:hAnsi="Times New Roman" w:cs="Times New Roman"/>
          <w:sz w:val="24"/>
          <w:szCs w:val="24"/>
          <w:lang w:val="en-US"/>
        </w:rPr>
        <w:t xml:space="preserve"> alternative </w:t>
      </w:r>
      <w:r>
        <w:rPr>
          <w:rFonts w:ascii="Times New Roman" w:hAnsi="Times New Roman" w:cs="Times New Roman"/>
          <w:sz w:val="24"/>
          <w:szCs w:val="24"/>
          <w:lang w:val="en-US"/>
        </w:rPr>
        <w:t xml:space="preserve">methodological </w:t>
      </w:r>
      <w:r w:rsidR="00A452A1" w:rsidRPr="003101A0">
        <w:rPr>
          <w:rFonts w:ascii="Times New Roman" w:hAnsi="Times New Roman" w:cs="Times New Roman"/>
          <w:sz w:val="24"/>
          <w:szCs w:val="24"/>
          <w:lang w:val="en-US"/>
        </w:rPr>
        <w:t xml:space="preserve">specifications and </w:t>
      </w:r>
      <w:r>
        <w:rPr>
          <w:rFonts w:ascii="Times New Roman" w:hAnsi="Times New Roman" w:cs="Times New Roman"/>
          <w:sz w:val="24"/>
          <w:szCs w:val="24"/>
          <w:lang w:val="en-US"/>
        </w:rPr>
        <w:t xml:space="preserve">hold in </w:t>
      </w:r>
      <w:r w:rsidR="00A452A1" w:rsidRPr="003101A0">
        <w:rPr>
          <w:rFonts w:ascii="Times New Roman" w:hAnsi="Times New Roman" w:cs="Times New Roman"/>
          <w:sz w:val="24"/>
          <w:szCs w:val="24"/>
          <w:lang w:val="en-US"/>
        </w:rPr>
        <w:t>subsamples</w:t>
      </w:r>
      <w:r>
        <w:rPr>
          <w:rFonts w:ascii="Times New Roman" w:hAnsi="Times New Roman" w:cs="Times New Roman"/>
          <w:sz w:val="24"/>
          <w:szCs w:val="24"/>
          <w:lang w:val="en-US"/>
        </w:rPr>
        <w:t xml:space="preserve"> of (convertible) bonds</w:t>
      </w:r>
      <w:r w:rsidR="007438B7" w:rsidRPr="003101A0">
        <w:rPr>
          <w:rFonts w:ascii="Times New Roman" w:hAnsi="Times New Roman" w:cs="Times New Roman"/>
          <w:sz w:val="24"/>
          <w:szCs w:val="24"/>
          <w:lang w:val="en-US"/>
        </w:rPr>
        <w:t xml:space="preserve"> </w:t>
      </w:r>
      <w:r>
        <w:rPr>
          <w:rFonts w:ascii="Times New Roman" w:hAnsi="Times New Roman" w:cs="Times New Roman"/>
          <w:sz w:val="24"/>
          <w:szCs w:val="24"/>
          <w:lang w:val="en-US"/>
        </w:rPr>
        <w:t>with different</w:t>
      </w:r>
      <w:r w:rsidR="00845163" w:rsidRPr="003101A0">
        <w:rPr>
          <w:rFonts w:ascii="Times New Roman" w:hAnsi="Times New Roman" w:cs="Times New Roman"/>
          <w:sz w:val="24"/>
          <w:szCs w:val="24"/>
          <w:lang w:val="en-US"/>
        </w:rPr>
        <w:t xml:space="preserve"> placement method</w:t>
      </w:r>
      <w:r>
        <w:rPr>
          <w:rFonts w:ascii="Times New Roman" w:hAnsi="Times New Roman" w:cs="Times New Roman"/>
          <w:sz w:val="24"/>
          <w:szCs w:val="24"/>
          <w:lang w:val="en-US"/>
        </w:rPr>
        <w:t>s</w:t>
      </w:r>
      <w:r w:rsidR="00845163" w:rsidRPr="003101A0">
        <w:rPr>
          <w:rFonts w:ascii="Times New Roman" w:hAnsi="Times New Roman" w:cs="Times New Roman"/>
          <w:sz w:val="24"/>
          <w:szCs w:val="24"/>
          <w:lang w:val="en-US"/>
        </w:rPr>
        <w:t xml:space="preserve">, </w:t>
      </w:r>
      <w:r w:rsidR="007438B7" w:rsidRPr="003101A0">
        <w:rPr>
          <w:rFonts w:ascii="Times New Roman" w:hAnsi="Times New Roman" w:cs="Times New Roman"/>
          <w:sz w:val="24"/>
          <w:szCs w:val="24"/>
          <w:lang w:val="en-US"/>
        </w:rPr>
        <w:t>credit rating</w:t>
      </w:r>
      <w:r>
        <w:rPr>
          <w:rFonts w:ascii="Times New Roman" w:hAnsi="Times New Roman" w:cs="Times New Roman"/>
          <w:sz w:val="24"/>
          <w:szCs w:val="24"/>
          <w:lang w:val="en-US"/>
        </w:rPr>
        <w:t>s</w:t>
      </w:r>
      <w:r w:rsidR="007438B7" w:rsidRPr="003101A0">
        <w:rPr>
          <w:rFonts w:ascii="Times New Roman" w:hAnsi="Times New Roman" w:cs="Times New Roman"/>
          <w:sz w:val="24"/>
          <w:szCs w:val="24"/>
          <w:lang w:val="en-US"/>
        </w:rPr>
        <w:t xml:space="preserve">, </w:t>
      </w:r>
      <w:r w:rsidR="00584762">
        <w:rPr>
          <w:rFonts w:ascii="Times New Roman" w:hAnsi="Times New Roman" w:cs="Times New Roman"/>
          <w:sz w:val="24"/>
          <w:szCs w:val="24"/>
          <w:lang w:val="en-US"/>
        </w:rPr>
        <w:t xml:space="preserve">and </w:t>
      </w:r>
      <w:r>
        <w:rPr>
          <w:rFonts w:ascii="Times New Roman" w:hAnsi="Times New Roman" w:cs="Times New Roman"/>
          <w:sz w:val="24"/>
          <w:szCs w:val="24"/>
          <w:lang w:val="en-US"/>
        </w:rPr>
        <w:t>equity component sizes</w:t>
      </w:r>
      <w:r w:rsidR="005F0675">
        <w:rPr>
          <w:rFonts w:ascii="Times New Roman" w:hAnsi="Times New Roman" w:cs="Times New Roman"/>
          <w:sz w:val="24"/>
          <w:szCs w:val="24"/>
          <w:lang w:val="en-US"/>
        </w:rPr>
        <w:t xml:space="preserve">. </w:t>
      </w:r>
      <w:r>
        <w:rPr>
          <w:rFonts w:ascii="Times New Roman" w:hAnsi="Times New Roman" w:cs="Times New Roman"/>
          <w:sz w:val="24"/>
          <w:szCs w:val="24"/>
          <w:lang w:val="en-US"/>
        </w:rPr>
        <w:t>In additional tests, we document that covenant intensity determinants suggested by</w:t>
      </w:r>
      <w:r w:rsidRPr="003101A0">
        <w:rPr>
          <w:rFonts w:ascii="Times New Roman" w:hAnsi="Times New Roman" w:cs="Times New Roman"/>
          <w:sz w:val="24"/>
          <w:szCs w:val="24"/>
          <w:lang w:val="en-US"/>
        </w:rPr>
        <w:t xml:space="preserve"> previous, </w:t>
      </w:r>
      <w:r>
        <w:rPr>
          <w:rFonts w:ascii="Times New Roman" w:hAnsi="Times New Roman" w:cs="Times New Roman"/>
          <w:sz w:val="24"/>
          <w:szCs w:val="24"/>
          <w:lang w:val="en-US"/>
        </w:rPr>
        <w:t xml:space="preserve">straight </w:t>
      </w:r>
      <w:r w:rsidRPr="003101A0">
        <w:rPr>
          <w:rFonts w:ascii="Times New Roman" w:hAnsi="Times New Roman" w:cs="Times New Roman"/>
          <w:sz w:val="24"/>
          <w:szCs w:val="24"/>
          <w:lang w:val="en-US"/>
        </w:rPr>
        <w:t xml:space="preserve">bond-focused studies </w:t>
      </w:r>
      <w:r>
        <w:rPr>
          <w:rFonts w:ascii="Times New Roman" w:hAnsi="Times New Roman" w:cs="Times New Roman"/>
          <w:sz w:val="24"/>
          <w:szCs w:val="24"/>
          <w:lang w:val="en-US"/>
        </w:rPr>
        <w:t xml:space="preserve">on covenants </w:t>
      </w:r>
      <w:r w:rsidRPr="003101A0">
        <w:rPr>
          <w:rFonts w:ascii="Times New Roman" w:hAnsi="Times New Roman" w:cs="Times New Roman"/>
          <w:sz w:val="24"/>
          <w:szCs w:val="24"/>
          <w:lang w:val="en-US"/>
        </w:rPr>
        <w:t xml:space="preserve">(Nash et al., 2003; Miller and </w:t>
      </w:r>
      <w:proofErr w:type="spellStart"/>
      <w:r w:rsidRPr="003101A0">
        <w:rPr>
          <w:rFonts w:ascii="Times New Roman" w:hAnsi="Times New Roman" w:cs="Times New Roman"/>
          <w:sz w:val="24"/>
          <w:szCs w:val="24"/>
          <w:lang w:val="en-US"/>
        </w:rPr>
        <w:t>Reisel</w:t>
      </w:r>
      <w:proofErr w:type="spellEnd"/>
      <w:r w:rsidRPr="003101A0">
        <w:rPr>
          <w:rFonts w:ascii="Times New Roman" w:hAnsi="Times New Roman" w:cs="Times New Roman"/>
          <w:sz w:val="24"/>
          <w:szCs w:val="24"/>
          <w:lang w:val="en-US"/>
        </w:rPr>
        <w:t xml:space="preserve">, 2012; </w:t>
      </w:r>
      <w:proofErr w:type="spellStart"/>
      <w:r w:rsidRPr="003101A0">
        <w:rPr>
          <w:rFonts w:ascii="Times New Roman" w:hAnsi="Times New Roman" w:cs="Times New Roman"/>
          <w:sz w:val="24"/>
          <w:szCs w:val="24"/>
          <w:lang w:val="en-US"/>
        </w:rPr>
        <w:t>Reisel</w:t>
      </w:r>
      <w:proofErr w:type="spellEnd"/>
      <w:r w:rsidRPr="003101A0">
        <w:rPr>
          <w:rFonts w:ascii="Times New Roman" w:hAnsi="Times New Roman" w:cs="Times New Roman"/>
          <w:sz w:val="24"/>
          <w:szCs w:val="24"/>
          <w:lang w:val="en-US"/>
        </w:rPr>
        <w:t>, 2014)</w:t>
      </w:r>
      <w:r>
        <w:rPr>
          <w:rFonts w:ascii="Times New Roman" w:hAnsi="Times New Roman" w:cs="Times New Roman"/>
          <w:sz w:val="24"/>
          <w:szCs w:val="24"/>
          <w:lang w:val="en-US"/>
        </w:rPr>
        <w:t xml:space="preserve"> </w:t>
      </w:r>
      <w:r w:rsidR="00EC24A8">
        <w:rPr>
          <w:rFonts w:ascii="Times New Roman" w:hAnsi="Times New Roman" w:cs="Times New Roman"/>
          <w:sz w:val="24"/>
          <w:szCs w:val="24"/>
          <w:lang w:val="en-US"/>
        </w:rPr>
        <w:t xml:space="preserve">tend to have only a weakly significant or insignificant </w:t>
      </w:r>
      <w:r>
        <w:rPr>
          <w:rFonts w:ascii="Times New Roman" w:hAnsi="Times New Roman" w:cs="Times New Roman"/>
          <w:sz w:val="24"/>
          <w:szCs w:val="24"/>
          <w:lang w:val="en-US"/>
        </w:rPr>
        <w:t>impact on convertible bond covenant intensity</w:t>
      </w:r>
      <w:r w:rsidR="00EC24A8">
        <w:rPr>
          <w:rFonts w:ascii="Times New Roman" w:hAnsi="Times New Roman" w:cs="Times New Roman"/>
          <w:sz w:val="24"/>
          <w:szCs w:val="24"/>
          <w:lang w:val="en-US"/>
        </w:rPr>
        <w:t>. This finding further cements the interpretation that</w:t>
      </w:r>
      <w:r w:rsidRPr="003101A0">
        <w:rPr>
          <w:rFonts w:ascii="Times New Roman" w:hAnsi="Times New Roman" w:cs="Times New Roman"/>
          <w:sz w:val="24"/>
          <w:szCs w:val="24"/>
          <w:lang w:val="en-US"/>
        </w:rPr>
        <w:t xml:space="preserve"> convertible bond covenants </w:t>
      </w:r>
      <w:r w:rsidR="00EC24A8">
        <w:rPr>
          <w:rFonts w:ascii="Times New Roman" w:hAnsi="Times New Roman" w:cs="Times New Roman"/>
          <w:sz w:val="24"/>
          <w:szCs w:val="24"/>
          <w:lang w:val="en-US"/>
        </w:rPr>
        <w:t>mostly act</w:t>
      </w:r>
      <w:r w:rsidRPr="003101A0">
        <w:rPr>
          <w:rFonts w:ascii="Times New Roman" w:hAnsi="Times New Roman" w:cs="Times New Roman"/>
          <w:sz w:val="24"/>
          <w:szCs w:val="24"/>
          <w:lang w:val="en-US"/>
        </w:rPr>
        <w:t xml:space="preserve"> as irrelevant boilerplate clauses. </w:t>
      </w:r>
      <w:r w:rsidR="005F0675">
        <w:rPr>
          <w:rFonts w:ascii="Times New Roman" w:hAnsi="Times New Roman" w:cs="Times New Roman"/>
          <w:sz w:val="24"/>
          <w:szCs w:val="24"/>
          <w:lang w:val="en-US"/>
        </w:rPr>
        <w:t xml:space="preserve">We further show that our </w:t>
      </w:r>
      <w:r>
        <w:rPr>
          <w:rFonts w:ascii="Times New Roman" w:hAnsi="Times New Roman" w:cs="Times New Roman"/>
          <w:sz w:val="24"/>
          <w:szCs w:val="24"/>
          <w:lang w:val="en-US"/>
        </w:rPr>
        <w:t xml:space="preserve">main </w:t>
      </w:r>
      <w:r w:rsidR="005F0675">
        <w:rPr>
          <w:rFonts w:ascii="Times New Roman" w:hAnsi="Times New Roman" w:cs="Times New Roman"/>
          <w:sz w:val="24"/>
          <w:szCs w:val="24"/>
          <w:lang w:val="en-US"/>
        </w:rPr>
        <w:t>findings continue to hold for subsamples of straight (convertible) bond issuers that have already issued convertible (straight) bonds</w:t>
      </w:r>
      <w:r>
        <w:rPr>
          <w:rFonts w:ascii="Times New Roman" w:hAnsi="Times New Roman" w:cs="Times New Roman"/>
          <w:sz w:val="24"/>
          <w:szCs w:val="24"/>
          <w:lang w:val="en-US"/>
        </w:rPr>
        <w:t>, alleviating concerns that unobservable differences in issuer characteristics drive our results</w:t>
      </w:r>
      <w:r w:rsidR="005F0675">
        <w:rPr>
          <w:rFonts w:ascii="Times New Roman" w:hAnsi="Times New Roman" w:cs="Times New Roman"/>
          <w:sz w:val="24"/>
          <w:szCs w:val="24"/>
          <w:lang w:val="en-US"/>
        </w:rPr>
        <w:t xml:space="preserve">. </w:t>
      </w:r>
    </w:p>
    <w:p w14:paraId="7A7538AA" w14:textId="0280D175" w:rsidR="004B45C5" w:rsidRPr="003101A0" w:rsidRDefault="004B45C5" w:rsidP="004B45C5">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Overall, o</w:t>
      </w:r>
      <w:r w:rsidRPr="003101A0">
        <w:rPr>
          <w:rFonts w:ascii="Times New Roman" w:hAnsi="Times New Roman" w:cs="Times New Roman"/>
          <w:sz w:val="24"/>
          <w:szCs w:val="24"/>
          <w:lang w:val="en-US"/>
        </w:rPr>
        <w:t xml:space="preserve">ur results complement the debt contracting literature by showing that previous findings on the role of covenants in straight bonds do not readily transfer to convertible bonds. </w:t>
      </w:r>
      <w:r>
        <w:rPr>
          <w:rFonts w:ascii="Times New Roman" w:hAnsi="Times New Roman" w:cs="Times New Roman"/>
          <w:sz w:val="24"/>
          <w:szCs w:val="24"/>
          <w:lang w:val="en-US"/>
        </w:rPr>
        <w:t>A</w:t>
      </w:r>
      <w:r w:rsidR="00117BE4" w:rsidRPr="003101A0">
        <w:rPr>
          <w:rFonts w:ascii="Times New Roman" w:hAnsi="Times New Roman" w:cs="Times New Roman"/>
          <w:sz w:val="24"/>
          <w:szCs w:val="24"/>
          <w:lang w:val="en-US"/>
        </w:rPr>
        <w:t xml:space="preserve"> </w:t>
      </w:r>
      <w:r w:rsidR="00D911C4" w:rsidRPr="003101A0">
        <w:rPr>
          <w:rFonts w:ascii="Times New Roman" w:hAnsi="Times New Roman" w:cs="Times New Roman"/>
          <w:sz w:val="24"/>
          <w:szCs w:val="24"/>
          <w:lang w:val="en-US"/>
        </w:rPr>
        <w:t>few</w:t>
      </w:r>
      <w:r w:rsidR="00117BE4" w:rsidRPr="003101A0">
        <w:rPr>
          <w:rFonts w:ascii="Times New Roman" w:hAnsi="Times New Roman" w:cs="Times New Roman"/>
          <w:sz w:val="24"/>
          <w:szCs w:val="24"/>
          <w:lang w:val="en-US"/>
        </w:rPr>
        <w:t xml:space="preserve"> previous studies document </w:t>
      </w:r>
      <w:r>
        <w:rPr>
          <w:rFonts w:ascii="Times New Roman" w:hAnsi="Times New Roman" w:cs="Times New Roman"/>
          <w:sz w:val="24"/>
          <w:szCs w:val="24"/>
          <w:lang w:val="en-US"/>
        </w:rPr>
        <w:t xml:space="preserve">univariate findings suggesting </w:t>
      </w:r>
      <w:r w:rsidR="00117BE4" w:rsidRPr="003101A0">
        <w:rPr>
          <w:rFonts w:ascii="Times New Roman" w:hAnsi="Times New Roman" w:cs="Times New Roman"/>
          <w:sz w:val="24"/>
          <w:szCs w:val="24"/>
          <w:lang w:val="en-US"/>
        </w:rPr>
        <w:t>a lower incidence of co</w:t>
      </w:r>
      <w:r w:rsidR="0049621F" w:rsidRPr="003101A0">
        <w:rPr>
          <w:rFonts w:ascii="Times New Roman" w:hAnsi="Times New Roman" w:cs="Times New Roman"/>
          <w:sz w:val="24"/>
          <w:szCs w:val="24"/>
          <w:lang w:val="en-US"/>
        </w:rPr>
        <w:t>nvertible covenants than</w:t>
      </w:r>
      <w:r w:rsidR="00D23E0E" w:rsidRPr="003101A0">
        <w:rPr>
          <w:rFonts w:ascii="Times New Roman" w:hAnsi="Times New Roman" w:cs="Times New Roman"/>
          <w:sz w:val="24"/>
          <w:szCs w:val="24"/>
          <w:lang w:val="en-US"/>
        </w:rPr>
        <w:t xml:space="preserve"> </w:t>
      </w:r>
      <w:r w:rsidR="00117BE4" w:rsidRPr="003101A0">
        <w:rPr>
          <w:rFonts w:ascii="Times New Roman" w:hAnsi="Times New Roman" w:cs="Times New Roman"/>
          <w:sz w:val="24"/>
          <w:szCs w:val="24"/>
          <w:lang w:val="en-US"/>
        </w:rPr>
        <w:t>straight bond</w:t>
      </w:r>
      <w:r w:rsidR="00B11642">
        <w:rPr>
          <w:rFonts w:ascii="Times New Roman" w:hAnsi="Times New Roman" w:cs="Times New Roman"/>
          <w:sz w:val="24"/>
          <w:szCs w:val="24"/>
          <w:lang w:val="en-US"/>
        </w:rPr>
        <w:t xml:space="preserve"> covenants</w:t>
      </w:r>
      <w:r w:rsidR="00117BE4" w:rsidRPr="003101A0">
        <w:rPr>
          <w:rFonts w:ascii="Times New Roman" w:hAnsi="Times New Roman" w:cs="Times New Roman"/>
          <w:sz w:val="24"/>
          <w:szCs w:val="24"/>
          <w:lang w:val="en-US"/>
        </w:rPr>
        <w:t xml:space="preserve"> (Kahan and Yermack, 1998; Anderson, 1999; Nash et al., 2003; </w:t>
      </w:r>
      <w:proofErr w:type="spellStart"/>
      <w:r w:rsidR="00117BE4" w:rsidRPr="003101A0">
        <w:rPr>
          <w:rFonts w:ascii="Times New Roman" w:hAnsi="Times New Roman" w:cs="Times New Roman"/>
          <w:sz w:val="24"/>
          <w:szCs w:val="24"/>
          <w:lang w:val="en-US"/>
        </w:rPr>
        <w:t>Billett</w:t>
      </w:r>
      <w:proofErr w:type="spellEnd"/>
      <w:r w:rsidR="00117BE4" w:rsidRPr="003101A0">
        <w:rPr>
          <w:rFonts w:ascii="Times New Roman" w:hAnsi="Times New Roman" w:cs="Times New Roman"/>
          <w:sz w:val="24"/>
          <w:szCs w:val="24"/>
          <w:lang w:val="en-US"/>
        </w:rPr>
        <w:t xml:space="preserve"> et al., 2007; Chan and Chen, 2007; Cook et al., 201</w:t>
      </w:r>
      <w:r w:rsidR="00FA4090" w:rsidRPr="003101A0">
        <w:rPr>
          <w:rFonts w:ascii="Times New Roman" w:hAnsi="Times New Roman" w:cs="Times New Roman"/>
          <w:sz w:val="24"/>
          <w:szCs w:val="24"/>
          <w:lang w:val="en-US"/>
        </w:rPr>
        <w:t>4)</w:t>
      </w:r>
      <w:r w:rsidR="00117BE4" w:rsidRPr="003101A0">
        <w:rPr>
          <w:rFonts w:ascii="Times New Roman" w:hAnsi="Times New Roman" w:cs="Times New Roman"/>
          <w:sz w:val="24"/>
          <w:szCs w:val="24"/>
          <w:lang w:val="en-US"/>
        </w:rPr>
        <w:t xml:space="preserve">. However, </w:t>
      </w:r>
      <w:r>
        <w:rPr>
          <w:rFonts w:ascii="Times New Roman" w:hAnsi="Times New Roman" w:cs="Times New Roman"/>
          <w:sz w:val="24"/>
          <w:szCs w:val="24"/>
          <w:lang w:val="en-US"/>
        </w:rPr>
        <w:t>u</w:t>
      </w:r>
      <w:r w:rsidR="00F7341F" w:rsidRPr="003101A0">
        <w:rPr>
          <w:rFonts w:ascii="Times New Roman" w:hAnsi="Times New Roman" w:cs="Times New Roman"/>
          <w:sz w:val="24"/>
          <w:szCs w:val="24"/>
          <w:lang w:val="en-US"/>
        </w:rPr>
        <w:t xml:space="preserve">nlike our paper, </w:t>
      </w:r>
      <w:r w:rsidR="00117BE4" w:rsidRPr="003101A0">
        <w:rPr>
          <w:rFonts w:ascii="Times New Roman" w:hAnsi="Times New Roman" w:cs="Times New Roman"/>
          <w:sz w:val="24"/>
          <w:szCs w:val="24"/>
          <w:lang w:val="en-US"/>
        </w:rPr>
        <w:t xml:space="preserve">these studies do not systematically control for differences between convertible and straight bond samples, therefore not allowing a like-for-like comparison of covenant intensity across these two bond types. </w:t>
      </w:r>
      <w:r>
        <w:rPr>
          <w:rFonts w:ascii="Times New Roman" w:hAnsi="Times New Roman" w:cs="Times New Roman"/>
          <w:sz w:val="24"/>
          <w:szCs w:val="24"/>
          <w:lang w:val="en-US"/>
        </w:rPr>
        <w:t>In addition, c</w:t>
      </w:r>
      <w:r w:rsidR="00845163" w:rsidRPr="003101A0">
        <w:rPr>
          <w:rFonts w:ascii="Times New Roman" w:hAnsi="Times New Roman" w:cs="Times New Roman"/>
          <w:sz w:val="24"/>
          <w:szCs w:val="24"/>
          <w:lang w:val="en-US"/>
        </w:rPr>
        <w:t xml:space="preserve">onsistent with </w:t>
      </w:r>
      <w:r w:rsidR="000014E6" w:rsidRPr="003101A0">
        <w:rPr>
          <w:rFonts w:ascii="Times New Roman" w:hAnsi="Times New Roman" w:cs="Times New Roman"/>
          <w:sz w:val="24"/>
          <w:szCs w:val="24"/>
          <w:lang w:val="en-US"/>
        </w:rPr>
        <w:t xml:space="preserve">our </w:t>
      </w:r>
      <w:r w:rsidR="00845163" w:rsidRPr="003101A0">
        <w:rPr>
          <w:rFonts w:ascii="Times New Roman" w:hAnsi="Times New Roman" w:cs="Times New Roman"/>
          <w:sz w:val="24"/>
          <w:szCs w:val="24"/>
          <w:lang w:val="en-US"/>
        </w:rPr>
        <w:t xml:space="preserve">findings, </w:t>
      </w:r>
      <w:r w:rsidR="008152D5">
        <w:rPr>
          <w:rFonts w:ascii="Times New Roman" w:hAnsi="Times New Roman" w:cs="Times New Roman"/>
          <w:sz w:val="24"/>
          <w:szCs w:val="24"/>
          <w:lang w:val="en-US"/>
        </w:rPr>
        <w:t xml:space="preserve">some </w:t>
      </w:r>
      <w:r w:rsidR="00826187" w:rsidRPr="003101A0">
        <w:rPr>
          <w:rFonts w:ascii="Times New Roman" w:hAnsi="Times New Roman" w:cs="Times New Roman"/>
          <w:sz w:val="24"/>
          <w:szCs w:val="24"/>
          <w:lang w:val="en-US"/>
        </w:rPr>
        <w:t>empirical studies report a negative impact of covenants on straight bond yields, suggesting</w:t>
      </w:r>
      <w:r w:rsidR="000014E6" w:rsidRPr="003101A0">
        <w:rPr>
          <w:rFonts w:ascii="Times New Roman" w:hAnsi="Times New Roman" w:cs="Times New Roman"/>
          <w:sz w:val="24"/>
          <w:szCs w:val="24"/>
          <w:lang w:val="en-US"/>
        </w:rPr>
        <w:t xml:space="preserve"> that</w:t>
      </w:r>
      <w:r w:rsidR="00826187" w:rsidRPr="003101A0">
        <w:rPr>
          <w:rFonts w:ascii="Times New Roman" w:hAnsi="Times New Roman" w:cs="Times New Roman"/>
          <w:sz w:val="24"/>
          <w:szCs w:val="24"/>
          <w:lang w:val="en-US"/>
        </w:rPr>
        <w:t xml:space="preserve"> these provisions reduce financing costs associated with incremental debt issuance (Miller and </w:t>
      </w:r>
      <w:proofErr w:type="spellStart"/>
      <w:r w:rsidR="00826187" w:rsidRPr="003101A0">
        <w:rPr>
          <w:rFonts w:ascii="Times New Roman" w:hAnsi="Times New Roman" w:cs="Times New Roman"/>
          <w:sz w:val="24"/>
          <w:szCs w:val="24"/>
          <w:lang w:val="en-US"/>
        </w:rPr>
        <w:t>Reisel</w:t>
      </w:r>
      <w:proofErr w:type="spellEnd"/>
      <w:r w:rsidR="00826187" w:rsidRPr="003101A0">
        <w:rPr>
          <w:rFonts w:ascii="Times New Roman" w:hAnsi="Times New Roman" w:cs="Times New Roman"/>
          <w:sz w:val="24"/>
          <w:szCs w:val="24"/>
          <w:lang w:val="en-US"/>
        </w:rPr>
        <w:t xml:space="preserve">, 2012; </w:t>
      </w:r>
      <w:proofErr w:type="spellStart"/>
      <w:r w:rsidR="00826187" w:rsidRPr="003101A0">
        <w:rPr>
          <w:rFonts w:ascii="Times New Roman" w:hAnsi="Times New Roman" w:cs="Times New Roman"/>
          <w:sz w:val="24"/>
          <w:szCs w:val="24"/>
          <w:lang w:val="en-US"/>
        </w:rPr>
        <w:t>Reisel</w:t>
      </w:r>
      <w:proofErr w:type="spellEnd"/>
      <w:r w:rsidR="00826187" w:rsidRPr="003101A0">
        <w:rPr>
          <w:rFonts w:ascii="Times New Roman" w:hAnsi="Times New Roman" w:cs="Times New Roman"/>
          <w:sz w:val="24"/>
          <w:szCs w:val="24"/>
          <w:lang w:val="en-US"/>
        </w:rPr>
        <w:t xml:space="preserve">, 2014; Simpson and Grossman, 2017). </w:t>
      </w:r>
      <w:r>
        <w:rPr>
          <w:rFonts w:ascii="Times New Roman" w:hAnsi="Times New Roman" w:cs="Times New Roman"/>
          <w:sz w:val="24"/>
          <w:szCs w:val="24"/>
          <w:lang w:val="en-US"/>
        </w:rPr>
        <w:t>However, n</w:t>
      </w:r>
      <w:r w:rsidR="00845163" w:rsidRPr="003101A0">
        <w:rPr>
          <w:rFonts w:ascii="Times New Roman" w:hAnsi="Times New Roman" w:cs="Times New Roman"/>
          <w:sz w:val="24"/>
          <w:szCs w:val="24"/>
          <w:lang w:val="en-US"/>
        </w:rPr>
        <w:t>one of these studies examine the impact of covenants on convertible bond yields</w:t>
      </w:r>
      <w:r w:rsidR="00E27B50" w:rsidRPr="003101A0">
        <w:rPr>
          <w:rFonts w:ascii="Times New Roman" w:hAnsi="Times New Roman" w:cs="Times New Roman"/>
          <w:sz w:val="24"/>
          <w:szCs w:val="24"/>
          <w:lang w:val="en-US"/>
        </w:rPr>
        <w:t>, as we do in our paper</w:t>
      </w:r>
      <w:r w:rsidR="00845163" w:rsidRPr="003101A0">
        <w:rPr>
          <w:rFonts w:ascii="Times New Roman" w:hAnsi="Times New Roman" w:cs="Times New Roman"/>
          <w:sz w:val="24"/>
          <w:szCs w:val="24"/>
          <w:lang w:val="en-US"/>
        </w:rPr>
        <w:t>.</w:t>
      </w:r>
      <w:r w:rsidR="00315FD4" w:rsidRPr="003101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Our results </w:t>
      </w:r>
      <w:r>
        <w:rPr>
          <w:rFonts w:ascii="Times New Roman" w:hAnsi="Times New Roman" w:cs="Times New Roman"/>
          <w:sz w:val="24"/>
          <w:szCs w:val="24"/>
          <w:lang w:val="en-US"/>
        </w:rPr>
        <w:lastRenderedPageBreak/>
        <w:t>indicate that, u</w:t>
      </w:r>
      <w:r w:rsidRPr="003101A0">
        <w:rPr>
          <w:rFonts w:ascii="Times New Roman" w:hAnsi="Times New Roman" w:cs="Times New Roman"/>
          <w:sz w:val="24"/>
          <w:szCs w:val="24"/>
          <w:lang w:val="en-US"/>
        </w:rPr>
        <w:t xml:space="preserve">nlike straight bond covenants, convertible bond covenants </w:t>
      </w:r>
      <w:r>
        <w:rPr>
          <w:rFonts w:ascii="Times New Roman" w:hAnsi="Times New Roman" w:cs="Times New Roman"/>
          <w:sz w:val="24"/>
          <w:szCs w:val="24"/>
          <w:lang w:val="en-US"/>
        </w:rPr>
        <w:t>seem to have</w:t>
      </w:r>
      <w:r w:rsidRPr="003101A0">
        <w:rPr>
          <w:rFonts w:ascii="Times New Roman" w:hAnsi="Times New Roman" w:cs="Times New Roman"/>
          <w:sz w:val="24"/>
          <w:szCs w:val="24"/>
          <w:lang w:val="en-US"/>
        </w:rPr>
        <w:t xml:space="preserve"> no discernible benefit (or boon, to refer to our paper’s title) in offering yield reductions.</w:t>
      </w:r>
    </w:p>
    <w:p w14:paraId="32EE0045" w14:textId="0CD9CD48" w:rsidR="00C55F08" w:rsidRPr="003101A0" w:rsidRDefault="00FE32CC" w:rsidP="00166D86">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The remainder of this paper is structured as follows. Section 2 </w:t>
      </w:r>
      <w:r w:rsidR="00387010" w:rsidRPr="003101A0">
        <w:rPr>
          <w:rFonts w:ascii="Times New Roman" w:hAnsi="Times New Roman" w:cs="Times New Roman"/>
          <w:sz w:val="24"/>
          <w:szCs w:val="24"/>
          <w:lang w:val="en-US"/>
        </w:rPr>
        <w:t xml:space="preserve">develops </w:t>
      </w:r>
      <w:r w:rsidR="0019193F" w:rsidRPr="003101A0">
        <w:rPr>
          <w:rFonts w:ascii="Times New Roman" w:hAnsi="Times New Roman" w:cs="Times New Roman"/>
          <w:sz w:val="24"/>
          <w:szCs w:val="24"/>
          <w:lang w:val="en-US"/>
        </w:rPr>
        <w:t>testable predictions</w:t>
      </w:r>
      <w:r w:rsidR="00387010" w:rsidRPr="003101A0">
        <w:rPr>
          <w:rFonts w:ascii="Times New Roman" w:hAnsi="Times New Roman" w:cs="Times New Roman"/>
          <w:sz w:val="24"/>
          <w:szCs w:val="24"/>
          <w:lang w:val="en-US"/>
        </w:rPr>
        <w:t xml:space="preserve"> on the role of covenants for convertibles. Section 3 </w:t>
      </w:r>
      <w:r w:rsidRPr="003101A0">
        <w:rPr>
          <w:rFonts w:ascii="Times New Roman" w:hAnsi="Times New Roman" w:cs="Times New Roman"/>
          <w:sz w:val="24"/>
          <w:szCs w:val="24"/>
          <w:lang w:val="en-US"/>
        </w:rPr>
        <w:t xml:space="preserve">describes </w:t>
      </w:r>
      <w:r w:rsidR="00163574" w:rsidRPr="003101A0">
        <w:rPr>
          <w:rFonts w:ascii="Times New Roman" w:hAnsi="Times New Roman" w:cs="Times New Roman"/>
          <w:sz w:val="24"/>
          <w:szCs w:val="24"/>
          <w:lang w:val="en-US"/>
        </w:rPr>
        <w:t>the</w:t>
      </w:r>
      <w:r w:rsidR="00387010" w:rsidRPr="003101A0">
        <w:rPr>
          <w:rFonts w:ascii="Times New Roman" w:hAnsi="Times New Roman" w:cs="Times New Roman"/>
          <w:sz w:val="24"/>
          <w:szCs w:val="24"/>
          <w:lang w:val="en-US"/>
        </w:rPr>
        <w:t xml:space="preserve"> sample construction</w:t>
      </w:r>
      <w:r w:rsidR="00CC7E0C" w:rsidRPr="003101A0">
        <w:rPr>
          <w:rFonts w:ascii="Times New Roman" w:hAnsi="Times New Roman" w:cs="Times New Roman"/>
          <w:sz w:val="24"/>
          <w:szCs w:val="24"/>
          <w:lang w:val="en-US"/>
        </w:rPr>
        <w:t xml:space="preserve">, </w:t>
      </w:r>
      <w:r w:rsidR="00387010" w:rsidRPr="003101A0">
        <w:rPr>
          <w:rFonts w:ascii="Times New Roman" w:hAnsi="Times New Roman" w:cs="Times New Roman"/>
          <w:sz w:val="24"/>
          <w:szCs w:val="24"/>
          <w:lang w:val="en-US"/>
        </w:rPr>
        <w:t>measurement of covenant intensity</w:t>
      </w:r>
      <w:r w:rsidR="005561E8" w:rsidRPr="003101A0">
        <w:rPr>
          <w:rFonts w:ascii="Times New Roman" w:hAnsi="Times New Roman" w:cs="Times New Roman"/>
          <w:sz w:val="24"/>
          <w:szCs w:val="24"/>
          <w:lang w:val="en-US"/>
        </w:rPr>
        <w:t>,</w:t>
      </w:r>
      <w:r w:rsidR="00E27B50" w:rsidRPr="003101A0">
        <w:rPr>
          <w:rFonts w:ascii="Times New Roman" w:hAnsi="Times New Roman" w:cs="Times New Roman"/>
          <w:sz w:val="24"/>
          <w:szCs w:val="24"/>
          <w:lang w:val="en-US"/>
        </w:rPr>
        <w:t xml:space="preserve"> and </w:t>
      </w:r>
      <w:r w:rsidR="005561E8" w:rsidRPr="003101A0">
        <w:rPr>
          <w:rFonts w:ascii="Times New Roman" w:hAnsi="Times New Roman" w:cs="Times New Roman"/>
          <w:sz w:val="24"/>
          <w:szCs w:val="24"/>
          <w:lang w:val="en-US"/>
        </w:rPr>
        <w:t>explanatory variables</w:t>
      </w:r>
      <w:r w:rsidRPr="003101A0">
        <w:rPr>
          <w:rFonts w:ascii="Times New Roman" w:hAnsi="Times New Roman" w:cs="Times New Roman"/>
          <w:sz w:val="24"/>
          <w:szCs w:val="24"/>
          <w:lang w:val="en-US"/>
        </w:rPr>
        <w:t xml:space="preserve">. </w:t>
      </w:r>
      <w:r w:rsidR="00387010" w:rsidRPr="003101A0">
        <w:rPr>
          <w:rFonts w:ascii="Times New Roman" w:hAnsi="Times New Roman" w:cs="Times New Roman"/>
          <w:sz w:val="24"/>
          <w:szCs w:val="24"/>
          <w:lang w:val="en-US"/>
        </w:rPr>
        <w:t xml:space="preserve">Section 4 </w:t>
      </w:r>
      <w:r w:rsidR="005D0C50" w:rsidRPr="003101A0">
        <w:rPr>
          <w:rFonts w:ascii="Times New Roman" w:hAnsi="Times New Roman" w:cs="Times New Roman"/>
          <w:sz w:val="24"/>
          <w:szCs w:val="24"/>
          <w:lang w:val="en-US"/>
        </w:rPr>
        <w:t xml:space="preserve">describes our </w:t>
      </w:r>
      <w:r w:rsidRPr="003101A0">
        <w:rPr>
          <w:rFonts w:ascii="Times New Roman" w:hAnsi="Times New Roman" w:cs="Times New Roman"/>
          <w:sz w:val="24"/>
          <w:szCs w:val="24"/>
          <w:lang w:val="en-US"/>
        </w:rPr>
        <w:t xml:space="preserve">findings on the difference in </w:t>
      </w:r>
      <w:r w:rsidR="00163574" w:rsidRPr="003101A0">
        <w:rPr>
          <w:rFonts w:ascii="Times New Roman" w:hAnsi="Times New Roman" w:cs="Times New Roman"/>
          <w:sz w:val="24"/>
          <w:szCs w:val="24"/>
          <w:lang w:val="en-US"/>
        </w:rPr>
        <w:t>covenant intensity between convertibles and straight bonds</w:t>
      </w:r>
      <w:r w:rsidR="00B63E83" w:rsidRPr="003101A0">
        <w:rPr>
          <w:rFonts w:ascii="Times New Roman" w:hAnsi="Times New Roman" w:cs="Times New Roman"/>
          <w:sz w:val="24"/>
          <w:szCs w:val="24"/>
          <w:lang w:val="en-US"/>
        </w:rPr>
        <w:t xml:space="preserve"> (</w:t>
      </w:r>
      <w:r w:rsidR="00B63E83" w:rsidRPr="003101A0">
        <w:rPr>
          <w:rFonts w:ascii="Times New Roman" w:hAnsi="Times New Roman" w:cs="Times New Roman"/>
          <w:i/>
          <w:iCs/>
          <w:sz w:val="24"/>
          <w:szCs w:val="24"/>
          <w:lang w:val="en-US"/>
        </w:rPr>
        <w:t>P</w:t>
      </w:r>
      <w:r w:rsidR="00B63E83" w:rsidRPr="003101A0">
        <w:rPr>
          <w:rFonts w:ascii="Times New Roman" w:hAnsi="Times New Roman" w:cs="Times New Roman"/>
          <w:i/>
          <w:iCs/>
          <w:sz w:val="24"/>
          <w:szCs w:val="24"/>
          <w:vertAlign w:val="subscript"/>
          <w:lang w:val="en-US"/>
        </w:rPr>
        <w:t>1</w:t>
      </w:r>
      <w:r w:rsidR="00B63E83" w:rsidRPr="003101A0">
        <w:rPr>
          <w:rFonts w:ascii="Times New Roman" w:hAnsi="Times New Roman" w:cs="Times New Roman"/>
          <w:sz w:val="24"/>
          <w:szCs w:val="24"/>
          <w:lang w:val="en-US"/>
        </w:rPr>
        <w:t>)</w:t>
      </w:r>
      <w:r w:rsidR="00163574" w:rsidRPr="003101A0">
        <w:rPr>
          <w:rFonts w:ascii="Times New Roman" w:hAnsi="Times New Roman" w:cs="Times New Roman"/>
          <w:sz w:val="24"/>
          <w:szCs w:val="24"/>
          <w:lang w:val="en-US"/>
        </w:rPr>
        <w:t xml:space="preserve">. </w:t>
      </w:r>
      <w:r w:rsidR="005D0C50" w:rsidRPr="003101A0">
        <w:rPr>
          <w:rFonts w:ascii="Times New Roman" w:hAnsi="Times New Roman" w:cs="Times New Roman"/>
          <w:sz w:val="24"/>
          <w:szCs w:val="24"/>
          <w:lang w:val="en-US"/>
        </w:rPr>
        <w:t xml:space="preserve">Section </w:t>
      </w:r>
      <w:r w:rsidR="00B45F10" w:rsidRPr="003101A0">
        <w:rPr>
          <w:rFonts w:ascii="Times New Roman" w:hAnsi="Times New Roman" w:cs="Times New Roman"/>
          <w:sz w:val="24"/>
          <w:szCs w:val="24"/>
          <w:lang w:val="en-US"/>
        </w:rPr>
        <w:t>5</w:t>
      </w:r>
      <w:r w:rsidR="00F74F87" w:rsidRPr="003101A0">
        <w:rPr>
          <w:rFonts w:ascii="Times New Roman" w:hAnsi="Times New Roman" w:cs="Times New Roman"/>
          <w:sz w:val="24"/>
          <w:szCs w:val="24"/>
          <w:lang w:val="en-US"/>
        </w:rPr>
        <w:t xml:space="preserve"> </w:t>
      </w:r>
      <w:r w:rsidR="005D0C50" w:rsidRPr="003101A0">
        <w:rPr>
          <w:rFonts w:ascii="Times New Roman" w:hAnsi="Times New Roman" w:cs="Times New Roman"/>
          <w:sz w:val="24"/>
          <w:szCs w:val="24"/>
          <w:lang w:val="en-US"/>
        </w:rPr>
        <w:t xml:space="preserve">describes our findings </w:t>
      </w:r>
      <w:r w:rsidR="00F74F87" w:rsidRPr="003101A0">
        <w:rPr>
          <w:rFonts w:ascii="Times New Roman" w:hAnsi="Times New Roman" w:cs="Times New Roman"/>
          <w:sz w:val="24"/>
          <w:szCs w:val="24"/>
          <w:lang w:val="en-US"/>
        </w:rPr>
        <w:t>on the effect of covenants on convertible and</w:t>
      </w:r>
      <w:r w:rsidR="005D0C50" w:rsidRPr="003101A0">
        <w:rPr>
          <w:rFonts w:ascii="Times New Roman" w:hAnsi="Times New Roman" w:cs="Times New Roman"/>
          <w:sz w:val="24"/>
          <w:szCs w:val="24"/>
          <w:lang w:val="en-US"/>
        </w:rPr>
        <w:t xml:space="preserve"> straight bond yields</w:t>
      </w:r>
      <w:r w:rsidR="00B63E83" w:rsidRPr="003101A0">
        <w:rPr>
          <w:rFonts w:ascii="Times New Roman" w:hAnsi="Times New Roman" w:cs="Times New Roman"/>
          <w:sz w:val="24"/>
          <w:szCs w:val="24"/>
          <w:lang w:val="en-US"/>
        </w:rPr>
        <w:t xml:space="preserve"> (</w:t>
      </w:r>
      <w:r w:rsidR="00B63E83" w:rsidRPr="003101A0">
        <w:rPr>
          <w:rFonts w:ascii="Times New Roman" w:hAnsi="Times New Roman" w:cs="Times New Roman"/>
          <w:i/>
          <w:iCs/>
          <w:sz w:val="24"/>
          <w:szCs w:val="24"/>
          <w:lang w:val="en-US"/>
        </w:rPr>
        <w:t>P</w:t>
      </w:r>
      <w:r w:rsidR="00B63E83" w:rsidRPr="003101A0">
        <w:rPr>
          <w:rFonts w:ascii="Times New Roman" w:hAnsi="Times New Roman" w:cs="Times New Roman"/>
          <w:i/>
          <w:iCs/>
          <w:sz w:val="24"/>
          <w:szCs w:val="24"/>
          <w:vertAlign w:val="subscript"/>
          <w:lang w:val="en-US"/>
        </w:rPr>
        <w:t>2</w:t>
      </w:r>
      <w:r w:rsidR="00B63E83" w:rsidRPr="003101A0">
        <w:rPr>
          <w:rFonts w:ascii="Times New Roman" w:hAnsi="Times New Roman" w:cs="Times New Roman"/>
          <w:sz w:val="24"/>
          <w:szCs w:val="24"/>
          <w:lang w:val="en-US"/>
        </w:rPr>
        <w:t>)</w:t>
      </w:r>
      <w:r w:rsidR="005D0C50" w:rsidRPr="003101A0">
        <w:rPr>
          <w:rFonts w:ascii="Times New Roman" w:hAnsi="Times New Roman" w:cs="Times New Roman"/>
          <w:sz w:val="24"/>
          <w:szCs w:val="24"/>
          <w:lang w:val="en-US"/>
        </w:rPr>
        <w:t xml:space="preserve">. </w:t>
      </w:r>
      <w:r w:rsidR="008D4BC7">
        <w:rPr>
          <w:rFonts w:ascii="Times New Roman" w:hAnsi="Times New Roman" w:cs="Times New Roman"/>
          <w:sz w:val="24"/>
          <w:szCs w:val="24"/>
          <w:lang w:val="en-US"/>
        </w:rPr>
        <w:t xml:space="preserve">Section 6 presents </w:t>
      </w:r>
      <w:r w:rsidR="00D33FE4">
        <w:rPr>
          <w:rFonts w:ascii="Times New Roman" w:hAnsi="Times New Roman" w:cs="Times New Roman"/>
          <w:sz w:val="24"/>
          <w:szCs w:val="24"/>
          <w:lang w:val="en-US"/>
        </w:rPr>
        <w:t xml:space="preserve">relevant additional tests </w:t>
      </w:r>
      <w:r w:rsidR="000F0F71">
        <w:rPr>
          <w:rFonts w:ascii="Times New Roman" w:hAnsi="Times New Roman" w:cs="Times New Roman"/>
          <w:sz w:val="24"/>
          <w:szCs w:val="24"/>
          <w:lang w:val="en-US"/>
        </w:rPr>
        <w:t xml:space="preserve">that further substantiate </w:t>
      </w:r>
      <w:r w:rsidR="00D33FE4">
        <w:rPr>
          <w:rFonts w:ascii="Times New Roman" w:hAnsi="Times New Roman" w:cs="Times New Roman"/>
          <w:sz w:val="24"/>
          <w:szCs w:val="24"/>
          <w:lang w:val="en-US"/>
        </w:rPr>
        <w:t>our main results</w:t>
      </w:r>
      <w:r w:rsidR="008D4BC7">
        <w:rPr>
          <w:rFonts w:ascii="Times New Roman" w:hAnsi="Times New Roman" w:cs="Times New Roman"/>
          <w:sz w:val="24"/>
          <w:szCs w:val="24"/>
          <w:lang w:val="en-US"/>
        </w:rPr>
        <w:t xml:space="preserve">. </w:t>
      </w:r>
      <w:r w:rsidR="005D0C50" w:rsidRPr="003101A0">
        <w:rPr>
          <w:rFonts w:ascii="Times New Roman" w:hAnsi="Times New Roman" w:cs="Times New Roman"/>
          <w:sz w:val="24"/>
          <w:szCs w:val="24"/>
          <w:lang w:val="en-US"/>
        </w:rPr>
        <w:t xml:space="preserve">Section </w:t>
      </w:r>
      <w:r w:rsidR="008D4BC7">
        <w:rPr>
          <w:rFonts w:ascii="Times New Roman" w:hAnsi="Times New Roman" w:cs="Times New Roman"/>
          <w:sz w:val="24"/>
          <w:szCs w:val="24"/>
          <w:lang w:val="en-US"/>
        </w:rPr>
        <w:t>7</w:t>
      </w:r>
      <w:r w:rsidR="008152D5">
        <w:rPr>
          <w:rFonts w:ascii="Times New Roman" w:hAnsi="Times New Roman" w:cs="Times New Roman"/>
          <w:sz w:val="24"/>
          <w:szCs w:val="24"/>
          <w:lang w:val="en-US"/>
        </w:rPr>
        <w:t xml:space="preserve"> </w:t>
      </w:r>
      <w:r w:rsidR="00B1681E" w:rsidRPr="003101A0">
        <w:rPr>
          <w:rFonts w:ascii="Times New Roman" w:hAnsi="Times New Roman" w:cs="Times New Roman"/>
          <w:sz w:val="24"/>
          <w:szCs w:val="24"/>
          <w:lang w:val="en-US"/>
        </w:rPr>
        <w:t xml:space="preserve">summarizes our key </w:t>
      </w:r>
      <w:r w:rsidR="008D4BC7">
        <w:rPr>
          <w:rFonts w:ascii="Times New Roman" w:hAnsi="Times New Roman" w:cs="Times New Roman"/>
          <w:sz w:val="24"/>
          <w:szCs w:val="24"/>
          <w:lang w:val="en-US"/>
        </w:rPr>
        <w:t>results</w:t>
      </w:r>
      <w:r w:rsidR="008D4BC7" w:rsidRPr="003101A0">
        <w:rPr>
          <w:rFonts w:ascii="Times New Roman" w:hAnsi="Times New Roman" w:cs="Times New Roman"/>
          <w:sz w:val="24"/>
          <w:szCs w:val="24"/>
          <w:lang w:val="en-US"/>
        </w:rPr>
        <w:t xml:space="preserve"> </w:t>
      </w:r>
      <w:r w:rsidR="00B1681E" w:rsidRPr="003101A0">
        <w:rPr>
          <w:rFonts w:ascii="Times New Roman" w:hAnsi="Times New Roman" w:cs="Times New Roman"/>
          <w:sz w:val="24"/>
          <w:szCs w:val="24"/>
          <w:lang w:val="en-US"/>
        </w:rPr>
        <w:t xml:space="preserve">and </w:t>
      </w:r>
      <w:r w:rsidR="00B84B5B">
        <w:rPr>
          <w:rFonts w:ascii="Times New Roman" w:hAnsi="Times New Roman" w:cs="Times New Roman"/>
          <w:sz w:val="24"/>
          <w:szCs w:val="24"/>
          <w:lang w:val="en-US"/>
        </w:rPr>
        <w:t>discusses the</w:t>
      </w:r>
      <w:r w:rsidR="00B1681E" w:rsidRPr="003101A0">
        <w:rPr>
          <w:rFonts w:ascii="Times New Roman" w:hAnsi="Times New Roman" w:cs="Times New Roman"/>
          <w:sz w:val="24"/>
          <w:szCs w:val="24"/>
          <w:lang w:val="en-US"/>
        </w:rPr>
        <w:t xml:space="preserve"> practical implications of our </w:t>
      </w:r>
      <w:r w:rsidR="00B84B5B">
        <w:rPr>
          <w:rFonts w:ascii="Times New Roman" w:hAnsi="Times New Roman" w:cs="Times New Roman"/>
          <w:sz w:val="24"/>
          <w:szCs w:val="24"/>
          <w:lang w:val="en-US"/>
        </w:rPr>
        <w:t>study</w:t>
      </w:r>
      <w:r w:rsidR="00B1681E" w:rsidRPr="003101A0">
        <w:rPr>
          <w:rFonts w:ascii="Times New Roman" w:hAnsi="Times New Roman" w:cs="Times New Roman"/>
          <w:sz w:val="24"/>
          <w:szCs w:val="24"/>
          <w:lang w:val="en-US"/>
        </w:rPr>
        <w:t xml:space="preserve"> for a range of stakeholders</w:t>
      </w:r>
      <w:r w:rsidR="00F74F87" w:rsidRPr="003101A0">
        <w:rPr>
          <w:rFonts w:ascii="Times New Roman" w:hAnsi="Times New Roman" w:cs="Times New Roman"/>
          <w:sz w:val="24"/>
          <w:szCs w:val="24"/>
          <w:lang w:val="en-US"/>
        </w:rPr>
        <w:t xml:space="preserve">. </w:t>
      </w:r>
    </w:p>
    <w:p w14:paraId="6306E68B" w14:textId="77777777" w:rsidR="00422DAA" w:rsidRPr="003101A0" w:rsidRDefault="00422DAA" w:rsidP="00FB5BEC">
      <w:pPr>
        <w:spacing w:after="0" w:line="480" w:lineRule="auto"/>
        <w:ind w:firstLine="426"/>
        <w:rPr>
          <w:rFonts w:ascii="Times New Roman" w:hAnsi="Times New Roman" w:cs="Times New Roman"/>
          <w:sz w:val="24"/>
          <w:szCs w:val="24"/>
          <w:lang w:val="en-US"/>
        </w:rPr>
      </w:pPr>
    </w:p>
    <w:p w14:paraId="16916658" w14:textId="0E89DD0F" w:rsidR="00C55F08" w:rsidRPr="003101A0" w:rsidRDefault="009A2387" w:rsidP="00FB5BEC">
      <w:pPr>
        <w:pStyle w:val="ListParagraph"/>
        <w:numPr>
          <w:ilvl w:val="0"/>
          <w:numId w:val="3"/>
        </w:numPr>
        <w:spacing w:after="0" w:line="480" w:lineRule="auto"/>
        <w:ind w:left="426" w:hanging="426"/>
        <w:rPr>
          <w:rFonts w:ascii="Times New Roman" w:hAnsi="Times New Roman" w:cs="Times New Roman"/>
          <w:b/>
          <w:sz w:val="24"/>
          <w:szCs w:val="24"/>
          <w:lang w:val="en-US"/>
        </w:rPr>
      </w:pPr>
      <w:r w:rsidRPr="003101A0">
        <w:rPr>
          <w:rFonts w:ascii="Times New Roman" w:hAnsi="Times New Roman" w:cs="Times New Roman"/>
          <w:b/>
          <w:sz w:val="24"/>
          <w:szCs w:val="24"/>
          <w:lang w:val="en-US"/>
        </w:rPr>
        <w:t>T</w:t>
      </w:r>
      <w:r w:rsidR="00F134B2" w:rsidRPr="003101A0">
        <w:rPr>
          <w:rFonts w:ascii="Times New Roman" w:hAnsi="Times New Roman" w:cs="Times New Roman"/>
          <w:b/>
          <w:sz w:val="24"/>
          <w:szCs w:val="24"/>
          <w:lang w:val="en-US"/>
        </w:rPr>
        <w:t>estable predictions on the</w:t>
      </w:r>
      <w:r w:rsidRPr="003101A0">
        <w:rPr>
          <w:rFonts w:ascii="Times New Roman" w:hAnsi="Times New Roman" w:cs="Times New Roman"/>
          <w:b/>
          <w:sz w:val="24"/>
          <w:szCs w:val="24"/>
          <w:lang w:val="en-US"/>
        </w:rPr>
        <w:t xml:space="preserve"> role of covenants for convertible bonds</w:t>
      </w:r>
    </w:p>
    <w:p w14:paraId="0C892B5F" w14:textId="44B20B4A" w:rsidR="00F134B2" w:rsidRPr="003101A0" w:rsidRDefault="009A2387" w:rsidP="00D84855">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Our testable predictions build on theories on the role of covenants </w:t>
      </w:r>
      <w:r w:rsidR="00E27B50" w:rsidRPr="003101A0">
        <w:rPr>
          <w:rFonts w:ascii="Times New Roman" w:hAnsi="Times New Roman" w:cs="Times New Roman"/>
          <w:sz w:val="24"/>
          <w:szCs w:val="24"/>
          <w:lang w:val="en-US"/>
        </w:rPr>
        <w:t xml:space="preserve">on the one hand </w:t>
      </w:r>
      <w:r w:rsidRPr="003101A0">
        <w:rPr>
          <w:rFonts w:ascii="Times New Roman" w:hAnsi="Times New Roman" w:cs="Times New Roman"/>
          <w:sz w:val="24"/>
          <w:szCs w:val="24"/>
          <w:lang w:val="en-US"/>
        </w:rPr>
        <w:t xml:space="preserve">and theories on </w:t>
      </w:r>
      <w:r w:rsidR="00CC7E0C" w:rsidRPr="003101A0">
        <w:rPr>
          <w:rFonts w:ascii="Times New Roman" w:hAnsi="Times New Roman" w:cs="Times New Roman"/>
          <w:sz w:val="24"/>
          <w:szCs w:val="24"/>
          <w:lang w:val="en-US"/>
        </w:rPr>
        <w:t>the role of convertible bonds</w:t>
      </w:r>
      <w:r w:rsidR="00E27B50" w:rsidRPr="003101A0">
        <w:rPr>
          <w:rFonts w:ascii="Times New Roman" w:hAnsi="Times New Roman" w:cs="Times New Roman"/>
          <w:sz w:val="24"/>
          <w:szCs w:val="24"/>
          <w:lang w:val="en-US"/>
        </w:rPr>
        <w:t xml:space="preserve"> on the other hand</w:t>
      </w:r>
      <w:r w:rsidRPr="003101A0">
        <w:rPr>
          <w:rFonts w:ascii="Times New Roman" w:hAnsi="Times New Roman" w:cs="Times New Roman"/>
          <w:sz w:val="24"/>
          <w:szCs w:val="24"/>
          <w:lang w:val="en-US"/>
        </w:rPr>
        <w:t xml:space="preserve">. </w:t>
      </w:r>
      <w:r w:rsidR="00F134B2" w:rsidRPr="003101A0">
        <w:rPr>
          <w:rFonts w:ascii="Times New Roman" w:hAnsi="Times New Roman" w:cs="Times New Roman"/>
          <w:sz w:val="24"/>
          <w:szCs w:val="24"/>
          <w:lang w:val="en-US"/>
        </w:rPr>
        <w:t>We first outline these theories and then develop our predictions.</w:t>
      </w:r>
    </w:p>
    <w:p w14:paraId="0D652693" w14:textId="77777777" w:rsidR="00F134B2" w:rsidRPr="003101A0" w:rsidRDefault="00F134B2" w:rsidP="00D84855">
      <w:pPr>
        <w:spacing w:after="0" w:line="480" w:lineRule="auto"/>
        <w:jc w:val="both"/>
        <w:rPr>
          <w:rFonts w:ascii="Times New Roman" w:hAnsi="Times New Roman" w:cs="Times New Roman"/>
          <w:i/>
          <w:iCs/>
          <w:sz w:val="24"/>
          <w:szCs w:val="24"/>
          <w:lang w:val="en-US"/>
        </w:rPr>
      </w:pPr>
      <w:r w:rsidRPr="003101A0">
        <w:rPr>
          <w:rFonts w:ascii="Times New Roman" w:hAnsi="Times New Roman" w:cs="Times New Roman"/>
          <w:i/>
          <w:iCs/>
          <w:sz w:val="24"/>
          <w:szCs w:val="24"/>
          <w:lang w:val="en-US"/>
        </w:rPr>
        <w:t>2.1. The role of covenants</w:t>
      </w:r>
    </w:p>
    <w:p w14:paraId="2914D619" w14:textId="74F76E60" w:rsidR="009A2387" w:rsidRPr="003101A0" w:rsidRDefault="00C4574C" w:rsidP="00D84855">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The </w:t>
      </w:r>
      <w:r w:rsidR="00D440FB"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costly contracting</w:t>
      </w:r>
      <w:r w:rsidR="00D440FB" w:rsidRPr="003101A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viewpoint on covenants holds that</w:t>
      </w:r>
      <w:r w:rsidR="009A2387" w:rsidRPr="003101A0">
        <w:rPr>
          <w:rFonts w:ascii="Times New Roman" w:hAnsi="Times New Roman" w:cs="Times New Roman"/>
          <w:sz w:val="24"/>
          <w:szCs w:val="24"/>
          <w:lang w:val="en-US"/>
        </w:rPr>
        <w:t xml:space="preserve"> individual covenant types can address specific debt-related financing costs. </w:t>
      </w:r>
      <w:r w:rsidR="00537202" w:rsidRPr="003101A0">
        <w:rPr>
          <w:rFonts w:ascii="Times New Roman" w:hAnsi="Times New Roman" w:cs="Times New Roman"/>
          <w:sz w:val="24"/>
          <w:szCs w:val="24"/>
          <w:lang w:val="en-US"/>
        </w:rPr>
        <w:t>I</w:t>
      </w:r>
      <w:r w:rsidR="00025283" w:rsidRPr="003101A0">
        <w:rPr>
          <w:rFonts w:ascii="Times New Roman" w:hAnsi="Times New Roman" w:cs="Times New Roman"/>
          <w:sz w:val="24"/>
          <w:szCs w:val="24"/>
          <w:lang w:val="en-US"/>
        </w:rPr>
        <w:t>nvestment-restricting covenants</w:t>
      </w:r>
      <w:r w:rsidR="00D502E2" w:rsidRPr="003101A0">
        <w:rPr>
          <w:rFonts w:ascii="Times New Roman" w:hAnsi="Times New Roman" w:cs="Times New Roman"/>
          <w:sz w:val="24"/>
          <w:szCs w:val="24"/>
          <w:lang w:val="en-US"/>
        </w:rPr>
        <w:t xml:space="preserve"> may </w:t>
      </w:r>
      <w:r w:rsidR="00FE3C3B" w:rsidRPr="003101A0">
        <w:rPr>
          <w:rFonts w:ascii="Times New Roman" w:hAnsi="Times New Roman" w:cs="Times New Roman"/>
          <w:sz w:val="24"/>
          <w:szCs w:val="24"/>
          <w:lang w:val="en-US"/>
        </w:rPr>
        <w:t xml:space="preserve">reduce bondholders’ vulnerability to shareholders’ risk-shifting </w:t>
      </w:r>
      <w:r w:rsidR="00BA5AAE" w:rsidRPr="003101A0">
        <w:rPr>
          <w:rFonts w:ascii="Times New Roman" w:hAnsi="Times New Roman" w:cs="Times New Roman"/>
          <w:sz w:val="24"/>
          <w:szCs w:val="24"/>
          <w:lang w:val="en-US"/>
        </w:rPr>
        <w:t>actions</w:t>
      </w:r>
      <w:r w:rsidR="00FE3C3B" w:rsidRPr="003101A0">
        <w:rPr>
          <w:rFonts w:ascii="Times New Roman" w:hAnsi="Times New Roman" w:cs="Times New Roman"/>
          <w:sz w:val="24"/>
          <w:szCs w:val="24"/>
          <w:lang w:val="en-US"/>
        </w:rPr>
        <w:t xml:space="preserve"> (</w:t>
      </w:r>
      <w:r w:rsidR="00D420C1" w:rsidRPr="003101A0">
        <w:rPr>
          <w:rFonts w:ascii="Times New Roman" w:hAnsi="Times New Roman" w:cs="Times New Roman"/>
          <w:sz w:val="24"/>
          <w:szCs w:val="24"/>
          <w:lang w:val="en-US"/>
        </w:rPr>
        <w:t>Smith and Warner, 197</w:t>
      </w:r>
      <w:r w:rsidR="004E0E1E" w:rsidRPr="003101A0">
        <w:rPr>
          <w:rFonts w:ascii="Times New Roman" w:hAnsi="Times New Roman" w:cs="Times New Roman"/>
          <w:sz w:val="24"/>
          <w:szCs w:val="24"/>
          <w:lang w:val="en-US"/>
        </w:rPr>
        <w:t>9</w:t>
      </w:r>
      <w:r w:rsidR="00D420C1" w:rsidRPr="003101A0">
        <w:rPr>
          <w:rFonts w:ascii="Times New Roman" w:hAnsi="Times New Roman" w:cs="Times New Roman"/>
          <w:sz w:val="24"/>
          <w:szCs w:val="24"/>
          <w:lang w:val="en-US"/>
        </w:rPr>
        <w:t xml:space="preserve">; </w:t>
      </w:r>
      <w:r w:rsidR="00025283" w:rsidRPr="003101A0">
        <w:rPr>
          <w:rFonts w:ascii="Times New Roman" w:hAnsi="Times New Roman" w:cs="Times New Roman"/>
          <w:sz w:val="24"/>
          <w:szCs w:val="24"/>
          <w:lang w:val="en-US"/>
        </w:rPr>
        <w:t xml:space="preserve">Nash et al., 2003; </w:t>
      </w:r>
      <w:proofErr w:type="spellStart"/>
      <w:r w:rsidR="00FE3C3B" w:rsidRPr="003101A0">
        <w:rPr>
          <w:rFonts w:ascii="Times New Roman" w:hAnsi="Times New Roman" w:cs="Times New Roman"/>
          <w:sz w:val="24"/>
          <w:szCs w:val="24"/>
          <w:lang w:val="en-US"/>
        </w:rPr>
        <w:t>Chava</w:t>
      </w:r>
      <w:proofErr w:type="spellEnd"/>
      <w:r w:rsidR="00FE3C3B" w:rsidRPr="003101A0">
        <w:rPr>
          <w:rFonts w:ascii="Times New Roman" w:hAnsi="Times New Roman" w:cs="Times New Roman"/>
          <w:sz w:val="24"/>
          <w:szCs w:val="24"/>
          <w:lang w:val="en-US"/>
        </w:rPr>
        <w:t xml:space="preserve"> et al., 2019)</w:t>
      </w:r>
      <w:r w:rsidR="009A2387" w:rsidRPr="003101A0">
        <w:rPr>
          <w:rFonts w:ascii="Times New Roman" w:hAnsi="Times New Roman" w:cs="Times New Roman"/>
          <w:sz w:val="24"/>
          <w:szCs w:val="24"/>
          <w:lang w:val="en-US"/>
        </w:rPr>
        <w:t xml:space="preserve"> and thereby alleviate asset substitution costs (Jensen and </w:t>
      </w:r>
      <w:proofErr w:type="spellStart"/>
      <w:r w:rsidR="009A2387" w:rsidRPr="003101A0">
        <w:rPr>
          <w:rFonts w:ascii="Times New Roman" w:hAnsi="Times New Roman" w:cs="Times New Roman"/>
          <w:sz w:val="24"/>
          <w:szCs w:val="24"/>
          <w:lang w:val="en-US"/>
        </w:rPr>
        <w:t>Meckling</w:t>
      </w:r>
      <w:proofErr w:type="spellEnd"/>
      <w:r w:rsidR="009A2387" w:rsidRPr="003101A0">
        <w:rPr>
          <w:rFonts w:ascii="Times New Roman" w:hAnsi="Times New Roman" w:cs="Times New Roman"/>
          <w:sz w:val="24"/>
          <w:szCs w:val="24"/>
          <w:lang w:val="en-US"/>
        </w:rPr>
        <w:t>, 1976)</w:t>
      </w:r>
      <w:r w:rsidR="00FE3C3B" w:rsidRPr="003101A0">
        <w:rPr>
          <w:rFonts w:ascii="Times New Roman" w:hAnsi="Times New Roman" w:cs="Times New Roman"/>
          <w:sz w:val="24"/>
          <w:szCs w:val="24"/>
          <w:lang w:val="en-US"/>
        </w:rPr>
        <w:t xml:space="preserve">. </w:t>
      </w:r>
      <w:r w:rsidR="009905A9" w:rsidRPr="003101A0">
        <w:rPr>
          <w:rFonts w:ascii="Times New Roman" w:hAnsi="Times New Roman" w:cs="Times New Roman"/>
          <w:sz w:val="24"/>
          <w:szCs w:val="24"/>
          <w:lang w:val="en-US"/>
        </w:rPr>
        <w:t>Covenants l</w:t>
      </w:r>
      <w:r w:rsidR="009A2387" w:rsidRPr="003101A0">
        <w:rPr>
          <w:rFonts w:ascii="Times New Roman" w:hAnsi="Times New Roman" w:cs="Times New Roman"/>
          <w:sz w:val="24"/>
          <w:szCs w:val="24"/>
          <w:lang w:val="en-US"/>
        </w:rPr>
        <w:t>imiting dividends and other payouts to shareholders</w:t>
      </w:r>
      <w:r w:rsidR="00E63A0F" w:rsidRPr="003101A0">
        <w:rPr>
          <w:rFonts w:ascii="Times New Roman" w:hAnsi="Times New Roman" w:cs="Times New Roman"/>
          <w:sz w:val="24"/>
          <w:szCs w:val="24"/>
          <w:lang w:val="en-US"/>
        </w:rPr>
        <w:t>, in turn,</w:t>
      </w:r>
      <w:r w:rsidR="009A2387" w:rsidRPr="003101A0">
        <w:rPr>
          <w:rFonts w:ascii="Times New Roman" w:hAnsi="Times New Roman" w:cs="Times New Roman"/>
          <w:sz w:val="24"/>
          <w:szCs w:val="24"/>
          <w:lang w:val="en-US"/>
        </w:rPr>
        <w:t xml:space="preserve"> effectively force the firm to invest </w:t>
      </w:r>
      <w:r w:rsidR="00871C61" w:rsidRPr="003101A0">
        <w:rPr>
          <w:rFonts w:ascii="Times New Roman" w:hAnsi="Times New Roman" w:cs="Times New Roman"/>
          <w:sz w:val="24"/>
          <w:szCs w:val="24"/>
          <w:lang w:val="en-US"/>
        </w:rPr>
        <w:t>because</w:t>
      </w:r>
      <w:r w:rsidR="009A2387" w:rsidRPr="003101A0">
        <w:rPr>
          <w:rFonts w:ascii="Times New Roman" w:hAnsi="Times New Roman" w:cs="Times New Roman"/>
          <w:sz w:val="24"/>
          <w:szCs w:val="24"/>
          <w:lang w:val="en-US"/>
        </w:rPr>
        <w:t xml:space="preserve"> a binding payout covenant prevents the distribution of free cash to shareholders (</w:t>
      </w:r>
      <w:proofErr w:type="spellStart"/>
      <w:r w:rsidR="009A2387" w:rsidRPr="003101A0">
        <w:rPr>
          <w:rFonts w:ascii="Times New Roman" w:hAnsi="Times New Roman" w:cs="Times New Roman"/>
          <w:sz w:val="24"/>
          <w:szCs w:val="24"/>
          <w:lang w:val="en-US"/>
        </w:rPr>
        <w:t>Kalay</w:t>
      </w:r>
      <w:proofErr w:type="spellEnd"/>
      <w:r w:rsidR="009A2387" w:rsidRPr="003101A0">
        <w:rPr>
          <w:rFonts w:ascii="Times New Roman" w:hAnsi="Times New Roman" w:cs="Times New Roman"/>
          <w:sz w:val="24"/>
          <w:szCs w:val="24"/>
          <w:lang w:val="en-US"/>
        </w:rPr>
        <w:t xml:space="preserve">, 1982; </w:t>
      </w:r>
      <w:proofErr w:type="spellStart"/>
      <w:r w:rsidR="009A2387" w:rsidRPr="003101A0">
        <w:rPr>
          <w:rFonts w:ascii="Times New Roman" w:hAnsi="Times New Roman" w:cs="Times New Roman"/>
          <w:sz w:val="24"/>
          <w:szCs w:val="24"/>
          <w:lang w:val="en-US"/>
        </w:rPr>
        <w:t>Berkovitch</w:t>
      </w:r>
      <w:proofErr w:type="spellEnd"/>
      <w:r w:rsidR="009A2387" w:rsidRPr="003101A0">
        <w:rPr>
          <w:rFonts w:ascii="Times New Roman" w:hAnsi="Times New Roman" w:cs="Times New Roman"/>
          <w:sz w:val="24"/>
          <w:szCs w:val="24"/>
          <w:lang w:val="en-US"/>
        </w:rPr>
        <w:t xml:space="preserve"> and Kim, 1990). Thus, payout</w:t>
      </w:r>
      <w:r w:rsidR="009905A9" w:rsidRPr="003101A0">
        <w:rPr>
          <w:rFonts w:ascii="Times New Roman" w:hAnsi="Times New Roman" w:cs="Times New Roman"/>
          <w:sz w:val="24"/>
          <w:szCs w:val="24"/>
          <w:lang w:val="en-US"/>
        </w:rPr>
        <w:t>-restricting</w:t>
      </w:r>
      <w:r w:rsidR="009A2387" w:rsidRPr="003101A0">
        <w:rPr>
          <w:rFonts w:ascii="Times New Roman" w:hAnsi="Times New Roman" w:cs="Times New Roman"/>
          <w:sz w:val="24"/>
          <w:szCs w:val="24"/>
          <w:lang w:val="en-US"/>
        </w:rPr>
        <w:t xml:space="preserve"> covenants can help reduce </w:t>
      </w:r>
      <w:r w:rsidR="009905A9" w:rsidRPr="003101A0">
        <w:rPr>
          <w:rFonts w:ascii="Times New Roman" w:hAnsi="Times New Roman" w:cs="Times New Roman"/>
          <w:sz w:val="24"/>
          <w:szCs w:val="24"/>
          <w:lang w:val="en-US"/>
        </w:rPr>
        <w:t>debt-related</w:t>
      </w:r>
      <w:r w:rsidR="009A2387" w:rsidRPr="003101A0">
        <w:rPr>
          <w:rFonts w:ascii="Times New Roman" w:hAnsi="Times New Roman" w:cs="Times New Roman"/>
          <w:sz w:val="24"/>
          <w:szCs w:val="24"/>
          <w:lang w:val="en-US"/>
        </w:rPr>
        <w:t xml:space="preserve"> underinvestment </w:t>
      </w:r>
      <w:r w:rsidR="009905A9" w:rsidRPr="003101A0">
        <w:rPr>
          <w:rFonts w:ascii="Times New Roman" w:hAnsi="Times New Roman" w:cs="Times New Roman"/>
          <w:sz w:val="24"/>
          <w:szCs w:val="24"/>
          <w:lang w:val="en-US"/>
        </w:rPr>
        <w:t>costs</w:t>
      </w:r>
      <w:r w:rsidR="009A2387" w:rsidRPr="003101A0">
        <w:rPr>
          <w:rFonts w:ascii="Times New Roman" w:hAnsi="Times New Roman" w:cs="Times New Roman"/>
          <w:sz w:val="24"/>
          <w:szCs w:val="24"/>
          <w:lang w:val="en-US"/>
        </w:rPr>
        <w:t xml:space="preserve"> (</w:t>
      </w:r>
      <w:r w:rsidR="009905A9" w:rsidRPr="003101A0">
        <w:rPr>
          <w:rFonts w:ascii="Times New Roman" w:hAnsi="Times New Roman" w:cs="Times New Roman"/>
          <w:sz w:val="24"/>
          <w:szCs w:val="24"/>
          <w:lang w:val="en-US"/>
        </w:rPr>
        <w:t xml:space="preserve">Myers, 1977; </w:t>
      </w:r>
      <w:r w:rsidR="009A2387" w:rsidRPr="003101A0">
        <w:rPr>
          <w:rFonts w:ascii="Times New Roman" w:hAnsi="Times New Roman" w:cs="Times New Roman"/>
          <w:sz w:val="24"/>
          <w:szCs w:val="24"/>
          <w:lang w:val="en-US"/>
        </w:rPr>
        <w:t>Smith and Warner, 1979</w:t>
      </w:r>
      <w:r w:rsidR="00511714" w:rsidRPr="003101A0">
        <w:rPr>
          <w:rFonts w:ascii="Times New Roman" w:hAnsi="Times New Roman" w:cs="Times New Roman"/>
          <w:sz w:val="24"/>
          <w:szCs w:val="24"/>
          <w:lang w:val="en-US"/>
        </w:rPr>
        <w:t>;</w:t>
      </w:r>
      <w:r w:rsidR="009A2387" w:rsidRPr="003101A0">
        <w:rPr>
          <w:rFonts w:ascii="Times New Roman" w:hAnsi="Times New Roman" w:cs="Times New Roman"/>
          <w:sz w:val="24"/>
          <w:szCs w:val="24"/>
          <w:lang w:val="en-US"/>
        </w:rPr>
        <w:t xml:space="preserve"> </w:t>
      </w:r>
      <w:proofErr w:type="spellStart"/>
      <w:r w:rsidR="009A2387" w:rsidRPr="003101A0">
        <w:rPr>
          <w:rFonts w:ascii="Times New Roman" w:hAnsi="Times New Roman" w:cs="Times New Roman"/>
          <w:sz w:val="24"/>
          <w:szCs w:val="24"/>
          <w:lang w:val="en-US"/>
        </w:rPr>
        <w:t>Malitz</w:t>
      </w:r>
      <w:proofErr w:type="spellEnd"/>
      <w:r w:rsidR="009A2387" w:rsidRPr="003101A0">
        <w:rPr>
          <w:rFonts w:ascii="Times New Roman" w:hAnsi="Times New Roman" w:cs="Times New Roman"/>
          <w:sz w:val="24"/>
          <w:szCs w:val="24"/>
          <w:lang w:val="en-US"/>
        </w:rPr>
        <w:t>, 1986; Nash et al., 2003).</w:t>
      </w:r>
      <w:r w:rsidR="00025283" w:rsidRPr="003101A0">
        <w:rPr>
          <w:rFonts w:ascii="Times New Roman" w:hAnsi="Times New Roman" w:cs="Times New Roman"/>
          <w:sz w:val="24"/>
          <w:szCs w:val="24"/>
          <w:lang w:val="en-US"/>
        </w:rPr>
        <w:t xml:space="preserve"> </w:t>
      </w:r>
      <w:r w:rsidR="00E63A0F" w:rsidRPr="003101A0">
        <w:rPr>
          <w:rFonts w:ascii="Times New Roman" w:hAnsi="Times New Roman" w:cs="Times New Roman"/>
          <w:sz w:val="24"/>
          <w:szCs w:val="24"/>
          <w:lang w:val="en-US"/>
        </w:rPr>
        <w:t xml:space="preserve">Covenants restricting financing activities, </w:t>
      </w:r>
      <w:r w:rsidR="00E63A0F" w:rsidRPr="003101A0">
        <w:rPr>
          <w:rFonts w:ascii="Times New Roman" w:hAnsi="Times New Roman" w:cs="Times New Roman"/>
          <w:sz w:val="24"/>
          <w:szCs w:val="24"/>
          <w:lang w:val="en-US"/>
        </w:rPr>
        <w:lastRenderedPageBreak/>
        <w:t xml:space="preserve">consisting of limitations on additional borrowing and </w:t>
      </w:r>
      <w:r w:rsidR="00DF096A" w:rsidRPr="003101A0">
        <w:rPr>
          <w:rFonts w:ascii="Times New Roman" w:hAnsi="Times New Roman" w:cs="Times New Roman"/>
          <w:sz w:val="24"/>
          <w:szCs w:val="24"/>
          <w:lang w:val="en-US"/>
        </w:rPr>
        <w:t xml:space="preserve">the </w:t>
      </w:r>
      <w:r w:rsidR="00E63A0F" w:rsidRPr="003101A0">
        <w:rPr>
          <w:rFonts w:ascii="Times New Roman" w:hAnsi="Times New Roman" w:cs="Times New Roman"/>
          <w:sz w:val="24"/>
          <w:szCs w:val="24"/>
          <w:lang w:val="en-US"/>
        </w:rPr>
        <w:t>issuance of secured debt, can protect the bondholder against claim dilution costs (</w:t>
      </w:r>
      <w:proofErr w:type="spellStart"/>
      <w:r w:rsidR="00E63A0F" w:rsidRPr="003101A0">
        <w:rPr>
          <w:rFonts w:ascii="Times New Roman" w:hAnsi="Times New Roman" w:cs="Times New Roman"/>
          <w:sz w:val="24"/>
          <w:szCs w:val="24"/>
          <w:lang w:val="en-US"/>
        </w:rPr>
        <w:t>Fama</w:t>
      </w:r>
      <w:proofErr w:type="spellEnd"/>
      <w:r w:rsidR="00E63A0F" w:rsidRPr="003101A0">
        <w:rPr>
          <w:rFonts w:ascii="Times New Roman" w:hAnsi="Times New Roman" w:cs="Times New Roman"/>
          <w:sz w:val="24"/>
          <w:szCs w:val="24"/>
          <w:lang w:val="en-US"/>
        </w:rPr>
        <w:t xml:space="preserve"> and Miller, 1972; Smith and Warner, 1979</w:t>
      </w:r>
      <w:r w:rsidR="00537202" w:rsidRPr="003101A0">
        <w:rPr>
          <w:rFonts w:ascii="Times New Roman" w:hAnsi="Times New Roman" w:cs="Times New Roman"/>
          <w:sz w:val="24"/>
          <w:szCs w:val="24"/>
          <w:lang w:val="en-US"/>
        </w:rPr>
        <w:t xml:space="preserve">; </w:t>
      </w:r>
      <w:proofErr w:type="spellStart"/>
      <w:r w:rsidR="00537202" w:rsidRPr="003101A0">
        <w:rPr>
          <w:rFonts w:ascii="Times New Roman" w:hAnsi="Times New Roman" w:cs="Times New Roman"/>
          <w:sz w:val="24"/>
          <w:szCs w:val="24"/>
          <w:lang w:val="en-US"/>
        </w:rPr>
        <w:t>Masulis</w:t>
      </w:r>
      <w:proofErr w:type="spellEnd"/>
      <w:r w:rsidR="00537202" w:rsidRPr="003101A0">
        <w:rPr>
          <w:rFonts w:ascii="Times New Roman" w:hAnsi="Times New Roman" w:cs="Times New Roman"/>
          <w:sz w:val="24"/>
          <w:szCs w:val="24"/>
          <w:lang w:val="en-US"/>
        </w:rPr>
        <w:t>, 1980</w:t>
      </w:r>
      <w:r w:rsidR="00E63A0F" w:rsidRPr="003101A0">
        <w:rPr>
          <w:rFonts w:ascii="Times New Roman" w:hAnsi="Times New Roman" w:cs="Times New Roman"/>
          <w:sz w:val="24"/>
          <w:szCs w:val="24"/>
          <w:lang w:val="en-US"/>
        </w:rPr>
        <w:t xml:space="preserve">). </w:t>
      </w:r>
      <w:r w:rsidR="00025283" w:rsidRPr="003101A0">
        <w:rPr>
          <w:rFonts w:ascii="Times New Roman" w:hAnsi="Times New Roman" w:cs="Times New Roman"/>
          <w:sz w:val="24"/>
          <w:szCs w:val="24"/>
          <w:lang w:val="en-US"/>
        </w:rPr>
        <w:t xml:space="preserve">Finally, event-driven covenants address the risk associated with </w:t>
      </w:r>
      <w:r w:rsidR="000F5CDE" w:rsidRPr="003101A0">
        <w:rPr>
          <w:rFonts w:ascii="Times New Roman" w:hAnsi="Times New Roman" w:cs="Times New Roman"/>
          <w:sz w:val="24"/>
          <w:szCs w:val="24"/>
          <w:lang w:val="en-US"/>
        </w:rPr>
        <w:t>specified</w:t>
      </w:r>
      <w:r w:rsidR="00025283" w:rsidRPr="003101A0">
        <w:rPr>
          <w:rFonts w:ascii="Times New Roman" w:hAnsi="Times New Roman" w:cs="Times New Roman"/>
          <w:sz w:val="24"/>
          <w:szCs w:val="24"/>
          <w:lang w:val="en-US"/>
        </w:rPr>
        <w:t xml:space="preserve">, </w:t>
      </w:r>
      <w:r w:rsidR="000F5CDE" w:rsidRPr="003101A0">
        <w:rPr>
          <w:rFonts w:ascii="Times New Roman" w:hAnsi="Times New Roman" w:cs="Times New Roman"/>
          <w:sz w:val="24"/>
          <w:szCs w:val="24"/>
          <w:lang w:val="en-US"/>
        </w:rPr>
        <w:t xml:space="preserve">typically </w:t>
      </w:r>
      <w:r w:rsidR="00025283" w:rsidRPr="003101A0">
        <w:rPr>
          <w:rFonts w:ascii="Times New Roman" w:hAnsi="Times New Roman" w:cs="Times New Roman"/>
          <w:sz w:val="24"/>
          <w:szCs w:val="24"/>
          <w:lang w:val="en-US"/>
        </w:rPr>
        <w:t xml:space="preserve">rare corporate events, such as an attempted takeover of the bond issuer (Nanda and Yun, 1996). </w:t>
      </w:r>
    </w:p>
    <w:p w14:paraId="3EE6C3D4" w14:textId="6A44C39B" w:rsidR="001B6AD3" w:rsidRPr="003101A0" w:rsidRDefault="00C4574C" w:rsidP="00FF4A30">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Consistent with the costly contracting viewpoint, several empirical studies find evidence of a positive relation between covenant usage and issuer-specific debt-related financing costs (</w:t>
      </w:r>
      <w:proofErr w:type="spellStart"/>
      <w:r w:rsidRPr="003101A0">
        <w:rPr>
          <w:rFonts w:ascii="Times New Roman" w:hAnsi="Times New Roman" w:cs="Times New Roman"/>
          <w:sz w:val="24"/>
          <w:szCs w:val="24"/>
          <w:lang w:val="en-US"/>
        </w:rPr>
        <w:t>Malitz</w:t>
      </w:r>
      <w:proofErr w:type="spellEnd"/>
      <w:r w:rsidRPr="003101A0">
        <w:rPr>
          <w:rFonts w:ascii="Times New Roman" w:hAnsi="Times New Roman" w:cs="Times New Roman"/>
          <w:sz w:val="24"/>
          <w:szCs w:val="24"/>
          <w:lang w:val="en-US"/>
        </w:rPr>
        <w:t>, 1986; Nash et al., 2003</w:t>
      </w:r>
      <w:r w:rsidR="00511714"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 xml:space="preserve"> Billet et al., 2007; Qi and Wald, 2008; </w:t>
      </w:r>
      <w:proofErr w:type="spellStart"/>
      <w:r w:rsidRPr="003101A0">
        <w:rPr>
          <w:rFonts w:ascii="Times New Roman" w:hAnsi="Times New Roman" w:cs="Times New Roman"/>
          <w:sz w:val="24"/>
          <w:szCs w:val="24"/>
          <w:lang w:val="en-US"/>
        </w:rPr>
        <w:t>Chava</w:t>
      </w:r>
      <w:proofErr w:type="spellEnd"/>
      <w:r w:rsidRPr="003101A0">
        <w:rPr>
          <w:rFonts w:ascii="Times New Roman" w:hAnsi="Times New Roman" w:cs="Times New Roman"/>
          <w:sz w:val="24"/>
          <w:szCs w:val="24"/>
          <w:lang w:val="en-US"/>
        </w:rPr>
        <w:t xml:space="preserve"> et al., 2010; Cook et al., 2014</w:t>
      </w:r>
      <w:r w:rsidR="00511714"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 xml:space="preserve"> Zhang and Zhou, 2018). Conversely, there is only scant evidence on the </w:t>
      </w:r>
      <w:r w:rsidR="00D440FB"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irrelevance</w:t>
      </w:r>
      <w:r w:rsidR="00D440FB"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 xml:space="preserve"> </w:t>
      </w:r>
      <w:r w:rsidR="006238C9" w:rsidRPr="003101A0">
        <w:rPr>
          <w:rFonts w:ascii="Times New Roman" w:hAnsi="Times New Roman" w:cs="Times New Roman"/>
          <w:sz w:val="24"/>
          <w:szCs w:val="24"/>
          <w:lang w:val="en-US"/>
        </w:rPr>
        <w:t xml:space="preserve">or </w:t>
      </w:r>
      <w:r w:rsidR="00D440FB" w:rsidRPr="003101A0">
        <w:rPr>
          <w:rFonts w:ascii="Times New Roman" w:hAnsi="Times New Roman" w:cs="Times New Roman"/>
          <w:sz w:val="24"/>
          <w:szCs w:val="24"/>
          <w:lang w:val="en-US"/>
        </w:rPr>
        <w:t>‘</w:t>
      </w:r>
      <w:r w:rsidR="006238C9" w:rsidRPr="003101A0">
        <w:rPr>
          <w:rFonts w:ascii="Times New Roman" w:hAnsi="Times New Roman" w:cs="Times New Roman"/>
          <w:sz w:val="24"/>
          <w:szCs w:val="24"/>
          <w:lang w:val="en-US"/>
        </w:rPr>
        <w:t>neutral mutation</w:t>
      </w:r>
      <w:r w:rsidR="00D440FB" w:rsidRPr="003101A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 xml:space="preserve">viewpoint that covenants do not help </w:t>
      </w:r>
      <w:r w:rsidR="00871C61" w:rsidRPr="003101A0">
        <w:rPr>
          <w:rFonts w:ascii="Times New Roman" w:hAnsi="Times New Roman" w:cs="Times New Roman"/>
          <w:sz w:val="24"/>
          <w:szCs w:val="24"/>
          <w:lang w:val="en-US"/>
        </w:rPr>
        <w:t>tackle</w:t>
      </w:r>
      <w:r w:rsidRPr="003101A0">
        <w:rPr>
          <w:rFonts w:ascii="Times New Roman" w:hAnsi="Times New Roman" w:cs="Times New Roman"/>
          <w:sz w:val="24"/>
          <w:szCs w:val="24"/>
          <w:lang w:val="en-US"/>
        </w:rPr>
        <w:t xml:space="preserve"> debt-related financing costs and represent nothing more than boilerplate statements </w:t>
      </w:r>
      <w:r w:rsidR="004F3CFB">
        <w:rPr>
          <w:rFonts w:ascii="Times New Roman" w:hAnsi="Times New Roman" w:cs="Times New Roman"/>
          <w:sz w:val="24"/>
          <w:szCs w:val="24"/>
          <w:lang w:val="en-US"/>
        </w:rPr>
        <w:t>(Simpson, 1973)</w:t>
      </w:r>
      <w:r w:rsidRPr="003101A0">
        <w:rPr>
          <w:rFonts w:ascii="Times New Roman" w:hAnsi="Times New Roman" w:cs="Times New Roman"/>
          <w:sz w:val="24"/>
          <w:szCs w:val="24"/>
          <w:lang w:val="en-US"/>
        </w:rPr>
        <w:t>. We note that these empirical studies focus on straight debt</w:t>
      </w:r>
      <w:r w:rsidR="006238C9" w:rsidRPr="003101A0">
        <w:rPr>
          <w:rFonts w:ascii="Times New Roman" w:hAnsi="Times New Roman" w:cs="Times New Roman"/>
          <w:sz w:val="24"/>
          <w:szCs w:val="24"/>
          <w:lang w:val="en-US"/>
        </w:rPr>
        <w:t xml:space="preserve"> contracts</w:t>
      </w:r>
      <w:r w:rsidR="00DC14E8">
        <w:rPr>
          <w:rFonts w:ascii="Times New Roman" w:hAnsi="Times New Roman" w:cs="Times New Roman"/>
          <w:sz w:val="24"/>
          <w:szCs w:val="24"/>
          <w:lang w:val="en-US"/>
        </w:rPr>
        <w:t>, not on convertibles</w:t>
      </w:r>
      <w:r w:rsidRPr="003101A0">
        <w:rPr>
          <w:rFonts w:ascii="Times New Roman" w:hAnsi="Times New Roman" w:cs="Times New Roman"/>
          <w:sz w:val="24"/>
          <w:szCs w:val="24"/>
          <w:lang w:val="en-US"/>
        </w:rPr>
        <w:t xml:space="preserve">. </w:t>
      </w:r>
    </w:p>
    <w:p w14:paraId="71AC9CA4" w14:textId="7AEBB0B3" w:rsidR="00F134B2" w:rsidRPr="003101A0" w:rsidRDefault="00F134B2" w:rsidP="00FB5BEC">
      <w:pPr>
        <w:spacing w:after="0" w:line="480" w:lineRule="auto"/>
        <w:rPr>
          <w:rFonts w:ascii="Times New Roman" w:hAnsi="Times New Roman" w:cs="Times New Roman"/>
          <w:i/>
          <w:iCs/>
          <w:sz w:val="24"/>
          <w:szCs w:val="24"/>
          <w:lang w:val="en-US"/>
        </w:rPr>
      </w:pPr>
      <w:r w:rsidRPr="003101A0">
        <w:rPr>
          <w:rFonts w:ascii="Times New Roman" w:hAnsi="Times New Roman" w:cs="Times New Roman"/>
          <w:i/>
          <w:iCs/>
          <w:sz w:val="24"/>
          <w:szCs w:val="24"/>
          <w:lang w:val="en-US"/>
        </w:rPr>
        <w:t>2.2. The role of convertible bonds</w:t>
      </w:r>
    </w:p>
    <w:p w14:paraId="3D58A0FE" w14:textId="71B39E9A" w:rsidR="0058568D" w:rsidRPr="003101A0" w:rsidRDefault="00F134B2" w:rsidP="00D84855">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Convertible bond rationales</w:t>
      </w:r>
      <w:r w:rsidR="00E63A0F" w:rsidRPr="003101A0">
        <w:rPr>
          <w:rFonts w:ascii="Times New Roman" w:hAnsi="Times New Roman" w:cs="Times New Roman"/>
          <w:sz w:val="24"/>
          <w:szCs w:val="24"/>
          <w:lang w:val="en-US"/>
        </w:rPr>
        <w:t xml:space="preserve"> predict that these hybrid instruments can address </w:t>
      </w:r>
      <w:r w:rsidRPr="003101A0">
        <w:rPr>
          <w:rFonts w:ascii="Times New Roman" w:hAnsi="Times New Roman" w:cs="Times New Roman"/>
          <w:sz w:val="24"/>
          <w:szCs w:val="24"/>
          <w:lang w:val="en-US"/>
        </w:rPr>
        <w:t>various</w:t>
      </w:r>
      <w:r w:rsidR="00E63A0F" w:rsidRPr="003101A0">
        <w:rPr>
          <w:rFonts w:ascii="Times New Roman" w:hAnsi="Times New Roman" w:cs="Times New Roman"/>
          <w:sz w:val="24"/>
          <w:szCs w:val="24"/>
          <w:lang w:val="en-US"/>
        </w:rPr>
        <w:t xml:space="preserve"> debt-related financing costs. </w:t>
      </w:r>
      <w:r w:rsidR="00D420C1" w:rsidRPr="003101A0">
        <w:rPr>
          <w:rFonts w:ascii="Times New Roman" w:hAnsi="Times New Roman" w:cs="Times New Roman"/>
          <w:sz w:val="24"/>
          <w:szCs w:val="24"/>
          <w:lang w:val="en-US"/>
        </w:rPr>
        <w:t xml:space="preserve">Green’s (1984) rationale </w:t>
      </w:r>
      <w:r w:rsidRPr="003101A0">
        <w:rPr>
          <w:rFonts w:ascii="Times New Roman" w:hAnsi="Times New Roman" w:cs="Times New Roman"/>
          <w:sz w:val="24"/>
          <w:szCs w:val="24"/>
          <w:lang w:val="en-US"/>
        </w:rPr>
        <w:t xml:space="preserve">argues </w:t>
      </w:r>
      <w:r w:rsidR="00AA537B" w:rsidRPr="003101A0">
        <w:rPr>
          <w:rFonts w:ascii="Times New Roman" w:hAnsi="Times New Roman" w:cs="Times New Roman"/>
          <w:sz w:val="24"/>
          <w:szCs w:val="24"/>
          <w:lang w:val="en-US"/>
        </w:rPr>
        <w:t xml:space="preserve">that </w:t>
      </w:r>
      <w:r w:rsidRPr="003101A0">
        <w:rPr>
          <w:rFonts w:ascii="Times New Roman" w:hAnsi="Times New Roman" w:cs="Times New Roman"/>
          <w:sz w:val="24"/>
          <w:szCs w:val="24"/>
          <w:lang w:val="en-US"/>
        </w:rPr>
        <w:t xml:space="preserve">convertibles can </w:t>
      </w:r>
      <w:r w:rsidR="00D420C1" w:rsidRPr="003101A0">
        <w:rPr>
          <w:rFonts w:ascii="Times New Roman" w:hAnsi="Times New Roman" w:cs="Times New Roman"/>
          <w:sz w:val="24"/>
          <w:szCs w:val="24"/>
          <w:lang w:val="en-US"/>
        </w:rPr>
        <w:t xml:space="preserve">curb harmful shareholder risk-shifting </w:t>
      </w:r>
      <w:r w:rsidR="0017302A" w:rsidRPr="003101A0">
        <w:rPr>
          <w:rFonts w:ascii="Times New Roman" w:hAnsi="Times New Roman" w:cs="Times New Roman"/>
          <w:sz w:val="24"/>
          <w:szCs w:val="24"/>
          <w:lang w:val="en-US"/>
        </w:rPr>
        <w:t>behavior</w:t>
      </w:r>
      <w:r w:rsidR="00D420C1" w:rsidRPr="003101A0">
        <w:rPr>
          <w:rFonts w:ascii="Times New Roman" w:hAnsi="Times New Roman" w:cs="Times New Roman"/>
          <w:sz w:val="24"/>
          <w:szCs w:val="24"/>
          <w:lang w:val="en-US"/>
        </w:rPr>
        <w:t xml:space="preserve">. </w:t>
      </w:r>
      <w:r w:rsidR="00191A18" w:rsidRPr="003101A0">
        <w:rPr>
          <w:rFonts w:ascii="Times New Roman" w:hAnsi="Times New Roman" w:cs="Times New Roman"/>
          <w:sz w:val="24"/>
          <w:szCs w:val="24"/>
          <w:lang w:val="en-US"/>
        </w:rPr>
        <w:t>S</w:t>
      </w:r>
      <w:r w:rsidR="00BA5AAE" w:rsidRPr="003101A0">
        <w:rPr>
          <w:rFonts w:ascii="Times New Roman" w:hAnsi="Times New Roman" w:cs="Times New Roman"/>
          <w:sz w:val="24"/>
          <w:szCs w:val="24"/>
          <w:lang w:val="en-US"/>
        </w:rPr>
        <w:t>hareholders will have to share any cash flows resulting from high-risk strategies with convertible bondholders</w:t>
      </w:r>
      <w:r w:rsidR="00191A18" w:rsidRPr="003101A0">
        <w:rPr>
          <w:rFonts w:ascii="Times New Roman" w:hAnsi="Times New Roman" w:cs="Times New Roman"/>
          <w:sz w:val="24"/>
          <w:szCs w:val="24"/>
          <w:lang w:val="en-US"/>
        </w:rPr>
        <w:t>, thereby reducing</w:t>
      </w:r>
      <w:r w:rsidR="00BA5AAE" w:rsidRPr="003101A0">
        <w:rPr>
          <w:rFonts w:ascii="Times New Roman" w:hAnsi="Times New Roman" w:cs="Times New Roman"/>
          <w:sz w:val="24"/>
          <w:szCs w:val="24"/>
          <w:lang w:val="en-US"/>
        </w:rPr>
        <w:t xml:space="preserve"> shareholders’ incentives to engage in </w:t>
      </w:r>
      <w:r w:rsidR="00191A18" w:rsidRPr="003101A0">
        <w:rPr>
          <w:rFonts w:ascii="Times New Roman" w:hAnsi="Times New Roman" w:cs="Times New Roman"/>
          <w:sz w:val="24"/>
          <w:szCs w:val="24"/>
          <w:lang w:val="en-US"/>
        </w:rPr>
        <w:t>such</w:t>
      </w:r>
      <w:r w:rsidR="00BA5AAE" w:rsidRPr="003101A0">
        <w:rPr>
          <w:rFonts w:ascii="Times New Roman" w:hAnsi="Times New Roman" w:cs="Times New Roman"/>
          <w:sz w:val="24"/>
          <w:szCs w:val="24"/>
          <w:lang w:val="en-US"/>
        </w:rPr>
        <w:t xml:space="preserve"> investment </w:t>
      </w:r>
      <w:r w:rsidR="00871C61" w:rsidRPr="003101A0">
        <w:rPr>
          <w:rFonts w:ascii="Times New Roman" w:hAnsi="Times New Roman" w:cs="Times New Roman"/>
          <w:sz w:val="24"/>
          <w:szCs w:val="24"/>
          <w:lang w:val="en-US"/>
        </w:rPr>
        <w:t xml:space="preserve">strategies </w:t>
      </w:r>
      <w:r w:rsidR="00BA5AAE" w:rsidRPr="003101A0">
        <w:rPr>
          <w:rFonts w:ascii="Times New Roman" w:hAnsi="Times New Roman" w:cs="Times New Roman"/>
          <w:sz w:val="24"/>
          <w:szCs w:val="24"/>
          <w:lang w:val="en-US"/>
        </w:rPr>
        <w:t xml:space="preserve">in the first place. </w:t>
      </w:r>
      <w:proofErr w:type="spellStart"/>
      <w:r w:rsidRPr="003101A0">
        <w:rPr>
          <w:rFonts w:ascii="Times New Roman" w:hAnsi="Times New Roman" w:cs="Times New Roman"/>
          <w:sz w:val="24"/>
          <w:szCs w:val="24"/>
          <w:lang w:val="en-US"/>
        </w:rPr>
        <w:t>Lya</w:t>
      </w:r>
      <w:r w:rsidR="00A74BA9" w:rsidRPr="003101A0">
        <w:rPr>
          <w:rFonts w:ascii="Times New Roman" w:hAnsi="Times New Roman" w:cs="Times New Roman"/>
          <w:sz w:val="24"/>
          <w:szCs w:val="24"/>
          <w:lang w:val="en-US"/>
        </w:rPr>
        <w:t>ndres</w:t>
      </w:r>
      <w:proofErr w:type="spellEnd"/>
      <w:r w:rsidR="00A74BA9" w:rsidRPr="003101A0">
        <w:rPr>
          <w:rFonts w:ascii="Times New Roman" w:hAnsi="Times New Roman" w:cs="Times New Roman"/>
          <w:sz w:val="24"/>
          <w:szCs w:val="24"/>
          <w:lang w:val="en-US"/>
        </w:rPr>
        <w:t xml:space="preserve"> and Zhdanov’s (2014) rationale predicts that convertibles are an effective tool to mitigate or even eliminate underinvestment problems resulting fr</w:t>
      </w:r>
      <w:r w:rsidR="003D43C8" w:rsidRPr="003101A0">
        <w:rPr>
          <w:rFonts w:ascii="Times New Roman" w:hAnsi="Times New Roman" w:cs="Times New Roman"/>
          <w:sz w:val="24"/>
          <w:szCs w:val="24"/>
          <w:lang w:val="en-US"/>
        </w:rPr>
        <w:t xml:space="preserve">om risky debt. </w:t>
      </w:r>
      <w:r w:rsidR="00191A18" w:rsidRPr="003101A0">
        <w:rPr>
          <w:rFonts w:ascii="Times New Roman" w:hAnsi="Times New Roman" w:cs="Times New Roman"/>
          <w:sz w:val="24"/>
          <w:szCs w:val="24"/>
          <w:lang w:val="en-US"/>
        </w:rPr>
        <w:t>W</w:t>
      </w:r>
      <w:r w:rsidR="00A74BA9" w:rsidRPr="003101A0">
        <w:rPr>
          <w:rFonts w:ascii="Times New Roman" w:hAnsi="Times New Roman" w:cs="Times New Roman"/>
          <w:sz w:val="24"/>
          <w:szCs w:val="24"/>
          <w:lang w:val="en-US"/>
        </w:rPr>
        <w:t xml:space="preserve">hile </w:t>
      </w:r>
      <w:r w:rsidR="00191A18" w:rsidRPr="003101A0">
        <w:rPr>
          <w:rFonts w:ascii="Times New Roman" w:hAnsi="Times New Roman" w:cs="Times New Roman"/>
          <w:sz w:val="24"/>
          <w:szCs w:val="24"/>
          <w:lang w:val="en-US"/>
        </w:rPr>
        <w:t xml:space="preserve">the </w:t>
      </w:r>
      <w:r w:rsidR="00A74BA9" w:rsidRPr="003101A0">
        <w:rPr>
          <w:rFonts w:ascii="Times New Roman" w:hAnsi="Times New Roman" w:cs="Times New Roman"/>
          <w:sz w:val="24"/>
          <w:szCs w:val="24"/>
          <w:lang w:val="en-US"/>
        </w:rPr>
        <w:t>debt-like features of a convertible debt contract create underinvestment incentives, the presence of the conversion option provides shareholders with an</w:t>
      </w:r>
      <w:r w:rsidR="003D43C8" w:rsidRPr="003101A0">
        <w:rPr>
          <w:rFonts w:ascii="Times New Roman" w:hAnsi="Times New Roman" w:cs="Times New Roman"/>
          <w:sz w:val="24"/>
          <w:szCs w:val="24"/>
          <w:lang w:val="en-US"/>
        </w:rPr>
        <w:t xml:space="preserve"> opposite</w:t>
      </w:r>
      <w:r w:rsidR="00A74BA9" w:rsidRPr="003101A0">
        <w:rPr>
          <w:rFonts w:ascii="Times New Roman" w:hAnsi="Times New Roman" w:cs="Times New Roman"/>
          <w:sz w:val="24"/>
          <w:szCs w:val="24"/>
          <w:lang w:val="en-US"/>
        </w:rPr>
        <w:t xml:space="preserve"> incentive to speed up the exercise of an investment opportunity. </w:t>
      </w:r>
      <w:r w:rsidR="00191A18" w:rsidRPr="003101A0">
        <w:rPr>
          <w:rFonts w:ascii="Times New Roman" w:hAnsi="Times New Roman" w:cs="Times New Roman"/>
          <w:sz w:val="24"/>
          <w:szCs w:val="24"/>
          <w:lang w:val="en-US"/>
        </w:rPr>
        <w:t>Finally</w:t>
      </w:r>
      <w:r w:rsidR="00C1617D" w:rsidRPr="003101A0">
        <w:rPr>
          <w:rFonts w:ascii="Times New Roman" w:hAnsi="Times New Roman" w:cs="Times New Roman"/>
          <w:sz w:val="24"/>
          <w:szCs w:val="24"/>
          <w:lang w:val="en-US"/>
        </w:rPr>
        <w:t xml:space="preserve">, following Stein’s (1992) rationale, </w:t>
      </w:r>
      <w:r w:rsidR="00157479" w:rsidRPr="003101A0">
        <w:rPr>
          <w:rFonts w:ascii="Times New Roman" w:hAnsi="Times New Roman" w:cs="Times New Roman"/>
          <w:sz w:val="24"/>
          <w:szCs w:val="24"/>
          <w:lang w:val="en-US"/>
        </w:rPr>
        <w:t>convertibles can mitigate financial distress</w:t>
      </w:r>
      <w:r w:rsidR="00C1617D" w:rsidRPr="003101A0">
        <w:rPr>
          <w:rFonts w:ascii="Times New Roman" w:hAnsi="Times New Roman" w:cs="Times New Roman"/>
          <w:sz w:val="24"/>
          <w:szCs w:val="24"/>
          <w:lang w:val="en-US"/>
        </w:rPr>
        <w:t xml:space="preserve"> costs </w:t>
      </w:r>
      <w:r w:rsidR="00871C61" w:rsidRPr="003101A0">
        <w:rPr>
          <w:rFonts w:ascii="Times New Roman" w:hAnsi="Times New Roman" w:cs="Times New Roman"/>
          <w:sz w:val="24"/>
          <w:szCs w:val="24"/>
          <w:lang w:val="en-US"/>
        </w:rPr>
        <w:t>because</w:t>
      </w:r>
      <w:r w:rsidR="00C1617D" w:rsidRPr="003101A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 xml:space="preserve">firms can force </w:t>
      </w:r>
      <w:r w:rsidR="00191A18" w:rsidRPr="003101A0">
        <w:rPr>
          <w:rFonts w:ascii="Times New Roman" w:hAnsi="Times New Roman" w:cs="Times New Roman"/>
          <w:sz w:val="24"/>
          <w:szCs w:val="24"/>
          <w:lang w:val="en-US"/>
        </w:rPr>
        <w:t>these securities</w:t>
      </w:r>
      <w:r w:rsidRPr="003101A0">
        <w:rPr>
          <w:rFonts w:ascii="Times New Roman" w:hAnsi="Times New Roman" w:cs="Times New Roman"/>
          <w:sz w:val="24"/>
          <w:szCs w:val="24"/>
          <w:lang w:val="en-US"/>
        </w:rPr>
        <w:t xml:space="preserve"> to</w:t>
      </w:r>
      <w:r w:rsidR="00C1617D" w:rsidRPr="003101A0">
        <w:rPr>
          <w:rFonts w:ascii="Times New Roman" w:hAnsi="Times New Roman" w:cs="Times New Roman"/>
          <w:sz w:val="24"/>
          <w:szCs w:val="24"/>
          <w:lang w:val="en-US"/>
        </w:rPr>
        <w:t xml:space="preserve"> be converted into equity in bad states of the world</w:t>
      </w:r>
      <w:r w:rsidR="0058568D" w:rsidRPr="003101A0">
        <w:rPr>
          <w:rFonts w:ascii="Times New Roman" w:hAnsi="Times New Roman" w:cs="Times New Roman"/>
          <w:sz w:val="24"/>
          <w:szCs w:val="24"/>
          <w:lang w:val="en-US"/>
        </w:rPr>
        <w:t xml:space="preserve"> by exercising their call option</w:t>
      </w:r>
      <w:r w:rsidR="00C1617D" w:rsidRPr="003101A0">
        <w:rPr>
          <w:rFonts w:ascii="Times New Roman" w:hAnsi="Times New Roman" w:cs="Times New Roman"/>
          <w:sz w:val="24"/>
          <w:szCs w:val="24"/>
          <w:lang w:val="en-US"/>
        </w:rPr>
        <w:t>.</w:t>
      </w:r>
      <w:r w:rsidR="005B607D" w:rsidRPr="003101A0">
        <w:rPr>
          <w:rFonts w:ascii="Times New Roman" w:hAnsi="Times New Roman" w:cs="Times New Roman"/>
          <w:sz w:val="24"/>
          <w:szCs w:val="24"/>
          <w:lang w:val="en-US"/>
        </w:rPr>
        <w:t xml:space="preserve"> </w:t>
      </w:r>
      <w:r w:rsidR="00195FBE" w:rsidRPr="003101A0">
        <w:rPr>
          <w:rFonts w:ascii="Times New Roman" w:hAnsi="Times New Roman" w:cs="Times New Roman"/>
          <w:sz w:val="24"/>
          <w:szCs w:val="24"/>
          <w:lang w:val="en-US"/>
        </w:rPr>
        <w:t xml:space="preserve">Several empirical studies document </w:t>
      </w:r>
      <w:r w:rsidR="00195FBE" w:rsidRPr="003101A0">
        <w:rPr>
          <w:rFonts w:ascii="Times New Roman" w:hAnsi="Times New Roman" w:cs="Times New Roman"/>
          <w:sz w:val="24"/>
          <w:szCs w:val="24"/>
          <w:lang w:val="en-US"/>
        </w:rPr>
        <w:lastRenderedPageBreak/>
        <w:t xml:space="preserve">evidence consistent with an agency- or financial distress-costs-reducing role for convertibles (Lewis et al., 1999; 2003; Krishnaswami and </w:t>
      </w:r>
      <w:proofErr w:type="spellStart"/>
      <w:r w:rsidR="00195FBE" w:rsidRPr="003101A0">
        <w:rPr>
          <w:rFonts w:ascii="Times New Roman" w:hAnsi="Times New Roman" w:cs="Times New Roman"/>
          <w:sz w:val="24"/>
          <w:szCs w:val="24"/>
          <w:lang w:val="en-US"/>
        </w:rPr>
        <w:t>Yaman</w:t>
      </w:r>
      <w:proofErr w:type="spellEnd"/>
      <w:r w:rsidR="00195FBE" w:rsidRPr="003101A0">
        <w:rPr>
          <w:rFonts w:ascii="Times New Roman" w:hAnsi="Times New Roman" w:cs="Times New Roman"/>
          <w:sz w:val="24"/>
          <w:szCs w:val="24"/>
          <w:lang w:val="en-US"/>
        </w:rPr>
        <w:t xml:space="preserve">, 2008; </w:t>
      </w:r>
      <w:proofErr w:type="spellStart"/>
      <w:r w:rsidR="00195FBE" w:rsidRPr="003101A0">
        <w:rPr>
          <w:rFonts w:ascii="Times New Roman" w:hAnsi="Times New Roman" w:cs="Times New Roman"/>
          <w:sz w:val="24"/>
          <w:szCs w:val="24"/>
          <w:lang w:val="en-US"/>
        </w:rPr>
        <w:t>Dorion</w:t>
      </w:r>
      <w:proofErr w:type="spellEnd"/>
      <w:r w:rsidR="00195FBE" w:rsidRPr="003101A0">
        <w:rPr>
          <w:rFonts w:ascii="Times New Roman" w:hAnsi="Times New Roman" w:cs="Times New Roman"/>
          <w:sz w:val="24"/>
          <w:szCs w:val="24"/>
          <w:lang w:val="en-US"/>
        </w:rPr>
        <w:t xml:space="preserve"> et al., 2014), but other studies find that convertibles do not seem to be used for mitigating these problems (Graham and Harvey, 2001; Dong et al., 2018).</w:t>
      </w:r>
    </w:p>
    <w:p w14:paraId="6AEB6485" w14:textId="72F95984" w:rsidR="00F134B2" w:rsidRPr="003101A0" w:rsidRDefault="00F134B2" w:rsidP="00FB5BEC">
      <w:pPr>
        <w:spacing w:after="0" w:line="480" w:lineRule="auto"/>
        <w:rPr>
          <w:rFonts w:ascii="Times New Roman" w:hAnsi="Times New Roman" w:cs="Times New Roman"/>
          <w:i/>
          <w:iCs/>
          <w:sz w:val="24"/>
          <w:szCs w:val="24"/>
          <w:lang w:val="en-US"/>
        </w:rPr>
      </w:pPr>
      <w:r w:rsidRPr="003101A0">
        <w:rPr>
          <w:rFonts w:ascii="Times New Roman" w:hAnsi="Times New Roman" w:cs="Times New Roman"/>
          <w:i/>
          <w:iCs/>
          <w:sz w:val="24"/>
          <w:szCs w:val="24"/>
          <w:lang w:val="en-US"/>
        </w:rPr>
        <w:t>2.3. The role of covenants for convertible bonds</w:t>
      </w:r>
    </w:p>
    <w:p w14:paraId="3A7B7F0A" w14:textId="318DA915" w:rsidR="00A46339" w:rsidRPr="003101A0" w:rsidRDefault="008E7F40" w:rsidP="00D84855">
      <w:pPr>
        <w:spacing w:after="0" w:line="480" w:lineRule="auto"/>
        <w:ind w:firstLine="425"/>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To summarize, theory predicts tha</w:t>
      </w:r>
      <w:r w:rsidR="00106471" w:rsidRPr="003101A0">
        <w:rPr>
          <w:rFonts w:ascii="Times New Roman" w:hAnsi="Times New Roman" w:cs="Times New Roman"/>
          <w:sz w:val="24"/>
          <w:szCs w:val="24"/>
          <w:lang w:val="en-US"/>
        </w:rPr>
        <w:t xml:space="preserve">t </w:t>
      </w:r>
      <w:r w:rsidR="00C54257" w:rsidRPr="003101A0">
        <w:rPr>
          <w:rFonts w:ascii="Times New Roman" w:hAnsi="Times New Roman" w:cs="Times New Roman"/>
          <w:sz w:val="24"/>
          <w:szCs w:val="24"/>
          <w:lang w:val="en-US"/>
        </w:rPr>
        <w:t>convertibility and covenants</w:t>
      </w:r>
      <w:r w:rsidR="00250A6E" w:rsidRPr="003101A0">
        <w:rPr>
          <w:rFonts w:ascii="Times New Roman" w:hAnsi="Times New Roman" w:cs="Times New Roman"/>
          <w:sz w:val="24"/>
          <w:szCs w:val="24"/>
          <w:lang w:val="en-US"/>
        </w:rPr>
        <w:t xml:space="preserve"> </w:t>
      </w:r>
      <w:r w:rsidR="00106471" w:rsidRPr="003101A0">
        <w:rPr>
          <w:rFonts w:ascii="Times New Roman" w:hAnsi="Times New Roman" w:cs="Times New Roman"/>
          <w:sz w:val="24"/>
          <w:szCs w:val="24"/>
          <w:lang w:val="en-US"/>
        </w:rPr>
        <w:t xml:space="preserve">can address </w:t>
      </w:r>
      <w:r w:rsidR="000F5CDE" w:rsidRPr="003101A0">
        <w:rPr>
          <w:rFonts w:ascii="Times New Roman" w:hAnsi="Times New Roman" w:cs="Times New Roman"/>
          <w:sz w:val="24"/>
          <w:szCs w:val="24"/>
          <w:lang w:val="en-US"/>
        </w:rPr>
        <w:t xml:space="preserve">asset substitution and underinvestment costs, </w:t>
      </w:r>
      <w:r w:rsidR="00106471" w:rsidRPr="003101A0">
        <w:rPr>
          <w:rFonts w:ascii="Times New Roman" w:hAnsi="Times New Roman" w:cs="Times New Roman"/>
          <w:sz w:val="24"/>
          <w:szCs w:val="24"/>
          <w:lang w:val="en-US"/>
        </w:rPr>
        <w:t>as well as financial distress costs.</w:t>
      </w:r>
      <w:r w:rsidR="000F5CDE" w:rsidRPr="003101A0">
        <w:rPr>
          <w:rStyle w:val="FootnoteReference"/>
          <w:rFonts w:ascii="Times New Roman" w:hAnsi="Times New Roman" w:cs="Times New Roman"/>
          <w:sz w:val="24"/>
          <w:szCs w:val="24"/>
          <w:lang w:val="en-US"/>
        </w:rPr>
        <w:footnoteReference w:id="4"/>
      </w:r>
      <w:r w:rsidR="00106471" w:rsidRPr="003101A0">
        <w:rPr>
          <w:rFonts w:ascii="Times New Roman" w:hAnsi="Times New Roman" w:cs="Times New Roman"/>
          <w:sz w:val="24"/>
          <w:szCs w:val="24"/>
          <w:lang w:val="en-US"/>
        </w:rPr>
        <w:t xml:space="preserve"> </w:t>
      </w:r>
      <w:r w:rsidR="00B45A89" w:rsidRPr="003101A0">
        <w:rPr>
          <w:rFonts w:ascii="Times New Roman" w:hAnsi="Times New Roman" w:cs="Times New Roman"/>
          <w:sz w:val="24"/>
          <w:szCs w:val="24"/>
          <w:lang w:val="en-US"/>
        </w:rPr>
        <w:t>As such, f</w:t>
      </w:r>
      <w:r w:rsidR="006B6A68" w:rsidRPr="003101A0">
        <w:rPr>
          <w:rFonts w:ascii="Times New Roman" w:hAnsi="Times New Roman" w:cs="Times New Roman"/>
          <w:sz w:val="24"/>
          <w:szCs w:val="24"/>
          <w:lang w:val="en-US"/>
        </w:rPr>
        <w:t xml:space="preserve">irms </w:t>
      </w:r>
      <w:r w:rsidR="00250A6E" w:rsidRPr="003101A0">
        <w:rPr>
          <w:rFonts w:ascii="Times New Roman" w:hAnsi="Times New Roman" w:cs="Times New Roman"/>
          <w:sz w:val="24"/>
          <w:szCs w:val="24"/>
          <w:lang w:val="en-US"/>
        </w:rPr>
        <w:t xml:space="preserve">could </w:t>
      </w:r>
      <w:r w:rsidR="006B6A68" w:rsidRPr="003101A0">
        <w:rPr>
          <w:rFonts w:ascii="Times New Roman" w:hAnsi="Times New Roman" w:cs="Times New Roman"/>
          <w:sz w:val="24"/>
          <w:szCs w:val="24"/>
          <w:lang w:val="en-US"/>
        </w:rPr>
        <w:t xml:space="preserve">use </w:t>
      </w:r>
      <w:r w:rsidR="000B771F" w:rsidRPr="003101A0">
        <w:rPr>
          <w:rFonts w:ascii="Times New Roman" w:hAnsi="Times New Roman" w:cs="Times New Roman"/>
          <w:sz w:val="24"/>
          <w:szCs w:val="24"/>
          <w:lang w:val="en-US"/>
        </w:rPr>
        <w:t>convertibles</w:t>
      </w:r>
      <w:r w:rsidR="00250A6E" w:rsidRPr="003101A0">
        <w:rPr>
          <w:rFonts w:ascii="Times New Roman" w:hAnsi="Times New Roman" w:cs="Times New Roman"/>
          <w:sz w:val="24"/>
          <w:szCs w:val="24"/>
          <w:lang w:val="en-US"/>
        </w:rPr>
        <w:t xml:space="preserve"> </w:t>
      </w:r>
      <w:r w:rsidR="00C54257" w:rsidRPr="003101A0">
        <w:rPr>
          <w:rFonts w:ascii="Times New Roman" w:hAnsi="Times New Roman" w:cs="Times New Roman"/>
          <w:sz w:val="24"/>
          <w:szCs w:val="24"/>
          <w:lang w:val="en-US"/>
        </w:rPr>
        <w:t xml:space="preserve">and covenants </w:t>
      </w:r>
      <w:r w:rsidR="00250A6E" w:rsidRPr="003101A0">
        <w:rPr>
          <w:rFonts w:ascii="Times New Roman" w:hAnsi="Times New Roman" w:cs="Times New Roman"/>
          <w:sz w:val="24"/>
          <w:szCs w:val="24"/>
          <w:lang w:val="en-US"/>
        </w:rPr>
        <w:t xml:space="preserve">as </w:t>
      </w:r>
      <w:r w:rsidR="00A17374" w:rsidRPr="00A17374">
        <w:rPr>
          <w:rFonts w:ascii="Times New Roman" w:hAnsi="Times New Roman" w:cs="Times New Roman"/>
          <w:sz w:val="24"/>
          <w:szCs w:val="24"/>
          <w:lang w:val="en-US"/>
        </w:rPr>
        <w:t>substitutive</w:t>
      </w:r>
      <w:r w:rsidR="00250A6E" w:rsidRPr="003101A0">
        <w:rPr>
          <w:rFonts w:ascii="Times New Roman" w:hAnsi="Times New Roman" w:cs="Times New Roman"/>
          <w:sz w:val="24"/>
          <w:szCs w:val="24"/>
          <w:lang w:val="en-US"/>
        </w:rPr>
        <w:t xml:space="preserve"> </w:t>
      </w:r>
      <w:r w:rsidR="00427D5B" w:rsidRPr="003101A0">
        <w:rPr>
          <w:rFonts w:ascii="Times New Roman" w:hAnsi="Times New Roman" w:cs="Times New Roman"/>
          <w:sz w:val="24"/>
          <w:szCs w:val="24"/>
          <w:lang w:val="en-US"/>
        </w:rPr>
        <w:t xml:space="preserve">or complementary </w:t>
      </w:r>
      <w:r w:rsidR="00250A6E" w:rsidRPr="003101A0">
        <w:rPr>
          <w:rFonts w:ascii="Times New Roman" w:hAnsi="Times New Roman" w:cs="Times New Roman"/>
          <w:sz w:val="24"/>
          <w:szCs w:val="24"/>
          <w:lang w:val="en-US"/>
        </w:rPr>
        <w:t>devices</w:t>
      </w:r>
      <w:r w:rsidR="0037111F" w:rsidRPr="003101A0">
        <w:rPr>
          <w:rFonts w:ascii="Times New Roman" w:hAnsi="Times New Roman" w:cs="Times New Roman"/>
          <w:sz w:val="24"/>
          <w:szCs w:val="24"/>
          <w:lang w:val="en-US"/>
        </w:rPr>
        <w:t xml:space="preserve"> </w:t>
      </w:r>
      <w:r w:rsidR="00C35084" w:rsidRPr="003101A0">
        <w:rPr>
          <w:rFonts w:ascii="Times New Roman" w:hAnsi="Times New Roman" w:cs="Times New Roman"/>
          <w:sz w:val="24"/>
          <w:szCs w:val="24"/>
          <w:lang w:val="en-US"/>
        </w:rPr>
        <w:t>to alleviate these costs</w:t>
      </w:r>
      <w:r w:rsidR="00E0047A" w:rsidRPr="003101A0">
        <w:rPr>
          <w:rFonts w:ascii="Times New Roman" w:hAnsi="Times New Roman" w:cs="Times New Roman"/>
          <w:sz w:val="24"/>
          <w:szCs w:val="24"/>
          <w:lang w:val="en-US"/>
        </w:rPr>
        <w:t xml:space="preserve"> (</w:t>
      </w:r>
      <w:r w:rsidR="00100851" w:rsidRPr="003101A0">
        <w:rPr>
          <w:rFonts w:ascii="Times New Roman" w:hAnsi="Times New Roman" w:cs="Times New Roman"/>
          <w:sz w:val="24"/>
          <w:szCs w:val="24"/>
          <w:lang w:val="en-US"/>
        </w:rPr>
        <w:t xml:space="preserve">Kahan </w:t>
      </w:r>
      <w:r w:rsidR="00E0047A" w:rsidRPr="003101A0">
        <w:rPr>
          <w:rFonts w:ascii="Times New Roman" w:hAnsi="Times New Roman" w:cs="Times New Roman"/>
          <w:sz w:val="24"/>
          <w:szCs w:val="24"/>
          <w:lang w:val="en-US"/>
        </w:rPr>
        <w:t xml:space="preserve">and Yermack, 1998). </w:t>
      </w:r>
      <w:r w:rsidR="00C54257" w:rsidRPr="003101A0">
        <w:rPr>
          <w:rFonts w:ascii="Times New Roman" w:hAnsi="Times New Roman" w:cs="Times New Roman"/>
          <w:sz w:val="24"/>
          <w:szCs w:val="24"/>
          <w:lang w:val="en-US"/>
        </w:rPr>
        <w:t>We predict</w:t>
      </w:r>
      <w:r w:rsidR="009069B5" w:rsidRPr="003101A0">
        <w:rPr>
          <w:rFonts w:ascii="Times New Roman" w:hAnsi="Times New Roman" w:cs="Times New Roman"/>
          <w:sz w:val="24"/>
          <w:szCs w:val="24"/>
          <w:lang w:val="en-US"/>
        </w:rPr>
        <w:t xml:space="preserve"> </w:t>
      </w:r>
      <w:r w:rsidR="00107F87" w:rsidRPr="003101A0">
        <w:rPr>
          <w:rFonts w:ascii="Times New Roman" w:hAnsi="Times New Roman" w:cs="Times New Roman"/>
          <w:sz w:val="24"/>
          <w:szCs w:val="24"/>
          <w:lang w:val="en-US" w:eastAsia="zh-CN"/>
        </w:rPr>
        <w:t>that</w:t>
      </w:r>
      <w:r w:rsidR="00107F87" w:rsidRPr="003101A0">
        <w:rPr>
          <w:rFonts w:ascii="Times New Roman" w:hAnsi="Times New Roman" w:cs="Times New Roman"/>
          <w:sz w:val="24"/>
          <w:szCs w:val="24"/>
          <w:lang w:val="en-US"/>
        </w:rPr>
        <w:t xml:space="preserve"> </w:t>
      </w:r>
      <w:r w:rsidR="009069B5" w:rsidRPr="003101A0">
        <w:rPr>
          <w:rFonts w:ascii="Times New Roman" w:hAnsi="Times New Roman" w:cs="Times New Roman"/>
          <w:sz w:val="24"/>
          <w:szCs w:val="24"/>
          <w:lang w:val="en-US"/>
        </w:rPr>
        <w:t>a</w:t>
      </w:r>
      <w:r w:rsidR="00E0047A" w:rsidRPr="003101A0">
        <w:rPr>
          <w:rFonts w:ascii="Times New Roman" w:hAnsi="Times New Roman" w:cs="Times New Roman"/>
          <w:sz w:val="24"/>
          <w:szCs w:val="24"/>
          <w:lang w:val="en-US"/>
        </w:rPr>
        <w:t xml:space="preserve"> substitute relation</w:t>
      </w:r>
      <w:r w:rsidR="00DF096A" w:rsidRPr="003101A0">
        <w:rPr>
          <w:rFonts w:ascii="Times New Roman" w:hAnsi="Times New Roman" w:cs="Times New Roman"/>
          <w:sz w:val="24"/>
          <w:szCs w:val="24"/>
          <w:lang w:val="en-US"/>
        </w:rPr>
        <w:t>ship</w:t>
      </w:r>
      <w:r w:rsidR="00E0047A" w:rsidRPr="003101A0">
        <w:rPr>
          <w:rFonts w:ascii="Times New Roman" w:hAnsi="Times New Roman" w:cs="Times New Roman"/>
          <w:sz w:val="24"/>
          <w:szCs w:val="24"/>
          <w:lang w:val="en-US"/>
        </w:rPr>
        <w:t xml:space="preserve"> is theoretically more likely for the following reason</w:t>
      </w:r>
      <w:r w:rsidR="0093705A">
        <w:rPr>
          <w:rFonts w:ascii="Times New Roman" w:hAnsi="Times New Roman" w:cs="Times New Roman"/>
          <w:sz w:val="24"/>
          <w:szCs w:val="24"/>
          <w:lang w:val="en-US"/>
        </w:rPr>
        <w:t>.</w:t>
      </w:r>
      <w:r w:rsidR="0037111F" w:rsidRPr="003101A0">
        <w:rPr>
          <w:rFonts w:ascii="Times New Roman" w:hAnsi="Times New Roman" w:cs="Times New Roman"/>
          <w:sz w:val="24"/>
          <w:szCs w:val="24"/>
          <w:lang w:val="en-US"/>
        </w:rPr>
        <w:t xml:space="preserve"> According to microeconomic theory, a substitute good, in contrast to a complementary good, is a product with a positive cross-elasticity of demand. This means </w:t>
      </w:r>
      <w:r w:rsidR="00107F87" w:rsidRPr="003101A0">
        <w:rPr>
          <w:rFonts w:ascii="Times New Roman" w:hAnsi="Times New Roman" w:cs="Times New Roman"/>
          <w:sz w:val="24"/>
          <w:szCs w:val="24"/>
          <w:lang w:val="en-US"/>
        </w:rPr>
        <w:t xml:space="preserve">that </w:t>
      </w:r>
      <w:r w:rsidR="0037111F" w:rsidRPr="003101A0">
        <w:rPr>
          <w:rFonts w:ascii="Times New Roman" w:hAnsi="Times New Roman" w:cs="Times New Roman"/>
          <w:sz w:val="24"/>
          <w:szCs w:val="24"/>
          <w:lang w:val="en-US"/>
        </w:rPr>
        <w:t>the demand for the good increases when the price of another good increase</w:t>
      </w:r>
      <w:r w:rsidR="00107F87" w:rsidRPr="003101A0">
        <w:rPr>
          <w:rFonts w:ascii="Times New Roman" w:hAnsi="Times New Roman" w:cs="Times New Roman"/>
          <w:sz w:val="24"/>
          <w:szCs w:val="24"/>
          <w:lang w:val="en-US"/>
        </w:rPr>
        <w:t>s</w:t>
      </w:r>
      <w:r w:rsidR="0037111F" w:rsidRPr="003101A0">
        <w:rPr>
          <w:rFonts w:ascii="Times New Roman" w:hAnsi="Times New Roman" w:cs="Times New Roman"/>
          <w:sz w:val="24"/>
          <w:szCs w:val="24"/>
          <w:lang w:val="en-US"/>
        </w:rPr>
        <w:t xml:space="preserve"> and decrease</w:t>
      </w:r>
      <w:r w:rsidR="00C03FA7" w:rsidRPr="003101A0">
        <w:rPr>
          <w:rFonts w:ascii="Times New Roman" w:hAnsi="Times New Roman" w:cs="Times New Roman"/>
          <w:sz w:val="24"/>
          <w:szCs w:val="24"/>
          <w:lang w:val="en-US" w:eastAsia="zh-CN"/>
        </w:rPr>
        <w:t>s</w:t>
      </w:r>
      <w:r w:rsidR="0037111F" w:rsidRPr="003101A0">
        <w:rPr>
          <w:rFonts w:ascii="Times New Roman" w:hAnsi="Times New Roman" w:cs="Times New Roman"/>
          <w:sz w:val="24"/>
          <w:szCs w:val="24"/>
          <w:lang w:val="en-US" w:eastAsia="zh-CN"/>
        </w:rPr>
        <w:t xml:space="preserve"> </w:t>
      </w:r>
      <w:r w:rsidR="0037111F" w:rsidRPr="003101A0">
        <w:rPr>
          <w:rFonts w:ascii="Times New Roman" w:hAnsi="Times New Roman" w:cs="Times New Roman"/>
          <w:sz w:val="24"/>
          <w:szCs w:val="24"/>
          <w:lang w:val="en-US"/>
        </w:rPr>
        <w:t xml:space="preserve">when the price of </w:t>
      </w:r>
      <w:r w:rsidR="00DF096A" w:rsidRPr="003101A0">
        <w:rPr>
          <w:rFonts w:ascii="Times New Roman" w:hAnsi="Times New Roman" w:cs="Times New Roman"/>
          <w:sz w:val="24"/>
          <w:szCs w:val="24"/>
          <w:lang w:val="en-US"/>
        </w:rPr>
        <w:t>an</w:t>
      </w:r>
      <w:r w:rsidR="0037111F" w:rsidRPr="003101A0">
        <w:rPr>
          <w:rFonts w:ascii="Times New Roman" w:hAnsi="Times New Roman" w:cs="Times New Roman"/>
          <w:sz w:val="24"/>
          <w:szCs w:val="24"/>
          <w:lang w:val="en-US"/>
        </w:rPr>
        <w:t>other good decrease</w:t>
      </w:r>
      <w:r w:rsidR="00107F87" w:rsidRPr="003101A0">
        <w:rPr>
          <w:rFonts w:ascii="Times New Roman" w:hAnsi="Times New Roman" w:cs="Times New Roman"/>
          <w:sz w:val="24"/>
          <w:szCs w:val="24"/>
          <w:lang w:val="en-US"/>
        </w:rPr>
        <w:t>s</w:t>
      </w:r>
      <w:r w:rsidR="0037111F" w:rsidRPr="003101A0">
        <w:rPr>
          <w:rFonts w:ascii="Times New Roman" w:hAnsi="Times New Roman" w:cs="Times New Roman"/>
          <w:sz w:val="24"/>
          <w:szCs w:val="24"/>
          <w:lang w:val="en-US"/>
        </w:rPr>
        <w:t xml:space="preserve"> (Nichols</w:t>
      </w:r>
      <w:r w:rsidR="0049621F" w:rsidRPr="003101A0">
        <w:rPr>
          <w:rFonts w:ascii="Times New Roman" w:hAnsi="Times New Roman" w:cs="Times New Roman"/>
          <w:sz w:val="24"/>
          <w:szCs w:val="24"/>
          <w:lang w:val="en-US"/>
        </w:rPr>
        <w:t>on</w:t>
      </w:r>
      <w:r w:rsidR="0037111F" w:rsidRPr="003101A0">
        <w:rPr>
          <w:rFonts w:ascii="Times New Roman" w:hAnsi="Times New Roman" w:cs="Times New Roman"/>
          <w:sz w:val="24"/>
          <w:szCs w:val="24"/>
          <w:lang w:val="en-US"/>
        </w:rPr>
        <w:t xml:space="preserve"> and Snyder, 2012). Consistent with this definition, the attractiveness of </w:t>
      </w:r>
      <w:r w:rsidR="00427D5B" w:rsidRPr="003101A0">
        <w:rPr>
          <w:rFonts w:ascii="Times New Roman" w:hAnsi="Times New Roman" w:cs="Times New Roman"/>
          <w:sz w:val="24"/>
          <w:szCs w:val="24"/>
          <w:lang w:val="en-US"/>
        </w:rPr>
        <w:t>a conversion option</w:t>
      </w:r>
      <w:r w:rsidR="0037111F" w:rsidRPr="003101A0">
        <w:rPr>
          <w:rFonts w:ascii="Times New Roman" w:hAnsi="Times New Roman" w:cs="Times New Roman"/>
          <w:sz w:val="24"/>
          <w:szCs w:val="24"/>
          <w:lang w:val="en-US"/>
        </w:rPr>
        <w:t xml:space="preserve"> </w:t>
      </w:r>
      <w:r w:rsidR="00427D5B" w:rsidRPr="003101A0">
        <w:rPr>
          <w:rFonts w:ascii="Times New Roman" w:hAnsi="Times New Roman" w:cs="Times New Roman"/>
          <w:sz w:val="24"/>
          <w:szCs w:val="24"/>
          <w:lang w:val="en-US"/>
        </w:rPr>
        <w:t>increases</w:t>
      </w:r>
      <w:r w:rsidR="0037111F" w:rsidRPr="003101A0">
        <w:rPr>
          <w:rFonts w:ascii="Times New Roman" w:hAnsi="Times New Roman" w:cs="Times New Roman"/>
          <w:sz w:val="24"/>
          <w:szCs w:val="24"/>
          <w:lang w:val="en-US"/>
        </w:rPr>
        <w:t xml:space="preserve"> under conditions where</w:t>
      </w:r>
      <w:r w:rsidR="00427D5B" w:rsidRPr="003101A0">
        <w:rPr>
          <w:rFonts w:ascii="Times New Roman" w:hAnsi="Times New Roman" w:cs="Times New Roman"/>
          <w:sz w:val="24"/>
          <w:szCs w:val="24"/>
          <w:lang w:val="en-US"/>
        </w:rPr>
        <w:t xml:space="preserve"> the cost</w:t>
      </w:r>
      <w:r w:rsidR="0037111F" w:rsidRPr="003101A0">
        <w:rPr>
          <w:rFonts w:ascii="Times New Roman" w:hAnsi="Times New Roman" w:cs="Times New Roman"/>
          <w:sz w:val="24"/>
          <w:szCs w:val="24"/>
          <w:lang w:val="en-US"/>
        </w:rPr>
        <w:t xml:space="preserve"> (‘price’) of covenants increase</w:t>
      </w:r>
      <w:r w:rsidR="00427D5B" w:rsidRPr="003101A0">
        <w:rPr>
          <w:rFonts w:ascii="Times New Roman" w:hAnsi="Times New Roman" w:cs="Times New Roman"/>
          <w:sz w:val="24"/>
          <w:szCs w:val="24"/>
          <w:lang w:val="en-US"/>
        </w:rPr>
        <w:t>s</w:t>
      </w:r>
      <w:r w:rsidR="0037111F" w:rsidRPr="003101A0">
        <w:rPr>
          <w:rFonts w:ascii="Times New Roman" w:hAnsi="Times New Roman" w:cs="Times New Roman"/>
          <w:sz w:val="24"/>
          <w:szCs w:val="24"/>
          <w:lang w:val="en-US"/>
        </w:rPr>
        <w:t xml:space="preserve">. </w:t>
      </w:r>
      <w:r w:rsidR="004E26F3" w:rsidRPr="003101A0">
        <w:rPr>
          <w:rFonts w:ascii="Times New Roman" w:hAnsi="Times New Roman" w:cs="Times New Roman"/>
          <w:sz w:val="24"/>
          <w:szCs w:val="24"/>
          <w:lang w:val="en-US"/>
        </w:rPr>
        <w:t>More particularly, t</w:t>
      </w:r>
      <w:r w:rsidR="0037111F" w:rsidRPr="003101A0">
        <w:rPr>
          <w:rFonts w:ascii="Times New Roman" w:hAnsi="Times New Roman" w:cs="Times New Roman"/>
          <w:sz w:val="24"/>
          <w:szCs w:val="24"/>
          <w:lang w:val="en-US"/>
        </w:rPr>
        <w:t xml:space="preserve">he main cost of covenants lies in </w:t>
      </w:r>
      <w:r w:rsidR="00C35084" w:rsidRPr="003101A0">
        <w:rPr>
          <w:rFonts w:ascii="Times New Roman" w:hAnsi="Times New Roman" w:cs="Times New Roman"/>
          <w:sz w:val="24"/>
          <w:szCs w:val="24"/>
          <w:lang w:val="en-US"/>
        </w:rPr>
        <w:t>curbing a firm’s financial flexibility</w:t>
      </w:r>
      <w:r w:rsidR="002660B5" w:rsidRPr="003101A0">
        <w:rPr>
          <w:rFonts w:ascii="Times New Roman" w:hAnsi="Times New Roman" w:cs="Times New Roman"/>
          <w:sz w:val="24"/>
          <w:szCs w:val="24"/>
          <w:lang w:val="en-US"/>
        </w:rPr>
        <w:t xml:space="preserve"> (Nash et al., 2003)</w:t>
      </w:r>
      <w:r w:rsidR="00A9444E" w:rsidRPr="003101A0">
        <w:rPr>
          <w:rFonts w:ascii="Times New Roman" w:hAnsi="Times New Roman" w:cs="Times New Roman"/>
          <w:sz w:val="24"/>
          <w:szCs w:val="24"/>
          <w:lang w:val="en-US"/>
        </w:rPr>
        <w:t xml:space="preserve">. </w:t>
      </w:r>
      <w:r w:rsidR="00427D5B" w:rsidRPr="003101A0">
        <w:rPr>
          <w:rFonts w:ascii="Times New Roman" w:hAnsi="Times New Roman" w:cs="Times New Roman"/>
          <w:sz w:val="24"/>
          <w:szCs w:val="24"/>
          <w:lang w:val="en-US"/>
        </w:rPr>
        <w:t xml:space="preserve">Studies </w:t>
      </w:r>
      <w:r w:rsidR="002660B5" w:rsidRPr="003101A0">
        <w:rPr>
          <w:rFonts w:ascii="Times New Roman" w:hAnsi="Times New Roman" w:cs="Times New Roman"/>
          <w:sz w:val="24"/>
          <w:szCs w:val="24"/>
          <w:lang w:val="en-US"/>
        </w:rPr>
        <w:t xml:space="preserve">on covenants </w:t>
      </w:r>
      <w:r w:rsidR="00427D5B" w:rsidRPr="003101A0">
        <w:rPr>
          <w:rFonts w:ascii="Times New Roman" w:hAnsi="Times New Roman" w:cs="Times New Roman"/>
          <w:sz w:val="24"/>
          <w:szCs w:val="24"/>
          <w:lang w:val="en-US"/>
        </w:rPr>
        <w:t>argue that the need for financial flexibility tends to be higher</w:t>
      </w:r>
      <w:r w:rsidR="0037111F" w:rsidRPr="003101A0">
        <w:rPr>
          <w:rFonts w:ascii="Times New Roman" w:hAnsi="Times New Roman" w:cs="Times New Roman"/>
          <w:sz w:val="24"/>
          <w:szCs w:val="24"/>
          <w:lang w:val="en-US"/>
        </w:rPr>
        <w:t xml:space="preserve"> </w:t>
      </w:r>
      <w:r w:rsidR="00C35084" w:rsidRPr="003101A0">
        <w:rPr>
          <w:rFonts w:ascii="Times New Roman" w:hAnsi="Times New Roman" w:cs="Times New Roman"/>
          <w:sz w:val="24"/>
          <w:szCs w:val="24"/>
          <w:lang w:val="en-US"/>
        </w:rPr>
        <w:t xml:space="preserve">in the presence of </w:t>
      </w:r>
      <w:r w:rsidR="006313C3" w:rsidRPr="003101A0">
        <w:rPr>
          <w:rFonts w:ascii="Times New Roman" w:hAnsi="Times New Roman" w:cs="Times New Roman"/>
          <w:sz w:val="24"/>
          <w:szCs w:val="24"/>
          <w:lang w:val="en-US"/>
        </w:rPr>
        <w:t>valuable investment opportunities (Kahan and Yermack, 1998</w:t>
      </w:r>
      <w:r w:rsidR="002660B5" w:rsidRPr="003101A0">
        <w:rPr>
          <w:rFonts w:ascii="Times New Roman" w:hAnsi="Times New Roman" w:cs="Times New Roman"/>
          <w:sz w:val="24"/>
          <w:szCs w:val="24"/>
          <w:lang w:val="en-US"/>
        </w:rPr>
        <w:t xml:space="preserve">; </w:t>
      </w:r>
      <w:proofErr w:type="spellStart"/>
      <w:r w:rsidR="002660B5" w:rsidRPr="003101A0">
        <w:rPr>
          <w:rFonts w:ascii="Times New Roman" w:hAnsi="Times New Roman" w:cs="Times New Roman"/>
          <w:sz w:val="24"/>
          <w:szCs w:val="24"/>
          <w:lang w:val="en-US"/>
        </w:rPr>
        <w:t>Reisel</w:t>
      </w:r>
      <w:proofErr w:type="spellEnd"/>
      <w:r w:rsidR="002660B5" w:rsidRPr="003101A0">
        <w:rPr>
          <w:rFonts w:ascii="Times New Roman" w:hAnsi="Times New Roman" w:cs="Times New Roman"/>
          <w:sz w:val="24"/>
          <w:szCs w:val="24"/>
          <w:lang w:val="en-US"/>
        </w:rPr>
        <w:t>, 2014</w:t>
      </w:r>
      <w:r w:rsidR="006313C3" w:rsidRPr="003101A0">
        <w:rPr>
          <w:rFonts w:ascii="Times New Roman" w:hAnsi="Times New Roman" w:cs="Times New Roman"/>
          <w:sz w:val="24"/>
          <w:szCs w:val="24"/>
          <w:lang w:val="en-US"/>
        </w:rPr>
        <w:t>)</w:t>
      </w:r>
      <w:r w:rsidR="002660B5" w:rsidRPr="003101A0">
        <w:rPr>
          <w:rFonts w:ascii="Times New Roman" w:hAnsi="Times New Roman" w:cs="Times New Roman"/>
          <w:sz w:val="24"/>
          <w:szCs w:val="24"/>
          <w:lang w:val="en-US"/>
        </w:rPr>
        <w:t>.</w:t>
      </w:r>
      <w:r w:rsidR="003410F1" w:rsidRPr="003101A0">
        <w:rPr>
          <w:rFonts w:ascii="Times New Roman" w:hAnsi="Times New Roman" w:cs="Times New Roman"/>
          <w:sz w:val="24"/>
          <w:szCs w:val="24"/>
          <w:lang w:val="en-US"/>
        </w:rPr>
        <w:t xml:space="preserve"> </w:t>
      </w:r>
      <w:r w:rsidR="002660B5" w:rsidRPr="003101A0">
        <w:rPr>
          <w:rFonts w:ascii="Times New Roman" w:hAnsi="Times New Roman" w:cs="Times New Roman"/>
          <w:sz w:val="24"/>
          <w:szCs w:val="24"/>
          <w:lang w:val="en-US"/>
        </w:rPr>
        <w:t>C</w:t>
      </w:r>
      <w:r w:rsidR="00427D5B" w:rsidRPr="003101A0">
        <w:rPr>
          <w:rFonts w:ascii="Times New Roman" w:hAnsi="Times New Roman" w:cs="Times New Roman"/>
          <w:sz w:val="24"/>
          <w:szCs w:val="24"/>
          <w:lang w:val="en-US"/>
        </w:rPr>
        <w:t>onvertible bond rationales</w:t>
      </w:r>
      <w:r w:rsidR="00D440FB" w:rsidRPr="003101A0">
        <w:rPr>
          <w:rFonts w:ascii="Times New Roman" w:hAnsi="Times New Roman" w:cs="Times New Roman"/>
          <w:sz w:val="24"/>
          <w:szCs w:val="24"/>
          <w:lang w:val="en-US"/>
        </w:rPr>
        <w:t>, in turn,</w:t>
      </w:r>
      <w:r w:rsidR="00B45A89" w:rsidRPr="003101A0">
        <w:rPr>
          <w:rFonts w:ascii="Times New Roman" w:hAnsi="Times New Roman" w:cs="Times New Roman"/>
          <w:sz w:val="24"/>
          <w:szCs w:val="24"/>
          <w:lang w:val="en-US"/>
        </w:rPr>
        <w:t xml:space="preserve"> </w:t>
      </w:r>
      <w:r w:rsidR="00E0047A" w:rsidRPr="003101A0">
        <w:rPr>
          <w:rFonts w:ascii="Times New Roman" w:hAnsi="Times New Roman" w:cs="Times New Roman"/>
          <w:sz w:val="24"/>
          <w:szCs w:val="24"/>
          <w:lang w:val="en-US"/>
        </w:rPr>
        <w:t>argue</w:t>
      </w:r>
      <w:r w:rsidR="00427D5B" w:rsidRPr="003101A0">
        <w:rPr>
          <w:rFonts w:ascii="Times New Roman" w:hAnsi="Times New Roman" w:cs="Times New Roman"/>
          <w:sz w:val="24"/>
          <w:szCs w:val="24"/>
          <w:lang w:val="en-US"/>
        </w:rPr>
        <w:t xml:space="preserve"> that convertibles are </w:t>
      </w:r>
      <w:r w:rsidR="00C411B6" w:rsidRPr="003101A0">
        <w:rPr>
          <w:rFonts w:ascii="Times New Roman" w:hAnsi="Times New Roman" w:cs="Times New Roman"/>
          <w:sz w:val="24"/>
          <w:szCs w:val="24"/>
          <w:lang w:val="en-US"/>
        </w:rPr>
        <w:t xml:space="preserve">particularly </w:t>
      </w:r>
      <w:r w:rsidR="00427D5B" w:rsidRPr="003101A0">
        <w:rPr>
          <w:rFonts w:ascii="Times New Roman" w:hAnsi="Times New Roman" w:cs="Times New Roman"/>
          <w:sz w:val="24"/>
          <w:szCs w:val="24"/>
          <w:lang w:val="en-US"/>
        </w:rPr>
        <w:t xml:space="preserve">useful </w:t>
      </w:r>
      <w:r w:rsidR="004E26F3" w:rsidRPr="003101A0">
        <w:rPr>
          <w:rFonts w:ascii="Times New Roman" w:hAnsi="Times New Roman" w:cs="Times New Roman"/>
          <w:sz w:val="24"/>
          <w:szCs w:val="24"/>
          <w:lang w:val="en-US"/>
        </w:rPr>
        <w:t xml:space="preserve">in the presence of </w:t>
      </w:r>
      <w:r w:rsidR="002660B5" w:rsidRPr="003101A0">
        <w:rPr>
          <w:rFonts w:ascii="Times New Roman" w:hAnsi="Times New Roman" w:cs="Times New Roman"/>
          <w:sz w:val="24"/>
          <w:szCs w:val="24"/>
          <w:lang w:val="en-US"/>
        </w:rPr>
        <w:t>valuable investment opportunities</w:t>
      </w:r>
      <w:r w:rsidR="00427D5B" w:rsidRPr="003101A0">
        <w:rPr>
          <w:rFonts w:ascii="Times New Roman" w:hAnsi="Times New Roman" w:cs="Times New Roman"/>
          <w:sz w:val="24"/>
          <w:szCs w:val="24"/>
          <w:lang w:val="en-US"/>
        </w:rPr>
        <w:t xml:space="preserve">. </w:t>
      </w:r>
      <w:r w:rsidR="00B66FD0">
        <w:rPr>
          <w:rFonts w:ascii="Times New Roman" w:hAnsi="Times New Roman" w:cs="Times New Roman"/>
          <w:sz w:val="24"/>
          <w:szCs w:val="24"/>
          <w:lang w:val="en-US"/>
        </w:rPr>
        <w:t>For instance</w:t>
      </w:r>
      <w:r w:rsidR="00DB68F8" w:rsidRPr="003101A0">
        <w:rPr>
          <w:rFonts w:ascii="Times New Roman" w:hAnsi="Times New Roman" w:cs="Times New Roman"/>
          <w:sz w:val="24"/>
          <w:szCs w:val="24"/>
          <w:lang w:val="en-US"/>
        </w:rPr>
        <w:t xml:space="preserve">, </w:t>
      </w:r>
      <w:proofErr w:type="spellStart"/>
      <w:r w:rsidR="0020143F" w:rsidRPr="003101A0">
        <w:rPr>
          <w:rFonts w:ascii="Times New Roman" w:hAnsi="Times New Roman" w:cs="Times New Roman"/>
          <w:sz w:val="24"/>
          <w:szCs w:val="24"/>
          <w:lang w:val="en-US"/>
        </w:rPr>
        <w:t>Mayers</w:t>
      </w:r>
      <w:proofErr w:type="spellEnd"/>
      <w:r w:rsidR="00E0047A" w:rsidRPr="003101A0">
        <w:rPr>
          <w:rFonts w:ascii="Times New Roman" w:hAnsi="Times New Roman" w:cs="Times New Roman"/>
          <w:sz w:val="24"/>
          <w:szCs w:val="24"/>
          <w:lang w:val="en-US"/>
        </w:rPr>
        <w:t>’</w:t>
      </w:r>
      <w:r w:rsidR="00B45A89" w:rsidRPr="003101A0">
        <w:rPr>
          <w:rFonts w:ascii="Times New Roman" w:hAnsi="Times New Roman" w:cs="Times New Roman"/>
          <w:sz w:val="24"/>
          <w:szCs w:val="24"/>
          <w:lang w:val="en-US"/>
        </w:rPr>
        <w:t xml:space="preserve"> (1998)</w:t>
      </w:r>
      <w:r w:rsidR="00E0047A" w:rsidRPr="003101A0">
        <w:rPr>
          <w:rFonts w:ascii="Times New Roman" w:hAnsi="Times New Roman" w:cs="Times New Roman"/>
          <w:sz w:val="24"/>
          <w:szCs w:val="24"/>
          <w:lang w:val="en-US"/>
        </w:rPr>
        <w:t xml:space="preserve"> sequential-financing model</w:t>
      </w:r>
      <w:r w:rsidR="0020143F" w:rsidRPr="003101A0">
        <w:rPr>
          <w:rFonts w:ascii="Times New Roman" w:hAnsi="Times New Roman" w:cs="Times New Roman"/>
          <w:sz w:val="24"/>
          <w:szCs w:val="24"/>
          <w:lang w:val="en-US"/>
        </w:rPr>
        <w:t xml:space="preserve"> </w:t>
      </w:r>
      <w:r w:rsidR="00E0047A" w:rsidRPr="003101A0">
        <w:rPr>
          <w:rFonts w:ascii="Times New Roman" w:hAnsi="Times New Roman" w:cs="Times New Roman"/>
          <w:sz w:val="24"/>
          <w:szCs w:val="24"/>
          <w:lang w:val="en-US"/>
        </w:rPr>
        <w:t>predicts</w:t>
      </w:r>
      <w:r w:rsidR="0020143F" w:rsidRPr="003101A0">
        <w:rPr>
          <w:rFonts w:ascii="Times New Roman" w:hAnsi="Times New Roman" w:cs="Times New Roman"/>
          <w:sz w:val="24"/>
          <w:szCs w:val="24"/>
          <w:lang w:val="en-US"/>
        </w:rPr>
        <w:t xml:space="preserve"> that </w:t>
      </w:r>
      <w:r w:rsidR="00C35084" w:rsidRPr="003101A0">
        <w:rPr>
          <w:rFonts w:ascii="Times New Roman" w:hAnsi="Times New Roman" w:cs="Times New Roman"/>
          <w:sz w:val="24"/>
          <w:szCs w:val="24"/>
          <w:lang w:val="en-US"/>
        </w:rPr>
        <w:t xml:space="preserve">convertibles can serve as </w:t>
      </w:r>
      <w:r w:rsidR="00C411B6" w:rsidRPr="003101A0">
        <w:rPr>
          <w:rFonts w:ascii="Times New Roman" w:hAnsi="Times New Roman" w:cs="Times New Roman"/>
          <w:sz w:val="24"/>
          <w:szCs w:val="24"/>
          <w:lang w:val="en-US"/>
        </w:rPr>
        <w:t>flexible instrument</w:t>
      </w:r>
      <w:r w:rsidR="00D440FB" w:rsidRPr="003101A0">
        <w:rPr>
          <w:rFonts w:ascii="Times New Roman" w:hAnsi="Times New Roman" w:cs="Times New Roman"/>
          <w:sz w:val="24"/>
          <w:szCs w:val="24"/>
          <w:lang w:val="en-US"/>
        </w:rPr>
        <w:t>s</w:t>
      </w:r>
      <w:r w:rsidR="00C411B6" w:rsidRPr="003101A0">
        <w:rPr>
          <w:rFonts w:ascii="Times New Roman" w:hAnsi="Times New Roman" w:cs="Times New Roman"/>
          <w:sz w:val="24"/>
          <w:szCs w:val="24"/>
          <w:lang w:val="en-US"/>
        </w:rPr>
        <w:t xml:space="preserve"> </w:t>
      </w:r>
      <w:r w:rsidR="00C35084" w:rsidRPr="003101A0">
        <w:rPr>
          <w:rFonts w:ascii="Times New Roman" w:hAnsi="Times New Roman" w:cs="Times New Roman"/>
          <w:sz w:val="24"/>
          <w:szCs w:val="24"/>
          <w:lang w:val="en-US"/>
        </w:rPr>
        <w:t xml:space="preserve">for </w:t>
      </w:r>
      <w:r w:rsidR="00840B18" w:rsidRPr="003101A0">
        <w:rPr>
          <w:rFonts w:ascii="Times New Roman" w:hAnsi="Times New Roman" w:cs="Times New Roman"/>
          <w:sz w:val="24"/>
          <w:szCs w:val="24"/>
          <w:lang w:val="en-US"/>
        </w:rPr>
        <w:t xml:space="preserve">financing </w:t>
      </w:r>
      <w:r w:rsidR="008C0340" w:rsidRPr="003101A0">
        <w:rPr>
          <w:rFonts w:ascii="Times New Roman" w:hAnsi="Times New Roman" w:cs="Times New Roman"/>
          <w:sz w:val="24"/>
          <w:szCs w:val="24"/>
          <w:lang w:val="en-US"/>
        </w:rPr>
        <w:t>real options</w:t>
      </w:r>
      <w:r w:rsidR="000939DC" w:rsidRPr="003101A0">
        <w:rPr>
          <w:rFonts w:ascii="Times New Roman" w:hAnsi="Times New Roman" w:cs="Times New Roman"/>
          <w:sz w:val="24"/>
          <w:szCs w:val="24"/>
          <w:lang w:val="en-US"/>
        </w:rPr>
        <w:t xml:space="preserve">. </w:t>
      </w:r>
      <w:r w:rsidR="008A5109" w:rsidRPr="003101A0">
        <w:rPr>
          <w:rFonts w:ascii="Times New Roman" w:hAnsi="Times New Roman" w:cs="Times New Roman"/>
          <w:sz w:val="24"/>
          <w:szCs w:val="24"/>
          <w:lang w:val="en-US"/>
        </w:rPr>
        <w:t>In addition,</w:t>
      </w:r>
      <w:r w:rsidR="000939DC" w:rsidRPr="003101A0">
        <w:rPr>
          <w:rFonts w:ascii="Times New Roman" w:hAnsi="Times New Roman" w:cs="Times New Roman"/>
          <w:sz w:val="24"/>
          <w:szCs w:val="24"/>
          <w:lang w:val="en-US"/>
        </w:rPr>
        <w:t xml:space="preserve"> </w:t>
      </w:r>
      <w:r w:rsidR="00A01468" w:rsidRPr="003101A0">
        <w:rPr>
          <w:rFonts w:ascii="Times New Roman" w:hAnsi="Times New Roman" w:cs="Times New Roman"/>
          <w:sz w:val="24"/>
          <w:szCs w:val="24"/>
          <w:lang w:val="en-US"/>
        </w:rPr>
        <w:t>Brennan and Kraus’ (1987) and Brennan and Sch</w:t>
      </w:r>
      <w:r w:rsidR="00C35084" w:rsidRPr="003101A0">
        <w:rPr>
          <w:rFonts w:ascii="Times New Roman" w:hAnsi="Times New Roman" w:cs="Times New Roman"/>
          <w:sz w:val="24"/>
          <w:szCs w:val="24"/>
          <w:lang w:val="en-US"/>
        </w:rPr>
        <w:t>w</w:t>
      </w:r>
      <w:r w:rsidR="00840B18" w:rsidRPr="003101A0">
        <w:rPr>
          <w:rFonts w:ascii="Times New Roman" w:hAnsi="Times New Roman" w:cs="Times New Roman"/>
          <w:sz w:val="24"/>
          <w:szCs w:val="24"/>
          <w:lang w:val="en-US"/>
        </w:rPr>
        <w:t>artz</w:t>
      </w:r>
      <w:r w:rsidR="00E0047A" w:rsidRPr="003101A0">
        <w:rPr>
          <w:rFonts w:ascii="Times New Roman" w:hAnsi="Times New Roman" w:cs="Times New Roman"/>
          <w:sz w:val="24"/>
          <w:szCs w:val="24"/>
          <w:lang w:val="en-US"/>
        </w:rPr>
        <w:t>’</w:t>
      </w:r>
      <w:r w:rsidR="00A01468" w:rsidRPr="003101A0">
        <w:rPr>
          <w:rFonts w:ascii="Times New Roman" w:hAnsi="Times New Roman" w:cs="Times New Roman"/>
          <w:sz w:val="24"/>
          <w:szCs w:val="24"/>
          <w:lang w:val="en-US"/>
        </w:rPr>
        <w:t xml:space="preserve"> (1988) </w:t>
      </w:r>
      <w:r w:rsidR="00E0047A" w:rsidRPr="003101A0">
        <w:rPr>
          <w:rFonts w:ascii="Times New Roman" w:hAnsi="Times New Roman" w:cs="Times New Roman"/>
          <w:sz w:val="24"/>
          <w:szCs w:val="24"/>
          <w:lang w:val="en-US"/>
        </w:rPr>
        <w:t>risk uncertainty model</w:t>
      </w:r>
      <w:r w:rsidR="00F07A76" w:rsidRPr="003101A0">
        <w:rPr>
          <w:rFonts w:ascii="Times New Roman" w:hAnsi="Times New Roman" w:cs="Times New Roman"/>
          <w:sz w:val="24"/>
          <w:szCs w:val="24"/>
          <w:lang w:val="en-US"/>
        </w:rPr>
        <w:t>s</w:t>
      </w:r>
      <w:r w:rsidR="00E0047A" w:rsidRPr="003101A0">
        <w:rPr>
          <w:rFonts w:ascii="Times New Roman" w:hAnsi="Times New Roman" w:cs="Times New Roman"/>
          <w:sz w:val="24"/>
          <w:szCs w:val="24"/>
          <w:lang w:val="en-US"/>
        </w:rPr>
        <w:t xml:space="preserve"> predict that </w:t>
      </w:r>
      <w:r w:rsidR="00C35084" w:rsidRPr="003101A0">
        <w:rPr>
          <w:rFonts w:ascii="Times New Roman" w:hAnsi="Times New Roman" w:cs="Times New Roman"/>
          <w:sz w:val="24"/>
          <w:szCs w:val="24"/>
          <w:lang w:val="en-US"/>
        </w:rPr>
        <w:t>convertibles</w:t>
      </w:r>
      <w:r w:rsidR="00E0047A" w:rsidRPr="003101A0">
        <w:rPr>
          <w:rFonts w:ascii="Times New Roman" w:hAnsi="Times New Roman" w:cs="Times New Roman"/>
          <w:sz w:val="24"/>
          <w:szCs w:val="24"/>
          <w:lang w:val="en-US"/>
        </w:rPr>
        <w:t xml:space="preserve">’ hybrid nature facilitates financing </w:t>
      </w:r>
      <w:r w:rsidR="004E26F3" w:rsidRPr="003101A0">
        <w:rPr>
          <w:rFonts w:ascii="Times New Roman" w:hAnsi="Times New Roman" w:cs="Times New Roman"/>
          <w:sz w:val="24"/>
          <w:szCs w:val="24"/>
          <w:lang w:val="en-US"/>
        </w:rPr>
        <w:t xml:space="preserve">in </w:t>
      </w:r>
      <w:r w:rsidR="00E0047A" w:rsidRPr="003101A0">
        <w:rPr>
          <w:rFonts w:ascii="Times New Roman" w:hAnsi="Times New Roman" w:cs="Times New Roman"/>
          <w:sz w:val="24"/>
          <w:szCs w:val="24"/>
          <w:lang w:val="en-US"/>
        </w:rPr>
        <w:t xml:space="preserve">conditions with uncertainty about firm </w:t>
      </w:r>
      <w:r w:rsidR="00E0047A" w:rsidRPr="003101A0">
        <w:rPr>
          <w:rFonts w:ascii="Times New Roman" w:hAnsi="Times New Roman" w:cs="Times New Roman"/>
          <w:sz w:val="24"/>
          <w:szCs w:val="24"/>
          <w:lang w:val="en-US"/>
        </w:rPr>
        <w:lastRenderedPageBreak/>
        <w:t>risk</w:t>
      </w:r>
      <w:r w:rsidR="002660B5" w:rsidRPr="003101A0">
        <w:rPr>
          <w:rFonts w:ascii="Times New Roman" w:hAnsi="Times New Roman" w:cs="Times New Roman"/>
          <w:sz w:val="24"/>
          <w:szCs w:val="24"/>
          <w:lang w:val="en-US"/>
        </w:rPr>
        <w:t>, which may be associated with the presence of substantial investment opportunities</w:t>
      </w:r>
      <w:r w:rsidR="00E60472" w:rsidRPr="003101A0">
        <w:rPr>
          <w:rFonts w:ascii="Times New Roman" w:hAnsi="Times New Roman" w:cs="Times New Roman"/>
          <w:sz w:val="24"/>
          <w:szCs w:val="24"/>
          <w:lang w:val="en-US" w:eastAsia="zh-CN"/>
        </w:rPr>
        <w:t>.</w:t>
      </w:r>
      <w:r w:rsidR="00C35084" w:rsidRPr="003101A0">
        <w:rPr>
          <w:rFonts w:ascii="Times New Roman" w:hAnsi="Times New Roman" w:cs="Times New Roman"/>
          <w:sz w:val="24"/>
          <w:szCs w:val="24"/>
          <w:lang w:val="en-US"/>
        </w:rPr>
        <w:t xml:space="preserve"> Thus, while theory predicts that covenants and convertibles share similar </w:t>
      </w:r>
      <w:r w:rsidR="00C54257" w:rsidRPr="003101A0">
        <w:rPr>
          <w:rFonts w:ascii="Times New Roman" w:hAnsi="Times New Roman" w:cs="Times New Roman"/>
          <w:sz w:val="24"/>
          <w:szCs w:val="24"/>
          <w:lang w:val="en-US"/>
        </w:rPr>
        <w:t xml:space="preserve">debt-related </w:t>
      </w:r>
      <w:r w:rsidR="00C35084" w:rsidRPr="003101A0">
        <w:rPr>
          <w:rFonts w:ascii="Times New Roman" w:hAnsi="Times New Roman" w:cs="Times New Roman"/>
          <w:sz w:val="24"/>
          <w:szCs w:val="24"/>
          <w:lang w:val="en-US"/>
        </w:rPr>
        <w:t>costs-reducing benefits, convertibles do not share covenants’ cost of curbing a firm’s financial flexibility</w:t>
      </w:r>
      <w:r w:rsidR="00C411B6" w:rsidRPr="003101A0">
        <w:rPr>
          <w:rFonts w:ascii="Times New Roman" w:hAnsi="Times New Roman" w:cs="Times New Roman"/>
          <w:sz w:val="24"/>
          <w:szCs w:val="24"/>
          <w:lang w:val="en-US"/>
        </w:rPr>
        <w:t xml:space="preserve"> and are</w:t>
      </w:r>
      <w:r w:rsidR="00871C61" w:rsidRPr="003101A0">
        <w:rPr>
          <w:rFonts w:ascii="Times New Roman" w:hAnsi="Times New Roman" w:cs="Times New Roman"/>
          <w:sz w:val="24"/>
          <w:szCs w:val="24"/>
          <w:lang w:val="en-US"/>
        </w:rPr>
        <w:t>,</w:t>
      </w:r>
      <w:r w:rsidR="00C411B6" w:rsidRPr="003101A0">
        <w:rPr>
          <w:rFonts w:ascii="Times New Roman" w:hAnsi="Times New Roman" w:cs="Times New Roman"/>
          <w:sz w:val="24"/>
          <w:szCs w:val="24"/>
          <w:lang w:val="en-US"/>
        </w:rPr>
        <w:t xml:space="preserve"> in fact</w:t>
      </w:r>
      <w:r w:rsidR="00871C61" w:rsidRPr="003101A0">
        <w:rPr>
          <w:rFonts w:ascii="Times New Roman" w:hAnsi="Times New Roman" w:cs="Times New Roman"/>
          <w:sz w:val="24"/>
          <w:szCs w:val="24"/>
          <w:lang w:val="en-US"/>
        </w:rPr>
        <w:t>,</w:t>
      </w:r>
      <w:r w:rsidR="00276363" w:rsidRPr="003101A0">
        <w:rPr>
          <w:rFonts w:ascii="Times New Roman" w:hAnsi="Times New Roman" w:cs="Times New Roman"/>
          <w:sz w:val="24"/>
          <w:szCs w:val="24"/>
          <w:lang w:val="en-US"/>
        </w:rPr>
        <w:t xml:space="preserve"> particularly </w:t>
      </w:r>
      <w:r w:rsidR="00C411B6" w:rsidRPr="003101A0">
        <w:rPr>
          <w:rFonts w:ascii="Times New Roman" w:hAnsi="Times New Roman" w:cs="Times New Roman"/>
          <w:sz w:val="24"/>
          <w:szCs w:val="24"/>
          <w:lang w:val="en-US"/>
        </w:rPr>
        <w:t>suitable in</w:t>
      </w:r>
      <w:r w:rsidR="00840B18" w:rsidRPr="003101A0">
        <w:rPr>
          <w:rFonts w:ascii="Times New Roman" w:hAnsi="Times New Roman" w:cs="Times New Roman"/>
          <w:sz w:val="24"/>
          <w:szCs w:val="24"/>
          <w:lang w:val="en-US"/>
        </w:rPr>
        <w:t xml:space="preserve"> </w:t>
      </w:r>
      <w:r w:rsidR="00E0047A" w:rsidRPr="003101A0">
        <w:rPr>
          <w:rFonts w:ascii="Times New Roman" w:hAnsi="Times New Roman" w:cs="Times New Roman"/>
          <w:sz w:val="24"/>
          <w:szCs w:val="24"/>
          <w:lang w:val="en-US"/>
        </w:rPr>
        <w:t xml:space="preserve">conditions with a </w:t>
      </w:r>
      <w:r w:rsidR="00840B18" w:rsidRPr="003101A0">
        <w:rPr>
          <w:rFonts w:ascii="Times New Roman" w:hAnsi="Times New Roman" w:cs="Times New Roman"/>
          <w:sz w:val="24"/>
          <w:szCs w:val="24"/>
          <w:lang w:val="en-US"/>
        </w:rPr>
        <w:t xml:space="preserve">higher need for financial flexibility. </w:t>
      </w:r>
      <w:r w:rsidR="0037111F" w:rsidRPr="003101A0">
        <w:rPr>
          <w:rFonts w:ascii="Times New Roman" w:hAnsi="Times New Roman" w:cs="Times New Roman"/>
          <w:sz w:val="24"/>
          <w:szCs w:val="24"/>
          <w:lang w:val="en-US"/>
        </w:rPr>
        <w:t xml:space="preserve">Of course, </w:t>
      </w:r>
      <w:r w:rsidR="00406360" w:rsidRPr="003101A0">
        <w:rPr>
          <w:rFonts w:ascii="Times New Roman" w:hAnsi="Times New Roman" w:cs="Times New Roman"/>
          <w:sz w:val="24"/>
          <w:szCs w:val="24"/>
          <w:lang w:val="en-US"/>
        </w:rPr>
        <w:t xml:space="preserve">covenants have advantages over convertibles too. </w:t>
      </w:r>
      <w:r w:rsidR="00276363" w:rsidRPr="003101A0">
        <w:rPr>
          <w:rFonts w:ascii="Times New Roman" w:hAnsi="Times New Roman" w:cs="Times New Roman"/>
          <w:sz w:val="24"/>
          <w:szCs w:val="24"/>
          <w:lang w:val="en-US"/>
        </w:rPr>
        <w:t>A</w:t>
      </w:r>
      <w:r w:rsidR="00C54257" w:rsidRPr="003101A0">
        <w:rPr>
          <w:rFonts w:ascii="Times New Roman" w:hAnsi="Times New Roman" w:cs="Times New Roman"/>
          <w:sz w:val="24"/>
          <w:szCs w:val="24"/>
          <w:lang w:val="en-US"/>
        </w:rPr>
        <w:t>dding a</w:t>
      </w:r>
      <w:r w:rsidR="005D7506" w:rsidRPr="003101A0">
        <w:rPr>
          <w:rFonts w:ascii="Times New Roman" w:hAnsi="Times New Roman" w:cs="Times New Roman"/>
          <w:sz w:val="24"/>
          <w:szCs w:val="24"/>
          <w:lang w:val="en-US"/>
        </w:rPr>
        <w:t xml:space="preserve"> conversion option</w:t>
      </w:r>
      <w:r w:rsidR="00C54257" w:rsidRPr="003101A0">
        <w:rPr>
          <w:rFonts w:ascii="Times New Roman" w:hAnsi="Times New Roman" w:cs="Times New Roman"/>
          <w:sz w:val="24"/>
          <w:szCs w:val="24"/>
          <w:lang w:val="en-US"/>
        </w:rPr>
        <w:t xml:space="preserve">, with </w:t>
      </w:r>
      <w:r w:rsidR="007715F9" w:rsidRPr="003101A0">
        <w:rPr>
          <w:rFonts w:ascii="Times New Roman" w:hAnsi="Times New Roman" w:cs="Times New Roman"/>
          <w:sz w:val="24"/>
          <w:szCs w:val="24"/>
          <w:lang w:val="en-US"/>
        </w:rPr>
        <w:t>its</w:t>
      </w:r>
      <w:r w:rsidR="00C54257" w:rsidRPr="003101A0">
        <w:rPr>
          <w:rFonts w:ascii="Times New Roman" w:hAnsi="Times New Roman" w:cs="Times New Roman"/>
          <w:sz w:val="24"/>
          <w:szCs w:val="24"/>
          <w:lang w:val="en-US"/>
        </w:rPr>
        <w:t xml:space="preserve"> associated </w:t>
      </w:r>
      <w:r w:rsidR="00276363" w:rsidRPr="003101A0">
        <w:rPr>
          <w:rFonts w:ascii="Times New Roman" w:hAnsi="Times New Roman" w:cs="Times New Roman"/>
          <w:sz w:val="24"/>
          <w:szCs w:val="24"/>
          <w:lang w:val="en-US"/>
        </w:rPr>
        <w:t>equity-related adverse selection and dilution costs</w:t>
      </w:r>
      <w:r w:rsidR="004E26F3" w:rsidRPr="003101A0">
        <w:rPr>
          <w:rFonts w:ascii="Times New Roman" w:hAnsi="Times New Roman" w:cs="Times New Roman"/>
          <w:sz w:val="24"/>
          <w:szCs w:val="24"/>
          <w:lang w:val="en-US"/>
        </w:rPr>
        <w:t>,</w:t>
      </w:r>
      <w:r w:rsidR="00276363" w:rsidRPr="003101A0">
        <w:rPr>
          <w:rFonts w:ascii="Times New Roman" w:hAnsi="Times New Roman" w:cs="Times New Roman"/>
          <w:sz w:val="24"/>
          <w:szCs w:val="24"/>
          <w:lang w:val="en-US"/>
        </w:rPr>
        <w:t xml:space="preserve"> </w:t>
      </w:r>
      <w:r w:rsidR="00406360" w:rsidRPr="003101A0">
        <w:rPr>
          <w:rFonts w:ascii="Times New Roman" w:hAnsi="Times New Roman" w:cs="Times New Roman"/>
          <w:sz w:val="24"/>
          <w:szCs w:val="24"/>
          <w:lang w:val="en-US"/>
        </w:rPr>
        <w:t>may be deemed too blunt and drastic</w:t>
      </w:r>
      <w:r w:rsidR="00276363" w:rsidRPr="003101A0">
        <w:rPr>
          <w:rFonts w:ascii="Times New Roman" w:hAnsi="Times New Roman" w:cs="Times New Roman"/>
          <w:sz w:val="24"/>
          <w:szCs w:val="24"/>
          <w:lang w:val="en-US"/>
        </w:rPr>
        <w:t xml:space="preserve"> a measure</w:t>
      </w:r>
      <w:r w:rsidR="004E26F3" w:rsidRPr="003101A0">
        <w:rPr>
          <w:rFonts w:ascii="Times New Roman" w:hAnsi="Times New Roman" w:cs="Times New Roman"/>
          <w:sz w:val="24"/>
          <w:szCs w:val="24"/>
          <w:lang w:val="en-US"/>
        </w:rPr>
        <w:t>. C</w:t>
      </w:r>
      <w:r w:rsidR="005D7506" w:rsidRPr="003101A0">
        <w:rPr>
          <w:rFonts w:ascii="Times New Roman" w:hAnsi="Times New Roman" w:cs="Times New Roman"/>
          <w:sz w:val="24"/>
          <w:szCs w:val="24"/>
          <w:lang w:val="en-US"/>
        </w:rPr>
        <w:t>ovenants</w:t>
      </w:r>
      <w:r w:rsidR="004E26F3" w:rsidRPr="003101A0">
        <w:rPr>
          <w:rFonts w:ascii="Times New Roman" w:hAnsi="Times New Roman" w:cs="Times New Roman"/>
          <w:sz w:val="24"/>
          <w:szCs w:val="24"/>
          <w:lang w:val="en-US"/>
        </w:rPr>
        <w:t xml:space="preserve"> may</w:t>
      </w:r>
      <w:r w:rsidR="005D7506" w:rsidRPr="003101A0">
        <w:rPr>
          <w:rFonts w:ascii="Times New Roman" w:hAnsi="Times New Roman" w:cs="Times New Roman"/>
          <w:sz w:val="24"/>
          <w:szCs w:val="24"/>
          <w:lang w:val="en-US"/>
        </w:rPr>
        <w:t xml:space="preserve"> offer the potential for more </w:t>
      </w:r>
      <w:r w:rsidR="00C411B6" w:rsidRPr="003101A0">
        <w:rPr>
          <w:rFonts w:ascii="Times New Roman" w:hAnsi="Times New Roman" w:cs="Times New Roman"/>
          <w:sz w:val="24"/>
          <w:szCs w:val="24"/>
          <w:lang w:val="en-US"/>
        </w:rPr>
        <w:t xml:space="preserve">subtle, </w:t>
      </w:r>
      <w:r w:rsidR="005D7506" w:rsidRPr="003101A0">
        <w:rPr>
          <w:rFonts w:ascii="Times New Roman" w:hAnsi="Times New Roman" w:cs="Times New Roman"/>
          <w:sz w:val="24"/>
          <w:szCs w:val="24"/>
          <w:lang w:val="en-US"/>
        </w:rPr>
        <w:t>tailored restrictions</w:t>
      </w:r>
      <w:r w:rsidR="0077150F" w:rsidRPr="003101A0">
        <w:rPr>
          <w:rFonts w:ascii="Times New Roman" w:hAnsi="Times New Roman" w:cs="Times New Roman"/>
          <w:sz w:val="24"/>
          <w:szCs w:val="24"/>
          <w:lang w:val="en-US"/>
        </w:rPr>
        <w:t xml:space="preserve">. </w:t>
      </w:r>
      <w:r w:rsidR="00836DBA" w:rsidRPr="003101A0">
        <w:rPr>
          <w:rFonts w:ascii="Times New Roman" w:hAnsi="Times New Roman" w:cs="Times New Roman"/>
          <w:sz w:val="24"/>
          <w:szCs w:val="24"/>
          <w:lang w:val="en-US"/>
        </w:rPr>
        <w:t xml:space="preserve">Kahan </w:t>
      </w:r>
      <w:r w:rsidR="00C54257" w:rsidRPr="003101A0">
        <w:rPr>
          <w:rFonts w:ascii="Times New Roman" w:hAnsi="Times New Roman" w:cs="Times New Roman"/>
          <w:sz w:val="24"/>
          <w:szCs w:val="24"/>
          <w:lang w:val="en-US"/>
        </w:rPr>
        <w:t>and Yermack (1998</w:t>
      </w:r>
      <w:r w:rsidR="006238C9" w:rsidRPr="003101A0">
        <w:rPr>
          <w:rFonts w:ascii="Times New Roman" w:hAnsi="Times New Roman" w:cs="Times New Roman"/>
          <w:sz w:val="24"/>
          <w:szCs w:val="24"/>
          <w:lang w:val="en-US"/>
        </w:rPr>
        <w:t>: p.138</w:t>
      </w:r>
      <w:r w:rsidR="00C54257" w:rsidRPr="003101A0">
        <w:rPr>
          <w:rFonts w:ascii="Times New Roman" w:hAnsi="Times New Roman" w:cs="Times New Roman"/>
          <w:sz w:val="24"/>
          <w:szCs w:val="24"/>
          <w:lang w:val="en-US"/>
        </w:rPr>
        <w:t xml:space="preserve">) </w:t>
      </w:r>
      <w:r w:rsidR="00C411B6" w:rsidRPr="003101A0">
        <w:rPr>
          <w:rFonts w:ascii="Times New Roman" w:hAnsi="Times New Roman" w:cs="Times New Roman"/>
          <w:sz w:val="24"/>
          <w:szCs w:val="24"/>
          <w:lang w:val="en-US"/>
        </w:rPr>
        <w:t>corroborate this intuition by stating that</w:t>
      </w:r>
      <w:r w:rsidR="00C54257" w:rsidRPr="003101A0">
        <w:rPr>
          <w:rFonts w:ascii="Times New Roman" w:hAnsi="Times New Roman" w:cs="Times New Roman"/>
          <w:sz w:val="24"/>
          <w:szCs w:val="24"/>
          <w:lang w:val="en-US"/>
        </w:rPr>
        <w:t xml:space="preserve"> firms might consider a convertible bond offering an </w:t>
      </w:r>
      <w:r w:rsidR="00C54257" w:rsidRPr="003101A0">
        <w:rPr>
          <w:rFonts w:ascii="Times New Roman" w:hAnsi="Times New Roman" w:cs="Times New Roman"/>
          <w:i/>
          <w:sz w:val="24"/>
          <w:szCs w:val="24"/>
          <w:lang w:val="en-US"/>
        </w:rPr>
        <w:t xml:space="preserve">“unwieldy and overly powerful weapon” (…) for mitigating (…) agency problems (…) that might be addressed more efficiently by narrowly drawn covenants.” </w:t>
      </w:r>
      <w:r w:rsidR="00276363" w:rsidRPr="003101A0">
        <w:rPr>
          <w:rFonts w:ascii="Times New Roman" w:hAnsi="Times New Roman" w:cs="Times New Roman"/>
          <w:sz w:val="24"/>
          <w:szCs w:val="24"/>
          <w:lang w:val="en-US"/>
        </w:rPr>
        <w:t>In conclusion, s</w:t>
      </w:r>
      <w:r w:rsidR="00E0047A" w:rsidRPr="003101A0">
        <w:rPr>
          <w:rFonts w:ascii="Times New Roman" w:hAnsi="Times New Roman" w:cs="Times New Roman"/>
          <w:sz w:val="24"/>
          <w:szCs w:val="24"/>
          <w:lang w:val="en-US"/>
        </w:rPr>
        <w:t>ince</w:t>
      </w:r>
      <w:r w:rsidR="005D7506" w:rsidRPr="003101A0">
        <w:rPr>
          <w:rFonts w:ascii="Times New Roman" w:hAnsi="Times New Roman" w:cs="Times New Roman"/>
          <w:sz w:val="24"/>
          <w:szCs w:val="24"/>
          <w:lang w:val="en-US"/>
        </w:rPr>
        <w:t xml:space="preserve"> </w:t>
      </w:r>
      <w:r w:rsidR="00276363" w:rsidRPr="003101A0">
        <w:rPr>
          <w:rFonts w:ascii="Times New Roman" w:hAnsi="Times New Roman" w:cs="Times New Roman"/>
          <w:sz w:val="24"/>
          <w:szCs w:val="24"/>
          <w:lang w:val="en-US"/>
        </w:rPr>
        <w:t>a conversion option and covenants</w:t>
      </w:r>
      <w:r w:rsidR="005D7506" w:rsidRPr="003101A0">
        <w:rPr>
          <w:rFonts w:ascii="Times New Roman" w:hAnsi="Times New Roman" w:cs="Times New Roman"/>
          <w:sz w:val="24"/>
          <w:szCs w:val="24"/>
          <w:lang w:val="en-US"/>
        </w:rPr>
        <w:t xml:space="preserve"> each have costs making the other instrument relatively more attractive</w:t>
      </w:r>
      <w:r w:rsidR="00840B18" w:rsidRPr="003101A0">
        <w:rPr>
          <w:rFonts w:ascii="Times New Roman" w:hAnsi="Times New Roman" w:cs="Times New Roman"/>
          <w:sz w:val="24"/>
          <w:szCs w:val="24"/>
          <w:lang w:val="en-US"/>
        </w:rPr>
        <w:t xml:space="preserve">, we </w:t>
      </w:r>
      <w:r w:rsidR="004F7ECE" w:rsidRPr="003101A0">
        <w:rPr>
          <w:rFonts w:ascii="Times New Roman" w:hAnsi="Times New Roman" w:cs="Times New Roman"/>
          <w:sz w:val="24"/>
          <w:szCs w:val="24"/>
          <w:lang w:val="en-US"/>
        </w:rPr>
        <w:t xml:space="preserve">obtain </w:t>
      </w:r>
      <w:r w:rsidR="00840B18" w:rsidRPr="003101A0">
        <w:rPr>
          <w:rFonts w:ascii="Times New Roman" w:hAnsi="Times New Roman" w:cs="Times New Roman"/>
          <w:sz w:val="24"/>
          <w:szCs w:val="24"/>
          <w:lang w:val="en-US"/>
        </w:rPr>
        <w:t xml:space="preserve">the </w:t>
      </w:r>
      <w:r w:rsidR="00C411B6" w:rsidRPr="003101A0">
        <w:rPr>
          <w:rFonts w:ascii="Times New Roman" w:hAnsi="Times New Roman" w:cs="Times New Roman"/>
          <w:sz w:val="24"/>
          <w:szCs w:val="24"/>
          <w:lang w:val="en-US"/>
        </w:rPr>
        <w:t xml:space="preserve">main </w:t>
      </w:r>
      <w:r w:rsidR="00840B18" w:rsidRPr="003101A0">
        <w:rPr>
          <w:rFonts w:ascii="Times New Roman" w:hAnsi="Times New Roman" w:cs="Times New Roman"/>
          <w:sz w:val="24"/>
          <w:szCs w:val="24"/>
          <w:lang w:val="en-US"/>
        </w:rPr>
        <w:t xml:space="preserve">hypothesis of a </w:t>
      </w:r>
      <w:r w:rsidR="00840B18" w:rsidRPr="003101A0">
        <w:rPr>
          <w:rFonts w:ascii="Times New Roman" w:hAnsi="Times New Roman" w:cs="Times New Roman"/>
          <w:sz w:val="24"/>
          <w:szCs w:val="24"/>
          <w:u w:val="single"/>
          <w:lang w:val="en-US"/>
        </w:rPr>
        <w:t>substitute</w:t>
      </w:r>
      <w:r w:rsidR="00840B18" w:rsidRPr="003101A0">
        <w:rPr>
          <w:rFonts w:ascii="Times New Roman" w:hAnsi="Times New Roman" w:cs="Times New Roman"/>
          <w:sz w:val="24"/>
          <w:szCs w:val="24"/>
          <w:lang w:val="en-US"/>
        </w:rPr>
        <w:t xml:space="preserve"> use of </w:t>
      </w:r>
      <w:r w:rsidR="005D7506" w:rsidRPr="003101A0">
        <w:rPr>
          <w:rFonts w:ascii="Times New Roman" w:hAnsi="Times New Roman" w:cs="Times New Roman"/>
          <w:sz w:val="24"/>
          <w:szCs w:val="24"/>
          <w:lang w:val="en-US"/>
        </w:rPr>
        <w:t>these bond design features</w:t>
      </w:r>
      <w:r w:rsidR="00A46339" w:rsidRPr="003101A0">
        <w:rPr>
          <w:rFonts w:ascii="Times New Roman" w:hAnsi="Times New Roman" w:cs="Times New Roman"/>
          <w:sz w:val="24"/>
          <w:szCs w:val="24"/>
          <w:lang w:val="en-US"/>
        </w:rPr>
        <w:t xml:space="preserve">. </w:t>
      </w:r>
    </w:p>
    <w:p w14:paraId="375AB34F" w14:textId="4610E652" w:rsidR="003C3968" w:rsidRPr="003101A0" w:rsidRDefault="003C3968" w:rsidP="00FB5BEC">
      <w:pPr>
        <w:spacing w:after="0" w:line="480" w:lineRule="auto"/>
        <w:rPr>
          <w:rFonts w:ascii="Times New Roman" w:hAnsi="Times New Roman" w:cs="Times New Roman"/>
          <w:i/>
          <w:iCs/>
          <w:sz w:val="24"/>
          <w:szCs w:val="24"/>
          <w:lang w:val="en-US"/>
        </w:rPr>
      </w:pPr>
      <w:r w:rsidRPr="003101A0">
        <w:rPr>
          <w:rFonts w:ascii="Times New Roman" w:hAnsi="Times New Roman" w:cs="Times New Roman"/>
          <w:i/>
          <w:iCs/>
          <w:sz w:val="24"/>
          <w:szCs w:val="24"/>
          <w:lang w:val="en-US"/>
        </w:rPr>
        <w:t>2.4. Testable predictions</w:t>
      </w:r>
    </w:p>
    <w:p w14:paraId="6FE1AFAD" w14:textId="4020C0B9" w:rsidR="009421F3" w:rsidRPr="003101A0" w:rsidRDefault="00A46339" w:rsidP="00432D49">
      <w:pPr>
        <w:spacing w:after="0" w:line="480" w:lineRule="auto"/>
        <w:ind w:firstLine="425"/>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The hypothesis that convertibility and covenants are used as substitute</w:t>
      </w:r>
      <w:r w:rsidR="002A0FED" w:rsidRPr="003101A0">
        <w:rPr>
          <w:rFonts w:ascii="Times New Roman" w:hAnsi="Times New Roman" w:cs="Times New Roman"/>
          <w:sz w:val="24"/>
          <w:szCs w:val="24"/>
          <w:lang w:val="en-US"/>
        </w:rPr>
        <w:t>s</w:t>
      </w:r>
      <w:r w:rsidRPr="003101A0">
        <w:rPr>
          <w:rFonts w:ascii="Times New Roman" w:hAnsi="Times New Roman" w:cs="Times New Roman"/>
          <w:sz w:val="24"/>
          <w:szCs w:val="24"/>
          <w:lang w:val="en-US"/>
        </w:rPr>
        <w:t xml:space="preserve"> generates two testable predictions. Firstly, it implies that</w:t>
      </w:r>
      <w:r w:rsidR="007725FF" w:rsidRPr="003101A0">
        <w:rPr>
          <w:rFonts w:ascii="Times New Roman" w:hAnsi="Times New Roman" w:cs="Times New Roman"/>
          <w:sz w:val="24"/>
          <w:szCs w:val="24"/>
          <w:lang w:val="en-US"/>
        </w:rPr>
        <w:t xml:space="preserve"> adding a conversion option reduces the need for covenants</w:t>
      </w:r>
      <w:r w:rsidR="00FE46CA" w:rsidRPr="003101A0">
        <w:rPr>
          <w:rFonts w:ascii="Times New Roman" w:hAnsi="Times New Roman" w:cs="Times New Roman"/>
          <w:sz w:val="24"/>
          <w:szCs w:val="24"/>
          <w:lang w:val="en-US"/>
        </w:rPr>
        <w:t xml:space="preserve">, resulting in a lower covenant frequency (or </w:t>
      </w:r>
      <w:r w:rsidR="00D440FB" w:rsidRPr="003101A0">
        <w:rPr>
          <w:rFonts w:ascii="Times New Roman" w:hAnsi="Times New Roman" w:cs="Times New Roman"/>
          <w:sz w:val="24"/>
          <w:szCs w:val="24"/>
          <w:lang w:val="en-US"/>
        </w:rPr>
        <w:t>‘</w:t>
      </w:r>
      <w:r w:rsidR="00FE46CA" w:rsidRPr="003101A0">
        <w:rPr>
          <w:rFonts w:ascii="Times New Roman" w:hAnsi="Times New Roman" w:cs="Times New Roman"/>
          <w:sz w:val="24"/>
          <w:szCs w:val="24"/>
          <w:lang w:val="en-US"/>
        </w:rPr>
        <w:t>covenant intensity</w:t>
      </w:r>
      <w:r w:rsidR="0049621F" w:rsidRPr="003101A0">
        <w:rPr>
          <w:rFonts w:ascii="Times New Roman" w:hAnsi="Times New Roman" w:cs="Times New Roman"/>
          <w:sz w:val="24"/>
          <w:szCs w:val="24"/>
          <w:lang w:val="en-US"/>
        </w:rPr>
        <w:t>’</w:t>
      </w:r>
      <w:r w:rsidR="00B001CD">
        <w:rPr>
          <w:rFonts w:ascii="Times New Roman" w:hAnsi="Times New Roman" w:cs="Times New Roman"/>
          <w:sz w:val="24"/>
          <w:szCs w:val="24"/>
          <w:lang w:val="en-US"/>
        </w:rPr>
        <w:t>,</w:t>
      </w:r>
      <w:r w:rsidR="00FE46CA" w:rsidRPr="003101A0">
        <w:rPr>
          <w:rFonts w:ascii="Times New Roman" w:hAnsi="Times New Roman" w:cs="Times New Roman"/>
          <w:sz w:val="24"/>
          <w:szCs w:val="24"/>
          <w:lang w:val="en-US"/>
        </w:rPr>
        <w:t xml:space="preserve"> to use the terminology adopted in most reference papers) for convertibles than for straight bonds</w:t>
      </w:r>
      <w:r w:rsidR="007725FF" w:rsidRPr="003101A0">
        <w:rPr>
          <w:rFonts w:ascii="Times New Roman" w:hAnsi="Times New Roman" w:cs="Times New Roman"/>
          <w:sz w:val="24"/>
          <w:szCs w:val="24"/>
          <w:lang w:val="en-US"/>
        </w:rPr>
        <w:t>. Thus</w:t>
      </w:r>
      <w:r w:rsidRPr="003101A0">
        <w:rPr>
          <w:rFonts w:ascii="Times New Roman" w:hAnsi="Times New Roman" w:cs="Times New Roman"/>
          <w:sz w:val="24"/>
          <w:szCs w:val="24"/>
          <w:lang w:val="en-US"/>
        </w:rPr>
        <w:t xml:space="preserve">: </w:t>
      </w:r>
    </w:p>
    <w:p w14:paraId="401D758F" w14:textId="470ADF05" w:rsidR="009421F3" w:rsidRPr="003101A0" w:rsidRDefault="007725FF" w:rsidP="00432D49">
      <w:pPr>
        <w:spacing w:after="0" w:line="480" w:lineRule="auto"/>
        <w:ind w:firstLine="425"/>
        <w:jc w:val="both"/>
        <w:rPr>
          <w:rFonts w:ascii="Times New Roman" w:hAnsi="Times New Roman" w:cs="Times New Roman"/>
          <w:i/>
          <w:sz w:val="24"/>
          <w:szCs w:val="24"/>
          <w:lang w:val="en-US"/>
        </w:rPr>
      </w:pPr>
      <w:r w:rsidRPr="003101A0">
        <w:rPr>
          <w:rFonts w:ascii="Times New Roman" w:hAnsi="Times New Roman" w:cs="Times New Roman"/>
          <w:i/>
          <w:sz w:val="24"/>
          <w:szCs w:val="24"/>
          <w:lang w:val="en-US"/>
        </w:rPr>
        <w:t>P</w:t>
      </w:r>
      <w:r w:rsidRPr="003101A0">
        <w:rPr>
          <w:rFonts w:ascii="Times New Roman" w:hAnsi="Times New Roman" w:cs="Times New Roman"/>
          <w:i/>
          <w:sz w:val="24"/>
          <w:szCs w:val="24"/>
          <w:vertAlign w:val="subscript"/>
          <w:lang w:val="en-US"/>
        </w:rPr>
        <w:t>1</w:t>
      </w:r>
      <w:r w:rsidR="009421F3" w:rsidRPr="003101A0">
        <w:rPr>
          <w:rFonts w:ascii="Times New Roman" w:hAnsi="Times New Roman" w:cs="Times New Roman"/>
          <w:i/>
          <w:sz w:val="24"/>
          <w:szCs w:val="24"/>
          <w:lang w:val="en-US"/>
        </w:rPr>
        <w:t xml:space="preserve">: Convertible bonds </w:t>
      </w:r>
      <w:r w:rsidR="00871C61" w:rsidRPr="003101A0">
        <w:rPr>
          <w:rFonts w:ascii="Times New Roman" w:hAnsi="Times New Roman" w:cs="Times New Roman"/>
          <w:i/>
          <w:sz w:val="24"/>
          <w:szCs w:val="24"/>
          <w:lang w:val="en-US"/>
        </w:rPr>
        <w:t xml:space="preserve">have </w:t>
      </w:r>
      <w:r w:rsidR="00FE46CA" w:rsidRPr="003101A0">
        <w:rPr>
          <w:rFonts w:ascii="Times New Roman" w:hAnsi="Times New Roman" w:cs="Times New Roman"/>
          <w:i/>
          <w:sz w:val="24"/>
          <w:szCs w:val="24"/>
          <w:lang w:val="en-US"/>
        </w:rPr>
        <w:t>a lower covenant intensity</w:t>
      </w:r>
      <w:r w:rsidR="009421F3" w:rsidRPr="003101A0">
        <w:rPr>
          <w:rFonts w:ascii="Times New Roman" w:hAnsi="Times New Roman" w:cs="Times New Roman"/>
          <w:i/>
          <w:sz w:val="24"/>
          <w:szCs w:val="24"/>
          <w:lang w:val="en-US"/>
        </w:rPr>
        <w:t xml:space="preserve"> than straight bonds.</w:t>
      </w:r>
    </w:p>
    <w:p w14:paraId="6A0C715B" w14:textId="0FF75AC4" w:rsidR="00696F1B" w:rsidRPr="003101A0" w:rsidRDefault="00037145" w:rsidP="00432D49">
      <w:pPr>
        <w:spacing w:after="0" w:line="480" w:lineRule="auto"/>
        <w:ind w:firstLine="425"/>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Our </w:t>
      </w:r>
      <w:r w:rsidR="00425301" w:rsidRPr="003101A0">
        <w:rPr>
          <w:rFonts w:ascii="Times New Roman" w:hAnsi="Times New Roman" w:cs="Times New Roman"/>
          <w:sz w:val="24"/>
          <w:szCs w:val="24"/>
          <w:lang w:val="en-US"/>
        </w:rPr>
        <w:t xml:space="preserve">second </w:t>
      </w:r>
      <w:r w:rsidRPr="003101A0">
        <w:rPr>
          <w:rFonts w:ascii="Times New Roman" w:hAnsi="Times New Roman" w:cs="Times New Roman"/>
          <w:sz w:val="24"/>
          <w:szCs w:val="24"/>
          <w:lang w:val="en-US"/>
        </w:rPr>
        <w:t xml:space="preserve">testable </w:t>
      </w:r>
      <w:r w:rsidR="003C3968" w:rsidRPr="003101A0">
        <w:rPr>
          <w:rFonts w:ascii="Times New Roman" w:hAnsi="Times New Roman" w:cs="Times New Roman"/>
          <w:sz w:val="24"/>
          <w:szCs w:val="24"/>
          <w:lang w:val="en-US"/>
        </w:rPr>
        <w:t xml:space="preserve">prediction </w:t>
      </w:r>
      <w:r w:rsidR="00280056" w:rsidRPr="003101A0">
        <w:rPr>
          <w:rFonts w:ascii="Times New Roman" w:hAnsi="Times New Roman" w:cs="Times New Roman"/>
          <w:sz w:val="24"/>
          <w:szCs w:val="24"/>
          <w:lang w:val="en-US"/>
        </w:rPr>
        <w:t>relates to</w:t>
      </w:r>
      <w:r w:rsidRPr="003101A0">
        <w:rPr>
          <w:rFonts w:ascii="Times New Roman" w:hAnsi="Times New Roman" w:cs="Times New Roman"/>
          <w:sz w:val="24"/>
          <w:szCs w:val="24"/>
          <w:lang w:val="en-US"/>
        </w:rPr>
        <w:t xml:space="preserve"> bond yields. </w:t>
      </w:r>
      <w:r w:rsidR="00357E2F">
        <w:rPr>
          <w:rFonts w:ascii="Times New Roman" w:hAnsi="Times New Roman" w:cs="Times New Roman"/>
          <w:sz w:val="24"/>
          <w:szCs w:val="24"/>
          <w:lang w:val="en-US"/>
        </w:rPr>
        <w:t>If</w:t>
      </w:r>
      <w:r w:rsidR="00871C61" w:rsidRPr="003101A0">
        <w:rPr>
          <w:rFonts w:ascii="Times New Roman" w:hAnsi="Times New Roman" w:cs="Times New Roman"/>
          <w:sz w:val="24"/>
          <w:szCs w:val="24"/>
          <w:lang w:val="en-US"/>
        </w:rPr>
        <w:t xml:space="preserve"> covenants </w:t>
      </w:r>
      <w:r w:rsidR="00FF4A30">
        <w:rPr>
          <w:rFonts w:ascii="Times New Roman" w:hAnsi="Times New Roman" w:cs="Times New Roman"/>
          <w:sz w:val="24"/>
          <w:szCs w:val="24"/>
          <w:lang w:val="en-US"/>
        </w:rPr>
        <w:t xml:space="preserve">and convertibles both </w:t>
      </w:r>
      <w:r w:rsidR="00871C61" w:rsidRPr="003101A0">
        <w:rPr>
          <w:rFonts w:ascii="Times New Roman" w:hAnsi="Times New Roman" w:cs="Times New Roman"/>
          <w:sz w:val="24"/>
          <w:szCs w:val="24"/>
          <w:lang w:val="en-US"/>
        </w:rPr>
        <w:t>help reduce agency and financial distress costs</w:t>
      </w:r>
      <w:r w:rsidR="00357E2F">
        <w:rPr>
          <w:rFonts w:ascii="Times New Roman" w:hAnsi="Times New Roman" w:cs="Times New Roman"/>
          <w:sz w:val="24"/>
          <w:szCs w:val="24"/>
          <w:lang w:val="en-US"/>
        </w:rPr>
        <w:t xml:space="preserve">, </w:t>
      </w:r>
      <w:r w:rsidR="00505132" w:rsidRPr="003101A0">
        <w:rPr>
          <w:rFonts w:ascii="Times New Roman" w:hAnsi="Times New Roman" w:cs="Times New Roman"/>
          <w:sz w:val="24"/>
          <w:szCs w:val="24"/>
          <w:lang w:val="en-US"/>
        </w:rPr>
        <w:t xml:space="preserve">we expect a </w:t>
      </w:r>
      <w:r w:rsidR="007725FF" w:rsidRPr="003101A0">
        <w:rPr>
          <w:rFonts w:ascii="Times New Roman" w:hAnsi="Times New Roman" w:cs="Times New Roman"/>
          <w:sz w:val="24"/>
          <w:szCs w:val="24"/>
          <w:lang w:val="en-US"/>
        </w:rPr>
        <w:t>smaller negative</w:t>
      </w:r>
      <w:r w:rsidR="00710163" w:rsidRPr="003101A0">
        <w:rPr>
          <w:rFonts w:ascii="Times New Roman" w:hAnsi="Times New Roman" w:cs="Times New Roman"/>
          <w:sz w:val="24"/>
          <w:szCs w:val="24"/>
          <w:lang w:val="en-US"/>
        </w:rPr>
        <w:t xml:space="preserve"> </w:t>
      </w:r>
      <w:r w:rsidR="00505132" w:rsidRPr="003101A0">
        <w:rPr>
          <w:rFonts w:ascii="Times New Roman" w:hAnsi="Times New Roman" w:cs="Times New Roman"/>
          <w:sz w:val="24"/>
          <w:szCs w:val="24"/>
          <w:lang w:val="en-US"/>
        </w:rPr>
        <w:t>impact of covenant</w:t>
      </w:r>
      <w:r w:rsidR="008706E9" w:rsidRPr="003101A0">
        <w:rPr>
          <w:rFonts w:ascii="Times New Roman" w:hAnsi="Times New Roman" w:cs="Times New Roman"/>
          <w:sz w:val="24"/>
          <w:szCs w:val="24"/>
          <w:lang w:val="en-US"/>
        </w:rPr>
        <w:t xml:space="preserve"> inclusion</w:t>
      </w:r>
      <w:r w:rsidR="00505132" w:rsidRPr="003101A0">
        <w:rPr>
          <w:rFonts w:ascii="Times New Roman" w:hAnsi="Times New Roman" w:cs="Times New Roman"/>
          <w:sz w:val="24"/>
          <w:szCs w:val="24"/>
          <w:lang w:val="en-US"/>
        </w:rPr>
        <w:t xml:space="preserve"> on convertible bond yields</w:t>
      </w:r>
      <w:r w:rsidR="00357E2F">
        <w:rPr>
          <w:rFonts w:ascii="Times New Roman" w:hAnsi="Times New Roman" w:cs="Times New Roman"/>
          <w:sz w:val="24"/>
          <w:szCs w:val="24"/>
          <w:lang w:val="en-US"/>
        </w:rPr>
        <w:t xml:space="preserve">. The reason is that </w:t>
      </w:r>
      <w:r w:rsidR="00DB68F8" w:rsidRPr="003101A0">
        <w:rPr>
          <w:rFonts w:ascii="Times New Roman" w:hAnsi="Times New Roman" w:cs="Times New Roman"/>
          <w:sz w:val="24"/>
          <w:szCs w:val="24"/>
          <w:lang w:val="en-US"/>
        </w:rPr>
        <w:t>covenants have smaller incremental benefits for convertibles</w:t>
      </w:r>
      <w:r w:rsidR="00954750" w:rsidRPr="003101A0">
        <w:rPr>
          <w:rFonts w:ascii="Times New Roman" w:hAnsi="Times New Roman" w:cs="Times New Roman"/>
          <w:sz w:val="24"/>
          <w:szCs w:val="24"/>
          <w:lang w:val="en-US"/>
        </w:rPr>
        <w:t xml:space="preserve"> than for straight bonds</w:t>
      </w:r>
      <w:r w:rsidR="007258DC">
        <w:rPr>
          <w:rFonts w:ascii="Times New Roman" w:hAnsi="Times New Roman" w:cs="Times New Roman"/>
          <w:sz w:val="24"/>
          <w:szCs w:val="24"/>
          <w:lang w:val="en-US"/>
        </w:rPr>
        <w:t>. Therefore:</w:t>
      </w:r>
    </w:p>
    <w:p w14:paraId="7A659CED" w14:textId="36CD02C9" w:rsidR="00505132" w:rsidRDefault="007725FF" w:rsidP="00432D49">
      <w:pPr>
        <w:spacing w:after="0" w:line="480" w:lineRule="auto"/>
        <w:ind w:firstLine="425"/>
        <w:jc w:val="both"/>
        <w:rPr>
          <w:rFonts w:ascii="Times New Roman" w:hAnsi="Times New Roman" w:cs="Times New Roman"/>
          <w:i/>
          <w:sz w:val="24"/>
          <w:szCs w:val="24"/>
          <w:lang w:val="en-US"/>
        </w:rPr>
      </w:pPr>
      <w:r w:rsidRPr="003101A0">
        <w:rPr>
          <w:rFonts w:ascii="Times New Roman" w:hAnsi="Times New Roman" w:cs="Times New Roman"/>
          <w:i/>
          <w:sz w:val="24"/>
          <w:szCs w:val="24"/>
          <w:lang w:val="en-US"/>
        </w:rPr>
        <w:t>P</w:t>
      </w:r>
      <w:r w:rsidR="00425301" w:rsidRPr="003101A0">
        <w:rPr>
          <w:rFonts w:ascii="Times New Roman" w:hAnsi="Times New Roman" w:cs="Times New Roman"/>
          <w:i/>
          <w:sz w:val="24"/>
          <w:szCs w:val="24"/>
          <w:vertAlign w:val="subscript"/>
          <w:lang w:val="en-US"/>
        </w:rPr>
        <w:t>2</w:t>
      </w:r>
      <w:r w:rsidR="00505132" w:rsidRPr="003101A0">
        <w:rPr>
          <w:rFonts w:ascii="Times New Roman" w:hAnsi="Times New Roman" w:cs="Times New Roman"/>
          <w:i/>
          <w:sz w:val="24"/>
          <w:szCs w:val="24"/>
          <w:lang w:val="en-US"/>
        </w:rPr>
        <w:t xml:space="preserve">: </w:t>
      </w:r>
      <w:r w:rsidR="00280056" w:rsidRPr="003101A0">
        <w:rPr>
          <w:rFonts w:ascii="Times New Roman" w:hAnsi="Times New Roman" w:cs="Times New Roman"/>
          <w:i/>
          <w:sz w:val="24"/>
          <w:szCs w:val="24"/>
          <w:lang w:val="en-US"/>
        </w:rPr>
        <w:t xml:space="preserve">Covenants </w:t>
      </w:r>
      <w:r w:rsidR="00871C61" w:rsidRPr="003101A0">
        <w:rPr>
          <w:rFonts w:ascii="Times New Roman" w:hAnsi="Times New Roman" w:cs="Times New Roman"/>
          <w:i/>
          <w:sz w:val="24"/>
          <w:szCs w:val="24"/>
          <w:lang w:val="en-US"/>
        </w:rPr>
        <w:t>impact convertible</w:t>
      </w:r>
      <w:r w:rsidR="00357E2F">
        <w:rPr>
          <w:rFonts w:ascii="Times New Roman" w:hAnsi="Times New Roman" w:cs="Times New Roman"/>
          <w:i/>
          <w:sz w:val="24"/>
          <w:szCs w:val="24"/>
          <w:lang w:val="en-US"/>
        </w:rPr>
        <w:t xml:space="preserve"> bond yields less</w:t>
      </w:r>
      <w:r w:rsidR="00871C61" w:rsidRPr="003101A0">
        <w:rPr>
          <w:rFonts w:ascii="Times New Roman" w:hAnsi="Times New Roman" w:cs="Times New Roman"/>
          <w:i/>
          <w:sz w:val="24"/>
          <w:szCs w:val="24"/>
          <w:lang w:val="en-US"/>
        </w:rPr>
        <w:t xml:space="preserve"> negatively tha</w:t>
      </w:r>
      <w:r w:rsidR="00280056" w:rsidRPr="003101A0">
        <w:rPr>
          <w:rFonts w:ascii="Times New Roman" w:hAnsi="Times New Roman" w:cs="Times New Roman"/>
          <w:i/>
          <w:sz w:val="24"/>
          <w:szCs w:val="24"/>
          <w:lang w:val="en-US"/>
        </w:rPr>
        <w:t>n straight bond yields</w:t>
      </w:r>
      <w:r w:rsidR="00505132" w:rsidRPr="003101A0">
        <w:rPr>
          <w:rFonts w:ascii="Times New Roman" w:hAnsi="Times New Roman" w:cs="Times New Roman"/>
          <w:i/>
          <w:sz w:val="24"/>
          <w:szCs w:val="24"/>
          <w:lang w:val="en-US"/>
        </w:rPr>
        <w:t>.</w:t>
      </w:r>
    </w:p>
    <w:p w14:paraId="71F0A166" w14:textId="77777777" w:rsidR="00775CA0" w:rsidRPr="003101A0" w:rsidRDefault="00775CA0" w:rsidP="00432D49">
      <w:pPr>
        <w:spacing w:after="0" w:line="480" w:lineRule="auto"/>
        <w:ind w:firstLine="425"/>
        <w:jc w:val="both"/>
        <w:rPr>
          <w:rFonts w:ascii="Times New Roman" w:hAnsi="Times New Roman" w:cs="Times New Roman"/>
          <w:i/>
          <w:sz w:val="24"/>
          <w:szCs w:val="24"/>
          <w:lang w:val="en-US"/>
        </w:rPr>
      </w:pPr>
    </w:p>
    <w:p w14:paraId="30D3B0B1" w14:textId="77777777" w:rsidR="00C55F08" w:rsidRPr="003101A0" w:rsidRDefault="00F74F87" w:rsidP="00FB5BEC">
      <w:pPr>
        <w:pStyle w:val="ListParagraph"/>
        <w:numPr>
          <w:ilvl w:val="0"/>
          <w:numId w:val="3"/>
        </w:numPr>
        <w:spacing w:after="0" w:line="480" w:lineRule="auto"/>
        <w:ind w:left="425" w:hanging="425"/>
        <w:rPr>
          <w:rFonts w:ascii="Times New Roman" w:hAnsi="Times New Roman" w:cs="Times New Roman"/>
          <w:b/>
          <w:sz w:val="24"/>
          <w:szCs w:val="24"/>
          <w:lang w:val="en-US"/>
        </w:rPr>
      </w:pPr>
      <w:r w:rsidRPr="003101A0">
        <w:rPr>
          <w:rFonts w:ascii="Times New Roman" w:hAnsi="Times New Roman" w:cs="Times New Roman"/>
          <w:b/>
          <w:sz w:val="24"/>
          <w:szCs w:val="24"/>
          <w:lang w:val="en-US"/>
        </w:rPr>
        <w:lastRenderedPageBreak/>
        <w:t>Sample and variables</w:t>
      </w:r>
    </w:p>
    <w:p w14:paraId="442E3098" w14:textId="7338FF9B" w:rsidR="00F74F87" w:rsidRPr="003101A0" w:rsidRDefault="00F74F87" w:rsidP="000B11D0">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This section describes our sample of convertible and straight bonds. It also </w:t>
      </w:r>
      <w:r w:rsidR="007715F9" w:rsidRPr="003101A0">
        <w:rPr>
          <w:rFonts w:ascii="Times New Roman" w:hAnsi="Times New Roman" w:cs="Times New Roman"/>
          <w:sz w:val="24"/>
          <w:szCs w:val="24"/>
          <w:lang w:val="en-US"/>
        </w:rPr>
        <w:t>outlines</w:t>
      </w:r>
      <w:r w:rsidR="00E6130F" w:rsidRPr="003101A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our measure of covenant intensity</w:t>
      </w:r>
      <w:r w:rsidR="00E6130F" w:rsidRPr="003101A0">
        <w:rPr>
          <w:rFonts w:ascii="Times New Roman" w:hAnsi="Times New Roman" w:cs="Times New Roman"/>
          <w:sz w:val="24"/>
          <w:szCs w:val="24"/>
          <w:lang w:val="en-US"/>
        </w:rPr>
        <w:t xml:space="preserve"> and</w:t>
      </w:r>
      <w:r w:rsidRPr="003101A0">
        <w:rPr>
          <w:rFonts w:ascii="Times New Roman" w:hAnsi="Times New Roman" w:cs="Times New Roman"/>
          <w:sz w:val="24"/>
          <w:szCs w:val="24"/>
          <w:lang w:val="en-US"/>
        </w:rPr>
        <w:t xml:space="preserve"> </w:t>
      </w:r>
      <w:r w:rsidR="00425301" w:rsidRPr="003101A0">
        <w:rPr>
          <w:rFonts w:ascii="Times New Roman" w:hAnsi="Times New Roman" w:cs="Times New Roman"/>
          <w:sz w:val="24"/>
          <w:szCs w:val="24"/>
          <w:lang w:val="en-US"/>
        </w:rPr>
        <w:t xml:space="preserve">the </w:t>
      </w:r>
      <w:r w:rsidR="00E6130F" w:rsidRPr="003101A0">
        <w:rPr>
          <w:rFonts w:ascii="Times New Roman" w:hAnsi="Times New Roman" w:cs="Times New Roman"/>
          <w:sz w:val="24"/>
          <w:szCs w:val="24"/>
          <w:lang w:val="en-US"/>
        </w:rPr>
        <w:t xml:space="preserve">control </w:t>
      </w:r>
      <w:r w:rsidR="002D6E04" w:rsidRPr="003101A0">
        <w:rPr>
          <w:rFonts w:ascii="Times New Roman" w:hAnsi="Times New Roman" w:cs="Times New Roman"/>
          <w:sz w:val="24"/>
          <w:szCs w:val="24"/>
          <w:lang w:val="en-US"/>
        </w:rPr>
        <w:t>variables</w:t>
      </w:r>
      <w:r w:rsidRPr="003101A0">
        <w:rPr>
          <w:rFonts w:ascii="Times New Roman" w:hAnsi="Times New Roman" w:cs="Times New Roman"/>
          <w:sz w:val="24"/>
          <w:szCs w:val="24"/>
          <w:lang w:val="en-US"/>
        </w:rPr>
        <w:t xml:space="preserve"> used throughout our tests. </w:t>
      </w:r>
    </w:p>
    <w:p w14:paraId="346BE92C" w14:textId="609EAA5A" w:rsidR="00F74F87" w:rsidRPr="003101A0" w:rsidRDefault="00F74F87" w:rsidP="000B11D0">
      <w:pPr>
        <w:pStyle w:val="ListParagraph"/>
        <w:numPr>
          <w:ilvl w:val="1"/>
          <w:numId w:val="4"/>
        </w:numPr>
        <w:spacing w:after="0" w:line="480" w:lineRule="auto"/>
        <w:ind w:left="426" w:hanging="426"/>
        <w:jc w:val="both"/>
        <w:rPr>
          <w:rFonts w:ascii="Times New Roman" w:hAnsi="Times New Roman" w:cs="Times New Roman"/>
          <w:i/>
          <w:sz w:val="24"/>
          <w:szCs w:val="24"/>
          <w:lang w:val="en-US"/>
        </w:rPr>
      </w:pPr>
      <w:r w:rsidRPr="003101A0">
        <w:rPr>
          <w:rFonts w:ascii="Times New Roman" w:hAnsi="Times New Roman" w:cs="Times New Roman"/>
          <w:i/>
          <w:sz w:val="24"/>
          <w:szCs w:val="24"/>
          <w:lang w:val="en-US"/>
        </w:rPr>
        <w:t>Sample construction</w:t>
      </w:r>
    </w:p>
    <w:p w14:paraId="2ADD06F1" w14:textId="5F6BBEB1" w:rsidR="009069B5" w:rsidRPr="003101A0" w:rsidRDefault="00C26006" w:rsidP="000B11D0">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Our raw data set consists of all bonds issued by U.S. companies between January 1, </w:t>
      </w:r>
      <w:proofErr w:type="gramStart"/>
      <w:r w:rsidRPr="003101A0">
        <w:rPr>
          <w:rFonts w:ascii="Times New Roman" w:hAnsi="Times New Roman" w:cs="Times New Roman"/>
          <w:sz w:val="24"/>
          <w:szCs w:val="24"/>
          <w:lang w:val="en-US"/>
        </w:rPr>
        <w:t>1989</w:t>
      </w:r>
      <w:proofErr w:type="gramEnd"/>
      <w:r w:rsidRPr="003101A0">
        <w:rPr>
          <w:rFonts w:ascii="Times New Roman" w:hAnsi="Times New Roman" w:cs="Times New Roman"/>
          <w:sz w:val="24"/>
          <w:szCs w:val="24"/>
          <w:lang w:val="en-US"/>
        </w:rPr>
        <w:t xml:space="preserve"> and </w:t>
      </w:r>
      <w:r w:rsidR="00CD1812" w:rsidRPr="003101A0">
        <w:rPr>
          <w:rFonts w:ascii="Times New Roman" w:hAnsi="Times New Roman" w:cs="Times New Roman"/>
          <w:sz w:val="24"/>
          <w:szCs w:val="24"/>
          <w:lang w:val="en-US"/>
        </w:rPr>
        <w:t>September</w:t>
      </w:r>
      <w:r w:rsidRPr="003101A0">
        <w:rPr>
          <w:rFonts w:ascii="Times New Roman" w:hAnsi="Times New Roman" w:cs="Times New Roman"/>
          <w:sz w:val="24"/>
          <w:szCs w:val="24"/>
          <w:lang w:val="en-US"/>
        </w:rPr>
        <w:t xml:space="preserve"> 3</w:t>
      </w:r>
      <w:r w:rsidR="00CD1812" w:rsidRPr="003101A0">
        <w:rPr>
          <w:rFonts w:ascii="Times New Roman" w:hAnsi="Times New Roman" w:cs="Times New Roman"/>
          <w:sz w:val="24"/>
          <w:szCs w:val="24"/>
          <w:lang w:val="en-US"/>
        </w:rPr>
        <w:t>0</w:t>
      </w:r>
      <w:r w:rsidRPr="003101A0">
        <w:rPr>
          <w:rFonts w:ascii="Times New Roman" w:hAnsi="Times New Roman" w:cs="Times New Roman"/>
          <w:sz w:val="24"/>
          <w:szCs w:val="24"/>
          <w:lang w:val="en-US"/>
        </w:rPr>
        <w:t xml:space="preserve">, </w:t>
      </w:r>
      <w:r w:rsidR="00425301" w:rsidRPr="003101A0">
        <w:rPr>
          <w:rFonts w:ascii="Times New Roman" w:hAnsi="Times New Roman" w:cs="Times New Roman"/>
          <w:sz w:val="24"/>
          <w:szCs w:val="24"/>
          <w:lang w:val="en-US"/>
        </w:rPr>
        <w:t>2020</w:t>
      </w:r>
      <w:r w:rsidRPr="003101A0">
        <w:rPr>
          <w:rFonts w:ascii="Times New Roman" w:hAnsi="Times New Roman" w:cs="Times New Roman"/>
          <w:sz w:val="24"/>
          <w:szCs w:val="24"/>
          <w:lang w:val="en-US"/>
        </w:rPr>
        <w:t xml:space="preserve">, retrieved from </w:t>
      </w:r>
      <w:proofErr w:type="spellStart"/>
      <w:r w:rsidR="00F17857">
        <w:rPr>
          <w:rFonts w:ascii="Times New Roman" w:hAnsi="Times New Roman" w:cs="Times New Roman"/>
          <w:sz w:val="24"/>
          <w:szCs w:val="24"/>
          <w:lang w:val="en-US"/>
        </w:rPr>
        <w:t>Mergent</w:t>
      </w:r>
      <w:proofErr w:type="spellEnd"/>
      <w:r w:rsidR="00F17857">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 xml:space="preserve">FISD. </w:t>
      </w:r>
      <w:r w:rsidR="00B8746F" w:rsidRPr="003101A0">
        <w:rPr>
          <w:rFonts w:ascii="Times New Roman" w:hAnsi="Times New Roman" w:cs="Times New Roman"/>
          <w:sz w:val="24"/>
          <w:szCs w:val="24"/>
          <w:lang w:val="en-US"/>
        </w:rPr>
        <w:t xml:space="preserve">We start in 1989 </w:t>
      </w:r>
      <w:r w:rsidR="0067080B" w:rsidRPr="003101A0">
        <w:rPr>
          <w:rFonts w:ascii="Times New Roman" w:hAnsi="Times New Roman" w:cs="Times New Roman"/>
          <w:sz w:val="24"/>
          <w:szCs w:val="24"/>
          <w:lang w:val="en-US"/>
        </w:rPr>
        <w:t xml:space="preserve">because the quality of covenant data </w:t>
      </w:r>
      <w:r w:rsidR="00B8746F" w:rsidRPr="003101A0">
        <w:rPr>
          <w:rFonts w:ascii="Times New Roman" w:hAnsi="Times New Roman" w:cs="Times New Roman"/>
          <w:sz w:val="24"/>
          <w:szCs w:val="24"/>
          <w:lang w:val="en-US"/>
        </w:rPr>
        <w:t>in</w:t>
      </w:r>
      <w:r w:rsidR="00F17857">
        <w:rPr>
          <w:rFonts w:ascii="Times New Roman" w:hAnsi="Times New Roman" w:cs="Times New Roman"/>
          <w:sz w:val="24"/>
          <w:szCs w:val="24"/>
          <w:lang w:val="en-US"/>
        </w:rPr>
        <w:t xml:space="preserve"> </w:t>
      </w:r>
      <w:proofErr w:type="spellStart"/>
      <w:r w:rsidR="00F17857">
        <w:rPr>
          <w:rFonts w:ascii="Times New Roman" w:hAnsi="Times New Roman" w:cs="Times New Roman"/>
          <w:sz w:val="24"/>
          <w:szCs w:val="24"/>
          <w:lang w:val="en-US"/>
        </w:rPr>
        <w:t>Mergent</w:t>
      </w:r>
      <w:proofErr w:type="spellEnd"/>
      <w:r w:rsidR="00B8746F" w:rsidRPr="003101A0">
        <w:rPr>
          <w:rFonts w:ascii="Times New Roman" w:hAnsi="Times New Roman" w:cs="Times New Roman"/>
          <w:sz w:val="24"/>
          <w:szCs w:val="24"/>
          <w:lang w:val="en-US"/>
        </w:rPr>
        <w:t xml:space="preserve"> FISD </w:t>
      </w:r>
      <w:r w:rsidR="0067080B" w:rsidRPr="003101A0">
        <w:rPr>
          <w:rFonts w:ascii="Times New Roman" w:hAnsi="Times New Roman" w:cs="Times New Roman"/>
          <w:sz w:val="24"/>
          <w:szCs w:val="24"/>
          <w:lang w:val="en-US"/>
        </w:rPr>
        <w:t>is lower</w:t>
      </w:r>
      <w:r w:rsidR="00496E03" w:rsidRPr="003101A0">
        <w:rPr>
          <w:rFonts w:ascii="Times New Roman" w:hAnsi="Times New Roman" w:cs="Times New Roman"/>
          <w:sz w:val="24"/>
          <w:szCs w:val="24"/>
          <w:lang w:val="en-US"/>
        </w:rPr>
        <w:t xml:space="preserve"> before that year</w:t>
      </w:r>
      <w:r w:rsidR="0067080B" w:rsidRPr="003101A0">
        <w:rPr>
          <w:rFonts w:ascii="Times New Roman" w:hAnsi="Times New Roman" w:cs="Times New Roman"/>
          <w:sz w:val="24"/>
          <w:szCs w:val="24"/>
          <w:lang w:val="en-US"/>
        </w:rPr>
        <w:t xml:space="preserve"> </w:t>
      </w:r>
      <w:r w:rsidR="00DB68F8" w:rsidRPr="003101A0">
        <w:rPr>
          <w:rFonts w:ascii="Times New Roman" w:hAnsi="Times New Roman" w:cs="Times New Roman"/>
          <w:sz w:val="24"/>
          <w:szCs w:val="24"/>
          <w:lang w:val="en-US"/>
        </w:rPr>
        <w:t>(</w:t>
      </w:r>
      <w:proofErr w:type="spellStart"/>
      <w:r w:rsidR="00DB68F8" w:rsidRPr="003101A0">
        <w:rPr>
          <w:rFonts w:ascii="Times New Roman" w:hAnsi="Times New Roman" w:cs="Times New Roman"/>
          <w:sz w:val="24"/>
          <w:szCs w:val="24"/>
          <w:lang w:val="en-US"/>
        </w:rPr>
        <w:t>Reisel</w:t>
      </w:r>
      <w:proofErr w:type="spellEnd"/>
      <w:r w:rsidR="00DB68F8" w:rsidRPr="003101A0">
        <w:rPr>
          <w:rFonts w:ascii="Times New Roman" w:hAnsi="Times New Roman" w:cs="Times New Roman"/>
          <w:sz w:val="24"/>
          <w:szCs w:val="24"/>
          <w:lang w:val="en-US"/>
        </w:rPr>
        <w:t xml:space="preserve">, 2014). </w:t>
      </w:r>
      <w:r w:rsidR="00B8746F" w:rsidRPr="003101A0">
        <w:rPr>
          <w:rFonts w:ascii="Times New Roman" w:hAnsi="Times New Roman" w:cs="Times New Roman"/>
          <w:sz w:val="24"/>
          <w:szCs w:val="24"/>
          <w:lang w:val="en-US"/>
        </w:rPr>
        <w:t>We</w:t>
      </w:r>
      <w:r w:rsidRPr="003101A0">
        <w:rPr>
          <w:rFonts w:ascii="Times New Roman" w:hAnsi="Times New Roman" w:cs="Times New Roman"/>
          <w:sz w:val="24"/>
          <w:szCs w:val="24"/>
          <w:lang w:val="en-US"/>
        </w:rPr>
        <w:t xml:space="preserve"> obtain </w:t>
      </w:r>
      <w:r w:rsidR="00DB68F8" w:rsidRPr="003101A0">
        <w:rPr>
          <w:rFonts w:ascii="Times New Roman" w:hAnsi="Times New Roman" w:cs="Times New Roman"/>
          <w:sz w:val="24"/>
          <w:szCs w:val="24"/>
          <w:lang w:val="en-US"/>
        </w:rPr>
        <w:t>a raw data set of 3</w:t>
      </w:r>
      <w:r w:rsidR="00425301" w:rsidRPr="003101A0">
        <w:rPr>
          <w:rFonts w:ascii="Times New Roman" w:hAnsi="Times New Roman" w:cs="Times New Roman"/>
          <w:sz w:val="24"/>
          <w:szCs w:val="24"/>
          <w:lang w:val="en-US"/>
        </w:rPr>
        <w:t>7</w:t>
      </w:r>
      <w:r w:rsidR="00DB68F8" w:rsidRPr="003101A0">
        <w:rPr>
          <w:rFonts w:ascii="Times New Roman" w:hAnsi="Times New Roman" w:cs="Times New Roman"/>
          <w:sz w:val="24"/>
          <w:szCs w:val="24"/>
          <w:lang w:val="en-US"/>
        </w:rPr>
        <w:t>,</w:t>
      </w:r>
      <w:r w:rsidR="00425301" w:rsidRPr="003101A0">
        <w:rPr>
          <w:rFonts w:ascii="Times New Roman" w:hAnsi="Times New Roman" w:cs="Times New Roman"/>
          <w:sz w:val="24"/>
          <w:szCs w:val="24"/>
          <w:lang w:val="en-US"/>
        </w:rPr>
        <w:t xml:space="preserve">013 </w:t>
      </w:r>
      <w:r w:rsidR="00DB68F8" w:rsidRPr="003101A0">
        <w:rPr>
          <w:rFonts w:ascii="Times New Roman" w:hAnsi="Times New Roman" w:cs="Times New Roman"/>
          <w:sz w:val="24"/>
          <w:szCs w:val="24"/>
          <w:lang w:val="en-US"/>
        </w:rPr>
        <w:t xml:space="preserve">bond offerings, consisting of </w:t>
      </w:r>
      <w:r w:rsidR="00425301" w:rsidRPr="003101A0">
        <w:rPr>
          <w:rFonts w:ascii="Times New Roman" w:hAnsi="Times New Roman" w:cs="Times New Roman"/>
          <w:sz w:val="24"/>
          <w:szCs w:val="24"/>
          <w:lang w:val="en-US"/>
        </w:rPr>
        <w:t>3,673</w:t>
      </w:r>
      <w:r w:rsidRPr="003101A0">
        <w:rPr>
          <w:rFonts w:ascii="Times New Roman" w:hAnsi="Times New Roman" w:cs="Times New Roman"/>
          <w:sz w:val="24"/>
          <w:szCs w:val="24"/>
          <w:lang w:val="en-US"/>
        </w:rPr>
        <w:t xml:space="preserve"> convertible bond </w:t>
      </w:r>
      <w:r w:rsidR="00DB68F8" w:rsidRPr="003101A0">
        <w:rPr>
          <w:rFonts w:ascii="Times New Roman" w:hAnsi="Times New Roman" w:cs="Times New Roman"/>
          <w:sz w:val="24"/>
          <w:szCs w:val="24"/>
          <w:lang w:val="en-US"/>
        </w:rPr>
        <w:t xml:space="preserve">and </w:t>
      </w:r>
      <w:r w:rsidR="00425301" w:rsidRPr="003101A0">
        <w:rPr>
          <w:rFonts w:ascii="Times New Roman" w:hAnsi="Times New Roman" w:cs="Times New Roman"/>
          <w:sz w:val="24"/>
          <w:szCs w:val="24"/>
          <w:lang w:val="en-US"/>
        </w:rPr>
        <w:t>33</w:t>
      </w:r>
      <w:r w:rsidR="00DB68F8" w:rsidRPr="003101A0">
        <w:rPr>
          <w:rFonts w:ascii="Times New Roman" w:hAnsi="Times New Roman" w:cs="Times New Roman"/>
          <w:sz w:val="24"/>
          <w:szCs w:val="24"/>
          <w:lang w:val="en-US"/>
        </w:rPr>
        <w:t>,</w:t>
      </w:r>
      <w:r w:rsidR="00425301" w:rsidRPr="003101A0">
        <w:rPr>
          <w:rFonts w:ascii="Times New Roman" w:hAnsi="Times New Roman" w:cs="Times New Roman"/>
          <w:sz w:val="24"/>
          <w:szCs w:val="24"/>
          <w:lang w:val="en-US"/>
        </w:rPr>
        <w:t>340</w:t>
      </w:r>
      <w:r w:rsidR="00DB68F8" w:rsidRPr="003101A0">
        <w:rPr>
          <w:rFonts w:ascii="Times New Roman" w:hAnsi="Times New Roman" w:cs="Times New Roman"/>
          <w:sz w:val="24"/>
          <w:szCs w:val="24"/>
          <w:lang w:val="en-US"/>
        </w:rPr>
        <w:t xml:space="preserve"> straight bond </w:t>
      </w:r>
      <w:r w:rsidRPr="003101A0">
        <w:rPr>
          <w:rFonts w:ascii="Times New Roman" w:hAnsi="Times New Roman" w:cs="Times New Roman"/>
          <w:sz w:val="24"/>
          <w:szCs w:val="24"/>
          <w:lang w:val="en-US"/>
        </w:rPr>
        <w:t xml:space="preserve">offerings. </w:t>
      </w:r>
      <w:r w:rsidR="0047114D" w:rsidRPr="003101A0">
        <w:rPr>
          <w:rFonts w:ascii="Times New Roman" w:hAnsi="Times New Roman" w:cs="Times New Roman"/>
          <w:sz w:val="24"/>
          <w:szCs w:val="24"/>
          <w:lang w:val="en-US"/>
        </w:rPr>
        <w:t xml:space="preserve">We apply standard sample screening criteria </w:t>
      </w:r>
      <w:r w:rsidR="009069B5" w:rsidRPr="003101A0">
        <w:rPr>
          <w:rFonts w:ascii="Times New Roman" w:hAnsi="Times New Roman" w:cs="Times New Roman"/>
          <w:sz w:val="24"/>
          <w:szCs w:val="24"/>
          <w:lang w:val="en-US"/>
        </w:rPr>
        <w:t>summarized in Table 1</w:t>
      </w:r>
      <w:r w:rsidR="00417AD8" w:rsidRPr="003101A0">
        <w:rPr>
          <w:rFonts w:ascii="Times New Roman" w:hAnsi="Times New Roman" w:cs="Times New Roman"/>
          <w:sz w:val="24"/>
          <w:szCs w:val="24"/>
          <w:lang w:val="en-US"/>
        </w:rPr>
        <w:t>, Panel A</w:t>
      </w:r>
      <w:r w:rsidR="009069B5" w:rsidRPr="003101A0">
        <w:rPr>
          <w:rFonts w:ascii="Times New Roman" w:hAnsi="Times New Roman" w:cs="Times New Roman"/>
          <w:sz w:val="24"/>
          <w:szCs w:val="24"/>
          <w:lang w:val="en-US"/>
        </w:rPr>
        <w:t xml:space="preserve"> </w:t>
      </w:r>
      <w:r w:rsidR="0047114D" w:rsidRPr="003101A0">
        <w:rPr>
          <w:rFonts w:ascii="Times New Roman" w:hAnsi="Times New Roman" w:cs="Times New Roman"/>
          <w:sz w:val="24"/>
          <w:szCs w:val="24"/>
          <w:lang w:val="en-US"/>
        </w:rPr>
        <w:t>(</w:t>
      </w:r>
      <w:proofErr w:type="spellStart"/>
      <w:r w:rsidR="0047114D" w:rsidRPr="003101A0">
        <w:rPr>
          <w:rFonts w:ascii="Times New Roman" w:hAnsi="Times New Roman" w:cs="Times New Roman"/>
          <w:sz w:val="24"/>
          <w:szCs w:val="24"/>
          <w:lang w:val="en-US"/>
        </w:rPr>
        <w:t>Billett</w:t>
      </w:r>
      <w:proofErr w:type="spellEnd"/>
      <w:r w:rsidR="0047114D" w:rsidRPr="003101A0">
        <w:rPr>
          <w:rFonts w:ascii="Times New Roman" w:hAnsi="Times New Roman" w:cs="Times New Roman"/>
          <w:sz w:val="24"/>
          <w:szCs w:val="24"/>
          <w:lang w:val="en-US"/>
        </w:rPr>
        <w:t xml:space="preserve"> et al., 2007; Miller and </w:t>
      </w:r>
      <w:proofErr w:type="spellStart"/>
      <w:r w:rsidR="0047114D" w:rsidRPr="003101A0">
        <w:rPr>
          <w:rFonts w:ascii="Times New Roman" w:hAnsi="Times New Roman" w:cs="Times New Roman"/>
          <w:sz w:val="24"/>
          <w:szCs w:val="24"/>
          <w:lang w:val="en-US"/>
        </w:rPr>
        <w:t>Reisel</w:t>
      </w:r>
      <w:proofErr w:type="spellEnd"/>
      <w:r w:rsidR="0047114D" w:rsidRPr="003101A0">
        <w:rPr>
          <w:rFonts w:ascii="Times New Roman" w:hAnsi="Times New Roman" w:cs="Times New Roman"/>
          <w:sz w:val="24"/>
          <w:szCs w:val="24"/>
          <w:lang w:val="en-US"/>
        </w:rPr>
        <w:t>, 201</w:t>
      </w:r>
      <w:r w:rsidR="003F445B" w:rsidRPr="003101A0">
        <w:rPr>
          <w:rFonts w:ascii="Times New Roman" w:hAnsi="Times New Roman" w:cs="Times New Roman"/>
          <w:sz w:val="24"/>
          <w:szCs w:val="24"/>
          <w:lang w:val="en-US"/>
        </w:rPr>
        <w:t>2</w:t>
      </w:r>
      <w:r w:rsidR="0047114D" w:rsidRPr="003101A0">
        <w:rPr>
          <w:rFonts w:ascii="Times New Roman" w:hAnsi="Times New Roman" w:cs="Times New Roman"/>
          <w:sz w:val="24"/>
          <w:szCs w:val="24"/>
          <w:lang w:val="en-US"/>
        </w:rPr>
        <w:t xml:space="preserve">; </w:t>
      </w:r>
      <w:proofErr w:type="spellStart"/>
      <w:r w:rsidR="0047114D" w:rsidRPr="003101A0">
        <w:rPr>
          <w:rFonts w:ascii="Times New Roman" w:hAnsi="Times New Roman" w:cs="Times New Roman"/>
          <w:sz w:val="24"/>
          <w:szCs w:val="24"/>
          <w:lang w:val="en-US"/>
        </w:rPr>
        <w:t>Reisel</w:t>
      </w:r>
      <w:proofErr w:type="spellEnd"/>
      <w:r w:rsidR="0047114D" w:rsidRPr="003101A0">
        <w:rPr>
          <w:rFonts w:ascii="Times New Roman" w:hAnsi="Times New Roman" w:cs="Times New Roman"/>
          <w:sz w:val="24"/>
          <w:szCs w:val="24"/>
          <w:lang w:val="en-US"/>
        </w:rPr>
        <w:t xml:space="preserve">, 2014). </w:t>
      </w:r>
    </w:p>
    <w:p w14:paraId="7C6009BD" w14:textId="045EE448" w:rsidR="009069B5" w:rsidRPr="003101A0" w:rsidRDefault="009069B5" w:rsidP="005B607D">
      <w:pPr>
        <w:spacing w:after="0" w:line="480" w:lineRule="auto"/>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&lt;&lt; Please insert Table 1 here &gt;&gt;</w:t>
      </w:r>
    </w:p>
    <w:p w14:paraId="459CFAE8" w14:textId="19312B94" w:rsidR="00F77E5B" w:rsidRPr="003101A0" w:rsidRDefault="007715F9" w:rsidP="000B11D0">
      <w:pPr>
        <w:spacing w:after="0" w:line="480" w:lineRule="auto"/>
        <w:ind w:firstLine="425"/>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W</w:t>
      </w:r>
      <w:r w:rsidR="00C26006" w:rsidRPr="003101A0">
        <w:rPr>
          <w:rFonts w:ascii="Times New Roman" w:hAnsi="Times New Roman" w:cs="Times New Roman"/>
          <w:sz w:val="24"/>
          <w:szCs w:val="24"/>
          <w:lang w:val="en-US"/>
        </w:rPr>
        <w:t xml:space="preserve">e exclude </w:t>
      </w:r>
      <w:r w:rsidR="00F82B1D" w:rsidRPr="003101A0">
        <w:rPr>
          <w:rFonts w:ascii="Times New Roman" w:hAnsi="Times New Roman" w:cs="Times New Roman"/>
          <w:sz w:val="24"/>
          <w:szCs w:val="24"/>
          <w:lang w:val="en-US"/>
        </w:rPr>
        <w:t>privately placed</w:t>
      </w:r>
      <w:r w:rsidR="003F445B" w:rsidRPr="003101A0">
        <w:rPr>
          <w:rFonts w:ascii="Times New Roman" w:hAnsi="Times New Roman" w:cs="Times New Roman"/>
          <w:sz w:val="24"/>
          <w:szCs w:val="24"/>
          <w:lang w:val="en-US"/>
        </w:rPr>
        <w:t xml:space="preserve"> bonds</w:t>
      </w:r>
      <w:r w:rsidR="00C26006" w:rsidRPr="003101A0">
        <w:rPr>
          <w:rFonts w:ascii="Times New Roman" w:hAnsi="Times New Roman" w:cs="Times New Roman"/>
          <w:sz w:val="24"/>
          <w:szCs w:val="24"/>
          <w:lang w:val="en-US"/>
        </w:rPr>
        <w:t xml:space="preserve"> </w:t>
      </w:r>
      <w:r w:rsidR="00871C61" w:rsidRPr="003101A0">
        <w:rPr>
          <w:rFonts w:ascii="Times New Roman" w:hAnsi="Times New Roman" w:cs="Times New Roman"/>
          <w:sz w:val="24"/>
          <w:szCs w:val="24"/>
          <w:lang w:val="en-US"/>
        </w:rPr>
        <w:t>because</w:t>
      </w:r>
      <w:r w:rsidR="00C26006" w:rsidRPr="003101A0">
        <w:rPr>
          <w:rFonts w:ascii="Times New Roman" w:hAnsi="Times New Roman" w:cs="Times New Roman"/>
          <w:sz w:val="24"/>
          <w:szCs w:val="24"/>
          <w:lang w:val="en-US"/>
        </w:rPr>
        <w:t xml:space="preserve"> these tend to be substantially different from public bond offerings. </w:t>
      </w:r>
      <w:r w:rsidR="00CE7492">
        <w:rPr>
          <w:rFonts w:ascii="Times New Roman" w:hAnsi="Times New Roman" w:cs="Times New Roman"/>
          <w:sz w:val="24"/>
          <w:szCs w:val="24"/>
          <w:lang w:val="en-US"/>
        </w:rPr>
        <w:t>W</w:t>
      </w:r>
      <w:r w:rsidR="00C26006" w:rsidRPr="003101A0">
        <w:rPr>
          <w:rFonts w:ascii="Times New Roman" w:hAnsi="Times New Roman" w:cs="Times New Roman"/>
          <w:sz w:val="24"/>
          <w:szCs w:val="24"/>
          <w:lang w:val="en-US"/>
        </w:rPr>
        <w:t xml:space="preserve">e </w:t>
      </w:r>
      <w:r w:rsidR="005679E6" w:rsidRPr="003101A0">
        <w:rPr>
          <w:rFonts w:ascii="Times New Roman" w:hAnsi="Times New Roman" w:cs="Times New Roman"/>
          <w:sz w:val="24"/>
          <w:szCs w:val="24"/>
          <w:lang w:val="en-US"/>
        </w:rPr>
        <w:t xml:space="preserve">retain Rule </w:t>
      </w:r>
      <w:r w:rsidR="00236DDC" w:rsidRPr="003101A0">
        <w:rPr>
          <w:rFonts w:ascii="Times New Roman" w:hAnsi="Times New Roman" w:cs="Times New Roman"/>
          <w:sz w:val="24"/>
          <w:szCs w:val="24"/>
          <w:lang w:val="en-US"/>
        </w:rPr>
        <w:t>144a</w:t>
      </w:r>
      <w:r w:rsidR="00DB68F8" w:rsidRPr="003101A0">
        <w:rPr>
          <w:rFonts w:ascii="Times New Roman" w:hAnsi="Times New Roman" w:cs="Times New Roman"/>
          <w:sz w:val="24"/>
          <w:szCs w:val="24"/>
          <w:lang w:val="en-US"/>
        </w:rPr>
        <w:t xml:space="preserve"> </w:t>
      </w:r>
      <w:r w:rsidR="00F17857">
        <w:rPr>
          <w:rFonts w:ascii="Times New Roman" w:hAnsi="Times New Roman" w:cs="Times New Roman"/>
          <w:sz w:val="24"/>
          <w:szCs w:val="24"/>
          <w:lang w:val="en-US"/>
        </w:rPr>
        <w:t xml:space="preserve">private </w:t>
      </w:r>
      <w:r w:rsidR="00DB68F8" w:rsidRPr="003101A0">
        <w:rPr>
          <w:rFonts w:ascii="Times New Roman" w:hAnsi="Times New Roman" w:cs="Times New Roman"/>
          <w:sz w:val="24"/>
          <w:szCs w:val="24"/>
          <w:lang w:val="en-US"/>
        </w:rPr>
        <w:t xml:space="preserve">offerings </w:t>
      </w:r>
      <w:r w:rsidR="00B8746F" w:rsidRPr="003101A0">
        <w:rPr>
          <w:rFonts w:ascii="Times New Roman" w:hAnsi="Times New Roman" w:cs="Times New Roman"/>
          <w:sz w:val="24"/>
          <w:szCs w:val="24"/>
          <w:lang w:val="en-US"/>
        </w:rPr>
        <w:t>because</w:t>
      </w:r>
      <w:r w:rsidR="000E21FD" w:rsidRPr="003101A0">
        <w:rPr>
          <w:rFonts w:ascii="Times New Roman" w:hAnsi="Times New Roman" w:cs="Times New Roman"/>
          <w:sz w:val="24"/>
          <w:szCs w:val="24"/>
          <w:lang w:val="en-US"/>
        </w:rPr>
        <w:t xml:space="preserve"> </w:t>
      </w:r>
      <w:r w:rsidR="009F00B3" w:rsidRPr="003101A0">
        <w:rPr>
          <w:rFonts w:ascii="Times New Roman" w:hAnsi="Times New Roman" w:cs="Times New Roman"/>
          <w:sz w:val="24"/>
          <w:szCs w:val="24"/>
          <w:lang w:val="en-US"/>
        </w:rPr>
        <w:t>previous research</w:t>
      </w:r>
      <w:r w:rsidR="000E21FD" w:rsidRPr="003101A0">
        <w:rPr>
          <w:rFonts w:ascii="Times New Roman" w:hAnsi="Times New Roman" w:cs="Times New Roman"/>
          <w:sz w:val="24"/>
          <w:szCs w:val="24"/>
          <w:lang w:val="en-US"/>
        </w:rPr>
        <w:t xml:space="preserve"> argue</w:t>
      </w:r>
      <w:r w:rsidR="009F00B3" w:rsidRPr="003101A0">
        <w:rPr>
          <w:rFonts w:ascii="Times New Roman" w:hAnsi="Times New Roman" w:cs="Times New Roman"/>
          <w:sz w:val="24"/>
          <w:szCs w:val="24"/>
          <w:lang w:val="en-US"/>
        </w:rPr>
        <w:t>s</w:t>
      </w:r>
      <w:r w:rsidR="000E21FD" w:rsidRPr="003101A0">
        <w:rPr>
          <w:rFonts w:ascii="Times New Roman" w:hAnsi="Times New Roman" w:cs="Times New Roman"/>
          <w:sz w:val="24"/>
          <w:szCs w:val="24"/>
          <w:lang w:val="en-US"/>
        </w:rPr>
        <w:t xml:space="preserve"> </w:t>
      </w:r>
      <w:r w:rsidR="00185FC3" w:rsidRPr="003101A0">
        <w:rPr>
          <w:rFonts w:ascii="Times New Roman" w:hAnsi="Times New Roman" w:cs="Times New Roman"/>
          <w:sz w:val="24"/>
          <w:szCs w:val="24"/>
          <w:lang w:val="en-US"/>
        </w:rPr>
        <w:t xml:space="preserve">that </w:t>
      </w:r>
      <w:r w:rsidR="005679E6" w:rsidRPr="003101A0">
        <w:rPr>
          <w:rFonts w:ascii="Times New Roman" w:hAnsi="Times New Roman" w:cs="Times New Roman"/>
          <w:sz w:val="24"/>
          <w:szCs w:val="24"/>
          <w:lang w:val="en-US"/>
        </w:rPr>
        <w:t>these are</w:t>
      </w:r>
      <w:r w:rsidR="00B8746F" w:rsidRPr="003101A0">
        <w:rPr>
          <w:rFonts w:ascii="Times New Roman" w:hAnsi="Times New Roman" w:cs="Times New Roman"/>
          <w:sz w:val="24"/>
          <w:szCs w:val="24"/>
          <w:lang w:val="en-US"/>
        </w:rPr>
        <w:t xml:space="preserve"> comparable</w:t>
      </w:r>
      <w:r w:rsidR="000E21FD" w:rsidRPr="003101A0">
        <w:rPr>
          <w:rFonts w:ascii="Times New Roman" w:hAnsi="Times New Roman" w:cs="Times New Roman"/>
          <w:sz w:val="24"/>
          <w:szCs w:val="24"/>
          <w:lang w:val="en-US"/>
        </w:rPr>
        <w:t xml:space="preserve"> to public offerings</w:t>
      </w:r>
      <w:r w:rsidR="000A4EF4" w:rsidRPr="003101A0">
        <w:rPr>
          <w:rFonts w:ascii="Times New Roman" w:hAnsi="Times New Roman" w:cs="Times New Roman"/>
          <w:sz w:val="24"/>
          <w:szCs w:val="24"/>
          <w:lang w:val="en-US"/>
        </w:rPr>
        <w:t xml:space="preserve"> (</w:t>
      </w:r>
      <w:proofErr w:type="spellStart"/>
      <w:r w:rsidR="000A4EF4" w:rsidRPr="003101A0">
        <w:rPr>
          <w:rFonts w:ascii="Times New Roman" w:hAnsi="Times New Roman" w:cs="Times New Roman"/>
          <w:sz w:val="24"/>
          <w:szCs w:val="24"/>
          <w:lang w:val="en-US"/>
        </w:rPr>
        <w:t>Rauh</w:t>
      </w:r>
      <w:proofErr w:type="spellEnd"/>
      <w:r w:rsidR="000A4EF4" w:rsidRPr="003101A0">
        <w:rPr>
          <w:rFonts w:ascii="Times New Roman" w:hAnsi="Times New Roman" w:cs="Times New Roman"/>
          <w:sz w:val="24"/>
          <w:szCs w:val="24"/>
          <w:lang w:val="en-US"/>
        </w:rPr>
        <w:t xml:space="preserve"> and Sufi, 2010</w:t>
      </w:r>
      <w:r w:rsidR="00BD2E53">
        <w:rPr>
          <w:rFonts w:ascii="Times New Roman" w:hAnsi="Times New Roman" w:cs="Times New Roman"/>
          <w:sz w:val="24"/>
          <w:szCs w:val="24"/>
          <w:lang w:val="en-US"/>
        </w:rPr>
        <w:t>;</w:t>
      </w:r>
      <w:r w:rsidR="000A4EF4" w:rsidRPr="003101A0">
        <w:rPr>
          <w:rFonts w:ascii="Times New Roman" w:hAnsi="Times New Roman" w:cs="Times New Roman"/>
          <w:sz w:val="24"/>
          <w:szCs w:val="24"/>
          <w:lang w:val="en-US"/>
        </w:rPr>
        <w:t xml:space="preserve"> Gomes and Phillips, 2012)</w:t>
      </w:r>
      <w:r w:rsidR="000E21FD" w:rsidRPr="003101A0">
        <w:rPr>
          <w:rFonts w:ascii="Times New Roman" w:hAnsi="Times New Roman" w:cs="Times New Roman"/>
          <w:sz w:val="24"/>
          <w:szCs w:val="24"/>
          <w:lang w:val="en-US"/>
        </w:rPr>
        <w:t>.</w:t>
      </w:r>
      <w:r w:rsidR="000E21FD" w:rsidRPr="003101A0">
        <w:rPr>
          <w:rStyle w:val="FootnoteReference"/>
          <w:rFonts w:ascii="Times New Roman" w:hAnsi="Times New Roman" w:cs="Times New Roman"/>
          <w:sz w:val="24"/>
          <w:szCs w:val="24"/>
          <w:lang w:val="en-US"/>
        </w:rPr>
        <w:footnoteReference w:id="5"/>
      </w:r>
      <w:r w:rsidR="000E21FD" w:rsidRPr="003101A0">
        <w:rPr>
          <w:rFonts w:ascii="Times New Roman" w:hAnsi="Times New Roman" w:cs="Times New Roman"/>
          <w:sz w:val="24"/>
          <w:szCs w:val="24"/>
          <w:lang w:val="en-US"/>
        </w:rPr>
        <w:t xml:space="preserve"> </w:t>
      </w:r>
      <w:r w:rsidR="003F445B" w:rsidRPr="003101A0">
        <w:rPr>
          <w:rFonts w:ascii="Times New Roman" w:hAnsi="Times New Roman" w:cs="Times New Roman"/>
          <w:sz w:val="24"/>
          <w:szCs w:val="24"/>
          <w:lang w:val="en-US"/>
        </w:rPr>
        <w:t xml:space="preserve">We also exclude </w:t>
      </w:r>
      <w:r w:rsidR="00871C61" w:rsidRPr="003101A0">
        <w:rPr>
          <w:rFonts w:ascii="Times New Roman" w:hAnsi="Times New Roman" w:cs="Times New Roman"/>
          <w:sz w:val="24"/>
          <w:szCs w:val="24"/>
          <w:lang w:val="en-US"/>
        </w:rPr>
        <w:t>medium-</w:t>
      </w:r>
      <w:r w:rsidR="003F445B" w:rsidRPr="003101A0">
        <w:rPr>
          <w:rFonts w:ascii="Times New Roman" w:hAnsi="Times New Roman" w:cs="Times New Roman"/>
          <w:sz w:val="24"/>
          <w:szCs w:val="24"/>
          <w:lang w:val="en-US"/>
        </w:rPr>
        <w:t>term notes (MTNs).</w:t>
      </w:r>
      <w:r w:rsidR="003F445B" w:rsidRPr="003101A0">
        <w:rPr>
          <w:rStyle w:val="FootnoteReference"/>
          <w:rFonts w:ascii="Times New Roman" w:hAnsi="Times New Roman" w:cs="Times New Roman"/>
          <w:sz w:val="24"/>
          <w:szCs w:val="24"/>
          <w:lang w:val="en-US"/>
        </w:rPr>
        <w:footnoteReference w:id="6"/>
      </w:r>
      <w:r w:rsidR="003F445B" w:rsidRPr="003101A0">
        <w:rPr>
          <w:rFonts w:ascii="Times New Roman" w:hAnsi="Times New Roman" w:cs="Times New Roman"/>
          <w:sz w:val="24"/>
          <w:szCs w:val="24"/>
          <w:lang w:val="en-US"/>
        </w:rPr>
        <w:t xml:space="preserve"> </w:t>
      </w:r>
      <w:r w:rsidR="00F77E5B" w:rsidRPr="003101A0">
        <w:rPr>
          <w:rFonts w:ascii="Times New Roman" w:hAnsi="Times New Roman" w:cs="Times New Roman"/>
          <w:sz w:val="24"/>
          <w:szCs w:val="24"/>
          <w:lang w:val="en-US"/>
        </w:rPr>
        <w:t xml:space="preserve">Since </w:t>
      </w:r>
      <w:r w:rsidR="00B8746F" w:rsidRPr="003101A0">
        <w:rPr>
          <w:rFonts w:ascii="Times New Roman" w:hAnsi="Times New Roman" w:cs="Times New Roman"/>
          <w:sz w:val="24"/>
          <w:szCs w:val="24"/>
          <w:lang w:val="en-US"/>
        </w:rPr>
        <w:t xml:space="preserve">our study focuses on corporate bonds, we </w:t>
      </w:r>
      <w:r w:rsidR="00F17857">
        <w:rPr>
          <w:rFonts w:ascii="Times New Roman" w:hAnsi="Times New Roman" w:cs="Times New Roman"/>
          <w:sz w:val="24"/>
          <w:szCs w:val="24"/>
          <w:lang w:val="en-US"/>
        </w:rPr>
        <w:t>remove</w:t>
      </w:r>
      <w:r w:rsidR="00B8746F" w:rsidRPr="003101A0">
        <w:rPr>
          <w:rFonts w:ascii="Times New Roman" w:hAnsi="Times New Roman" w:cs="Times New Roman"/>
          <w:sz w:val="24"/>
          <w:szCs w:val="24"/>
          <w:lang w:val="en-US"/>
        </w:rPr>
        <w:t xml:space="preserve"> preferred </w:t>
      </w:r>
      <w:r w:rsidR="005679E6" w:rsidRPr="003101A0">
        <w:rPr>
          <w:rFonts w:ascii="Times New Roman" w:hAnsi="Times New Roman" w:cs="Times New Roman"/>
          <w:sz w:val="24"/>
          <w:szCs w:val="24"/>
          <w:lang w:val="en-US"/>
        </w:rPr>
        <w:t xml:space="preserve">stock. We </w:t>
      </w:r>
      <w:r w:rsidR="00CE7492">
        <w:rPr>
          <w:rFonts w:ascii="Times New Roman" w:hAnsi="Times New Roman" w:cs="Times New Roman"/>
          <w:sz w:val="24"/>
          <w:szCs w:val="24"/>
          <w:lang w:val="en-US"/>
        </w:rPr>
        <w:t>furthermore</w:t>
      </w:r>
      <w:r w:rsidR="00F17857">
        <w:rPr>
          <w:rFonts w:ascii="Times New Roman" w:hAnsi="Times New Roman" w:cs="Times New Roman"/>
          <w:sz w:val="24"/>
          <w:szCs w:val="24"/>
          <w:lang w:val="en-US"/>
        </w:rPr>
        <w:t xml:space="preserve"> </w:t>
      </w:r>
      <w:r w:rsidR="005679E6" w:rsidRPr="003101A0">
        <w:rPr>
          <w:rFonts w:ascii="Times New Roman" w:hAnsi="Times New Roman" w:cs="Times New Roman"/>
          <w:sz w:val="24"/>
          <w:szCs w:val="24"/>
          <w:lang w:val="en-US"/>
        </w:rPr>
        <w:t>exclude all bonds with special features, such as mortgage- or asset-backed, pass-th</w:t>
      </w:r>
      <w:r w:rsidR="0047114D" w:rsidRPr="003101A0">
        <w:rPr>
          <w:rFonts w:ascii="Times New Roman" w:hAnsi="Times New Roman" w:cs="Times New Roman"/>
          <w:sz w:val="24"/>
          <w:szCs w:val="24"/>
          <w:lang w:val="en-US"/>
        </w:rPr>
        <w:t xml:space="preserve">rough, or payment-in-kind (PIK) bonds. </w:t>
      </w:r>
      <w:r w:rsidR="00F17857">
        <w:rPr>
          <w:rFonts w:ascii="Times New Roman" w:hAnsi="Times New Roman" w:cs="Times New Roman"/>
          <w:sz w:val="24"/>
          <w:szCs w:val="24"/>
          <w:lang w:val="en-US"/>
        </w:rPr>
        <w:t>Finally, w</w:t>
      </w:r>
      <w:r w:rsidR="0047114D" w:rsidRPr="003101A0">
        <w:rPr>
          <w:rFonts w:ascii="Times New Roman" w:hAnsi="Times New Roman" w:cs="Times New Roman"/>
          <w:sz w:val="24"/>
          <w:szCs w:val="24"/>
          <w:lang w:val="en-US"/>
        </w:rPr>
        <w:t>e</w:t>
      </w:r>
      <w:r w:rsidR="008D0429" w:rsidRPr="003101A0">
        <w:rPr>
          <w:rFonts w:ascii="Times New Roman" w:hAnsi="Times New Roman" w:cs="Times New Roman"/>
          <w:sz w:val="24"/>
          <w:szCs w:val="24"/>
          <w:lang w:val="en-US"/>
        </w:rPr>
        <w:t xml:space="preserve"> </w:t>
      </w:r>
      <w:r w:rsidR="0047114D" w:rsidRPr="003101A0">
        <w:rPr>
          <w:rFonts w:ascii="Times New Roman" w:hAnsi="Times New Roman" w:cs="Times New Roman"/>
          <w:sz w:val="24"/>
          <w:szCs w:val="24"/>
          <w:lang w:val="en-US"/>
        </w:rPr>
        <w:t xml:space="preserve">remove bonds with missing data on issue date and convertible status. </w:t>
      </w:r>
    </w:p>
    <w:p w14:paraId="5F0A1ACF" w14:textId="65AEF58F" w:rsidR="00417AD8" w:rsidRPr="003101A0" w:rsidRDefault="0047114D" w:rsidP="000B11D0">
      <w:pPr>
        <w:spacing w:after="0" w:line="480" w:lineRule="auto"/>
        <w:ind w:firstLine="425"/>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We then intersect the resulting data set with </w:t>
      </w:r>
      <w:proofErr w:type="spellStart"/>
      <w:r w:rsidRPr="003101A0">
        <w:rPr>
          <w:rFonts w:ascii="Times New Roman" w:hAnsi="Times New Roman" w:cs="Times New Roman"/>
          <w:sz w:val="24"/>
          <w:szCs w:val="24"/>
          <w:lang w:val="en-US"/>
        </w:rPr>
        <w:t>Compustat</w:t>
      </w:r>
      <w:proofErr w:type="spellEnd"/>
      <w:r w:rsidRPr="003101A0">
        <w:rPr>
          <w:rFonts w:ascii="Times New Roman" w:hAnsi="Times New Roman" w:cs="Times New Roman"/>
          <w:sz w:val="24"/>
          <w:szCs w:val="24"/>
          <w:lang w:val="en-US"/>
        </w:rPr>
        <w:t xml:space="preserve"> and the Centre for Research in Security Prices (CRSP) using six-digit CUSIP</w:t>
      </w:r>
      <w:r w:rsidR="00494085" w:rsidRPr="003101A0">
        <w:rPr>
          <w:rFonts w:ascii="Times New Roman" w:hAnsi="Times New Roman" w:cs="Times New Roman"/>
          <w:sz w:val="24"/>
          <w:szCs w:val="24"/>
          <w:lang w:val="en-US"/>
        </w:rPr>
        <w:t xml:space="preserve"> codes</w:t>
      </w:r>
      <w:r w:rsidRPr="003101A0">
        <w:rPr>
          <w:rFonts w:ascii="Times New Roman" w:hAnsi="Times New Roman" w:cs="Times New Roman"/>
          <w:sz w:val="24"/>
          <w:szCs w:val="24"/>
          <w:lang w:val="en-US"/>
        </w:rPr>
        <w:t xml:space="preserve"> and remove observations without the required data for calculating the firm and security characteristics used in our empirical tests. We </w:t>
      </w:r>
      <w:r w:rsidR="00494085" w:rsidRPr="003101A0">
        <w:rPr>
          <w:rFonts w:ascii="Times New Roman" w:hAnsi="Times New Roman" w:cs="Times New Roman"/>
          <w:sz w:val="24"/>
          <w:szCs w:val="24"/>
          <w:lang w:val="en-US"/>
        </w:rPr>
        <w:t xml:space="preserve">also </w:t>
      </w:r>
      <w:r w:rsidR="008D0429" w:rsidRPr="003101A0">
        <w:rPr>
          <w:rFonts w:ascii="Times New Roman" w:hAnsi="Times New Roman" w:cs="Times New Roman"/>
          <w:sz w:val="24"/>
          <w:szCs w:val="24"/>
          <w:lang w:val="en-US"/>
        </w:rPr>
        <w:t>exclude</w:t>
      </w:r>
      <w:r w:rsidRPr="003101A0">
        <w:rPr>
          <w:rFonts w:ascii="Times New Roman" w:hAnsi="Times New Roman" w:cs="Times New Roman"/>
          <w:sz w:val="24"/>
          <w:szCs w:val="24"/>
          <w:lang w:val="en-US"/>
        </w:rPr>
        <w:t xml:space="preserve"> bonds issued by utility (primary SIC code </w:t>
      </w:r>
      <w:r w:rsidR="0094750E" w:rsidRPr="003101A0">
        <w:rPr>
          <w:rFonts w:ascii="Times New Roman" w:hAnsi="Times New Roman" w:cs="Times New Roman"/>
          <w:sz w:val="24"/>
          <w:szCs w:val="24"/>
          <w:lang w:val="en-US"/>
        </w:rPr>
        <w:t>between 4400 and 4999</w:t>
      </w:r>
      <w:r w:rsidRPr="003101A0">
        <w:rPr>
          <w:rFonts w:ascii="Times New Roman" w:hAnsi="Times New Roman" w:cs="Times New Roman"/>
          <w:sz w:val="24"/>
          <w:szCs w:val="24"/>
          <w:lang w:val="en-US"/>
        </w:rPr>
        <w:t xml:space="preserve">) or financial </w:t>
      </w:r>
      <w:r w:rsidRPr="003101A0">
        <w:rPr>
          <w:rFonts w:ascii="Times New Roman" w:hAnsi="Times New Roman" w:cs="Times New Roman"/>
          <w:sz w:val="24"/>
          <w:szCs w:val="24"/>
          <w:lang w:val="en-US"/>
        </w:rPr>
        <w:lastRenderedPageBreak/>
        <w:t xml:space="preserve">(primary SIC code starting with 6) </w:t>
      </w:r>
      <w:r w:rsidR="004D22E8" w:rsidRPr="003101A0">
        <w:rPr>
          <w:rFonts w:ascii="Times New Roman" w:hAnsi="Times New Roman" w:cs="Times New Roman"/>
          <w:sz w:val="24"/>
          <w:szCs w:val="24"/>
          <w:lang w:val="en-US"/>
        </w:rPr>
        <w:t>companies</w:t>
      </w:r>
      <w:r w:rsidRPr="003101A0">
        <w:rPr>
          <w:rFonts w:ascii="Times New Roman" w:hAnsi="Times New Roman" w:cs="Times New Roman"/>
          <w:sz w:val="24"/>
          <w:szCs w:val="24"/>
          <w:lang w:val="en-US"/>
        </w:rPr>
        <w:t xml:space="preserve">. In a final step, we remove bonds </w:t>
      </w:r>
      <w:r w:rsidR="007F746C" w:rsidRPr="003101A0">
        <w:rPr>
          <w:rFonts w:ascii="Times New Roman" w:hAnsi="Times New Roman" w:cs="Times New Roman"/>
          <w:sz w:val="24"/>
          <w:szCs w:val="24"/>
          <w:lang w:val="en-US"/>
        </w:rPr>
        <w:t xml:space="preserve">for which </w:t>
      </w:r>
      <w:proofErr w:type="spellStart"/>
      <w:r w:rsidR="00F17857">
        <w:rPr>
          <w:rFonts w:ascii="Times New Roman" w:hAnsi="Times New Roman" w:cs="Times New Roman"/>
          <w:sz w:val="24"/>
          <w:szCs w:val="24"/>
          <w:lang w:val="en-US"/>
        </w:rPr>
        <w:t>Mergent</w:t>
      </w:r>
      <w:proofErr w:type="spellEnd"/>
      <w:r w:rsidR="00F17857">
        <w:rPr>
          <w:rFonts w:ascii="Times New Roman" w:hAnsi="Times New Roman" w:cs="Times New Roman"/>
          <w:sz w:val="24"/>
          <w:szCs w:val="24"/>
          <w:lang w:val="en-US"/>
        </w:rPr>
        <w:t xml:space="preserve"> </w:t>
      </w:r>
      <w:r w:rsidR="007F746C" w:rsidRPr="003101A0">
        <w:rPr>
          <w:rFonts w:ascii="Times New Roman" w:hAnsi="Times New Roman" w:cs="Times New Roman"/>
          <w:sz w:val="24"/>
          <w:szCs w:val="24"/>
          <w:lang w:val="en-US"/>
        </w:rPr>
        <w:t xml:space="preserve">FISD </w:t>
      </w:r>
      <w:r w:rsidR="009F00B3" w:rsidRPr="003101A0">
        <w:rPr>
          <w:rFonts w:ascii="Times New Roman" w:hAnsi="Times New Roman" w:cs="Times New Roman"/>
          <w:sz w:val="24"/>
          <w:szCs w:val="24"/>
          <w:lang w:val="en-US"/>
        </w:rPr>
        <w:t xml:space="preserve">does </w:t>
      </w:r>
      <w:r w:rsidR="007F746C" w:rsidRPr="003101A0">
        <w:rPr>
          <w:rFonts w:ascii="Times New Roman" w:hAnsi="Times New Roman" w:cs="Times New Roman"/>
          <w:sz w:val="24"/>
          <w:szCs w:val="24"/>
          <w:lang w:val="en-US"/>
        </w:rPr>
        <w:t xml:space="preserve">not record any covenant information. </w:t>
      </w:r>
      <w:r w:rsidR="00FD64B4" w:rsidRPr="003101A0">
        <w:rPr>
          <w:rFonts w:ascii="Times New Roman" w:hAnsi="Times New Roman" w:cs="Times New Roman"/>
          <w:sz w:val="24"/>
          <w:szCs w:val="24"/>
          <w:lang w:val="en-US"/>
        </w:rPr>
        <w:t xml:space="preserve">In line with </w:t>
      </w:r>
      <w:proofErr w:type="spellStart"/>
      <w:r w:rsidR="00FD64B4" w:rsidRPr="003101A0">
        <w:rPr>
          <w:rFonts w:ascii="Times New Roman" w:hAnsi="Times New Roman" w:cs="Times New Roman"/>
          <w:sz w:val="24"/>
          <w:szCs w:val="24"/>
          <w:lang w:val="en-US"/>
        </w:rPr>
        <w:t>Billett</w:t>
      </w:r>
      <w:proofErr w:type="spellEnd"/>
      <w:r w:rsidR="00FD64B4" w:rsidRPr="003101A0">
        <w:rPr>
          <w:rFonts w:ascii="Times New Roman" w:hAnsi="Times New Roman" w:cs="Times New Roman"/>
          <w:sz w:val="24"/>
          <w:szCs w:val="24"/>
          <w:lang w:val="en-US"/>
        </w:rPr>
        <w:t xml:space="preserve"> et al. (2007)</w:t>
      </w:r>
      <w:r w:rsidR="00C96292" w:rsidRPr="003101A0">
        <w:rPr>
          <w:rFonts w:ascii="Times New Roman" w:hAnsi="Times New Roman" w:cs="Times New Roman"/>
          <w:sz w:val="24"/>
          <w:szCs w:val="24"/>
          <w:lang w:val="en-US"/>
        </w:rPr>
        <w:t>, we</w:t>
      </w:r>
      <w:r w:rsidR="007F746C" w:rsidRPr="003101A0">
        <w:rPr>
          <w:rFonts w:ascii="Times New Roman" w:hAnsi="Times New Roman" w:cs="Times New Roman"/>
          <w:sz w:val="24"/>
          <w:szCs w:val="24"/>
          <w:lang w:val="en-US"/>
        </w:rPr>
        <w:t xml:space="preserve"> verify whether </w:t>
      </w:r>
      <w:proofErr w:type="spellStart"/>
      <w:r w:rsidR="00F17857">
        <w:rPr>
          <w:rFonts w:ascii="Times New Roman" w:hAnsi="Times New Roman" w:cs="Times New Roman"/>
          <w:sz w:val="24"/>
          <w:szCs w:val="24"/>
          <w:lang w:val="en-US"/>
        </w:rPr>
        <w:t>Mergent</w:t>
      </w:r>
      <w:proofErr w:type="spellEnd"/>
      <w:r w:rsidR="00F17857">
        <w:rPr>
          <w:rFonts w:ascii="Times New Roman" w:hAnsi="Times New Roman" w:cs="Times New Roman"/>
          <w:sz w:val="24"/>
          <w:szCs w:val="24"/>
          <w:lang w:val="en-US"/>
        </w:rPr>
        <w:t xml:space="preserve"> </w:t>
      </w:r>
      <w:r w:rsidR="007F746C" w:rsidRPr="003101A0">
        <w:rPr>
          <w:rFonts w:ascii="Times New Roman" w:hAnsi="Times New Roman" w:cs="Times New Roman"/>
          <w:sz w:val="24"/>
          <w:szCs w:val="24"/>
          <w:lang w:val="en-US"/>
        </w:rPr>
        <w:t xml:space="preserve">FISD </w:t>
      </w:r>
      <w:r w:rsidR="009F00B3" w:rsidRPr="003101A0">
        <w:rPr>
          <w:rFonts w:ascii="Times New Roman" w:hAnsi="Times New Roman" w:cs="Times New Roman"/>
          <w:sz w:val="24"/>
          <w:szCs w:val="24"/>
          <w:lang w:val="en-US"/>
        </w:rPr>
        <w:t xml:space="preserve">has </w:t>
      </w:r>
      <w:r w:rsidR="007F746C" w:rsidRPr="003101A0">
        <w:rPr>
          <w:rFonts w:ascii="Times New Roman" w:hAnsi="Times New Roman" w:cs="Times New Roman"/>
          <w:sz w:val="24"/>
          <w:szCs w:val="24"/>
          <w:lang w:val="en-US"/>
        </w:rPr>
        <w:t xml:space="preserve">recorded </w:t>
      </w:r>
      <w:r w:rsidR="00C96292" w:rsidRPr="003101A0">
        <w:rPr>
          <w:rFonts w:ascii="Times New Roman" w:hAnsi="Times New Roman" w:cs="Times New Roman"/>
          <w:sz w:val="24"/>
          <w:szCs w:val="24"/>
          <w:lang w:val="en-US"/>
        </w:rPr>
        <w:t xml:space="preserve">the </w:t>
      </w:r>
      <w:r w:rsidR="00A70AAF">
        <w:rPr>
          <w:rFonts w:ascii="Times New Roman" w:hAnsi="Times New Roman" w:cs="Times New Roman"/>
          <w:sz w:val="24"/>
          <w:szCs w:val="24"/>
          <w:lang w:val="en-US"/>
        </w:rPr>
        <w:t>‘</w:t>
      </w:r>
      <w:r w:rsidR="007F746C" w:rsidRPr="003101A0">
        <w:rPr>
          <w:rFonts w:ascii="Times New Roman" w:hAnsi="Times New Roman" w:cs="Times New Roman"/>
          <w:sz w:val="24"/>
          <w:szCs w:val="24"/>
          <w:lang w:val="en-US"/>
        </w:rPr>
        <w:t>subsequent data</w:t>
      </w:r>
      <w:r w:rsidR="00A70AAF">
        <w:rPr>
          <w:rFonts w:ascii="Times New Roman" w:hAnsi="Times New Roman" w:cs="Times New Roman"/>
          <w:sz w:val="24"/>
          <w:szCs w:val="24"/>
          <w:lang w:val="en-US"/>
        </w:rPr>
        <w:t>’</w:t>
      </w:r>
      <w:r w:rsidR="007F746C" w:rsidRPr="003101A0">
        <w:rPr>
          <w:rFonts w:ascii="Times New Roman" w:hAnsi="Times New Roman" w:cs="Times New Roman"/>
          <w:sz w:val="24"/>
          <w:szCs w:val="24"/>
          <w:lang w:val="en-US"/>
        </w:rPr>
        <w:t xml:space="preserve"> </w:t>
      </w:r>
      <w:r w:rsidR="00C96292" w:rsidRPr="003101A0">
        <w:rPr>
          <w:rFonts w:ascii="Times New Roman" w:hAnsi="Times New Roman" w:cs="Times New Roman"/>
          <w:sz w:val="24"/>
          <w:szCs w:val="24"/>
          <w:lang w:val="en-US"/>
        </w:rPr>
        <w:t xml:space="preserve">field with </w:t>
      </w:r>
      <w:r w:rsidR="00A70AAF">
        <w:rPr>
          <w:rFonts w:ascii="Times New Roman" w:hAnsi="Times New Roman" w:cs="Times New Roman"/>
          <w:sz w:val="24"/>
          <w:szCs w:val="24"/>
          <w:lang w:val="en-US"/>
        </w:rPr>
        <w:t>‘</w:t>
      </w:r>
      <w:r w:rsidR="00C96292" w:rsidRPr="003101A0">
        <w:rPr>
          <w:rFonts w:ascii="Times New Roman" w:hAnsi="Times New Roman" w:cs="Times New Roman"/>
          <w:sz w:val="24"/>
          <w:szCs w:val="24"/>
          <w:lang w:val="en-US"/>
        </w:rPr>
        <w:t>Yes</w:t>
      </w:r>
      <w:r w:rsidR="00A70AAF">
        <w:rPr>
          <w:rFonts w:ascii="Times New Roman" w:hAnsi="Times New Roman" w:cs="Times New Roman"/>
          <w:sz w:val="24"/>
          <w:szCs w:val="24"/>
          <w:lang w:val="en-US"/>
        </w:rPr>
        <w:t>’</w:t>
      </w:r>
      <w:r w:rsidR="00C96292" w:rsidRPr="003101A0">
        <w:rPr>
          <w:rFonts w:ascii="Times New Roman" w:hAnsi="Times New Roman" w:cs="Times New Roman"/>
          <w:sz w:val="24"/>
          <w:szCs w:val="24"/>
          <w:lang w:val="en-US"/>
        </w:rPr>
        <w:t xml:space="preserve">. The subsequent data flag </w:t>
      </w:r>
      <w:r w:rsidR="007F746C" w:rsidRPr="003101A0">
        <w:rPr>
          <w:rFonts w:ascii="Times New Roman" w:hAnsi="Times New Roman" w:cs="Times New Roman"/>
          <w:sz w:val="24"/>
          <w:szCs w:val="24"/>
          <w:lang w:val="en-US"/>
        </w:rPr>
        <w:t>indicates whether data from a prospectus, pricing supplement, or other more detailed document or source</w:t>
      </w:r>
      <w:r w:rsidR="00391F5A" w:rsidRPr="003101A0">
        <w:rPr>
          <w:rFonts w:ascii="Times New Roman" w:hAnsi="Times New Roman" w:cs="Times New Roman"/>
          <w:sz w:val="24"/>
          <w:szCs w:val="24"/>
          <w:lang w:val="en-US"/>
        </w:rPr>
        <w:t xml:space="preserve"> are available for a particular bond issue</w:t>
      </w:r>
      <w:r w:rsidR="007F746C" w:rsidRPr="003101A0">
        <w:rPr>
          <w:rFonts w:ascii="Times New Roman" w:hAnsi="Times New Roman" w:cs="Times New Roman"/>
          <w:sz w:val="24"/>
          <w:szCs w:val="24"/>
          <w:lang w:val="en-US"/>
        </w:rPr>
        <w:t xml:space="preserve">. </w:t>
      </w:r>
      <w:r w:rsidR="00057B9F" w:rsidRPr="003101A0">
        <w:rPr>
          <w:rFonts w:ascii="Times New Roman" w:hAnsi="Times New Roman" w:cs="Times New Roman"/>
          <w:sz w:val="24"/>
          <w:szCs w:val="24"/>
          <w:lang w:val="en-US"/>
        </w:rPr>
        <w:t>W</w:t>
      </w:r>
      <w:r w:rsidR="00C96292" w:rsidRPr="003101A0">
        <w:rPr>
          <w:rFonts w:ascii="Times New Roman" w:hAnsi="Times New Roman" w:cs="Times New Roman"/>
          <w:sz w:val="24"/>
          <w:szCs w:val="24"/>
          <w:lang w:val="en-US"/>
        </w:rPr>
        <w:t>e assume that</w:t>
      </w:r>
      <w:r w:rsidR="003F445B" w:rsidRPr="003101A0">
        <w:rPr>
          <w:rFonts w:ascii="Times New Roman" w:hAnsi="Times New Roman" w:cs="Times New Roman"/>
          <w:sz w:val="24"/>
          <w:szCs w:val="24"/>
          <w:lang w:val="en-US"/>
        </w:rPr>
        <w:t xml:space="preserve"> bonds</w:t>
      </w:r>
      <w:r w:rsidR="00C96292" w:rsidRPr="003101A0">
        <w:rPr>
          <w:rFonts w:ascii="Times New Roman" w:hAnsi="Times New Roman" w:cs="Times New Roman"/>
          <w:sz w:val="24"/>
          <w:szCs w:val="24"/>
          <w:lang w:val="en-US"/>
        </w:rPr>
        <w:t xml:space="preserve"> with a </w:t>
      </w:r>
      <w:r w:rsidR="00A70AAF">
        <w:rPr>
          <w:rFonts w:ascii="Times New Roman" w:hAnsi="Times New Roman" w:cs="Times New Roman"/>
          <w:sz w:val="24"/>
          <w:szCs w:val="24"/>
          <w:lang w:val="en-US"/>
        </w:rPr>
        <w:t>‘</w:t>
      </w:r>
      <w:r w:rsidR="00C96292" w:rsidRPr="003101A0">
        <w:rPr>
          <w:rFonts w:ascii="Times New Roman" w:hAnsi="Times New Roman" w:cs="Times New Roman"/>
          <w:sz w:val="24"/>
          <w:szCs w:val="24"/>
          <w:lang w:val="en-US"/>
        </w:rPr>
        <w:t>Yes</w:t>
      </w:r>
      <w:r w:rsidR="00A70AAF">
        <w:rPr>
          <w:rFonts w:ascii="Times New Roman" w:hAnsi="Times New Roman" w:cs="Times New Roman"/>
          <w:sz w:val="24"/>
          <w:szCs w:val="24"/>
          <w:lang w:val="en-US"/>
        </w:rPr>
        <w:t>’</w:t>
      </w:r>
      <w:r w:rsidR="00C96292" w:rsidRPr="003101A0">
        <w:rPr>
          <w:rFonts w:ascii="Times New Roman" w:hAnsi="Times New Roman" w:cs="Times New Roman"/>
          <w:sz w:val="24"/>
          <w:szCs w:val="24"/>
          <w:lang w:val="en-US"/>
        </w:rPr>
        <w:t xml:space="preserve"> on this data field </w:t>
      </w:r>
      <w:r w:rsidR="009F00B3" w:rsidRPr="003101A0">
        <w:rPr>
          <w:rFonts w:ascii="Times New Roman" w:hAnsi="Times New Roman" w:cs="Times New Roman"/>
          <w:sz w:val="24"/>
          <w:szCs w:val="24"/>
          <w:lang w:val="en-US"/>
        </w:rPr>
        <w:t xml:space="preserve">have </w:t>
      </w:r>
      <w:r w:rsidR="00C96292" w:rsidRPr="003101A0">
        <w:rPr>
          <w:rFonts w:ascii="Times New Roman" w:hAnsi="Times New Roman" w:cs="Times New Roman"/>
          <w:sz w:val="24"/>
          <w:szCs w:val="24"/>
          <w:lang w:val="en-US"/>
        </w:rPr>
        <w:t xml:space="preserve">their covenants (if any) checked and recorded by </w:t>
      </w:r>
      <w:proofErr w:type="spellStart"/>
      <w:r w:rsidR="00F17857">
        <w:rPr>
          <w:rFonts w:ascii="Times New Roman" w:hAnsi="Times New Roman" w:cs="Times New Roman"/>
          <w:sz w:val="24"/>
          <w:szCs w:val="24"/>
          <w:lang w:val="en-US"/>
        </w:rPr>
        <w:t>Mergent</w:t>
      </w:r>
      <w:proofErr w:type="spellEnd"/>
      <w:r w:rsidR="00F17857">
        <w:rPr>
          <w:rFonts w:ascii="Times New Roman" w:hAnsi="Times New Roman" w:cs="Times New Roman"/>
          <w:sz w:val="24"/>
          <w:szCs w:val="24"/>
          <w:lang w:val="en-US"/>
        </w:rPr>
        <w:t xml:space="preserve"> </w:t>
      </w:r>
      <w:r w:rsidR="00C96292" w:rsidRPr="003101A0">
        <w:rPr>
          <w:rFonts w:ascii="Times New Roman" w:hAnsi="Times New Roman" w:cs="Times New Roman"/>
          <w:sz w:val="24"/>
          <w:szCs w:val="24"/>
          <w:lang w:val="en-US"/>
        </w:rPr>
        <w:t>FISD</w:t>
      </w:r>
      <w:r w:rsidR="00235E1E" w:rsidRPr="003101A0">
        <w:rPr>
          <w:rFonts w:ascii="Times New Roman" w:hAnsi="Times New Roman" w:cs="Times New Roman"/>
          <w:sz w:val="24"/>
          <w:szCs w:val="24"/>
          <w:lang w:val="en-US"/>
        </w:rPr>
        <w:t xml:space="preserve">, while </w:t>
      </w:r>
      <w:r w:rsidR="003F445B" w:rsidRPr="003101A0">
        <w:rPr>
          <w:rFonts w:ascii="Times New Roman" w:hAnsi="Times New Roman" w:cs="Times New Roman"/>
          <w:sz w:val="24"/>
          <w:szCs w:val="24"/>
          <w:lang w:val="en-US"/>
        </w:rPr>
        <w:t xml:space="preserve">bonds </w:t>
      </w:r>
      <w:r w:rsidR="00235E1E" w:rsidRPr="003101A0">
        <w:rPr>
          <w:rFonts w:ascii="Times New Roman" w:hAnsi="Times New Roman" w:cs="Times New Roman"/>
          <w:sz w:val="24"/>
          <w:szCs w:val="24"/>
          <w:lang w:val="en-US"/>
        </w:rPr>
        <w:t xml:space="preserve">with a </w:t>
      </w:r>
      <w:r w:rsidR="00A70AAF">
        <w:rPr>
          <w:rFonts w:ascii="Times New Roman" w:hAnsi="Times New Roman" w:cs="Times New Roman"/>
          <w:sz w:val="24"/>
          <w:szCs w:val="24"/>
          <w:lang w:val="en-US"/>
        </w:rPr>
        <w:t>‘</w:t>
      </w:r>
      <w:r w:rsidR="00235E1E" w:rsidRPr="003101A0">
        <w:rPr>
          <w:rFonts w:ascii="Times New Roman" w:hAnsi="Times New Roman" w:cs="Times New Roman"/>
          <w:sz w:val="24"/>
          <w:szCs w:val="24"/>
          <w:lang w:val="en-US"/>
        </w:rPr>
        <w:t>No</w:t>
      </w:r>
      <w:r w:rsidR="00A70AAF">
        <w:rPr>
          <w:rFonts w:ascii="Times New Roman" w:hAnsi="Times New Roman" w:cs="Times New Roman"/>
          <w:sz w:val="24"/>
          <w:szCs w:val="24"/>
          <w:lang w:val="en-US"/>
        </w:rPr>
        <w:t>’</w:t>
      </w:r>
      <w:r w:rsidR="00235E1E" w:rsidRPr="003101A0">
        <w:rPr>
          <w:rFonts w:ascii="Times New Roman" w:hAnsi="Times New Roman" w:cs="Times New Roman"/>
          <w:sz w:val="24"/>
          <w:szCs w:val="24"/>
          <w:lang w:val="en-US"/>
        </w:rPr>
        <w:t xml:space="preserve"> on his data field and no co</w:t>
      </w:r>
      <w:r w:rsidR="00493892" w:rsidRPr="003101A0">
        <w:rPr>
          <w:rFonts w:ascii="Times New Roman" w:hAnsi="Times New Roman" w:cs="Times New Roman"/>
          <w:sz w:val="24"/>
          <w:szCs w:val="24"/>
          <w:lang w:val="en-US"/>
        </w:rPr>
        <w:t>venants recorded should be remo</w:t>
      </w:r>
      <w:r w:rsidR="00235E1E" w:rsidRPr="003101A0">
        <w:rPr>
          <w:rFonts w:ascii="Times New Roman" w:hAnsi="Times New Roman" w:cs="Times New Roman"/>
          <w:sz w:val="24"/>
          <w:szCs w:val="24"/>
          <w:lang w:val="en-US"/>
        </w:rPr>
        <w:t xml:space="preserve">ved, as they are </w:t>
      </w:r>
      <w:r w:rsidR="003A7E37">
        <w:rPr>
          <w:rFonts w:ascii="Times New Roman" w:hAnsi="Times New Roman" w:cs="Times New Roman"/>
          <w:sz w:val="24"/>
          <w:szCs w:val="24"/>
          <w:lang w:val="en-US"/>
        </w:rPr>
        <w:t xml:space="preserve">not </w:t>
      </w:r>
      <w:r w:rsidR="00235E1E" w:rsidRPr="003101A0">
        <w:rPr>
          <w:rFonts w:ascii="Times New Roman" w:hAnsi="Times New Roman" w:cs="Times New Roman"/>
          <w:sz w:val="24"/>
          <w:szCs w:val="24"/>
          <w:lang w:val="en-US"/>
        </w:rPr>
        <w:t xml:space="preserve">covered by </w:t>
      </w:r>
      <w:proofErr w:type="spellStart"/>
      <w:r w:rsidR="00F17857">
        <w:rPr>
          <w:rFonts w:ascii="Times New Roman" w:hAnsi="Times New Roman" w:cs="Times New Roman"/>
          <w:sz w:val="24"/>
          <w:szCs w:val="24"/>
          <w:lang w:val="en-US"/>
        </w:rPr>
        <w:t>Mergent</w:t>
      </w:r>
      <w:proofErr w:type="spellEnd"/>
      <w:r w:rsidR="00F17857">
        <w:rPr>
          <w:rFonts w:ascii="Times New Roman" w:hAnsi="Times New Roman" w:cs="Times New Roman"/>
          <w:sz w:val="24"/>
          <w:szCs w:val="24"/>
          <w:lang w:val="en-US"/>
        </w:rPr>
        <w:t xml:space="preserve"> </w:t>
      </w:r>
      <w:r w:rsidR="00235E1E" w:rsidRPr="003101A0">
        <w:rPr>
          <w:rFonts w:ascii="Times New Roman" w:hAnsi="Times New Roman" w:cs="Times New Roman"/>
          <w:sz w:val="24"/>
          <w:szCs w:val="24"/>
          <w:lang w:val="en-US"/>
        </w:rPr>
        <w:t>FISD’s covenant recording</w:t>
      </w:r>
      <w:r w:rsidR="00C96292" w:rsidRPr="003101A0">
        <w:rPr>
          <w:rFonts w:ascii="Times New Roman" w:hAnsi="Times New Roman" w:cs="Times New Roman"/>
          <w:sz w:val="24"/>
          <w:szCs w:val="24"/>
          <w:lang w:val="en-US"/>
        </w:rPr>
        <w:t xml:space="preserve">. </w:t>
      </w:r>
      <w:r w:rsidR="00391F5A" w:rsidRPr="003101A0">
        <w:rPr>
          <w:rFonts w:ascii="Times New Roman" w:hAnsi="Times New Roman" w:cs="Times New Roman"/>
          <w:sz w:val="24"/>
          <w:szCs w:val="24"/>
          <w:lang w:val="en-US"/>
        </w:rPr>
        <w:t xml:space="preserve">Our final data set consists </w:t>
      </w:r>
      <w:r w:rsidR="00C96292" w:rsidRPr="003101A0">
        <w:rPr>
          <w:rFonts w:ascii="Times New Roman" w:hAnsi="Times New Roman" w:cs="Times New Roman"/>
          <w:sz w:val="24"/>
          <w:szCs w:val="24"/>
          <w:lang w:val="en-US"/>
        </w:rPr>
        <w:t xml:space="preserve">of </w:t>
      </w:r>
      <w:r w:rsidR="00494085" w:rsidRPr="003101A0">
        <w:rPr>
          <w:rFonts w:ascii="Times New Roman" w:hAnsi="Times New Roman" w:cs="Times New Roman"/>
          <w:sz w:val="24"/>
          <w:szCs w:val="24"/>
          <w:lang w:val="en-US"/>
        </w:rPr>
        <w:t>2,097</w:t>
      </w:r>
      <w:r w:rsidR="00C96292" w:rsidRPr="003101A0">
        <w:rPr>
          <w:rFonts w:ascii="Times New Roman" w:hAnsi="Times New Roman" w:cs="Times New Roman"/>
          <w:sz w:val="24"/>
          <w:szCs w:val="24"/>
          <w:lang w:val="en-US"/>
        </w:rPr>
        <w:t xml:space="preserve"> convertible and </w:t>
      </w:r>
      <w:r w:rsidR="00494085" w:rsidRPr="003101A0">
        <w:rPr>
          <w:rFonts w:ascii="Times New Roman" w:hAnsi="Times New Roman" w:cs="Times New Roman"/>
          <w:sz w:val="24"/>
          <w:szCs w:val="24"/>
          <w:lang w:val="en-US"/>
        </w:rPr>
        <w:t>9,011</w:t>
      </w:r>
      <w:r w:rsidR="00C96292" w:rsidRPr="003101A0">
        <w:rPr>
          <w:rFonts w:ascii="Times New Roman" w:hAnsi="Times New Roman" w:cs="Times New Roman"/>
          <w:sz w:val="24"/>
          <w:szCs w:val="24"/>
          <w:lang w:val="en-US"/>
        </w:rPr>
        <w:t xml:space="preserve"> straight bond offerings. </w:t>
      </w:r>
      <w:r w:rsidR="00417AD8" w:rsidRPr="003101A0">
        <w:rPr>
          <w:rFonts w:ascii="Times New Roman" w:hAnsi="Times New Roman" w:cs="Times New Roman"/>
          <w:sz w:val="24"/>
          <w:szCs w:val="24"/>
          <w:lang w:val="en-US"/>
        </w:rPr>
        <w:t>Table 1, Panel B provides the distribution of convertible and straight bond offerings</w:t>
      </w:r>
      <w:r w:rsidR="00534154" w:rsidRPr="003101A0">
        <w:rPr>
          <w:rFonts w:ascii="Times New Roman" w:hAnsi="Times New Roman" w:cs="Times New Roman"/>
          <w:sz w:val="24"/>
          <w:szCs w:val="24"/>
          <w:lang w:val="en-US"/>
        </w:rPr>
        <w:t xml:space="preserve"> </w:t>
      </w:r>
      <w:r w:rsidR="00871C61" w:rsidRPr="003101A0">
        <w:rPr>
          <w:rFonts w:ascii="Times New Roman" w:hAnsi="Times New Roman" w:cs="Times New Roman"/>
          <w:sz w:val="24"/>
          <w:szCs w:val="24"/>
          <w:lang w:val="en-US"/>
        </w:rPr>
        <w:t xml:space="preserve">at </w:t>
      </w:r>
      <w:r w:rsidR="00F77E5B" w:rsidRPr="003101A0">
        <w:rPr>
          <w:rFonts w:ascii="Times New Roman" w:hAnsi="Times New Roman" w:cs="Times New Roman"/>
          <w:sz w:val="24"/>
          <w:szCs w:val="24"/>
          <w:lang w:val="en-US"/>
        </w:rPr>
        <w:t>five-year intervals</w:t>
      </w:r>
      <w:r w:rsidR="00417AD8" w:rsidRPr="003101A0">
        <w:rPr>
          <w:rFonts w:ascii="Times New Roman" w:hAnsi="Times New Roman" w:cs="Times New Roman"/>
          <w:sz w:val="24"/>
          <w:szCs w:val="24"/>
          <w:lang w:val="en-US"/>
        </w:rPr>
        <w:t>. Convertible</w:t>
      </w:r>
      <w:r w:rsidR="003F445B" w:rsidRPr="003101A0">
        <w:rPr>
          <w:rFonts w:ascii="Times New Roman" w:hAnsi="Times New Roman" w:cs="Times New Roman"/>
          <w:sz w:val="24"/>
          <w:szCs w:val="24"/>
          <w:lang w:val="en-US"/>
        </w:rPr>
        <w:t xml:space="preserve"> bond issues</w:t>
      </w:r>
      <w:r w:rsidR="00417AD8" w:rsidRPr="003101A0">
        <w:rPr>
          <w:rFonts w:ascii="Times New Roman" w:hAnsi="Times New Roman" w:cs="Times New Roman"/>
          <w:sz w:val="24"/>
          <w:szCs w:val="24"/>
          <w:lang w:val="en-US"/>
        </w:rPr>
        <w:t xml:space="preserve"> are peaking </w:t>
      </w:r>
      <w:r w:rsidR="00871C61" w:rsidRPr="003101A0">
        <w:rPr>
          <w:rFonts w:ascii="Times New Roman" w:hAnsi="Times New Roman" w:cs="Times New Roman"/>
          <w:sz w:val="24"/>
          <w:szCs w:val="24"/>
          <w:lang w:val="en-US"/>
        </w:rPr>
        <w:t>from</w:t>
      </w:r>
      <w:r w:rsidR="00417AD8" w:rsidRPr="003101A0">
        <w:rPr>
          <w:rFonts w:ascii="Times New Roman" w:hAnsi="Times New Roman" w:cs="Times New Roman"/>
          <w:sz w:val="24"/>
          <w:szCs w:val="24"/>
          <w:lang w:val="en-US"/>
        </w:rPr>
        <w:t xml:space="preserve"> 2001</w:t>
      </w:r>
      <w:r w:rsidR="00417AD8" w:rsidRPr="003101A0">
        <w:rPr>
          <w:rFonts w:ascii="Times New Roman" w:hAnsi="Times New Roman" w:cs="Times New Roman"/>
          <w:color w:val="000000"/>
          <w:sz w:val="24"/>
          <w:szCs w:val="24"/>
          <w:lang w:val="en-US"/>
        </w:rPr>
        <w:t>–</w:t>
      </w:r>
      <w:r w:rsidR="00417AD8" w:rsidRPr="003101A0">
        <w:rPr>
          <w:rFonts w:ascii="Times New Roman" w:hAnsi="Times New Roman" w:cs="Times New Roman"/>
          <w:sz w:val="24"/>
          <w:szCs w:val="24"/>
          <w:lang w:val="en-US"/>
        </w:rPr>
        <w:t xml:space="preserve">2005, while straight bond offerings are </w:t>
      </w:r>
      <w:r w:rsidR="00391F5A" w:rsidRPr="003101A0">
        <w:rPr>
          <w:rFonts w:ascii="Times New Roman" w:hAnsi="Times New Roman" w:cs="Times New Roman"/>
          <w:sz w:val="24"/>
          <w:szCs w:val="24"/>
          <w:lang w:val="en-US"/>
        </w:rPr>
        <w:t>most frequent</w:t>
      </w:r>
      <w:r w:rsidR="00417AD8" w:rsidRPr="003101A0">
        <w:rPr>
          <w:rFonts w:ascii="Times New Roman" w:hAnsi="Times New Roman" w:cs="Times New Roman"/>
          <w:sz w:val="24"/>
          <w:szCs w:val="24"/>
          <w:lang w:val="en-US"/>
        </w:rPr>
        <w:t xml:space="preserve"> toward the end of the research window. </w:t>
      </w:r>
    </w:p>
    <w:p w14:paraId="78CE0C11" w14:textId="6D398119" w:rsidR="00F74F87" w:rsidRPr="003101A0" w:rsidRDefault="007438B7" w:rsidP="00493F00">
      <w:pPr>
        <w:pStyle w:val="ListParagraph"/>
        <w:numPr>
          <w:ilvl w:val="1"/>
          <w:numId w:val="4"/>
        </w:numPr>
        <w:spacing w:after="0" w:line="480" w:lineRule="auto"/>
        <w:ind w:left="426" w:hanging="426"/>
        <w:rPr>
          <w:rFonts w:ascii="Times New Roman" w:hAnsi="Times New Roman" w:cs="Times New Roman"/>
          <w:i/>
          <w:sz w:val="24"/>
          <w:szCs w:val="24"/>
          <w:lang w:val="en-US"/>
        </w:rPr>
      </w:pPr>
      <w:r w:rsidRPr="003101A0">
        <w:rPr>
          <w:rFonts w:ascii="Times New Roman" w:hAnsi="Times New Roman" w:cs="Times New Roman"/>
          <w:i/>
          <w:sz w:val="24"/>
          <w:szCs w:val="24"/>
          <w:lang w:val="en-US"/>
        </w:rPr>
        <w:t>Measuring covenant intensity</w:t>
      </w:r>
    </w:p>
    <w:p w14:paraId="13B1E250" w14:textId="6FAC2DB7" w:rsidR="006855EB" w:rsidRPr="003101A0" w:rsidRDefault="00493892" w:rsidP="003A7E37">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We adopt</w:t>
      </w:r>
      <w:r w:rsidR="00507DC8" w:rsidRPr="003101A0">
        <w:rPr>
          <w:rFonts w:ascii="Times New Roman" w:hAnsi="Times New Roman" w:cs="Times New Roman"/>
          <w:sz w:val="24"/>
          <w:szCs w:val="24"/>
          <w:lang w:val="en-US"/>
        </w:rPr>
        <w:t xml:space="preserve"> </w:t>
      </w:r>
      <w:proofErr w:type="spellStart"/>
      <w:r w:rsidR="00507DC8" w:rsidRPr="003101A0">
        <w:rPr>
          <w:rFonts w:ascii="Times New Roman" w:hAnsi="Times New Roman" w:cs="Times New Roman"/>
          <w:sz w:val="24"/>
          <w:szCs w:val="24"/>
          <w:lang w:val="en-US"/>
        </w:rPr>
        <w:t>Billett</w:t>
      </w:r>
      <w:proofErr w:type="spellEnd"/>
      <w:r w:rsidR="00507DC8" w:rsidRPr="003101A0">
        <w:rPr>
          <w:rFonts w:ascii="Times New Roman" w:hAnsi="Times New Roman" w:cs="Times New Roman"/>
          <w:sz w:val="24"/>
          <w:szCs w:val="24"/>
          <w:lang w:val="en-US"/>
        </w:rPr>
        <w:t xml:space="preserve"> et al</w:t>
      </w:r>
      <w:r w:rsidR="008D0429" w:rsidRPr="003101A0">
        <w:rPr>
          <w:rFonts w:ascii="Times New Roman" w:hAnsi="Times New Roman" w:cs="Times New Roman"/>
          <w:sz w:val="24"/>
          <w:szCs w:val="24"/>
          <w:lang w:val="en-US"/>
        </w:rPr>
        <w:t>.</w:t>
      </w:r>
      <w:r w:rsidR="00507DC8" w:rsidRPr="003101A0">
        <w:rPr>
          <w:rFonts w:ascii="Times New Roman" w:hAnsi="Times New Roman" w:cs="Times New Roman"/>
          <w:sz w:val="24"/>
          <w:szCs w:val="24"/>
          <w:lang w:val="en-US"/>
        </w:rPr>
        <w:t xml:space="preserve">’s (2007) </w:t>
      </w:r>
      <w:r w:rsidR="00CE7492">
        <w:rPr>
          <w:rFonts w:ascii="Times New Roman" w:hAnsi="Times New Roman" w:cs="Times New Roman"/>
          <w:sz w:val="24"/>
          <w:szCs w:val="24"/>
          <w:lang w:val="en-US"/>
        </w:rPr>
        <w:t xml:space="preserve">covenant </w:t>
      </w:r>
      <w:r w:rsidR="00507DC8" w:rsidRPr="003101A0">
        <w:rPr>
          <w:rFonts w:ascii="Times New Roman" w:hAnsi="Times New Roman" w:cs="Times New Roman"/>
          <w:sz w:val="24"/>
          <w:szCs w:val="24"/>
          <w:lang w:val="en-US"/>
        </w:rPr>
        <w:t>categorization</w:t>
      </w:r>
      <w:r w:rsidR="00CE7492">
        <w:rPr>
          <w:rFonts w:ascii="Times New Roman" w:hAnsi="Times New Roman" w:cs="Times New Roman"/>
          <w:sz w:val="24"/>
          <w:szCs w:val="24"/>
          <w:lang w:val="en-US"/>
        </w:rPr>
        <w:t xml:space="preserve"> framework</w:t>
      </w:r>
      <w:r w:rsidR="004F0967" w:rsidRPr="003101A0">
        <w:rPr>
          <w:rFonts w:ascii="Times New Roman" w:hAnsi="Times New Roman" w:cs="Times New Roman"/>
          <w:sz w:val="24"/>
          <w:szCs w:val="24"/>
          <w:lang w:val="en-US"/>
        </w:rPr>
        <w:t>,</w:t>
      </w:r>
      <w:r w:rsidR="00507DC8" w:rsidRPr="003101A0">
        <w:rPr>
          <w:rFonts w:ascii="Times New Roman" w:hAnsi="Times New Roman" w:cs="Times New Roman"/>
          <w:sz w:val="24"/>
          <w:szCs w:val="24"/>
          <w:lang w:val="en-US"/>
        </w:rPr>
        <w:t xml:space="preserve"> consisting of </w:t>
      </w:r>
      <w:r w:rsidR="006855EB" w:rsidRPr="003101A0">
        <w:rPr>
          <w:rFonts w:ascii="Times New Roman" w:hAnsi="Times New Roman" w:cs="Times New Roman"/>
          <w:sz w:val="24"/>
          <w:szCs w:val="24"/>
          <w:lang w:val="en-US"/>
        </w:rPr>
        <w:t xml:space="preserve">15 </w:t>
      </w:r>
      <w:r w:rsidR="005561E8" w:rsidRPr="003101A0">
        <w:rPr>
          <w:rFonts w:ascii="Times New Roman" w:hAnsi="Times New Roman" w:cs="Times New Roman"/>
          <w:sz w:val="24"/>
          <w:szCs w:val="24"/>
          <w:lang w:val="en-US"/>
        </w:rPr>
        <w:t xml:space="preserve">covenant </w:t>
      </w:r>
      <w:r w:rsidR="007D7C0F" w:rsidRPr="003101A0">
        <w:rPr>
          <w:rFonts w:ascii="Times New Roman" w:hAnsi="Times New Roman" w:cs="Times New Roman"/>
          <w:sz w:val="24"/>
          <w:szCs w:val="24"/>
          <w:lang w:val="en-US"/>
        </w:rPr>
        <w:t>categories</w:t>
      </w:r>
      <w:r w:rsidR="00507DC8" w:rsidRPr="003101A0">
        <w:rPr>
          <w:rFonts w:ascii="Times New Roman" w:hAnsi="Times New Roman" w:cs="Times New Roman"/>
          <w:sz w:val="24"/>
          <w:szCs w:val="24"/>
          <w:lang w:val="en-US"/>
        </w:rPr>
        <w:t xml:space="preserve"> falling into</w:t>
      </w:r>
      <w:r w:rsidR="006855EB" w:rsidRPr="003101A0">
        <w:rPr>
          <w:rFonts w:ascii="Times New Roman" w:hAnsi="Times New Roman" w:cs="Times New Roman"/>
          <w:sz w:val="24"/>
          <w:szCs w:val="24"/>
          <w:lang w:val="en-US"/>
        </w:rPr>
        <w:t xml:space="preserve"> four main </w:t>
      </w:r>
      <w:r w:rsidR="00057B9F" w:rsidRPr="003101A0">
        <w:rPr>
          <w:rFonts w:ascii="Times New Roman" w:hAnsi="Times New Roman" w:cs="Times New Roman"/>
          <w:sz w:val="24"/>
          <w:szCs w:val="24"/>
          <w:lang w:val="en-US"/>
        </w:rPr>
        <w:t xml:space="preserve">covenant </w:t>
      </w:r>
      <w:r w:rsidR="007D7C0F" w:rsidRPr="003101A0">
        <w:rPr>
          <w:rFonts w:ascii="Times New Roman" w:hAnsi="Times New Roman" w:cs="Times New Roman"/>
          <w:sz w:val="24"/>
          <w:szCs w:val="24"/>
          <w:lang w:val="en-US"/>
        </w:rPr>
        <w:t>groups</w:t>
      </w:r>
      <w:r w:rsidR="006855EB" w:rsidRPr="003101A0">
        <w:rPr>
          <w:rFonts w:ascii="Times New Roman" w:hAnsi="Times New Roman" w:cs="Times New Roman"/>
          <w:sz w:val="24"/>
          <w:szCs w:val="24"/>
          <w:lang w:val="en-US"/>
        </w:rPr>
        <w:t xml:space="preserve">. </w:t>
      </w:r>
      <w:r w:rsidR="007D7C0F" w:rsidRPr="003101A0">
        <w:rPr>
          <w:rFonts w:ascii="Times New Roman" w:hAnsi="Times New Roman" w:cs="Times New Roman"/>
          <w:sz w:val="24"/>
          <w:szCs w:val="24"/>
          <w:lang w:val="en-US"/>
        </w:rPr>
        <w:t>The first group</w:t>
      </w:r>
      <w:r w:rsidR="00E41D85" w:rsidRPr="003101A0">
        <w:rPr>
          <w:rFonts w:ascii="Times New Roman" w:hAnsi="Times New Roman" w:cs="Times New Roman"/>
          <w:sz w:val="24"/>
          <w:szCs w:val="24"/>
          <w:lang w:val="en-US"/>
        </w:rPr>
        <w:t xml:space="preserve"> places</w:t>
      </w:r>
      <w:r w:rsidR="007D7C0F" w:rsidRPr="003101A0">
        <w:rPr>
          <w:rFonts w:ascii="Times New Roman" w:hAnsi="Times New Roman" w:cs="Times New Roman"/>
          <w:sz w:val="24"/>
          <w:szCs w:val="24"/>
          <w:lang w:val="en-US"/>
        </w:rPr>
        <w:t xml:space="preserve"> restrictions on </w:t>
      </w:r>
      <w:r w:rsidR="005561E8" w:rsidRPr="003101A0">
        <w:rPr>
          <w:rFonts w:ascii="Times New Roman" w:hAnsi="Times New Roman" w:cs="Times New Roman"/>
          <w:sz w:val="24"/>
          <w:szCs w:val="24"/>
          <w:lang w:val="en-US"/>
        </w:rPr>
        <w:t xml:space="preserve">firms’ </w:t>
      </w:r>
      <w:r w:rsidR="007D7C0F" w:rsidRPr="003101A0">
        <w:rPr>
          <w:rFonts w:ascii="Times New Roman" w:hAnsi="Times New Roman" w:cs="Times New Roman"/>
          <w:sz w:val="24"/>
          <w:szCs w:val="24"/>
          <w:lang w:val="en-US"/>
        </w:rPr>
        <w:t xml:space="preserve">investment </w:t>
      </w:r>
      <w:r w:rsidR="00871C61" w:rsidRPr="003101A0">
        <w:rPr>
          <w:rFonts w:ascii="Times New Roman" w:hAnsi="Times New Roman" w:cs="Times New Roman"/>
          <w:sz w:val="24"/>
          <w:szCs w:val="24"/>
          <w:lang w:val="en-US"/>
        </w:rPr>
        <w:t>policies</w:t>
      </w:r>
      <w:r w:rsidR="007D7C0F" w:rsidRPr="003101A0">
        <w:rPr>
          <w:rFonts w:ascii="Times New Roman" w:hAnsi="Times New Roman" w:cs="Times New Roman"/>
          <w:sz w:val="24"/>
          <w:szCs w:val="24"/>
          <w:lang w:val="en-US"/>
        </w:rPr>
        <w:t>. It includes</w:t>
      </w:r>
      <w:r w:rsidR="00E41D85" w:rsidRPr="003101A0">
        <w:rPr>
          <w:rFonts w:ascii="Times New Roman" w:hAnsi="Times New Roman" w:cs="Times New Roman"/>
          <w:sz w:val="24"/>
          <w:szCs w:val="24"/>
          <w:lang w:val="en-US"/>
        </w:rPr>
        <w:t xml:space="preserve"> three covenant categories</w:t>
      </w:r>
      <w:r w:rsidR="007D7C0F" w:rsidRPr="003101A0">
        <w:rPr>
          <w:rFonts w:ascii="Times New Roman" w:hAnsi="Times New Roman" w:cs="Times New Roman"/>
          <w:sz w:val="24"/>
          <w:szCs w:val="24"/>
          <w:lang w:val="en-US"/>
        </w:rPr>
        <w:t xml:space="preserve"> </w:t>
      </w:r>
      <w:r w:rsidR="00E41D85" w:rsidRPr="003101A0">
        <w:rPr>
          <w:rFonts w:ascii="Times New Roman" w:hAnsi="Times New Roman" w:cs="Times New Roman"/>
          <w:sz w:val="24"/>
          <w:szCs w:val="24"/>
          <w:lang w:val="en-US"/>
        </w:rPr>
        <w:t xml:space="preserve">limiting the use of asset sales proceeds </w:t>
      </w:r>
      <w:r w:rsidR="00FD64B4" w:rsidRPr="003101A0">
        <w:rPr>
          <w:rFonts w:ascii="Times New Roman" w:hAnsi="Times New Roman" w:cs="Times New Roman"/>
          <w:sz w:val="24"/>
          <w:szCs w:val="24"/>
          <w:lang w:val="en-US"/>
        </w:rPr>
        <w:t>and</w:t>
      </w:r>
      <w:r w:rsidR="00E41D85" w:rsidRPr="003101A0">
        <w:rPr>
          <w:rFonts w:ascii="Times New Roman" w:hAnsi="Times New Roman" w:cs="Times New Roman"/>
          <w:sz w:val="24"/>
          <w:szCs w:val="24"/>
          <w:lang w:val="en-US"/>
        </w:rPr>
        <w:t xml:space="preserve"> </w:t>
      </w:r>
      <w:r w:rsidR="00A635AD" w:rsidRPr="003101A0">
        <w:rPr>
          <w:rFonts w:ascii="Times New Roman" w:hAnsi="Times New Roman" w:cs="Times New Roman"/>
          <w:sz w:val="24"/>
          <w:szCs w:val="24"/>
          <w:lang w:val="en-US"/>
        </w:rPr>
        <w:t xml:space="preserve">placing </w:t>
      </w:r>
      <w:r w:rsidR="00E41D85" w:rsidRPr="003101A0">
        <w:rPr>
          <w:rFonts w:ascii="Times New Roman" w:hAnsi="Times New Roman" w:cs="Times New Roman"/>
          <w:sz w:val="24"/>
          <w:szCs w:val="24"/>
          <w:lang w:val="en-US"/>
        </w:rPr>
        <w:t xml:space="preserve">constraints on </w:t>
      </w:r>
      <w:r w:rsidR="007D7C0F" w:rsidRPr="003101A0">
        <w:rPr>
          <w:rFonts w:ascii="Times New Roman" w:hAnsi="Times New Roman" w:cs="Times New Roman"/>
          <w:sz w:val="24"/>
          <w:szCs w:val="24"/>
          <w:lang w:val="en-US"/>
        </w:rPr>
        <w:t xml:space="preserve">mergers with other entities. The second group </w:t>
      </w:r>
      <w:r w:rsidR="00E41D85" w:rsidRPr="003101A0">
        <w:rPr>
          <w:rFonts w:ascii="Times New Roman" w:hAnsi="Times New Roman" w:cs="Times New Roman"/>
          <w:sz w:val="24"/>
          <w:szCs w:val="24"/>
          <w:lang w:val="en-US"/>
        </w:rPr>
        <w:t xml:space="preserve">places </w:t>
      </w:r>
      <w:r w:rsidR="009E2B7D">
        <w:rPr>
          <w:rFonts w:ascii="Times New Roman" w:hAnsi="Times New Roman" w:cs="Times New Roman"/>
          <w:sz w:val="24"/>
          <w:szCs w:val="24"/>
          <w:lang w:val="en-US"/>
        </w:rPr>
        <w:t>limitations</w:t>
      </w:r>
      <w:r w:rsidR="009E2B7D" w:rsidRPr="003101A0">
        <w:rPr>
          <w:rFonts w:ascii="Times New Roman" w:hAnsi="Times New Roman" w:cs="Times New Roman"/>
          <w:sz w:val="24"/>
          <w:szCs w:val="24"/>
          <w:lang w:val="en-US"/>
        </w:rPr>
        <w:t xml:space="preserve"> </w:t>
      </w:r>
      <w:r w:rsidR="007D7C0F" w:rsidRPr="003101A0">
        <w:rPr>
          <w:rFonts w:ascii="Times New Roman" w:hAnsi="Times New Roman" w:cs="Times New Roman"/>
          <w:sz w:val="24"/>
          <w:szCs w:val="24"/>
          <w:lang w:val="en-US"/>
        </w:rPr>
        <w:t>on payouts to shareholders or other</w:t>
      </w:r>
      <w:r w:rsidR="00E41D85" w:rsidRPr="003101A0">
        <w:rPr>
          <w:rFonts w:ascii="Times New Roman" w:hAnsi="Times New Roman" w:cs="Times New Roman"/>
          <w:sz w:val="24"/>
          <w:szCs w:val="24"/>
          <w:lang w:val="en-US"/>
        </w:rPr>
        <w:t xml:space="preserve"> entities</w:t>
      </w:r>
      <w:r w:rsidR="007D7C0F" w:rsidRPr="003101A0">
        <w:rPr>
          <w:rFonts w:ascii="Times New Roman" w:hAnsi="Times New Roman" w:cs="Times New Roman"/>
          <w:sz w:val="24"/>
          <w:szCs w:val="24"/>
          <w:lang w:val="en-US"/>
        </w:rPr>
        <w:t xml:space="preserve">. It includes covenants restricting dividend payouts, both by the issuer and its subsidiaries, as well as covenants restricting share repurchases. </w:t>
      </w:r>
      <w:r w:rsidR="00C064EE" w:rsidRPr="003101A0">
        <w:rPr>
          <w:rFonts w:ascii="Times New Roman" w:hAnsi="Times New Roman" w:cs="Times New Roman"/>
          <w:sz w:val="24"/>
          <w:szCs w:val="24"/>
          <w:lang w:val="en-US"/>
        </w:rPr>
        <w:t xml:space="preserve">The </w:t>
      </w:r>
      <w:r w:rsidR="007D7C0F" w:rsidRPr="003101A0">
        <w:rPr>
          <w:rFonts w:ascii="Times New Roman" w:hAnsi="Times New Roman" w:cs="Times New Roman"/>
          <w:sz w:val="24"/>
          <w:szCs w:val="24"/>
          <w:lang w:val="en-US"/>
        </w:rPr>
        <w:t xml:space="preserve">third group </w:t>
      </w:r>
      <w:r w:rsidR="00E41D85" w:rsidRPr="003101A0">
        <w:rPr>
          <w:rFonts w:ascii="Times New Roman" w:hAnsi="Times New Roman" w:cs="Times New Roman"/>
          <w:sz w:val="24"/>
          <w:szCs w:val="24"/>
          <w:lang w:val="en-US"/>
        </w:rPr>
        <w:t>places</w:t>
      </w:r>
      <w:r w:rsidR="007D7C0F" w:rsidRPr="003101A0">
        <w:rPr>
          <w:rFonts w:ascii="Times New Roman" w:hAnsi="Times New Roman" w:cs="Times New Roman"/>
          <w:sz w:val="24"/>
          <w:szCs w:val="24"/>
          <w:lang w:val="en-US"/>
        </w:rPr>
        <w:t xml:space="preserve"> restrictions on financing activities. It includes </w:t>
      </w:r>
      <w:r w:rsidR="00B63E83" w:rsidRPr="003101A0">
        <w:rPr>
          <w:rFonts w:ascii="Times New Roman" w:hAnsi="Times New Roman" w:cs="Times New Roman"/>
          <w:sz w:val="24"/>
          <w:szCs w:val="24"/>
          <w:lang w:val="en-US"/>
        </w:rPr>
        <w:t xml:space="preserve">additional </w:t>
      </w:r>
      <w:r w:rsidR="007D7C0F" w:rsidRPr="003101A0">
        <w:rPr>
          <w:rFonts w:ascii="Times New Roman" w:hAnsi="Times New Roman" w:cs="Times New Roman"/>
          <w:sz w:val="24"/>
          <w:szCs w:val="24"/>
          <w:lang w:val="en-US"/>
        </w:rPr>
        <w:t>debt</w:t>
      </w:r>
      <w:r w:rsidR="00B63E83" w:rsidRPr="003101A0">
        <w:rPr>
          <w:rFonts w:ascii="Times New Roman" w:hAnsi="Times New Roman" w:cs="Times New Roman"/>
          <w:sz w:val="24"/>
          <w:szCs w:val="24"/>
          <w:lang w:val="en-US"/>
        </w:rPr>
        <w:t xml:space="preserve"> issuance</w:t>
      </w:r>
      <w:r w:rsidR="007D7C0F" w:rsidRPr="003101A0">
        <w:rPr>
          <w:rFonts w:ascii="Times New Roman" w:hAnsi="Times New Roman" w:cs="Times New Roman"/>
          <w:sz w:val="24"/>
          <w:szCs w:val="24"/>
          <w:lang w:val="en-US"/>
        </w:rPr>
        <w:t xml:space="preserve"> restrictions for the issuer and its subsidiaries</w:t>
      </w:r>
      <w:r w:rsidR="00B63E83" w:rsidRPr="003101A0">
        <w:rPr>
          <w:rFonts w:ascii="Times New Roman" w:hAnsi="Times New Roman" w:cs="Times New Roman"/>
          <w:sz w:val="24"/>
          <w:szCs w:val="24"/>
          <w:lang w:val="en-US"/>
        </w:rPr>
        <w:t>, as well as</w:t>
      </w:r>
      <w:r w:rsidR="0027668D" w:rsidRPr="003101A0">
        <w:rPr>
          <w:rFonts w:ascii="Times New Roman" w:hAnsi="Times New Roman" w:cs="Times New Roman"/>
          <w:sz w:val="24"/>
          <w:szCs w:val="24"/>
          <w:lang w:val="en-US"/>
        </w:rPr>
        <w:t xml:space="preserve"> accounting-based </w:t>
      </w:r>
      <w:r w:rsidR="003A7E37">
        <w:rPr>
          <w:rFonts w:ascii="Times New Roman" w:hAnsi="Times New Roman" w:cs="Times New Roman"/>
          <w:sz w:val="24"/>
          <w:szCs w:val="24"/>
          <w:lang w:val="en-US"/>
        </w:rPr>
        <w:t xml:space="preserve">maximum total debt and minimum earnings stipulations </w:t>
      </w:r>
      <w:r w:rsidR="0027668D" w:rsidRPr="003101A0">
        <w:rPr>
          <w:rFonts w:ascii="Times New Roman" w:hAnsi="Times New Roman" w:cs="Times New Roman"/>
          <w:sz w:val="24"/>
          <w:szCs w:val="24"/>
          <w:lang w:val="en-US"/>
        </w:rPr>
        <w:t xml:space="preserve">commonly referred to as </w:t>
      </w:r>
      <w:r w:rsidR="00414E35">
        <w:rPr>
          <w:rFonts w:ascii="Times New Roman" w:hAnsi="Times New Roman" w:cs="Times New Roman"/>
          <w:sz w:val="24"/>
          <w:szCs w:val="24"/>
          <w:lang w:val="en-US"/>
        </w:rPr>
        <w:t>‘</w:t>
      </w:r>
      <w:r w:rsidR="0027668D" w:rsidRPr="003101A0">
        <w:rPr>
          <w:rFonts w:ascii="Times New Roman" w:hAnsi="Times New Roman" w:cs="Times New Roman"/>
          <w:sz w:val="24"/>
          <w:szCs w:val="24"/>
          <w:lang w:val="en-US"/>
        </w:rPr>
        <w:t>total leverage tests</w:t>
      </w:r>
      <w:r w:rsidR="00414E35">
        <w:rPr>
          <w:rFonts w:ascii="Times New Roman" w:hAnsi="Times New Roman" w:cs="Times New Roman"/>
          <w:sz w:val="24"/>
          <w:szCs w:val="24"/>
          <w:lang w:val="en-US"/>
        </w:rPr>
        <w:t>’</w:t>
      </w:r>
      <w:r w:rsidR="00E41D85" w:rsidRPr="003101A0">
        <w:rPr>
          <w:rFonts w:ascii="Times New Roman" w:hAnsi="Times New Roman" w:cs="Times New Roman"/>
          <w:sz w:val="24"/>
          <w:szCs w:val="24"/>
          <w:lang w:val="en-US"/>
        </w:rPr>
        <w:t>. It also incorporates</w:t>
      </w:r>
      <w:r w:rsidR="00B63E83" w:rsidRPr="003101A0">
        <w:rPr>
          <w:rFonts w:ascii="Times New Roman" w:hAnsi="Times New Roman" w:cs="Times New Roman"/>
          <w:sz w:val="24"/>
          <w:szCs w:val="24"/>
          <w:lang w:val="en-US"/>
        </w:rPr>
        <w:t xml:space="preserve"> a </w:t>
      </w:r>
      <w:r w:rsidR="001A0FB2" w:rsidRPr="003101A0">
        <w:rPr>
          <w:rFonts w:ascii="Times New Roman" w:hAnsi="Times New Roman" w:cs="Times New Roman"/>
          <w:sz w:val="24"/>
          <w:szCs w:val="24"/>
          <w:lang w:val="en-US"/>
        </w:rPr>
        <w:t>sale-l</w:t>
      </w:r>
      <w:r w:rsidR="0027668D" w:rsidRPr="003101A0">
        <w:rPr>
          <w:rFonts w:ascii="Times New Roman" w:hAnsi="Times New Roman" w:cs="Times New Roman"/>
          <w:sz w:val="24"/>
          <w:szCs w:val="24"/>
          <w:lang w:val="en-US"/>
        </w:rPr>
        <w:t>easeback covenant restricting the issuer and its subsidiaries from selling and then leasing back assets</w:t>
      </w:r>
      <w:r w:rsidR="00871C61" w:rsidRPr="003101A0">
        <w:rPr>
          <w:rFonts w:ascii="Times New Roman" w:hAnsi="Times New Roman" w:cs="Times New Roman"/>
          <w:sz w:val="24"/>
          <w:szCs w:val="24"/>
          <w:lang w:val="en-US"/>
        </w:rPr>
        <w:t>,</w:t>
      </w:r>
      <w:r w:rsidR="0027668D" w:rsidRPr="003101A0">
        <w:rPr>
          <w:rFonts w:ascii="Times New Roman" w:hAnsi="Times New Roman" w:cs="Times New Roman"/>
          <w:sz w:val="24"/>
          <w:szCs w:val="24"/>
          <w:lang w:val="en-US"/>
        </w:rPr>
        <w:t xml:space="preserve"> </w:t>
      </w:r>
      <w:r w:rsidR="00B63E83" w:rsidRPr="003101A0">
        <w:rPr>
          <w:rFonts w:ascii="Times New Roman" w:hAnsi="Times New Roman" w:cs="Times New Roman"/>
          <w:sz w:val="24"/>
          <w:szCs w:val="24"/>
          <w:lang w:val="en-US"/>
        </w:rPr>
        <w:t>and</w:t>
      </w:r>
      <w:r w:rsidR="0027668D" w:rsidRPr="003101A0">
        <w:rPr>
          <w:rFonts w:ascii="Times New Roman" w:hAnsi="Times New Roman" w:cs="Times New Roman"/>
          <w:sz w:val="24"/>
          <w:szCs w:val="24"/>
          <w:lang w:val="en-US"/>
        </w:rPr>
        <w:t xml:space="preserve"> a restriction on additional stock issuance. </w:t>
      </w:r>
      <w:r w:rsidR="00B9145D" w:rsidRPr="003101A0">
        <w:rPr>
          <w:rFonts w:ascii="Times New Roman" w:hAnsi="Times New Roman" w:cs="Times New Roman"/>
          <w:sz w:val="24"/>
          <w:szCs w:val="24"/>
          <w:lang w:val="en-US"/>
        </w:rPr>
        <w:t xml:space="preserve">The </w:t>
      </w:r>
      <w:r w:rsidR="0027668D" w:rsidRPr="003101A0">
        <w:rPr>
          <w:rFonts w:ascii="Times New Roman" w:hAnsi="Times New Roman" w:cs="Times New Roman"/>
          <w:sz w:val="24"/>
          <w:szCs w:val="24"/>
          <w:lang w:val="en-US"/>
        </w:rPr>
        <w:t xml:space="preserve">fourth group of covenants consists of three covenant categories relating to </w:t>
      </w:r>
      <w:r w:rsidR="0027668D" w:rsidRPr="003101A0">
        <w:rPr>
          <w:rFonts w:ascii="Times New Roman" w:hAnsi="Times New Roman" w:cs="Times New Roman"/>
          <w:sz w:val="24"/>
          <w:szCs w:val="24"/>
          <w:lang w:val="en-US"/>
        </w:rPr>
        <w:lastRenderedPageBreak/>
        <w:t xml:space="preserve">specific events, i.e., a drop in issuer credit ratings, </w:t>
      </w:r>
      <w:r w:rsidR="004F0967" w:rsidRPr="003101A0">
        <w:rPr>
          <w:rFonts w:ascii="Times New Roman" w:hAnsi="Times New Roman" w:cs="Times New Roman"/>
          <w:sz w:val="24"/>
          <w:szCs w:val="24"/>
          <w:lang w:val="en-US"/>
        </w:rPr>
        <w:t xml:space="preserve">an </w:t>
      </w:r>
      <w:r w:rsidR="0027668D" w:rsidRPr="003101A0">
        <w:rPr>
          <w:rFonts w:ascii="Times New Roman" w:hAnsi="Times New Roman" w:cs="Times New Roman"/>
          <w:sz w:val="24"/>
          <w:szCs w:val="24"/>
          <w:lang w:val="en-US"/>
        </w:rPr>
        <w:t xml:space="preserve">issuer default, or a significant change in control of the issuer. </w:t>
      </w:r>
      <w:r w:rsidR="001A06C4" w:rsidRPr="003101A0">
        <w:rPr>
          <w:rFonts w:ascii="Times New Roman" w:hAnsi="Times New Roman" w:cs="Times New Roman"/>
          <w:sz w:val="24"/>
          <w:szCs w:val="24"/>
          <w:lang w:val="en-US"/>
        </w:rPr>
        <w:t>Table 2</w:t>
      </w:r>
      <w:r w:rsidR="00874BA3" w:rsidRPr="003101A0">
        <w:rPr>
          <w:rFonts w:ascii="Times New Roman" w:hAnsi="Times New Roman" w:cs="Times New Roman"/>
          <w:sz w:val="24"/>
          <w:szCs w:val="24"/>
          <w:lang w:val="en-US"/>
        </w:rPr>
        <w:t>, Panel A</w:t>
      </w:r>
      <w:r w:rsidR="004F0967" w:rsidRPr="003101A0">
        <w:rPr>
          <w:rFonts w:ascii="Times New Roman" w:hAnsi="Times New Roman" w:cs="Times New Roman"/>
          <w:sz w:val="24"/>
          <w:szCs w:val="24"/>
          <w:lang w:val="en-US"/>
        </w:rPr>
        <w:t>,</w:t>
      </w:r>
      <w:r w:rsidR="001A06C4" w:rsidRPr="003101A0">
        <w:rPr>
          <w:rFonts w:ascii="Times New Roman" w:hAnsi="Times New Roman" w:cs="Times New Roman"/>
          <w:sz w:val="24"/>
          <w:szCs w:val="24"/>
          <w:lang w:val="en-US"/>
        </w:rPr>
        <w:t xml:space="preserve"> </w:t>
      </w:r>
      <w:r w:rsidR="00E41D85" w:rsidRPr="003101A0">
        <w:rPr>
          <w:rFonts w:ascii="Times New Roman" w:hAnsi="Times New Roman" w:cs="Times New Roman"/>
          <w:sz w:val="24"/>
          <w:szCs w:val="24"/>
          <w:lang w:val="en-US"/>
        </w:rPr>
        <w:t xml:space="preserve">documents </w:t>
      </w:r>
      <w:r w:rsidR="003652CF" w:rsidRPr="003101A0">
        <w:rPr>
          <w:rFonts w:ascii="Times New Roman" w:hAnsi="Times New Roman" w:cs="Times New Roman"/>
          <w:sz w:val="24"/>
          <w:szCs w:val="24"/>
          <w:lang w:val="en-US"/>
        </w:rPr>
        <w:t>the frequency of each of the 15 covenant categories</w:t>
      </w:r>
      <w:r w:rsidR="00111A92" w:rsidRPr="003101A0">
        <w:rPr>
          <w:rFonts w:ascii="Times New Roman" w:hAnsi="Times New Roman" w:cs="Times New Roman"/>
          <w:sz w:val="24"/>
          <w:szCs w:val="24"/>
          <w:lang w:val="en-US"/>
        </w:rPr>
        <w:t xml:space="preserve"> </w:t>
      </w:r>
      <w:r w:rsidR="003652CF" w:rsidRPr="003101A0">
        <w:rPr>
          <w:rFonts w:ascii="Times New Roman" w:hAnsi="Times New Roman" w:cs="Times New Roman"/>
          <w:sz w:val="24"/>
          <w:szCs w:val="24"/>
          <w:lang w:val="en-US"/>
        </w:rPr>
        <w:t xml:space="preserve">for </w:t>
      </w:r>
      <w:r w:rsidR="001A0FB2" w:rsidRPr="003101A0">
        <w:rPr>
          <w:rFonts w:ascii="Times New Roman" w:hAnsi="Times New Roman" w:cs="Times New Roman"/>
          <w:sz w:val="24"/>
          <w:szCs w:val="24"/>
          <w:lang w:val="en-US"/>
        </w:rPr>
        <w:t xml:space="preserve">convertibles and straight bonds. </w:t>
      </w:r>
    </w:p>
    <w:p w14:paraId="2A43CD89" w14:textId="19BCA1C1" w:rsidR="006855EB" w:rsidRPr="003101A0" w:rsidRDefault="001A0FB2" w:rsidP="000B11D0">
      <w:pPr>
        <w:spacing w:after="0" w:line="480" w:lineRule="auto"/>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&lt;&lt; Please insert Table 2 here &gt;&gt;</w:t>
      </w:r>
    </w:p>
    <w:p w14:paraId="142D4D44" w14:textId="1F72227F" w:rsidR="00931206" w:rsidRPr="003101A0" w:rsidRDefault="00CD40D0" w:rsidP="003A7E37">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W</w:t>
      </w:r>
      <w:r w:rsidR="004D22E8" w:rsidRPr="003101A0">
        <w:rPr>
          <w:rFonts w:ascii="Times New Roman" w:hAnsi="Times New Roman" w:cs="Times New Roman"/>
          <w:sz w:val="24"/>
          <w:szCs w:val="24"/>
          <w:lang w:val="en-US"/>
        </w:rPr>
        <w:t xml:space="preserve">e find a significantly lower incidence of </w:t>
      </w:r>
      <w:r w:rsidR="003652CF" w:rsidRPr="003101A0">
        <w:rPr>
          <w:rFonts w:ascii="Times New Roman" w:hAnsi="Times New Roman" w:cs="Times New Roman"/>
          <w:sz w:val="24"/>
          <w:szCs w:val="24"/>
          <w:lang w:val="en-US"/>
        </w:rPr>
        <w:t xml:space="preserve">covenants </w:t>
      </w:r>
      <w:r w:rsidR="004D22E8" w:rsidRPr="003101A0">
        <w:rPr>
          <w:rFonts w:ascii="Times New Roman" w:hAnsi="Times New Roman" w:cs="Times New Roman"/>
          <w:sz w:val="24"/>
          <w:szCs w:val="24"/>
          <w:lang w:val="en-US"/>
        </w:rPr>
        <w:t>for convertibles than for straight bonds</w:t>
      </w:r>
      <w:r w:rsidR="003652CF" w:rsidRPr="003101A0">
        <w:rPr>
          <w:rFonts w:ascii="Times New Roman" w:hAnsi="Times New Roman" w:cs="Times New Roman"/>
          <w:sz w:val="24"/>
          <w:szCs w:val="24"/>
          <w:lang w:val="en-US"/>
        </w:rPr>
        <w:t xml:space="preserve"> for 14 of the 15 covenant categories</w:t>
      </w:r>
      <w:r w:rsidR="004D22E8" w:rsidRPr="003101A0">
        <w:rPr>
          <w:rFonts w:ascii="Times New Roman" w:hAnsi="Times New Roman" w:cs="Times New Roman"/>
          <w:sz w:val="24"/>
          <w:szCs w:val="24"/>
          <w:lang w:val="en-US"/>
        </w:rPr>
        <w:t>.</w:t>
      </w:r>
      <w:r w:rsidR="00422B5E" w:rsidRPr="003101A0">
        <w:rPr>
          <w:rFonts w:ascii="Times New Roman" w:hAnsi="Times New Roman" w:cs="Times New Roman"/>
          <w:sz w:val="24"/>
          <w:szCs w:val="24"/>
          <w:lang w:val="en-US"/>
        </w:rPr>
        <w:t xml:space="preserve"> The only exception </w:t>
      </w:r>
      <w:r w:rsidR="00F81803" w:rsidRPr="003101A0">
        <w:rPr>
          <w:rFonts w:ascii="Times New Roman" w:hAnsi="Times New Roman" w:cs="Times New Roman"/>
          <w:sz w:val="24"/>
          <w:szCs w:val="24"/>
          <w:lang w:val="en-US"/>
        </w:rPr>
        <w:t xml:space="preserve">is </w:t>
      </w:r>
      <w:r w:rsidR="00494085" w:rsidRPr="003101A0">
        <w:rPr>
          <w:rFonts w:ascii="Times New Roman" w:hAnsi="Times New Roman" w:cs="Times New Roman"/>
          <w:sz w:val="24"/>
          <w:szCs w:val="24"/>
          <w:lang w:val="en-US"/>
        </w:rPr>
        <w:t xml:space="preserve">the </w:t>
      </w:r>
      <w:r w:rsidR="004A53C8" w:rsidRPr="003101A0">
        <w:rPr>
          <w:rFonts w:ascii="Times New Roman" w:hAnsi="Times New Roman" w:cs="Times New Roman"/>
          <w:sz w:val="24"/>
          <w:szCs w:val="24"/>
          <w:lang w:val="en-US"/>
        </w:rPr>
        <w:t>poison put</w:t>
      </w:r>
      <w:r w:rsidR="00494085" w:rsidRPr="003101A0">
        <w:rPr>
          <w:rFonts w:ascii="Times New Roman" w:hAnsi="Times New Roman" w:cs="Times New Roman"/>
          <w:sz w:val="24"/>
          <w:szCs w:val="24"/>
          <w:lang w:val="en-US"/>
        </w:rPr>
        <w:t xml:space="preserve"> provision allowing </w:t>
      </w:r>
      <w:r w:rsidR="004A53C8" w:rsidRPr="003101A0">
        <w:rPr>
          <w:rFonts w:ascii="Times New Roman" w:hAnsi="Times New Roman" w:cs="Times New Roman"/>
          <w:sz w:val="24"/>
          <w:szCs w:val="24"/>
          <w:lang w:val="en-US"/>
        </w:rPr>
        <w:t xml:space="preserve">bondholders to </w:t>
      </w:r>
      <w:r w:rsidR="00A635AD" w:rsidRPr="003101A0">
        <w:rPr>
          <w:rFonts w:ascii="Times New Roman" w:hAnsi="Times New Roman" w:cs="Times New Roman"/>
          <w:sz w:val="24"/>
          <w:szCs w:val="24"/>
          <w:lang w:val="en-US"/>
        </w:rPr>
        <w:t>sell</w:t>
      </w:r>
      <w:r w:rsidR="004A53C8" w:rsidRPr="003101A0">
        <w:rPr>
          <w:rFonts w:ascii="Times New Roman" w:hAnsi="Times New Roman" w:cs="Times New Roman"/>
          <w:sz w:val="24"/>
          <w:szCs w:val="24"/>
          <w:lang w:val="en-US"/>
        </w:rPr>
        <w:t xml:space="preserve"> </w:t>
      </w:r>
      <w:r w:rsidR="00A635AD" w:rsidRPr="003101A0">
        <w:rPr>
          <w:rFonts w:ascii="Times New Roman" w:hAnsi="Times New Roman" w:cs="Times New Roman"/>
          <w:sz w:val="24"/>
          <w:szCs w:val="24"/>
          <w:lang w:val="en-US"/>
        </w:rPr>
        <w:t>their bonds</w:t>
      </w:r>
      <w:r w:rsidR="004A53C8" w:rsidRPr="003101A0">
        <w:rPr>
          <w:rFonts w:ascii="Times New Roman" w:hAnsi="Times New Roman" w:cs="Times New Roman"/>
          <w:sz w:val="24"/>
          <w:szCs w:val="24"/>
          <w:lang w:val="en-US"/>
        </w:rPr>
        <w:t xml:space="preserve"> back to the issuer upon a change of control in the issuer</w:t>
      </w:r>
      <w:r w:rsidR="00C53631">
        <w:rPr>
          <w:rFonts w:ascii="Times New Roman" w:hAnsi="Times New Roman" w:cs="Times New Roman"/>
          <w:sz w:val="24"/>
          <w:szCs w:val="24"/>
          <w:lang w:val="en-US"/>
        </w:rPr>
        <w:t>. Consistent with Nanda and Yun (1996), we find that t</w:t>
      </w:r>
      <w:r w:rsidR="00874BA3" w:rsidRPr="003101A0">
        <w:rPr>
          <w:rFonts w:ascii="Times New Roman" w:hAnsi="Times New Roman" w:cs="Times New Roman"/>
          <w:sz w:val="24"/>
          <w:szCs w:val="24"/>
          <w:lang w:val="en-US"/>
        </w:rPr>
        <w:t>his covenant type</w:t>
      </w:r>
      <w:r w:rsidR="00422B5E" w:rsidRPr="003101A0">
        <w:rPr>
          <w:rFonts w:ascii="Times New Roman" w:hAnsi="Times New Roman" w:cs="Times New Roman"/>
          <w:sz w:val="24"/>
          <w:szCs w:val="24"/>
          <w:lang w:val="en-US"/>
        </w:rPr>
        <w:t xml:space="preserve"> is included in significantly more convertibles than straight bonds. </w:t>
      </w:r>
      <w:r w:rsidR="00E41D85" w:rsidRPr="003101A0">
        <w:rPr>
          <w:rFonts w:ascii="Times New Roman" w:hAnsi="Times New Roman" w:cs="Times New Roman"/>
          <w:sz w:val="24"/>
          <w:szCs w:val="24"/>
          <w:lang w:val="en-US"/>
        </w:rPr>
        <w:t xml:space="preserve">The covenant percentages for our straight bond sample </w:t>
      </w:r>
      <w:r w:rsidR="009E2B7D">
        <w:rPr>
          <w:rFonts w:ascii="Times New Roman" w:hAnsi="Times New Roman" w:cs="Times New Roman"/>
          <w:sz w:val="24"/>
          <w:szCs w:val="24"/>
          <w:lang w:val="en-US"/>
        </w:rPr>
        <w:t>resemble</w:t>
      </w:r>
      <w:r w:rsidR="00E41D85" w:rsidRPr="003101A0">
        <w:rPr>
          <w:rFonts w:ascii="Times New Roman" w:hAnsi="Times New Roman" w:cs="Times New Roman"/>
          <w:sz w:val="24"/>
          <w:szCs w:val="24"/>
          <w:lang w:val="en-US"/>
        </w:rPr>
        <w:t xml:space="preserve"> those in a straight bond-focused </w:t>
      </w:r>
      <w:r w:rsidR="007778A5" w:rsidRPr="003101A0">
        <w:rPr>
          <w:rFonts w:ascii="Times New Roman" w:hAnsi="Times New Roman" w:cs="Times New Roman"/>
          <w:sz w:val="24"/>
          <w:szCs w:val="24"/>
          <w:lang w:val="en-US"/>
        </w:rPr>
        <w:t xml:space="preserve">covenant </w:t>
      </w:r>
      <w:r w:rsidR="00E41D85" w:rsidRPr="003101A0">
        <w:rPr>
          <w:rFonts w:ascii="Times New Roman" w:hAnsi="Times New Roman" w:cs="Times New Roman"/>
          <w:sz w:val="24"/>
          <w:szCs w:val="24"/>
          <w:lang w:val="en-US"/>
        </w:rPr>
        <w:t xml:space="preserve">study </w:t>
      </w:r>
      <w:r w:rsidR="00871C61" w:rsidRPr="003101A0">
        <w:rPr>
          <w:rFonts w:ascii="Times New Roman" w:hAnsi="Times New Roman" w:cs="Times New Roman"/>
          <w:sz w:val="24"/>
          <w:szCs w:val="24"/>
          <w:lang w:val="en-US"/>
        </w:rPr>
        <w:t xml:space="preserve">by </w:t>
      </w:r>
      <w:proofErr w:type="spellStart"/>
      <w:r w:rsidR="00E41D85" w:rsidRPr="003101A0">
        <w:rPr>
          <w:rFonts w:ascii="Times New Roman" w:hAnsi="Times New Roman" w:cs="Times New Roman"/>
          <w:sz w:val="24"/>
          <w:szCs w:val="24"/>
          <w:lang w:val="en-US"/>
        </w:rPr>
        <w:t>Reisel</w:t>
      </w:r>
      <w:proofErr w:type="spellEnd"/>
      <w:r w:rsidR="00E41D85" w:rsidRPr="003101A0">
        <w:rPr>
          <w:rFonts w:ascii="Times New Roman" w:hAnsi="Times New Roman" w:cs="Times New Roman"/>
          <w:sz w:val="24"/>
          <w:szCs w:val="24"/>
          <w:lang w:val="en-US"/>
        </w:rPr>
        <w:t xml:space="preserve"> (2014). </w:t>
      </w:r>
    </w:p>
    <w:p w14:paraId="0630DCA3" w14:textId="7D675E07" w:rsidR="009A6068" w:rsidRPr="003101A0" w:rsidRDefault="00111A92" w:rsidP="000B11D0">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Following</w:t>
      </w:r>
      <w:r w:rsidR="006C4A57" w:rsidRPr="003101A0">
        <w:rPr>
          <w:rFonts w:ascii="Times New Roman" w:hAnsi="Times New Roman" w:cs="Times New Roman"/>
          <w:sz w:val="24"/>
          <w:szCs w:val="24"/>
          <w:lang w:val="en-US"/>
        </w:rPr>
        <w:t xml:space="preserve"> Billet et al.</w:t>
      </w:r>
      <w:r w:rsidR="00560DC9" w:rsidRPr="003101A0">
        <w:rPr>
          <w:rFonts w:ascii="Times New Roman" w:hAnsi="Times New Roman" w:cs="Times New Roman"/>
          <w:sz w:val="24"/>
          <w:szCs w:val="24"/>
          <w:lang w:val="en-US"/>
        </w:rPr>
        <w:t xml:space="preserve"> (</w:t>
      </w:r>
      <w:r w:rsidR="00A92B96" w:rsidRPr="003101A0">
        <w:rPr>
          <w:rFonts w:ascii="Times New Roman" w:hAnsi="Times New Roman" w:cs="Times New Roman"/>
          <w:sz w:val="24"/>
          <w:szCs w:val="24"/>
          <w:lang w:val="en-US"/>
        </w:rPr>
        <w:t>2007</w:t>
      </w:r>
      <w:r w:rsidR="00560DC9" w:rsidRPr="003101A0">
        <w:rPr>
          <w:rFonts w:ascii="Times New Roman" w:hAnsi="Times New Roman" w:cs="Times New Roman"/>
          <w:sz w:val="24"/>
          <w:szCs w:val="24"/>
          <w:lang w:val="en-US"/>
        </w:rPr>
        <w:t xml:space="preserve">) and </w:t>
      </w:r>
      <w:proofErr w:type="spellStart"/>
      <w:r w:rsidR="004107AE" w:rsidRPr="003101A0">
        <w:rPr>
          <w:rFonts w:ascii="Times New Roman" w:hAnsi="Times New Roman" w:cs="Times New Roman"/>
          <w:sz w:val="24"/>
          <w:szCs w:val="24"/>
          <w:lang w:val="en-US"/>
        </w:rPr>
        <w:t>Helwege</w:t>
      </w:r>
      <w:proofErr w:type="spellEnd"/>
      <w:r w:rsidR="00560DC9" w:rsidRPr="003101A0">
        <w:rPr>
          <w:rFonts w:ascii="Times New Roman" w:hAnsi="Times New Roman" w:cs="Times New Roman"/>
          <w:sz w:val="24"/>
          <w:szCs w:val="24"/>
          <w:lang w:val="en-US"/>
        </w:rPr>
        <w:t xml:space="preserve"> et al. (</w:t>
      </w:r>
      <w:r w:rsidR="004107AE" w:rsidRPr="003101A0">
        <w:rPr>
          <w:rFonts w:ascii="Times New Roman" w:hAnsi="Times New Roman" w:cs="Times New Roman"/>
          <w:sz w:val="24"/>
          <w:szCs w:val="24"/>
          <w:lang w:val="en-US"/>
        </w:rPr>
        <w:t>2017), we</w:t>
      </w:r>
      <w:r w:rsidR="00874BA3" w:rsidRPr="003101A0">
        <w:rPr>
          <w:rFonts w:ascii="Times New Roman" w:hAnsi="Times New Roman" w:cs="Times New Roman"/>
          <w:sz w:val="24"/>
          <w:szCs w:val="24"/>
          <w:lang w:val="en-US"/>
        </w:rPr>
        <w:t xml:space="preserve"> </w:t>
      </w:r>
      <w:r w:rsidR="007778A5" w:rsidRPr="003101A0">
        <w:rPr>
          <w:rFonts w:ascii="Times New Roman" w:hAnsi="Times New Roman" w:cs="Times New Roman"/>
          <w:sz w:val="24"/>
          <w:szCs w:val="24"/>
          <w:lang w:val="en-US"/>
        </w:rPr>
        <w:t xml:space="preserve">subsequently </w:t>
      </w:r>
      <w:r w:rsidR="00393B16" w:rsidRPr="003101A0">
        <w:rPr>
          <w:rFonts w:ascii="Times New Roman" w:hAnsi="Times New Roman" w:cs="Times New Roman"/>
          <w:sz w:val="24"/>
          <w:szCs w:val="24"/>
          <w:lang w:val="en-US"/>
        </w:rPr>
        <w:t>construct</w:t>
      </w:r>
      <w:r w:rsidR="00874BA3" w:rsidRPr="003101A0">
        <w:rPr>
          <w:rFonts w:ascii="Times New Roman" w:hAnsi="Times New Roman" w:cs="Times New Roman"/>
          <w:sz w:val="24"/>
          <w:szCs w:val="24"/>
          <w:lang w:val="en-US"/>
        </w:rPr>
        <w:t xml:space="preserve"> an overall </w:t>
      </w:r>
      <w:r w:rsidR="00CE0DB1" w:rsidRPr="003101A0">
        <w:rPr>
          <w:rFonts w:ascii="Times New Roman" w:hAnsi="Times New Roman" w:cs="Times New Roman"/>
          <w:sz w:val="24"/>
          <w:szCs w:val="24"/>
          <w:lang w:val="en-US"/>
        </w:rPr>
        <w:t>covenant intensity index (</w:t>
      </w:r>
      <w:r w:rsidR="00CE0DB1" w:rsidRPr="003101A0">
        <w:rPr>
          <w:rFonts w:ascii="Times New Roman" w:hAnsi="Times New Roman" w:cs="Times New Roman"/>
          <w:i/>
          <w:sz w:val="24"/>
          <w:szCs w:val="24"/>
          <w:lang w:val="en-US"/>
        </w:rPr>
        <w:t>CI index</w:t>
      </w:r>
      <w:r w:rsidR="00CE0DB1" w:rsidRPr="003101A0">
        <w:rPr>
          <w:rFonts w:ascii="Times New Roman" w:hAnsi="Times New Roman" w:cs="Times New Roman"/>
          <w:sz w:val="24"/>
          <w:szCs w:val="24"/>
          <w:lang w:val="en-US"/>
        </w:rPr>
        <w:t>)</w:t>
      </w:r>
      <w:r w:rsidR="00871C61" w:rsidRPr="003101A0">
        <w:rPr>
          <w:rFonts w:ascii="Times New Roman" w:hAnsi="Times New Roman" w:cs="Times New Roman"/>
          <w:sz w:val="24"/>
          <w:szCs w:val="24"/>
          <w:lang w:val="en-US"/>
        </w:rPr>
        <w:t>,</w:t>
      </w:r>
      <w:r w:rsidR="007778A5" w:rsidRPr="003101A0">
        <w:rPr>
          <w:rFonts w:ascii="Times New Roman" w:hAnsi="Times New Roman" w:cs="Times New Roman"/>
          <w:sz w:val="24"/>
          <w:szCs w:val="24"/>
          <w:lang w:val="en-US"/>
        </w:rPr>
        <w:t xml:space="preserve"> providing an umbrella measure of the covenants included in a</w:t>
      </w:r>
      <w:r w:rsidR="008706E9" w:rsidRPr="003101A0">
        <w:rPr>
          <w:rFonts w:ascii="Times New Roman" w:hAnsi="Times New Roman" w:cs="Times New Roman"/>
          <w:sz w:val="24"/>
          <w:szCs w:val="24"/>
          <w:lang w:val="en-US"/>
        </w:rPr>
        <w:t xml:space="preserve"> bond</w:t>
      </w:r>
      <w:r w:rsidR="007778A5" w:rsidRPr="003101A0">
        <w:rPr>
          <w:rFonts w:ascii="Times New Roman" w:hAnsi="Times New Roman" w:cs="Times New Roman"/>
          <w:sz w:val="24"/>
          <w:szCs w:val="24"/>
          <w:lang w:val="en-US"/>
        </w:rPr>
        <w:t xml:space="preserve"> offering</w:t>
      </w:r>
      <w:r w:rsidR="00874BA3" w:rsidRPr="003101A0">
        <w:rPr>
          <w:rFonts w:ascii="Times New Roman" w:hAnsi="Times New Roman" w:cs="Times New Roman"/>
          <w:sz w:val="24"/>
          <w:szCs w:val="24"/>
          <w:lang w:val="en-US"/>
        </w:rPr>
        <w:t>. For each of the 15 covenant categories, we create a dummy variable</w:t>
      </w:r>
      <w:r w:rsidR="008D609C" w:rsidRPr="003101A0">
        <w:rPr>
          <w:rFonts w:ascii="Times New Roman" w:hAnsi="Times New Roman" w:cs="Times New Roman"/>
          <w:sz w:val="24"/>
          <w:szCs w:val="24"/>
          <w:lang w:val="en-US"/>
        </w:rPr>
        <w:t xml:space="preserve"> </w:t>
      </w:r>
      <w:r w:rsidR="00874BA3" w:rsidRPr="003101A0">
        <w:rPr>
          <w:rFonts w:ascii="Times New Roman" w:hAnsi="Times New Roman" w:cs="Times New Roman"/>
          <w:sz w:val="24"/>
          <w:szCs w:val="24"/>
          <w:lang w:val="en-US"/>
        </w:rPr>
        <w:t>equal to one if the (convertible) bond has at least one covenant in that category and zero otherwise. We then add these dummy variables and divide the</w:t>
      </w:r>
      <w:r w:rsidR="008D0429" w:rsidRPr="003101A0">
        <w:rPr>
          <w:rFonts w:ascii="Times New Roman" w:hAnsi="Times New Roman" w:cs="Times New Roman"/>
          <w:sz w:val="24"/>
          <w:szCs w:val="24"/>
          <w:lang w:val="en-US"/>
        </w:rPr>
        <w:t>ir</w:t>
      </w:r>
      <w:r w:rsidR="00874BA3" w:rsidRPr="003101A0">
        <w:rPr>
          <w:rFonts w:ascii="Times New Roman" w:hAnsi="Times New Roman" w:cs="Times New Roman"/>
          <w:sz w:val="24"/>
          <w:szCs w:val="24"/>
          <w:lang w:val="en-US"/>
        </w:rPr>
        <w:t xml:space="preserve"> sum by 15. </w:t>
      </w:r>
      <w:r w:rsidR="001D0A22" w:rsidRPr="003101A0">
        <w:rPr>
          <w:rFonts w:ascii="Times New Roman" w:hAnsi="Times New Roman" w:cs="Times New Roman"/>
          <w:sz w:val="24"/>
          <w:szCs w:val="24"/>
          <w:lang w:val="en-US"/>
        </w:rPr>
        <w:t>Our index thus</w:t>
      </w:r>
      <w:r w:rsidR="00393B16" w:rsidRPr="003101A0">
        <w:rPr>
          <w:rFonts w:ascii="Times New Roman" w:hAnsi="Times New Roman" w:cs="Times New Roman"/>
          <w:sz w:val="24"/>
          <w:szCs w:val="24"/>
          <w:lang w:val="en-US"/>
        </w:rPr>
        <w:t xml:space="preserve"> gives equal weight to the 15 categories</w:t>
      </w:r>
      <w:r w:rsidR="00931206" w:rsidRPr="003101A0">
        <w:rPr>
          <w:rFonts w:ascii="Times New Roman" w:hAnsi="Times New Roman" w:cs="Times New Roman"/>
          <w:sz w:val="24"/>
          <w:szCs w:val="24"/>
          <w:lang w:val="en-US"/>
        </w:rPr>
        <w:t>, making it easy to construct and interpret</w:t>
      </w:r>
      <w:r w:rsidR="00393B16" w:rsidRPr="003101A0">
        <w:rPr>
          <w:rFonts w:ascii="Times New Roman" w:hAnsi="Times New Roman" w:cs="Times New Roman"/>
          <w:sz w:val="24"/>
          <w:szCs w:val="24"/>
          <w:lang w:val="en-US"/>
        </w:rPr>
        <w:t xml:space="preserve"> (</w:t>
      </w:r>
      <w:proofErr w:type="spellStart"/>
      <w:r w:rsidR="00393B16" w:rsidRPr="003101A0">
        <w:rPr>
          <w:rFonts w:ascii="Times New Roman" w:hAnsi="Times New Roman" w:cs="Times New Roman"/>
          <w:sz w:val="24"/>
          <w:szCs w:val="24"/>
          <w:lang w:val="en-US"/>
        </w:rPr>
        <w:t>Chava</w:t>
      </w:r>
      <w:proofErr w:type="spellEnd"/>
      <w:r w:rsidR="00393B16" w:rsidRPr="003101A0">
        <w:rPr>
          <w:rFonts w:ascii="Times New Roman" w:hAnsi="Times New Roman" w:cs="Times New Roman"/>
          <w:sz w:val="24"/>
          <w:szCs w:val="24"/>
          <w:lang w:val="en-US"/>
        </w:rPr>
        <w:t xml:space="preserve"> et al., </w:t>
      </w:r>
      <w:r w:rsidR="005A335B" w:rsidRPr="003101A0">
        <w:rPr>
          <w:rFonts w:ascii="Times New Roman" w:hAnsi="Times New Roman" w:cs="Times New Roman"/>
          <w:sz w:val="24"/>
          <w:szCs w:val="24"/>
          <w:lang w:val="en-US"/>
        </w:rPr>
        <w:t>20</w:t>
      </w:r>
      <w:r w:rsidR="00195913" w:rsidRPr="003101A0">
        <w:rPr>
          <w:rFonts w:ascii="Times New Roman" w:hAnsi="Times New Roman" w:cs="Times New Roman"/>
          <w:sz w:val="24"/>
          <w:szCs w:val="24"/>
          <w:lang w:val="en-US"/>
        </w:rPr>
        <w:t>10</w:t>
      </w:r>
      <w:r w:rsidR="00931206" w:rsidRPr="003101A0">
        <w:rPr>
          <w:rFonts w:ascii="Times New Roman" w:hAnsi="Times New Roman" w:cs="Times New Roman"/>
          <w:sz w:val="24"/>
          <w:szCs w:val="24"/>
          <w:lang w:val="en-US"/>
        </w:rPr>
        <w:t>; Bradley and Roberts, 2015</w:t>
      </w:r>
      <w:r w:rsidR="00393B16" w:rsidRPr="003101A0">
        <w:rPr>
          <w:rFonts w:ascii="Times New Roman" w:hAnsi="Times New Roman" w:cs="Times New Roman"/>
          <w:sz w:val="24"/>
          <w:szCs w:val="24"/>
          <w:lang w:val="en-US"/>
        </w:rPr>
        <w:t xml:space="preserve">). The resulting </w:t>
      </w:r>
      <w:r w:rsidR="00CE0DB1" w:rsidRPr="003101A0">
        <w:rPr>
          <w:rFonts w:ascii="Times New Roman" w:hAnsi="Times New Roman" w:cs="Times New Roman"/>
          <w:i/>
          <w:sz w:val="24"/>
          <w:szCs w:val="24"/>
          <w:lang w:val="en-US"/>
        </w:rPr>
        <w:t>CI</w:t>
      </w:r>
      <w:r w:rsidR="00874BA3" w:rsidRPr="003101A0">
        <w:rPr>
          <w:rFonts w:ascii="Times New Roman" w:hAnsi="Times New Roman" w:cs="Times New Roman"/>
          <w:i/>
          <w:sz w:val="24"/>
          <w:szCs w:val="24"/>
          <w:lang w:val="en-US"/>
        </w:rPr>
        <w:t xml:space="preserve"> index</w:t>
      </w:r>
      <w:r w:rsidR="00874BA3" w:rsidRPr="003101A0">
        <w:rPr>
          <w:rFonts w:ascii="Times New Roman" w:hAnsi="Times New Roman" w:cs="Times New Roman"/>
          <w:sz w:val="24"/>
          <w:szCs w:val="24"/>
          <w:lang w:val="en-US"/>
        </w:rPr>
        <w:t xml:space="preserve"> </w:t>
      </w:r>
      <w:r w:rsidR="00393B16" w:rsidRPr="003101A0">
        <w:rPr>
          <w:rFonts w:ascii="Times New Roman" w:hAnsi="Times New Roman" w:cs="Times New Roman"/>
          <w:sz w:val="24"/>
          <w:szCs w:val="24"/>
          <w:lang w:val="en-US"/>
        </w:rPr>
        <w:t>ranges</w:t>
      </w:r>
      <w:r w:rsidR="00874BA3" w:rsidRPr="003101A0">
        <w:rPr>
          <w:rFonts w:ascii="Times New Roman" w:hAnsi="Times New Roman" w:cs="Times New Roman"/>
          <w:sz w:val="24"/>
          <w:szCs w:val="24"/>
          <w:lang w:val="en-US"/>
        </w:rPr>
        <w:t xml:space="preserve"> from zero, implying no covenant protection at all, to one, implying complete covenant protection. As documented in Table 2, Panel A, we find </w:t>
      </w:r>
      <w:r w:rsidR="00393B16" w:rsidRPr="003101A0">
        <w:rPr>
          <w:rFonts w:ascii="Times New Roman" w:hAnsi="Times New Roman" w:cs="Times New Roman"/>
          <w:sz w:val="24"/>
          <w:szCs w:val="24"/>
          <w:lang w:val="en-US"/>
        </w:rPr>
        <w:t>an</w:t>
      </w:r>
      <w:r w:rsidR="00874BA3" w:rsidRPr="003101A0">
        <w:rPr>
          <w:rFonts w:ascii="Times New Roman" w:hAnsi="Times New Roman" w:cs="Times New Roman"/>
          <w:sz w:val="24"/>
          <w:szCs w:val="24"/>
          <w:lang w:val="en-US"/>
        </w:rPr>
        <w:t xml:space="preserve"> average value of the overall </w:t>
      </w:r>
      <w:r w:rsidR="00CE0DB1" w:rsidRPr="003101A0">
        <w:rPr>
          <w:rFonts w:ascii="Times New Roman" w:hAnsi="Times New Roman" w:cs="Times New Roman"/>
          <w:i/>
          <w:sz w:val="24"/>
          <w:szCs w:val="24"/>
          <w:lang w:val="en-US"/>
        </w:rPr>
        <w:t>CI index</w:t>
      </w:r>
      <w:r w:rsidR="00874BA3" w:rsidRPr="003101A0">
        <w:rPr>
          <w:rFonts w:ascii="Times New Roman" w:hAnsi="Times New Roman" w:cs="Times New Roman"/>
          <w:sz w:val="24"/>
          <w:szCs w:val="24"/>
          <w:lang w:val="en-US"/>
        </w:rPr>
        <w:t xml:space="preserve"> </w:t>
      </w:r>
      <w:r w:rsidR="00393B16" w:rsidRPr="003101A0">
        <w:rPr>
          <w:rFonts w:ascii="Times New Roman" w:hAnsi="Times New Roman" w:cs="Times New Roman"/>
          <w:sz w:val="24"/>
          <w:szCs w:val="24"/>
          <w:lang w:val="en-US"/>
        </w:rPr>
        <w:t>of</w:t>
      </w:r>
      <w:r w:rsidR="00874BA3" w:rsidRPr="003101A0">
        <w:rPr>
          <w:rFonts w:ascii="Times New Roman" w:hAnsi="Times New Roman" w:cs="Times New Roman"/>
          <w:sz w:val="24"/>
          <w:szCs w:val="24"/>
          <w:lang w:val="en-US"/>
        </w:rPr>
        <w:t xml:space="preserve"> </w:t>
      </w:r>
      <w:r w:rsidR="001D0A22" w:rsidRPr="003101A0">
        <w:rPr>
          <w:rFonts w:ascii="Times New Roman" w:hAnsi="Times New Roman" w:cs="Times New Roman"/>
          <w:sz w:val="24"/>
          <w:szCs w:val="24"/>
          <w:lang w:val="en-US"/>
        </w:rPr>
        <w:t>0.1645</w:t>
      </w:r>
      <w:r w:rsidR="00874BA3" w:rsidRPr="003101A0">
        <w:rPr>
          <w:rFonts w:ascii="Times New Roman" w:hAnsi="Times New Roman" w:cs="Times New Roman"/>
          <w:sz w:val="24"/>
          <w:szCs w:val="24"/>
          <w:lang w:val="en-US"/>
        </w:rPr>
        <w:t xml:space="preserve"> for convertibles, significantly lower than the average index value of </w:t>
      </w:r>
      <w:r w:rsidR="001D0A22" w:rsidRPr="003101A0">
        <w:rPr>
          <w:rFonts w:ascii="Times New Roman" w:hAnsi="Times New Roman" w:cs="Times New Roman"/>
          <w:sz w:val="24"/>
          <w:szCs w:val="24"/>
          <w:lang w:val="en-US"/>
        </w:rPr>
        <w:t>0.3058</w:t>
      </w:r>
      <w:r w:rsidR="00874BA3" w:rsidRPr="003101A0">
        <w:rPr>
          <w:rFonts w:ascii="Times New Roman" w:hAnsi="Times New Roman" w:cs="Times New Roman"/>
          <w:sz w:val="24"/>
          <w:szCs w:val="24"/>
          <w:lang w:val="en-US"/>
        </w:rPr>
        <w:t xml:space="preserve"> for straight bonds. </w:t>
      </w:r>
      <w:r w:rsidR="00CE0DB1" w:rsidRPr="003101A0">
        <w:rPr>
          <w:rFonts w:ascii="Times New Roman" w:hAnsi="Times New Roman" w:cs="Times New Roman"/>
          <w:sz w:val="24"/>
          <w:szCs w:val="24"/>
          <w:lang w:val="en-US"/>
        </w:rPr>
        <w:t xml:space="preserve">We also construct subindices of covenant protection for each of the four main groups, following a similar approach. </w:t>
      </w:r>
      <w:r w:rsidR="00874BA3" w:rsidRPr="003101A0">
        <w:rPr>
          <w:rFonts w:ascii="Times New Roman" w:hAnsi="Times New Roman" w:cs="Times New Roman"/>
          <w:sz w:val="24"/>
          <w:szCs w:val="24"/>
          <w:lang w:val="en-US"/>
        </w:rPr>
        <w:t>T</w:t>
      </w:r>
      <w:r w:rsidR="008B2CBB" w:rsidRPr="003101A0">
        <w:rPr>
          <w:rFonts w:ascii="Times New Roman" w:hAnsi="Times New Roman" w:cs="Times New Roman"/>
          <w:sz w:val="24"/>
          <w:szCs w:val="24"/>
          <w:lang w:val="en-US"/>
        </w:rPr>
        <w:t xml:space="preserve">he </w:t>
      </w:r>
      <w:r w:rsidR="00393B16" w:rsidRPr="003101A0">
        <w:rPr>
          <w:rFonts w:ascii="Times New Roman" w:hAnsi="Times New Roman" w:cs="Times New Roman"/>
          <w:sz w:val="24"/>
          <w:szCs w:val="24"/>
          <w:lang w:val="en-US"/>
        </w:rPr>
        <w:t>sub</w:t>
      </w:r>
      <w:r w:rsidR="008B2CBB" w:rsidRPr="003101A0">
        <w:rPr>
          <w:rFonts w:ascii="Times New Roman" w:hAnsi="Times New Roman" w:cs="Times New Roman"/>
          <w:sz w:val="24"/>
          <w:szCs w:val="24"/>
          <w:lang w:val="en-US"/>
        </w:rPr>
        <w:t xml:space="preserve">indices capturing investment, payout, </w:t>
      </w:r>
      <w:r w:rsidR="001D0A22" w:rsidRPr="003101A0">
        <w:rPr>
          <w:rFonts w:ascii="Times New Roman" w:hAnsi="Times New Roman" w:cs="Times New Roman"/>
          <w:sz w:val="24"/>
          <w:szCs w:val="24"/>
          <w:lang w:val="en-US"/>
        </w:rPr>
        <w:t xml:space="preserve">and </w:t>
      </w:r>
      <w:r w:rsidR="008B2CBB" w:rsidRPr="003101A0">
        <w:rPr>
          <w:rFonts w:ascii="Times New Roman" w:hAnsi="Times New Roman" w:cs="Times New Roman"/>
          <w:sz w:val="24"/>
          <w:szCs w:val="24"/>
          <w:lang w:val="en-US"/>
        </w:rPr>
        <w:t>financing</w:t>
      </w:r>
      <w:r w:rsidR="001D0A22" w:rsidRPr="003101A0">
        <w:rPr>
          <w:rFonts w:ascii="Times New Roman" w:hAnsi="Times New Roman" w:cs="Times New Roman"/>
          <w:sz w:val="24"/>
          <w:szCs w:val="24"/>
          <w:lang w:val="en-US"/>
        </w:rPr>
        <w:t xml:space="preserve"> </w:t>
      </w:r>
      <w:r w:rsidR="008B2CBB" w:rsidRPr="003101A0">
        <w:rPr>
          <w:rFonts w:ascii="Times New Roman" w:hAnsi="Times New Roman" w:cs="Times New Roman"/>
          <w:sz w:val="24"/>
          <w:szCs w:val="24"/>
          <w:lang w:val="en-US"/>
        </w:rPr>
        <w:t>c</w:t>
      </w:r>
      <w:r w:rsidR="009A6068" w:rsidRPr="003101A0">
        <w:rPr>
          <w:rFonts w:ascii="Times New Roman" w:hAnsi="Times New Roman" w:cs="Times New Roman"/>
          <w:sz w:val="24"/>
          <w:szCs w:val="24"/>
          <w:lang w:val="en-US"/>
        </w:rPr>
        <w:t>ovenant intensities</w:t>
      </w:r>
      <w:r w:rsidR="008B2CBB" w:rsidRPr="003101A0">
        <w:rPr>
          <w:rFonts w:ascii="Times New Roman" w:hAnsi="Times New Roman" w:cs="Times New Roman"/>
          <w:sz w:val="24"/>
          <w:szCs w:val="24"/>
          <w:lang w:val="en-US"/>
        </w:rPr>
        <w:t xml:space="preserve"> are significantly lower for convertibles than for straight bonds</w:t>
      </w:r>
      <w:r w:rsidR="001D0A22" w:rsidRPr="003101A0">
        <w:rPr>
          <w:rFonts w:ascii="Times New Roman" w:hAnsi="Times New Roman" w:cs="Times New Roman"/>
          <w:sz w:val="24"/>
          <w:szCs w:val="24"/>
          <w:lang w:val="en-US"/>
        </w:rPr>
        <w:t xml:space="preserve">, while the subindex capturing event-driven restrictions is higher for convertibles due to their higher frequency of </w:t>
      </w:r>
      <w:r w:rsidR="0048207C" w:rsidRPr="003101A0">
        <w:rPr>
          <w:rFonts w:ascii="Times New Roman" w:hAnsi="Times New Roman" w:cs="Times New Roman"/>
          <w:sz w:val="24"/>
          <w:szCs w:val="24"/>
          <w:lang w:val="en-US"/>
        </w:rPr>
        <w:t xml:space="preserve">poison put </w:t>
      </w:r>
      <w:r w:rsidR="001D0A22" w:rsidRPr="003101A0">
        <w:rPr>
          <w:rFonts w:ascii="Times New Roman" w:hAnsi="Times New Roman" w:cs="Times New Roman"/>
          <w:sz w:val="24"/>
          <w:szCs w:val="24"/>
          <w:lang w:val="en-US"/>
        </w:rPr>
        <w:lastRenderedPageBreak/>
        <w:t>provisions</w:t>
      </w:r>
      <w:r w:rsidR="008B2CBB" w:rsidRPr="003101A0">
        <w:rPr>
          <w:rFonts w:ascii="Times New Roman" w:hAnsi="Times New Roman" w:cs="Times New Roman"/>
          <w:sz w:val="24"/>
          <w:szCs w:val="24"/>
          <w:lang w:val="en-US"/>
        </w:rPr>
        <w:t xml:space="preserve">. </w:t>
      </w:r>
      <w:r w:rsidR="00CD40D0" w:rsidRPr="003101A0">
        <w:rPr>
          <w:rFonts w:ascii="Times New Roman" w:hAnsi="Times New Roman" w:cs="Times New Roman"/>
          <w:sz w:val="24"/>
          <w:szCs w:val="24"/>
          <w:lang w:val="en-US"/>
        </w:rPr>
        <w:t xml:space="preserve">Overall, we conclude that Panel A indicates a lower prevalence of covenants for convertibles than for straight bonds, consistent with </w:t>
      </w:r>
      <w:r w:rsidR="00F942EB" w:rsidRPr="003101A0">
        <w:rPr>
          <w:rFonts w:ascii="Times New Roman" w:hAnsi="Times New Roman" w:cs="Times New Roman"/>
          <w:i/>
          <w:iCs/>
          <w:sz w:val="24"/>
          <w:szCs w:val="24"/>
          <w:lang w:val="en-US"/>
        </w:rPr>
        <w:t>P</w:t>
      </w:r>
      <w:r w:rsidR="003E2927" w:rsidRPr="003101A0">
        <w:rPr>
          <w:rFonts w:ascii="Times New Roman" w:hAnsi="Times New Roman" w:cs="Times New Roman"/>
          <w:i/>
          <w:iCs/>
          <w:sz w:val="24"/>
          <w:szCs w:val="24"/>
          <w:vertAlign w:val="subscript"/>
          <w:lang w:val="en-US"/>
        </w:rPr>
        <w:t>1</w:t>
      </w:r>
      <w:r w:rsidR="00CD40D0" w:rsidRPr="003101A0">
        <w:rPr>
          <w:rFonts w:ascii="Times New Roman" w:hAnsi="Times New Roman" w:cs="Times New Roman"/>
          <w:sz w:val="24"/>
          <w:szCs w:val="24"/>
          <w:lang w:val="en-US"/>
        </w:rPr>
        <w:t xml:space="preserve">. </w:t>
      </w:r>
    </w:p>
    <w:p w14:paraId="1B8D00DB" w14:textId="018F40FC" w:rsidR="00F74F87" w:rsidRPr="003101A0" w:rsidRDefault="009A6068" w:rsidP="000B11D0">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Table 2, Panel B shows correlations between the</w:t>
      </w:r>
      <w:r w:rsidR="00943979" w:rsidRPr="003101A0">
        <w:rPr>
          <w:rFonts w:ascii="Times New Roman" w:hAnsi="Times New Roman" w:cs="Times New Roman"/>
          <w:sz w:val="24"/>
          <w:szCs w:val="24"/>
          <w:lang w:val="en-US"/>
        </w:rPr>
        <w:t xml:space="preserve"> subindices for the</w:t>
      </w:r>
      <w:r w:rsidRPr="003101A0">
        <w:rPr>
          <w:rFonts w:ascii="Times New Roman" w:hAnsi="Times New Roman" w:cs="Times New Roman"/>
          <w:sz w:val="24"/>
          <w:szCs w:val="24"/>
          <w:lang w:val="en-US"/>
        </w:rPr>
        <w:t xml:space="preserve"> </w:t>
      </w:r>
      <w:r w:rsidR="00A635AD" w:rsidRPr="003101A0">
        <w:rPr>
          <w:rFonts w:ascii="Times New Roman" w:hAnsi="Times New Roman" w:cs="Times New Roman"/>
          <w:sz w:val="24"/>
          <w:szCs w:val="24"/>
          <w:lang w:val="en-US"/>
        </w:rPr>
        <w:t>four</w:t>
      </w:r>
      <w:r w:rsidR="00CB0D8D" w:rsidRPr="003101A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 xml:space="preserve">covenant </w:t>
      </w:r>
      <w:r w:rsidR="00CB0D8D" w:rsidRPr="003101A0">
        <w:rPr>
          <w:rFonts w:ascii="Times New Roman" w:hAnsi="Times New Roman" w:cs="Times New Roman"/>
          <w:sz w:val="24"/>
          <w:szCs w:val="24"/>
          <w:lang w:val="en-US"/>
        </w:rPr>
        <w:t>groups</w:t>
      </w:r>
      <w:r w:rsidR="00A635AD" w:rsidRPr="003101A0">
        <w:rPr>
          <w:rFonts w:ascii="Times New Roman" w:hAnsi="Times New Roman" w:cs="Times New Roman"/>
          <w:sz w:val="24"/>
          <w:szCs w:val="24"/>
          <w:lang w:val="en-US"/>
        </w:rPr>
        <w:t xml:space="preserve">. </w:t>
      </w:r>
      <w:r w:rsidR="00791B36" w:rsidRPr="003101A0">
        <w:rPr>
          <w:rFonts w:ascii="Times New Roman" w:hAnsi="Times New Roman" w:cs="Times New Roman"/>
          <w:sz w:val="24"/>
          <w:szCs w:val="24"/>
          <w:lang w:val="en-US"/>
        </w:rPr>
        <w:t xml:space="preserve">Unsurprisingly and </w:t>
      </w:r>
      <w:r w:rsidRPr="003101A0">
        <w:rPr>
          <w:rFonts w:ascii="Times New Roman" w:hAnsi="Times New Roman" w:cs="Times New Roman"/>
          <w:sz w:val="24"/>
          <w:szCs w:val="24"/>
          <w:lang w:val="en-US"/>
        </w:rPr>
        <w:t xml:space="preserve">consistent with </w:t>
      </w:r>
      <w:proofErr w:type="spellStart"/>
      <w:r w:rsidRPr="003101A0">
        <w:rPr>
          <w:rFonts w:ascii="Times New Roman" w:hAnsi="Times New Roman" w:cs="Times New Roman"/>
          <w:sz w:val="24"/>
          <w:szCs w:val="24"/>
          <w:lang w:val="en-US"/>
        </w:rPr>
        <w:t>Reisel</w:t>
      </w:r>
      <w:proofErr w:type="spellEnd"/>
      <w:r w:rsidRPr="003101A0">
        <w:rPr>
          <w:rFonts w:ascii="Times New Roman" w:hAnsi="Times New Roman" w:cs="Times New Roman"/>
          <w:sz w:val="24"/>
          <w:szCs w:val="24"/>
          <w:lang w:val="en-US"/>
        </w:rPr>
        <w:t xml:space="preserve"> (2014), we find </w:t>
      </w:r>
      <w:r w:rsidR="00CB0D8D" w:rsidRPr="003101A0">
        <w:rPr>
          <w:rFonts w:ascii="Times New Roman" w:hAnsi="Times New Roman" w:cs="Times New Roman"/>
          <w:sz w:val="24"/>
          <w:szCs w:val="24"/>
          <w:lang w:val="en-US"/>
        </w:rPr>
        <w:t xml:space="preserve">significantly positive </w:t>
      </w:r>
      <w:r w:rsidR="00791B36" w:rsidRPr="003101A0">
        <w:rPr>
          <w:rFonts w:ascii="Times New Roman" w:hAnsi="Times New Roman" w:cs="Times New Roman"/>
          <w:sz w:val="24"/>
          <w:szCs w:val="24"/>
          <w:lang w:val="en-US"/>
        </w:rPr>
        <w:t>pairwise Pearson</w:t>
      </w:r>
      <w:r w:rsidRPr="003101A0">
        <w:rPr>
          <w:rFonts w:ascii="Times New Roman" w:hAnsi="Times New Roman" w:cs="Times New Roman"/>
          <w:sz w:val="24"/>
          <w:szCs w:val="24"/>
          <w:lang w:val="en-US"/>
        </w:rPr>
        <w:t xml:space="preserve"> correlation</w:t>
      </w:r>
      <w:r w:rsidR="00791B36" w:rsidRPr="003101A0">
        <w:rPr>
          <w:rFonts w:ascii="Times New Roman" w:hAnsi="Times New Roman" w:cs="Times New Roman"/>
          <w:sz w:val="24"/>
          <w:szCs w:val="24"/>
          <w:lang w:val="en-US"/>
        </w:rPr>
        <w:t>s</w:t>
      </w:r>
      <w:r w:rsidRPr="003101A0">
        <w:rPr>
          <w:rFonts w:ascii="Times New Roman" w:hAnsi="Times New Roman" w:cs="Times New Roman"/>
          <w:sz w:val="24"/>
          <w:szCs w:val="24"/>
          <w:lang w:val="en-US"/>
        </w:rPr>
        <w:t xml:space="preserve"> between </w:t>
      </w:r>
      <w:r w:rsidR="00791B36" w:rsidRPr="003101A0">
        <w:rPr>
          <w:rFonts w:ascii="Times New Roman" w:hAnsi="Times New Roman" w:cs="Times New Roman"/>
          <w:sz w:val="24"/>
          <w:szCs w:val="24"/>
          <w:lang w:val="en-US"/>
        </w:rPr>
        <w:t>the four main groups</w:t>
      </w:r>
      <w:r w:rsidR="00CB0D8D" w:rsidRPr="003101A0">
        <w:rPr>
          <w:rFonts w:ascii="Times New Roman" w:hAnsi="Times New Roman" w:cs="Times New Roman"/>
          <w:sz w:val="24"/>
          <w:szCs w:val="24"/>
          <w:lang w:val="en-US"/>
        </w:rPr>
        <w:t>, with correlation coefficients ranging from 0.07 to 0.58.</w:t>
      </w:r>
    </w:p>
    <w:p w14:paraId="4AA24305" w14:textId="0126782C" w:rsidR="00F74F87" w:rsidRPr="003101A0" w:rsidRDefault="00A95BC6" w:rsidP="00493F00">
      <w:pPr>
        <w:pStyle w:val="ListParagraph"/>
        <w:numPr>
          <w:ilvl w:val="1"/>
          <w:numId w:val="4"/>
        </w:numPr>
        <w:spacing w:after="0" w:line="480" w:lineRule="auto"/>
        <w:ind w:left="426" w:hanging="426"/>
        <w:rPr>
          <w:rFonts w:ascii="Times New Roman" w:hAnsi="Times New Roman" w:cs="Times New Roman"/>
          <w:i/>
          <w:sz w:val="24"/>
          <w:szCs w:val="24"/>
          <w:lang w:val="en-US"/>
        </w:rPr>
      </w:pPr>
      <w:r w:rsidRPr="003101A0">
        <w:rPr>
          <w:rFonts w:ascii="Times New Roman" w:hAnsi="Times New Roman" w:cs="Times New Roman"/>
          <w:i/>
          <w:sz w:val="24"/>
          <w:szCs w:val="24"/>
          <w:lang w:val="en-US"/>
        </w:rPr>
        <w:t>Explanatory variables</w:t>
      </w:r>
    </w:p>
    <w:p w14:paraId="239B33BB" w14:textId="5A668F87" w:rsidR="00A44FC7" w:rsidRPr="003101A0" w:rsidRDefault="00871C61" w:rsidP="004E5ACF">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This section justifies and describes</w:t>
      </w:r>
      <w:r w:rsidR="0049747B" w:rsidRPr="003101A0">
        <w:rPr>
          <w:rFonts w:ascii="Times New Roman" w:hAnsi="Times New Roman" w:cs="Times New Roman"/>
          <w:sz w:val="24"/>
          <w:szCs w:val="24"/>
          <w:lang w:val="en-US"/>
        </w:rPr>
        <w:t xml:space="preserve"> </w:t>
      </w:r>
      <w:r w:rsidR="004C24AA" w:rsidRPr="003101A0">
        <w:rPr>
          <w:rFonts w:ascii="Times New Roman" w:hAnsi="Times New Roman" w:cs="Times New Roman"/>
          <w:sz w:val="24"/>
          <w:szCs w:val="24"/>
          <w:lang w:val="en-US"/>
        </w:rPr>
        <w:t xml:space="preserve">the control variables used in </w:t>
      </w:r>
      <w:r w:rsidR="00A44FC7" w:rsidRPr="003101A0">
        <w:rPr>
          <w:rFonts w:ascii="Times New Roman" w:hAnsi="Times New Roman" w:cs="Times New Roman"/>
          <w:sz w:val="24"/>
          <w:szCs w:val="24"/>
          <w:lang w:val="en-US"/>
        </w:rPr>
        <w:t xml:space="preserve">the </w:t>
      </w:r>
      <w:r w:rsidR="00E34331">
        <w:rPr>
          <w:rFonts w:ascii="Times New Roman" w:hAnsi="Times New Roman" w:cs="Times New Roman"/>
          <w:sz w:val="24"/>
          <w:szCs w:val="24"/>
          <w:lang w:val="en-US"/>
        </w:rPr>
        <w:t>covenant intensity</w:t>
      </w:r>
      <w:r w:rsidR="00E34331" w:rsidRPr="003101A0">
        <w:rPr>
          <w:rFonts w:ascii="Times New Roman" w:hAnsi="Times New Roman" w:cs="Times New Roman"/>
          <w:sz w:val="24"/>
          <w:szCs w:val="24"/>
          <w:lang w:val="en-US"/>
        </w:rPr>
        <w:t xml:space="preserve"> </w:t>
      </w:r>
      <w:r w:rsidR="004C24AA" w:rsidRPr="003101A0">
        <w:rPr>
          <w:rFonts w:ascii="Times New Roman" w:hAnsi="Times New Roman" w:cs="Times New Roman"/>
          <w:sz w:val="24"/>
          <w:szCs w:val="24"/>
          <w:lang w:val="en-US"/>
        </w:rPr>
        <w:t xml:space="preserve">analyses. The Appendix provides detailed definitions of all variables and their sources. </w:t>
      </w:r>
    </w:p>
    <w:p w14:paraId="7C592950" w14:textId="466EC5DC" w:rsidR="00A44FC7" w:rsidRPr="003101A0" w:rsidRDefault="00A44FC7" w:rsidP="004C60D6">
      <w:pPr>
        <w:spacing w:after="0" w:line="480" w:lineRule="auto"/>
        <w:ind w:firstLine="426"/>
        <w:jc w:val="both"/>
        <w:rPr>
          <w:rFonts w:ascii="Times New Roman" w:hAnsi="Times New Roman" w:cs="Times New Roman"/>
          <w:sz w:val="24"/>
          <w:szCs w:val="24"/>
          <w:u w:val="single"/>
          <w:lang w:val="en-US"/>
        </w:rPr>
      </w:pPr>
      <w:r w:rsidRPr="003101A0">
        <w:rPr>
          <w:rFonts w:ascii="Times New Roman" w:hAnsi="Times New Roman" w:cs="Times New Roman"/>
          <w:sz w:val="24"/>
          <w:szCs w:val="24"/>
          <w:u w:val="single"/>
          <w:lang w:val="en-US"/>
        </w:rPr>
        <w:t>Issuer characteristics</w:t>
      </w:r>
    </w:p>
    <w:p w14:paraId="2755A36B" w14:textId="144FB698" w:rsidR="00F12D7E" w:rsidRPr="003101A0" w:rsidRDefault="009E2B7D" w:rsidP="004C60D6">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We measure a</w:t>
      </w:r>
      <w:r w:rsidR="004C24AA" w:rsidRPr="003101A0">
        <w:rPr>
          <w:rFonts w:ascii="Times New Roman" w:hAnsi="Times New Roman" w:cs="Times New Roman"/>
          <w:sz w:val="24"/>
          <w:szCs w:val="24"/>
          <w:lang w:val="en-US"/>
        </w:rPr>
        <w:t xml:space="preserve">ll issuer characteristics at the fiscal year-end preceding the bond’s </w:t>
      </w:r>
      <w:r w:rsidR="00002A58" w:rsidRPr="003101A0">
        <w:rPr>
          <w:rFonts w:ascii="Times New Roman" w:hAnsi="Times New Roman" w:cs="Times New Roman"/>
          <w:sz w:val="24"/>
          <w:szCs w:val="24"/>
          <w:lang w:val="en-US"/>
        </w:rPr>
        <w:t>iss</w:t>
      </w:r>
      <w:r w:rsidR="003A7E37">
        <w:rPr>
          <w:rFonts w:ascii="Times New Roman" w:hAnsi="Times New Roman" w:cs="Times New Roman"/>
          <w:sz w:val="24"/>
          <w:szCs w:val="24"/>
          <w:lang w:val="en-US"/>
        </w:rPr>
        <w:t>ue</w:t>
      </w:r>
      <w:r w:rsidR="004C24AA" w:rsidRPr="003101A0">
        <w:rPr>
          <w:rFonts w:ascii="Times New Roman" w:hAnsi="Times New Roman" w:cs="Times New Roman"/>
          <w:sz w:val="24"/>
          <w:szCs w:val="24"/>
          <w:lang w:val="en-US"/>
        </w:rPr>
        <w:t xml:space="preserve"> date (obtained from </w:t>
      </w:r>
      <w:proofErr w:type="spellStart"/>
      <w:r w:rsidR="00F17857">
        <w:rPr>
          <w:rFonts w:ascii="Times New Roman" w:hAnsi="Times New Roman" w:cs="Times New Roman"/>
          <w:sz w:val="24"/>
          <w:szCs w:val="24"/>
          <w:lang w:val="en-US"/>
        </w:rPr>
        <w:t>Mergent</w:t>
      </w:r>
      <w:proofErr w:type="spellEnd"/>
      <w:r w:rsidR="00F17857">
        <w:rPr>
          <w:rFonts w:ascii="Times New Roman" w:hAnsi="Times New Roman" w:cs="Times New Roman"/>
          <w:sz w:val="24"/>
          <w:szCs w:val="24"/>
          <w:lang w:val="en-US"/>
        </w:rPr>
        <w:t xml:space="preserve"> </w:t>
      </w:r>
      <w:r w:rsidR="004C24AA" w:rsidRPr="003101A0">
        <w:rPr>
          <w:rFonts w:ascii="Times New Roman" w:hAnsi="Times New Roman" w:cs="Times New Roman"/>
          <w:sz w:val="24"/>
          <w:szCs w:val="24"/>
          <w:lang w:val="en-US"/>
        </w:rPr>
        <w:t>FISD)</w:t>
      </w:r>
      <w:r>
        <w:rPr>
          <w:rFonts w:ascii="Times New Roman" w:hAnsi="Times New Roman" w:cs="Times New Roman"/>
          <w:sz w:val="24"/>
          <w:szCs w:val="24"/>
          <w:lang w:val="en-US"/>
        </w:rPr>
        <w:t>,</w:t>
      </w:r>
      <w:r w:rsidR="00943979" w:rsidRPr="003101A0">
        <w:rPr>
          <w:rFonts w:ascii="Times New Roman" w:hAnsi="Times New Roman" w:cs="Times New Roman"/>
          <w:sz w:val="24"/>
          <w:szCs w:val="24"/>
          <w:lang w:val="en-US"/>
        </w:rPr>
        <w:t xml:space="preserve"> unless noted differently in the Appendix</w:t>
      </w:r>
      <w:r w:rsidR="004C24AA" w:rsidRPr="003101A0">
        <w:rPr>
          <w:rFonts w:ascii="Times New Roman" w:hAnsi="Times New Roman" w:cs="Times New Roman"/>
          <w:sz w:val="24"/>
          <w:szCs w:val="24"/>
          <w:lang w:val="en-US"/>
        </w:rPr>
        <w:t>.</w:t>
      </w:r>
      <w:r w:rsidR="00F12D7E" w:rsidRPr="003101A0">
        <w:rPr>
          <w:rFonts w:ascii="Times New Roman" w:hAnsi="Times New Roman" w:cs="Times New Roman"/>
          <w:sz w:val="24"/>
          <w:szCs w:val="24"/>
          <w:lang w:val="en-US"/>
        </w:rPr>
        <w:t xml:space="preserve"> Theory predicts a positive impact of debt-related financing costs proxies on covenant intensity. </w:t>
      </w:r>
      <w:r w:rsidR="00893861" w:rsidRPr="003101A0">
        <w:rPr>
          <w:rFonts w:ascii="Times New Roman" w:hAnsi="Times New Roman" w:cs="Times New Roman"/>
          <w:sz w:val="24"/>
          <w:szCs w:val="24"/>
          <w:lang w:val="en-US"/>
        </w:rPr>
        <w:t>C</w:t>
      </w:r>
      <w:r w:rsidR="00372136" w:rsidRPr="003101A0">
        <w:rPr>
          <w:rFonts w:ascii="Times New Roman" w:hAnsi="Times New Roman" w:cs="Times New Roman"/>
          <w:sz w:val="24"/>
          <w:szCs w:val="24"/>
          <w:lang w:val="en-US"/>
        </w:rPr>
        <w:t>onsistent with previous empirical studies</w:t>
      </w:r>
      <w:r w:rsidR="00F12D7E" w:rsidRPr="003101A0">
        <w:rPr>
          <w:rFonts w:ascii="Times New Roman" w:hAnsi="Times New Roman" w:cs="Times New Roman"/>
          <w:sz w:val="24"/>
          <w:szCs w:val="24"/>
          <w:lang w:val="en-US"/>
        </w:rPr>
        <w:t xml:space="preserve"> </w:t>
      </w:r>
      <w:r w:rsidR="00737B5D">
        <w:rPr>
          <w:rFonts w:ascii="Times New Roman" w:hAnsi="Times New Roman" w:cs="Times New Roman"/>
          <w:sz w:val="24"/>
          <w:szCs w:val="24"/>
          <w:lang w:val="en-US"/>
        </w:rPr>
        <w:t xml:space="preserve">on covenant intensity determinants </w:t>
      </w:r>
      <w:r w:rsidR="00C1414B" w:rsidRPr="003101A0">
        <w:rPr>
          <w:rFonts w:ascii="Times New Roman" w:hAnsi="Times New Roman" w:cs="Times New Roman"/>
          <w:sz w:val="24"/>
          <w:szCs w:val="24"/>
          <w:lang w:val="en-US"/>
        </w:rPr>
        <w:t>(</w:t>
      </w:r>
      <w:proofErr w:type="spellStart"/>
      <w:r w:rsidR="00372136" w:rsidRPr="003101A0">
        <w:rPr>
          <w:rFonts w:ascii="Times New Roman" w:hAnsi="Times New Roman" w:cs="Times New Roman"/>
          <w:sz w:val="24"/>
          <w:szCs w:val="24"/>
          <w:lang w:val="en-US"/>
        </w:rPr>
        <w:t>Chava</w:t>
      </w:r>
      <w:proofErr w:type="spellEnd"/>
      <w:r w:rsidR="00372136" w:rsidRPr="003101A0">
        <w:rPr>
          <w:rFonts w:ascii="Times New Roman" w:hAnsi="Times New Roman" w:cs="Times New Roman"/>
          <w:sz w:val="24"/>
          <w:szCs w:val="24"/>
          <w:lang w:val="en-US"/>
        </w:rPr>
        <w:t xml:space="preserve"> et al., 2010; </w:t>
      </w:r>
      <w:r w:rsidR="00C1414B" w:rsidRPr="003101A0">
        <w:rPr>
          <w:rFonts w:ascii="Times New Roman" w:hAnsi="Times New Roman" w:cs="Times New Roman"/>
          <w:sz w:val="24"/>
          <w:szCs w:val="24"/>
          <w:lang w:val="en-US"/>
        </w:rPr>
        <w:t xml:space="preserve">Qi et al., 2011; </w:t>
      </w:r>
      <w:r w:rsidR="00B278F3" w:rsidRPr="003101A0">
        <w:rPr>
          <w:rFonts w:ascii="Times New Roman" w:hAnsi="Times New Roman" w:cs="Times New Roman"/>
          <w:sz w:val="24"/>
          <w:szCs w:val="24"/>
          <w:lang w:val="en-US"/>
        </w:rPr>
        <w:t xml:space="preserve">Cook et al., 2014; </w:t>
      </w:r>
      <w:proofErr w:type="spellStart"/>
      <w:r w:rsidR="00372136" w:rsidRPr="003101A0">
        <w:rPr>
          <w:rFonts w:ascii="Times New Roman" w:hAnsi="Times New Roman" w:cs="Times New Roman"/>
          <w:sz w:val="24"/>
          <w:szCs w:val="24"/>
          <w:lang w:val="en-US"/>
        </w:rPr>
        <w:t>Reisel</w:t>
      </w:r>
      <w:proofErr w:type="spellEnd"/>
      <w:r w:rsidR="00372136" w:rsidRPr="003101A0">
        <w:rPr>
          <w:rFonts w:ascii="Times New Roman" w:hAnsi="Times New Roman" w:cs="Times New Roman"/>
          <w:sz w:val="24"/>
          <w:szCs w:val="24"/>
          <w:lang w:val="en-US"/>
        </w:rPr>
        <w:t xml:space="preserve">, 2014; </w:t>
      </w:r>
      <w:proofErr w:type="spellStart"/>
      <w:r w:rsidR="00B278F3" w:rsidRPr="003101A0">
        <w:rPr>
          <w:rFonts w:ascii="Times New Roman" w:hAnsi="Times New Roman" w:cs="Times New Roman"/>
          <w:sz w:val="24"/>
          <w:szCs w:val="24"/>
          <w:lang w:val="en-US"/>
        </w:rPr>
        <w:t>Helwege</w:t>
      </w:r>
      <w:proofErr w:type="spellEnd"/>
      <w:r w:rsidR="00B278F3" w:rsidRPr="003101A0">
        <w:rPr>
          <w:rFonts w:ascii="Times New Roman" w:hAnsi="Times New Roman" w:cs="Times New Roman"/>
          <w:sz w:val="24"/>
          <w:szCs w:val="24"/>
          <w:lang w:val="en-US"/>
        </w:rPr>
        <w:t xml:space="preserve"> et al., 2017; </w:t>
      </w:r>
      <w:r w:rsidR="00C1414B" w:rsidRPr="003101A0">
        <w:rPr>
          <w:rFonts w:ascii="Times New Roman" w:hAnsi="Times New Roman" w:cs="Times New Roman"/>
          <w:sz w:val="24"/>
          <w:szCs w:val="24"/>
          <w:lang w:val="en-US"/>
        </w:rPr>
        <w:t>Zhang and Zhou, 2018</w:t>
      </w:r>
      <w:r w:rsidR="00B278F3" w:rsidRPr="003101A0">
        <w:rPr>
          <w:rFonts w:ascii="Times New Roman" w:hAnsi="Times New Roman" w:cs="Times New Roman"/>
          <w:sz w:val="24"/>
          <w:szCs w:val="24"/>
          <w:lang w:val="en-US"/>
        </w:rPr>
        <w:t xml:space="preserve">; </w:t>
      </w:r>
      <w:proofErr w:type="spellStart"/>
      <w:r w:rsidR="00B278F3" w:rsidRPr="003101A0">
        <w:rPr>
          <w:rFonts w:ascii="Times New Roman" w:hAnsi="Times New Roman" w:cs="Times New Roman"/>
          <w:sz w:val="24"/>
          <w:szCs w:val="24"/>
          <w:lang w:val="en-US"/>
        </w:rPr>
        <w:t>Chava</w:t>
      </w:r>
      <w:proofErr w:type="spellEnd"/>
      <w:r w:rsidR="00B278F3" w:rsidRPr="003101A0">
        <w:rPr>
          <w:rFonts w:ascii="Times New Roman" w:hAnsi="Times New Roman" w:cs="Times New Roman"/>
          <w:sz w:val="24"/>
          <w:szCs w:val="24"/>
          <w:lang w:val="en-US"/>
        </w:rPr>
        <w:t xml:space="preserve"> et al., 2019</w:t>
      </w:r>
      <w:r w:rsidR="008706E9" w:rsidRPr="003101A0">
        <w:rPr>
          <w:rFonts w:ascii="Times New Roman" w:hAnsi="Times New Roman" w:cs="Times New Roman"/>
          <w:sz w:val="24"/>
          <w:szCs w:val="24"/>
          <w:lang w:val="en-US"/>
        </w:rPr>
        <w:t>; Mansi et al., 2021</w:t>
      </w:r>
      <w:r w:rsidR="00C1414B" w:rsidRPr="003101A0">
        <w:rPr>
          <w:rFonts w:ascii="Times New Roman" w:hAnsi="Times New Roman" w:cs="Times New Roman"/>
          <w:sz w:val="24"/>
          <w:szCs w:val="24"/>
          <w:lang w:val="en-US"/>
        </w:rPr>
        <w:t>)</w:t>
      </w:r>
      <w:r w:rsidR="00893861" w:rsidRPr="003101A0">
        <w:rPr>
          <w:rFonts w:ascii="Times New Roman" w:hAnsi="Times New Roman" w:cs="Times New Roman"/>
          <w:sz w:val="24"/>
          <w:szCs w:val="24"/>
          <w:lang w:val="en-US"/>
        </w:rPr>
        <w:t>, we use</w:t>
      </w:r>
      <w:r w:rsidR="00372136" w:rsidRPr="003101A0">
        <w:rPr>
          <w:rFonts w:ascii="Times New Roman" w:hAnsi="Times New Roman" w:cs="Times New Roman"/>
          <w:sz w:val="24"/>
          <w:szCs w:val="24"/>
          <w:lang w:val="en-US"/>
        </w:rPr>
        <w:t xml:space="preserve"> </w:t>
      </w:r>
      <w:r w:rsidR="00F12D7E" w:rsidRPr="003101A0">
        <w:rPr>
          <w:rFonts w:ascii="Times New Roman" w:hAnsi="Times New Roman" w:cs="Times New Roman"/>
          <w:sz w:val="24"/>
          <w:szCs w:val="24"/>
          <w:lang w:val="en-US"/>
        </w:rPr>
        <w:t xml:space="preserve">the issuer’s </w:t>
      </w:r>
      <w:r w:rsidR="00372136" w:rsidRPr="003101A0">
        <w:rPr>
          <w:rFonts w:ascii="Times New Roman" w:hAnsi="Times New Roman" w:cs="Times New Roman"/>
          <w:sz w:val="24"/>
          <w:szCs w:val="24"/>
          <w:lang w:val="en-US"/>
        </w:rPr>
        <w:t>debt ratio (</w:t>
      </w:r>
      <w:r w:rsidR="00372136" w:rsidRPr="003101A0">
        <w:rPr>
          <w:rFonts w:ascii="Times New Roman" w:hAnsi="Times New Roman" w:cs="Times New Roman"/>
          <w:i/>
          <w:sz w:val="24"/>
          <w:szCs w:val="24"/>
          <w:lang w:val="en-US"/>
        </w:rPr>
        <w:t>Leverage</w:t>
      </w:r>
      <w:r w:rsidR="00372136" w:rsidRPr="003101A0">
        <w:rPr>
          <w:rFonts w:ascii="Times New Roman" w:hAnsi="Times New Roman" w:cs="Times New Roman"/>
          <w:sz w:val="24"/>
          <w:szCs w:val="24"/>
          <w:lang w:val="en-US"/>
        </w:rPr>
        <w:t xml:space="preserve">) and </w:t>
      </w:r>
      <w:r w:rsidR="007C6C76" w:rsidRPr="003101A0">
        <w:rPr>
          <w:rFonts w:ascii="Times New Roman" w:hAnsi="Times New Roman" w:cs="Times New Roman"/>
          <w:sz w:val="24"/>
          <w:szCs w:val="24"/>
          <w:lang w:val="en-US"/>
        </w:rPr>
        <w:t>cash flow</w:t>
      </w:r>
      <w:r w:rsidR="00372136" w:rsidRPr="003101A0">
        <w:rPr>
          <w:rFonts w:ascii="Times New Roman" w:hAnsi="Times New Roman" w:cs="Times New Roman"/>
          <w:sz w:val="24"/>
          <w:szCs w:val="24"/>
          <w:lang w:val="en-US"/>
        </w:rPr>
        <w:t xml:space="preserve"> volatility (</w:t>
      </w:r>
      <w:r w:rsidR="00372136" w:rsidRPr="003101A0">
        <w:rPr>
          <w:rFonts w:ascii="Times New Roman" w:hAnsi="Times New Roman" w:cs="Times New Roman"/>
          <w:i/>
          <w:sz w:val="24"/>
          <w:szCs w:val="24"/>
          <w:lang w:val="en-US"/>
        </w:rPr>
        <w:t>Volatility</w:t>
      </w:r>
      <w:r w:rsidR="00372136" w:rsidRPr="003101A0">
        <w:rPr>
          <w:rFonts w:ascii="Times New Roman" w:hAnsi="Times New Roman" w:cs="Times New Roman"/>
          <w:sz w:val="24"/>
          <w:szCs w:val="24"/>
          <w:lang w:val="en-US"/>
        </w:rPr>
        <w:t xml:space="preserve">) as direct proxies for </w:t>
      </w:r>
      <w:r w:rsidR="00893861" w:rsidRPr="003101A0">
        <w:rPr>
          <w:rFonts w:ascii="Times New Roman" w:hAnsi="Times New Roman" w:cs="Times New Roman"/>
          <w:sz w:val="24"/>
          <w:szCs w:val="24"/>
          <w:lang w:val="en-US"/>
        </w:rPr>
        <w:t>bondholder-shareholder agency and financial distress costs</w:t>
      </w:r>
      <w:r w:rsidR="00737B5D">
        <w:rPr>
          <w:rFonts w:ascii="Times New Roman" w:hAnsi="Times New Roman" w:cs="Times New Roman"/>
          <w:sz w:val="24"/>
          <w:szCs w:val="24"/>
          <w:lang w:val="en-US"/>
        </w:rPr>
        <w:t>. We furthermore use</w:t>
      </w:r>
      <w:r w:rsidR="003E5F45" w:rsidRPr="003101A0">
        <w:rPr>
          <w:rFonts w:ascii="Times New Roman" w:hAnsi="Times New Roman" w:cs="Times New Roman"/>
          <w:sz w:val="24"/>
          <w:szCs w:val="24"/>
          <w:lang w:val="en-US"/>
        </w:rPr>
        <w:t xml:space="preserve"> </w:t>
      </w:r>
      <w:r w:rsidR="00372136" w:rsidRPr="003101A0">
        <w:rPr>
          <w:rFonts w:ascii="Times New Roman" w:hAnsi="Times New Roman" w:cs="Times New Roman"/>
          <w:sz w:val="24"/>
          <w:szCs w:val="24"/>
          <w:lang w:val="en-US"/>
        </w:rPr>
        <w:t>profitability (</w:t>
      </w:r>
      <w:r w:rsidR="00372136" w:rsidRPr="003101A0">
        <w:rPr>
          <w:rFonts w:ascii="Times New Roman" w:hAnsi="Times New Roman" w:cs="Times New Roman"/>
          <w:i/>
          <w:sz w:val="24"/>
          <w:szCs w:val="24"/>
          <w:lang w:val="en-US"/>
        </w:rPr>
        <w:t>ROA</w:t>
      </w:r>
      <w:r w:rsidR="00372136" w:rsidRPr="003101A0">
        <w:rPr>
          <w:rFonts w:ascii="Times New Roman" w:hAnsi="Times New Roman" w:cs="Times New Roman"/>
          <w:sz w:val="24"/>
          <w:szCs w:val="24"/>
          <w:lang w:val="en-US"/>
        </w:rPr>
        <w:t>), tangible assets (</w:t>
      </w:r>
      <w:r w:rsidR="00372136" w:rsidRPr="003101A0">
        <w:rPr>
          <w:rFonts w:ascii="Times New Roman" w:hAnsi="Times New Roman" w:cs="Times New Roman"/>
          <w:i/>
          <w:sz w:val="24"/>
          <w:szCs w:val="24"/>
          <w:lang w:val="en-US"/>
        </w:rPr>
        <w:t>PPE</w:t>
      </w:r>
      <w:r w:rsidR="00372136" w:rsidRPr="003101A0">
        <w:rPr>
          <w:rFonts w:ascii="Times New Roman" w:hAnsi="Times New Roman" w:cs="Times New Roman"/>
          <w:sz w:val="24"/>
          <w:szCs w:val="24"/>
          <w:lang w:val="en-US"/>
        </w:rPr>
        <w:t>), interest coverage (</w:t>
      </w:r>
      <w:r w:rsidR="00372136" w:rsidRPr="003101A0">
        <w:rPr>
          <w:rFonts w:ascii="Times New Roman" w:hAnsi="Times New Roman" w:cs="Times New Roman"/>
          <w:i/>
          <w:sz w:val="24"/>
          <w:szCs w:val="24"/>
          <w:lang w:val="en-US"/>
        </w:rPr>
        <w:t xml:space="preserve">Interest </w:t>
      </w:r>
      <w:r w:rsidR="00FD7100" w:rsidRPr="003101A0">
        <w:rPr>
          <w:rFonts w:ascii="Times New Roman" w:hAnsi="Times New Roman" w:cs="Times New Roman"/>
          <w:i/>
          <w:sz w:val="24"/>
          <w:szCs w:val="24"/>
          <w:lang w:val="en-US"/>
        </w:rPr>
        <w:t>c</w:t>
      </w:r>
      <w:r w:rsidR="00372136" w:rsidRPr="003101A0">
        <w:rPr>
          <w:rFonts w:ascii="Times New Roman" w:hAnsi="Times New Roman" w:cs="Times New Roman"/>
          <w:i/>
          <w:sz w:val="24"/>
          <w:szCs w:val="24"/>
          <w:lang w:val="en-US"/>
        </w:rPr>
        <w:t>overage</w:t>
      </w:r>
      <w:r w:rsidR="00372136" w:rsidRPr="003101A0">
        <w:rPr>
          <w:rFonts w:ascii="Times New Roman" w:hAnsi="Times New Roman" w:cs="Times New Roman"/>
          <w:sz w:val="24"/>
          <w:szCs w:val="24"/>
          <w:lang w:val="en-US"/>
        </w:rPr>
        <w:t>)</w:t>
      </w:r>
      <w:r w:rsidR="00F45E43" w:rsidRPr="003101A0">
        <w:rPr>
          <w:rFonts w:ascii="Times New Roman" w:hAnsi="Times New Roman" w:cs="Times New Roman"/>
          <w:sz w:val="24"/>
          <w:szCs w:val="24"/>
          <w:lang w:val="en-US"/>
        </w:rPr>
        <w:t xml:space="preserve">, </w:t>
      </w:r>
      <w:r w:rsidR="00CE7088" w:rsidRPr="003101A0">
        <w:rPr>
          <w:rFonts w:ascii="Times New Roman" w:hAnsi="Times New Roman" w:cs="Times New Roman"/>
          <w:sz w:val="24"/>
          <w:szCs w:val="24"/>
          <w:lang w:val="en-US"/>
        </w:rPr>
        <w:t xml:space="preserve">firm </w:t>
      </w:r>
      <w:r w:rsidR="00372136" w:rsidRPr="003101A0">
        <w:rPr>
          <w:rFonts w:ascii="Times New Roman" w:hAnsi="Times New Roman" w:cs="Times New Roman"/>
          <w:sz w:val="24"/>
          <w:szCs w:val="24"/>
          <w:lang w:val="en-US"/>
        </w:rPr>
        <w:t>size (</w:t>
      </w:r>
      <w:proofErr w:type="gramStart"/>
      <w:r w:rsidR="00C97DF1" w:rsidRPr="00DC14E8">
        <w:rPr>
          <w:rFonts w:ascii="Times New Roman" w:hAnsi="Times New Roman" w:cs="Times New Roman"/>
          <w:i/>
          <w:iCs/>
          <w:sz w:val="24"/>
          <w:szCs w:val="24"/>
          <w:lang w:val="en-US"/>
        </w:rPr>
        <w:t>Ln(</w:t>
      </w:r>
      <w:proofErr w:type="gramEnd"/>
      <w:r w:rsidR="00372136" w:rsidRPr="003101A0">
        <w:rPr>
          <w:rFonts w:ascii="Times New Roman" w:hAnsi="Times New Roman" w:cs="Times New Roman"/>
          <w:i/>
          <w:sz w:val="24"/>
          <w:szCs w:val="24"/>
          <w:lang w:val="en-US"/>
        </w:rPr>
        <w:t xml:space="preserve">Total </w:t>
      </w:r>
      <w:r w:rsidR="00FD7100" w:rsidRPr="003101A0">
        <w:rPr>
          <w:rFonts w:ascii="Times New Roman" w:hAnsi="Times New Roman" w:cs="Times New Roman"/>
          <w:i/>
          <w:sz w:val="24"/>
          <w:szCs w:val="24"/>
          <w:lang w:val="en-US"/>
        </w:rPr>
        <w:t>a</w:t>
      </w:r>
      <w:r w:rsidR="00372136" w:rsidRPr="003101A0">
        <w:rPr>
          <w:rFonts w:ascii="Times New Roman" w:hAnsi="Times New Roman" w:cs="Times New Roman"/>
          <w:i/>
          <w:sz w:val="24"/>
          <w:szCs w:val="24"/>
          <w:lang w:val="en-US"/>
        </w:rPr>
        <w:t>ssets</w:t>
      </w:r>
      <w:r w:rsidR="00C97DF1">
        <w:rPr>
          <w:rFonts w:ascii="Times New Roman" w:hAnsi="Times New Roman" w:cs="Times New Roman"/>
          <w:i/>
          <w:sz w:val="24"/>
          <w:szCs w:val="24"/>
          <w:lang w:val="en-US"/>
        </w:rPr>
        <w:t>)</w:t>
      </w:r>
      <w:r w:rsidR="00372136" w:rsidRPr="003101A0">
        <w:rPr>
          <w:rFonts w:ascii="Times New Roman" w:hAnsi="Times New Roman" w:cs="Times New Roman"/>
          <w:sz w:val="24"/>
          <w:szCs w:val="24"/>
          <w:lang w:val="en-US"/>
        </w:rPr>
        <w:t>)</w:t>
      </w:r>
      <w:r w:rsidR="00F45E43" w:rsidRPr="003101A0">
        <w:rPr>
          <w:rFonts w:ascii="Times New Roman" w:hAnsi="Times New Roman" w:cs="Times New Roman"/>
          <w:sz w:val="24"/>
          <w:szCs w:val="24"/>
          <w:lang w:val="en-US"/>
        </w:rPr>
        <w:t xml:space="preserve">, </w:t>
      </w:r>
      <w:r w:rsidR="007778A5" w:rsidRPr="003101A0">
        <w:rPr>
          <w:rFonts w:ascii="Times New Roman" w:hAnsi="Times New Roman" w:cs="Times New Roman"/>
          <w:sz w:val="24"/>
          <w:szCs w:val="24"/>
          <w:lang w:val="en-US"/>
        </w:rPr>
        <w:t>and</w:t>
      </w:r>
      <w:r w:rsidR="00F45E43" w:rsidRPr="003101A0">
        <w:rPr>
          <w:rFonts w:ascii="Times New Roman" w:hAnsi="Times New Roman" w:cs="Times New Roman"/>
          <w:sz w:val="24"/>
          <w:szCs w:val="24"/>
          <w:lang w:val="en-US"/>
        </w:rPr>
        <w:t xml:space="preserve"> a dummy </w:t>
      </w:r>
      <w:r w:rsidR="007778A5" w:rsidRPr="003101A0">
        <w:rPr>
          <w:rFonts w:ascii="Times New Roman" w:hAnsi="Times New Roman" w:cs="Times New Roman"/>
          <w:sz w:val="24"/>
          <w:szCs w:val="24"/>
          <w:lang w:val="en-US"/>
        </w:rPr>
        <w:t xml:space="preserve">variable </w:t>
      </w:r>
      <w:r w:rsidR="00F45E43" w:rsidRPr="003101A0">
        <w:rPr>
          <w:rFonts w:ascii="Times New Roman" w:hAnsi="Times New Roman" w:cs="Times New Roman"/>
          <w:sz w:val="24"/>
          <w:szCs w:val="24"/>
          <w:lang w:val="en-US"/>
        </w:rPr>
        <w:t>capturing whether the issuer has an investment grade credit rating (</w:t>
      </w:r>
      <w:r w:rsidR="00F45E43" w:rsidRPr="003101A0">
        <w:rPr>
          <w:rFonts w:ascii="Times New Roman" w:hAnsi="Times New Roman" w:cs="Times New Roman"/>
          <w:i/>
          <w:sz w:val="24"/>
          <w:szCs w:val="24"/>
          <w:lang w:val="en-US"/>
        </w:rPr>
        <w:t xml:space="preserve">Investment </w:t>
      </w:r>
      <w:r w:rsidR="00FD7100" w:rsidRPr="003101A0">
        <w:rPr>
          <w:rFonts w:ascii="Times New Roman" w:hAnsi="Times New Roman" w:cs="Times New Roman"/>
          <w:i/>
          <w:sz w:val="24"/>
          <w:szCs w:val="24"/>
          <w:lang w:val="en-US"/>
        </w:rPr>
        <w:t>g</w:t>
      </w:r>
      <w:r w:rsidR="00F45E43" w:rsidRPr="003101A0">
        <w:rPr>
          <w:rFonts w:ascii="Times New Roman" w:hAnsi="Times New Roman" w:cs="Times New Roman"/>
          <w:i/>
          <w:sz w:val="24"/>
          <w:szCs w:val="24"/>
          <w:lang w:val="en-US"/>
        </w:rPr>
        <w:t>rade</w:t>
      </w:r>
      <w:r w:rsidR="00F45E43" w:rsidRPr="003101A0">
        <w:rPr>
          <w:rFonts w:ascii="Times New Roman" w:hAnsi="Times New Roman" w:cs="Times New Roman"/>
          <w:sz w:val="24"/>
          <w:szCs w:val="24"/>
          <w:lang w:val="en-US"/>
        </w:rPr>
        <w:t>)</w:t>
      </w:r>
      <w:r w:rsidR="00372136" w:rsidRPr="003101A0">
        <w:rPr>
          <w:rFonts w:ascii="Times New Roman" w:hAnsi="Times New Roman" w:cs="Times New Roman"/>
          <w:sz w:val="24"/>
          <w:szCs w:val="24"/>
          <w:lang w:val="en-US"/>
        </w:rPr>
        <w:t xml:space="preserve"> as inverse proxies for these costs.</w:t>
      </w:r>
      <w:r w:rsidR="00893861" w:rsidRPr="003101A0">
        <w:rPr>
          <w:rStyle w:val="FootnoteReference"/>
          <w:rFonts w:ascii="Times New Roman" w:hAnsi="Times New Roman" w:cs="Times New Roman"/>
          <w:sz w:val="24"/>
          <w:szCs w:val="24"/>
          <w:lang w:val="en-US"/>
        </w:rPr>
        <w:footnoteReference w:id="7"/>
      </w:r>
      <w:r w:rsidR="00893861" w:rsidRPr="003101A0">
        <w:rPr>
          <w:rFonts w:ascii="Times New Roman" w:hAnsi="Times New Roman" w:cs="Times New Roman"/>
          <w:sz w:val="24"/>
          <w:szCs w:val="24"/>
          <w:vertAlign w:val="superscript"/>
          <w:lang w:val="en-US"/>
        </w:rPr>
        <w:t>,</w:t>
      </w:r>
      <w:r w:rsidR="00B278F3" w:rsidRPr="003101A0">
        <w:rPr>
          <w:rStyle w:val="FootnoteReference"/>
          <w:rFonts w:ascii="Times New Roman" w:hAnsi="Times New Roman" w:cs="Times New Roman"/>
          <w:sz w:val="24"/>
          <w:szCs w:val="24"/>
          <w:lang w:val="en-US"/>
        </w:rPr>
        <w:footnoteReference w:id="8"/>
      </w:r>
      <w:r w:rsidR="00372136" w:rsidRPr="003101A0">
        <w:rPr>
          <w:rFonts w:ascii="Times New Roman" w:hAnsi="Times New Roman" w:cs="Times New Roman"/>
          <w:sz w:val="24"/>
          <w:szCs w:val="24"/>
          <w:lang w:val="en-US"/>
        </w:rPr>
        <w:t xml:space="preserve"> </w:t>
      </w:r>
      <w:r w:rsidR="00737B5D">
        <w:rPr>
          <w:rFonts w:ascii="Times New Roman" w:hAnsi="Times New Roman" w:cs="Times New Roman"/>
          <w:sz w:val="24"/>
          <w:szCs w:val="24"/>
          <w:lang w:val="en-US"/>
        </w:rPr>
        <w:t>Also c</w:t>
      </w:r>
      <w:r w:rsidR="00E45EB4" w:rsidRPr="003101A0">
        <w:rPr>
          <w:rFonts w:ascii="Times New Roman" w:hAnsi="Times New Roman" w:cs="Times New Roman"/>
          <w:sz w:val="24"/>
          <w:szCs w:val="24"/>
          <w:lang w:val="en-US"/>
        </w:rPr>
        <w:t xml:space="preserve">onsistent with </w:t>
      </w:r>
      <w:r w:rsidR="00737B5D">
        <w:rPr>
          <w:rFonts w:ascii="Times New Roman" w:hAnsi="Times New Roman" w:cs="Times New Roman"/>
          <w:sz w:val="24"/>
          <w:szCs w:val="24"/>
          <w:lang w:val="en-US"/>
        </w:rPr>
        <w:t>previous</w:t>
      </w:r>
      <w:r w:rsidR="00E45EB4" w:rsidRPr="003101A0">
        <w:rPr>
          <w:rFonts w:ascii="Times New Roman" w:hAnsi="Times New Roman" w:cs="Times New Roman"/>
          <w:sz w:val="24"/>
          <w:szCs w:val="24"/>
          <w:lang w:val="en-US"/>
        </w:rPr>
        <w:t xml:space="preserve"> covenant intensity studies, we control for the issuer’s investment opportunities. On </w:t>
      </w:r>
      <w:r w:rsidR="005F0A28" w:rsidRPr="003101A0">
        <w:rPr>
          <w:rFonts w:ascii="Times New Roman" w:hAnsi="Times New Roman" w:cs="Times New Roman"/>
          <w:sz w:val="24"/>
          <w:szCs w:val="24"/>
          <w:lang w:val="en-US"/>
        </w:rPr>
        <w:t xml:space="preserve">the one hand, by accepting covenant restrictions in their bond contracts, firms </w:t>
      </w:r>
      <w:r w:rsidR="00871C61" w:rsidRPr="003101A0">
        <w:rPr>
          <w:rFonts w:ascii="Times New Roman" w:hAnsi="Times New Roman" w:cs="Times New Roman"/>
          <w:sz w:val="24"/>
          <w:szCs w:val="24"/>
          <w:lang w:val="en-US"/>
        </w:rPr>
        <w:t>reduce</w:t>
      </w:r>
      <w:r w:rsidR="005F0A28" w:rsidRPr="003101A0">
        <w:rPr>
          <w:rFonts w:ascii="Times New Roman" w:hAnsi="Times New Roman" w:cs="Times New Roman"/>
          <w:sz w:val="24"/>
          <w:szCs w:val="24"/>
          <w:lang w:val="en-US"/>
        </w:rPr>
        <w:t xml:space="preserve"> their flexibility </w:t>
      </w:r>
      <w:r w:rsidR="00A50B64">
        <w:rPr>
          <w:rFonts w:ascii="Times New Roman" w:hAnsi="Times New Roman" w:cs="Times New Roman"/>
          <w:sz w:val="24"/>
          <w:szCs w:val="24"/>
          <w:lang w:val="en-US"/>
        </w:rPr>
        <w:t>to respond</w:t>
      </w:r>
      <w:r w:rsidR="005F0A28" w:rsidRPr="003101A0">
        <w:rPr>
          <w:rFonts w:ascii="Times New Roman" w:hAnsi="Times New Roman" w:cs="Times New Roman"/>
          <w:sz w:val="24"/>
          <w:szCs w:val="24"/>
          <w:lang w:val="en-US"/>
        </w:rPr>
        <w:t xml:space="preserve"> to any future profitable investment</w:t>
      </w:r>
      <w:r w:rsidR="00A50B64">
        <w:rPr>
          <w:rFonts w:ascii="Times New Roman" w:hAnsi="Times New Roman" w:cs="Times New Roman"/>
          <w:sz w:val="24"/>
          <w:szCs w:val="24"/>
          <w:lang w:val="en-US"/>
        </w:rPr>
        <w:t xml:space="preserve"> opportunities</w:t>
      </w:r>
      <w:r w:rsidR="005F0A28" w:rsidRPr="003101A0">
        <w:rPr>
          <w:rFonts w:ascii="Times New Roman" w:hAnsi="Times New Roman" w:cs="Times New Roman"/>
          <w:sz w:val="24"/>
          <w:szCs w:val="24"/>
          <w:lang w:val="en-US"/>
        </w:rPr>
        <w:t xml:space="preserve">. This would </w:t>
      </w:r>
      <w:r w:rsidR="005F0A28" w:rsidRPr="003101A0">
        <w:rPr>
          <w:rFonts w:ascii="Times New Roman" w:hAnsi="Times New Roman" w:cs="Times New Roman"/>
          <w:sz w:val="24"/>
          <w:szCs w:val="24"/>
          <w:lang w:val="en-US"/>
        </w:rPr>
        <w:lastRenderedPageBreak/>
        <w:t>be costlier in the high investment opportunity firms (Nash et al</w:t>
      </w:r>
      <w:r w:rsidR="00871C61" w:rsidRPr="003101A0">
        <w:rPr>
          <w:rFonts w:ascii="Times New Roman" w:hAnsi="Times New Roman" w:cs="Times New Roman"/>
          <w:sz w:val="24"/>
          <w:szCs w:val="24"/>
          <w:lang w:val="en-US"/>
        </w:rPr>
        <w:t>.</w:t>
      </w:r>
      <w:r w:rsidR="005F0A28" w:rsidRPr="003101A0">
        <w:rPr>
          <w:rFonts w:ascii="Times New Roman" w:hAnsi="Times New Roman" w:cs="Times New Roman"/>
          <w:sz w:val="24"/>
          <w:szCs w:val="24"/>
          <w:lang w:val="en-US"/>
        </w:rPr>
        <w:t xml:space="preserve">, 2003; </w:t>
      </w:r>
      <w:proofErr w:type="spellStart"/>
      <w:r w:rsidR="005F0A28" w:rsidRPr="003101A0">
        <w:rPr>
          <w:rFonts w:ascii="Times New Roman" w:hAnsi="Times New Roman" w:cs="Times New Roman"/>
          <w:sz w:val="24"/>
          <w:szCs w:val="24"/>
          <w:lang w:val="en-US"/>
        </w:rPr>
        <w:t>Reisel</w:t>
      </w:r>
      <w:proofErr w:type="spellEnd"/>
      <w:r w:rsidR="005F0A28" w:rsidRPr="003101A0">
        <w:rPr>
          <w:rFonts w:ascii="Times New Roman" w:hAnsi="Times New Roman" w:cs="Times New Roman"/>
          <w:sz w:val="24"/>
          <w:szCs w:val="24"/>
          <w:lang w:val="en-US"/>
        </w:rPr>
        <w:t>, 2014). On the other hand, high investment opportunity firms may have more uncertainty regarding their future investment set and</w:t>
      </w:r>
      <w:r w:rsidR="00871C61" w:rsidRPr="003101A0">
        <w:rPr>
          <w:rFonts w:ascii="Times New Roman" w:hAnsi="Times New Roman" w:cs="Times New Roman"/>
          <w:sz w:val="24"/>
          <w:szCs w:val="24"/>
          <w:lang w:val="en-US"/>
        </w:rPr>
        <w:t>,</w:t>
      </w:r>
      <w:r w:rsidR="005F0A28" w:rsidRPr="003101A0">
        <w:rPr>
          <w:rFonts w:ascii="Times New Roman" w:hAnsi="Times New Roman" w:cs="Times New Roman"/>
          <w:sz w:val="24"/>
          <w:szCs w:val="24"/>
          <w:lang w:val="en-US"/>
        </w:rPr>
        <w:t xml:space="preserve"> therefore</w:t>
      </w:r>
      <w:r w:rsidR="00860EA0" w:rsidRPr="003101A0">
        <w:rPr>
          <w:rFonts w:ascii="Times New Roman" w:hAnsi="Times New Roman" w:cs="Times New Roman"/>
          <w:sz w:val="24"/>
          <w:szCs w:val="24"/>
          <w:lang w:val="en-US"/>
        </w:rPr>
        <w:t>,</w:t>
      </w:r>
      <w:r w:rsidR="005F0A28" w:rsidRPr="003101A0">
        <w:rPr>
          <w:rFonts w:ascii="Times New Roman" w:hAnsi="Times New Roman" w:cs="Times New Roman"/>
          <w:sz w:val="24"/>
          <w:szCs w:val="24"/>
          <w:lang w:val="en-US"/>
        </w:rPr>
        <w:t xml:space="preserve"> higher asset substitution and underinvestment agency costs that they may wish to curb </w:t>
      </w:r>
      <w:r w:rsidR="00E45EB4" w:rsidRPr="003101A0">
        <w:rPr>
          <w:rFonts w:ascii="Times New Roman" w:hAnsi="Times New Roman" w:cs="Times New Roman"/>
          <w:sz w:val="24"/>
          <w:szCs w:val="24"/>
          <w:lang w:val="en-US"/>
        </w:rPr>
        <w:t xml:space="preserve">with covenants </w:t>
      </w:r>
      <w:r w:rsidR="005F0A28" w:rsidRPr="003101A0">
        <w:rPr>
          <w:rFonts w:ascii="Times New Roman" w:hAnsi="Times New Roman" w:cs="Times New Roman"/>
          <w:sz w:val="24"/>
          <w:szCs w:val="24"/>
          <w:lang w:val="en-US"/>
        </w:rPr>
        <w:t>(</w:t>
      </w:r>
      <w:proofErr w:type="spellStart"/>
      <w:r w:rsidR="005F0A28" w:rsidRPr="003101A0">
        <w:rPr>
          <w:rFonts w:ascii="Times New Roman" w:hAnsi="Times New Roman" w:cs="Times New Roman"/>
          <w:sz w:val="24"/>
          <w:szCs w:val="24"/>
          <w:lang w:val="en-US"/>
        </w:rPr>
        <w:t>Billett</w:t>
      </w:r>
      <w:proofErr w:type="spellEnd"/>
      <w:r w:rsidR="005F0A28" w:rsidRPr="003101A0">
        <w:rPr>
          <w:rFonts w:ascii="Times New Roman" w:hAnsi="Times New Roman" w:cs="Times New Roman"/>
          <w:sz w:val="24"/>
          <w:szCs w:val="24"/>
          <w:lang w:val="en-US"/>
        </w:rPr>
        <w:t xml:space="preserve"> et al., 2007</w:t>
      </w:r>
      <w:r w:rsidR="00737B5D">
        <w:rPr>
          <w:rFonts w:ascii="Times New Roman" w:hAnsi="Times New Roman" w:cs="Times New Roman"/>
          <w:sz w:val="24"/>
          <w:szCs w:val="24"/>
          <w:lang w:val="en-US"/>
        </w:rPr>
        <w:t xml:space="preserve">; </w:t>
      </w:r>
      <w:r w:rsidR="00737B5D" w:rsidRPr="003101A0">
        <w:rPr>
          <w:rFonts w:ascii="Times New Roman" w:hAnsi="Times New Roman" w:cs="Times New Roman"/>
          <w:sz w:val="24"/>
          <w:szCs w:val="24"/>
          <w:lang w:val="en-US"/>
        </w:rPr>
        <w:t>Bradley and Roberts, 2015</w:t>
      </w:r>
      <w:r w:rsidR="005F0A28" w:rsidRPr="003101A0">
        <w:rPr>
          <w:rFonts w:ascii="Times New Roman" w:hAnsi="Times New Roman" w:cs="Times New Roman"/>
          <w:sz w:val="24"/>
          <w:szCs w:val="24"/>
          <w:lang w:val="en-US"/>
        </w:rPr>
        <w:t xml:space="preserve">). </w:t>
      </w:r>
      <w:r w:rsidR="00943979" w:rsidRPr="003101A0">
        <w:rPr>
          <w:rFonts w:ascii="Times New Roman" w:hAnsi="Times New Roman" w:cs="Times New Roman"/>
          <w:sz w:val="24"/>
          <w:szCs w:val="24"/>
          <w:lang w:val="en-US"/>
        </w:rPr>
        <w:t xml:space="preserve">We </w:t>
      </w:r>
      <w:r w:rsidR="00E33E76" w:rsidRPr="003101A0">
        <w:rPr>
          <w:rFonts w:ascii="Times New Roman" w:hAnsi="Times New Roman" w:cs="Times New Roman"/>
          <w:sz w:val="24"/>
          <w:szCs w:val="24"/>
          <w:lang w:val="en-US"/>
        </w:rPr>
        <w:t>employ the</w:t>
      </w:r>
      <w:r w:rsidR="00F45E43" w:rsidRPr="003101A0">
        <w:rPr>
          <w:rFonts w:ascii="Times New Roman" w:hAnsi="Times New Roman" w:cs="Times New Roman"/>
          <w:sz w:val="24"/>
          <w:szCs w:val="24"/>
          <w:lang w:val="en-US"/>
        </w:rPr>
        <w:t xml:space="preserve"> market to book ratio (</w:t>
      </w:r>
      <w:r w:rsidR="00F45E43" w:rsidRPr="003101A0">
        <w:rPr>
          <w:rFonts w:ascii="Times New Roman" w:hAnsi="Times New Roman" w:cs="Times New Roman"/>
          <w:i/>
          <w:sz w:val="24"/>
          <w:szCs w:val="24"/>
          <w:lang w:val="en-US"/>
        </w:rPr>
        <w:t>MB</w:t>
      </w:r>
      <w:r w:rsidR="00F45E43" w:rsidRPr="003101A0">
        <w:rPr>
          <w:rFonts w:ascii="Times New Roman" w:hAnsi="Times New Roman" w:cs="Times New Roman"/>
          <w:sz w:val="24"/>
          <w:szCs w:val="24"/>
          <w:lang w:val="en-US"/>
        </w:rPr>
        <w:t>), capital expenditure (</w:t>
      </w:r>
      <w:r w:rsidR="00F45E43" w:rsidRPr="003101A0">
        <w:rPr>
          <w:rFonts w:ascii="Times New Roman" w:hAnsi="Times New Roman" w:cs="Times New Roman"/>
          <w:i/>
          <w:sz w:val="24"/>
          <w:szCs w:val="24"/>
          <w:lang w:val="en-US"/>
        </w:rPr>
        <w:t>Capex</w:t>
      </w:r>
      <w:r w:rsidR="00F45E43" w:rsidRPr="003101A0">
        <w:rPr>
          <w:rFonts w:ascii="Times New Roman" w:hAnsi="Times New Roman" w:cs="Times New Roman"/>
          <w:sz w:val="24"/>
          <w:szCs w:val="24"/>
          <w:lang w:val="en-US"/>
        </w:rPr>
        <w:t xml:space="preserve">), and research and development </w:t>
      </w:r>
      <w:r w:rsidR="00943979" w:rsidRPr="003101A0">
        <w:rPr>
          <w:rFonts w:ascii="Times New Roman" w:hAnsi="Times New Roman" w:cs="Times New Roman"/>
          <w:sz w:val="24"/>
          <w:szCs w:val="24"/>
          <w:lang w:val="en-US"/>
        </w:rPr>
        <w:t xml:space="preserve">(R&amp;D) </w:t>
      </w:r>
      <w:r w:rsidR="00F45E43" w:rsidRPr="003101A0">
        <w:rPr>
          <w:rFonts w:ascii="Times New Roman" w:hAnsi="Times New Roman" w:cs="Times New Roman"/>
          <w:sz w:val="24"/>
          <w:szCs w:val="24"/>
          <w:lang w:val="en-US"/>
        </w:rPr>
        <w:t>expenditure (</w:t>
      </w:r>
      <w:r w:rsidR="00F45E43" w:rsidRPr="003101A0">
        <w:rPr>
          <w:rFonts w:ascii="Times New Roman" w:hAnsi="Times New Roman" w:cs="Times New Roman"/>
          <w:i/>
          <w:sz w:val="24"/>
          <w:szCs w:val="24"/>
          <w:lang w:val="en-US"/>
        </w:rPr>
        <w:t>RD</w:t>
      </w:r>
      <w:r w:rsidR="00DD63B8" w:rsidRPr="003101A0">
        <w:rPr>
          <w:rFonts w:ascii="Times New Roman" w:hAnsi="Times New Roman" w:cs="Times New Roman"/>
          <w:sz w:val="24"/>
          <w:szCs w:val="24"/>
          <w:lang w:val="en-US"/>
        </w:rPr>
        <w:t>) as proxies for the issuer’s</w:t>
      </w:r>
      <w:r w:rsidR="00F45E43" w:rsidRPr="003101A0">
        <w:rPr>
          <w:rFonts w:ascii="Times New Roman" w:hAnsi="Times New Roman" w:cs="Times New Roman"/>
          <w:sz w:val="24"/>
          <w:szCs w:val="24"/>
          <w:lang w:val="en-US"/>
        </w:rPr>
        <w:t xml:space="preserve"> investment opportunities. </w:t>
      </w:r>
    </w:p>
    <w:p w14:paraId="4DF1F60D" w14:textId="732C8A0C" w:rsidR="00AF72DE" w:rsidRPr="003101A0" w:rsidRDefault="00737B5D" w:rsidP="004C60D6">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w:t>
      </w:r>
      <w:r w:rsidR="00A95BC6" w:rsidRPr="003101A0">
        <w:rPr>
          <w:rFonts w:ascii="Times New Roman" w:hAnsi="Times New Roman" w:cs="Times New Roman"/>
          <w:sz w:val="24"/>
          <w:szCs w:val="24"/>
          <w:lang w:val="en-US"/>
        </w:rPr>
        <w:t>we</w:t>
      </w:r>
      <w:r w:rsidR="00515547" w:rsidRPr="003101A0">
        <w:rPr>
          <w:rFonts w:ascii="Times New Roman" w:hAnsi="Times New Roman" w:cs="Times New Roman"/>
          <w:sz w:val="24"/>
          <w:szCs w:val="24"/>
          <w:lang w:val="en-US"/>
        </w:rPr>
        <w:t xml:space="preserve"> control for the </w:t>
      </w:r>
      <w:r w:rsidR="00515547" w:rsidRPr="003101A0">
        <w:rPr>
          <w:rFonts w:ascii="Times New Roman" w:hAnsi="Times New Roman" w:cs="Times New Roman"/>
          <w:i/>
          <w:iCs/>
          <w:sz w:val="24"/>
          <w:szCs w:val="24"/>
          <w:lang w:val="en-US"/>
        </w:rPr>
        <w:t>CI index</w:t>
      </w:r>
      <w:r w:rsidR="00515547" w:rsidRPr="003101A0">
        <w:rPr>
          <w:rFonts w:ascii="Times New Roman" w:hAnsi="Times New Roman" w:cs="Times New Roman"/>
          <w:sz w:val="24"/>
          <w:szCs w:val="24"/>
          <w:lang w:val="en-US"/>
        </w:rPr>
        <w:t xml:space="preserve"> of the issuers’ outstanding loans </w:t>
      </w:r>
      <w:r w:rsidR="00E45EB4" w:rsidRPr="003101A0">
        <w:rPr>
          <w:rFonts w:ascii="Times New Roman" w:hAnsi="Times New Roman" w:cs="Times New Roman"/>
          <w:sz w:val="24"/>
          <w:szCs w:val="24"/>
          <w:lang w:val="en-US"/>
        </w:rPr>
        <w:t>(</w:t>
      </w:r>
      <w:proofErr w:type="spellStart"/>
      <w:r w:rsidR="00E45EB4" w:rsidRPr="003101A0">
        <w:rPr>
          <w:rFonts w:ascii="Times New Roman" w:hAnsi="Times New Roman" w:cs="Times New Roman"/>
          <w:i/>
          <w:iCs/>
          <w:sz w:val="24"/>
          <w:szCs w:val="24"/>
          <w:lang w:val="en-US"/>
        </w:rPr>
        <w:t>CIloans</w:t>
      </w:r>
      <w:proofErr w:type="spellEnd"/>
      <w:r w:rsidR="00E45EB4" w:rsidRPr="003101A0">
        <w:rPr>
          <w:rFonts w:ascii="Times New Roman" w:hAnsi="Times New Roman" w:cs="Times New Roman"/>
          <w:sz w:val="24"/>
          <w:szCs w:val="24"/>
          <w:lang w:val="en-US"/>
        </w:rPr>
        <w:t xml:space="preserve">) </w:t>
      </w:r>
      <w:r w:rsidR="00515547" w:rsidRPr="003101A0">
        <w:rPr>
          <w:rFonts w:ascii="Times New Roman" w:hAnsi="Times New Roman" w:cs="Times New Roman"/>
          <w:sz w:val="24"/>
          <w:szCs w:val="24"/>
          <w:lang w:val="en-US"/>
        </w:rPr>
        <w:t>and outstanding bonds</w:t>
      </w:r>
      <w:r w:rsidR="00E45EB4" w:rsidRPr="003101A0">
        <w:rPr>
          <w:rFonts w:ascii="Times New Roman" w:hAnsi="Times New Roman" w:cs="Times New Roman"/>
          <w:sz w:val="24"/>
          <w:szCs w:val="24"/>
          <w:lang w:val="en-US"/>
        </w:rPr>
        <w:t xml:space="preserve"> (</w:t>
      </w:r>
      <w:proofErr w:type="spellStart"/>
      <w:r w:rsidR="00E45EB4" w:rsidRPr="003101A0">
        <w:rPr>
          <w:rFonts w:ascii="Times New Roman" w:hAnsi="Times New Roman" w:cs="Times New Roman"/>
          <w:i/>
          <w:iCs/>
          <w:sz w:val="24"/>
          <w:szCs w:val="24"/>
          <w:lang w:val="en-US"/>
        </w:rPr>
        <w:t>CIbonds</w:t>
      </w:r>
      <w:proofErr w:type="spellEnd"/>
      <w:r w:rsidR="00BA240D" w:rsidRPr="003101A0">
        <w:rPr>
          <w:rFonts w:ascii="Times New Roman" w:hAnsi="Times New Roman" w:cs="Times New Roman"/>
          <w:sz w:val="24"/>
          <w:szCs w:val="24"/>
          <w:lang w:val="en-US"/>
        </w:rPr>
        <w:t>)</w:t>
      </w:r>
      <w:r>
        <w:rPr>
          <w:rFonts w:ascii="Times New Roman" w:hAnsi="Times New Roman" w:cs="Times New Roman"/>
          <w:sz w:val="24"/>
          <w:szCs w:val="24"/>
          <w:lang w:val="en-US"/>
        </w:rPr>
        <w:t xml:space="preserve"> in the covenant intensity analysis</w:t>
      </w:r>
      <w:r w:rsidR="00515547" w:rsidRPr="003101A0">
        <w:rPr>
          <w:rFonts w:ascii="Times New Roman" w:hAnsi="Times New Roman" w:cs="Times New Roman"/>
          <w:sz w:val="24"/>
          <w:szCs w:val="24"/>
          <w:lang w:val="en-US"/>
        </w:rPr>
        <w:t xml:space="preserve">. </w:t>
      </w:r>
      <w:r w:rsidR="00E45EB4" w:rsidRPr="003101A0">
        <w:rPr>
          <w:rFonts w:ascii="Times New Roman" w:hAnsi="Times New Roman" w:cs="Times New Roman"/>
          <w:sz w:val="24"/>
          <w:szCs w:val="24"/>
          <w:lang w:val="en-US"/>
        </w:rPr>
        <w:t>Covenants on incremental bond issues could act as substitutes or complement</w:t>
      </w:r>
      <w:r w:rsidR="00A50B64">
        <w:rPr>
          <w:rFonts w:ascii="Times New Roman" w:hAnsi="Times New Roman" w:cs="Times New Roman"/>
          <w:sz w:val="24"/>
          <w:szCs w:val="24"/>
          <w:lang w:val="en-US"/>
        </w:rPr>
        <w:t>s of</w:t>
      </w:r>
      <w:r w:rsidR="00E45EB4" w:rsidRPr="003101A0">
        <w:rPr>
          <w:rFonts w:ascii="Times New Roman" w:hAnsi="Times New Roman" w:cs="Times New Roman"/>
          <w:sz w:val="24"/>
          <w:szCs w:val="24"/>
          <w:lang w:val="en-US"/>
        </w:rPr>
        <w:t xml:space="preserve"> existing covenants (Beatty</w:t>
      </w:r>
      <w:r w:rsidR="00DA6314" w:rsidRPr="003101A0">
        <w:rPr>
          <w:rFonts w:ascii="Times New Roman" w:hAnsi="Times New Roman" w:cs="Times New Roman"/>
          <w:sz w:val="24"/>
          <w:szCs w:val="24"/>
          <w:lang w:val="en-US"/>
        </w:rPr>
        <w:t xml:space="preserve"> et al.</w:t>
      </w:r>
      <w:r w:rsidR="00E45EB4" w:rsidRPr="003101A0">
        <w:rPr>
          <w:rFonts w:ascii="Times New Roman" w:hAnsi="Times New Roman" w:cs="Times New Roman"/>
          <w:sz w:val="24"/>
          <w:szCs w:val="24"/>
          <w:lang w:val="en-US"/>
        </w:rPr>
        <w:t xml:space="preserve">, 2012; </w:t>
      </w:r>
      <w:proofErr w:type="spellStart"/>
      <w:r w:rsidR="00E45EB4" w:rsidRPr="003101A0">
        <w:rPr>
          <w:rFonts w:ascii="Times New Roman" w:hAnsi="Times New Roman" w:cs="Times New Roman"/>
          <w:sz w:val="24"/>
          <w:szCs w:val="24"/>
          <w:lang w:val="en-US"/>
        </w:rPr>
        <w:t>Ma</w:t>
      </w:r>
      <w:r w:rsidR="00DA6314" w:rsidRPr="003101A0">
        <w:rPr>
          <w:rFonts w:ascii="Times New Roman" w:hAnsi="Times New Roman" w:cs="Times New Roman"/>
          <w:sz w:val="24"/>
          <w:szCs w:val="24"/>
          <w:lang w:val="en-US"/>
        </w:rPr>
        <w:t>et</w:t>
      </w:r>
      <w:proofErr w:type="spellEnd"/>
      <w:r w:rsidR="00DA6314" w:rsidRPr="003101A0">
        <w:rPr>
          <w:rFonts w:ascii="Times New Roman" w:hAnsi="Times New Roman" w:cs="Times New Roman"/>
          <w:sz w:val="24"/>
          <w:szCs w:val="24"/>
          <w:lang w:val="en-US"/>
        </w:rPr>
        <w:t xml:space="preserve"> al.</w:t>
      </w:r>
      <w:r w:rsidR="00E45EB4" w:rsidRPr="003101A0">
        <w:rPr>
          <w:rFonts w:ascii="Times New Roman" w:hAnsi="Times New Roman" w:cs="Times New Roman"/>
          <w:sz w:val="24"/>
          <w:szCs w:val="24"/>
          <w:lang w:val="en-US"/>
        </w:rPr>
        <w:t xml:space="preserve">, 2019; Lou and Otto, 2020), so we have no clear prediction on the impact of these measures on </w:t>
      </w:r>
      <w:r w:rsidR="00E45EB4" w:rsidRPr="003101A0">
        <w:rPr>
          <w:rFonts w:ascii="Times New Roman" w:hAnsi="Times New Roman" w:cs="Times New Roman"/>
          <w:i/>
          <w:iCs/>
          <w:sz w:val="24"/>
          <w:szCs w:val="24"/>
          <w:lang w:val="en-US"/>
        </w:rPr>
        <w:t>CI index</w:t>
      </w:r>
      <w:r w:rsidR="00E45EB4" w:rsidRPr="003101A0">
        <w:rPr>
          <w:rFonts w:ascii="Times New Roman" w:hAnsi="Times New Roman" w:cs="Times New Roman"/>
          <w:sz w:val="24"/>
          <w:szCs w:val="24"/>
          <w:lang w:val="en-US"/>
        </w:rPr>
        <w:t xml:space="preserve">. </w:t>
      </w:r>
    </w:p>
    <w:p w14:paraId="56792564" w14:textId="384DF4E8" w:rsidR="00AF72DE" w:rsidRPr="003101A0" w:rsidRDefault="00AF72DE" w:rsidP="004C60D6">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Table 3, Panel A, provides a univariate comparison of the </w:t>
      </w:r>
      <w:r w:rsidR="0049747B" w:rsidRPr="003101A0">
        <w:rPr>
          <w:rFonts w:ascii="Times New Roman" w:hAnsi="Times New Roman" w:cs="Times New Roman"/>
          <w:sz w:val="24"/>
          <w:szCs w:val="24"/>
          <w:lang w:val="en-US"/>
        </w:rPr>
        <w:t>issuer</w:t>
      </w:r>
      <w:r w:rsidRPr="003101A0">
        <w:rPr>
          <w:rFonts w:ascii="Times New Roman" w:hAnsi="Times New Roman" w:cs="Times New Roman"/>
          <w:sz w:val="24"/>
          <w:szCs w:val="24"/>
          <w:lang w:val="en-US"/>
        </w:rPr>
        <w:t xml:space="preserve"> characteristics for the convertible and straight bond samples. </w:t>
      </w:r>
      <w:r w:rsidR="009B12D4" w:rsidRPr="003101A0">
        <w:rPr>
          <w:rFonts w:ascii="Times New Roman" w:hAnsi="Times New Roman" w:cs="Times New Roman"/>
          <w:sz w:val="24"/>
          <w:szCs w:val="24"/>
          <w:lang w:val="en-US"/>
        </w:rPr>
        <w:t xml:space="preserve">As noted in Section 2, theory predicts similar motives for covenants and convertible bonds. </w:t>
      </w:r>
      <w:r w:rsidR="00A50B64">
        <w:rPr>
          <w:rFonts w:ascii="Times New Roman" w:hAnsi="Times New Roman" w:cs="Times New Roman"/>
          <w:sz w:val="24"/>
          <w:szCs w:val="24"/>
          <w:lang w:val="en-US"/>
        </w:rPr>
        <w:t>Therefore</w:t>
      </w:r>
      <w:r w:rsidR="009B12D4">
        <w:rPr>
          <w:rFonts w:ascii="Times New Roman" w:hAnsi="Times New Roman" w:cs="Times New Roman"/>
          <w:sz w:val="24"/>
          <w:szCs w:val="24"/>
          <w:lang w:val="en-US"/>
        </w:rPr>
        <w:t xml:space="preserve">, we expect </w:t>
      </w:r>
      <w:r w:rsidR="009B12D4" w:rsidRPr="003101A0">
        <w:rPr>
          <w:rFonts w:ascii="Times New Roman" w:hAnsi="Times New Roman" w:cs="Times New Roman"/>
          <w:sz w:val="24"/>
          <w:szCs w:val="24"/>
          <w:lang w:val="en-US"/>
        </w:rPr>
        <w:t xml:space="preserve">a positive impact of debt-related financing costs and investment opportunities on firms’ likelihood of substituting convertible for straight bonds (Green, 1984; </w:t>
      </w:r>
      <w:proofErr w:type="spellStart"/>
      <w:r w:rsidR="009B12D4" w:rsidRPr="003101A0">
        <w:rPr>
          <w:rFonts w:ascii="Times New Roman" w:hAnsi="Times New Roman" w:cs="Times New Roman"/>
          <w:sz w:val="24"/>
          <w:szCs w:val="24"/>
          <w:lang w:val="en-US"/>
        </w:rPr>
        <w:t>Mayers</w:t>
      </w:r>
      <w:proofErr w:type="spellEnd"/>
      <w:r w:rsidR="009B12D4" w:rsidRPr="003101A0">
        <w:rPr>
          <w:rFonts w:ascii="Times New Roman" w:hAnsi="Times New Roman" w:cs="Times New Roman"/>
          <w:sz w:val="24"/>
          <w:szCs w:val="24"/>
          <w:lang w:val="en-US"/>
        </w:rPr>
        <w:t xml:space="preserve">, 1998). </w:t>
      </w:r>
      <w:r w:rsidRPr="003101A0">
        <w:rPr>
          <w:rFonts w:ascii="Times New Roman" w:hAnsi="Times New Roman" w:cs="Times New Roman"/>
          <w:sz w:val="24"/>
          <w:szCs w:val="24"/>
          <w:lang w:val="en-US"/>
        </w:rPr>
        <w:t>The univariate results are largely consistent with</w:t>
      </w:r>
      <w:r w:rsidR="009B12D4">
        <w:rPr>
          <w:rFonts w:ascii="Times New Roman" w:hAnsi="Times New Roman" w:cs="Times New Roman"/>
          <w:sz w:val="24"/>
          <w:szCs w:val="24"/>
          <w:lang w:val="en-US"/>
        </w:rPr>
        <w:t xml:space="preserve"> these</w:t>
      </w:r>
      <w:r w:rsidRPr="003101A0">
        <w:rPr>
          <w:rFonts w:ascii="Times New Roman" w:hAnsi="Times New Roman" w:cs="Times New Roman"/>
          <w:sz w:val="24"/>
          <w:szCs w:val="24"/>
          <w:lang w:val="en-US"/>
        </w:rPr>
        <w:t xml:space="preserve"> predictions. </w:t>
      </w:r>
      <w:r w:rsidR="00ED7436">
        <w:rPr>
          <w:rFonts w:ascii="Times New Roman" w:hAnsi="Times New Roman" w:cs="Times New Roman"/>
          <w:sz w:val="24"/>
          <w:szCs w:val="24"/>
          <w:lang w:val="en-US"/>
        </w:rPr>
        <w:t>C</w:t>
      </w:r>
      <w:r w:rsidRPr="003101A0">
        <w:rPr>
          <w:rFonts w:ascii="Times New Roman" w:hAnsi="Times New Roman" w:cs="Times New Roman"/>
          <w:sz w:val="24"/>
          <w:szCs w:val="24"/>
          <w:lang w:val="en-US"/>
        </w:rPr>
        <w:t xml:space="preserve">onvertible bond issuers have higher values on </w:t>
      </w:r>
      <w:r w:rsidR="001C1334" w:rsidRPr="003101A0">
        <w:rPr>
          <w:rFonts w:ascii="Times New Roman" w:hAnsi="Times New Roman" w:cs="Times New Roman"/>
          <w:sz w:val="24"/>
          <w:szCs w:val="24"/>
          <w:lang w:val="en-US"/>
        </w:rPr>
        <w:t xml:space="preserve">all </w:t>
      </w:r>
      <w:r w:rsidRPr="003101A0">
        <w:rPr>
          <w:rFonts w:ascii="Times New Roman" w:hAnsi="Times New Roman" w:cs="Times New Roman"/>
          <w:sz w:val="24"/>
          <w:szCs w:val="24"/>
          <w:lang w:val="en-US"/>
        </w:rPr>
        <w:t>debt-related agency</w:t>
      </w:r>
      <w:r w:rsidR="001C1334" w:rsidRPr="003101A0">
        <w:rPr>
          <w:rFonts w:ascii="Times New Roman" w:hAnsi="Times New Roman" w:cs="Times New Roman"/>
          <w:sz w:val="24"/>
          <w:szCs w:val="24"/>
          <w:lang w:val="en-US"/>
        </w:rPr>
        <w:t xml:space="preserve"> and financial distress</w:t>
      </w:r>
      <w:r w:rsidRPr="003101A0">
        <w:rPr>
          <w:rFonts w:ascii="Times New Roman" w:hAnsi="Times New Roman" w:cs="Times New Roman"/>
          <w:sz w:val="24"/>
          <w:szCs w:val="24"/>
          <w:lang w:val="en-US"/>
        </w:rPr>
        <w:t xml:space="preserve"> cost proxies </w:t>
      </w:r>
      <w:r w:rsidR="00871C61" w:rsidRPr="003101A0">
        <w:rPr>
          <w:rFonts w:ascii="Times New Roman" w:hAnsi="Times New Roman" w:cs="Times New Roman"/>
          <w:sz w:val="24"/>
          <w:szCs w:val="24"/>
          <w:lang w:val="en-US"/>
        </w:rPr>
        <w:t>except for</w:t>
      </w:r>
      <w:r w:rsidRPr="003101A0">
        <w:rPr>
          <w:rFonts w:ascii="Times New Roman" w:hAnsi="Times New Roman" w:cs="Times New Roman"/>
          <w:sz w:val="24"/>
          <w:szCs w:val="24"/>
          <w:lang w:val="en-US"/>
        </w:rPr>
        <w:t xml:space="preserve"> </w:t>
      </w:r>
      <w:r w:rsidRPr="003101A0">
        <w:rPr>
          <w:rFonts w:ascii="Times New Roman" w:hAnsi="Times New Roman" w:cs="Times New Roman"/>
          <w:i/>
          <w:sz w:val="24"/>
          <w:szCs w:val="24"/>
          <w:lang w:val="en-US"/>
        </w:rPr>
        <w:t>Leverage</w:t>
      </w:r>
      <w:r w:rsidR="0094750E" w:rsidRPr="003101A0">
        <w:rPr>
          <w:rFonts w:ascii="Times New Roman" w:hAnsi="Times New Roman" w:cs="Times New Roman"/>
          <w:iCs/>
          <w:sz w:val="24"/>
          <w:szCs w:val="24"/>
          <w:lang w:val="en-US"/>
        </w:rPr>
        <w:t xml:space="preserve"> and </w:t>
      </w:r>
      <w:r w:rsidR="0094750E" w:rsidRPr="003101A0">
        <w:rPr>
          <w:rFonts w:ascii="Times New Roman" w:hAnsi="Times New Roman" w:cs="Times New Roman"/>
          <w:i/>
          <w:sz w:val="24"/>
          <w:szCs w:val="24"/>
          <w:lang w:val="en-US"/>
        </w:rPr>
        <w:t>Interest coverage</w:t>
      </w:r>
      <w:r w:rsidRPr="003101A0">
        <w:rPr>
          <w:rFonts w:ascii="Times New Roman" w:hAnsi="Times New Roman" w:cs="Times New Roman"/>
          <w:sz w:val="24"/>
          <w:szCs w:val="24"/>
          <w:lang w:val="en-US"/>
        </w:rPr>
        <w:t xml:space="preserve">, </w:t>
      </w:r>
      <w:r w:rsidR="006B7D55">
        <w:rPr>
          <w:rFonts w:ascii="Times New Roman" w:hAnsi="Times New Roman" w:cs="Times New Roman"/>
          <w:sz w:val="24"/>
          <w:szCs w:val="24"/>
          <w:lang w:val="en-US"/>
        </w:rPr>
        <w:t xml:space="preserve">and </w:t>
      </w:r>
      <w:r w:rsidRPr="003101A0">
        <w:rPr>
          <w:rFonts w:ascii="Times New Roman" w:hAnsi="Times New Roman" w:cs="Times New Roman"/>
          <w:sz w:val="24"/>
          <w:szCs w:val="24"/>
          <w:lang w:val="en-US"/>
        </w:rPr>
        <w:t xml:space="preserve">higher values on </w:t>
      </w:r>
      <w:r w:rsidR="0094750E" w:rsidRPr="003101A0">
        <w:rPr>
          <w:rFonts w:ascii="Times New Roman" w:hAnsi="Times New Roman" w:cs="Times New Roman"/>
          <w:sz w:val="24"/>
          <w:szCs w:val="24"/>
          <w:lang w:val="en-US"/>
        </w:rPr>
        <w:t xml:space="preserve">all three </w:t>
      </w:r>
      <w:r w:rsidRPr="003101A0">
        <w:rPr>
          <w:rFonts w:ascii="Times New Roman" w:hAnsi="Times New Roman" w:cs="Times New Roman"/>
          <w:sz w:val="24"/>
          <w:szCs w:val="24"/>
          <w:lang w:val="en-US"/>
        </w:rPr>
        <w:t>investment opportunity proxies</w:t>
      </w:r>
      <w:r w:rsidR="0049747B" w:rsidRPr="003101A0">
        <w:rPr>
          <w:rFonts w:ascii="Times New Roman" w:hAnsi="Times New Roman" w:cs="Times New Roman"/>
          <w:sz w:val="24"/>
          <w:szCs w:val="24"/>
          <w:lang w:val="en-US"/>
        </w:rPr>
        <w:t xml:space="preserve"> than straight bond issuers</w:t>
      </w:r>
      <w:r w:rsidRPr="003101A0">
        <w:rPr>
          <w:rFonts w:ascii="Times New Roman" w:hAnsi="Times New Roman" w:cs="Times New Roman"/>
          <w:sz w:val="24"/>
          <w:szCs w:val="24"/>
          <w:lang w:val="en-US"/>
        </w:rPr>
        <w:t xml:space="preserve">. </w:t>
      </w:r>
    </w:p>
    <w:p w14:paraId="009C50E9" w14:textId="7CE3C7C0" w:rsidR="00AF72DE" w:rsidRDefault="00AF72DE" w:rsidP="004C60D6">
      <w:pPr>
        <w:spacing w:after="0" w:line="480" w:lineRule="auto"/>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&lt;&lt; Please insert Table 3 here &gt;&gt;</w:t>
      </w:r>
    </w:p>
    <w:p w14:paraId="5213925E" w14:textId="77F3BB30" w:rsidR="0049747B" w:rsidRPr="003101A0" w:rsidRDefault="0049747B" w:rsidP="004C60D6">
      <w:pPr>
        <w:pStyle w:val="Header"/>
        <w:spacing w:line="480" w:lineRule="auto"/>
        <w:ind w:firstLine="360"/>
        <w:jc w:val="both"/>
        <w:rPr>
          <w:rFonts w:ascii="Times New Roman" w:eastAsia="Times New Roman" w:hAnsi="Times New Roman" w:cs="Times New Roman"/>
          <w:sz w:val="24"/>
          <w:szCs w:val="24"/>
          <w:u w:val="single"/>
          <w:lang w:val="en-US"/>
        </w:rPr>
      </w:pPr>
      <w:r w:rsidRPr="003101A0">
        <w:rPr>
          <w:rFonts w:ascii="Times New Roman" w:eastAsia="Times New Roman" w:hAnsi="Times New Roman" w:cs="Times New Roman"/>
          <w:sz w:val="24"/>
          <w:szCs w:val="24"/>
          <w:u w:val="single"/>
          <w:lang w:val="en-US"/>
        </w:rPr>
        <w:t>Macroeconomic characteristics</w:t>
      </w:r>
    </w:p>
    <w:p w14:paraId="003C2DB4" w14:textId="1E514BCC" w:rsidR="00EC2C92" w:rsidRPr="003101A0" w:rsidRDefault="00EC2C92" w:rsidP="004C60D6">
      <w:pPr>
        <w:pStyle w:val="Header"/>
        <w:spacing w:line="480" w:lineRule="auto"/>
        <w:ind w:firstLine="360"/>
        <w:jc w:val="both"/>
        <w:rPr>
          <w:rFonts w:ascii="Times New Roman" w:eastAsia="Times New Roman" w:hAnsi="Times New Roman" w:cs="Times New Roman"/>
          <w:sz w:val="24"/>
          <w:szCs w:val="24"/>
          <w:lang w:val="en-US"/>
        </w:rPr>
      </w:pPr>
      <w:r w:rsidRPr="003101A0">
        <w:rPr>
          <w:rFonts w:ascii="Times New Roman" w:eastAsia="Times New Roman" w:hAnsi="Times New Roman" w:cs="Times New Roman"/>
          <w:sz w:val="24"/>
          <w:szCs w:val="24"/>
          <w:lang w:val="en-US"/>
        </w:rPr>
        <w:t>W</w:t>
      </w:r>
      <w:r w:rsidR="0012620F" w:rsidRPr="003101A0">
        <w:rPr>
          <w:rFonts w:ascii="Times New Roman" w:eastAsia="Times New Roman" w:hAnsi="Times New Roman" w:cs="Times New Roman"/>
          <w:sz w:val="24"/>
          <w:szCs w:val="24"/>
          <w:lang w:val="en-US"/>
        </w:rPr>
        <w:t xml:space="preserve">e </w:t>
      </w:r>
      <w:r w:rsidRPr="003101A0">
        <w:rPr>
          <w:rFonts w:ascii="Times New Roman" w:eastAsia="Times New Roman" w:hAnsi="Times New Roman" w:cs="Times New Roman"/>
          <w:sz w:val="24"/>
          <w:szCs w:val="24"/>
          <w:lang w:val="en-US"/>
        </w:rPr>
        <w:t xml:space="preserve">also </w:t>
      </w:r>
      <w:r w:rsidR="0012620F" w:rsidRPr="003101A0">
        <w:rPr>
          <w:rFonts w:ascii="Times New Roman" w:eastAsia="Times New Roman" w:hAnsi="Times New Roman" w:cs="Times New Roman"/>
          <w:sz w:val="24"/>
          <w:szCs w:val="24"/>
          <w:lang w:val="en-US"/>
        </w:rPr>
        <w:t>control for relevant macroeconomic characteristics</w:t>
      </w:r>
      <w:r w:rsidR="0049747B" w:rsidRPr="003101A0">
        <w:rPr>
          <w:rFonts w:ascii="Times New Roman" w:eastAsia="Times New Roman" w:hAnsi="Times New Roman" w:cs="Times New Roman"/>
          <w:sz w:val="24"/>
          <w:szCs w:val="24"/>
          <w:lang w:val="en-US"/>
        </w:rPr>
        <w:t xml:space="preserve"> </w:t>
      </w:r>
      <w:r w:rsidR="00F050A2" w:rsidRPr="003101A0">
        <w:rPr>
          <w:rFonts w:ascii="Times New Roman" w:eastAsia="Times New Roman" w:hAnsi="Times New Roman" w:cs="Times New Roman"/>
          <w:sz w:val="24"/>
          <w:szCs w:val="24"/>
          <w:lang w:val="en-US"/>
        </w:rPr>
        <w:t xml:space="preserve">as in other studies on covenant intensity (Bradley and Roberts, 2015; </w:t>
      </w:r>
      <w:proofErr w:type="spellStart"/>
      <w:r w:rsidR="00F050A2" w:rsidRPr="003101A0">
        <w:rPr>
          <w:rFonts w:ascii="Times New Roman" w:eastAsia="Times New Roman" w:hAnsi="Times New Roman" w:cs="Times New Roman"/>
          <w:sz w:val="24"/>
          <w:szCs w:val="24"/>
          <w:lang w:val="en-US"/>
        </w:rPr>
        <w:t>Helwege</w:t>
      </w:r>
      <w:proofErr w:type="spellEnd"/>
      <w:r w:rsidR="00F050A2" w:rsidRPr="003101A0">
        <w:rPr>
          <w:rFonts w:ascii="Times New Roman" w:eastAsia="Times New Roman" w:hAnsi="Times New Roman" w:cs="Times New Roman"/>
          <w:sz w:val="24"/>
          <w:szCs w:val="24"/>
          <w:lang w:val="en-US"/>
        </w:rPr>
        <w:t xml:space="preserve"> et al., 2017). </w:t>
      </w:r>
      <w:r w:rsidR="0012620F" w:rsidRPr="003101A0">
        <w:rPr>
          <w:rFonts w:ascii="Times New Roman" w:eastAsia="Times New Roman" w:hAnsi="Times New Roman" w:cs="Times New Roman"/>
          <w:i/>
          <w:iCs/>
          <w:sz w:val="24"/>
          <w:szCs w:val="24"/>
          <w:lang w:val="en-US"/>
        </w:rPr>
        <w:t>TB yield</w:t>
      </w:r>
      <w:r w:rsidR="0012620F" w:rsidRPr="003101A0">
        <w:rPr>
          <w:rFonts w:ascii="Times New Roman" w:eastAsia="Times New Roman" w:hAnsi="Times New Roman" w:cs="Times New Roman"/>
          <w:sz w:val="24"/>
          <w:szCs w:val="24"/>
          <w:lang w:val="en-US"/>
        </w:rPr>
        <w:t xml:space="preserve"> and </w:t>
      </w:r>
      <w:r w:rsidR="0012620F" w:rsidRPr="003101A0">
        <w:rPr>
          <w:rFonts w:ascii="Times New Roman" w:eastAsia="Times New Roman" w:hAnsi="Times New Roman" w:cs="Times New Roman"/>
          <w:i/>
          <w:iCs/>
          <w:sz w:val="24"/>
          <w:szCs w:val="24"/>
          <w:lang w:val="en-US"/>
        </w:rPr>
        <w:t>Credit spread</w:t>
      </w:r>
      <w:r w:rsidR="0012620F" w:rsidRPr="003101A0">
        <w:rPr>
          <w:rFonts w:ascii="Times New Roman" w:eastAsia="Times New Roman" w:hAnsi="Times New Roman" w:cs="Times New Roman"/>
          <w:sz w:val="24"/>
          <w:szCs w:val="24"/>
          <w:lang w:val="en-US"/>
        </w:rPr>
        <w:t xml:space="preserve"> capture </w:t>
      </w:r>
      <w:r w:rsidR="00737B5D">
        <w:rPr>
          <w:rFonts w:ascii="Times New Roman" w:eastAsia="Times New Roman" w:hAnsi="Times New Roman" w:cs="Times New Roman"/>
          <w:sz w:val="24"/>
          <w:szCs w:val="24"/>
          <w:lang w:val="en-US"/>
        </w:rPr>
        <w:t xml:space="preserve">higher </w:t>
      </w:r>
      <w:r w:rsidR="0012620F" w:rsidRPr="003101A0">
        <w:rPr>
          <w:rFonts w:ascii="Times New Roman" w:eastAsia="Times New Roman" w:hAnsi="Times New Roman" w:cs="Times New Roman"/>
          <w:sz w:val="24"/>
          <w:szCs w:val="24"/>
          <w:lang w:val="en-US"/>
        </w:rPr>
        <w:t xml:space="preserve">economy-wide debt-related financing costs, </w:t>
      </w:r>
      <w:r w:rsidR="00871C61" w:rsidRPr="003101A0">
        <w:rPr>
          <w:rFonts w:ascii="Times New Roman" w:eastAsia="Times New Roman" w:hAnsi="Times New Roman" w:cs="Times New Roman"/>
          <w:sz w:val="24"/>
          <w:szCs w:val="24"/>
          <w:lang w:val="en-US"/>
        </w:rPr>
        <w:t xml:space="preserve">while </w:t>
      </w:r>
      <w:r w:rsidR="0012620F" w:rsidRPr="003101A0">
        <w:rPr>
          <w:rFonts w:ascii="Times New Roman" w:eastAsia="Times New Roman" w:hAnsi="Times New Roman" w:cs="Times New Roman"/>
          <w:i/>
          <w:iCs/>
          <w:sz w:val="24"/>
          <w:szCs w:val="24"/>
          <w:lang w:val="en-US"/>
        </w:rPr>
        <w:t>Market runup</w:t>
      </w:r>
      <w:r w:rsidR="0012620F" w:rsidRPr="003101A0">
        <w:rPr>
          <w:rFonts w:ascii="Times New Roman" w:eastAsia="Times New Roman" w:hAnsi="Times New Roman" w:cs="Times New Roman"/>
          <w:sz w:val="24"/>
          <w:szCs w:val="24"/>
          <w:lang w:val="en-US"/>
        </w:rPr>
        <w:t xml:space="preserve"> captures </w:t>
      </w:r>
      <w:r w:rsidR="001A6172" w:rsidRPr="003101A0">
        <w:rPr>
          <w:rFonts w:ascii="Times New Roman" w:eastAsia="Times New Roman" w:hAnsi="Times New Roman" w:cs="Times New Roman"/>
          <w:sz w:val="24"/>
          <w:szCs w:val="24"/>
          <w:lang w:val="en-US"/>
        </w:rPr>
        <w:t>lower</w:t>
      </w:r>
      <w:r w:rsidR="0012620F" w:rsidRPr="003101A0">
        <w:rPr>
          <w:rFonts w:ascii="Times New Roman" w:eastAsia="Times New Roman" w:hAnsi="Times New Roman" w:cs="Times New Roman"/>
          <w:sz w:val="24"/>
          <w:szCs w:val="24"/>
          <w:lang w:val="en-US"/>
        </w:rPr>
        <w:t xml:space="preserve"> </w:t>
      </w:r>
      <w:r w:rsidR="001A6172" w:rsidRPr="003101A0">
        <w:rPr>
          <w:rFonts w:ascii="Times New Roman" w:eastAsia="Times New Roman" w:hAnsi="Times New Roman" w:cs="Times New Roman"/>
          <w:sz w:val="24"/>
          <w:szCs w:val="24"/>
          <w:lang w:val="en-US"/>
        </w:rPr>
        <w:t xml:space="preserve">economy-wide </w:t>
      </w:r>
      <w:r w:rsidR="0012620F" w:rsidRPr="003101A0">
        <w:rPr>
          <w:rFonts w:ascii="Times New Roman" w:eastAsia="Times New Roman" w:hAnsi="Times New Roman" w:cs="Times New Roman"/>
          <w:sz w:val="24"/>
          <w:szCs w:val="24"/>
          <w:lang w:val="en-US"/>
        </w:rPr>
        <w:t>equity</w:t>
      </w:r>
      <w:r w:rsidR="001A6172" w:rsidRPr="003101A0">
        <w:rPr>
          <w:rFonts w:ascii="Times New Roman" w:eastAsia="Times New Roman" w:hAnsi="Times New Roman" w:cs="Times New Roman"/>
          <w:sz w:val="24"/>
          <w:szCs w:val="24"/>
          <w:lang w:val="en-US"/>
        </w:rPr>
        <w:t>-related</w:t>
      </w:r>
      <w:r w:rsidR="0012620F" w:rsidRPr="003101A0">
        <w:rPr>
          <w:rFonts w:ascii="Times New Roman" w:eastAsia="Times New Roman" w:hAnsi="Times New Roman" w:cs="Times New Roman"/>
          <w:sz w:val="24"/>
          <w:szCs w:val="24"/>
          <w:lang w:val="en-US"/>
        </w:rPr>
        <w:t xml:space="preserve"> financing</w:t>
      </w:r>
      <w:r w:rsidR="001A6172" w:rsidRPr="003101A0">
        <w:rPr>
          <w:rFonts w:ascii="Times New Roman" w:eastAsia="Times New Roman" w:hAnsi="Times New Roman" w:cs="Times New Roman"/>
          <w:sz w:val="24"/>
          <w:szCs w:val="24"/>
          <w:lang w:val="en-US"/>
        </w:rPr>
        <w:t xml:space="preserve"> costs</w:t>
      </w:r>
      <w:r w:rsidR="0012620F" w:rsidRPr="003101A0">
        <w:rPr>
          <w:rFonts w:ascii="Times New Roman" w:eastAsia="Times New Roman" w:hAnsi="Times New Roman" w:cs="Times New Roman"/>
          <w:sz w:val="24"/>
          <w:szCs w:val="24"/>
          <w:lang w:val="en-US"/>
        </w:rPr>
        <w:t xml:space="preserve"> (Choe et al., 1993). </w:t>
      </w:r>
      <w:r w:rsidR="00157C10" w:rsidRPr="003101A0">
        <w:rPr>
          <w:rFonts w:ascii="Times New Roman" w:eastAsia="Times New Roman" w:hAnsi="Times New Roman" w:cs="Times New Roman"/>
          <w:sz w:val="24"/>
          <w:szCs w:val="24"/>
          <w:lang w:val="en-US"/>
        </w:rPr>
        <w:t xml:space="preserve">We expect covenant intensity </w:t>
      </w:r>
      <w:r w:rsidR="00157C10" w:rsidRPr="003101A0">
        <w:rPr>
          <w:rFonts w:ascii="Times New Roman" w:eastAsia="Times New Roman" w:hAnsi="Times New Roman" w:cs="Times New Roman"/>
          <w:sz w:val="24"/>
          <w:szCs w:val="24"/>
          <w:lang w:val="en-US"/>
        </w:rPr>
        <w:lastRenderedPageBreak/>
        <w:t xml:space="preserve">to be higher in periods with high </w:t>
      </w:r>
      <w:r w:rsidR="00157C10" w:rsidRPr="003101A0">
        <w:rPr>
          <w:rFonts w:ascii="Times New Roman" w:eastAsia="Times New Roman" w:hAnsi="Times New Roman" w:cs="Times New Roman"/>
          <w:i/>
          <w:iCs/>
          <w:sz w:val="24"/>
          <w:szCs w:val="24"/>
          <w:lang w:val="en-US"/>
        </w:rPr>
        <w:t>T</w:t>
      </w:r>
      <w:r w:rsidR="00DA6314" w:rsidRPr="003101A0">
        <w:rPr>
          <w:rFonts w:ascii="Times New Roman" w:eastAsia="Times New Roman" w:hAnsi="Times New Roman" w:cs="Times New Roman"/>
          <w:i/>
          <w:iCs/>
          <w:sz w:val="24"/>
          <w:szCs w:val="24"/>
          <w:lang w:val="en-US"/>
        </w:rPr>
        <w:t>B</w:t>
      </w:r>
      <w:r w:rsidR="00157C10" w:rsidRPr="003101A0">
        <w:rPr>
          <w:rFonts w:ascii="Times New Roman" w:eastAsia="Times New Roman" w:hAnsi="Times New Roman" w:cs="Times New Roman"/>
          <w:i/>
          <w:iCs/>
          <w:sz w:val="24"/>
          <w:szCs w:val="24"/>
          <w:lang w:val="en-US"/>
        </w:rPr>
        <w:t xml:space="preserve"> yield</w:t>
      </w:r>
      <w:r w:rsidR="00157C10" w:rsidRPr="003101A0">
        <w:rPr>
          <w:rFonts w:ascii="Times New Roman" w:eastAsia="Times New Roman" w:hAnsi="Times New Roman" w:cs="Times New Roman"/>
          <w:sz w:val="24"/>
          <w:szCs w:val="24"/>
          <w:lang w:val="en-US"/>
        </w:rPr>
        <w:t xml:space="preserve"> and </w:t>
      </w:r>
      <w:r w:rsidR="00157C10" w:rsidRPr="003101A0">
        <w:rPr>
          <w:rFonts w:ascii="Times New Roman" w:eastAsia="Times New Roman" w:hAnsi="Times New Roman" w:cs="Times New Roman"/>
          <w:i/>
          <w:iCs/>
          <w:sz w:val="24"/>
          <w:szCs w:val="24"/>
          <w:lang w:val="en-US"/>
        </w:rPr>
        <w:t>Credit spread</w:t>
      </w:r>
      <w:r w:rsidR="00871C61" w:rsidRPr="003101A0">
        <w:rPr>
          <w:rFonts w:ascii="Times New Roman" w:eastAsia="Times New Roman" w:hAnsi="Times New Roman" w:cs="Times New Roman"/>
          <w:sz w:val="24"/>
          <w:szCs w:val="24"/>
          <w:lang w:val="en-US"/>
        </w:rPr>
        <w:t xml:space="preserve"> because</w:t>
      </w:r>
      <w:r w:rsidR="00157C10" w:rsidRPr="003101A0">
        <w:rPr>
          <w:rFonts w:ascii="Times New Roman" w:eastAsia="Times New Roman" w:hAnsi="Times New Roman" w:cs="Times New Roman"/>
          <w:sz w:val="24"/>
          <w:szCs w:val="24"/>
          <w:lang w:val="en-US"/>
        </w:rPr>
        <w:t xml:space="preserve"> investors may wish </w:t>
      </w:r>
      <w:r w:rsidR="00871C61" w:rsidRPr="003101A0">
        <w:rPr>
          <w:rFonts w:ascii="Times New Roman" w:eastAsia="Times New Roman" w:hAnsi="Times New Roman" w:cs="Times New Roman"/>
          <w:sz w:val="24"/>
          <w:szCs w:val="24"/>
          <w:lang w:val="en-US"/>
        </w:rPr>
        <w:t xml:space="preserve">for </w:t>
      </w:r>
      <w:r w:rsidR="00157C10" w:rsidRPr="003101A0">
        <w:rPr>
          <w:rFonts w:ascii="Times New Roman" w:eastAsia="Times New Roman" w:hAnsi="Times New Roman" w:cs="Times New Roman"/>
          <w:sz w:val="24"/>
          <w:szCs w:val="24"/>
          <w:lang w:val="en-US"/>
        </w:rPr>
        <w:t xml:space="preserve">more protection against financial distress during these periods. We predict a negative impact of </w:t>
      </w:r>
      <w:r w:rsidR="00157C10" w:rsidRPr="003101A0">
        <w:rPr>
          <w:rFonts w:ascii="Times New Roman" w:eastAsia="Times New Roman" w:hAnsi="Times New Roman" w:cs="Times New Roman"/>
          <w:i/>
          <w:iCs/>
          <w:sz w:val="24"/>
          <w:szCs w:val="24"/>
          <w:lang w:val="en-US"/>
        </w:rPr>
        <w:t>Market runup</w:t>
      </w:r>
      <w:r w:rsidR="00157C10" w:rsidRPr="003101A0">
        <w:rPr>
          <w:rFonts w:ascii="Times New Roman" w:eastAsia="Times New Roman" w:hAnsi="Times New Roman" w:cs="Times New Roman"/>
          <w:sz w:val="24"/>
          <w:szCs w:val="24"/>
          <w:lang w:val="en-US"/>
        </w:rPr>
        <w:t xml:space="preserve"> on covenant intensity to the extent that higher market returns capture economy-wide growth opportunities, lead</w:t>
      </w:r>
      <w:r w:rsidR="00871C61" w:rsidRPr="003101A0">
        <w:rPr>
          <w:rFonts w:ascii="Times New Roman" w:eastAsia="Times New Roman" w:hAnsi="Times New Roman" w:cs="Times New Roman"/>
          <w:sz w:val="24"/>
          <w:szCs w:val="24"/>
          <w:lang w:val="en-US"/>
        </w:rPr>
        <w:t>ing</w:t>
      </w:r>
      <w:r w:rsidR="00157C10" w:rsidRPr="003101A0">
        <w:rPr>
          <w:rFonts w:ascii="Times New Roman" w:eastAsia="Times New Roman" w:hAnsi="Times New Roman" w:cs="Times New Roman"/>
          <w:sz w:val="24"/>
          <w:szCs w:val="24"/>
          <w:lang w:val="en-US"/>
        </w:rPr>
        <w:t xml:space="preserve"> to a wish for more flexibility</w:t>
      </w:r>
      <w:r w:rsidR="001A6172" w:rsidRPr="003101A0">
        <w:rPr>
          <w:rFonts w:ascii="Times New Roman" w:eastAsia="Times New Roman" w:hAnsi="Times New Roman" w:cs="Times New Roman"/>
          <w:sz w:val="24"/>
          <w:szCs w:val="24"/>
          <w:lang w:val="en-US"/>
        </w:rPr>
        <w:t xml:space="preserve"> in bond contract terms</w:t>
      </w:r>
      <w:r w:rsidR="00157C10" w:rsidRPr="003101A0">
        <w:rPr>
          <w:rFonts w:ascii="Times New Roman" w:eastAsia="Times New Roman" w:hAnsi="Times New Roman" w:cs="Times New Roman"/>
          <w:sz w:val="24"/>
          <w:szCs w:val="24"/>
          <w:lang w:val="en-US"/>
        </w:rPr>
        <w:t xml:space="preserve">. </w:t>
      </w:r>
      <w:r w:rsidR="004B45C5">
        <w:rPr>
          <w:rFonts w:ascii="Times New Roman" w:eastAsia="Times New Roman" w:hAnsi="Times New Roman" w:cs="Times New Roman"/>
          <w:sz w:val="24"/>
          <w:szCs w:val="24"/>
          <w:lang w:val="en-US"/>
        </w:rPr>
        <w:t>Given the more equity-like nature of convertibles in comparison with straight bonds, w</w:t>
      </w:r>
      <w:r w:rsidR="004B45C5">
        <w:rPr>
          <w:rFonts w:ascii="Times New Roman" w:hAnsi="Times New Roman" w:cs="Times New Roman"/>
          <w:sz w:val="24"/>
          <w:szCs w:val="24"/>
          <w:lang w:val="en-US"/>
        </w:rPr>
        <w:t xml:space="preserve">e expect </w:t>
      </w:r>
      <w:r w:rsidR="004B45C5" w:rsidRPr="003101A0">
        <w:rPr>
          <w:rFonts w:ascii="Times New Roman" w:hAnsi="Times New Roman" w:cs="Times New Roman"/>
          <w:sz w:val="24"/>
          <w:szCs w:val="24"/>
          <w:lang w:val="en-US"/>
        </w:rPr>
        <w:t xml:space="preserve">a positive impact of </w:t>
      </w:r>
      <w:r w:rsidR="004B45C5">
        <w:rPr>
          <w:rFonts w:ascii="Times New Roman" w:hAnsi="Times New Roman" w:cs="Times New Roman"/>
          <w:sz w:val="24"/>
          <w:szCs w:val="24"/>
          <w:lang w:val="en-US"/>
        </w:rPr>
        <w:t xml:space="preserve">economy-wide </w:t>
      </w:r>
      <w:r w:rsidR="004B45C5" w:rsidRPr="003101A0">
        <w:rPr>
          <w:rFonts w:ascii="Times New Roman" w:hAnsi="Times New Roman" w:cs="Times New Roman"/>
          <w:sz w:val="24"/>
          <w:szCs w:val="24"/>
          <w:lang w:val="en-US"/>
        </w:rPr>
        <w:t xml:space="preserve">debt-related financing costs and </w:t>
      </w:r>
      <w:r w:rsidR="004B45C5">
        <w:rPr>
          <w:rFonts w:ascii="Times New Roman" w:hAnsi="Times New Roman" w:cs="Times New Roman"/>
          <w:sz w:val="24"/>
          <w:szCs w:val="24"/>
          <w:lang w:val="en-US"/>
        </w:rPr>
        <w:t xml:space="preserve">of </w:t>
      </w:r>
      <w:r w:rsidR="004B45C5" w:rsidRPr="003E0D9E">
        <w:rPr>
          <w:rFonts w:ascii="Times New Roman" w:hAnsi="Times New Roman" w:cs="Times New Roman"/>
          <w:i/>
          <w:iCs/>
          <w:sz w:val="24"/>
          <w:szCs w:val="24"/>
          <w:lang w:val="en-US"/>
        </w:rPr>
        <w:t>Market runup</w:t>
      </w:r>
      <w:r w:rsidR="004B45C5">
        <w:rPr>
          <w:rFonts w:ascii="Times New Roman" w:hAnsi="Times New Roman" w:cs="Times New Roman"/>
          <w:sz w:val="24"/>
          <w:szCs w:val="24"/>
          <w:lang w:val="en-US"/>
        </w:rPr>
        <w:t xml:space="preserve"> on</w:t>
      </w:r>
      <w:r w:rsidR="004B45C5" w:rsidRPr="003101A0">
        <w:rPr>
          <w:rFonts w:ascii="Times New Roman" w:hAnsi="Times New Roman" w:cs="Times New Roman"/>
          <w:sz w:val="24"/>
          <w:szCs w:val="24"/>
          <w:lang w:val="en-US"/>
        </w:rPr>
        <w:t xml:space="preserve"> firms’ likelihood of substituting convertible for straight bonds</w:t>
      </w:r>
      <w:r w:rsidR="004B45C5">
        <w:rPr>
          <w:rFonts w:ascii="Times New Roman" w:hAnsi="Times New Roman" w:cs="Times New Roman"/>
          <w:sz w:val="24"/>
          <w:szCs w:val="24"/>
          <w:lang w:val="en-US"/>
        </w:rPr>
        <w:t xml:space="preserve"> (Lewis et al., 2003)</w:t>
      </w:r>
      <w:r w:rsidR="004B45C5" w:rsidRPr="003101A0">
        <w:rPr>
          <w:rFonts w:ascii="Times New Roman" w:hAnsi="Times New Roman" w:cs="Times New Roman"/>
          <w:sz w:val="24"/>
          <w:szCs w:val="24"/>
          <w:lang w:val="en-US"/>
        </w:rPr>
        <w:t>.</w:t>
      </w:r>
      <w:r w:rsidR="004B45C5">
        <w:rPr>
          <w:rFonts w:ascii="Times New Roman" w:hAnsi="Times New Roman" w:cs="Times New Roman"/>
          <w:sz w:val="24"/>
          <w:szCs w:val="24"/>
          <w:lang w:val="en-US"/>
        </w:rPr>
        <w:t xml:space="preserve"> </w:t>
      </w:r>
      <w:r w:rsidR="0012620F" w:rsidRPr="003101A0">
        <w:rPr>
          <w:rFonts w:ascii="Times New Roman" w:eastAsia="Times New Roman" w:hAnsi="Times New Roman" w:cs="Times New Roman"/>
          <w:sz w:val="24"/>
          <w:szCs w:val="24"/>
          <w:lang w:val="en-US"/>
        </w:rPr>
        <w:t>Univariate differences between the macroeconomic characteristics</w:t>
      </w:r>
      <w:r w:rsidR="00F050A2" w:rsidRPr="003101A0">
        <w:rPr>
          <w:rFonts w:ascii="Times New Roman" w:eastAsia="Times New Roman" w:hAnsi="Times New Roman" w:cs="Times New Roman"/>
          <w:sz w:val="24"/>
          <w:szCs w:val="24"/>
          <w:lang w:val="en-US"/>
        </w:rPr>
        <w:t xml:space="preserve"> for convertible and straight bond issues presented in Table 3, Panel </w:t>
      </w:r>
      <w:r w:rsidR="000A4BBB" w:rsidRPr="003101A0">
        <w:rPr>
          <w:rFonts w:ascii="Times New Roman" w:eastAsia="Times New Roman" w:hAnsi="Times New Roman" w:cs="Times New Roman"/>
          <w:sz w:val="24"/>
          <w:szCs w:val="24"/>
          <w:lang w:val="en-US"/>
        </w:rPr>
        <w:t>B</w:t>
      </w:r>
      <w:r w:rsidR="005539B2" w:rsidRPr="003101A0">
        <w:rPr>
          <w:rFonts w:ascii="Times New Roman" w:eastAsia="Times New Roman" w:hAnsi="Times New Roman" w:cs="Times New Roman"/>
          <w:sz w:val="24"/>
          <w:szCs w:val="24"/>
          <w:lang w:val="en-US"/>
        </w:rPr>
        <w:t>,</w:t>
      </w:r>
      <w:r w:rsidR="0012620F" w:rsidRPr="003101A0">
        <w:rPr>
          <w:rFonts w:ascii="Times New Roman" w:eastAsia="Times New Roman" w:hAnsi="Times New Roman" w:cs="Times New Roman"/>
          <w:sz w:val="24"/>
          <w:szCs w:val="24"/>
          <w:lang w:val="en-US"/>
        </w:rPr>
        <w:t xml:space="preserve"> are in line with </w:t>
      </w:r>
      <w:r w:rsidR="004B45C5">
        <w:rPr>
          <w:rFonts w:ascii="Times New Roman" w:eastAsia="Times New Roman" w:hAnsi="Times New Roman" w:cs="Times New Roman"/>
          <w:sz w:val="24"/>
          <w:szCs w:val="24"/>
          <w:lang w:val="en-US"/>
        </w:rPr>
        <w:t xml:space="preserve">these </w:t>
      </w:r>
      <w:r w:rsidR="0012620F" w:rsidRPr="003101A0">
        <w:rPr>
          <w:rFonts w:ascii="Times New Roman" w:eastAsia="Times New Roman" w:hAnsi="Times New Roman" w:cs="Times New Roman"/>
          <w:sz w:val="24"/>
          <w:szCs w:val="24"/>
          <w:lang w:val="en-US"/>
        </w:rPr>
        <w:t xml:space="preserve">predictions, except that </w:t>
      </w:r>
      <w:r w:rsidR="0012620F" w:rsidRPr="003101A0">
        <w:rPr>
          <w:rFonts w:ascii="Times New Roman" w:eastAsia="Times New Roman" w:hAnsi="Times New Roman" w:cs="Times New Roman"/>
          <w:i/>
          <w:iCs/>
          <w:sz w:val="24"/>
          <w:szCs w:val="24"/>
          <w:lang w:val="en-US"/>
        </w:rPr>
        <w:t>Credit spread</w:t>
      </w:r>
      <w:r w:rsidR="0012620F" w:rsidRPr="003101A0">
        <w:rPr>
          <w:rFonts w:ascii="Times New Roman" w:eastAsia="Times New Roman" w:hAnsi="Times New Roman" w:cs="Times New Roman"/>
          <w:sz w:val="24"/>
          <w:szCs w:val="24"/>
          <w:lang w:val="en-US"/>
        </w:rPr>
        <w:t xml:space="preserve"> is higher for straight than for convertible bonds</w:t>
      </w:r>
      <w:r w:rsidR="001A6172" w:rsidRPr="003101A0">
        <w:rPr>
          <w:rFonts w:ascii="Times New Roman" w:eastAsia="Times New Roman" w:hAnsi="Times New Roman" w:cs="Times New Roman"/>
          <w:sz w:val="24"/>
          <w:szCs w:val="24"/>
          <w:lang w:val="en-US"/>
        </w:rPr>
        <w:t>.</w:t>
      </w:r>
    </w:p>
    <w:p w14:paraId="78CCE1A3" w14:textId="6C62F2FA" w:rsidR="00EC2C92" w:rsidRPr="003101A0" w:rsidRDefault="00EC2C92" w:rsidP="00BE408D">
      <w:pPr>
        <w:pStyle w:val="Header"/>
        <w:spacing w:line="480" w:lineRule="auto"/>
        <w:ind w:firstLine="360"/>
        <w:jc w:val="both"/>
        <w:rPr>
          <w:rFonts w:ascii="Times New Roman" w:eastAsia="Times New Roman" w:hAnsi="Times New Roman" w:cs="Times New Roman"/>
          <w:sz w:val="24"/>
          <w:szCs w:val="24"/>
          <w:u w:val="single"/>
          <w:lang w:val="en-US"/>
        </w:rPr>
      </w:pPr>
      <w:r w:rsidRPr="003101A0">
        <w:rPr>
          <w:rFonts w:ascii="Times New Roman" w:eastAsia="Times New Roman" w:hAnsi="Times New Roman" w:cs="Times New Roman"/>
          <w:sz w:val="24"/>
          <w:szCs w:val="24"/>
          <w:u w:val="single"/>
          <w:lang w:val="en-US"/>
        </w:rPr>
        <w:t>Security design characteristics</w:t>
      </w:r>
    </w:p>
    <w:p w14:paraId="0DC0A193" w14:textId="0167CB01" w:rsidR="00515547" w:rsidRPr="003101A0" w:rsidRDefault="00EC2C92" w:rsidP="00ED7436">
      <w:pPr>
        <w:pStyle w:val="Header"/>
        <w:spacing w:line="480" w:lineRule="auto"/>
        <w:ind w:firstLine="360"/>
        <w:jc w:val="both"/>
        <w:rPr>
          <w:rFonts w:ascii="Times New Roman" w:eastAsia="Times New Roman" w:hAnsi="Times New Roman" w:cs="Times New Roman"/>
          <w:sz w:val="24"/>
          <w:szCs w:val="24"/>
          <w:lang w:val="en-US"/>
        </w:rPr>
      </w:pPr>
      <w:r w:rsidRPr="003101A0">
        <w:rPr>
          <w:rFonts w:ascii="Times New Roman" w:eastAsia="Times New Roman" w:hAnsi="Times New Roman" w:cs="Times New Roman"/>
          <w:sz w:val="24"/>
          <w:szCs w:val="24"/>
          <w:lang w:val="en-US"/>
        </w:rPr>
        <w:t xml:space="preserve">We consider standard security design characteristics in some of our empirical tests. </w:t>
      </w:r>
      <w:r w:rsidR="00871C61" w:rsidRPr="003101A0">
        <w:rPr>
          <w:rFonts w:ascii="Times New Roman" w:eastAsia="Times New Roman" w:hAnsi="Times New Roman" w:cs="Times New Roman"/>
          <w:sz w:val="24"/>
          <w:szCs w:val="24"/>
          <w:lang w:val="en-US"/>
        </w:rPr>
        <w:t xml:space="preserve">Because </w:t>
      </w:r>
      <w:r w:rsidRPr="003101A0">
        <w:rPr>
          <w:rFonts w:ascii="Times New Roman" w:eastAsia="Times New Roman" w:hAnsi="Times New Roman" w:cs="Times New Roman"/>
          <w:sz w:val="24"/>
          <w:szCs w:val="24"/>
          <w:lang w:val="en-US"/>
        </w:rPr>
        <w:t xml:space="preserve">the total benefits of negotiated covenants might increase with the size of the offering </w:t>
      </w:r>
      <w:r w:rsidR="00871C61" w:rsidRPr="003101A0">
        <w:rPr>
          <w:rFonts w:ascii="Times New Roman" w:eastAsia="Times New Roman" w:hAnsi="Times New Roman" w:cs="Times New Roman"/>
          <w:sz w:val="24"/>
          <w:szCs w:val="24"/>
          <w:lang w:val="en-US"/>
        </w:rPr>
        <w:t xml:space="preserve">while </w:t>
      </w:r>
      <w:r w:rsidRPr="003101A0">
        <w:rPr>
          <w:rFonts w:ascii="Times New Roman" w:eastAsia="Times New Roman" w:hAnsi="Times New Roman" w:cs="Times New Roman"/>
          <w:sz w:val="24"/>
          <w:szCs w:val="24"/>
          <w:lang w:val="en-US"/>
        </w:rPr>
        <w:t xml:space="preserve">the costs are largely fixed, we expect a positive impact of offering </w:t>
      </w:r>
      <w:r w:rsidRPr="003101A0">
        <w:rPr>
          <w:rFonts w:ascii="Times New Roman" w:eastAsia="Times New Roman" w:hAnsi="Times New Roman" w:cs="Times New Roman"/>
          <w:i/>
          <w:iCs/>
          <w:sz w:val="24"/>
          <w:szCs w:val="24"/>
          <w:lang w:val="en-US"/>
        </w:rPr>
        <w:t>Proceeds</w:t>
      </w:r>
      <w:r w:rsidRPr="003101A0">
        <w:rPr>
          <w:rFonts w:ascii="Times New Roman" w:eastAsia="Times New Roman" w:hAnsi="Times New Roman" w:cs="Times New Roman"/>
          <w:sz w:val="24"/>
          <w:szCs w:val="24"/>
          <w:lang w:val="en-US"/>
        </w:rPr>
        <w:t xml:space="preserve"> on covenant intensity (Qi and Wald, 2008). Bodie and Taggart (1978) argue </w:t>
      </w:r>
      <w:r w:rsidR="00A0494C" w:rsidRPr="003101A0">
        <w:rPr>
          <w:rFonts w:ascii="Times New Roman" w:eastAsia="Times New Roman" w:hAnsi="Times New Roman" w:cs="Times New Roman"/>
          <w:sz w:val="24"/>
          <w:szCs w:val="24"/>
          <w:lang w:val="en-US"/>
        </w:rPr>
        <w:t>that</w:t>
      </w:r>
      <w:r w:rsidRPr="003101A0">
        <w:rPr>
          <w:rFonts w:ascii="Times New Roman" w:eastAsia="Times New Roman" w:hAnsi="Times New Roman" w:cs="Times New Roman"/>
          <w:sz w:val="24"/>
          <w:szCs w:val="24"/>
          <w:lang w:val="en-US"/>
        </w:rPr>
        <w:t xml:space="preserve"> call and put features may reduce bondholder-shareholder agency problems and act as a substitute for bond covenants. We</w:t>
      </w:r>
      <w:r w:rsidR="00871C61" w:rsidRPr="003101A0">
        <w:rPr>
          <w:rFonts w:ascii="Times New Roman" w:eastAsia="Times New Roman" w:hAnsi="Times New Roman" w:cs="Times New Roman"/>
          <w:sz w:val="24"/>
          <w:szCs w:val="24"/>
          <w:lang w:val="en-US"/>
        </w:rPr>
        <w:t>, therefore,</w:t>
      </w:r>
      <w:r w:rsidRPr="003101A0">
        <w:rPr>
          <w:rFonts w:ascii="Times New Roman" w:eastAsia="Times New Roman" w:hAnsi="Times New Roman" w:cs="Times New Roman"/>
          <w:sz w:val="24"/>
          <w:szCs w:val="24"/>
          <w:lang w:val="en-US"/>
        </w:rPr>
        <w:t xml:space="preserve"> predict a negative relation between </w:t>
      </w:r>
      <w:r w:rsidRPr="003101A0">
        <w:rPr>
          <w:rFonts w:ascii="Times New Roman" w:eastAsia="Times New Roman" w:hAnsi="Times New Roman" w:cs="Times New Roman"/>
          <w:i/>
          <w:iCs/>
          <w:sz w:val="24"/>
          <w:szCs w:val="24"/>
          <w:lang w:val="en-US"/>
        </w:rPr>
        <w:t xml:space="preserve">Callable </w:t>
      </w:r>
      <w:r w:rsidRPr="003101A0">
        <w:rPr>
          <w:rFonts w:ascii="Times New Roman" w:eastAsia="Times New Roman" w:hAnsi="Times New Roman" w:cs="Times New Roman"/>
          <w:sz w:val="24"/>
          <w:szCs w:val="24"/>
          <w:lang w:val="en-US"/>
        </w:rPr>
        <w:t xml:space="preserve">and </w:t>
      </w:r>
      <w:proofErr w:type="spellStart"/>
      <w:r w:rsidRPr="003101A0">
        <w:rPr>
          <w:rFonts w:ascii="Times New Roman" w:eastAsia="Times New Roman" w:hAnsi="Times New Roman" w:cs="Times New Roman"/>
          <w:i/>
          <w:iCs/>
          <w:sz w:val="24"/>
          <w:szCs w:val="24"/>
          <w:lang w:val="en-US"/>
        </w:rPr>
        <w:t>Putable</w:t>
      </w:r>
      <w:proofErr w:type="spellEnd"/>
      <w:r w:rsidRPr="003101A0">
        <w:rPr>
          <w:rFonts w:ascii="Times New Roman" w:eastAsia="Times New Roman" w:hAnsi="Times New Roman" w:cs="Times New Roman"/>
          <w:sz w:val="24"/>
          <w:szCs w:val="24"/>
          <w:lang w:val="en-US"/>
        </w:rPr>
        <w:t xml:space="preserve"> dummy variables and covenant intensity. Similarly, bonds with </w:t>
      </w:r>
      <w:r w:rsidRPr="003101A0">
        <w:rPr>
          <w:rFonts w:ascii="Times New Roman" w:eastAsia="Times New Roman" w:hAnsi="Times New Roman" w:cs="Times New Roman"/>
          <w:i/>
          <w:sz w:val="24"/>
          <w:szCs w:val="24"/>
          <w:lang w:val="en-US"/>
        </w:rPr>
        <w:t>Secured</w:t>
      </w:r>
      <w:r w:rsidRPr="003101A0">
        <w:rPr>
          <w:rFonts w:ascii="Times New Roman" w:eastAsia="Times New Roman" w:hAnsi="Times New Roman" w:cs="Times New Roman"/>
          <w:sz w:val="24"/>
          <w:szCs w:val="24"/>
          <w:lang w:val="en-US"/>
        </w:rPr>
        <w:t xml:space="preserve"> or </w:t>
      </w:r>
      <w:r w:rsidRPr="003101A0">
        <w:rPr>
          <w:rFonts w:ascii="Times New Roman" w:eastAsia="Times New Roman" w:hAnsi="Times New Roman" w:cs="Times New Roman"/>
          <w:i/>
          <w:sz w:val="24"/>
          <w:szCs w:val="24"/>
          <w:lang w:val="en-US"/>
        </w:rPr>
        <w:t xml:space="preserve">Senior </w:t>
      </w:r>
      <w:r w:rsidRPr="003101A0">
        <w:rPr>
          <w:rFonts w:ascii="Times New Roman" w:eastAsia="Times New Roman" w:hAnsi="Times New Roman" w:cs="Times New Roman"/>
          <w:sz w:val="24"/>
          <w:szCs w:val="24"/>
          <w:lang w:val="en-US"/>
        </w:rPr>
        <w:t>status may have fewer covenants since bondholders already feel protected by these other debt characteristics (</w:t>
      </w:r>
      <w:proofErr w:type="spellStart"/>
      <w:r w:rsidRPr="003101A0">
        <w:rPr>
          <w:rFonts w:ascii="Times New Roman" w:eastAsia="Times New Roman" w:hAnsi="Times New Roman" w:cs="Times New Roman"/>
          <w:sz w:val="24"/>
          <w:szCs w:val="24"/>
          <w:lang w:val="en-US"/>
        </w:rPr>
        <w:t>Billett</w:t>
      </w:r>
      <w:proofErr w:type="spellEnd"/>
      <w:r w:rsidRPr="003101A0">
        <w:rPr>
          <w:rFonts w:ascii="Times New Roman" w:eastAsia="Times New Roman" w:hAnsi="Times New Roman" w:cs="Times New Roman"/>
          <w:sz w:val="24"/>
          <w:szCs w:val="24"/>
          <w:lang w:val="en-US"/>
        </w:rPr>
        <w:t xml:space="preserve"> et al., 2007; Qi and Wald, 2008). Finally, we expect a positive relation </w:t>
      </w:r>
      <w:r w:rsidR="005539B2" w:rsidRPr="003101A0">
        <w:rPr>
          <w:rFonts w:ascii="Times New Roman" w:eastAsia="Times New Roman" w:hAnsi="Times New Roman" w:cs="Times New Roman"/>
          <w:sz w:val="24"/>
          <w:szCs w:val="24"/>
          <w:lang w:val="en-US"/>
        </w:rPr>
        <w:t>between</w:t>
      </w:r>
      <w:r w:rsidRPr="003101A0">
        <w:rPr>
          <w:rFonts w:ascii="Times New Roman" w:eastAsia="Times New Roman" w:hAnsi="Times New Roman" w:cs="Times New Roman"/>
          <w:sz w:val="24"/>
          <w:szCs w:val="24"/>
          <w:lang w:val="en-US"/>
        </w:rPr>
        <w:t xml:space="preserve"> </w:t>
      </w:r>
      <w:r w:rsidRPr="003101A0">
        <w:rPr>
          <w:rFonts w:ascii="Times New Roman" w:eastAsia="Times New Roman" w:hAnsi="Times New Roman" w:cs="Times New Roman"/>
          <w:i/>
          <w:iCs/>
          <w:sz w:val="24"/>
          <w:szCs w:val="24"/>
          <w:lang w:val="en-US"/>
        </w:rPr>
        <w:t>Maturity</w:t>
      </w:r>
      <w:r w:rsidRPr="003101A0">
        <w:rPr>
          <w:rFonts w:ascii="Times New Roman" w:eastAsia="Times New Roman" w:hAnsi="Times New Roman" w:cs="Times New Roman"/>
          <w:sz w:val="24"/>
          <w:szCs w:val="24"/>
          <w:lang w:val="en-US"/>
        </w:rPr>
        <w:t xml:space="preserve"> </w:t>
      </w:r>
      <w:r w:rsidR="005539B2" w:rsidRPr="003101A0">
        <w:rPr>
          <w:rFonts w:ascii="Times New Roman" w:eastAsia="Times New Roman" w:hAnsi="Times New Roman" w:cs="Times New Roman"/>
          <w:sz w:val="24"/>
          <w:szCs w:val="24"/>
          <w:lang w:val="en-US"/>
        </w:rPr>
        <w:t>and</w:t>
      </w:r>
      <w:r w:rsidRPr="003101A0">
        <w:rPr>
          <w:rFonts w:ascii="Times New Roman" w:eastAsia="Times New Roman" w:hAnsi="Times New Roman" w:cs="Times New Roman"/>
          <w:sz w:val="24"/>
          <w:szCs w:val="24"/>
          <w:lang w:val="en-US"/>
        </w:rPr>
        <w:t xml:space="preserve"> covenants </w:t>
      </w:r>
      <w:r w:rsidR="00871C61" w:rsidRPr="003101A0">
        <w:rPr>
          <w:rFonts w:ascii="Times New Roman" w:eastAsia="Times New Roman" w:hAnsi="Times New Roman" w:cs="Times New Roman"/>
          <w:sz w:val="24"/>
          <w:szCs w:val="24"/>
          <w:lang w:val="en-US"/>
        </w:rPr>
        <w:t>b</w:t>
      </w:r>
      <w:r w:rsidRPr="003101A0">
        <w:rPr>
          <w:rFonts w:ascii="Times New Roman" w:eastAsia="Times New Roman" w:hAnsi="Times New Roman" w:cs="Times New Roman"/>
          <w:sz w:val="24"/>
          <w:szCs w:val="24"/>
          <w:lang w:val="en-US"/>
        </w:rPr>
        <w:t>e</w:t>
      </w:r>
      <w:r w:rsidR="00871C61" w:rsidRPr="003101A0">
        <w:rPr>
          <w:rFonts w:ascii="Times New Roman" w:eastAsia="Times New Roman" w:hAnsi="Times New Roman" w:cs="Times New Roman"/>
          <w:sz w:val="24"/>
          <w:szCs w:val="24"/>
          <w:lang w:val="en-US"/>
        </w:rPr>
        <w:t>cause</w:t>
      </w:r>
      <w:r w:rsidRPr="003101A0">
        <w:rPr>
          <w:rFonts w:ascii="Times New Roman" w:eastAsia="Times New Roman" w:hAnsi="Times New Roman" w:cs="Times New Roman"/>
          <w:sz w:val="24"/>
          <w:szCs w:val="24"/>
          <w:lang w:val="en-US"/>
        </w:rPr>
        <w:t xml:space="preserve"> longer-maturity bonds create more opportunities for bondholder-shareholder agency conflicts (Nash et al., 2003). The summary statistics presented in Table 3, Panel </w:t>
      </w:r>
      <w:r w:rsidR="000A4BBB" w:rsidRPr="003101A0">
        <w:rPr>
          <w:rFonts w:ascii="Times New Roman" w:eastAsia="Times New Roman" w:hAnsi="Times New Roman" w:cs="Times New Roman"/>
          <w:sz w:val="24"/>
          <w:szCs w:val="24"/>
          <w:lang w:val="en-US"/>
        </w:rPr>
        <w:t>C</w:t>
      </w:r>
      <w:r w:rsidRPr="003101A0">
        <w:rPr>
          <w:rFonts w:ascii="Times New Roman" w:eastAsia="Times New Roman" w:hAnsi="Times New Roman" w:cs="Times New Roman"/>
          <w:sz w:val="24"/>
          <w:szCs w:val="24"/>
          <w:lang w:val="en-US"/>
        </w:rPr>
        <w:t xml:space="preserve"> show that convertibles tend to have larger </w:t>
      </w:r>
      <w:r w:rsidRPr="003101A0">
        <w:rPr>
          <w:rFonts w:ascii="Times New Roman" w:eastAsia="Times New Roman" w:hAnsi="Times New Roman" w:cs="Times New Roman"/>
          <w:i/>
          <w:sz w:val="24"/>
          <w:szCs w:val="24"/>
          <w:lang w:val="en-US"/>
        </w:rPr>
        <w:t>Proceeds</w:t>
      </w:r>
      <w:r w:rsidRPr="003101A0">
        <w:rPr>
          <w:rFonts w:ascii="Times New Roman" w:eastAsia="Times New Roman" w:hAnsi="Times New Roman" w:cs="Times New Roman"/>
          <w:sz w:val="24"/>
          <w:szCs w:val="24"/>
          <w:lang w:val="en-US"/>
        </w:rPr>
        <w:t xml:space="preserve"> than straight bond offerings. Consistent with the literature, we find a higher percentage of </w:t>
      </w:r>
      <w:proofErr w:type="spellStart"/>
      <w:r w:rsidRPr="003101A0">
        <w:rPr>
          <w:rFonts w:ascii="Times New Roman" w:eastAsia="Times New Roman" w:hAnsi="Times New Roman" w:cs="Times New Roman"/>
          <w:i/>
          <w:sz w:val="24"/>
          <w:szCs w:val="24"/>
          <w:lang w:val="en-US"/>
        </w:rPr>
        <w:t>Putable</w:t>
      </w:r>
      <w:proofErr w:type="spellEnd"/>
      <w:r w:rsidRPr="003101A0">
        <w:rPr>
          <w:rFonts w:ascii="Times New Roman" w:eastAsia="Times New Roman" w:hAnsi="Times New Roman" w:cs="Times New Roman"/>
          <w:sz w:val="24"/>
          <w:szCs w:val="24"/>
          <w:lang w:val="en-US"/>
        </w:rPr>
        <w:t xml:space="preserve"> bonds and fewer </w:t>
      </w:r>
      <w:r w:rsidRPr="003101A0">
        <w:rPr>
          <w:rFonts w:ascii="Times New Roman" w:eastAsia="Times New Roman" w:hAnsi="Times New Roman" w:cs="Times New Roman"/>
          <w:i/>
          <w:sz w:val="24"/>
          <w:szCs w:val="24"/>
          <w:lang w:val="en-US"/>
        </w:rPr>
        <w:t xml:space="preserve">Secured </w:t>
      </w:r>
      <w:r w:rsidRPr="003101A0">
        <w:rPr>
          <w:rFonts w:ascii="Times New Roman" w:eastAsia="Times New Roman" w:hAnsi="Times New Roman" w:cs="Times New Roman"/>
          <w:sz w:val="24"/>
          <w:szCs w:val="24"/>
          <w:lang w:val="en-US"/>
        </w:rPr>
        <w:t xml:space="preserve">and </w:t>
      </w:r>
      <w:r w:rsidRPr="003101A0">
        <w:rPr>
          <w:rFonts w:ascii="Times New Roman" w:eastAsia="Times New Roman" w:hAnsi="Times New Roman" w:cs="Times New Roman"/>
          <w:i/>
          <w:sz w:val="24"/>
          <w:szCs w:val="24"/>
          <w:lang w:val="en-US"/>
        </w:rPr>
        <w:t xml:space="preserve">Senior </w:t>
      </w:r>
      <w:r w:rsidRPr="003101A0">
        <w:rPr>
          <w:rFonts w:ascii="Times New Roman" w:eastAsia="Times New Roman" w:hAnsi="Times New Roman" w:cs="Times New Roman"/>
          <w:sz w:val="24"/>
          <w:szCs w:val="24"/>
          <w:lang w:val="en-US"/>
        </w:rPr>
        <w:t xml:space="preserve">bonds in the convertible than in the straight bond sample (Nanda and Yun, 1996; </w:t>
      </w:r>
      <w:proofErr w:type="spellStart"/>
      <w:r w:rsidRPr="003101A0">
        <w:rPr>
          <w:rFonts w:ascii="Times New Roman" w:eastAsia="Times New Roman" w:hAnsi="Times New Roman" w:cs="Times New Roman"/>
          <w:sz w:val="24"/>
          <w:szCs w:val="24"/>
          <w:lang w:val="en-US"/>
        </w:rPr>
        <w:t>Chemmanur</w:t>
      </w:r>
      <w:proofErr w:type="spellEnd"/>
      <w:r w:rsidRPr="003101A0">
        <w:rPr>
          <w:rFonts w:ascii="Times New Roman" w:eastAsia="Times New Roman" w:hAnsi="Times New Roman" w:cs="Times New Roman"/>
          <w:sz w:val="24"/>
          <w:szCs w:val="24"/>
          <w:lang w:val="en-US"/>
        </w:rPr>
        <w:t xml:space="preserve"> </w:t>
      </w:r>
      <w:r w:rsidR="009C3A86">
        <w:rPr>
          <w:rFonts w:ascii="Times New Roman" w:eastAsia="Times New Roman" w:hAnsi="Times New Roman" w:cs="Times New Roman"/>
          <w:sz w:val="24"/>
          <w:szCs w:val="24"/>
          <w:lang w:val="en-US"/>
        </w:rPr>
        <w:t xml:space="preserve">and </w:t>
      </w:r>
      <w:proofErr w:type="spellStart"/>
      <w:r w:rsidR="009C3A86">
        <w:rPr>
          <w:rFonts w:ascii="Times New Roman" w:eastAsia="Times New Roman" w:hAnsi="Times New Roman" w:cs="Times New Roman"/>
          <w:sz w:val="24"/>
          <w:szCs w:val="24"/>
          <w:lang w:val="en-US"/>
        </w:rPr>
        <w:lastRenderedPageBreak/>
        <w:t>Simonyan</w:t>
      </w:r>
      <w:proofErr w:type="spellEnd"/>
      <w:r w:rsidRPr="003101A0">
        <w:rPr>
          <w:rFonts w:ascii="Times New Roman" w:eastAsia="Times New Roman" w:hAnsi="Times New Roman" w:cs="Times New Roman"/>
          <w:sz w:val="24"/>
          <w:szCs w:val="24"/>
          <w:lang w:val="en-US"/>
        </w:rPr>
        <w:t xml:space="preserve">, 2010). Furthermore, the straight bond sample has a higher percentage of </w:t>
      </w:r>
      <w:r w:rsidRPr="003101A0">
        <w:rPr>
          <w:rFonts w:ascii="Times New Roman" w:eastAsia="Times New Roman" w:hAnsi="Times New Roman" w:cs="Times New Roman"/>
          <w:i/>
          <w:sz w:val="24"/>
          <w:szCs w:val="24"/>
          <w:lang w:val="en-US"/>
        </w:rPr>
        <w:t>Callable</w:t>
      </w:r>
      <w:r w:rsidRPr="003101A0">
        <w:rPr>
          <w:rFonts w:ascii="Times New Roman" w:eastAsia="Times New Roman" w:hAnsi="Times New Roman" w:cs="Times New Roman"/>
          <w:sz w:val="24"/>
          <w:szCs w:val="24"/>
          <w:lang w:val="en-US"/>
        </w:rPr>
        <w:t xml:space="preserve"> bonds and a slightly larger </w:t>
      </w:r>
      <w:r w:rsidRPr="003101A0">
        <w:rPr>
          <w:rFonts w:ascii="Times New Roman" w:eastAsia="Times New Roman" w:hAnsi="Times New Roman" w:cs="Times New Roman"/>
          <w:i/>
          <w:iCs/>
          <w:sz w:val="24"/>
          <w:szCs w:val="24"/>
          <w:lang w:val="en-US"/>
        </w:rPr>
        <w:t>Maturity</w:t>
      </w:r>
      <w:r w:rsidRPr="003101A0">
        <w:rPr>
          <w:rFonts w:ascii="Times New Roman" w:eastAsia="Times New Roman" w:hAnsi="Times New Roman" w:cs="Times New Roman"/>
          <w:sz w:val="24"/>
          <w:szCs w:val="24"/>
          <w:lang w:val="en-US"/>
        </w:rPr>
        <w:t xml:space="preserve">. </w:t>
      </w:r>
      <w:r w:rsidR="00ED7436">
        <w:rPr>
          <w:rFonts w:ascii="Times New Roman" w:eastAsia="Times New Roman" w:hAnsi="Times New Roman" w:cs="Times New Roman"/>
          <w:sz w:val="24"/>
          <w:szCs w:val="24"/>
          <w:lang w:val="en-US"/>
        </w:rPr>
        <w:t>C</w:t>
      </w:r>
      <w:r w:rsidR="00620990" w:rsidRPr="003101A0">
        <w:rPr>
          <w:rFonts w:ascii="Times New Roman" w:eastAsia="Times New Roman" w:hAnsi="Times New Roman" w:cs="Times New Roman"/>
          <w:sz w:val="24"/>
          <w:szCs w:val="24"/>
          <w:lang w:val="en-US"/>
        </w:rPr>
        <w:t xml:space="preserve">onvertibles have a lower at-issue </w:t>
      </w:r>
      <w:r w:rsidR="00620990" w:rsidRPr="003101A0">
        <w:rPr>
          <w:rFonts w:ascii="Times New Roman" w:eastAsia="Times New Roman" w:hAnsi="Times New Roman" w:cs="Times New Roman"/>
          <w:i/>
          <w:iCs/>
          <w:sz w:val="24"/>
          <w:szCs w:val="24"/>
          <w:lang w:val="en-US"/>
        </w:rPr>
        <w:t>Yield</w:t>
      </w:r>
      <w:r w:rsidR="00620990" w:rsidRPr="003101A0">
        <w:rPr>
          <w:rFonts w:ascii="Times New Roman" w:eastAsia="Times New Roman" w:hAnsi="Times New Roman" w:cs="Times New Roman"/>
          <w:sz w:val="24"/>
          <w:szCs w:val="24"/>
          <w:lang w:val="en-US"/>
        </w:rPr>
        <w:t xml:space="preserve"> than straight bonds</w:t>
      </w:r>
      <w:r w:rsidRPr="003101A0">
        <w:rPr>
          <w:rFonts w:ascii="Times New Roman" w:eastAsia="Times New Roman" w:hAnsi="Times New Roman" w:cs="Times New Roman"/>
          <w:sz w:val="24"/>
          <w:szCs w:val="24"/>
          <w:lang w:val="en-US"/>
        </w:rPr>
        <w:t>, consistent with the fact that the former securities embed a call option allowing the investor to convert the bonds into stocks (Brennan and Schwartz, 1988).</w:t>
      </w:r>
    </w:p>
    <w:p w14:paraId="52863B94" w14:textId="74D05037" w:rsidR="00DA6314" w:rsidRPr="003101A0" w:rsidRDefault="004B45C5" w:rsidP="00BE408D">
      <w:pPr>
        <w:pStyle w:val="Header"/>
        <w:spacing w:line="480" w:lineRule="auto"/>
        <w:ind w:firstLine="426"/>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Period</w:t>
      </w:r>
      <w:r w:rsidR="005D25D3">
        <w:rPr>
          <w:rFonts w:ascii="Times New Roman" w:hAnsi="Times New Roman" w:cs="Times New Roman"/>
          <w:sz w:val="24"/>
          <w:szCs w:val="24"/>
          <w:u w:val="single"/>
          <w:lang w:val="en-US"/>
        </w:rPr>
        <w:t xml:space="preserve"> and industry effects</w:t>
      </w:r>
    </w:p>
    <w:p w14:paraId="02A886B8" w14:textId="26C9813F" w:rsidR="00DA6314" w:rsidRPr="00C84F54" w:rsidRDefault="00DA6314" w:rsidP="00C84F54">
      <w:pPr>
        <w:pStyle w:val="Header"/>
        <w:spacing w:line="480" w:lineRule="auto"/>
        <w:ind w:firstLine="360"/>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In addition, we include period effects dummy variables capturing distinct intervals in terms of convertible bond investor characteristics (</w:t>
      </w:r>
      <w:proofErr w:type="spellStart"/>
      <w:r w:rsidRPr="003101A0">
        <w:rPr>
          <w:rFonts w:ascii="Times New Roman" w:hAnsi="Times New Roman" w:cs="Times New Roman"/>
          <w:sz w:val="24"/>
          <w:szCs w:val="24"/>
          <w:lang w:val="en-US"/>
        </w:rPr>
        <w:t>Duca</w:t>
      </w:r>
      <w:proofErr w:type="spellEnd"/>
      <w:r w:rsidRPr="003101A0">
        <w:rPr>
          <w:rFonts w:ascii="Times New Roman" w:hAnsi="Times New Roman" w:cs="Times New Roman"/>
          <w:sz w:val="24"/>
          <w:szCs w:val="24"/>
          <w:lang w:val="en-US"/>
        </w:rPr>
        <w:t xml:space="preserve"> et al., 2012).</w:t>
      </w:r>
      <w:r w:rsidRPr="003101A0">
        <w:rPr>
          <w:rStyle w:val="FootnoteReference"/>
          <w:rFonts w:ascii="Times New Roman" w:hAnsi="Times New Roman" w:cs="Times New Roman"/>
          <w:sz w:val="24"/>
          <w:szCs w:val="24"/>
          <w:lang w:val="en-US"/>
        </w:rPr>
        <w:footnoteReference w:id="9"/>
      </w:r>
      <w:r w:rsidRPr="003101A0">
        <w:rPr>
          <w:rFonts w:ascii="Times New Roman" w:hAnsi="Times New Roman" w:cs="Times New Roman"/>
          <w:sz w:val="24"/>
          <w:szCs w:val="24"/>
          <w:lang w:val="en-US"/>
        </w:rPr>
        <w:t xml:space="preserve"> The </w:t>
      </w:r>
      <w:r w:rsidRPr="003101A0">
        <w:rPr>
          <w:rFonts w:ascii="Times New Roman" w:hAnsi="Times New Roman" w:cs="Times New Roman"/>
          <w:i/>
          <w:sz w:val="24"/>
          <w:szCs w:val="24"/>
          <w:lang w:val="en-US"/>
        </w:rPr>
        <w:t>Traditional investor</w:t>
      </w:r>
      <w:r w:rsidRPr="003101A0">
        <w:rPr>
          <w:rFonts w:ascii="Times New Roman" w:hAnsi="Times New Roman" w:cs="Times New Roman"/>
          <w:sz w:val="24"/>
          <w:szCs w:val="24"/>
          <w:lang w:val="en-US"/>
        </w:rPr>
        <w:t xml:space="preserve"> </w:t>
      </w:r>
      <w:r w:rsidRPr="003101A0">
        <w:rPr>
          <w:rFonts w:ascii="Times New Roman" w:hAnsi="Times New Roman" w:cs="Times New Roman"/>
          <w:i/>
          <w:iCs/>
          <w:sz w:val="24"/>
          <w:szCs w:val="24"/>
          <w:lang w:val="en-US"/>
        </w:rPr>
        <w:t>period</w:t>
      </w:r>
      <w:r w:rsidRPr="003101A0">
        <w:rPr>
          <w:rFonts w:ascii="Times New Roman" w:hAnsi="Times New Roman" w:cs="Times New Roman"/>
          <w:sz w:val="24"/>
          <w:szCs w:val="24"/>
          <w:lang w:val="en-US"/>
        </w:rPr>
        <w:t xml:space="preserve"> (January 1989</w:t>
      </w:r>
      <w:r w:rsidR="005539B2"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 xml:space="preserve">December 1999) </w:t>
      </w:r>
      <w:r w:rsidR="005D25D3">
        <w:rPr>
          <w:rFonts w:ascii="Times New Roman" w:hAnsi="Times New Roman" w:cs="Times New Roman"/>
          <w:sz w:val="24"/>
          <w:szCs w:val="24"/>
          <w:lang w:val="en-US"/>
        </w:rPr>
        <w:t>represents</w:t>
      </w:r>
      <w:r w:rsidR="005D25D3" w:rsidRPr="003101A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an era in which convertibles were typically bought by long-only investors.</w:t>
      </w:r>
      <w:r w:rsidRPr="003101A0">
        <w:rPr>
          <w:rStyle w:val="FootnoteReference"/>
          <w:rFonts w:ascii="Times New Roman" w:hAnsi="Times New Roman" w:cs="Times New Roman"/>
          <w:sz w:val="24"/>
          <w:szCs w:val="24"/>
          <w:lang w:val="en-US"/>
        </w:rPr>
        <w:footnoteReference w:id="10"/>
      </w:r>
      <w:r w:rsidRPr="003101A0">
        <w:rPr>
          <w:rFonts w:ascii="Times New Roman" w:hAnsi="Times New Roman" w:cs="Times New Roman"/>
          <w:sz w:val="24"/>
          <w:szCs w:val="24"/>
          <w:lang w:val="en-US"/>
        </w:rPr>
        <w:t xml:space="preserve"> The </w:t>
      </w:r>
      <w:r w:rsidR="005F4F5C">
        <w:rPr>
          <w:rFonts w:ascii="Times New Roman" w:hAnsi="Times New Roman" w:cs="Times New Roman"/>
          <w:i/>
          <w:sz w:val="24"/>
          <w:szCs w:val="24"/>
          <w:lang w:val="en-US"/>
        </w:rPr>
        <w:t>A</w:t>
      </w:r>
      <w:r w:rsidRPr="003101A0">
        <w:rPr>
          <w:rFonts w:ascii="Times New Roman" w:hAnsi="Times New Roman" w:cs="Times New Roman"/>
          <w:i/>
          <w:sz w:val="24"/>
          <w:szCs w:val="24"/>
          <w:lang w:val="en-US"/>
        </w:rPr>
        <w:t>rbitrage</w:t>
      </w:r>
      <w:r w:rsidRPr="003101A0">
        <w:rPr>
          <w:rFonts w:ascii="Times New Roman" w:hAnsi="Times New Roman" w:cs="Times New Roman"/>
          <w:sz w:val="24"/>
          <w:szCs w:val="24"/>
          <w:lang w:val="en-US"/>
        </w:rPr>
        <w:t xml:space="preserve"> </w:t>
      </w:r>
      <w:r w:rsidRPr="003101A0">
        <w:rPr>
          <w:rFonts w:ascii="Times New Roman" w:hAnsi="Times New Roman" w:cs="Times New Roman"/>
          <w:i/>
          <w:iCs/>
          <w:sz w:val="24"/>
          <w:szCs w:val="24"/>
          <w:lang w:val="en-US"/>
        </w:rPr>
        <w:t>period</w:t>
      </w:r>
      <w:r w:rsidRPr="003101A0">
        <w:rPr>
          <w:rFonts w:ascii="Times New Roman" w:hAnsi="Times New Roman" w:cs="Times New Roman"/>
          <w:sz w:val="24"/>
          <w:szCs w:val="24"/>
          <w:lang w:val="en-US"/>
        </w:rPr>
        <w:t xml:space="preserve"> (January 2000</w:t>
      </w:r>
      <w:r w:rsidR="005539B2"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 xml:space="preserve">September </w:t>
      </w:r>
      <w:r w:rsidR="005D25D3">
        <w:rPr>
          <w:rFonts w:ascii="Times New Roman" w:hAnsi="Times New Roman" w:cs="Times New Roman"/>
          <w:sz w:val="24"/>
          <w:szCs w:val="24"/>
          <w:lang w:val="en-US"/>
        </w:rPr>
        <w:t>15</w:t>
      </w:r>
      <w:r w:rsidR="005D25D3" w:rsidRPr="003E0D9E">
        <w:rPr>
          <w:rFonts w:ascii="Times New Roman" w:hAnsi="Times New Roman" w:cs="Times New Roman"/>
          <w:sz w:val="24"/>
          <w:szCs w:val="24"/>
          <w:vertAlign w:val="superscript"/>
          <w:lang w:val="en-US"/>
        </w:rPr>
        <w:t>th</w:t>
      </w:r>
      <w:proofErr w:type="gramStart"/>
      <w:r w:rsidR="005D25D3">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2008</w:t>
      </w:r>
      <w:proofErr w:type="gramEnd"/>
      <w:r w:rsidRPr="003101A0">
        <w:rPr>
          <w:rFonts w:ascii="Times New Roman" w:hAnsi="Times New Roman" w:cs="Times New Roman"/>
          <w:sz w:val="24"/>
          <w:szCs w:val="24"/>
          <w:lang w:val="en-US"/>
        </w:rPr>
        <w:t xml:space="preserve">) captures a time during which convertible bond arbitrageurs became </w:t>
      </w:r>
      <w:r w:rsidR="00BA240D" w:rsidRPr="003101A0">
        <w:rPr>
          <w:rFonts w:ascii="Times New Roman" w:hAnsi="Times New Roman" w:cs="Times New Roman"/>
          <w:sz w:val="24"/>
          <w:szCs w:val="24"/>
          <w:lang w:val="en-US"/>
        </w:rPr>
        <w:t>important</w:t>
      </w:r>
      <w:r w:rsidRPr="003101A0">
        <w:rPr>
          <w:rFonts w:ascii="Times New Roman" w:hAnsi="Times New Roman" w:cs="Times New Roman"/>
          <w:sz w:val="24"/>
          <w:szCs w:val="24"/>
          <w:lang w:val="en-US"/>
        </w:rPr>
        <w:t xml:space="preserve"> players as convertible bond investors. These investors try to </w:t>
      </w:r>
      <w:r w:rsidR="00871C61" w:rsidRPr="003101A0">
        <w:rPr>
          <w:rFonts w:ascii="Times New Roman" w:hAnsi="Times New Roman" w:cs="Times New Roman"/>
          <w:sz w:val="24"/>
          <w:szCs w:val="24"/>
          <w:lang w:val="en-US"/>
        </w:rPr>
        <w:t>profit</w:t>
      </w:r>
      <w:r w:rsidRPr="003101A0">
        <w:rPr>
          <w:rFonts w:ascii="Times New Roman" w:hAnsi="Times New Roman" w:cs="Times New Roman"/>
          <w:sz w:val="24"/>
          <w:szCs w:val="24"/>
          <w:lang w:val="en-US"/>
        </w:rPr>
        <w:t xml:space="preserve"> from buying underpriced convertibles while </w:t>
      </w:r>
      <w:proofErr w:type="gramStart"/>
      <w:r w:rsidR="00871C61" w:rsidRPr="003101A0">
        <w:rPr>
          <w:rFonts w:ascii="Times New Roman" w:hAnsi="Times New Roman" w:cs="Times New Roman"/>
          <w:sz w:val="24"/>
          <w:szCs w:val="24"/>
          <w:lang w:val="en-US"/>
        </w:rPr>
        <w:t>short</w:t>
      </w:r>
      <w:r w:rsidR="005D25D3">
        <w:rPr>
          <w:rFonts w:ascii="Times New Roman" w:hAnsi="Times New Roman" w:cs="Times New Roman"/>
          <w:sz w:val="24"/>
          <w:szCs w:val="24"/>
          <w:lang w:val="en-US"/>
        </w:rPr>
        <w:t>-</w:t>
      </w:r>
      <w:r w:rsidRPr="003101A0">
        <w:rPr>
          <w:rFonts w:ascii="Times New Roman" w:hAnsi="Times New Roman" w:cs="Times New Roman"/>
          <w:sz w:val="24"/>
          <w:szCs w:val="24"/>
          <w:lang w:val="en-US"/>
        </w:rPr>
        <w:t>selling</w:t>
      </w:r>
      <w:proofErr w:type="gramEnd"/>
      <w:r w:rsidRPr="003101A0">
        <w:rPr>
          <w:rFonts w:ascii="Times New Roman" w:hAnsi="Times New Roman" w:cs="Times New Roman"/>
          <w:sz w:val="24"/>
          <w:szCs w:val="24"/>
          <w:lang w:val="en-US"/>
        </w:rPr>
        <w:t xml:space="preserve"> the underlying stock. The </w:t>
      </w:r>
      <w:r w:rsidRPr="003101A0">
        <w:rPr>
          <w:rFonts w:ascii="Times New Roman" w:hAnsi="Times New Roman" w:cs="Times New Roman"/>
          <w:i/>
          <w:sz w:val="24"/>
          <w:szCs w:val="24"/>
          <w:lang w:val="en-US"/>
        </w:rPr>
        <w:t>Global financial crisis</w:t>
      </w:r>
      <w:r w:rsidR="00ED7436">
        <w:rPr>
          <w:rFonts w:ascii="Times New Roman" w:hAnsi="Times New Roman" w:cs="Times New Roman"/>
          <w:i/>
          <w:sz w:val="24"/>
          <w:szCs w:val="24"/>
          <w:lang w:val="en-US"/>
        </w:rPr>
        <w:t xml:space="preserve"> (GFC)</w:t>
      </w:r>
      <w:r w:rsidRPr="003101A0">
        <w:rPr>
          <w:rFonts w:ascii="Times New Roman" w:hAnsi="Times New Roman" w:cs="Times New Roman"/>
          <w:i/>
          <w:sz w:val="24"/>
          <w:szCs w:val="24"/>
          <w:lang w:val="en-US"/>
        </w:rPr>
        <w:t xml:space="preserve"> period</w:t>
      </w:r>
      <w:r w:rsidRPr="003101A0">
        <w:rPr>
          <w:rFonts w:ascii="Times New Roman" w:hAnsi="Times New Roman" w:cs="Times New Roman"/>
          <w:sz w:val="24"/>
          <w:szCs w:val="24"/>
          <w:lang w:val="en-US"/>
        </w:rPr>
        <w:t xml:space="preserve"> started </w:t>
      </w:r>
      <w:r w:rsidR="005D25D3">
        <w:rPr>
          <w:rFonts w:ascii="Times New Roman" w:hAnsi="Times New Roman" w:cs="Times New Roman"/>
          <w:sz w:val="24"/>
          <w:szCs w:val="24"/>
          <w:lang w:val="en-US"/>
        </w:rPr>
        <w:t>after</w:t>
      </w:r>
      <w:r w:rsidR="005D25D3" w:rsidRPr="003101A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 xml:space="preserve">the fall of Lehman Brothers </w:t>
      </w:r>
      <w:r w:rsidR="005D25D3">
        <w:rPr>
          <w:rFonts w:ascii="Times New Roman" w:hAnsi="Times New Roman" w:cs="Times New Roman"/>
          <w:sz w:val="24"/>
          <w:szCs w:val="24"/>
          <w:lang w:val="en-US"/>
        </w:rPr>
        <w:t>on</w:t>
      </w:r>
      <w:r w:rsidR="005D25D3" w:rsidRPr="003101A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 xml:space="preserve">September </w:t>
      </w:r>
      <w:r w:rsidR="005D25D3">
        <w:rPr>
          <w:rFonts w:ascii="Times New Roman" w:hAnsi="Times New Roman" w:cs="Times New Roman"/>
          <w:sz w:val="24"/>
          <w:szCs w:val="24"/>
          <w:lang w:val="en-US"/>
        </w:rPr>
        <w:t>15</w:t>
      </w:r>
      <w:r w:rsidR="005D25D3" w:rsidRPr="003E0D9E">
        <w:rPr>
          <w:rFonts w:ascii="Times New Roman" w:hAnsi="Times New Roman" w:cs="Times New Roman"/>
          <w:sz w:val="24"/>
          <w:szCs w:val="24"/>
          <w:vertAlign w:val="superscript"/>
          <w:lang w:val="en-US"/>
        </w:rPr>
        <w:t>th</w:t>
      </w:r>
      <w:proofErr w:type="gramStart"/>
      <w:r w:rsidR="005D25D3">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2008</w:t>
      </w:r>
      <w:proofErr w:type="gramEnd"/>
      <w:r w:rsidRPr="003101A0">
        <w:rPr>
          <w:rFonts w:ascii="Times New Roman" w:hAnsi="Times New Roman" w:cs="Times New Roman"/>
          <w:sz w:val="24"/>
          <w:szCs w:val="24"/>
          <w:lang w:val="en-US"/>
        </w:rPr>
        <w:t xml:space="preserve"> and </w:t>
      </w:r>
      <w:r w:rsidR="00ED7436">
        <w:rPr>
          <w:rFonts w:ascii="Times New Roman" w:hAnsi="Times New Roman" w:cs="Times New Roman"/>
          <w:sz w:val="24"/>
          <w:szCs w:val="24"/>
          <w:lang w:val="en-US"/>
        </w:rPr>
        <w:t>witnessed</w:t>
      </w:r>
      <w:r w:rsidRPr="003101A0">
        <w:rPr>
          <w:rFonts w:ascii="Times New Roman" w:hAnsi="Times New Roman" w:cs="Times New Roman"/>
          <w:sz w:val="24"/>
          <w:szCs w:val="24"/>
          <w:lang w:val="en-US"/>
        </w:rPr>
        <w:t xml:space="preserve"> short-selling restrictions and a drop in convertible arbitrage fund flows (September </w:t>
      </w:r>
      <w:r w:rsidR="005D25D3">
        <w:rPr>
          <w:rFonts w:ascii="Times New Roman" w:hAnsi="Times New Roman" w:cs="Times New Roman"/>
          <w:sz w:val="24"/>
          <w:szCs w:val="24"/>
          <w:lang w:val="en-US"/>
        </w:rPr>
        <w:t>16</w:t>
      </w:r>
      <w:r w:rsidR="005D25D3" w:rsidRPr="003E0D9E">
        <w:rPr>
          <w:rFonts w:ascii="Times New Roman" w:hAnsi="Times New Roman" w:cs="Times New Roman"/>
          <w:sz w:val="24"/>
          <w:szCs w:val="24"/>
          <w:vertAlign w:val="superscript"/>
          <w:lang w:val="en-US"/>
        </w:rPr>
        <w:t>th</w:t>
      </w:r>
      <w:r w:rsidR="005D25D3">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2008</w:t>
      </w:r>
      <w:r w:rsidR="005D25D3"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 xml:space="preserve">December 2009). </w:t>
      </w:r>
      <w:r w:rsidR="005D25D3">
        <w:rPr>
          <w:rFonts w:ascii="Times New Roman" w:hAnsi="Times New Roman" w:cs="Times New Roman"/>
          <w:sz w:val="24"/>
          <w:szCs w:val="24"/>
          <w:lang w:val="en-US"/>
        </w:rPr>
        <w:t>We label t</w:t>
      </w:r>
      <w:r w:rsidRPr="003101A0">
        <w:rPr>
          <w:rFonts w:ascii="Times New Roman" w:hAnsi="Times New Roman" w:cs="Times New Roman"/>
          <w:sz w:val="24"/>
          <w:szCs w:val="24"/>
          <w:lang w:val="en-US"/>
        </w:rPr>
        <w:t xml:space="preserve">he remaining sample period </w:t>
      </w:r>
      <w:proofErr w:type="gramStart"/>
      <w:r w:rsidRPr="003101A0">
        <w:rPr>
          <w:rFonts w:ascii="Times New Roman" w:hAnsi="Times New Roman" w:cs="Times New Roman"/>
          <w:i/>
          <w:iCs/>
          <w:sz w:val="24"/>
          <w:szCs w:val="24"/>
          <w:lang w:val="en-US"/>
        </w:rPr>
        <w:t>Post-crisis</w:t>
      </w:r>
      <w:proofErr w:type="gramEnd"/>
      <w:r w:rsidRPr="003101A0">
        <w:rPr>
          <w:rFonts w:ascii="Times New Roman" w:hAnsi="Times New Roman" w:cs="Times New Roman"/>
          <w:i/>
          <w:iCs/>
          <w:sz w:val="24"/>
          <w:szCs w:val="24"/>
          <w:lang w:val="en-US"/>
        </w:rPr>
        <w:t xml:space="preserve"> period</w:t>
      </w:r>
      <w:r w:rsidRPr="003101A0">
        <w:rPr>
          <w:rFonts w:ascii="Times New Roman" w:hAnsi="Times New Roman" w:cs="Times New Roman"/>
          <w:sz w:val="24"/>
          <w:szCs w:val="24"/>
          <w:lang w:val="en-US"/>
        </w:rPr>
        <w:t xml:space="preserve"> (January 2010</w:t>
      </w:r>
      <w:r w:rsidR="005D25D3"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September 2020).</w:t>
      </w:r>
      <w:r w:rsidR="00620990" w:rsidRPr="003101A0">
        <w:rPr>
          <w:rStyle w:val="FootnoteReference"/>
          <w:rFonts w:ascii="Times New Roman" w:hAnsi="Times New Roman" w:cs="Times New Roman"/>
          <w:sz w:val="24"/>
          <w:szCs w:val="24"/>
          <w:lang w:val="en-US"/>
        </w:rPr>
        <w:footnoteReference w:id="11"/>
      </w:r>
      <w:r w:rsidR="00C84F54">
        <w:rPr>
          <w:rFonts w:ascii="Times New Roman" w:hAnsi="Times New Roman" w:cs="Times New Roman"/>
          <w:sz w:val="24"/>
          <w:szCs w:val="24"/>
          <w:lang w:val="en-US"/>
        </w:rPr>
        <w:t xml:space="preserve"> </w:t>
      </w:r>
      <w:r w:rsidR="00351E85" w:rsidRPr="003101A0">
        <w:rPr>
          <w:rFonts w:ascii="Times New Roman" w:hAnsi="Times New Roman" w:cs="Times New Roman"/>
          <w:sz w:val="24"/>
          <w:szCs w:val="24"/>
          <w:lang w:val="en-US"/>
        </w:rPr>
        <w:t>In addition, we include industry fixed effect</w:t>
      </w:r>
      <w:r w:rsidR="00871C61" w:rsidRPr="003101A0">
        <w:rPr>
          <w:rFonts w:ascii="Times New Roman" w:hAnsi="Times New Roman" w:cs="Times New Roman"/>
          <w:sz w:val="24"/>
          <w:szCs w:val="24"/>
          <w:lang w:val="en-US"/>
        </w:rPr>
        <w:t>s</w:t>
      </w:r>
      <w:r w:rsidR="00E956AE">
        <w:rPr>
          <w:rFonts w:ascii="Times New Roman" w:hAnsi="Times New Roman" w:cs="Times New Roman"/>
          <w:sz w:val="24"/>
          <w:szCs w:val="24"/>
          <w:lang w:val="en-US"/>
        </w:rPr>
        <w:t xml:space="preserve"> (</w:t>
      </w:r>
      <w:r w:rsidR="00E956AE" w:rsidRPr="003E0D9E">
        <w:rPr>
          <w:rFonts w:ascii="Times New Roman" w:hAnsi="Times New Roman" w:cs="Times New Roman"/>
          <w:i/>
          <w:iCs/>
          <w:sz w:val="24"/>
          <w:szCs w:val="24"/>
          <w:lang w:val="en-US"/>
        </w:rPr>
        <w:t>Industry FE</w:t>
      </w:r>
      <w:r w:rsidR="00E956AE">
        <w:rPr>
          <w:rFonts w:ascii="Times New Roman" w:hAnsi="Times New Roman" w:cs="Times New Roman"/>
          <w:sz w:val="24"/>
          <w:szCs w:val="24"/>
          <w:lang w:val="en-US"/>
        </w:rPr>
        <w:t>)</w:t>
      </w:r>
      <w:r w:rsidR="00351E85" w:rsidRPr="003101A0">
        <w:rPr>
          <w:rFonts w:ascii="Times New Roman" w:hAnsi="Times New Roman" w:cs="Times New Roman"/>
          <w:sz w:val="24"/>
          <w:szCs w:val="24"/>
          <w:lang w:val="en-US"/>
        </w:rPr>
        <w:t xml:space="preserve"> based on the </w:t>
      </w:r>
      <w:proofErr w:type="spellStart"/>
      <w:r w:rsidR="00351E85" w:rsidRPr="003101A0">
        <w:rPr>
          <w:rFonts w:ascii="Times New Roman" w:hAnsi="Times New Roman" w:cs="Times New Roman"/>
          <w:sz w:val="24"/>
          <w:szCs w:val="24"/>
          <w:lang w:val="en-US"/>
        </w:rPr>
        <w:t>Fama</w:t>
      </w:r>
      <w:proofErr w:type="spellEnd"/>
      <w:r w:rsidR="00351E85" w:rsidRPr="003101A0">
        <w:rPr>
          <w:rFonts w:ascii="Times New Roman" w:hAnsi="Times New Roman" w:cs="Times New Roman"/>
          <w:sz w:val="24"/>
          <w:szCs w:val="24"/>
          <w:lang w:val="en-US"/>
        </w:rPr>
        <w:t>-French 12 industries</w:t>
      </w:r>
      <w:r w:rsidR="00E956AE">
        <w:rPr>
          <w:rFonts w:ascii="Times New Roman" w:hAnsi="Times New Roman" w:cs="Times New Roman"/>
          <w:sz w:val="24"/>
          <w:szCs w:val="24"/>
          <w:lang w:val="en-US"/>
        </w:rPr>
        <w:t>.</w:t>
      </w:r>
      <w:r w:rsidR="00351E85" w:rsidRPr="003101A0">
        <w:rPr>
          <w:rFonts w:ascii="Times New Roman" w:hAnsi="Times New Roman" w:cs="Times New Roman"/>
          <w:sz w:val="24"/>
          <w:szCs w:val="24"/>
          <w:lang w:val="en-US"/>
        </w:rPr>
        <w:t xml:space="preserve"> </w:t>
      </w:r>
      <w:r w:rsidRPr="003101A0">
        <w:rPr>
          <w:rFonts w:ascii="Times New Roman" w:eastAsia="Times New Roman" w:hAnsi="Times New Roman" w:cs="Times New Roman"/>
          <w:sz w:val="24"/>
          <w:szCs w:val="24"/>
          <w:lang w:val="en-US"/>
        </w:rPr>
        <w:t xml:space="preserve"> </w:t>
      </w:r>
    </w:p>
    <w:p w14:paraId="4A05FD4D" w14:textId="6B10DE34" w:rsidR="00C1414B" w:rsidRDefault="00C1414B" w:rsidP="00BE408D">
      <w:pPr>
        <w:spacing w:after="0" w:line="480" w:lineRule="auto"/>
        <w:ind w:firstLine="426"/>
        <w:jc w:val="both"/>
        <w:rPr>
          <w:rFonts w:ascii="Times New Roman" w:hAnsi="Times New Roman" w:cs="Times New Roman"/>
          <w:sz w:val="24"/>
          <w:szCs w:val="24"/>
          <w:lang w:val="en-US"/>
        </w:rPr>
      </w:pPr>
    </w:p>
    <w:p w14:paraId="01296050" w14:textId="4070069F" w:rsidR="00C53631" w:rsidRDefault="00C53631" w:rsidP="00BE408D">
      <w:pPr>
        <w:spacing w:after="0" w:line="480" w:lineRule="auto"/>
        <w:ind w:firstLine="426"/>
        <w:jc w:val="both"/>
        <w:rPr>
          <w:rFonts w:ascii="Times New Roman" w:hAnsi="Times New Roman" w:cs="Times New Roman"/>
          <w:sz w:val="24"/>
          <w:szCs w:val="24"/>
          <w:lang w:val="en-US"/>
        </w:rPr>
      </w:pPr>
    </w:p>
    <w:p w14:paraId="24BADC80" w14:textId="7D4EDD14" w:rsidR="00DC14E8" w:rsidRDefault="00DC14E8" w:rsidP="00BE408D">
      <w:pPr>
        <w:spacing w:after="0" w:line="480" w:lineRule="auto"/>
        <w:ind w:firstLine="426"/>
        <w:jc w:val="both"/>
        <w:rPr>
          <w:rFonts w:ascii="Times New Roman" w:hAnsi="Times New Roman" w:cs="Times New Roman"/>
          <w:sz w:val="24"/>
          <w:szCs w:val="24"/>
          <w:lang w:val="en-US"/>
        </w:rPr>
      </w:pPr>
    </w:p>
    <w:p w14:paraId="5584537B" w14:textId="77777777" w:rsidR="00DC14E8" w:rsidRPr="003101A0" w:rsidRDefault="00DC14E8" w:rsidP="00BE408D">
      <w:pPr>
        <w:spacing w:after="0" w:line="480" w:lineRule="auto"/>
        <w:ind w:firstLine="426"/>
        <w:jc w:val="both"/>
        <w:rPr>
          <w:rFonts w:ascii="Times New Roman" w:hAnsi="Times New Roman" w:cs="Times New Roman"/>
          <w:sz w:val="24"/>
          <w:szCs w:val="24"/>
          <w:lang w:val="en-US"/>
        </w:rPr>
      </w:pPr>
    </w:p>
    <w:p w14:paraId="62D34FEB" w14:textId="77777777" w:rsidR="00F74F87" w:rsidRPr="003101A0" w:rsidRDefault="00F74F87" w:rsidP="00BE408D">
      <w:pPr>
        <w:pStyle w:val="ListParagraph"/>
        <w:numPr>
          <w:ilvl w:val="0"/>
          <w:numId w:val="4"/>
        </w:numPr>
        <w:spacing w:after="0" w:line="480" w:lineRule="auto"/>
        <w:ind w:left="426" w:hanging="426"/>
        <w:jc w:val="both"/>
        <w:rPr>
          <w:rFonts w:ascii="Times New Roman" w:hAnsi="Times New Roman" w:cs="Times New Roman"/>
          <w:b/>
          <w:sz w:val="24"/>
          <w:szCs w:val="24"/>
          <w:lang w:val="en-US"/>
        </w:rPr>
      </w:pPr>
      <w:r w:rsidRPr="003101A0">
        <w:rPr>
          <w:rFonts w:ascii="Times New Roman" w:hAnsi="Times New Roman" w:cs="Times New Roman"/>
          <w:b/>
          <w:sz w:val="24"/>
          <w:szCs w:val="24"/>
          <w:lang w:val="en-US"/>
        </w:rPr>
        <w:lastRenderedPageBreak/>
        <w:t>Do convertibles have fewer covenants than straight bonds?</w:t>
      </w:r>
    </w:p>
    <w:p w14:paraId="5FADE3E7" w14:textId="6214931B" w:rsidR="00536121" w:rsidRPr="003101A0" w:rsidRDefault="00F74F87" w:rsidP="00BE408D">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In this section, we examine whether convertibles have fewer covenants than straight bonds</w:t>
      </w:r>
      <w:r w:rsidR="004C02AD" w:rsidRPr="003101A0">
        <w:rPr>
          <w:rFonts w:ascii="Times New Roman" w:hAnsi="Times New Roman" w:cs="Times New Roman"/>
          <w:sz w:val="24"/>
          <w:szCs w:val="24"/>
          <w:lang w:val="en-US"/>
        </w:rPr>
        <w:t xml:space="preserve">, ceteris paribus, as per </w:t>
      </w:r>
      <w:r w:rsidR="00AB3E71" w:rsidRPr="00AD0BAE">
        <w:rPr>
          <w:rFonts w:ascii="Times New Roman" w:hAnsi="Times New Roman" w:cs="Times New Roman"/>
          <w:i/>
          <w:iCs/>
          <w:sz w:val="24"/>
          <w:szCs w:val="24"/>
          <w:lang w:val="en-US"/>
        </w:rPr>
        <w:t>P</w:t>
      </w:r>
      <w:r w:rsidR="004C02AD" w:rsidRPr="00AD0BAE">
        <w:rPr>
          <w:rFonts w:ascii="Times New Roman" w:hAnsi="Times New Roman" w:cs="Times New Roman"/>
          <w:i/>
          <w:iCs/>
          <w:sz w:val="24"/>
          <w:szCs w:val="24"/>
          <w:vertAlign w:val="subscript"/>
          <w:lang w:val="en-US"/>
        </w:rPr>
        <w:t>1</w:t>
      </w:r>
      <w:r w:rsidRPr="003101A0">
        <w:rPr>
          <w:rFonts w:ascii="Times New Roman" w:hAnsi="Times New Roman" w:cs="Times New Roman"/>
          <w:sz w:val="24"/>
          <w:szCs w:val="24"/>
          <w:lang w:val="en-US"/>
        </w:rPr>
        <w:t xml:space="preserve">. </w:t>
      </w:r>
      <w:r w:rsidR="00986744" w:rsidRPr="003101A0">
        <w:rPr>
          <w:rFonts w:ascii="Times New Roman" w:hAnsi="Times New Roman" w:cs="Times New Roman"/>
          <w:sz w:val="24"/>
          <w:szCs w:val="24"/>
          <w:lang w:val="en-US"/>
        </w:rPr>
        <w:t xml:space="preserve">Our </w:t>
      </w:r>
      <w:r w:rsidR="00D70125" w:rsidRPr="003101A0">
        <w:rPr>
          <w:rFonts w:ascii="Times New Roman" w:hAnsi="Times New Roman" w:cs="Times New Roman"/>
          <w:sz w:val="24"/>
          <w:szCs w:val="24"/>
          <w:lang w:val="en-US"/>
        </w:rPr>
        <w:t>initial</w:t>
      </w:r>
      <w:r w:rsidR="00986744" w:rsidRPr="003101A0">
        <w:rPr>
          <w:rFonts w:ascii="Times New Roman" w:hAnsi="Times New Roman" w:cs="Times New Roman"/>
          <w:sz w:val="24"/>
          <w:szCs w:val="24"/>
          <w:lang w:val="en-US"/>
        </w:rPr>
        <w:t xml:space="preserve"> test consists of</w:t>
      </w:r>
      <w:r w:rsidR="00CE0DB1" w:rsidRPr="003101A0">
        <w:rPr>
          <w:rFonts w:ascii="Times New Roman" w:hAnsi="Times New Roman" w:cs="Times New Roman"/>
          <w:sz w:val="24"/>
          <w:szCs w:val="24"/>
          <w:lang w:val="en-US"/>
        </w:rPr>
        <w:t xml:space="preserve"> </w:t>
      </w:r>
      <w:r w:rsidR="00604F32" w:rsidRPr="003101A0">
        <w:rPr>
          <w:rFonts w:ascii="Times New Roman" w:hAnsi="Times New Roman" w:cs="Times New Roman"/>
          <w:sz w:val="24"/>
          <w:szCs w:val="24"/>
          <w:lang w:val="en-US"/>
        </w:rPr>
        <w:t xml:space="preserve">an </w:t>
      </w:r>
      <w:r w:rsidR="00CE0DB1" w:rsidRPr="003101A0">
        <w:rPr>
          <w:rFonts w:ascii="Times New Roman" w:hAnsi="Times New Roman" w:cs="Times New Roman"/>
          <w:sz w:val="24"/>
          <w:szCs w:val="24"/>
          <w:lang w:val="en-US"/>
        </w:rPr>
        <w:t>Ordinary</w:t>
      </w:r>
      <w:r w:rsidR="00604F32" w:rsidRPr="003101A0">
        <w:rPr>
          <w:rFonts w:ascii="Times New Roman" w:hAnsi="Times New Roman" w:cs="Times New Roman"/>
          <w:sz w:val="24"/>
          <w:szCs w:val="24"/>
          <w:lang w:val="en-US"/>
        </w:rPr>
        <w:t xml:space="preserve"> Least Squares (OLS) regression</w:t>
      </w:r>
      <w:r w:rsidR="00CE0DB1" w:rsidRPr="003101A0">
        <w:rPr>
          <w:rFonts w:ascii="Times New Roman" w:hAnsi="Times New Roman" w:cs="Times New Roman"/>
          <w:sz w:val="24"/>
          <w:szCs w:val="24"/>
          <w:lang w:val="en-US"/>
        </w:rPr>
        <w:t xml:space="preserve"> </w:t>
      </w:r>
      <w:r w:rsidR="00604F32" w:rsidRPr="003101A0">
        <w:rPr>
          <w:rFonts w:ascii="Times New Roman" w:hAnsi="Times New Roman" w:cs="Times New Roman"/>
          <w:sz w:val="24"/>
          <w:szCs w:val="24"/>
          <w:lang w:val="en-US"/>
        </w:rPr>
        <w:t>modeling</w:t>
      </w:r>
      <w:r w:rsidR="00CE556E" w:rsidRPr="003101A0">
        <w:rPr>
          <w:rFonts w:ascii="Times New Roman" w:hAnsi="Times New Roman" w:cs="Times New Roman"/>
          <w:sz w:val="24"/>
          <w:szCs w:val="24"/>
          <w:lang w:val="en-US"/>
        </w:rPr>
        <w:t xml:space="preserve"> </w:t>
      </w:r>
      <w:r w:rsidR="00604F32" w:rsidRPr="003101A0">
        <w:rPr>
          <w:rFonts w:ascii="Times New Roman" w:hAnsi="Times New Roman" w:cs="Times New Roman"/>
          <w:i/>
          <w:sz w:val="24"/>
          <w:szCs w:val="24"/>
          <w:lang w:val="en-US"/>
        </w:rPr>
        <w:t>CI index</w:t>
      </w:r>
      <w:r w:rsidR="00604F32" w:rsidRPr="003101A0">
        <w:rPr>
          <w:rFonts w:ascii="Times New Roman" w:hAnsi="Times New Roman" w:cs="Times New Roman"/>
          <w:sz w:val="24"/>
          <w:szCs w:val="24"/>
          <w:lang w:val="en-US"/>
        </w:rPr>
        <w:t xml:space="preserve"> as a function of a </w:t>
      </w:r>
      <w:r w:rsidR="00C77081" w:rsidRPr="003101A0">
        <w:rPr>
          <w:rFonts w:ascii="Times New Roman" w:hAnsi="Times New Roman" w:cs="Times New Roman"/>
          <w:i/>
          <w:sz w:val="24"/>
          <w:szCs w:val="24"/>
          <w:lang w:val="en-US"/>
        </w:rPr>
        <w:t>Convertible</w:t>
      </w:r>
      <w:r w:rsidR="00604F32" w:rsidRPr="003101A0">
        <w:rPr>
          <w:rFonts w:ascii="Times New Roman" w:hAnsi="Times New Roman" w:cs="Times New Roman"/>
          <w:sz w:val="24"/>
          <w:szCs w:val="24"/>
          <w:lang w:val="en-US"/>
        </w:rPr>
        <w:t xml:space="preserve"> dummy variable</w:t>
      </w:r>
      <w:r w:rsidR="005F7D7F" w:rsidRPr="003101A0">
        <w:rPr>
          <w:rFonts w:ascii="Times New Roman" w:hAnsi="Times New Roman" w:cs="Times New Roman"/>
          <w:sz w:val="24"/>
          <w:szCs w:val="24"/>
          <w:lang w:val="en-US"/>
        </w:rPr>
        <w:t xml:space="preserve"> that</w:t>
      </w:r>
      <w:r w:rsidR="00604F32" w:rsidRPr="003101A0">
        <w:rPr>
          <w:rFonts w:ascii="Times New Roman" w:hAnsi="Times New Roman" w:cs="Times New Roman"/>
          <w:sz w:val="24"/>
          <w:szCs w:val="24"/>
          <w:lang w:val="en-US"/>
        </w:rPr>
        <w:t xml:space="preserve"> equal</w:t>
      </w:r>
      <w:r w:rsidR="005F7D7F" w:rsidRPr="003101A0">
        <w:rPr>
          <w:rFonts w:ascii="Times New Roman" w:hAnsi="Times New Roman" w:cs="Times New Roman"/>
          <w:sz w:val="24"/>
          <w:szCs w:val="24"/>
          <w:lang w:val="en-US"/>
        </w:rPr>
        <w:t>s</w:t>
      </w:r>
      <w:r w:rsidR="00604F32" w:rsidRPr="003101A0">
        <w:rPr>
          <w:rFonts w:ascii="Times New Roman" w:hAnsi="Times New Roman" w:cs="Times New Roman"/>
          <w:sz w:val="24"/>
          <w:szCs w:val="24"/>
          <w:lang w:val="en-US"/>
        </w:rPr>
        <w:t xml:space="preserve"> </w:t>
      </w:r>
      <w:r w:rsidR="008D47A5" w:rsidRPr="003101A0">
        <w:rPr>
          <w:rFonts w:ascii="Times New Roman" w:hAnsi="Times New Roman" w:cs="Times New Roman"/>
          <w:sz w:val="24"/>
          <w:szCs w:val="24"/>
          <w:lang w:val="en-US"/>
        </w:rPr>
        <w:t xml:space="preserve">one </w:t>
      </w:r>
      <w:r w:rsidR="00604F32" w:rsidRPr="003101A0">
        <w:rPr>
          <w:rFonts w:ascii="Times New Roman" w:hAnsi="Times New Roman" w:cs="Times New Roman"/>
          <w:sz w:val="24"/>
          <w:szCs w:val="24"/>
          <w:lang w:val="en-US"/>
        </w:rPr>
        <w:t xml:space="preserve">for convertible bond offerings and zero </w:t>
      </w:r>
      <w:r w:rsidR="00C77081" w:rsidRPr="003101A0">
        <w:rPr>
          <w:rFonts w:ascii="Times New Roman" w:hAnsi="Times New Roman" w:cs="Times New Roman"/>
          <w:sz w:val="24"/>
          <w:szCs w:val="24"/>
          <w:lang w:val="en-US"/>
        </w:rPr>
        <w:t>for straight bond offerings</w:t>
      </w:r>
      <w:r w:rsidR="0036584A">
        <w:rPr>
          <w:rFonts w:ascii="Times New Roman" w:hAnsi="Times New Roman" w:cs="Times New Roman"/>
          <w:sz w:val="24"/>
          <w:szCs w:val="24"/>
          <w:lang w:val="en-US"/>
        </w:rPr>
        <w:t>,</w:t>
      </w:r>
      <w:r w:rsidR="00986744" w:rsidRPr="003101A0">
        <w:rPr>
          <w:rFonts w:ascii="Times New Roman" w:hAnsi="Times New Roman" w:cs="Times New Roman"/>
          <w:sz w:val="24"/>
          <w:szCs w:val="24"/>
          <w:lang w:val="en-US"/>
        </w:rPr>
        <w:t xml:space="preserve"> </w:t>
      </w:r>
      <w:r w:rsidR="00ED7436">
        <w:rPr>
          <w:rFonts w:ascii="Times New Roman" w:hAnsi="Times New Roman" w:cs="Times New Roman"/>
          <w:sz w:val="24"/>
          <w:szCs w:val="24"/>
          <w:lang w:val="en-US"/>
        </w:rPr>
        <w:t>and</w:t>
      </w:r>
      <w:r w:rsidR="00986744" w:rsidRPr="003101A0">
        <w:rPr>
          <w:rFonts w:ascii="Times New Roman" w:hAnsi="Times New Roman" w:cs="Times New Roman"/>
          <w:sz w:val="24"/>
          <w:szCs w:val="24"/>
          <w:lang w:val="en-US"/>
        </w:rPr>
        <w:t xml:space="preserve"> other potential observable determinants of covenant intensity</w:t>
      </w:r>
      <w:r w:rsidR="0012620F" w:rsidRPr="003101A0">
        <w:rPr>
          <w:rFonts w:ascii="Times New Roman" w:hAnsi="Times New Roman" w:cs="Times New Roman"/>
          <w:sz w:val="24"/>
          <w:szCs w:val="24"/>
          <w:lang w:val="en-US"/>
        </w:rPr>
        <w:t xml:space="preserve"> described in the previous section</w:t>
      </w:r>
      <w:r w:rsidR="00536121" w:rsidRPr="003101A0">
        <w:rPr>
          <w:rFonts w:ascii="Times New Roman" w:hAnsi="Times New Roman" w:cs="Times New Roman"/>
          <w:sz w:val="24"/>
          <w:szCs w:val="24"/>
          <w:lang w:val="en-US"/>
        </w:rPr>
        <w:t>:</w:t>
      </w:r>
    </w:p>
    <w:p w14:paraId="2D0D0696" w14:textId="1BA1ABBD" w:rsidR="00C653BC" w:rsidRPr="003101A0" w:rsidRDefault="00000000" w:rsidP="00BE408D">
      <w:pPr>
        <w:spacing w:after="0" w:line="480" w:lineRule="auto"/>
        <w:ind w:firstLine="426"/>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CI index</m:t>
              </m:r>
            </m:e>
            <m:sub>
              <m:r>
                <m:rPr>
                  <m:nor/>
                </m:rPr>
                <w:rPr>
                  <w:rFonts w:ascii="Times New Roman" w:hAnsi="Times New Roman" w:cs="Times New Roman"/>
                  <w:i/>
                  <w:sz w:val="24"/>
                  <w:szCs w:val="24"/>
                  <w:lang w:val="en-US"/>
                </w:rPr>
                <m:t>i,t</m:t>
              </m:r>
            </m:sub>
          </m:sSub>
          <m:r>
            <m:rPr>
              <m:nor/>
            </m:rPr>
            <w:rPr>
              <w:rFonts w:ascii="Times New Roman" w:hAnsi="Times New Roman" w:cs="Times New Roman"/>
              <w:sz w:val="24"/>
              <w:szCs w:val="24"/>
              <w:lang w:val="en-US"/>
            </w:rPr>
            <m:t>=</m:t>
          </m:r>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 xml:space="preserve"> α</m:t>
              </m:r>
            </m:e>
            <m:sub>
              <m:r>
                <m:rPr>
                  <m:nor/>
                </m:rPr>
                <w:rPr>
                  <w:rFonts w:ascii="Times New Roman" w:hAnsi="Times New Roman" w:cs="Times New Roman"/>
                  <w:sz w:val="24"/>
                  <w:szCs w:val="24"/>
                  <w:lang w:val="en-US"/>
                </w:rPr>
                <m:t>0</m:t>
              </m:r>
            </m:sub>
          </m:sSub>
          <m:r>
            <m:rPr>
              <m:nor/>
            </m:rPr>
            <w:rPr>
              <w:rFonts w:ascii="Times New Roman" w:hAnsi="Times New Roman" w:cs="Times New Roman"/>
              <w:sz w:val="24"/>
              <w:szCs w:val="24"/>
              <w:lang w:val="en-US"/>
            </w:rPr>
            <m:t xml:space="preserve">+ </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α'</m:t>
                  </m:r>
                </m:e>
                <m:sub>
                  <m:r>
                    <m:rPr>
                      <m:nor/>
                    </m:rPr>
                    <w:rPr>
                      <w:rFonts w:ascii="Times New Roman" w:hAnsi="Times New Roman" w:cs="Times New Roman"/>
                      <w:sz w:val="24"/>
                      <w:szCs w:val="24"/>
                      <w:lang w:val="en-US"/>
                    </w:rPr>
                    <m:t>1</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 xml:space="preserve"> Convertible</m:t>
                  </m:r>
                </m:e>
                <m:sub>
                  <m:r>
                    <m:rPr>
                      <m:nor/>
                    </m:rPr>
                    <w:rPr>
                      <w:rFonts w:ascii="Times New Roman" w:hAnsi="Times New Roman" w:cs="Times New Roman"/>
                      <w:i/>
                      <w:sz w:val="24"/>
                      <w:szCs w:val="24"/>
                      <w:lang w:val="en-US"/>
                    </w:rPr>
                    <m:t>i,t</m:t>
                  </m:r>
                </m:sub>
              </m:sSub>
              <m:r>
                <m:rPr>
                  <m:nor/>
                </m:rPr>
                <w:rPr>
                  <w:rFonts w:ascii="Times New Roman" w:hAnsi="Times New Roman" w:cs="Times New Roman"/>
                  <w:sz w:val="24"/>
                  <w:szCs w:val="24"/>
                  <w:lang w:val="en-US"/>
                </w:rPr>
                <m:t>+α'</m:t>
              </m:r>
            </m:e>
            <m:sub>
              <m:r>
                <m:rPr>
                  <m:nor/>
                </m:rPr>
                <w:rPr>
                  <w:rFonts w:ascii="Times New Roman" w:hAnsi="Times New Roman" w:cs="Times New Roman"/>
                  <w:sz w:val="24"/>
                  <w:szCs w:val="24"/>
                  <w:lang w:val="en-US"/>
                </w:rPr>
                <m:t>2</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X</m:t>
              </m:r>
            </m:e>
            <m:sub>
              <m:r>
                <m:rPr>
                  <m:nor/>
                </m:rPr>
                <w:rPr>
                  <w:rFonts w:ascii="Times New Roman" w:hAnsi="Times New Roman" w:cs="Times New Roman"/>
                  <w:i/>
                  <w:sz w:val="24"/>
                  <w:szCs w:val="24"/>
                  <w:lang w:val="en-US"/>
                </w:rPr>
                <m:t>i,t</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ε</m:t>
              </m:r>
            </m:e>
            <m:sub>
              <m:r>
                <m:rPr>
                  <m:nor/>
                </m:rPr>
                <w:rPr>
                  <w:rFonts w:ascii="Times New Roman" w:hAnsi="Times New Roman" w:cs="Times New Roman"/>
                  <w:sz w:val="24"/>
                  <w:szCs w:val="24"/>
                  <w:lang w:val="en-US"/>
                </w:rPr>
                <m:t>i,t</m:t>
              </m:r>
            </m:sub>
          </m:sSub>
          <m:r>
            <m:rPr>
              <m:nor/>
            </m:rPr>
            <w:rPr>
              <w:rFonts w:ascii="Times New Roman" w:hAnsi="Times New Roman" w:cs="Times New Roman"/>
              <w:sz w:val="24"/>
              <w:szCs w:val="24"/>
              <w:lang w:val="en-US"/>
            </w:rPr>
            <m:t xml:space="preserve">              </m:t>
          </m:r>
          <m:d>
            <m:dPr>
              <m:ctrlPr>
                <w:rPr>
                  <w:rFonts w:ascii="Cambria Math" w:hAnsi="Cambria Math" w:cs="Times New Roman"/>
                  <w:i/>
                  <w:sz w:val="24"/>
                  <w:szCs w:val="24"/>
                  <w:lang w:val="en-US"/>
                </w:rPr>
              </m:ctrlPr>
            </m:dPr>
            <m:e>
              <m:r>
                <m:rPr>
                  <m:nor/>
                </m:rPr>
                <w:rPr>
                  <w:rFonts w:ascii="Times New Roman" w:hAnsi="Times New Roman" w:cs="Times New Roman"/>
                  <w:sz w:val="24"/>
                  <w:szCs w:val="24"/>
                  <w:lang w:val="en-US"/>
                </w:rPr>
                <m:t>1</m:t>
              </m:r>
            </m:e>
          </m:d>
        </m:oMath>
      </m:oMathPara>
    </w:p>
    <w:p w14:paraId="40FED06C" w14:textId="0D703CD8" w:rsidR="007851C4" w:rsidRPr="003101A0" w:rsidRDefault="0012620F" w:rsidP="00BE408D">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Our </w:t>
      </w:r>
      <w:r w:rsidR="00871C61" w:rsidRPr="003101A0">
        <w:rPr>
          <w:rFonts w:ascii="Times New Roman" w:hAnsi="Times New Roman" w:cs="Times New Roman"/>
          <w:sz w:val="24"/>
          <w:szCs w:val="24"/>
          <w:lang w:val="en-US"/>
        </w:rPr>
        <w:t>observation unit</w:t>
      </w:r>
      <w:r w:rsidRPr="003101A0">
        <w:rPr>
          <w:rFonts w:ascii="Times New Roman" w:hAnsi="Times New Roman" w:cs="Times New Roman"/>
          <w:sz w:val="24"/>
          <w:szCs w:val="24"/>
          <w:lang w:val="en-US"/>
        </w:rPr>
        <w:t xml:space="preserve"> is a (convertible) bond offering </w:t>
      </w:r>
      <w:r w:rsidR="00624C8E" w:rsidRPr="003101A0">
        <w:rPr>
          <w:rFonts w:ascii="Times New Roman" w:hAnsi="Times New Roman" w:cs="Times New Roman"/>
          <w:sz w:val="24"/>
          <w:szCs w:val="24"/>
          <w:lang w:val="en-US"/>
        </w:rPr>
        <w:t xml:space="preserve">by firm </w:t>
      </w:r>
      <w:proofErr w:type="spellStart"/>
      <w:r w:rsidRPr="003101A0">
        <w:rPr>
          <w:rFonts w:ascii="Times New Roman" w:hAnsi="Times New Roman" w:cs="Times New Roman"/>
          <w:i/>
          <w:iCs/>
          <w:sz w:val="24"/>
          <w:szCs w:val="24"/>
          <w:lang w:val="en-US"/>
        </w:rPr>
        <w:t>i</w:t>
      </w:r>
      <w:proofErr w:type="spellEnd"/>
      <w:r w:rsidR="00624C8E" w:rsidRPr="003101A0">
        <w:rPr>
          <w:rFonts w:ascii="Times New Roman" w:hAnsi="Times New Roman" w:cs="Times New Roman"/>
          <w:i/>
          <w:iCs/>
          <w:sz w:val="24"/>
          <w:szCs w:val="24"/>
          <w:lang w:val="en-US"/>
        </w:rPr>
        <w:t xml:space="preserve"> </w:t>
      </w:r>
      <w:r w:rsidR="00624C8E" w:rsidRPr="003101A0">
        <w:rPr>
          <w:rFonts w:ascii="Times New Roman" w:hAnsi="Times New Roman" w:cs="Times New Roman"/>
          <w:sz w:val="24"/>
          <w:szCs w:val="24"/>
          <w:lang w:val="en-US"/>
        </w:rPr>
        <w:t xml:space="preserve">at time </w:t>
      </w:r>
      <w:r w:rsidR="00624C8E" w:rsidRPr="003101A0">
        <w:rPr>
          <w:rFonts w:ascii="Times New Roman" w:hAnsi="Times New Roman" w:cs="Times New Roman"/>
          <w:i/>
          <w:iCs/>
          <w:sz w:val="24"/>
          <w:szCs w:val="24"/>
          <w:lang w:val="en-US"/>
        </w:rPr>
        <w:t>t</w:t>
      </w:r>
      <w:r w:rsidRPr="003101A0">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X</m:t>
            </m:r>
          </m:e>
          <m:sub>
            <m:r>
              <m:rPr>
                <m:nor/>
              </m:rPr>
              <w:rPr>
                <w:rFonts w:ascii="Times New Roman" w:hAnsi="Times New Roman" w:cs="Times New Roman"/>
                <w:i/>
                <w:sz w:val="24"/>
                <w:szCs w:val="24"/>
                <w:lang w:val="en-US"/>
              </w:rPr>
              <m:t>i,t</m:t>
            </m:r>
          </m:sub>
        </m:sSub>
      </m:oMath>
      <w:r w:rsidR="00817545" w:rsidRPr="003101A0">
        <w:rPr>
          <w:rFonts w:ascii="Times New Roman" w:eastAsiaTheme="minorEastAsia" w:hAnsi="Times New Roman" w:cs="Times New Roman"/>
          <w:sz w:val="24"/>
          <w:szCs w:val="24"/>
          <w:lang w:val="en-US"/>
        </w:rPr>
        <w:t xml:space="preserve"> is a set of </w:t>
      </w:r>
      <w:r w:rsidR="00BD70EE" w:rsidRPr="003101A0">
        <w:rPr>
          <w:rFonts w:ascii="Times New Roman" w:eastAsiaTheme="minorEastAsia" w:hAnsi="Times New Roman" w:cs="Times New Roman"/>
          <w:sz w:val="24"/>
          <w:szCs w:val="24"/>
          <w:lang w:val="en-US"/>
        </w:rPr>
        <w:t>covenant intensity determinants</w:t>
      </w:r>
      <w:r w:rsidR="00817545" w:rsidRPr="003101A0">
        <w:rPr>
          <w:rFonts w:ascii="Times New Roman" w:eastAsiaTheme="minorEastAsia" w:hAnsi="Times New Roman" w:cs="Times New Roman"/>
          <w:sz w:val="24"/>
          <w:szCs w:val="24"/>
          <w:lang w:val="en-US"/>
        </w:rPr>
        <w:t xml:space="preserve"> </w:t>
      </w:r>
      <w:r w:rsidR="00F80FA1" w:rsidRPr="003101A0">
        <w:rPr>
          <w:rFonts w:ascii="Times New Roman" w:eastAsiaTheme="minorEastAsia" w:hAnsi="Times New Roman" w:cs="Times New Roman"/>
          <w:sz w:val="24"/>
          <w:szCs w:val="24"/>
          <w:lang w:val="en-US"/>
        </w:rPr>
        <w:t xml:space="preserve">and </w:t>
      </w:r>
      <m:oMath>
        <m:sSub>
          <m:sSubPr>
            <m:ctrlPr>
              <w:rPr>
                <w:rFonts w:ascii="Cambria Math" w:hAnsi="Cambria Math" w:cs="Times New Roman"/>
                <w:iCs/>
                <w:sz w:val="24"/>
                <w:szCs w:val="24"/>
                <w:lang w:val="en-US"/>
              </w:rPr>
            </m:ctrlPr>
          </m:sSubPr>
          <m:e>
            <m:r>
              <m:rPr>
                <m:nor/>
              </m:rPr>
              <w:rPr>
                <w:rFonts w:ascii="Times New Roman" w:hAnsi="Times New Roman" w:cs="Times New Roman"/>
                <w:iCs/>
                <w:sz w:val="24"/>
                <w:szCs w:val="24"/>
                <w:lang w:val="en-US"/>
              </w:rPr>
              <m:t>ε</m:t>
            </m:r>
          </m:e>
          <m:sub>
            <m:r>
              <m:rPr>
                <m:nor/>
              </m:rPr>
              <w:rPr>
                <w:rFonts w:ascii="Times New Roman" w:hAnsi="Times New Roman" w:cs="Times New Roman"/>
                <w:iCs/>
                <w:sz w:val="24"/>
                <w:szCs w:val="24"/>
                <w:lang w:val="en-US"/>
              </w:rPr>
              <m:t>i,t</m:t>
            </m:r>
          </m:sub>
        </m:sSub>
      </m:oMath>
      <w:r w:rsidR="00F80FA1" w:rsidRPr="003101A0">
        <w:rPr>
          <w:rFonts w:ascii="Times New Roman" w:eastAsiaTheme="minorEastAsia" w:hAnsi="Times New Roman" w:cs="Times New Roman"/>
          <w:sz w:val="24"/>
          <w:szCs w:val="24"/>
          <w:lang w:val="en-US"/>
        </w:rPr>
        <w:t xml:space="preserve"> an error term. </w:t>
      </w:r>
      <w:r w:rsidR="007851C4" w:rsidRPr="003101A0">
        <w:rPr>
          <w:rFonts w:ascii="Times New Roman" w:hAnsi="Times New Roman" w:cs="Times New Roman"/>
          <w:sz w:val="24"/>
          <w:szCs w:val="24"/>
          <w:lang w:val="en-US"/>
        </w:rPr>
        <w:t xml:space="preserve">Table 4, Panel A provides the regression results. We base </w:t>
      </w:r>
      <w:r w:rsidR="0036584A">
        <w:rPr>
          <w:rFonts w:ascii="Times New Roman" w:hAnsi="Times New Roman" w:cs="Times New Roman"/>
          <w:sz w:val="24"/>
          <w:szCs w:val="24"/>
          <w:lang w:val="en-US"/>
        </w:rPr>
        <w:t xml:space="preserve">our </w:t>
      </w:r>
      <w:r w:rsidR="007851C4" w:rsidRPr="003101A0">
        <w:rPr>
          <w:rFonts w:ascii="Times New Roman" w:hAnsi="Times New Roman" w:cs="Times New Roman"/>
          <w:sz w:val="24"/>
          <w:szCs w:val="24"/>
          <w:lang w:val="en-US"/>
        </w:rPr>
        <w:t xml:space="preserve">statistical inferences on standard errors corrected for heteroscedasticity and clustered by </w:t>
      </w:r>
      <w:r w:rsidR="00FB3B1C" w:rsidRPr="003101A0">
        <w:rPr>
          <w:rFonts w:ascii="Times New Roman" w:hAnsi="Times New Roman" w:cs="Times New Roman"/>
          <w:sz w:val="24"/>
          <w:szCs w:val="24"/>
          <w:lang w:val="en-US"/>
        </w:rPr>
        <w:t>issuer</w:t>
      </w:r>
      <w:r w:rsidR="00AD0BAE">
        <w:rPr>
          <w:rFonts w:ascii="Times New Roman" w:hAnsi="Times New Roman" w:cs="Times New Roman"/>
          <w:sz w:val="24"/>
          <w:szCs w:val="24"/>
          <w:lang w:val="en-US"/>
        </w:rPr>
        <w:t>s</w:t>
      </w:r>
      <w:r w:rsidR="00A0501A" w:rsidRPr="003101A0">
        <w:rPr>
          <w:rFonts w:ascii="Times New Roman" w:hAnsi="Times New Roman" w:cs="Times New Roman"/>
          <w:sz w:val="24"/>
          <w:szCs w:val="24"/>
          <w:lang w:val="en-US"/>
        </w:rPr>
        <w:t>, consistent with previous covenant intensity studies</w:t>
      </w:r>
      <w:r w:rsidR="00FB3B1C" w:rsidRPr="003101A0">
        <w:rPr>
          <w:rFonts w:ascii="Times New Roman" w:hAnsi="Times New Roman" w:cs="Times New Roman"/>
          <w:sz w:val="24"/>
          <w:szCs w:val="24"/>
          <w:lang w:val="en-US"/>
        </w:rPr>
        <w:t xml:space="preserve"> </w:t>
      </w:r>
      <w:r w:rsidR="007851C4" w:rsidRPr="003101A0">
        <w:rPr>
          <w:rFonts w:ascii="Times New Roman" w:hAnsi="Times New Roman" w:cs="Times New Roman"/>
          <w:sz w:val="24"/>
          <w:szCs w:val="24"/>
          <w:lang w:val="en-US"/>
        </w:rPr>
        <w:t xml:space="preserve">(Miller and </w:t>
      </w:r>
      <w:proofErr w:type="spellStart"/>
      <w:r w:rsidR="007851C4" w:rsidRPr="003101A0">
        <w:rPr>
          <w:rFonts w:ascii="Times New Roman" w:hAnsi="Times New Roman" w:cs="Times New Roman"/>
          <w:sz w:val="24"/>
          <w:szCs w:val="24"/>
          <w:lang w:val="en-US"/>
        </w:rPr>
        <w:t>Reisel</w:t>
      </w:r>
      <w:proofErr w:type="spellEnd"/>
      <w:r w:rsidR="007851C4" w:rsidRPr="003101A0">
        <w:rPr>
          <w:rFonts w:ascii="Times New Roman" w:hAnsi="Times New Roman" w:cs="Times New Roman"/>
          <w:sz w:val="24"/>
          <w:szCs w:val="24"/>
          <w:lang w:val="en-US"/>
        </w:rPr>
        <w:t xml:space="preserve">, </w:t>
      </w:r>
      <w:r w:rsidR="005E133B" w:rsidRPr="003101A0">
        <w:rPr>
          <w:rFonts w:ascii="Times New Roman" w:hAnsi="Times New Roman" w:cs="Times New Roman"/>
          <w:sz w:val="24"/>
          <w:szCs w:val="24"/>
          <w:lang w:val="en-US"/>
        </w:rPr>
        <w:t>2012</w:t>
      </w:r>
      <w:r w:rsidR="007851C4" w:rsidRPr="003101A0">
        <w:rPr>
          <w:rFonts w:ascii="Times New Roman" w:hAnsi="Times New Roman" w:cs="Times New Roman"/>
          <w:sz w:val="24"/>
          <w:szCs w:val="24"/>
          <w:lang w:val="en-US"/>
        </w:rPr>
        <w:t xml:space="preserve">; Zhang and Zhou, 2018). </w:t>
      </w:r>
    </w:p>
    <w:p w14:paraId="0A8E92DC" w14:textId="007D0222" w:rsidR="007851C4" w:rsidRPr="003101A0" w:rsidRDefault="007851C4" w:rsidP="00BE408D">
      <w:pPr>
        <w:spacing w:after="0" w:line="480" w:lineRule="auto"/>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&lt;&lt; Please insert Table 4 here &gt;&gt;</w:t>
      </w:r>
    </w:p>
    <w:p w14:paraId="70710F9A" w14:textId="7AC61C6C" w:rsidR="00FB3B1C" w:rsidRPr="003101A0" w:rsidRDefault="00A0501A" w:rsidP="00BE408D">
      <w:pPr>
        <w:spacing w:after="0" w:line="480" w:lineRule="auto"/>
        <w:ind w:firstLine="426"/>
        <w:jc w:val="both"/>
        <w:rPr>
          <w:rFonts w:ascii="Times New Roman" w:hAnsi="Times New Roman" w:cs="Times New Roman"/>
          <w:iCs/>
          <w:sz w:val="24"/>
          <w:szCs w:val="24"/>
          <w:lang w:val="en-US"/>
        </w:rPr>
      </w:pPr>
      <w:r w:rsidRPr="003101A0">
        <w:rPr>
          <w:rFonts w:ascii="Times New Roman" w:hAnsi="Times New Roman" w:cs="Times New Roman"/>
          <w:sz w:val="24"/>
          <w:szCs w:val="24"/>
          <w:lang w:val="en-US"/>
        </w:rPr>
        <w:t>Results in c</w:t>
      </w:r>
      <w:r w:rsidR="001C1334" w:rsidRPr="003101A0">
        <w:rPr>
          <w:rFonts w:ascii="Times New Roman" w:hAnsi="Times New Roman" w:cs="Times New Roman"/>
          <w:sz w:val="24"/>
          <w:szCs w:val="24"/>
          <w:lang w:val="en-US"/>
        </w:rPr>
        <w:t>olumn (1) show</w:t>
      </w:r>
      <w:r w:rsidRPr="003101A0">
        <w:rPr>
          <w:rFonts w:ascii="Times New Roman" w:hAnsi="Times New Roman" w:cs="Times New Roman"/>
          <w:sz w:val="24"/>
          <w:szCs w:val="24"/>
          <w:lang w:val="en-US"/>
        </w:rPr>
        <w:t xml:space="preserve"> </w:t>
      </w:r>
      <w:r w:rsidR="001C1334" w:rsidRPr="003101A0">
        <w:rPr>
          <w:rFonts w:ascii="Times New Roman" w:hAnsi="Times New Roman" w:cs="Times New Roman"/>
          <w:sz w:val="24"/>
          <w:szCs w:val="24"/>
          <w:lang w:val="en-US"/>
        </w:rPr>
        <w:t xml:space="preserve">that </w:t>
      </w:r>
      <w:r w:rsidR="00C77081" w:rsidRPr="003101A0">
        <w:rPr>
          <w:rFonts w:ascii="Times New Roman" w:hAnsi="Times New Roman" w:cs="Times New Roman"/>
          <w:i/>
          <w:sz w:val="24"/>
          <w:szCs w:val="24"/>
          <w:lang w:val="en-US"/>
        </w:rPr>
        <w:t>Convertible</w:t>
      </w:r>
      <w:r w:rsidR="001C1334" w:rsidRPr="003101A0">
        <w:rPr>
          <w:rFonts w:ascii="Times New Roman" w:hAnsi="Times New Roman" w:cs="Times New Roman"/>
          <w:sz w:val="24"/>
          <w:szCs w:val="24"/>
          <w:lang w:val="en-US"/>
        </w:rPr>
        <w:t xml:space="preserve"> has a significantly negative </w:t>
      </w:r>
      <w:r w:rsidR="00E42731" w:rsidRPr="003101A0">
        <w:rPr>
          <w:rFonts w:ascii="Times New Roman" w:hAnsi="Times New Roman" w:cs="Times New Roman"/>
          <w:sz w:val="24"/>
          <w:szCs w:val="24"/>
          <w:lang w:val="en-US"/>
        </w:rPr>
        <w:t xml:space="preserve">association </w:t>
      </w:r>
      <w:r w:rsidR="001C1334" w:rsidRPr="003101A0">
        <w:rPr>
          <w:rFonts w:ascii="Times New Roman" w:hAnsi="Times New Roman" w:cs="Times New Roman"/>
          <w:sz w:val="24"/>
          <w:szCs w:val="24"/>
          <w:lang w:val="en-US"/>
        </w:rPr>
        <w:t xml:space="preserve">with </w:t>
      </w:r>
      <w:r w:rsidR="001C1334" w:rsidRPr="003101A0">
        <w:rPr>
          <w:rFonts w:ascii="Times New Roman" w:hAnsi="Times New Roman" w:cs="Times New Roman"/>
          <w:i/>
          <w:sz w:val="24"/>
          <w:szCs w:val="24"/>
          <w:lang w:val="en-US"/>
        </w:rPr>
        <w:t>CI index</w:t>
      </w:r>
      <w:r w:rsidR="001C1334" w:rsidRPr="003101A0">
        <w:rPr>
          <w:rFonts w:ascii="Times New Roman" w:hAnsi="Times New Roman" w:cs="Times New Roman"/>
          <w:sz w:val="24"/>
          <w:szCs w:val="24"/>
          <w:lang w:val="en-US"/>
        </w:rPr>
        <w:t xml:space="preserve">, consistent with the </w:t>
      </w:r>
      <w:r w:rsidR="0049621F" w:rsidRPr="003101A0">
        <w:rPr>
          <w:rFonts w:ascii="Times New Roman" w:hAnsi="Times New Roman" w:cs="Times New Roman"/>
          <w:sz w:val="24"/>
          <w:szCs w:val="24"/>
          <w:lang w:val="en-US"/>
        </w:rPr>
        <w:t>univariate results</w:t>
      </w:r>
      <w:r w:rsidR="001C1334" w:rsidRPr="003101A0">
        <w:rPr>
          <w:rFonts w:ascii="Times New Roman" w:hAnsi="Times New Roman" w:cs="Times New Roman"/>
          <w:sz w:val="24"/>
          <w:szCs w:val="24"/>
          <w:lang w:val="en-US"/>
        </w:rPr>
        <w:t>.</w:t>
      </w:r>
      <w:r w:rsidR="006C0A79" w:rsidRPr="003101A0">
        <w:rPr>
          <w:rFonts w:ascii="Times New Roman" w:hAnsi="Times New Roman" w:cs="Times New Roman"/>
          <w:sz w:val="24"/>
          <w:szCs w:val="24"/>
          <w:lang w:val="en-US"/>
        </w:rPr>
        <w:t xml:space="preserve"> In </w:t>
      </w:r>
      <w:r w:rsidR="001D1C16" w:rsidRPr="003101A0">
        <w:rPr>
          <w:rFonts w:ascii="Times New Roman" w:hAnsi="Times New Roman" w:cs="Times New Roman"/>
          <w:sz w:val="24"/>
          <w:szCs w:val="24"/>
          <w:lang w:val="en-US"/>
        </w:rPr>
        <w:t>c</w:t>
      </w:r>
      <w:r w:rsidR="006C0A79" w:rsidRPr="003101A0">
        <w:rPr>
          <w:rFonts w:ascii="Times New Roman" w:hAnsi="Times New Roman" w:cs="Times New Roman"/>
          <w:sz w:val="24"/>
          <w:szCs w:val="24"/>
          <w:lang w:val="en-US"/>
        </w:rPr>
        <w:t xml:space="preserve">olumn (2), we estimate the regression </w:t>
      </w:r>
      <w:r w:rsidRPr="003101A0">
        <w:rPr>
          <w:rFonts w:ascii="Times New Roman" w:hAnsi="Times New Roman" w:cs="Times New Roman"/>
          <w:sz w:val="24"/>
          <w:szCs w:val="24"/>
          <w:lang w:val="en-US"/>
        </w:rPr>
        <w:t xml:space="preserve">displayed </w:t>
      </w:r>
      <w:r w:rsidR="006C0A79" w:rsidRPr="003101A0">
        <w:rPr>
          <w:rFonts w:ascii="Times New Roman" w:hAnsi="Times New Roman" w:cs="Times New Roman"/>
          <w:sz w:val="24"/>
          <w:szCs w:val="24"/>
          <w:lang w:val="en-US"/>
        </w:rPr>
        <w:t xml:space="preserve">in </w:t>
      </w:r>
      <w:r w:rsidR="00B1186F" w:rsidRPr="003101A0">
        <w:rPr>
          <w:rFonts w:ascii="Times New Roman" w:hAnsi="Times New Roman" w:cs="Times New Roman"/>
          <w:sz w:val="24"/>
          <w:szCs w:val="24"/>
          <w:lang w:val="en-US"/>
        </w:rPr>
        <w:t>Equation</w:t>
      </w:r>
      <w:r w:rsidR="006C0A79" w:rsidRPr="003101A0">
        <w:rPr>
          <w:rFonts w:ascii="Times New Roman" w:hAnsi="Times New Roman" w:cs="Times New Roman"/>
          <w:sz w:val="24"/>
          <w:szCs w:val="24"/>
          <w:lang w:val="en-US"/>
        </w:rPr>
        <w:t xml:space="preserve"> (1). Most importantly, we find that </w:t>
      </w:r>
      <w:r w:rsidR="00501C7F" w:rsidRPr="003101A0">
        <w:rPr>
          <w:rFonts w:ascii="Times New Roman" w:hAnsi="Times New Roman" w:cs="Times New Roman"/>
          <w:i/>
          <w:iCs/>
          <w:sz w:val="24"/>
          <w:szCs w:val="24"/>
          <w:lang w:val="en-US"/>
        </w:rPr>
        <w:t>Convertible</w:t>
      </w:r>
      <w:r w:rsidR="00501C7F" w:rsidRPr="003101A0">
        <w:rPr>
          <w:rFonts w:ascii="Times New Roman" w:hAnsi="Times New Roman" w:cs="Times New Roman"/>
          <w:sz w:val="24"/>
          <w:szCs w:val="24"/>
          <w:lang w:val="en-US"/>
        </w:rPr>
        <w:t xml:space="preserve"> continues to have a significant</w:t>
      </w:r>
      <w:r w:rsidR="00236FAD" w:rsidRPr="003101A0">
        <w:rPr>
          <w:rFonts w:ascii="Times New Roman" w:hAnsi="Times New Roman" w:cs="Times New Roman"/>
          <w:sz w:val="24"/>
          <w:szCs w:val="24"/>
          <w:lang w:val="en-US"/>
        </w:rPr>
        <w:t>ly</w:t>
      </w:r>
      <w:r w:rsidR="00501C7F" w:rsidRPr="003101A0">
        <w:rPr>
          <w:rFonts w:ascii="Times New Roman" w:hAnsi="Times New Roman" w:cs="Times New Roman"/>
          <w:sz w:val="24"/>
          <w:szCs w:val="24"/>
          <w:lang w:val="en-US"/>
        </w:rPr>
        <w:t xml:space="preserve"> negative coefficient after</w:t>
      </w:r>
      <w:r w:rsidR="006C0A79" w:rsidRPr="003101A0">
        <w:rPr>
          <w:rFonts w:ascii="Times New Roman" w:hAnsi="Times New Roman" w:cs="Times New Roman"/>
          <w:sz w:val="24"/>
          <w:szCs w:val="24"/>
          <w:lang w:val="en-US"/>
        </w:rPr>
        <w:t xml:space="preserve"> </w:t>
      </w:r>
      <w:r w:rsidR="00871C61" w:rsidRPr="003101A0">
        <w:rPr>
          <w:rFonts w:ascii="Times New Roman" w:hAnsi="Times New Roman" w:cs="Times New Roman"/>
          <w:sz w:val="24"/>
          <w:szCs w:val="24"/>
          <w:lang w:val="en-US"/>
        </w:rPr>
        <w:t>adding</w:t>
      </w:r>
      <w:r w:rsidR="006C0A79" w:rsidRPr="003101A0">
        <w:rPr>
          <w:rFonts w:ascii="Times New Roman" w:hAnsi="Times New Roman" w:cs="Times New Roman"/>
          <w:sz w:val="24"/>
          <w:szCs w:val="24"/>
          <w:lang w:val="en-US"/>
        </w:rPr>
        <w:t xml:space="preserve"> other observable covenant intensity determinants</w:t>
      </w:r>
      <w:r w:rsidRPr="003101A0">
        <w:rPr>
          <w:rFonts w:ascii="Times New Roman" w:hAnsi="Times New Roman" w:cs="Times New Roman"/>
          <w:sz w:val="24"/>
          <w:szCs w:val="24"/>
          <w:lang w:val="en-US"/>
        </w:rPr>
        <w:t xml:space="preserve"> embedded in vector </w:t>
      </w:r>
      <w:r w:rsidRPr="003101A0">
        <w:rPr>
          <w:rFonts w:ascii="Times New Roman" w:hAnsi="Times New Roman" w:cs="Times New Roman"/>
          <w:i/>
          <w:iCs/>
          <w:sz w:val="24"/>
          <w:szCs w:val="24"/>
          <w:lang w:val="en-US"/>
        </w:rPr>
        <w:t>X</w:t>
      </w:r>
      <w:r w:rsidR="006C0A79" w:rsidRPr="003101A0">
        <w:rPr>
          <w:rFonts w:ascii="Times New Roman" w:hAnsi="Times New Roman" w:cs="Times New Roman"/>
          <w:sz w:val="24"/>
          <w:szCs w:val="24"/>
          <w:lang w:val="en-US"/>
        </w:rPr>
        <w:t xml:space="preserve">. </w:t>
      </w:r>
      <w:r w:rsidR="00627F2F" w:rsidRPr="003101A0">
        <w:rPr>
          <w:rFonts w:ascii="Times New Roman" w:hAnsi="Times New Roman" w:cs="Times New Roman"/>
          <w:sz w:val="24"/>
          <w:szCs w:val="24"/>
          <w:lang w:val="en-US"/>
        </w:rPr>
        <w:t>For the debt-related costs proxies, w</w:t>
      </w:r>
      <w:r w:rsidR="006C0A79" w:rsidRPr="003101A0">
        <w:rPr>
          <w:rFonts w:ascii="Times New Roman" w:hAnsi="Times New Roman" w:cs="Times New Roman"/>
          <w:sz w:val="24"/>
          <w:szCs w:val="24"/>
          <w:lang w:val="en-US"/>
        </w:rPr>
        <w:t xml:space="preserve">e </w:t>
      </w:r>
      <w:r w:rsidR="00E66B04" w:rsidRPr="003101A0">
        <w:rPr>
          <w:rFonts w:ascii="Times New Roman" w:hAnsi="Times New Roman" w:cs="Times New Roman"/>
          <w:sz w:val="24"/>
          <w:szCs w:val="24"/>
          <w:lang w:val="en-US"/>
        </w:rPr>
        <w:t>find negative impact</w:t>
      </w:r>
      <w:r w:rsidR="0058079F" w:rsidRPr="003101A0">
        <w:rPr>
          <w:rFonts w:ascii="Times New Roman" w:hAnsi="Times New Roman" w:cs="Times New Roman"/>
          <w:sz w:val="24"/>
          <w:szCs w:val="24"/>
          <w:lang w:val="en-US"/>
        </w:rPr>
        <w:t>s</w:t>
      </w:r>
      <w:r w:rsidR="00E66B04" w:rsidRPr="003101A0">
        <w:rPr>
          <w:rFonts w:ascii="Times New Roman" w:hAnsi="Times New Roman" w:cs="Times New Roman"/>
          <w:sz w:val="24"/>
          <w:szCs w:val="24"/>
          <w:lang w:val="en-US"/>
        </w:rPr>
        <w:t xml:space="preserve"> of </w:t>
      </w:r>
      <w:proofErr w:type="gramStart"/>
      <w:r w:rsidR="00520574" w:rsidRPr="003101A0">
        <w:rPr>
          <w:rFonts w:ascii="Times New Roman" w:hAnsi="Times New Roman" w:cs="Times New Roman"/>
          <w:i/>
          <w:sz w:val="24"/>
          <w:szCs w:val="24"/>
          <w:lang w:val="en-US"/>
        </w:rPr>
        <w:t>L</w:t>
      </w:r>
      <w:r w:rsidRPr="003101A0">
        <w:rPr>
          <w:rFonts w:ascii="Times New Roman" w:hAnsi="Times New Roman" w:cs="Times New Roman"/>
          <w:i/>
          <w:sz w:val="24"/>
          <w:szCs w:val="24"/>
          <w:lang w:val="en-US"/>
        </w:rPr>
        <w:t>n</w:t>
      </w:r>
      <w:r w:rsidR="00520574" w:rsidRPr="003101A0">
        <w:rPr>
          <w:rFonts w:ascii="Times New Roman" w:hAnsi="Times New Roman" w:cs="Times New Roman"/>
          <w:i/>
          <w:sz w:val="24"/>
          <w:szCs w:val="24"/>
          <w:lang w:val="en-US"/>
        </w:rPr>
        <w:t>(</w:t>
      </w:r>
      <w:proofErr w:type="gramEnd"/>
      <w:r w:rsidR="00236FAD" w:rsidRPr="003101A0">
        <w:rPr>
          <w:rFonts w:ascii="Times New Roman" w:hAnsi="Times New Roman" w:cs="Times New Roman"/>
          <w:i/>
          <w:sz w:val="24"/>
          <w:szCs w:val="24"/>
          <w:lang w:val="en-US"/>
        </w:rPr>
        <w:t>Total a</w:t>
      </w:r>
      <w:r w:rsidR="00520574" w:rsidRPr="003101A0">
        <w:rPr>
          <w:rFonts w:ascii="Times New Roman" w:hAnsi="Times New Roman" w:cs="Times New Roman"/>
          <w:i/>
          <w:sz w:val="24"/>
          <w:szCs w:val="24"/>
          <w:lang w:val="en-US"/>
        </w:rPr>
        <w:t>ssets)</w:t>
      </w:r>
      <w:r w:rsidR="0058079F" w:rsidRPr="003101A0">
        <w:rPr>
          <w:rFonts w:ascii="Times New Roman" w:hAnsi="Times New Roman" w:cs="Times New Roman"/>
          <w:i/>
          <w:sz w:val="24"/>
          <w:szCs w:val="24"/>
          <w:lang w:val="en-US"/>
        </w:rPr>
        <w:t xml:space="preserve"> </w:t>
      </w:r>
      <w:r w:rsidR="0058079F" w:rsidRPr="003101A0">
        <w:rPr>
          <w:rFonts w:ascii="Times New Roman" w:hAnsi="Times New Roman" w:cs="Times New Roman"/>
          <w:iCs/>
          <w:sz w:val="24"/>
          <w:szCs w:val="24"/>
          <w:lang w:val="en-US"/>
        </w:rPr>
        <w:t xml:space="preserve">and </w:t>
      </w:r>
      <w:r w:rsidR="0058079F" w:rsidRPr="003101A0">
        <w:rPr>
          <w:rFonts w:ascii="Times New Roman" w:hAnsi="Times New Roman" w:cs="Times New Roman"/>
          <w:i/>
          <w:iCs/>
          <w:sz w:val="24"/>
          <w:szCs w:val="24"/>
          <w:lang w:val="en-US"/>
        </w:rPr>
        <w:t>Investment grade</w:t>
      </w:r>
      <w:r w:rsidR="00E66B04" w:rsidRPr="003101A0">
        <w:rPr>
          <w:rFonts w:ascii="Times New Roman" w:hAnsi="Times New Roman" w:cs="Times New Roman"/>
          <w:sz w:val="24"/>
          <w:szCs w:val="24"/>
          <w:lang w:val="en-US"/>
        </w:rPr>
        <w:t>, consistent with expectations</w:t>
      </w:r>
      <w:r w:rsidR="00F74247">
        <w:rPr>
          <w:rFonts w:ascii="Times New Roman" w:hAnsi="Times New Roman" w:cs="Times New Roman"/>
          <w:sz w:val="24"/>
          <w:szCs w:val="24"/>
          <w:lang w:val="en-US"/>
        </w:rPr>
        <w:t>. Th</w:t>
      </w:r>
      <w:r w:rsidR="00871C61" w:rsidRPr="003101A0">
        <w:rPr>
          <w:rFonts w:ascii="Times New Roman" w:hAnsi="Times New Roman" w:cs="Times New Roman"/>
          <w:sz w:val="24"/>
          <w:szCs w:val="24"/>
          <w:lang w:val="en-US"/>
        </w:rPr>
        <w:t>e investment opportunity proxies</w:t>
      </w:r>
      <w:r w:rsidR="00F74247">
        <w:rPr>
          <w:rFonts w:ascii="Times New Roman" w:hAnsi="Times New Roman" w:cs="Times New Roman"/>
          <w:sz w:val="24"/>
          <w:szCs w:val="24"/>
          <w:lang w:val="en-US"/>
        </w:rPr>
        <w:t xml:space="preserve"> </w:t>
      </w:r>
      <w:r w:rsidR="00F74247" w:rsidRPr="003101A0">
        <w:rPr>
          <w:rFonts w:ascii="Times New Roman" w:hAnsi="Times New Roman" w:cs="Times New Roman"/>
          <w:i/>
          <w:sz w:val="24"/>
          <w:szCs w:val="24"/>
          <w:lang w:val="en-US"/>
        </w:rPr>
        <w:t>MB</w:t>
      </w:r>
      <w:r w:rsidR="00F74247" w:rsidRPr="003101A0">
        <w:rPr>
          <w:rFonts w:ascii="Times New Roman" w:hAnsi="Times New Roman" w:cs="Times New Roman"/>
          <w:sz w:val="24"/>
          <w:szCs w:val="24"/>
          <w:lang w:val="en-US"/>
        </w:rPr>
        <w:t xml:space="preserve"> and </w:t>
      </w:r>
      <w:r w:rsidR="00F74247" w:rsidRPr="003101A0">
        <w:rPr>
          <w:rFonts w:ascii="Times New Roman" w:hAnsi="Times New Roman" w:cs="Times New Roman"/>
          <w:i/>
          <w:sz w:val="24"/>
          <w:szCs w:val="24"/>
          <w:lang w:val="en-US"/>
        </w:rPr>
        <w:t>RD</w:t>
      </w:r>
      <w:r w:rsidR="00AD0BAE">
        <w:rPr>
          <w:rFonts w:ascii="Times New Roman" w:hAnsi="Times New Roman" w:cs="Times New Roman"/>
          <w:sz w:val="24"/>
          <w:szCs w:val="24"/>
          <w:lang w:val="en-US"/>
        </w:rPr>
        <w:t>,</w:t>
      </w:r>
      <w:r w:rsidR="00871C61" w:rsidRPr="003101A0">
        <w:rPr>
          <w:rFonts w:ascii="Times New Roman" w:hAnsi="Times New Roman" w:cs="Times New Roman"/>
          <w:sz w:val="24"/>
          <w:szCs w:val="24"/>
          <w:lang w:val="en-US"/>
        </w:rPr>
        <w:t xml:space="preserve"> </w:t>
      </w:r>
      <w:r w:rsidR="00F74247">
        <w:rPr>
          <w:rFonts w:ascii="Times New Roman" w:hAnsi="Times New Roman" w:cs="Times New Roman"/>
          <w:sz w:val="24"/>
          <w:szCs w:val="24"/>
          <w:lang w:val="en-US"/>
        </w:rPr>
        <w:t xml:space="preserve">which had ambiguous predicted signs, </w:t>
      </w:r>
      <w:r w:rsidR="00E66B04" w:rsidRPr="003101A0">
        <w:rPr>
          <w:rFonts w:ascii="Times New Roman" w:hAnsi="Times New Roman" w:cs="Times New Roman"/>
          <w:sz w:val="24"/>
          <w:szCs w:val="24"/>
          <w:lang w:val="en-US"/>
        </w:rPr>
        <w:t xml:space="preserve">have a negative impact, while </w:t>
      </w:r>
      <w:r w:rsidR="00E66B04" w:rsidRPr="003101A0">
        <w:rPr>
          <w:rFonts w:ascii="Times New Roman" w:hAnsi="Times New Roman" w:cs="Times New Roman"/>
          <w:i/>
          <w:sz w:val="24"/>
          <w:szCs w:val="24"/>
          <w:lang w:val="en-US"/>
        </w:rPr>
        <w:t>Capex</w:t>
      </w:r>
      <w:r w:rsidR="00E66B04" w:rsidRPr="003101A0">
        <w:rPr>
          <w:rFonts w:ascii="Times New Roman" w:hAnsi="Times New Roman" w:cs="Times New Roman"/>
          <w:sz w:val="24"/>
          <w:szCs w:val="24"/>
          <w:lang w:val="en-US"/>
        </w:rPr>
        <w:t xml:space="preserve"> </w:t>
      </w:r>
      <w:r w:rsidR="00F74247">
        <w:rPr>
          <w:rFonts w:ascii="Times New Roman" w:hAnsi="Times New Roman" w:cs="Times New Roman"/>
          <w:sz w:val="24"/>
          <w:szCs w:val="24"/>
          <w:lang w:val="en-US"/>
        </w:rPr>
        <w:t>has a nonsignificant coefficient</w:t>
      </w:r>
      <w:r w:rsidR="00E66B04" w:rsidRPr="003101A0">
        <w:rPr>
          <w:rFonts w:ascii="Times New Roman" w:hAnsi="Times New Roman" w:cs="Times New Roman"/>
          <w:sz w:val="24"/>
          <w:szCs w:val="24"/>
          <w:lang w:val="en-US"/>
        </w:rPr>
        <w:t xml:space="preserve">. </w:t>
      </w:r>
      <w:proofErr w:type="spellStart"/>
      <w:r w:rsidR="00CE556E" w:rsidRPr="003101A0">
        <w:rPr>
          <w:rFonts w:ascii="Times New Roman" w:hAnsi="Times New Roman" w:cs="Times New Roman"/>
          <w:i/>
          <w:iCs/>
          <w:sz w:val="24"/>
          <w:szCs w:val="24"/>
          <w:lang w:val="en-US"/>
        </w:rPr>
        <w:t>CIbonds</w:t>
      </w:r>
      <w:proofErr w:type="spellEnd"/>
      <w:r w:rsidR="00CE556E" w:rsidRPr="003101A0">
        <w:rPr>
          <w:rFonts w:ascii="Times New Roman" w:hAnsi="Times New Roman" w:cs="Times New Roman"/>
          <w:sz w:val="24"/>
          <w:szCs w:val="24"/>
          <w:lang w:val="en-US"/>
        </w:rPr>
        <w:t xml:space="preserve"> ha</w:t>
      </w:r>
      <w:r w:rsidR="00AD0BAE">
        <w:rPr>
          <w:rFonts w:ascii="Times New Roman" w:hAnsi="Times New Roman" w:cs="Times New Roman"/>
          <w:sz w:val="24"/>
          <w:szCs w:val="24"/>
          <w:lang w:val="en-US"/>
        </w:rPr>
        <w:t>s</w:t>
      </w:r>
      <w:r w:rsidR="00CE556E" w:rsidRPr="003101A0">
        <w:rPr>
          <w:rFonts w:ascii="Times New Roman" w:hAnsi="Times New Roman" w:cs="Times New Roman"/>
          <w:sz w:val="24"/>
          <w:szCs w:val="24"/>
          <w:lang w:val="en-US"/>
        </w:rPr>
        <w:t xml:space="preserve"> </w:t>
      </w:r>
      <w:r w:rsidR="002D6073" w:rsidRPr="003101A0">
        <w:rPr>
          <w:rFonts w:ascii="Times New Roman" w:hAnsi="Times New Roman" w:cs="Times New Roman"/>
          <w:sz w:val="24"/>
          <w:szCs w:val="24"/>
          <w:lang w:val="en-US"/>
        </w:rPr>
        <w:t>a positive impact</w:t>
      </w:r>
      <w:r w:rsidR="0071724D">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 xml:space="preserve">but </w:t>
      </w:r>
      <w:proofErr w:type="spellStart"/>
      <w:r w:rsidR="00CE556E" w:rsidRPr="003101A0">
        <w:rPr>
          <w:rFonts w:ascii="Times New Roman" w:hAnsi="Times New Roman" w:cs="Times New Roman"/>
          <w:i/>
          <w:iCs/>
          <w:sz w:val="24"/>
          <w:szCs w:val="24"/>
          <w:lang w:val="en-US"/>
        </w:rPr>
        <w:t>CIloans</w:t>
      </w:r>
      <w:proofErr w:type="spellEnd"/>
      <w:r w:rsidR="00CE556E" w:rsidRPr="003101A0">
        <w:rPr>
          <w:rFonts w:ascii="Times New Roman" w:hAnsi="Times New Roman" w:cs="Times New Roman"/>
          <w:sz w:val="24"/>
          <w:szCs w:val="24"/>
          <w:lang w:val="en-US"/>
        </w:rPr>
        <w:t xml:space="preserve"> ha</w:t>
      </w:r>
      <w:r w:rsidR="00AD0BAE">
        <w:rPr>
          <w:rFonts w:ascii="Times New Roman" w:hAnsi="Times New Roman" w:cs="Times New Roman"/>
          <w:sz w:val="24"/>
          <w:szCs w:val="24"/>
          <w:lang w:val="en-US"/>
        </w:rPr>
        <w:t>s</w:t>
      </w:r>
      <w:r w:rsidR="00CE556E" w:rsidRPr="003101A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 xml:space="preserve">no </w:t>
      </w:r>
      <w:r w:rsidR="00AD0BAE">
        <w:rPr>
          <w:rFonts w:ascii="Times New Roman" w:hAnsi="Times New Roman" w:cs="Times New Roman"/>
          <w:sz w:val="24"/>
          <w:szCs w:val="24"/>
          <w:lang w:val="en-US"/>
        </w:rPr>
        <w:t xml:space="preserve">significant </w:t>
      </w:r>
      <w:r w:rsidRPr="003101A0">
        <w:rPr>
          <w:rFonts w:ascii="Times New Roman" w:hAnsi="Times New Roman" w:cs="Times New Roman"/>
          <w:sz w:val="24"/>
          <w:szCs w:val="24"/>
          <w:lang w:val="en-US"/>
        </w:rPr>
        <w:t>impact</w:t>
      </w:r>
      <w:r w:rsidR="002D6073" w:rsidRPr="003101A0">
        <w:rPr>
          <w:rFonts w:ascii="Times New Roman" w:hAnsi="Times New Roman" w:cs="Times New Roman"/>
          <w:sz w:val="24"/>
          <w:szCs w:val="24"/>
          <w:lang w:val="en-US"/>
        </w:rPr>
        <w:t xml:space="preserve">. </w:t>
      </w:r>
      <w:r w:rsidR="00520574" w:rsidRPr="003101A0">
        <w:rPr>
          <w:rFonts w:ascii="Times New Roman" w:hAnsi="Times New Roman" w:cs="Times New Roman"/>
          <w:sz w:val="24"/>
          <w:szCs w:val="24"/>
          <w:lang w:val="en-US"/>
        </w:rPr>
        <w:t>F</w:t>
      </w:r>
      <w:r w:rsidR="00E66B04" w:rsidRPr="003101A0">
        <w:rPr>
          <w:rFonts w:ascii="Times New Roman" w:hAnsi="Times New Roman" w:cs="Times New Roman"/>
          <w:sz w:val="24"/>
          <w:szCs w:val="24"/>
          <w:lang w:val="en-US"/>
        </w:rPr>
        <w:t xml:space="preserve">or the macroeconomic control variables, we find a </w:t>
      </w:r>
      <w:r w:rsidR="004A25AE" w:rsidRPr="003101A0">
        <w:rPr>
          <w:rFonts w:ascii="Times New Roman" w:hAnsi="Times New Roman" w:cs="Times New Roman"/>
          <w:sz w:val="24"/>
          <w:szCs w:val="24"/>
          <w:lang w:val="en-US"/>
        </w:rPr>
        <w:t xml:space="preserve">positive impact </w:t>
      </w:r>
      <w:r w:rsidR="00871C61" w:rsidRPr="003101A0">
        <w:rPr>
          <w:rFonts w:ascii="Times New Roman" w:hAnsi="Times New Roman" w:cs="Times New Roman"/>
          <w:sz w:val="24"/>
          <w:szCs w:val="24"/>
          <w:lang w:val="en-US"/>
        </w:rPr>
        <w:t>o</w:t>
      </w:r>
      <w:r w:rsidR="00AD0BAE">
        <w:rPr>
          <w:rFonts w:ascii="Times New Roman" w:hAnsi="Times New Roman" w:cs="Times New Roman"/>
          <w:sz w:val="24"/>
          <w:szCs w:val="24"/>
          <w:lang w:val="en-US"/>
        </w:rPr>
        <w:t>f</w:t>
      </w:r>
      <w:r w:rsidR="00871C61" w:rsidRPr="003101A0">
        <w:rPr>
          <w:rFonts w:ascii="Times New Roman" w:hAnsi="Times New Roman" w:cs="Times New Roman"/>
          <w:sz w:val="24"/>
          <w:szCs w:val="24"/>
          <w:lang w:val="en-US"/>
        </w:rPr>
        <w:t xml:space="preserve"> </w:t>
      </w:r>
      <w:r w:rsidR="004A25AE" w:rsidRPr="003101A0">
        <w:rPr>
          <w:rFonts w:ascii="Times New Roman" w:hAnsi="Times New Roman" w:cs="Times New Roman"/>
          <w:i/>
          <w:sz w:val="24"/>
          <w:szCs w:val="24"/>
          <w:lang w:val="en-US"/>
        </w:rPr>
        <w:t>TB yield</w:t>
      </w:r>
      <w:r w:rsidR="004A25AE" w:rsidRPr="003101A0">
        <w:rPr>
          <w:rFonts w:ascii="Times New Roman" w:hAnsi="Times New Roman" w:cs="Times New Roman"/>
          <w:sz w:val="24"/>
          <w:szCs w:val="24"/>
          <w:lang w:val="en-US"/>
        </w:rPr>
        <w:t xml:space="preserve"> and </w:t>
      </w:r>
      <w:r w:rsidR="002D6073" w:rsidRPr="003101A0">
        <w:rPr>
          <w:rFonts w:ascii="Times New Roman" w:hAnsi="Times New Roman" w:cs="Times New Roman"/>
          <w:iCs/>
          <w:sz w:val="24"/>
          <w:szCs w:val="24"/>
          <w:lang w:val="en-US"/>
        </w:rPr>
        <w:t xml:space="preserve">a negative impact </w:t>
      </w:r>
      <w:r w:rsidR="00871C61" w:rsidRPr="003101A0">
        <w:rPr>
          <w:rFonts w:ascii="Times New Roman" w:hAnsi="Times New Roman" w:cs="Times New Roman"/>
          <w:iCs/>
          <w:sz w:val="24"/>
          <w:szCs w:val="24"/>
          <w:lang w:val="en-US"/>
        </w:rPr>
        <w:t>o</w:t>
      </w:r>
      <w:r w:rsidR="00AD0BAE">
        <w:rPr>
          <w:rFonts w:ascii="Times New Roman" w:hAnsi="Times New Roman" w:cs="Times New Roman"/>
          <w:iCs/>
          <w:sz w:val="24"/>
          <w:szCs w:val="24"/>
          <w:lang w:val="en-US"/>
        </w:rPr>
        <w:t>f</w:t>
      </w:r>
      <w:r w:rsidR="00871C61" w:rsidRPr="003101A0">
        <w:rPr>
          <w:rFonts w:ascii="Times New Roman" w:hAnsi="Times New Roman" w:cs="Times New Roman"/>
          <w:iCs/>
          <w:sz w:val="24"/>
          <w:szCs w:val="24"/>
          <w:lang w:val="en-US"/>
        </w:rPr>
        <w:t xml:space="preserve"> </w:t>
      </w:r>
      <w:r w:rsidR="002D6073" w:rsidRPr="003101A0">
        <w:rPr>
          <w:rFonts w:ascii="Times New Roman" w:hAnsi="Times New Roman" w:cs="Times New Roman"/>
          <w:i/>
          <w:sz w:val="24"/>
          <w:szCs w:val="24"/>
          <w:lang w:val="en-US"/>
        </w:rPr>
        <w:t>Market runup</w:t>
      </w:r>
      <w:r w:rsidRPr="003101A0">
        <w:rPr>
          <w:rFonts w:ascii="Times New Roman" w:hAnsi="Times New Roman" w:cs="Times New Roman"/>
          <w:iCs/>
          <w:sz w:val="24"/>
          <w:szCs w:val="24"/>
          <w:lang w:val="en-US"/>
        </w:rPr>
        <w:t>, consistent with predictions</w:t>
      </w:r>
      <w:r w:rsidR="002D6073" w:rsidRPr="003101A0">
        <w:rPr>
          <w:rFonts w:ascii="Times New Roman" w:hAnsi="Times New Roman" w:cs="Times New Roman"/>
          <w:iCs/>
          <w:sz w:val="24"/>
          <w:szCs w:val="24"/>
          <w:lang w:val="en-US"/>
        </w:rPr>
        <w:t xml:space="preserve">. </w:t>
      </w:r>
      <w:r w:rsidRPr="003101A0">
        <w:rPr>
          <w:rFonts w:ascii="Times New Roman" w:hAnsi="Times New Roman" w:cs="Times New Roman"/>
          <w:iCs/>
          <w:sz w:val="24"/>
          <w:szCs w:val="24"/>
          <w:lang w:val="en-US"/>
        </w:rPr>
        <w:t>W</w:t>
      </w:r>
      <w:r w:rsidR="00BF5A3F" w:rsidRPr="003101A0">
        <w:rPr>
          <w:rFonts w:ascii="Times New Roman" w:hAnsi="Times New Roman" w:cs="Times New Roman"/>
          <w:iCs/>
          <w:sz w:val="24"/>
          <w:szCs w:val="24"/>
          <w:lang w:val="en-US"/>
        </w:rPr>
        <w:t xml:space="preserve">e find </w:t>
      </w:r>
      <w:r w:rsidR="002435C3" w:rsidRPr="003101A0">
        <w:rPr>
          <w:rFonts w:ascii="Times New Roman" w:hAnsi="Times New Roman" w:cs="Times New Roman"/>
          <w:iCs/>
          <w:sz w:val="24"/>
          <w:szCs w:val="24"/>
          <w:lang w:val="en-US"/>
        </w:rPr>
        <w:t xml:space="preserve">a </w:t>
      </w:r>
      <w:r w:rsidR="00F74247">
        <w:rPr>
          <w:rFonts w:ascii="Times New Roman" w:hAnsi="Times New Roman" w:cs="Times New Roman"/>
          <w:iCs/>
          <w:sz w:val="24"/>
          <w:szCs w:val="24"/>
          <w:lang w:val="en-US"/>
        </w:rPr>
        <w:t>lower</w:t>
      </w:r>
      <w:r w:rsidR="00F74247" w:rsidRPr="003101A0">
        <w:rPr>
          <w:rFonts w:ascii="Times New Roman" w:hAnsi="Times New Roman" w:cs="Times New Roman"/>
          <w:iCs/>
          <w:sz w:val="24"/>
          <w:szCs w:val="24"/>
          <w:lang w:val="en-US"/>
        </w:rPr>
        <w:t xml:space="preserve"> </w:t>
      </w:r>
      <w:r w:rsidR="00BF5A3F" w:rsidRPr="003101A0">
        <w:rPr>
          <w:rFonts w:ascii="Times New Roman" w:hAnsi="Times New Roman" w:cs="Times New Roman"/>
          <w:iCs/>
          <w:sz w:val="24"/>
          <w:szCs w:val="24"/>
          <w:lang w:val="en-US"/>
        </w:rPr>
        <w:t xml:space="preserve">covenant intensity during the </w:t>
      </w:r>
      <w:r w:rsidRPr="003101A0">
        <w:rPr>
          <w:rFonts w:ascii="Times New Roman" w:hAnsi="Times New Roman" w:cs="Times New Roman"/>
          <w:i/>
          <w:sz w:val="24"/>
          <w:szCs w:val="24"/>
          <w:lang w:val="en-US"/>
        </w:rPr>
        <w:t>A</w:t>
      </w:r>
      <w:r w:rsidR="00BF5A3F" w:rsidRPr="003101A0">
        <w:rPr>
          <w:rFonts w:ascii="Times New Roman" w:hAnsi="Times New Roman" w:cs="Times New Roman"/>
          <w:i/>
          <w:sz w:val="24"/>
          <w:szCs w:val="24"/>
          <w:lang w:val="en-US"/>
        </w:rPr>
        <w:t>rbitrage</w:t>
      </w:r>
      <w:r w:rsidR="00BF5A3F" w:rsidRPr="003101A0">
        <w:rPr>
          <w:rFonts w:ascii="Times New Roman" w:hAnsi="Times New Roman" w:cs="Times New Roman"/>
          <w:iCs/>
          <w:sz w:val="24"/>
          <w:szCs w:val="24"/>
          <w:lang w:val="en-US"/>
        </w:rPr>
        <w:t xml:space="preserve"> </w:t>
      </w:r>
      <w:r w:rsidR="00BF5A3F" w:rsidRPr="003101A0">
        <w:rPr>
          <w:rFonts w:ascii="Times New Roman" w:hAnsi="Times New Roman" w:cs="Times New Roman"/>
          <w:i/>
          <w:sz w:val="24"/>
          <w:szCs w:val="24"/>
          <w:lang w:val="en-US"/>
        </w:rPr>
        <w:t xml:space="preserve">period </w:t>
      </w:r>
      <w:r w:rsidR="00BF5A3F" w:rsidRPr="003101A0">
        <w:rPr>
          <w:rFonts w:ascii="Times New Roman" w:hAnsi="Times New Roman" w:cs="Times New Roman"/>
          <w:iCs/>
          <w:sz w:val="24"/>
          <w:szCs w:val="24"/>
          <w:lang w:val="en-US"/>
        </w:rPr>
        <w:t xml:space="preserve">and </w:t>
      </w:r>
      <w:r w:rsidR="0040499B" w:rsidRPr="003101A0">
        <w:rPr>
          <w:rFonts w:ascii="Times New Roman" w:hAnsi="Times New Roman" w:cs="Times New Roman"/>
          <w:iCs/>
          <w:sz w:val="24"/>
          <w:szCs w:val="24"/>
          <w:lang w:val="en-US"/>
        </w:rPr>
        <w:t xml:space="preserve">the </w:t>
      </w:r>
      <w:r w:rsidR="004125DB">
        <w:rPr>
          <w:rFonts w:ascii="Times New Roman" w:hAnsi="Times New Roman" w:cs="Times New Roman"/>
          <w:i/>
          <w:sz w:val="24"/>
          <w:szCs w:val="24"/>
          <w:lang w:val="en-US"/>
        </w:rPr>
        <w:t>GFC</w:t>
      </w:r>
      <w:r w:rsidR="00BF5A3F" w:rsidRPr="003101A0">
        <w:rPr>
          <w:rFonts w:ascii="Times New Roman" w:hAnsi="Times New Roman" w:cs="Times New Roman"/>
          <w:i/>
          <w:sz w:val="24"/>
          <w:szCs w:val="24"/>
          <w:lang w:val="en-US"/>
        </w:rPr>
        <w:t xml:space="preserve"> period</w:t>
      </w:r>
      <w:r w:rsidR="00BF5A3F" w:rsidRPr="003101A0">
        <w:rPr>
          <w:rFonts w:ascii="Times New Roman" w:hAnsi="Times New Roman" w:cs="Times New Roman"/>
          <w:iCs/>
          <w:sz w:val="24"/>
          <w:szCs w:val="24"/>
          <w:lang w:val="en-US"/>
        </w:rPr>
        <w:t xml:space="preserve"> </w:t>
      </w:r>
      <w:r w:rsidR="00871C61" w:rsidRPr="003101A0">
        <w:rPr>
          <w:rFonts w:ascii="Times New Roman" w:hAnsi="Times New Roman" w:cs="Times New Roman"/>
          <w:iCs/>
          <w:sz w:val="24"/>
          <w:szCs w:val="24"/>
          <w:lang w:val="en-US"/>
        </w:rPr>
        <w:t>than</w:t>
      </w:r>
      <w:r w:rsidR="00BF5A3F" w:rsidRPr="003101A0">
        <w:rPr>
          <w:rFonts w:ascii="Times New Roman" w:hAnsi="Times New Roman" w:cs="Times New Roman"/>
          <w:iCs/>
          <w:sz w:val="24"/>
          <w:szCs w:val="24"/>
          <w:lang w:val="en-US"/>
        </w:rPr>
        <w:t xml:space="preserve"> </w:t>
      </w:r>
      <w:r w:rsidR="00CE556E" w:rsidRPr="003101A0">
        <w:rPr>
          <w:rFonts w:ascii="Times New Roman" w:hAnsi="Times New Roman" w:cs="Times New Roman"/>
          <w:iCs/>
          <w:sz w:val="24"/>
          <w:szCs w:val="24"/>
          <w:lang w:val="en-US"/>
        </w:rPr>
        <w:t xml:space="preserve">during </w:t>
      </w:r>
      <w:r w:rsidR="00BF5A3F" w:rsidRPr="003101A0">
        <w:rPr>
          <w:rFonts w:ascii="Times New Roman" w:hAnsi="Times New Roman" w:cs="Times New Roman"/>
          <w:iCs/>
          <w:sz w:val="24"/>
          <w:szCs w:val="24"/>
          <w:lang w:val="en-US"/>
        </w:rPr>
        <w:t xml:space="preserve">the </w:t>
      </w:r>
      <w:r w:rsidRPr="003101A0">
        <w:rPr>
          <w:rFonts w:ascii="Times New Roman" w:hAnsi="Times New Roman" w:cs="Times New Roman"/>
          <w:i/>
          <w:sz w:val="24"/>
          <w:szCs w:val="24"/>
          <w:lang w:val="en-US"/>
        </w:rPr>
        <w:t>T</w:t>
      </w:r>
      <w:r w:rsidR="00BF5A3F" w:rsidRPr="003101A0">
        <w:rPr>
          <w:rFonts w:ascii="Times New Roman" w:hAnsi="Times New Roman" w:cs="Times New Roman"/>
          <w:i/>
          <w:sz w:val="24"/>
          <w:szCs w:val="24"/>
          <w:lang w:val="en-US"/>
        </w:rPr>
        <w:t>raditional investor</w:t>
      </w:r>
      <w:r w:rsidR="00BF5A3F" w:rsidRPr="003101A0">
        <w:rPr>
          <w:rFonts w:ascii="Times New Roman" w:hAnsi="Times New Roman" w:cs="Times New Roman"/>
          <w:iCs/>
          <w:sz w:val="24"/>
          <w:szCs w:val="24"/>
          <w:lang w:val="en-US"/>
        </w:rPr>
        <w:t xml:space="preserve"> period.</w:t>
      </w:r>
    </w:p>
    <w:p w14:paraId="3213A111" w14:textId="6850D95E" w:rsidR="00FB3B1C" w:rsidRPr="003101A0" w:rsidRDefault="00FB3B1C" w:rsidP="00BE408D">
      <w:pPr>
        <w:spacing w:after="0" w:line="480" w:lineRule="auto"/>
        <w:ind w:firstLine="426"/>
        <w:jc w:val="both"/>
        <w:rPr>
          <w:rFonts w:ascii="Times New Roman" w:eastAsia="Times New Roman" w:hAnsi="Times New Roman" w:cs="Times New Roman"/>
          <w:sz w:val="24"/>
          <w:szCs w:val="24"/>
          <w:lang w:val="en-US"/>
        </w:rPr>
      </w:pPr>
      <w:r w:rsidRPr="003101A0">
        <w:rPr>
          <w:rFonts w:ascii="Times New Roman" w:hAnsi="Times New Roman" w:cs="Times New Roman"/>
          <w:sz w:val="24"/>
          <w:szCs w:val="24"/>
          <w:lang w:val="en-US"/>
        </w:rPr>
        <w:lastRenderedPageBreak/>
        <w:t xml:space="preserve">Our next set of regression specifications </w:t>
      </w:r>
      <w:r w:rsidR="0071724D">
        <w:rPr>
          <w:rFonts w:ascii="Times New Roman" w:hAnsi="Times New Roman" w:cs="Times New Roman"/>
          <w:sz w:val="24"/>
          <w:szCs w:val="24"/>
          <w:lang w:val="en-US"/>
        </w:rPr>
        <w:t xml:space="preserve">considers </w:t>
      </w:r>
      <w:r w:rsidR="008D4BC7">
        <w:rPr>
          <w:rFonts w:ascii="Times New Roman" w:hAnsi="Times New Roman" w:cs="Times New Roman"/>
          <w:sz w:val="24"/>
          <w:szCs w:val="24"/>
          <w:lang w:val="en-US"/>
        </w:rPr>
        <w:t>the non-random nature of firms’ selection of</w:t>
      </w:r>
      <w:r w:rsidR="0071724D">
        <w:rPr>
          <w:rFonts w:ascii="Times New Roman" w:hAnsi="Times New Roman" w:cs="Times New Roman"/>
          <w:sz w:val="24"/>
          <w:szCs w:val="24"/>
          <w:lang w:val="en-US"/>
        </w:rPr>
        <w:t xml:space="preserve"> convertibles or straight bonds</w:t>
      </w:r>
      <w:r w:rsidRPr="003101A0">
        <w:rPr>
          <w:rFonts w:ascii="Times New Roman" w:hAnsi="Times New Roman" w:cs="Times New Roman"/>
          <w:sz w:val="24"/>
          <w:szCs w:val="24"/>
          <w:lang w:val="en-US"/>
        </w:rPr>
        <w:t>. We use an endogenous treatment effects model suggested by Heckman (1976</w:t>
      </w:r>
      <w:r w:rsidR="00053B41">
        <w:rPr>
          <w:rFonts w:ascii="Times New Roman" w:hAnsi="Times New Roman" w:cs="Times New Roman"/>
          <w:sz w:val="24"/>
          <w:szCs w:val="24"/>
          <w:lang w:val="en-US"/>
        </w:rPr>
        <w:t>,</w:t>
      </w:r>
      <w:r w:rsidRPr="003101A0">
        <w:rPr>
          <w:rFonts w:ascii="Times New Roman" w:hAnsi="Times New Roman" w:cs="Times New Roman"/>
          <w:sz w:val="24"/>
          <w:szCs w:val="24"/>
          <w:lang w:val="en-US"/>
        </w:rPr>
        <w:t xml:space="preserve"> 197</w:t>
      </w:r>
      <w:r w:rsidR="00B83612" w:rsidRPr="003101A0">
        <w:rPr>
          <w:rFonts w:ascii="Times New Roman" w:hAnsi="Times New Roman" w:cs="Times New Roman"/>
          <w:sz w:val="24"/>
          <w:szCs w:val="24"/>
          <w:lang w:val="en-US"/>
        </w:rPr>
        <w:t>7</w:t>
      </w:r>
      <w:r w:rsidRPr="003101A0">
        <w:rPr>
          <w:rFonts w:ascii="Times New Roman" w:hAnsi="Times New Roman" w:cs="Times New Roman"/>
          <w:sz w:val="24"/>
          <w:szCs w:val="24"/>
          <w:lang w:val="en-US"/>
        </w:rPr>
        <w:t xml:space="preserve">) and adopted by several other corporate finance studies (e.g., Campa and </w:t>
      </w:r>
      <w:proofErr w:type="spellStart"/>
      <w:r w:rsidRPr="003101A0">
        <w:rPr>
          <w:rFonts w:ascii="Times New Roman" w:hAnsi="Times New Roman" w:cs="Times New Roman"/>
          <w:sz w:val="24"/>
          <w:szCs w:val="24"/>
          <w:lang w:val="en-US"/>
        </w:rPr>
        <w:t>Kedia</w:t>
      </w:r>
      <w:proofErr w:type="spellEnd"/>
      <w:r w:rsidRPr="003101A0">
        <w:rPr>
          <w:rFonts w:ascii="Times New Roman" w:hAnsi="Times New Roman" w:cs="Times New Roman"/>
          <w:sz w:val="24"/>
          <w:szCs w:val="24"/>
          <w:lang w:val="en-US"/>
        </w:rPr>
        <w:t xml:space="preserve">, 2002; </w:t>
      </w:r>
      <w:proofErr w:type="spellStart"/>
      <w:r w:rsidRPr="003101A0">
        <w:rPr>
          <w:rFonts w:ascii="Times New Roman" w:hAnsi="Times New Roman" w:cs="Times New Roman"/>
          <w:sz w:val="24"/>
          <w:szCs w:val="24"/>
          <w:lang w:val="en-US"/>
        </w:rPr>
        <w:t>Reisel</w:t>
      </w:r>
      <w:proofErr w:type="spellEnd"/>
      <w:r w:rsidRPr="003101A0">
        <w:rPr>
          <w:rFonts w:ascii="Times New Roman" w:hAnsi="Times New Roman" w:cs="Times New Roman"/>
          <w:sz w:val="24"/>
          <w:szCs w:val="24"/>
          <w:lang w:val="en-US"/>
        </w:rPr>
        <w:t xml:space="preserve">, 2014). We assume a firm’s decision to issue convertibles instead of straight bonds is determined by: </w:t>
      </w:r>
    </w:p>
    <w:p w14:paraId="3616CEDC" w14:textId="17FB9C9B" w:rsidR="00FB3B1C" w:rsidRPr="003101A0" w:rsidRDefault="00583001" w:rsidP="00BE408D">
      <w:pPr>
        <w:spacing w:after="0" w:line="480" w:lineRule="auto"/>
        <w:jc w:val="both"/>
        <w:rPr>
          <w:rFonts w:ascii="Times New Roman" w:eastAsiaTheme="minorEastAsia" w:hAnsi="Times New Roman" w:cs="Times New Roman"/>
          <w:sz w:val="24"/>
          <w:szCs w:val="24"/>
          <w:lang w:val="en-US"/>
        </w:rPr>
      </w:pPr>
      <w:r w:rsidRPr="003101A0">
        <w:rPr>
          <w:rFonts w:ascii="Times New Roman" w:eastAsia="Times New Roman" w:hAnsi="Times New Roman" w:cs="Times New Roman"/>
          <w:sz w:val="24"/>
          <w:szCs w:val="24"/>
          <w:lang w:val="en-US"/>
        </w:rPr>
        <w:t xml:space="preserve">                            </w:t>
      </w:r>
      <m:oMath>
        <m:sSubSup>
          <m:sSubSupPr>
            <m:ctrlPr>
              <w:rPr>
                <w:rFonts w:ascii="Cambria Math" w:eastAsia="Times New Roman" w:hAnsi="Cambria Math" w:cs="Times New Roman"/>
                <w:i/>
                <w:sz w:val="24"/>
                <w:szCs w:val="24"/>
                <w:lang w:val="en-US"/>
              </w:rPr>
            </m:ctrlPr>
          </m:sSubSupPr>
          <m:e>
            <m:r>
              <m:rPr>
                <m:nor/>
              </m:rPr>
              <w:rPr>
                <w:rFonts w:ascii="Times New Roman" w:eastAsia="Times New Roman" w:hAnsi="Times New Roman" w:cs="Times New Roman"/>
                <w:i/>
                <w:sz w:val="24"/>
                <w:szCs w:val="24"/>
                <w:lang w:val="en-US"/>
              </w:rPr>
              <m:t>Convertible</m:t>
            </m:r>
          </m:e>
          <m:sub>
            <m:r>
              <m:rPr>
                <m:nor/>
              </m:rPr>
              <w:rPr>
                <w:rFonts w:ascii="Times New Roman" w:eastAsia="Times New Roman" w:hAnsi="Times New Roman" w:cs="Times New Roman"/>
                <w:i/>
                <w:sz w:val="24"/>
                <w:szCs w:val="24"/>
                <w:lang w:val="en-US"/>
              </w:rPr>
              <m:t>i,t</m:t>
            </m:r>
          </m:sub>
          <m:sup>
            <m:r>
              <m:rPr>
                <m:nor/>
              </m:rPr>
              <w:rPr>
                <w:rFonts w:ascii="Times New Roman" w:eastAsia="Times New Roman" w:hAnsi="Times New Roman" w:cs="Times New Roman"/>
                <w:i/>
                <w:sz w:val="24"/>
                <w:szCs w:val="24"/>
                <w:lang w:val="en-US"/>
              </w:rPr>
              <m:t>*</m:t>
            </m:r>
          </m:sup>
        </m:sSubSup>
      </m:oMath>
      <w:r w:rsidR="00FB3B1C" w:rsidRPr="003101A0">
        <w:rPr>
          <w:rFonts w:ascii="Times New Roman" w:eastAsiaTheme="minorEastAsia" w:hAnsi="Times New Roman" w:cs="Times New Roman"/>
          <w:sz w:val="24"/>
          <w:szCs w:val="24"/>
          <w:lang w:val="en-US"/>
        </w:rPr>
        <w:t xml:space="preserve"> </w:t>
      </w:r>
      <w:r w:rsidR="008644A8" w:rsidRPr="003101A0">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m:rPr>
                <m:nor/>
              </m:rPr>
              <w:rPr>
                <w:rFonts w:ascii="Times New Roman" w:eastAsiaTheme="minorEastAsia" w:hAnsi="Times New Roman" w:cs="Times New Roman"/>
                <w:sz w:val="24"/>
                <w:szCs w:val="24"/>
                <w:lang w:val="en-US"/>
              </w:rPr>
              <m:t>β</m:t>
            </m:r>
          </m:e>
          <m:sub>
            <m:r>
              <m:rPr>
                <m:nor/>
              </m:rPr>
              <w:rPr>
                <w:rFonts w:ascii="Times New Roman" w:eastAsiaTheme="minorEastAsia" w:hAnsi="Times New Roman" w:cs="Times New Roman"/>
                <w:sz w:val="24"/>
                <w:szCs w:val="24"/>
                <w:lang w:val="en-US"/>
              </w:rPr>
              <m:t>0</m:t>
            </m:r>
          </m:sub>
        </m:sSub>
        <m:r>
          <w:rPr>
            <w:rFonts w:ascii="Cambria Math" w:eastAsiaTheme="minorEastAsia" w:hAnsi="Cambria Math" w:cs="Times New Roman"/>
            <w:sz w:val="24"/>
            <w:szCs w:val="24"/>
            <w:lang w:val="en-US"/>
          </w:rPr>
          <m:t>+</m:t>
        </m:r>
      </m:oMath>
      <w:r w:rsidR="00FB3B1C" w:rsidRPr="003101A0">
        <w:rPr>
          <w:rFonts w:ascii="Times New Roman" w:eastAsiaTheme="minorEastAsia" w:hAnsi="Times New Roman" w:cs="Times New Roman"/>
          <w:i/>
          <w:iCs/>
          <w:sz w:val="24"/>
          <w:szCs w:val="24"/>
          <w:lang w:val="en-US"/>
        </w:rPr>
        <w:t xml:space="preserve"> </w:t>
      </w:r>
      <m:oMath>
        <m:sSub>
          <m:sSubPr>
            <m:ctrlPr>
              <w:rPr>
                <w:rFonts w:ascii="Cambria Math" w:eastAsiaTheme="minorEastAsia" w:hAnsi="Cambria Math" w:cs="Times New Roman"/>
                <w:i/>
                <w:iCs/>
                <w:sz w:val="24"/>
                <w:szCs w:val="24"/>
                <w:lang w:val="en-US"/>
              </w:rPr>
            </m:ctrlPr>
          </m:sSubPr>
          <m:e>
            <m:sSub>
              <m:sSubPr>
                <m:ctrlPr>
                  <w:rPr>
                    <w:rFonts w:ascii="Cambria Math" w:eastAsiaTheme="minorEastAsia" w:hAnsi="Cambria Math" w:cs="Times New Roman"/>
                    <w:i/>
                    <w:sz w:val="24"/>
                    <w:szCs w:val="24"/>
                    <w:lang w:val="en-US"/>
                  </w:rPr>
                </m:ctrlPr>
              </m:sSubPr>
              <m:e>
                <m:r>
                  <m:rPr>
                    <m:nor/>
                  </m:rPr>
                  <w:rPr>
                    <w:rFonts w:ascii="Times New Roman" w:eastAsiaTheme="minorEastAsia" w:hAnsi="Times New Roman" w:cs="Times New Roman"/>
                    <w:sz w:val="24"/>
                    <w:szCs w:val="24"/>
                    <w:lang w:val="en-US"/>
                  </w:rPr>
                  <m:t>β'</m:t>
                </m:r>
              </m:e>
              <m:sub>
                <m:r>
                  <w:rPr>
                    <w:rFonts w:ascii="Cambria Math" w:eastAsiaTheme="minorEastAsia" w:hAnsi="Cambria Math" w:cs="Times New Roman"/>
                    <w:sz w:val="24"/>
                    <w:szCs w:val="24"/>
                    <w:lang w:val="en-US"/>
                  </w:rPr>
                  <m:t>1</m:t>
                </m:r>
              </m:sub>
            </m:sSub>
            <m:r>
              <m:rPr>
                <m:nor/>
              </m:rPr>
              <w:rPr>
                <w:rFonts w:ascii="Times New Roman" w:eastAsiaTheme="minorEastAsia" w:hAnsi="Times New Roman" w:cs="Times New Roman"/>
                <w:i/>
                <w:iCs/>
                <w:sz w:val="24"/>
                <w:szCs w:val="24"/>
                <w:lang w:val="en-US"/>
              </w:rPr>
              <m:t>Z</m:t>
            </m:r>
          </m:e>
          <m:sub>
            <m:r>
              <m:rPr>
                <m:nor/>
              </m:rPr>
              <w:rPr>
                <w:rFonts w:ascii="Times New Roman" w:eastAsiaTheme="minorEastAsia" w:hAnsi="Times New Roman" w:cs="Times New Roman"/>
                <w:i/>
                <w:iCs/>
                <w:sz w:val="24"/>
                <w:szCs w:val="24"/>
                <w:lang w:val="en-US"/>
              </w:rPr>
              <m:t>i,t</m:t>
            </m:r>
          </m:sub>
        </m:sSub>
        <m:r>
          <w:rPr>
            <w:rFonts w:ascii="Cambria Math" w:eastAsiaTheme="minorEastAsia" w:hAnsi="Cambria Math" w:cs="Times New Roman"/>
            <w:sz w:val="24"/>
            <w:szCs w:val="24"/>
            <w:lang w:val="en-US"/>
          </w:rPr>
          <m:t>+</m:t>
        </m:r>
      </m:oMath>
      <w:r w:rsidR="00FB3B1C" w:rsidRPr="003101A0">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Cs/>
                <w:sz w:val="24"/>
                <w:szCs w:val="24"/>
                <w:lang w:val="en-US"/>
              </w:rPr>
            </m:ctrlPr>
          </m:sSubPr>
          <m:e>
            <m:r>
              <m:rPr>
                <m:sty m:val="p"/>
              </m:rPr>
              <w:rPr>
                <w:rFonts w:ascii="Cambria Math" w:eastAsiaTheme="minorEastAsia" w:hAnsi="Cambria Math" w:cs="Times New Roman"/>
                <w:sz w:val="24"/>
                <w:szCs w:val="24"/>
                <w:lang w:val="en-US"/>
              </w:rPr>
              <m:t>μ</m:t>
            </m:r>
          </m:e>
          <m:sub>
            <m:r>
              <m:rPr>
                <m:sty m:val="p"/>
              </m:rPr>
              <w:rPr>
                <w:rFonts w:ascii="Cambria Math" w:eastAsiaTheme="minorEastAsia" w:hAnsi="Cambria Math" w:cs="Times New Roman"/>
                <w:sz w:val="24"/>
                <w:szCs w:val="24"/>
                <w:lang w:val="en-US"/>
              </w:rPr>
              <m:t>i,t</m:t>
            </m:r>
          </m:sub>
        </m:sSub>
        <m:r>
          <w:rPr>
            <w:rFonts w:ascii="Cambria Math" w:eastAsiaTheme="minorEastAsia" w:hAnsi="Cambria Math" w:cs="Times New Roman"/>
            <w:sz w:val="24"/>
            <w:szCs w:val="24"/>
            <w:lang w:val="en-US"/>
          </w:rPr>
          <m:t xml:space="preserve"> </m:t>
        </m:r>
      </m:oMath>
      <w:r w:rsidR="008644A8" w:rsidRPr="003101A0">
        <w:rPr>
          <w:rFonts w:ascii="Times New Roman" w:eastAsiaTheme="minorEastAsia" w:hAnsi="Times New Roman" w:cs="Times New Roman"/>
          <w:sz w:val="24"/>
          <w:szCs w:val="24"/>
          <w:lang w:val="en-US"/>
        </w:rPr>
        <w:t xml:space="preserve"> </w:t>
      </w:r>
      <w:r w:rsidR="00FB3B1C" w:rsidRPr="003101A0">
        <w:rPr>
          <w:rFonts w:ascii="Times New Roman" w:eastAsiaTheme="minorEastAsia" w:hAnsi="Times New Roman" w:cs="Times New Roman"/>
          <w:sz w:val="24"/>
          <w:szCs w:val="24"/>
          <w:lang w:val="en-US"/>
        </w:rPr>
        <w:t xml:space="preserve"> </w:t>
      </w:r>
      <w:r w:rsidRPr="003101A0">
        <w:rPr>
          <w:rFonts w:ascii="Times New Roman" w:eastAsiaTheme="minorEastAsia" w:hAnsi="Times New Roman" w:cs="Times New Roman"/>
          <w:sz w:val="24"/>
          <w:szCs w:val="24"/>
          <w:lang w:val="en-US"/>
        </w:rPr>
        <w:t xml:space="preserve">                         </w:t>
      </w:r>
      <w:r w:rsidR="00682BF2" w:rsidRPr="003101A0">
        <w:rPr>
          <w:rFonts w:ascii="Times New Roman" w:eastAsiaTheme="minorEastAsia" w:hAnsi="Times New Roman" w:cs="Times New Roman"/>
          <w:sz w:val="24"/>
          <w:szCs w:val="24"/>
          <w:lang w:val="en-US"/>
        </w:rPr>
        <w:t>(2)</w:t>
      </w:r>
    </w:p>
    <w:p w14:paraId="240AA4EA" w14:textId="0FA5FAEF" w:rsidR="00FB3B1C" w:rsidRPr="003101A0" w:rsidRDefault="00FB3B1C" w:rsidP="00BE408D">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ab/>
      </w:r>
      <w:r w:rsidRPr="003101A0">
        <w:rPr>
          <w:rFonts w:ascii="Times New Roman" w:hAnsi="Times New Roman" w:cs="Times New Roman"/>
          <w:sz w:val="24"/>
          <w:szCs w:val="24"/>
          <w:lang w:val="en-US"/>
        </w:rPr>
        <w:tab/>
        <w:t xml:space="preserve">   </w:t>
      </w:r>
      <w:bookmarkStart w:id="2" w:name="_Hlk102644251"/>
      <m:oMath>
        <m:sSubSup>
          <m:sSubSupPr>
            <m:ctrlPr>
              <w:rPr>
                <w:rFonts w:ascii="Cambria Math" w:hAnsi="Cambria Math" w:cs="Times New Roman"/>
                <w:i/>
                <w:sz w:val="24"/>
                <w:szCs w:val="24"/>
                <w:lang w:val="en-US"/>
              </w:rPr>
            </m:ctrlPr>
          </m:sSubSupPr>
          <m:e>
            <m:r>
              <m:rPr>
                <m:nor/>
              </m:rPr>
              <w:rPr>
                <w:rFonts w:ascii="Cambria Math" w:hAnsi="Times New Roman" w:cs="Times New Roman"/>
                <w:i/>
                <w:sz w:val="24"/>
                <w:szCs w:val="24"/>
                <w:lang w:val="en-US"/>
              </w:rPr>
              <m:t xml:space="preserve"> </m:t>
            </m:r>
            <m:r>
              <m:rPr>
                <m:nor/>
              </m:rPr>
              <w:rPr>
                <w:rFonts w:ascii="Times New Roman" w:hAnsi="Times New Roman" w:cs="Times New Roman"/>
                <w:i/>
                <w:sz w:val="24"/>
                <w:szCs w:val="24"/>
                <w:lang w:val="en-US"/>
              </w:rPr>
              <m:t>Convertible</m:t>
            </m:r>
          </m:e>
          <m:sub>
            <m:r>
              <m:rPr>
                <m:nor/>
              </m:rPr>
              <w:rPr>
                <w:rFonts w:ascii="Times New Roman" w:hAnsi="Times New Roman" w:cs="Times New Roman"/>
                <w:i/>
                <w:sz w:val="24"/>
                <w:szCs w:val="24"/>
                <w:lang w:val="en-US"/>
              </w:rPr>
              <m:t>i.t</m:t>
            </m:r>
          </m:sub>
          <m:sup/>
        </m:sSubSup>
        <w:bookmarkEnd w:id="2"/>
        <m:r>
          <w:rPr>
            <w:rFonts w:ascii="Cambria Math" w:hAnsi="Cambria Math" w:cs="Times New Roman"/>
            <w:sz w:val="24"/>
            <w:szCs w:val="24"/>
            <w:lang w:val="en-US"/>
          </w:rPr>
          <m:t xml:space="preserve">  </m:t>
        </m:r>
        <m:r>
          <m:rPr>
            <m:nor/>
          </m:rPr>
          <w:rPr>
            <w:rFonts w:ascii="Times New Roman" w:hAnsi="Times New Roman" w:cs="Times New Roman"/>
            <w:sz w:val="24"/>
            <w:szCs w:val="24"/>
            <w:lang w:val="en-US"/>
          </w:rPr>
          <m:t>=1</m:t>
        </m:r>
      </m:oMath>
      <w:r w:rsidRPr="003101A0">
        <w:rPr>
          <w:rFonts w:ascii="Times New Roman" w:eastAsiaTheme="minorEastAsia" w:hAnsi="Times New Roman" w:cs="Times New Roman"/>
          <w:sz w:val="24"/>
          <w:szCs w:val="24"/>
          <w:lang w:val="en-US"/>
        </w:rPr>
        <w:t xml:space="preserve">          </w:t>
      </w:r>
      <w:r w:rsidR="009348D0" w:rsidRPr="003101A0">
        <w:rPr>
          <w:rFonts w:ascii="Times New Roman" w:eastAsiaTheme="minorEastAsia" w:hAnsi="Times New Roman" w:cs="Times New Roman"/>
          <w:sz w:val="24"/>
          <w:szCs w:val="24"/>
          <w:lang w:val="en-US"/>
        </w:rPr>
        <w:t xml:space="preserve"> </w:t>
      </w:r>
      <w:r w:rsidR="00F74247">
        <w:rPr>
          <w:rFonts w:ascii="Times New Roman" w:eastAsiaTheme="minorEastAsia" w:hAnsi="Times New Roman" w:cs="Times New Roman"/>
          <w:sz w:val="24"/>
          <w:szCs w:val="24"/>
          <w:lang w:val="en-US"/>
        </w:rPr>
        <w:t xml:space="preserve">  </w:t>
      </w:r>
      <w:r w:rsidRPr="003101A0">
        <w:rPr>
          <w:rFonts w:ascii="Times New Roman" w:eastAsiaTheme="minorEastAsia" w:hAnsi="Times New Roman" w:cs="Times New Roman"/>
          <w:sz w:val="24"/>
          <w:szCs w:val="24"/>
          <w:lang w:val="en-US"/>
        </w:rPr>
        <w:t xml:space="preserve">if   </w:t>
      </w:r>
      <w:r w:rsidR="00EC63E4">
        <w:rPr>
          <w:rFonts w:ascii="Times New Roman" w:eastAsiaTheme="minorEastAsia" w:hAnsi="Times New Roman" w:cs="Times New Roman"/>
          <w:sz w:val="24"/>
          <w:szCs w:val="24"/>
          <w:lang w:val="en-US"/>
        </w:rPr>
        <w:t xml:space="preserve"> </w:t>
      </w:r>
      <w:r w:rsidRPr="003101A0">
        <w:rPr>
          <w:rFonts w:ascii="Times New Roman" w:eastAsiaTheme="minorEastAsia"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m:rPr>
                <m:nor/>
              </m:rPr>
              <w:rPr>
                <w:rFonts w:ascii="Times New Roman" w:hAnsi="Times New Roman" w:cs="Times New Roman"/>
                <w:i/>
                <w:sz w:val="24"/>
                <w:szCs w:val="24"/>
                <w:lang w:val="en-US"/>
              </w:rPr>
              <m:t>Convertible</m:t>
            </m:r>
          </m:e>
          <m:sub>
            <m:r>
              <m:rPr>
                <m:nor/>
              </m:rPr>
              <w:rPr>
                <w:rFonts w:ascii="Times New Roman" w:hAnsi="Times New Roman" w:cs="Times New Roman"/>
                <w:i/>
                <w:sz w:val="24"/>
                <w:szCs w:val="24"/>
                <w:lang w:val="en-US"/>
              </w:rPr>
              <m:t>i,t</m:t>
            </m:r>
          </m:sub>
          <m:sup>
            <m:r>
              <m:rPr>
                <m:nor/>
              </m:rPr>
              <w:rPr>
                <w:rFonts w:ascii="Times New Roman" w:hAnsi="Times New Roman" w:cs="Times New Roman"/>
                <w:i/>
                <w:sz w:val="24"/>
                <w:szCs w:val="24"/>
                <w:lang w:val="en-US"/>
              </w:rPr>
              <m:t>*</m:t>
            </m:r>
          </m:sup>
        </m:sSubSup>
      </m:oMath>
      <w:r w:rsidRPr="003101A0">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&gt;0</m:t>
        </m:r>
      </m:oMath>
    </w:p>
    <w:p w14:paraId="47657A6D" w14:textId="1B87DB8E" w:rsidR="00FB3B1C" w:rsidRPr="003101A0" w:rsidRDefault="00FB3B1C" w:rsidP="00BE408D">
      <w:pPr>
        <w:spacing w:after="0" w:line="480" w:lineRule="auto"/>
        <w:ind w:left="720" w:firstLine="720"/>
        <w:jc w:val="both"/>
        <w:rPr>
          <w:rFonts w:ascii="Times New Roman" w:hAnsi="Times New Roman" w:cs="Times New Roman"/>
          <w:sz w:val="24"/>
          <w:szCs w:val="24"/>
          <w:lang w:val="en-US"/>
        </w:rPr>
      </w:pPr>
      <m:oMath>
        <m:r>
          <w:rPr>
            <w:rFonts w:ascii="Cambria Math" w:hAnsi="Cambria Math" w:cs="Times New Roman"/>
            <w:sz w:val="24"/>
            <w:szCs w:val="24"/>
            <w:lang w:val="en-US"/>
          </w:rPr>
          <m:t xml:space="preserve">    </m:t>
        </m:r>
        <m:sSubSup>
          <m:sSubSupPr>
            <m:ctrlPr>
              <w:rPr>
                <w:rFonts w:ascii="Cambria Math" w:hAnsi="Cambria Math" w:cs="Times New Roman"/>
                <w:i/>
                <w:sz w:val="24"/>
                <w:szCs w:val="24"/>
                <w:lang w:val="en-US"/>
              </w:rPr>
            </m:ctrlPr>
          </m:sSubSupPr>
          <m:e>
            <m:r>
              <m:rPr>
                <m:nor/>
              </m:rPr>
              <w:rPr>
                <w:rFonts w:ascii="Times New Roman" w:hAnsi="Times New Roman" w:cs="Times New Roman"/>
                <w:i/>
                <w:sz w:val="24"/>
                <w:szCs w:val="24"/>
                <w:lang w:val="en-US"/>
              </w:rPr>
              <m:t>Convertible</m:t>
            </m:r>
          </m:e>
          <m:sub>
            <m:r>
              <m:rPr>
                <m:nor/>
              </m:rPr>
              <w:rPr>
                <w:rFonts w:ascii="Times New Roman" w:hAnsi="Times New Roman" w:cs="Times New Roman"/>
                <w:i/>
                <w:sz w:val="24"/>
                <w:szCs w:val="24"/>
                <w:lang w:val="en-US"/>
              </w:rPr>
              <m:t>i.t</m:t>
            </m:r>
          </m:sub>
          <m:sup/>
        </m:sSubSup>
        <m:r>
          <w:rPr>
            <w:rFonts w:ascii="Cambria Math" w:hAnsi="Cambria Math" w:cs="Times New Roman"/>
            <w:sz w:val="24"/>
            <w:szCs w:val="24"/>
            <w:lang w:val="en-US"/>
          </w:rPr>
          <m:t xml:space="preserve">   </m:t>
        </m:r>
        <m:r>
          <m:rPr>
            <m:nor/>
          </m:rPr>
          <w:rPr>
            <w:rFonts w:ascii="Times New Roman" w:hAnsi="Times New Roman" w:cs="Times New Roman"/>
            <w:sz w:val="24"/>
            <w:szCs w:val="24"/>
            <w:lang w:val="en-US"/>
          </w:rPr>
          <m:t>=0</m:t>
        </m:r>
      </m:oMath>
      <w:r w:rsidRPr="003101A0">
        <w:rPr>
          <w:rFonts w:ascii="Times New Roman" w:eastAsiaTheme="minorEastAsia" w:hAnsi="Times New Roman" w:cs="Times New Roman"/>
          <w:sz w:val="24"/>
          <w:szCs w:val="24"/>
          <w:lang w:val="en-US"/>
        </w:rPr>
        <w:t xml:space="preserve">           </w:t>
      </w:r>
      <w:r w:rsidR="00627F2F" w:rsidRPr="003101A0">
        <w:rPr>
          <w:rFonts w:ascii="Times New Roman" w:eastAsiaTheme="minorEastAsia" w:hAnsi="Times New Roman" w:cs="Times New Roman"/>
          <w:sz w:val="24"/>
          <w:szCs w:val="24"/>
          <w:lang w:val="en-US"/>
        </w:rPr>
        <w:t xml:space="preserve">  </w:t>
      </w:r>
      <w:r w:rsidRPr="003101A0">
        <w:rPr>
          <w:rFonts w:ascii="Times New Roman" w:eastAsiaTheme="minorEastAsia" w:hAnsi="Times New Roman" w:cs="Times New Roman"/>
          <w:sz w:val="24"/>
          <w:szCs w:val="24"/>
          <w:lang w:val="en-US"/>
        </w:rPr>
        <w:t xml:space="preserve">if     </w:t>
      </w:r>
      <m:oMath>
        <m:sSubSup>
          <m:sSubSupPr>
            <m:ctrlPr>
              <w:rPr>
                <w:rFonts w:ascii="Cambria Math" w:hAnsi="Cambria Math" w:cs="Times New Roman"/>
                <w:i/>
                <w:sz w:val="24"/>
                <w:szCs w:val="24"/>
                <w:lang w:val="en-US"/>
              </w:rPr>
            </m:ctrlPr>
          </m:sSubSupPr>
          <m:e>
            <m:r>
              <m:rPr>
                <m:nor/>
              </m:rPr>
              <w:rPr>
                <w:rFonts w:ascii="Times New Roman" w:hAnsi="Times New Roman" w:cs="Times New Roman"/>
                <w:i/>
                <w:sz w:val="24"/>
                <w:szCs w:val="24"/>
                <w:lang w:val="en-US"/>
              </w:rPr>
              <m:t>Convertible</m:t>
            </m:r>
          </m:e>
          <m:sub>
            <m:r>
              <m:rPr>
                <m:nor/>
              </m:rPr>
              <w:rPr>
                <w:rFonts w:ascii="Times New Roman" w:hAnsi="Times New Roman" w:cs="Times New Roman"/>
                <w:i/>
                <w:sz w:val="24"/>
                <w:szCs w:val="24"/>
                <w:lang w:val="en-US"/>
              </w:rPr>
              <m:t>i, t</m:t>
            </m:r>
          </m:sub>
          <m:sup>
            <m:r>
              <m:rPr>
                <m:nor/>
              </m:rPr>
              <w:rPr>
                <w:rFonts w:ascii="Times New Roman" w:hAnsi="Times New Roman" w:cs="Times New Roman"/>
                <w:i/>
                <w:sz w:val="24"/>
                <w:szCs w:val="24"/>
                <w:lang w:val="en-US"/>
              </w:rPr>
              <m:t>*</m:t>
            </m:r>
          </m:sup>
        </m:sSubSup>
        <m:r>
          <m:rPr>
            <m:nor/>
          </m:rPr>
          <w:rPr>
            <w:rFonts w:ascii="Times New Roman" w:eastAsiaTheme="minorEastAsia" w:hAnsi="Times New Roman" w:cs="Times New Roman"/>
            <w:i/>
            <w:sz w:val="24"/>
            <w:szCs w:val="24"/>
            <w:lang w:val="en-US"/>
          </w:rPr>
          <m:t>≤ 0</m:t>
        </m:r>
      </m:oMath>
    </w:p>
    <w:p w14:paraId="1B168423" w14:textId="4D8DFB85" w:rsidR="00FB3B1C" w:rsidRPr="003101A0" w:rsidRDefault="00FB3B1C" w:rsidP="00522B74">
      <w:pPr>
        <w:spacing w:after="0" w:line="480" w:lineRule="auto"/>
        <w:ind w:firstLine="426"/>
        <w:jc w:val="both"/>
        <w:rPr>
          <w:rFonts w:ascii="Times New Roman" w:eastAsiaTheme="minorEastAsia" w:hAnsi="Times New Roman" w:cs="Times New Roman"/>
          <w:sz w:val="24"/>
          <w:szCs w:val="24"/>
          <w:lang w:val="en-US"/>
        </w:rPr>
      </w:pPr>
      <w:r w:rsidRPr="003101A0">
        <w:rPr>
          <w:rFonts w:ascii="Times New Roman" w:hAnsi="Times New Roman" w:cs="Times New Roman"/>
          <w:sz w:val="24"/>
          <w:szCs w:val="24"/>
          <w:lang w:val="en-US"/>
        </w:rPr>
        <w:t xml:space="preserve">where </w:t>
      </w:r>
      <m:oMath>
        <m:sSubSup>
          <m:sSubSupPr>
            <m:ctrlPr>
              <w:rPr>
                <w:rFonts w:ascii="Cambria Math" w:eastAsiaTheme="minorEastAsia" w:hAnsi="Cambria Math" w:cs="Times New Roman"/>
                <w:i/>
                <w:sz w:val="24"/>
                <w:szCs w:val="24"/>
                <w:lang w:val="en-US"/>
              </w:rPr>
            </m:ctrlPr>
          </m:sSubSupPr>
          <m:e>
            <m:r>
              <m:rPr>
                <m:nor/>
              </m:rPr>
              <w:rPr>
                <w:rFonts w:ascii="Times New Roman" w:eastAsiaTheme="minorEastAsia" w:hAnsi="Times New Roman" w:cs="Times New Roman"/>
                <w:i/>
                <w:sz w:val="24"/>
                <w:szCs w:val="24"/>
                <w:lang w:val="en-US"/>
              </w:rPr>
              <m:t>Convertible</m:t>
            </m:r>
          </m:e>
          <m:sub>
            <m:r>
              <m:rPr>
                <m:nor/>
              </m:rPr>
              <w:rPr>
                <w:rFonts w:ascii="Times New Roman" w:eastAsiaTheme="minorEastAsia" w:hAnsi="Times New Roman" w:cs="Times New Roman"/>
                <w:i/>
                <w:sz w:val="24"/>
                <w:szCs w:val="24"/>
                <w:lang w:val="en-US"/>
              </w:rPr>
              <m:t>i,t</m:t>
            </m:r>
          </m:sub>
          <m:sup>
            <m:r>
              <m:rPr>
                <m:nor/>
              </m:rPr>
              <w:rPr>
                <w:rFonts w:ascii="Times New Roman" w:eastAsiaTheme="minorEastAsia" w:hAnsi="Times New Roman" w:cs="Times New Roman"/>
                <w:i/>
                <w:sz w:val="24"/>
                <w:szCs w:val="24"/>
                <w:lang w:val="en-US"/>
              </w:rPr>
              <m:t>*</m:t>
            </m:r>
          </m:sup>
        </m:sSubSup>
      </m:oMath>
      <w:r w:rsidRPr="003101A0">
        <w:rPr>
          <w:rFonts w:ascii="Times New Roman" w:eastAsiaTheme="minorEastAsia" w:hAnsi="Times New Roman" w:cs="Times New Roman"/>
          <w:sz w:val="24"/>
          <w:szCs w:val="24"/>
          <w:lang w:val="en-US"/>
        </w:rPr>
        <w:t xml:space="preserve"> is an unobserved latent variable representing the net benefits associated with issuing convertibles instead of straight bonds, </w:t>
      </w:r>
      <m:oMath>
        <m:sSub>
          <m:sSubPr>
            <m:ctrlPr>
              <w:rPr>
                <w:rFonts w:ascii="Cambria Math" w:eastAsiaTheme="minorEastAsia" w:hAnsi="Cambria Math" w:cs="Times New Roman"/>
                <w:i/>
                <w:sz w:val="24"/>
                <w:szCs w:val="24"/>
                <w:lang w:val="en-US"/>
              </w:rPr>
            </m:ctrlPr>
          </m:sSubPr>
          <m:e>
            <m:r>
              <m:rPr>
                <m:nor/>
              </m:rPr>
              <w:rPr>
                <w:rFonts w:ascii="Times New Roman" w:eastAsiaTheme="minorEastAsia" w:hAnsi="Times New Roman" w:cs="Times New Roman"/>
                <w:i/>
                <w:sz w:val="24"/>
                <w:szCs w:val="24"/>
                <w:lang w:val="en-US"/>
              </w:rPr>
              <m:t>Z</m:t>
            </m:r>
          </m:e>
          <m:sub>
            <m:r>
              <m:rPr>
                <m:nor/>
              </m:rPr>
              <w:rPr>
                <w:rFonts w:ascii="Times New Roman" w:eastAsiaTheme="minorEastAsia" w:hAnsi="Times New Roman" w:cs="Times New Roman"/>
                <w:i/>
                <w:sz w:val="24"/>
                <w:szCs w:val="24"/>
                <w:lang w:val="en-US"/>
              </w:rPr>
              <m:t>i,t</m:t>
            </m:r>
          </m:sub>
        </m:sSub>
      </m:oMath>
      <w:r w:rsidR="00682BF2" w:rsidRPr="003101A0">
        <w:rPr>
          <w:rFonts w:ascii="Times New Roman" w:eastAsiaTheme="minorEastAsia" w:hAnsi="Times New Roman" w:cs="Times New Roman"/>
          <w:sz w:val="24"/>
          <w:szCs w:val="24"/>
          <w:lang w:val="en-US"/>
        </w:rPr>
        <w:t xml:space="preserve"> </w:t>
      </w:r>
      <w:r w:rsidRPr="003101A0">
        <w:rPr>
          <w:rFonts w:ascii="Times New Roman" w:eastAsiaTheme="minorEastAsia" w:hAnsi="Times New Roman" w:cs="Times New Roman"/>
          <w:sz w:val="24"/>
          <w:szCs w:val="24"/>
          <w:lang w:val="en-US"/>
        </w:rPr>
        <w:t xml:space="preserve">a set of observable characteristics </w:t>
      </w:r>
      <w:r w:rsidR="009348D0" w:rsidRPr="003101A0">
        <w:rPr>
          <w:rFonts w:ascii="Times New Roman" w:eastAsiaTheme="minorEastAsia" w:hAnsi="Times New Roman" w:cs="Times New Roman"/>
          <w:sz w:val="24"/>
          <w:szCs w:val="24"/>
          <w:lang w:val="en-US"/>
        </w:rPr>
        <w:t>affecting</w:t>
      </w:r>
      <w:r w:rsidRPr="003101A0">
        <w:rPr>
          <w:rFonts w:ascii="Times New Roman" w:eastAsiaTheme="minorEastAsia" w:hAnsi="Times New Roman" w:cs="Times New Roman"/>
          <w:sz w:val="24"/>
          <w:szCs w:val="24"/>
          <w:lang w:val="en-US"/>
        </w:rPr>
        <w:t xml:space="preserve"> the decision to issue convertibles over straight bonds, and </w:t>
      </w:r>
      <m:oMath>
        <m:sSub>
          <m:sSubPr>
            <m:ctrlPr>
              <w:rPr>
                <w:rFonts w:ascii="Cambria Math" w:eastAsiaTheme="minorEastAsia" w:hAnsi="Cambria Math" w:cs="Times New Roman"/>
                <w:i/>
                <w:sz w:val="24"/>
                <w:szCs w:val="24"/>
                <w:lang w:val="en-US"/>
              </w:rPr>
            </m:ctrlPr>
          </m:sSubPr>
          <m:e>
            <m:r>
              <m:rPr>
                <m:nor/>
              </m:rPr>
              <w:rPr>
                <w:rFonts w:ascii="Times New Roman" w:eastAsiaTheme="minorEastAsia" w:hAnsi="Times New Roman" w:cs="Times New Roman"/>
                <w:i/>
                <w:sz w:val="24"/>
                <w:szCs w:val="24"/>
                <w:lang w:val="en-US"/>
              </w:rPr>
              <m:t>μ</m:t>
            </m:r>
          </m:e>
          <m:sub>
            <m:r>
              <m:rPr>
                <m:nor/>
              </m:rPr>
              <w:rPr>
                <w:rFonts w:ascii="Times New Roman" w:eastAsiaTheme="minorEastAsia" w:hAnsi="Times New Roman" w:cs="Times New Roman"/>
                <w:i/>
                <w:sz w:val="24"/>
                <w:szCs w:val="24"/>
                <w:lang w:val="en-US"/>
              </w:rPr>
              <m:t>i,t</m:t>
            </m:r>
          </m:sub>
        </m:sSub>
        <m:r>
          <w:rPr>
            <w:rFonts w:ascii="Cambria Math" w:eastAsiaTheme="minorEastAsia" w:hAnsi="Cambria Math" w:cs="Times New Roman"/>
            <w:sz w:val="24"/>
            <w:szCs w:val="24"/>
            <w:lang w:val="en-US"/>
          </w:rPr>
          <m:t xml:space="preserve"> </m:t>
        </m:r>
      </m:oMath>
      <w:r w:rsidRPr="003101A0">
        <w:rPr>
          <w:rFonts w:ascii="Times New Roman" w:eastAsiaTheme="minorEastAsia" w:hAnsi="Times New Roman" w:cs="Times New Roman"/>
          <w:sz w:val="24"/>
          <w:szCs w:val="24"/>
          <w:lang w:val="en-US"/>
        </w:rPr>
        <w:t xml:space="preserve"> an error term. We then estimate an augmented version of Equation (1) as follows:</w:t>
      </w:r>
    </w:p>
    <w:p w14:paraId="49D7F2B4" w14:textId="0348C36D" w:rsidR="00FB3B1C" w:rsidRPr="003101A0" w:rsidRDefault="00000000" w:rsidP="00BE408D">
      <w:pPr>
        <w:spacing w:after="0" w:line="480" w:lineRule="auto"/>
        <w:ind w:firstLine="426"/>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CI index</m:t>
              </m:r>
            </m:e>
            <m:sub>
              <m:r>
                <m:rPr>
                  <m:nor/>
                </m:rPr>
                <w:rPr>
                  <w:rFonts w:ascii="Times New Roman" w:hAnsi="Times New Roman" w:cs="Times New Roman"/>
                  <w:i/>
                  <w:sz w:val="24"/>
                  <w:szCs w:val="24"/>
                  <w:lang w:val="en-US"/>
                </w:rPr>
                <m:t>i,t</m:t>
              </m:r>
            </m:sub>
          </m:sSub>
          <m:r>
            <m:rPr>
              <m:nor/>
            </m:rPr>
            <w:rPr>
              <w:rFonts w:ascii="Times New Roman" w:hAnsi="Times New Roman" w:cs="Times New Roman"/>
              <w:sz w:val="24"/>
              <w:szCs w:val="24"/>
              <w:lang w:val="en-US"/>
            </w:rPr>
            <m:t xml:space="preserve">= </m:t>
          </m:r>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α</m:t>
              </m:r>
            </m:e>
            <m:sub>
              <m:r>
                <m:rPr>
                  <m:nor/>
                </m:rPr>
                <w:rPr>
                  <w:rFonts w:ascii="Times New Roman" w:hAnsi="Times New Roman" w:cs="Times New Roman"/>
                  <w:sz w:val="24"/>
                  <w:szCs w:val="24"/>
                  <w:lang w:val="en-US"/>
                </w:rPr>
                <m:t>0</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α</m:t>
                  </m:r>
                </m:e>
                <m:sub>
                  <m:r>
                    <m:rPr>
                      <m:nor/>
                    </m:rPr>
                    <w:rPr>
                      <w:rFonts w:ascii="Times New Roman" w:hAnsi="Times New Roman" w:cs="Times New Roman"/>
                      <w:sz w:val="24"/>
                      <w:szCs w:val="24"/>
                      <w:lang w:val="en-US"/>
                    </w:rPr>
                    <m:t>1</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Convertible</m:t>
                  </m:r>
                </m:e>
                <m:sub>
                  <m:r>
                    <m:rPr>
                      <m:nor/>
                    </m:rPr>
                    <w:rPr>
                      <w:rFonts w:ascii="Times New Roman" w:hAnsi="Times New Roman" w:cs="Times New Roman"/>
                      <w:i/>
                      <w:sz w:val="24"/>
                      <w:szCs w:val="24"/>
                      <w:lang w:val="en-US"/>
                    </w:rPr>
                    <m:t>i,t</m:t>
                  </m:r>
                </m:sub>
              </m:sSub>
              <m:r>
                <m:rPr>
                  <m:nor/>
                </m:rPr>
                <w:rPr>
                  <w:rFonts w:ascii="Times New Roman" w:hAnsi="Times New Roman" w:cs="Times New Roman"/>
                  <w:sz w:val="24"/>
                  <w:szCs w:val="24"/>
                  <w:lang w:val="en-US"/>
                </w:rPr>
                <m:t>+α</m:t>
              </m:r>
            </m:e>
            <m:sub>
              <m:r>
                <m:rPr>
                  <m:nor/>
                </m:rPr>
                <w:rPr>
                  <w:rFonts w:ascii="Times New Roman" w:hAnsi="Times New Roman" w:cs="Times New Roman"/>
                  <w:sz w:val="24"/>
                  <w:szCs w:val="24"/>
                  <w:lang w:val="en-US"/>
                </w:rPr>
                <m:t>2</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X</m:t>
              </m:r>
            </m:e>
            <m:sub>
              <m:r>
                <m:rPr>
                  <m:nor/>
                </m:rPr>
                <w:rPr>
                  <w:rFonts w:ascii="Times New Roman" w:hAnsi="Times New Roman" w:cs="Times New Roman"/>
                  <w:i/>
                  <w:sz w:val="24"/>
                  <w:szCs w:val="24"/>
                  <w:lang w:val="en-US"/>
                </w:rPr>
                <m:t>i,t</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α</m:t>
              </m:r>
            </m:e>
            <m:sub>
              <m:r>
                <m:rPr>
                  <m:nor/>
                </m:rPr>
                <w:rPr>
                  <w:rFonts w:ascii="Times New Roman" w:hAnsi="Times New Roman" w:cs="Times New Roman"/>
                  <w:sz w:val="24"/>
                  <w:szCs w:val="24"/>
                  <w:lang w:val="en-US"/>
                </w:rPr>
                <m:t>3</m:t>
              </m:r>
            </m:sub>
          </m:sSub>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m:t>
              </m:r>
              <m:r>
                <m:rPr>
                  <m:nor/>
                </m:rPr>
                <w:rPr>
                  <w:rFonts w:ascii="Times New Roman" w:hAnsi="Times New Roman" w:cs="Times New Roman"/>
                  <w:i/>
                  <w:iCs/>
                  <w:sz w:val="24"/>
                  <w:szCs w:val="24"/>
                  <w:lang w:val="en-US"/>
                </w:rPr>
                <m:t xml:space="preserve"> Lambda</m:t>
              </m:r>
            </m:e>
            <m:sub>
              <m:r>
                <m:rPr>
                  <m:nor/>
                </m:rPr>
                <w:rPr>
                  <w:rFonts w:ascii="Times New Roman" w:hAnsi="Times New Roman" w:cs="Times New Roman"/>
                  <w:i/>
                  <w:sz w:val="24"/>
                  <w:szCs w:val="24"/>
                  <w:lang w:val="en-US"/>
                </w:rPr>
                <m:t>i,t</m:t>
              </m:r>
            </m:sub>
          </m:sSub>
          <m:r>
            <m:rPr>
              <m:nor/>
            </m:rPr>
            <w:rPr>
              <w:rFonts w:ascii="Times New Roman" w:hAnsi="Times New Roman"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ε</m:t>
              </m:r>
            </m:e>
            <m:sub>
              <m:r>
                <m:rPr>
                  <m:nor/>
                </m:rPr>
                <w:rPr>
                  <w:rFonts w:ascii="Times New Roman" w:hAnsi="Times New Roman" w:cs="Times New Roman"/>
                  <w:sz w:val="24"/>
                  <w:szCs w:val="24"/>
                  <w:lang w:val="en-US"/>
                </w:rPr>
                <m:t>i,t</m:t>
              </m:r>
            </m:sub>
          </m:sSub>
          <m:r>
            <w:rPr>
              <w:rFonts w:ascii="Cambria Math" w:hAnsi="Cambria Math" w:cs="Times New Roman"/>
              <w:sz w:val="24"/>
              <w:szCs w:val="24"/>
              <w:lang w:val="en-US"/>
            </w:rPr>
            <m:t xml:space="preserve">         </m:t>
          </m:r>
          <m:r>
            <m:rPr>
              <m:nor/>
            </m:rPr>
            <w:rPr>
              <w:rFonts w:ascii="Times New Roman" w:hAnsi="Times New Roman" w:cs="Times New Roman"/>
              <w:sz w:val="24"/>
              <w:szCs w:val="24"/>
              <w:lang w:val="en-US"/>
            </w:rPr>
            <m:t>(3)</m:t>
          </m:r>
        </m:oMath>
      </m:oMathPara>
    </w:p>
    <w:p w14:paraId="48F5F924" w14:textId="1CA9EA22" w:rsidR="005E1164" w:rsidRPr="003101A0" w:rsidRDefault="00FB3B1C" w:rsidP="00522B74">
      <w:pPr>
        <w:spacing w:after="0" w:line="480" w:lineRule="auto"/>
        <w:ind w:firstLine="426"/>
        <w:jc w:val="both"/>
        <w:rPr>
          <w:rFonts w:ascii="Times New Roman" w:hAnsi="Times New Roman" w:cs="Times New Roman"/>
          <w:sz w:val="24"/>
          <w:szCs w:val="24"/>
          <w:lang w:val="en-US"/>
        </w:rPr>
      </w:pPr>
      <w:r w:rsidRPr="003101A0">
        <w:rPr>
          <w:rFonts w:ascii="Times New Roman" w:eastAsiaTheme="minorEastAsia" w:hAnsi="Times New Roman" w:cs="Times New Roman"/>
          <w:sz w:val="24"/>
          <w:szCs w:val="24"/>
          <w:lang w:val="en-US"/>
        </w:rPr>
        <w:t xml:space="preserve">where </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m:rPr>
                <m:nor/>
              </m:rPr>
              <w:rPr>
                <w:rFonts w:ascii="Times New Roman" w:hAnsi="Times New Roman" w:cs="Times New Roman"/>
                <w:i/>
                <w:iCs/>
                <w:sz w:val="24"/>
                <w:szCs w:val="24"/>
                <w:lang w:val="en-US"/>
              </w:rPr>
              <m:t>Lambda</m:t>
            </m:r>
          </m:e>
          <m:sub>
            <m:r>
              <w:rPr>
                <w:rFonts w:ascii="Cambria Math" w:hAnsi="Cambria Math" w:cs="Times New Roman"/>
                <w:sz w:val="24"/>
                <w:szCs w:val="24"/>
                <w:lang w:val="en-US"/>
              </w:rPr>
              <m:t>i,t</m:t>
            </m:r>
          </m:sub>
        </m:sSub>
      </m:oMath>
      <w:r w:rsidRPr="003101A0">
        <w:rPr>
          <w:rFonts w:ascii="Times New Roman" w:eastAsiaTheme="minorEastAsia" w:hAnsi="Times New Roman" w:cs="Times New Roman"/>
          <w:sz w:val="24"/>
          <w:szCs w:val="24"/>
          <w:lang w:val="en-US"/>
        </w:rPr>
        <w:t>is an endogenous binary</w:t>
      </w:r>
      <w:r w:rsidR="00EC63E4">
        <w:rPr>
          <w:rFonts w:ascii="Times New Roman" w:eastAsiaTheme="minorEastAsia" w:hAnsi="Times New Roman" w:cs="Times New Roman"/>
          <w:sz w:val="24"/>
          <w:szCs w:val="24"/>
          <w:lang w:val="en-US"/>
        </w:rPr>
        <w:t xml:space="preserve"> </w:t>
      </w:r>
      <w:r w:rsidRPr="003101A0">
        <w:rPr>
          <w:rFonts w:ascii="Times New Roman" w:eastAsiaTheme="minorEastAsia" w:hAnsi="Times New Roman" w:cs="Times New Roman"/>
          <w:sz w:val="24"/>
          <w:szCs w:val="24"/>
          <w:lang w:val="en-US"/>
        </w:rPr>
        <w:t xml:space="preserve">treatment variable calculated </w:t>
      </w:r>
      <w:r w:rsidR="005E48F0" w:rsidRPr="003101A0">
        <w:rPr>
          <w:rFonts w:ascii="Times New Roman" w:eastAsiaTheme="minorEastAsia" w:hAnsi="Times New Roman" w:cs="Times New Roman"/>
          <w:sz w:val="24"/>
          <w:szCs w:val="24"/>
          <w:lang w:val="en-US"/>
        </w:rPr>
        <w:t xml:space="preserve">with </w:t>
      </w:r>
      <w:r w:rsidRPr="003101A0">
        <w:rPr>
          <w:rFonts w:ascii="Times New Roman" w:eastAsiaTheme="minorEastAsia" w:hAnsi="Times New Roman" w:cs="Times New Roman"/>
          <w:sz w:val="24"/>
          <w:szCs w:val="24"/>
          <w:lang w:val="en-US"/>
        </w:rPr>
        <w:t xml:space="preserve">estimated values from the choice model expressed in Equation (2). </w:t>
      </w:r>
      <w:r w:rsidR="005E1164">
        <w:rPr>
          <w:rFonts w:ascii="Times New Roman" w:hAnsi="Times New Roman" w:cs="Times New Roman"/>
          <w:sz w:val="24"/>
          <w:szCs w:val="24"/>
          <w:lang w:val="en-US"/>
        </w:rPr>
        <w:t xml:space="preserve">The security choice modeled in Equation (2) </w:t>
      </w:r>
      <w:r w:rsidR="005E1164" w:rsidRPr="003101A0">
        <w:rPr>
          <w:rFonts w:ascii="Times New Roman" w:hAnsi="Times New Roman" w:cs="Times New Roman"/>
          <w:sz w:val="24"/>
          <w:szCs w:val="24"/>
          <w:lang w:val="en-US"/>
        </w:rPr>
        <w:t xml:space="preserve">implicitly assumes </w:t>
      </w:r>
      <w:r w:rsidR="005E1164">
        <w:rPr>
          <w:rFonts w:ascii="Times New Roman" w:hAnsi="Times New Roman" w:cs="Times New Roman"/>
          <w:sz w:val="24"/>
          <w:szCs w:val="24"/>
          <w:lang w:val="en-US"/>
        </w:rPr>
        <w:t>the following</w:t>
      </w:r>
      <w:r w:rsidR="005E1164" w:rsidRPr="003101A0">
        <w:rPr>
          <w:rFonts w:ascii="Times New Roman" w:hAnsi="Times New Roman" w:cs="Times New Roman"/>
          <w:sz w:val="24"/>
          <w:szCs w:val="24"/>
          <w:lang w:val="en-US"/>
        </w:rPr>
        <w:t xml:space="preserve"> nested financing </w:t>
      </w:r>
      <w:r w:rsidR="005E1164">
        <w:rPr>
          <w:rFonts w:ascii="Times New Roman" w:hAnsi="Times New Roman" w:cs="Times New Roman"/>
          <w:sz w:val="24"/>
          <w:szCs w:val="24"/>
          <w:lang w:val="en-US"/>
        </w:rPr>
        <w:t xml:space="preserve">decision structure. Conditional </w:t>
      </w:r>
      <w:r w:rsidR="005E1164" w:rsidRPr="003101A0">
        <w:rPr>
          <w:rFonts w:ascii="Times New Roman" w:hAnsi="Times New Roman" w:cs="Times New Roman"/>
          <w:sz w:val="24"/>
          <w:szCs w:val="24"/>
          <w:lang w:val="en-US"/>
        </w:rPr>
        <w:t>on a decision to raise external financing with a bond offering</w:t>
      </w:r>
      <w:r w:rsidR="005E1164">
        <w:rPr>
          <w:rFonts w:ascii="Times New Roman" w:hAnsi="Times New Roman" w:cs="Times New Roman"/>
          <w:sz w:val="24"/>
          <w:szCs w:val="24"/>
          <w:lang w:val="en-US"/>
        </w:rPr>
        <w:t xml:space="preserve">, </w:t>
      </w:r>
      <w:r w:rsidR="005E1164" w:rsidRPr="003101A0">
        <w:rPr>
          <w:rFonts w:ascii="Times New Roman" w:hAnsi="Times New Roman" w:cs="Times New Roman"/>
          <w:sz w:val="24"/>
          <w:szCs w:val="24"/>
          <w:lang w:val="en-US"/>
        </w:rPr>
        <w:t xml:space="preserve">the firm ends up with a choice between (public or Rule 144a) convertible </w:t>
      </w:r>
      <w:r w:rsidR="009432D3">
        <w:rPr>
          <w:rFonts w:ascii="Times New Roman" w:hAnsi="Times New Roman" w:cs="Times New Roman"/>
          <w:sz w:val="24"/>
          <w:szCs w:val="24"/>
          <w:lang w:val="en-US"/>
        </w:rPr>
        <w:t>and</w:t>
      </w:r>
      <w:r w:rsidR="009432D3" w:rsidRPr="003101A0">
        <w:rPr>
          <w:rFonts w:ascii="Times New Roman" w:hAnsi="Times New Roman" w:cs="Times New Roman"/>
          <w:sz w:val="24"/>
          <w:szCs w:val="24"/>
          <w:lang w:val="en-US"/>
        </w:rPr>
        <w:t xml:space="preserve"> </w:t>
      </w:r>
      <w:r w:rsidR="005E1164" w:rsidRPr="003101A0">
        <w:rPr>
          <w:rFonts w:ascii="Times New Roman" w:hAnsi="Times New Roman" w:cs="Times New Roman"/>
          <w:sz w:val="24"/>
          <w:szCs w:val="24"/>
          <w:lang w:val="en-US"/>
        </w:rPr>
        <w:t xml:space="preserve">straight bonds, having ruled out other options in </w:t>
      </w:r>
      <w:r w:rsidR="00522B74">
        <w:rPr>
          <w:rFonts w:ascii="Times New Roman" w:hAnsi="Times New Roman" w:cs="Times New Roman"/>
          <w:sz w:val="24"/>
          <w:szCs w:val="24"/>
          <w:lang w:val="en-US"/>
        </w:rPr>
        <w:t xml:space="preserve">prior </w:t>
      </w:r>
      <w:r w:rsidR="005E1164" w:rsidRPr="003101A0">
        <w:rPr>
          <w:rFonts w:ascii="Times New Roman" w:hAnsi="Times New Roman" w:cs="Times New Roman"/>
          <w:sz w:val="24"/>
          <w:szCs w:val="24"/>
          <w:lang w:val="en-US"/>
        </w:rPr>
        <w:t xml:space="preserve">stages of the decision process. Focusing on this ‘ultimate branch’ in a firm’s decision tree is acceptable from an empirical point of view if there is stronger substitutability between the two options in this final branch than between these two options and any other ruled out option (McFadden, 1981; </w:t>
      </w:r>
      <w:proofErr w:type="spellStart"/>
      <w:r w:rsidR="005E1164" w:rsidRPr="003101A0">
        <w:rPr>
          <w:rFonts w:ascii="Times New Roman" w:hAnsi="Times New Roman" w:cs="Times New Roman"/>
          <w:sz w:val="24"/>
          <w:szCs w:val="24"/>
          <w:lang w:val="en-US"/>
        </w:rPr>
        <w:t>MacKie</w:t>
      </w:r>
      <w:proofErr w:type="spellEnd"/>
      <w:r w:rsidR="005E1164" w:rsidRPr="003101A0">
        <w:rPr>
          <w:rFonts w:ascii="Times New Roman" w:hAnsi="Times New Roman" w:cs="Times New Roman"/>
          <w:sz w:val="24"/>
          <w:szCs w:val="24"/>
          <w:lang w:val="en-US"/>
        </w:rPr>
        <w:t xml:space="preserve">-Mason, 1990). We believe this substitutability assumption is credible for our empirical design. </w:t>
      </w:r>
      <w:r w:rsidR="00522B74">
        <w:rPr>
          <w:rFonts w:ascii="Times New Roman" w:hAnsi="Times New Roman" w:cs="Times New Roman"/>
          <w:sz w:val="24"/>
          <w:szCs w:val="24"/>
          <w:lang w:val="en-US"/>
        </w:rPr>
        <w:t>More particularly, i</w:t>
      </w:r>
      <w:r w:rsidR="005E1164">
        <w:rPr>
          <w:rFonts w:ascii="Times New Roman" w:hAnsi="Times New Roman" w:cs="Times New Roman"/>
          <w:sz w:val="24"/>
          <w:szCs w:val="24"/>
          <w:lang w:val="en-US"/>
        </w:rPr>
        <w:t>t</w:t>
      </w:r>
      <w:r w:rsidR="005E1164" w:rsidRPr="003101A0">
        <w:rPr>
          <w:rFonts w:ascii="Times New Roman" w:hAnsi="Times New Roman" w:cs="Times New Roman"/>
          <w:sz w:val="24"/>
          <w:szCs w:val="24"/>
          <w:lang w:val="en-US"/>
        </w:rPr>
        <w:t xml:space="preserve"> is reasonable to assume that the issuer has ruled out private forms of financing in a previous step of her decision process, given the </w:t>
      </w:r>
      <w:r w:rsidR="005E1164" w:rsidRPr="003101A0">
        <w:rPr>
          <w:rFonts w:ascii="Times New Roman" w:hAnsi="Times New Roman" w:cs="Times New Roman"/>
          <w:sz w:val="24"/>
          <w:szCs w:val="24"/>
          <w:lang w:val="en-US"/>
        </w:rPr>
        <w:lastRenderedPageBreak/>
        <w:t xml:space="preserve">documented substantial differences between private financing on the one hand and public/Rule 144a financing on the other hand (Denis and </w:t>
      </w:r>
      <w:proofErr w:type="spellStart"/>
      <w:r w:rsidR="005E1164" w:rsidRPr="003101A0">
        <w:rPr>
          <w:rFonts w:ascii="Times New Roman" w:hAnsi="Times New Roman" w:cs="Times New Roman"/>
          <w:sz w:val="24"/>
          <w:szCs w:val="24"/>
          <w:lang w:val="en-US"/>
        </w:rPr>
        <w:t>Mihov</w:t>
      </w:r>
      <w:proofErr w:type="spellEnd"/>
      <w:r w:rsidR="005E1164" w:rsidRPr="003101A0">
        <w:rPr>
          <w:rFonts w:ascii="Times New Roman" w:hAnsi="Times New Roman" w:cs="Times New Roman"/>
          <w:sz w:val="24"/>
          <w:szCs w:val="24"/>
          <w:lang w:val="en-US"/>
        </w:rPr>
        <w:t xml:space="preserve">, 2003; </w:t>
      </w:r>
      <w:proofErr w:type="spellStart"/>
      <w:r w:rsidR="005E1164" w:rsidRPr="003101A0">
        <w:rPr>
          <w:rFonts w:ascii="Times New Roman" w:hAnsi="Times New Roman" w:cs="Times New Roman"/>
          <w:sz w:val="24"/>
          <w:szCs w:val="24"/>
          <w:lang w:val="en-US"/>
        </w:rPr>
        <w:t>Billett</w:t>
      </w:r>
      <w:proofErr w:type="spellEnd"/>
      <w:r w:rsidR="005E1164" w:rsidRPr="003101A0">
        <w:rPr>
          <w:rFonts w:ascii="Times New Roman" w:hAnsi="Times New Roman" w:cs="Times New Roman"/>
          <w:sz w:val="24"/>
          <w:szCs w:val="24"/>
          <w:lang w:val="en-US"/>
        </w:rPr>
        <w:t xml:space="preserve"> et al., 2007; Gomes and Phillips, 2012). </w:t>
      </w:r>
      <w:r w:rsidR="005E1164">
        <w:rPr>
          <w:rFonts w:ascii="Times New Roman" w:hAnsi="Times New Roman" w:cs="Times New Roman"/>
          <w:sz w:val="24"/>
          <w:szCs w:val="24"/>
          <w:lang w:val="en-US"/>
        </w:rPr>
        <w:t>I</w:t>
      </w:r>
      <w:r w:rsidR="005E1164" w:rsidRPr="003101A0">
        <w:rPr>
          <w:rFonts w:ascii="Times New Roman" w:hAnsi="Times New Roman" w:cs="Times New Roman"/>
          <w:sz w:val="24"/>
          <w:szCs w:val="24"/>
          <w:lang w:val="en-US"/>
        </w:rPr>
        <w:t xml:space="preserve">t is </w:t>
      </w:r>
      <w:r w:rsidR="005E1164">
        <w:rPr>
          <w:rFonts w:ascii="Times New Roman" w:hAnsi="Times New Roman" w:cs="Times New Roman"/>
          <w:sz w:val="24"/>
          <w:szCs w:val="24"/>
          <w:lang w:val="en-US"/>
        </w:rPr>
        <w:t xml:space="preserve">also </w:t>
      </w:r>
      <w:r w:rsidR="005E1164" w:rsidRPr="003101A0">
        <w:rPr>
          <w:rFonts w:ascii="Times New Roman" w:hAnsi="Times New Roman" w:cs="Times New Roman"/>
          <w:sz w:val="24"/>
          <w:szCs w:val="24"/>
          <w:lang w:val="en-US"/>
        </w:rPr>
        <w:t>reasonable to assume that the issuer has ruled out (seasoned) equity in a previous step of her decision process.</w:t>
      </w:r>
      <w:r w:rsidR="005E1164">
        <w:rPr>
          <w:rFonts w:ascii="Times New Roman" w:hAnsi="Times New Roman" w:cs="Times New Roman"/>
          <w:sz w:val="24"/>
          <w:szCs w:val="24"/>
          <w:lang w:val="en-US"/>
        </w:rPr>
        <w:t xml:space="preserve"> </w:t>
      </w:r>
      <w:r w:rsidR="005E1164" w:rsidRPr="003101A0">
        <w:rPr>
          <w:rFonts w:ascii="Times New Roman" w:hAnsi="Times New Roman" w:cs="Times New Roman"/>
          <w:sz w:val="24"/>
          <w:szCs w:val="24"/>
          <w:lang w:val="en-US"/>
        </w:rPr>
        <w:t>Several convertible bond issuance theories consider convertibles a direct alternative to straight bonds, thereby either implicitly or explicitly assuming the firm has already eliminated equit</w:t>
      </w:r>
      <w:r w:rsidR="005E1164">
        <w:rPr>
          <w:rFonts w:ascii="Times New Roman" w:hAnsi="Times New Roman" w:cs="Times New Roman"/>
          <w:sz w:val="24"/>
          <w:szCs w:val="24"/>
          <w:lang w:val="en-US"/>
        </w:rPr>
        <w:t>y</w:t>
      </w:r>
      <w:r w:rsidR="005E1164" w:rsidRPr="003101A0">
        <w:rPr>
          <w:rFonts w:ascii="Times New Roman" w:hAnsi="Times New Roman" w:cs="Times New Roman"/>
          <w:sz w:val="24"/>
          <w:szCs w:val="24"/>
          <w:lang w:val="en-US"/>
        </w:rPr>
        <w:t xml:space="preserve"> (Green, 1984; Brennan and Kraus, 1987; Brennan and Schwartz, 1988; </w:t>
      </w:r>
      <w:proofErr w:type="spellStart"/>
      <w:r w:rsidR="005E1164" w:rsidRPr="003101A0">
        <w:rPr>
          <w:rFonts w:ascii="Times New Roman" w:hAnsi="Times New Roman" w:cs="Times New Roman"/>
          <w:sz w:val="24"/>
          <w:szCs w:val="24"/>
          <w:lang w:val="en-US"/>
        </w:rPr>
        <w:t>Mayers</w:t>
      </w:r>
      <w:proofErr w:type="spellEnd"/>
      <w:r w:rsidR="005E1164" w:rsidRPr="003101A0">
        <w:rPr>
          <w:rFonts w:ascii="Times New Roman" w:hAnsi="Times New Roman" w:cs="Times New Roman"/>
          <w:sz w:val="24"/>
          <w:szCs w:val="24"/>
          <w:lang w:val="en-US"/>
        </w:rPr>
        <w:t xml:space="preserve">, 1998). </w:t>
      </w:r>
    </w:p>
    <w:p w14:paraId="7C86C1DF" w14:textId="62AA5753" w:rsidR="00FB3B1C" w:rsidRPr="003101A0" w:rsidRDefault="00871C61" w:rsidP="00F25B64">
      <w:pPr>
        <w:spacing w:after="0" w:line="480" w:lineRule="auto"/>
        <w:ind w:firstLine="426"/>
        <w:jc w:val="both"/>
        <w:rPr>
          <w:rFonts w:ascii="Times New Roman" w:hAnsi="Times New Roman" w:cs="Times New Roman"/>
          <w:sz w:val="24"/>
          <w:szCs w:val="24"/>
          <w:lang w:val="en-US"/>
        </w:rPr>
      </w:pPr>
      <w:r w:rsidRPr="003101A0">
        <w:rPr>
          <w:rFonts w:ascii="Times New Roman" w:eastAsiaTheme="minorEastAsia" w:hAnsi="Times New Roman" w:cs="Times New Roman"/>
          <w:sz w:val="24"/>
          <w:szCs w:val="24"/>
          <w:lang w:val="en-US"/>
        </w:rPr>
        <w:t xml:space="preserve">While </w:t>
      </w:r>
      <w:r w:rsidR="00FB3B1C" w:rsidRPr="003101A0">
        <w:rPr>
          <w:rFonts w:ascii="Times New Roman" w:eastAsiaTheme="minorEastAsia" w:hAnsi="Times New Roman" w:cs="Times New Roman"/>
          <w:sz w:val="24"/>
          <w:szCs w:val="24"/>
          <w:lang w:val="en-US"/>
        </w:rPr>
        <w:t xml:space="preserve">we could </w:t>
      </w:r>
      <w:r w:rsidR="008B68B8">
        <w:rPr>
          <w:rFonts w:ascii="Times New Roman" w:eastAsiaTheme="minorEastAsia" w:hAnsi="Times New Roman" w:cs="Times New Roman"/>
          <w:sz w:val="24"/>
          <w:szCs w:val="24"/>
          <w:lang w:val="en-US"/>
        </w:rPr>
        <w:t xml:space="preserve">technically </w:t>
      </w:r>
      <w:r w:rsidR="00FB3B1C" w:rsidRPr="003101A0">
        <w:rPr>
          <w:rFonts w:ascii="Times New Roman" w:eastAsiaTheme="minorEastAsia" w:hAnsi="Times New Roman" w:cs="Times New Roman"/>
          <w:sz w:val="24"/>
          <w:szCs w:val="24"/>
          <w:lang w:val="en-US"/>
        </w:rPr>
        <w:t xml:space="preserve">achieve identification of the system </w:t>
      </w:r>
      <w:r w:rsidR="005E1164">
        <w:rPr>
          <w:rFonts w:ascii="Times New Roman" w:eastAsiaTheme="minorEastAsia" w:hAnsi="Times New Roman" w:cs="Times New Roman"/>
          <w:sz w:val="24"/>
          <w:szCs w:val="24"/>
          <w:lang w:val="en-US"/>
        </w:rPr>
        <w:t xml:space="preserve">of equations </w:t>
      </w:r>
      <w:r w:rsidR="00FB3B1C" w:rsidRPr="003101A0">
        <w:rPr>
          <w:rFonts w:ascii="Times New Roman" w:eastAsiaTheme="minorEastAsia" w:hAnsi="Times New Roman" w:cs="Times New Roman"/>
          <w:sz w:val="24"/>
          <w:szCs w:val="24"/>
          <w:lang w:val="en-US"/>
        </w:rPr>
        <w:t xml:space="preserve">through non-linearities in the self-selection correction term </w:t>
      </w:r>
      <w:r w:rsidR="0090402E" w:rsidRPr="0090402E">
        <w:rPr>
          <w:rFonts w:ascii="Times New Roman" w:eastAsiaTheme="minorEastAsia" w:hAnsi="Times New Roman" w:cs="Times New Roman"/>
          <w:i/>
          <w:iCs/>
          <w:sz w:val="24"/>
          <w:szCs w:val="24"/>
          <w:lang w:val="en-US"/>
        </w:rPr>
        <w:t>Lambda</w:t>
      </w:r>
      <m:oMath>
        <m:r>
          <w:rPr>
            <w:rFonts w:ascii="Cambria Math" w:hAnsi="Cambria Math" w:cs="Times New Roman"/>
            <w:sz w:val="24"/>
            <w:szCs w:val="24"/>
            <w:lang w:val="en-US"/>
          </w:rPr>
          <m:t xml:space="preserve"> </m:t>
        </m:r>
      </m:oMath>
      <w:r w:rsidR="00FB3B1C" w:rsidRPr="003101A0">
        <w:rPr>
          <w:rFonts w:ascii="Times New Roman" w:eastAsiaTheme="minorEastAsia" w:hAnsi="Times New Roman" w:cs="Times New Roman"/>
          <w:sz w:val="24"/>
          <w:szCs w:val="24"/>
          <w:lang w:val="en-US"/>
        </w:rPr>
        <w:t>(Li and Prabhala, 200</w:t>
      </w:r>
      <w:r w:rsidR="00B83612" w:rsidRPr="003101A0">
        <w:rPr>
          <w:rFonts w:ascii="Times New Roman" w:eastAsiaTheme="minorEastAsia" w:hAnsi="Times New Roman" w:cs="Times New Roman"/>
          <w:sz w:val="24"/>
          <w:szCs w:val="24"/>
          <w:lang w:val="en-US"/>
        </w:rPr>
        <w:t>7</w:t>
      </w:r>
      <w:r w:rsidR="00FB3B1C" w:rsidRPr="003101A0">
        <w:rPr>
          <w:rFonts w:ascii="Times New Roman" w:eastAsiaTheme="minorEastAsia" w:hAnsi="Times New Roman" w:cs="Times New Roman"/>
          <w:sz w:val="24"/>
          <w:szCs w:val="24"/>
          <w:lang w:val="en-US"/>
        </w:rPr>
        <w:t xml:space="preserve">), we </w:t>
      </w:r>
      <w:r w:rsidR="009A0C46" w:rsidRPr="003101A0">
        <w:rPr>
          <w:rFonts w:ascii="Times New Roman" w:eastAsiaTheme="minorEastAsia" w:hAnsi="Times New Roman" w:cs="Times New Roman"/>
          <w:sz w:val="24"/>
          <w:szCs w:val="24"/>
          <w:lang w:val="en-US"/>
        </w:rPr>
        <w:t>sh</w:t>
      </w:r>
      <w:r w:rsidR="00FB3B1C" w:rsidRPr="003101A0">
        <w:rPr>
          <w:rFonts w:ascii="Times New Roman" w:eastAsiaTheme="minorEastAsia" w:hAnsi="Times New Roman" w:cs="Times New Roman"/>
          <w:sz w:val="24"/>
          <w:szCs w:val="24"/>
          <w:lang w:val="en-US"/>
        </w:rPr>
        <w:t xml:space="preserve">ould </w:t>
      </w:r>
      <w:r w:rsidR="009A0C46" w:rsidRPr="003101A0">
        <w:rPr>
          <w:rFonts w:ascii="Times New Roman" w:eastAsiaTheme="minorEastAsia" w:hAnsi="Times New Roman" w:cs="Times New Roman"/>
          <w:sz w:val="24"/>
          <w:szCs w:val="24"/>
          <w:lang w:val="en-US"/>
        </w:rPr>
        <w:t xml:space="preserve">ideally </w:t>
      </w:r>
      <w:r w:rsidR="00282161" w:rsidRPr="003101A0">
        <w:rPr>
          <w:rFonts w:ascii="Times New Roman" w:eastAsiaTheme="minorEastAsia" w:hAnsi="Times New Roman" w:cs="Times New Roman"/>
          <w:sz w:val="24"/>
          <w:szCs w:val="24"/>
          <w:lang w:val="en-US"/>
        </w:rPr>
        <w:t>augment</w:t>
      </w:r>
      <w:r w:rsidR="009A0C46" w:rsidRPr="003101A0">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m:rPr>
                <m:nor/>
              </m:rPr>
              <w:rPr>
                <w:rFonts w:ascii="Times New Roman" w:eastAsiaTheme="minorEastAsia" w:hAnsi="Times New Roman" w:cs="Times New Roman"/>
                <w:i/>
                <w:sz w:val="24"/>
                <w:szCs w:val="24"/>
                <w:lang w:val="en-US"/>
              </w:rPr>
              <m:t>Z</m:t>
            </m:r>
          </m:e>
          <m:sub>
            <m:r>
              <m:rPr>
                <m:nor/>
              </m:rPr>
              <w:rPr>
                <w:rFonts w:ascii="Times New Roman" w:eastAsiaTheme="minorEastAsia" w:hAnsi="Times New Roman" w:cs="Times New Roman"/>
                <w:i/>
                <w:sz w:val="24"/>
                <w:szCs w:val="24"/>
                <w:lang w:val="en-US"/>
              </w:rPr>
              <m:t>i,t</m:t>
            </m:r>
          </m:sub>
        </m:sSub>
      </m:oMath>
      <w:r w:rsidR="00282161" w:rsidRPr="003101A0">
        <w:rPr>
          <w:rFonts w:ascii="Times New Roman" w:eastAsiaTheme="minorEastAsia" w:hAnsi="Times New Roman" w:cs="Times New Roman"/>
          <w:sz w:val="24"/>
          <w:szCs w:val="24"/>
          <w:lang w:val="en-US"/>
        </w:rPr>
        <w:t xml:space="preserve"> with </w:t>
      </w:r>
      <w:r w:rsidR="00DA7F88" w:rsidRPr="003101A0">
        <w:rPr>
          <w:rFonts w:ascii="Times New Roman" w:eastAsiaTheme="minorEastAsia" w:hAnsi="Times New Roman" w:cs="Times New Roman"/>
          <w:sz w:val="24"/>
          <w:szCs w:val="24"/>
          <w:lang w:val="en-US"/>
        </w:rPr>
        <w:t>at least one</w:t>
      </w:r>
      <w:r w:rsidR="00282161" w:rsidRPr="003101A0">
        <w:rPr>
          <w:rFonts w:ascii="Times New Roman" w:eastAsiaTheme="minorEastAsia" w:hAnsi="Times New Roman" w:cs="Times New Roman"/>
          <w:sz w:val="24"/>
          <w:szCs w:val="24"/>
          <w:lang w:val="en-US"/>
        </w:rPr>
        <w:t xml:space="preserve"> exclusion variable that do</w:t>
      </w:r>
      <w:r w:rsidR="00DA7F88" w:rsidRPr="003101A0">
        <w:rPr>
          <w:rFonts w:ascii="Times New Roman" w:eastAsiaTheme="minorEastAsia" w:hAnsi="Times New Roman" w:cs="Times New Roman"/>
          <w:sz w:val="24"/>
          <w:szCs w:val="24"/>
          <w:lang w:val="en-US"/>
        </w:rPr>
        <w:t>es</w:t>
      </w:r>
      <w:r w:rsidR="00282161" w:rsidRPr="003101A0">
        <w:rPr>
          <w:rFonts w:ascii="Times New Roman" w:eastAsiaTheme="minorEastAsia" w:hAnsi="Times New Roman" w:cs="Times New Roman"/>
          <w:sz w:val="24"/>
          <w:szCs w:val="24"/>
          <w:lang w:val="en-US"/>
        </w:rPr>
        <w:t xml:space="preserve"> not affect covenant intensity</w:t>
      </w:r>
      <w:r w:rsidR="00FB3B1C" w:rsidRPr="003101A0">
        <w:rPr>
          <w:rFonts w:ascii="Times New Roman" w:hAnsi="Times New Roman" w:cs="Times New Roman"/>
          <w:sz w:val="24"/>
          <w:szCs w:val="24"/>
          <w:lang w:val="en-US"/>
        </w:rPr>
        <w:t xml:space="preserve">. </w:t>
      </w:r>
      <w:r w:rsidR="00FA08AF">
        <w:rPr>
          <w:rFonts w:ascii="Times New Roman" w:hAnsi="Times New Roman" w:cs="Times New Roman"/>
          <w:sz w:val="24"/>
          <w:szCs w:val="24"/>
          <w:lang w:val="en-US"/>
        </w:rPr>
        <w:t>We use the issuer’s pre-issuance stock return (</w:t>
      </w:r>
      <w:r w:rsidR="00FA08AF" w:rsidRPr="00F25B64">
        <w:rPr>
          <w:rFonts w:ascii="Times New Roman" w:hAnsi="Times New Roman" w:cs="Times New Roman"/>
          <w:i/>
          <w:iCs/>
          <w:sz w:val="24"/>
          <w:szCs w:val="24"/>
          <w:lang w:val="en-US"/>
        </w:rPr>
        <w:t>Stock runup</w:t>
      </w:r>
      <w:r w:rsidR="00FA08AF">
        <w:rPr>
          <w:rFonts w:ascii="Times New Roman" w:hAnsi="Times New Roman" w:cs="Times New Roman"/>
          <w:sz w:val="24"/>
          <w:szCs w:val="24"/>
          <w:lang w:val="en-US"/>
        </w:rPr>
        <w:t>) and</w:t>
      </w:r>
      <w:r w:rsidR="00F74247">
        <w:rPr>
          <w:rFonts w:ascii="Times New Roman" w:hAnsi="Times New Roman" w:cs="Times New Roman"/>
          <w:sz w:val="24"/>
          <w:szCs w:val="24"/>
          <w:lang w:val="en-US"/>
        </w:rPr>
        <w:t xml:space="preserve"> a measure for</w:t>
      </w:r>
      <w:r w:rsidR="00FA08AF">
        <w:rPr>
          <w:rFonts w:ascii="Times New Roman" w:hAnsi="Times New Roman" w:cs="Times New Roman"/>
          <w:sz w:val="24"/>
          <w:szCs w:val="24"/>
          <w:lang w:val="en-US"/>
        </w:rPr>
        <w:t xml:space="preserve"> </w:t>
      </w:r>
      <w:r w:rsidR="00FA08AF">
        <w:rPr>
          <w:rFonts w:ascii="Times New Roman" w:eastAsia="Times New Roman" w:hAnsi="Times New Roman" w:cs="Times New Roman"/>
          <w:sz w:val="24"/>
          <w:szCs w:val="24"/>
          <w:lang w:val="en-US"/>
        </w:rPr>
        <w:t xml:space="preserve">aggregate </w:t>
      </w:r>
      <w:r w:rsidR="00FA08AF" w:rsidRPr="003101A0">
        <w:rPr>
          <w:rFonts w:ascii="Times New Roman" w:eastAsia="Times New Roman" w:hAnsi="Times New Roman" w:cs="Times New Roman"/>
          <w:sz w:val="24"/>
          <w:szCs w:val="24"/>
          <w:lang w:val="en-US"/>
        </w:rPr>
        <w:t xml:space="preserve">convertible bond </w:t>
      </w:r>
      <w:r w:rsidR="008B68B8">
        <w:rPr>
          <w:rFonts w:ascii="Times New Roman" w:eastAsia="Times New Roman" w:hAnsi="Times New Roman" w:cs="Times New Roman"/>
          <w:sz w:val="24"/>
          <w:szCs w:val="24"/>
          <w:lang w:val="en-US"/>
        </w:rPr>
        <w:t xml:space="preserve">offerings </w:t>
      </w:r>
      <w:r w:rsidR="00FA08AF" w:rsidRPr="003101A0">
        <w:rPr>
          <w:rFonts w:ascii="Times New Roman" w:eastAsia="Times New Roman" w:hAnsi="Times New Roman" w:cs="Times New Roman"/>
          <w:sz w:val="24"/>
          <w:szCs w:val="24"/>
          <w:lang w:val="en-US"/>
        </w:rPr>
        <w:t>over the year before the bond issuance date</w:t>
      </w:r>
      <w:r w:rsidR="00FA08AF">
        <w:rPr>
          <w:rFonts w:ascii="Times New Roman" w:eastAsia="Times New Roman" w:hAnsi="Times New Roman" w:cs="Times New Roman"/>
          <w:sz w:val="24"/>
          <w:szCs w:val="24"/>
          <w:lang w:val="en-US"/>
        </w:rPr>
        <w:t xml:space="preserve"> (</w:t>
      </w:r>
      <w:r w:rsidR="00FA08AF" w:rsidRPr="00F25B64">
        <w:rPr>
          <w:rFonts w:ascii="Times New Roman" w:eastAsia="Times New Roman" w:hAnsi="Times New Roman" w:cs="Times New Roman"/>
          <w:i/>
          <w:iCs/>
          <w:sz w:val="24"/>
          <w:szCs w:val="24"/>
          <w:lang w:val="en-US"/>
        </w:rPr>
        <w:t>Convertible market</w:t>
      </w:r>
      <w:r w:rsidR="00FA08AF">
        <w:rPr>
          <w:rFonts w:ascii="Times New Roman" w:eastAsia="Times New Roman" w:hAnsi="Times New Roman" w:cs="Times New Roman"/>
          <w:sz w:val="24"/>
          <w:szCs w:val="24"/>
          <w:lang w:val="en-US"/>
        </w:rPr>
        <w:t>) for this purpose</w:t>
      </w:r>
      <w:r w:rsidR="00FA08AF" w:rsidRPr="003101A0">
        <w:rPr>
          <w:rFonts w:ascii="Times New Roman" w:eastAsia="Times New Roman" w:hAnsi="Times New Roman" w:cs="Times New Roman"/>
          <w:sz w:val="24"/>
          <w:szCs w:val="24"/>
          <w:lang w:val="en-US"/>
        </w:rPr>
        <w:t xml:space="preserve">. </w:t>
      </w:r>
      <w:r w:rsidR="00FA08AF" w:rsidRPr="003101A0">
        <w:rPr>
          <w:rFonts w:ascii="Times New Roman" w:hAnsi="Times New Roman" w:cs="Times New Roman"/>
          <w:sz w:val="24"/>
          <w:szCs w:val="24"/>
          <w:lang w:val="en-US"/>
        </w:rPr>
        <w:t>Because of the adverse selection problem associated with raising equity</w:t>
      </w:r>
      <w:r w:rsidR="008B68B8">
        <w:rPr>
          <w:rFonts w:ascii="Times New Roman" w:hAnsi="Times New Roman" w:cs="Times New Roman"/>
          <w:sz w:val="24"/>
          <w:szCs w:val="24"/>
          <w:lang w:val="en-US"/>
        </w:rPr>
        <w:t xml:space="preserve"> </w:t>
      </w:r>
      <w:r w:rsidR="00FA08AF" w:rsidRPr="003101A0">
        <w:rPr>
          <w:rFonts w:ascii="Times New Roman" w:hAnsi="Times New Roman" w:cs="Times New Roman"/>
          <w:sz w:val="24"/>
          <w:szCs w:val="24"/>
          <w:lang w:val="en-US"/>
        </w:rPr>
        <w:t>financing</w:t>
      </w:r>
      <w:r w:rsidR="008B68B8">
        <w:rPr>
          <w:rFonts w:ascii="Times New Roman" w:hAnsi="Times New Roman" w:cs="Times New Roman"/>
          <w:sz w:val="24"/>
          <w:szCs w:val="24"/>
          <w:lang w:val="en-US"/>
        </w:rPr>
        <w:t xml:space="preserve"> (Myers and </w:t>
      </w:r>
      <w:proofErr w:type="spellStart"/>
      <w:r w:rsidR="008B68B8">
        <w:rPr>
          <w:rFonts w:ascii="Times New Roman" w:hAnsi="Times New Roman" w:cs="Times New Roman"/>
          <w:sz w:val="24"/>
          <w:szCs w:val="24"/>
          <w:lang w:val="en-US"/>
        </w:rPr>
        <w:t>Majluf</w:t>
      </w:r>
      <w:proofErr w:type="spellEnd"/>
      <w:r w:rsidR="008B68B8">
        <w:rPr>
          <w:rFonts w:ascii="Times New Roman" w:hAnsi="Times New Roman" w:cs="Times New Roman"/>
          <w:sz w:val="24"/>
          <w:szCs w:val="24"/>
          <w:lang w:val="en-US"/>
        </w:rPr>
        <w:t>, 1984)</w:t>
      </w:r>
      <w:r w:rsidR="00FA08AF" w:rsidRPr="003101A0">
        <w:rPr>
          <w:rFonts w:ascii="Times New Roman" w:hAnsi="Times New Roman" w:cs="Times New Roman"/>
          <w:sz w:val="24"/>
          <w:szCs w:val="24"/>
          <w:lang w:val="en-US"/>
        </w:rPr>
        <w:t>, firms tend to wait for any undervaluation to vanish before issuing equity</w:t>
      </w:r>
      <w:r w:rsidR="008B68B8">
        <w:rPr>
          <w:rFonts w:ascii="Times New Roman" w:hAnsi="Times New Roman" w:cs="Times New Roman"/>
          <w:sz w:val="24"/>
          <w:szCs w:val="24"/>
          <w:lang w:val="en-US"/>
        </w:rPr>
        <w:t xml:space="preserve"> </w:t>
      </w:r>
      <w:r w:rsidR="008B68B8" w:rsidRPr="003101A0">
        <w:rPr>
          <w:rFonts w:ascii="Times New Roman" w:hAnsi="Times New Roman" w:cs="Times New Roman"/>
          <w:sz w:val="24"/>
          <w:szCs w:val="24"/>
          <w:lang w:val="en-US"/>
        </w:rPr>
        <w:t>(Lucas and McDonald, 1990)</w:t>
      </w:r>
      <w:r w:rsidR="00FA08AF" w:rsidRPr="003101A0">
        <w:rPr>
          <w:rFonts w:ascii="Times New Roman" w:hAnsi="Times New Roman" w:cs="Times New Roman"/>
          <w:sz w:val="24"/>
          <w:szCs w:val="24"/>
          <w:lang w:val="en-US"/>
        </w:rPr>
        <w:t xml:space="preserve">. </w:t>
      </w:r>
      <w:r w:rsidR="008B68B8">
        <w:rPr>
          <w:rFonts w:ascii="Times New Roman" w:hAnsi="Times New Roman" w:cs="Times New Roman"/>
          <w:sz w:val="24"/>
          <w:szCs w:val="24"/>
          <w:lang w:val="en-US"/>
        </w:rPr>
        <w:t xml:space="preserve">Therefore, equity or equity-related security offerings will typically </w:t>
      </w:r>
      <w:r w:rsidR="00F74247">
        <w:rPr>
          <w:rFonts w:ascii="Times New Roman" w:hAnsi="Times New Roman" w:cs="Times New Roman"/>
          <w:sz w:val="24"/>
          <w:szCs w:val="24"/>
          <w:lang w:val="en-US"/>
        </w:rPr>
        <w:t>follow</w:t>
      </w:r>
      <w:r w:rsidR="008B68B8">
        <w:rPr>
          <w:rFonts w:ascii="Times New Roman" w:hAnsi="Times New Roman" w:cs="Times New Roman"/>
          <w:sz w:val="24"/>
          <w:szCs w:val="24"/>
          <w:lang w:val="en-US"/>
        </w:rPr>
        <w:t xml:space="preserve"> a positive stock r</w:t>
      </w:r>
      <w:r w:rsidR="004B45C5">
        <w:rPr>
          <w:rFonts w:ascii="Times New Roman" w:hAnsi="Times New Roman" w:cs="Times New Roman"/>
          <w:sz w:val="24"/>
          <w:szCs w:val="24"/>
          <w:lang w:val="en-US"/>
        </w:rPr>
        <w:t>unup</w:t>
      </w:r>
      <w:r w:rsidR="008B68B8">
        <w:rPr>
          <w:rFonts w:ascii="Times New Roman" w:hAnsi="Times New Roman" w:cs="Times New Roman"/>
          <w:sz w:val="24"/>
          <w:szCs w:val="24"/>
          <w:lang w:val="en-US"/>
        </w:rPr>
        <w:t>, whilst there is no such prediction for a straight bond offering</w:t>
      </w:r>
      <w:r w:rsidR="00FA08AF" w:rsidRPr="003101A0">
        <w:rPr>
          <w:rFonts w:ascii="Times New Roman" w:hAnsi="Times New Roman" w:cs="Times New Roman"/>
          <w:sz w:val="24"/>
          <w:szCs w:val="24"/>
          <w:lang w:val="en-US"/>
        </w:rPr>
        <w:t xml:space="preserve">. In our empirical setting, this implies a positive predicted impact of </w:t>
      </w:r>
      <w:r w:rsidR="00FA08AF" w:rsidRPr="003101A0">
        <w:rPr>
          <w:rFonts w:ascii="Times New Roman" w:hAnsi="Times New Roman" w:cs="Times New Roman"/>
          <w:i/>
          <w:iCs/>
          <w:sz w:val="24"/>
          <w:szCs w:val="24"/>
          <w:lang w:val="en-US"/>
        </w:rPr>
        <w:t>Stock runup</w:t>
      </w:r>
      <w:r w:rsidR="00FA08AF" w:rsidRPr="003101A0">
        <w:rPr>
          <w:rFonts w:ascii="Times New Roman" w:hAnsi="Times New Roman" w:cs="Times New Roman"/>
          <w:sz w:val="24"/>
          <w:szCs w:val="24"/>
          <w:lang w:val="en-US"/>
        </w:rPr>
        <w:t xml:space="preserve"> on a firm’s likelihood of issuing convertible </w:t>
      </w:r>
      <w:r w:rsidR="00141267">
        <w:rPr>
          <w:rFonts w:ascii="Times New Roman" w:hAnsi="Times New Roman" w:cs="Times New Roman"/>
          <w:sz w:val="24"/>
          <w:szCs w:val="24"/>
          <w:lang w:val="en-US"/>
        </w:rPr>
        <w:t>instead of</w:t>
      </w:r>
      <w:r w:rsidR="00FA08AF" w:rsidRPr="003101A0">
        <w:rPr>
          <w:rFonts w:ascii="Times New Roman" w:hAnsi="Times New Roman" w:cs="Times New Roman"/>
          <w:sz w:val="24"/>
          <w:szCs w:val="24"/>
          <w:lang w:val="en-US"/>
        </w:rPr>
        <w:t xml:space="preserve"> straight bonds. </w:t>
      </w:r>
      <w:r w:rsidR="00141267">
        <w:rPr>
          <w:rFonts w:ascii="Times New Roman" w:eastAsia="Times New Roman" w:hAnsi="Times New Roman" w:cs="Times New Roman"/>
          <w:sz w:val="24"/>
          <w:szCs w:val="24"/>
          <w:lang w:val="en-US"/>
        </w:rPr>
        <w:t>Furthermore, f</w:t>
      </w:r>
      <w:r w:rsidR="00FA08AF" w:rsidRPr="003101A0">
        <w:rPr>
          <w:rFonts w:ascii="Times New Roman" w:eastAsia="Times New Roman" w:hAnsi="Times New Roman" w:cs="Times New Roman"/>
          <w:sz w:val="24"/>
          <w:szCs w:val="24"/>
          <w:lang w:val="en-US"/>
        </w:rPr>
        <w:t xml:space="preserve">irms are more likely to substitute convertibles for straight bonds in hot convertible bond markets due to lower convertible bond-related financing costs or </w:t>
      </w:r>
      <w:r w:rsidR="008B68B8">
        <w:rPr>
          <w:rFonts w:ascii="Times New Roman" w:eastAsia="Times New Roman" w:hAnsi="Times New Roman" w:cs="Times New Roman"/>
          <w:sz w:val="24"/>
          <w:szCs w:val="24"/>
          <w:lang w:val="en-US"/>
        </w:rPr>
        <w:t xml:space="preserve">irrational </w:t>
      </w:r>
      <w:r w:rsidR="00FA08AF" w:rsidRPr="003101A0">
        <w:rPr>
          <w:rFonts w:ascii="Times New Roman" w:eastAsia="Times New Roman" w:hAnsi="Times New Roman" w:cs="Times New Roman"/>
          <w:sz w:val="24"/>
          <w:szCs w:val="24"/>
          <w:lang w:val="en-US"/>
        </w:rPr>
        <w:t xml:space="preserve">herding behavior (Dutordoir and Van de Gucht, 2007). </w:t>
      </w:r>
      <w:r w:rsidR="008B68B8">
        <w:rPr>
          <w:rFonts w:ascii="Times New Roman" w:eastAsia="Times New Roman" w:hAnsi="Times New Roman" w:cs="Times New Roman"/>
          <w:sz w:val="24"/>
          <w:szCs w:val="24"/>
          <w:lang w:val="en-US"/>
        </w:rPr>
        <w:t xml:space="preserve">This </w:t>
      </w:r>
      <w:r w:rsidR="00C53631">
        <w:rPr>
          <w:rFonts w:ascii="Times New Roman" w:eastAsia="Times New Roman" w:hAnsi="Times New Roman" w:cs="Times New Roman"/>
          <w:sz w:val="24"/>
          <w:szCs w:val="24"/>
          <w:lang w:val="en-US"/>
        </w:rPr>
        <w:t>yields the prediction of a positive impact</w:t>
      </w:r>
      <w:r w:rsidR="008B68B8">
        <w:rPr>
          <w:rFonts w:ascii="Times New Roman" w:eastAsia="Times New Roman" w:hAnsi="Times New Roman" w:cs="Times New Roman"/>
          <w:sz w:val="24"/>
          <w:szCs w:val="24"/>
          <w:lang w:val="en-US"/>
        </w:rPr>
        <w:t xml:space="preserve"> of </w:t>
      </w:r>
      <w:r w:rsidR="008B68B8" w:rsidRPr="00F25B64">
        <w:rPr>
          <w:rFonts w:ascii="Times New Roman" w:eastAsia="Times New Roman" w:hAnsi="Times New Roman" w:cs="Times New Roman"/>
          <w:i/>
          <w:iCs/>
          <w:sz w:val="24"/>
          <w:szCs w:val="24"/>
          <w:lang w:val="en-US"/>
        </w:rPr>
        <w:t>Convertible market</w:t>
      </w:r>
      <w:r w:rsidR="008B68B8">
        <w:rPr>
          <w:rFonts w:ascii="Times New Roman" w:eastAsia="Times New Roman" w:hAnsi="Times New Roman" w:cs="Times New Roman"/>
          <w:sz w:val="24"/>
          <w:szCs w:val="24"/>
          <w:lang w:val="en-US"/>
        </w:rPr>
        <w:t xml:space="preserve"> on a firm’s likelihood of issuing convertible over straight bonds. </w:t>
      </w:r>
      <w:r w:rsidR="008B68B8">
        <w:rPr>
          <w:rFonts w:ascii="Times New Roman" w:hAnsi="Times New Roman" w:cs="Times New Roman"/>
          <w:sz w:val="24"/>
          <w:szCs w:val="24"/>
          <w:lang w:val="en-US"/>
        </w:rPr>
        <w:t xml:space="preserve">In contrast, theory does not predict a significant impact of </w:t>
      </w:r>
      <w:r w:rsidR="00141267">
        <w:rPr>
          <w:rFonts w:ascii="Times New Roman" w:hAnsi="Times New Roman" w:cs="Times New Roman"/>
          <w:sz w:val="24"/>
          <w:szCs w:val="24"/>
          <w:lang w:val="en-US"/>
        </w:rPr>
        <w:t>pre-issuance stock returns or aggregate convertible bond offerings</w:t>
      </w:r>
      <w:r w:rsidR="008B68B8">
        <w:rPr>
          <w:rFonts w:ascii="Times New Roman" w:hAnsi="Times New Roman" w:cs="Times New Roman"/>
          <w:sz w:val="24"/>
          <w:szCs w:val="24"/>
          <w:lang w:val="en-US"/>
        </w:rPr>
        <w:t xml:space="preserve"> on</w:t>
      </w:r>
      <w:r w:rsidR="002435C3" w:rsidRPr="003101A0">
        <w:rPr>
          <w:rFonts w:ascii="Times New Roman" w:hAnsi="Times New Roman" w:cs="Times New Roman"/>
          <w:sz w:val="24"/>
          <w:szCs w:val="24"/>
          <w:lang w:val="en-US"/>
        </w:rPr>
        <w:t xml:space="preserve"> covenant intensity</w:t>
      </w:r>
      <w:r w:rsidR="008B68B8">
        <w:rPr>
          <w:rFonts w:ascii="Times New Roman" w:hAnsi="Times New Roman" w:cs="Times New Roman"/>
          <w:sz w:val="24"/>
          <w:szCs w:val="24"/>
          <w:lang w:val="en-US"/>
        </w:rPr>
        <w:t xml:space="preserve">, making </w:t>
      </w:r>
      <w:r w:rsidR="00141267" w:rsidRPr="00F25B64">
        <w:rPr>
          <w:rFonts w:ascii="Times New Roman" w:hAnsi="Times New Roman" w:cs="Times New Roman"/>
          <w:i/>
          <w:iCs/>
          <w:sz w:val="24"/>
          <w:szCs w:val="24"/>
          <w:lang w:val="en-US"/>
        </w:rPr>
        <w:t>Stock runup</w:t>
      </w:r>
      <w:r w:rsidR="00141267">
        <w:rPr>
          <w:rFonts w:ascii="Times New Roman" w:hAnsi="Times New Roman" w:cs="Times New Roman"/>
          <w:sz w:val="24"/>
          <w:szCs w:val="24"/>
          <w:lang w:val="en-US"/>
        </w:rPr>
        <w:t xml:space="preserve"> and </w:t>
      </w:r>
      <w:r w:rsidR="00141267" w:rsidRPr="00F25B64">
        <w:rPr>
          <w:rFonts w:ascii="Times New Roman" w:hAnsi="Times New Roman" w:cs="Times New Roman"/>
          <w:i/>
          <w:iCs/>
          <w:sz w:val="24"/>
          <w:szCs w:val="24"/>
          <w:lang w:val="en-US"/>
        </w:rPr>
        <w:t>Convertible market</w:t>
      </w:r>
      <w:r w:rsidR="008B68B8">
        <w:rPr>
          <w:rFonts w:ascii="Times New Roman" w:hAnsi="Times New Roman" w:cs="Times New Roman"/>
          <w:sz w:val="24"/>
          <w:szCs w:val="24"/>
          <w:lang w:val="en-US"/>
        </w:rPr>
        <w:t xml:space="preserve"> suitable exclusion </w:t>
      </w:r>
      <w:r w:rsidR="00141267">
        <w:rPr>
          <w:rFonts w:ascii="Times New Roman" w:hAnsi="Times New Roman" w:cs="Times New Roman"/>
          <w:sz w:val="24"/>
          <w:szCs w:val="24"/>
          <w:lang w:val="en-US"/>
        </w:rPr>
        <w:lastRenderedPageBreak/>
        <w:t>variables</w:t>
      </w:r>
      <w:r w:rsidR="00F64BC2">
        <w:rPr>
          <w:rFonts w:ascii="Times New Roman" w:hAnsi="Times New Roman" w:cs="Times New Roman"/>
          <w:sz w:val="24"/>
          <w:szCs w:val="24"/>
          <w:lang w:val="en-US"/>
        </w:rPr>
        <w:t xml:space="preserve"> </w:t>
      </w:r>
      <w:r w:rsidR="00141267">
        <w:rPr>
          <w:rFonts w:ascii="Times New Roman" w:hAnsi="Times New Roman" w:cs="Times New Roman"/>
          <w:sz w:val="24"/>
          <w:szCs w:val="24"/>
          <w:lang w:val="en-US"/>
        </w:rPr>
        <w:t>for</w:t>
      </w:r>
      <w:r w:rsidR="00F64BC2">
        <w:rPr>
          <w:rFonts w:ascii="Times New Roman" w:hAnsi="Times New Roman" w:cs="Times New Roman"/>
          <w:sz w:val="24"/>
          <w:szCs w:val="24"/>
          <w:lang w:val="en-US"/>
        </w:rPr>
        <w:t xml:space="preserve"> the self-selection model</w:t>
      </w:r>
      <w:r w:rsidR="00FB3B1C" w:rsidRPr="003101A0">
        <w:rPr>
          <w:rFonts w:ascii="Times New Roman" w:hAnsi="Times New Roman" w:cs="Times New Roman"/>
          <w:sz w:val="24"/>
          <w:szCs w:val="24"/>
          <w:lang w:val="en-US"/>
        </w:rPr>
        <w:t>. In an unreported test, we</w:t>
      </w:r>
      <w:r w:rsidR="0090402E">
        <w:rPr>
          <w:rFonts w:ascii="Times New Roman" w:hAnsi="Times New Roman" w:cs="Times New Roman"/>
          <w:sz w:val="24"/>
          <w:szCs w:val="24"/>
          <w:lang w:val="en-US"/>
        </w:rPr>
        <w:t xml:space="preserve"> indeed</w:t>
      </w:r>
      <w:r w:rsidR="00FB3B1C" w:rsidRPr="003101A0">
        <w:rPr>
          <w:rFonts w:ascii="Times New Roman" w:hAnsi="Times New Roman" w:cs="Times New Roman"/>
          <w:sz w:val="24"/>
          <w:szCs w:val="24"/>
          <w:lang w:val="en-US"/>
        </w:rPr>
        <w:t xml:space="preserve"> </w:t>
      </w:r>
      <w:r w:rsidR="00631176" w:rsidRPr="003101A0">
        <w:rPr>
          <w:rFonts w:ascii="Times New Roman" w:hAnsi="Times New Roman" w:cs="Times New Roman"/>
          <w:sz w:val="24"/>
          <w:szCs w:val="24"/>
          <w:lang w:val="en-US"/>
        </w:rPr>
        <w:t xml:space="preserve">find </w:t>
      </w:r>
      <w:r w:rsidR="00FB3B1C" w:rsidRPr="003101A0">
        <w:rPr>
          <w:rFonts w:ascii="Times New Roman" w:hAnsi="Times New Roman" w:cs="Times New Roman"/>
          <w:sz w:val="24"/>
          <w:szCs w:val="24"/>
          <w:lang w:val="en-US"/>
        </w:rPr>
        <w:t xml:space="preserve">that </w:t>
      </w:r>
      <w:r w:rsidR="008B68B8" w:rsidRPr="00F25B64">
        <w:rPr>
          <w:rFonts w:ascii="Times New Roman" w:hAnsi="Times New Roman" w:cs="Times New Roman"/>
          <w:iCs/>
          <w:sz w:val="24"/>
          <w:szCs w:val="24"/>
          <w:lang w:val="en-US"/>
        </w:rPr>
        <w:t>these variables</w:t>
      </w:r>
      <w:r w:rsidR="008B68B8">
        <w:rPr>
          <w:rFonts w:ascii="Times New Roman" w:hAnsi="Times New Roman" w:cs="Times New Roman"/>
          <w:i/>
          <w:sz w:val="24"/>
          <w:szCs w:val="24"/>
          <w:lang w:val="en-US"/>
        </w:rPr>
        <w:t xml:space="preserve"> </w:t>
      </w:r>
      <w:r w:rsidR="00631176" w:rsidRPr="003101A0">
        <w:rPr>
          <w:rFonts w:ascii="Times New Roman" w:hAnsi="Times New Roman" w:cs="Times New Roman"/>
          <w:sz w:val="24"/>
          <w:szCs w:val="24"/>
          <w:lang w:val="en-US"/>
        </w:rPr>
        <w:t xml:space="preserve">do </w:t>
      </w:r>
      <w:r w:rsidR="00FB3B1C" w:rsidRPr="003101A0">
        <w:rPr>
          <w:rFonts w:ascii="Times New Roman" w:hAnsi="Times New Roman" w:cs="Times New Roman"/>
          <w:sz w:val="24"/>
          <w:szCs w:val="24"/>
          <w:lang w:val="en-US"/>
        </w:rPr>
        <w:t xml:space="preserve">not significantly affect </w:t>
      </w:r>
      <w:r w:rsidR="00FB3B1C" w:rsidRPr="003101A0">
        <w:rPr>
          <w:rFonts w:ascii="Times New Roman" w:hAnsi="Times New Roman" w:cs="Times New Roman"/>
          <w:i/>
          <w:sz w:val="24"/>
          <w:szCs w:val="24"/>
          <w:lang w:val="en-US"/>
        </w:rPr>
        <w:t xml:space="preserve">CI </w:t>
      </w:r>
      <w:r w:rsidR="00C52D83" w:rsidRPr="003101A0">
        <w:rPr>
          <w:rFonts w:ascii="Times New Roman" w:hAnsi="Times New Roman" w:cs="Times New Roman"/>
          <w:i/>
          <w:sz w:val="24"/>
          <w:szCs w:val="24"/>
          <w:lang w:val="en-US"/>
        </w:rPr>
        <w:t>i</w:t>
      </w:r>
      <w:r w:rsidR="00FB3B1C" w:rsidRPr="003101A0">
        <w:rPr>
          <w:rFonts w:ascii="Times New Roman" w:hAnsi="Times New Roman" w:cs="Times New Roman"/>
          <w:i/>
          <w:sz w:val="24"/>
          <w:szCs w:val="24"/>
          <w:lang w:val="en-US"/>
        </w:rPr>
        <w:t>ndex</w:t>
      </w:r>
      <w:r w:rsidR="00FB3B1C" w:rsidRPr="003101A0">
        <w:rPr>
          <w:rFonts w:ascii="Times New Roman" w:hAnsi="Times New Roman" w:cs="Times New Roman"/>
          <w:sz w:val="24"/>
          <w:szCs w:val="24"/>
          <w:lang w:val="en-US"/>
        </w:rPr>
        <w:t xml:space="preserve">. </w:t>
      </w:r>
    </w:p>
    <w:p w14:paraId="58C88A16" w14:textId="1E618307" w:rsidR="00FB3B1C" w:rsidRPr="003101A0" w:rsidRDefault="00FB3B1C" w:rsidP="00994DF8">
      <w:pPr>
        <w:spacing w:after="0" w:line="480" w:lineRule="auto"/>
        <w:ind w:firstLine="426"/>
        <w:jc w:val="both"/>
        <w:rPr>
          <w:rFonts w:ascii="Times New Roman" w:hAnsi="Times New Roman" w:cs="Times New Roman"/>
          <w:iCs/>
          <w:sz w:val="24"/>
          <w:szCs w:val="24"/>
          <w:lang w:val="en-US"/>
        </w:rPr>
      </w:pPr>
      <w:r w:rsidRPr="003101A0">
        <w:rPr>
          <w:rFonts w:ascii="Times New Roman" w:eastAsiaTheme="minorEastAsia" w:hAnsi="Times New Roman" w:cs="Times New Roman"/>
          <w:sz w:val="24"/>
          <w:szCs w:val="24"/>
          <w:lang w:val="en-US"/>
        </w:rPr>
        <w:t xml:space="preserve">We </w:t>
      </w:r>
      <w:r w:rsidR="00DE0657" w:rsidRPr="003101A0">
        <w:rPr>
          <w:rFonts w:ascii="Times New Roman" w:eastAsiaTheme="minorEastAsia" w:hAnsi="Times New Roman" w:cs="Times New Roman"/>
          <w:sz w:val="24"/>
          <w:szCs w:val="24"/>
          <w:lang w:val="en-US"/>
        </w:rPr>
        <w:t xml:space="preserve">simultaneously </w:t>
      </w:r>
      <w:r w:rsidRPr="003101A0">
        <w:rPr>
          <w:rFonts w:ascii="Times New Roman" w:eastAsiaTheme="minorEastAsia" w:hAnsi="Times New Roman" w:cs="Times New Roman"/>
          <w:sz w:val="24"/>
          <w:szCs w:val="24"/>
          <w:lang w:val="en-US"/>
        </w:rPr>
        <w:t xml:space="preserve">estimate </w:t>
      </w:r>
      <w:r w:rsidR="00494937" w:rsidRPr="003101A0">
        <w:rPr>
          <w:rFonts w:ascii="Times New Roman" w:eastAsiaTheme="minorEastAsia" w:hAnsi="Times New Roman" w:cs="Times New Roman"/>
          <w:sz w:val="24"/>
          <w:szCs w:val="24"/>
          <w:lang w:val="en-US"/>
        </w:rPr>
        <w:t>E</w:t>
      </w:r>
      <w:r w:rsidRPr="003101A0">
        <w:rPr>
          <w:rFonts w:ascii="Times New Roman" w:eastAsiaTheme="minorEastAsia" w:hAnsi="Times New Roman" w:cs="Times New Roman"/>
          <w:sz w:val="24"/>
          <w:szCs w:val="24"/>
          <w:lang w:val="en-US"/>
        </w:rPr>
        <w:t>quations (</w:t>
      </w:r>
      <w:r w:rsidR="00533F0A" w:rsidRPr="003101A0">
        <w:rPr>
          <w:rFonts w:ascii="Times New Roman" w:eastAsiaTheme="minorEastAsia" w:hAnsi="Times New Roman" w:cs="Times New Roman"/>
          <w:sz w:val="24"/>
          <w:szCs w:val="24"/>
          <w:lang w:val="en-US"/>
        </w:rPr>
        <w:t>2</w:t>
      </w:r>
      <w:r w:rsidRPr="003101A0">
        <w:rPr>
          <w:rFonts w:ascii="Times New Roman" w:eastAsiaTheme="minorEastAsia" w:hAnsi="Times New Roman" w:cs="Times New Roman"/>
          <w:sz w:val="24"/>
          <w:szCs w:val="24"/>
          <w:lang w:val="en-US"/>
        </w:rPr>
        <w:t>) and (</w:t>
      </w:r>
      <w:r w:rsidR="00533F0A" w:rsidRPr="003101A0">
        <w:rPr>
          <w:rFonts w:ascii="Times New Roman" w:eastAsiaTheme="minorEastAsia" w:hAnsi="Times New Roman" w:cs="Times New Roman"/>
          <w:sz w:val="24"/>
          <w:szCs w:val="24"/>
          <w:lang w:val="en-US"/>
        </w:rPr>
        <w:t>3</w:t>
      </w:r>
      <w:r w:rsidRPr="003101A0">
        <w:rPr>
          <w:rFonts w:ascii="Times New Roman" w:eastAsiaTheme="minorEastAsia" w:hAnsi="Times New Roman" w:cs="Times New Roman"/>
          <w:sz w:val="24"/>
          <w:szCs w:val="24"/>
          <w:lang w:val="en-US"/>
        </w:rPr>
        <w:t xml:space="preserve">) with </w:t>
      </w:r>
      <w:r w:rsidR="00B410C8" w:rsidRPr="003101A0">
        <w:rPr>
          <w:rFonts w:ascii="Times New Roman" w:eastAsiaTheme="minorEastAsia" w:hAnsi="Times New Roman" w:cs="Times New Roman"/>
          <w:sz w:val="24"/>
          <w:szCs w:val="24"/>
          <w:lang w:val="en-US"/>
        </w:rPr>
        <w:t>F</w:t>
      </w:r>
      <w:r w:rsidRPr="003101A0">
        <w:rPr>
          <w:rFonts w:ascii="Times New Roman" w:eastAsiaTheme="minorEastAsia" w:hAnsi="Times New Roman" w:cs="Times New Roman"/>
          <w:sz w:val="24"/>
          <w:szCs w:val="24"/>
          <w:lang w:val="en-US"/>
        </w:rPr>
        <w:t xml:space="preserve">ull </w:t>
      </w:r>
      <w:r w:rsidR="00B410C8" w:rsidRPr="003101A0">
        <w:rPr>
          <w:rFonts w:ascii="Times New Roman" w:eastAsiaTheme="minorEastAsia" w:hAnsi="Times New Roman" w:cs="Times New Roman"/>
          <w:sz w:val="24"/>
          <w:szCs w:val="24"/>
          <w:lang w:val="en-US"/>
        </w:rPr>
        <w:t>M</w:t>
      </w:r>
      <w:r w:rsidRPr="003101A0">
        <w:rPr>
          <w:rFonts w:ascii="Times New Roman" w:eastAsiaTheme="minorEastAsia" w:hAnsi="Times New Roman" w:cs="Times New Roman"/>
          <w:sz w:val="24"/>
          <w:szCs w:val="24"/>
          <w:lang w:val="en-US"/>
        </w:rPr>
        <w:t xml:space="preserve">aximum </w:t>
      </w:r>
      <w:r w:rsidR="00B410C8" w:rsidRPr="003101A0">
        <w:rPr>
          <w:rFonts w:ascii="Times New Roman" w:eastAsiaTheme="minorEastAsia" w:hAnsi="Times New Roman" w:cs="Times New Roman"/>
          <w:sz w:val="24"/>
          <w:szCs w:val="24"/>
          <w:lang w:val="en-US"/>
        </w:rPr>
        <w:t>L</w:t>
      </w:r>
      <w:r w:rsidRPr="003101A0">
        <w:rPr>
          <w:rFonts w:ascii="Times New Roman" w:eastAsiaTheme="minorEastAsia" w:hAnsi="Times New Roman" w:cs="Times New Roman"/>
          <w:sz w:val="24"/>
          <w:szCs w:val="24"/>
          <w:lang w:val="en-US"/>
        </w:rPr>
        <w:t>ikelihood (</w:t>
      </w:r>
      <w:proofErr w:type="spellStart"/>
      <w:r w:rsidRPr="003101A0">
        <w:rPr>
          <w:rFonts w:ascii="Times New Roman" w:eastAsiaTheme="minorEastAsia" w:hAnsi="Times New Roman" w:cs="Times New Roman"/>
          <w:sz w:val="24"/>
          <w:szCs w:val="24"/>
          <w:lang w:val="en-US"/>
        </w:rPr>
        <w:t>Maddala</w:t>
      </w:r>
      <w:proofErr w:type="spellEnd"/>
      <w:r w:rsidRPr="003101A0">
        <w:rPr>
          <w:rFonts w:ascii="Times New Roman" w:eastAsiaTheme="minorEastAsia" w:hAnsi="Times New Roman" w:cs="Times New Roman"/>
          <w:sz w:val="24"/>
          <w:szCs w:val="24"/>
          <w:lang w:val="en-US"/>
        </w:rPr>
        <w:t xml:space="preserve">, 1983). Table 4, </w:t>
      </w:r>
      <w:r w:rsidR="001D1C16" w:rsidRPr="003101A0">
        <w:rPr>
          <w:rFonts w:ascii="Times New Roman" w:hAnsi="Times New Roman" w:cs="Times New Roman"/>
          <w:sz w:val="24"/>
          <w:szCs w:val="24"/>
          <w:lang w:val="en-US"/>
        </w:rPr>
        <w:t>c</w:t>
      </w:r>
      <w:r w:rsidRPr="003101A0">
        <w:rPr>
          <w:rFonts w:ascii="Times New Roman" w:hAnsi="Times New Roman" w:cs="Times New Roman"/>
          <w:sz w:val="24"/>
          <w:szCs w:val="24"/>
          <w:lang w:val="en-US"/>
        </w:rPr>
        <w:t xml:space="preserve">olumn (3) provides the estimates for the </w:t>
      </w:r>
      <w:r w:rsidR="00631176" w:rsidRPr="003101A0">
        <w:rPr>
          <w:rFonts w:ascii="Times New Roman" w:hAnsi="Times New Roman" w:cs="Times New Roman"/>
          <w:sz w:val="24"/>
          <w:szCs w:val="24"/>
          <w:lang w:val="en-US"/>
        </w:rPr>
        <w:t>first-stage security choice</w:t>
      </w:r>
      <w:r w:rsidRPr="003101A0">
        <w:rPr>
          <w:rFonts w:ascii="Times New Roman" w:hAnsi="Times New Roman" w:cs="Times New Roman"/>
          <w:sz w:val="24"/>
          <w:szCs w:val="24"/>
          <w:lang w:val="en-US"/>
        </w:rPr>
        <w:t xml:space="preserve"> model.</w:t>
      </w:r>
      <w:r w:rsidR="00631176" w:rsidRPr="003101A0">
        <w:rPr>
          <w:rFonts w:ascii="Times New Roman" w:hAnsi="Times New Roman" w:cs="Times New Roman"/>
          <w:sz w:val="24"/>
          <w:szCs w:val="24"/>
          <w:lang w:val="en-US"/>
        </w:rPr>
        <w:t xml:space="preserve"> </w:t>
      </w:r>
      <w:r w:rsidR="00F82B1D" w:rsidRPr="003101A0">
        <w:rPr>
          <w:rFonts w:ascii="Times New Roman" w:hAnsi="Times New Roman" w:cs="Times New Roman"/>
          <w:sz w:val="24"/>
          <w:szCs w:val="24"/>
          <w:lang w:val="en-US"/>
        </w:rPr>
        <w:t>Except for</w:t>
      </w:r>
      <w:r w:rsidRPr="003101A0">
        <w:rPr>
          <w:rFonts w:ascii="Times New Roman" w:hAnsi="Times New Roman" w:cs="Times New Roman"/>
          <w:sz w:val="24"/>
          <w:szCs w:val="24"/>
          <w:lang w:val="en-US"/>
        </w:rPr>
        <w:t xml:space="preserve"> the negative coefficient on </w:t>
      </w:r>
      <w:r w:rsidRPr="003101A0">
        <w:rPr>
          <w:rFonts w:ascii="Times New Roman" w:hAnsi="Times New Roman" w:cs="Times New Roman"/>
          <w:i/>
          <w:sz w:val="24"/>
          <w:szCs w:val="24"/>
          <w:lang w:val="en-US"/>
        </w:rPr>
        <w:t>Leverage</w:t>
      </w:r>
      <w:r w:rsidRPr="003101A0">
        <w:rPr>
          <w:rFonts w:ascii="Times New Roman" w:hAnsi="Times New Roman" w:cs="Times New Roman"/>
          <w:sz w:val="24"/>
          <w:szCs w:val="24"/>
          <w:lang w:val="en-US"/>
        </w:rPr>
        <w:t xml:space="preserve">, all </w:t>
      </w:r>
      <w:r w:rsidR="00C52D83" w:rsidRPr="003101A0">
        <w:rPr>
          <w:rFonts w:ascii="Times New Roman" w:hAnsi="Times New Roman" w:cs="Times New Roman"/>
          <w:sz w:val="24"/>
          <w:szCs w:val="24"/>
          <w:lang w:val="en-US"/>
        </w:rPr>
        <w:t>significant coefficients</w:t>
      </w:r>
      <w:r w:rsidRPr="003101A0">
        <w:rPr>
          <w:rFonts w:ascii="Times New Roman" w:hAnsi="Times New Roman" w:cs="Times New Roman"/>
          <w:sz w:val="24"/>
          <w:szCs w:val="24"/>
          <w:lang w:val="en-US"/>
        </w:rPr>
        <w:t xml:space="preserve"> a</w:t>
      </w:r>
      <w:r w:rsidR="0049621F" w:rsidRPr="003101A0">
        <w:rPr>
          <w:rFonts w:ascii="Times New Roman" w:hAnsi="Times New Roman" w:cs="Times New Roman"/>
          <w:sz w:val="24"/>
          <w:szCs w:val="24"/>
          <w:lang w:val="en-US"/>
        </w:rPr>
        <w:t>lign</w:t>
      </w:r>
      <w:r w:rsidRPr="003101A0">
        <w:rPr>
          <w:rFonts w:ascii="Times New Roman" w:hAnsi="Times New Roman" w:cs="Times New Roman"/>
          <w:sz w:val="24"/>
          <w:szCs w:val="24"/>
          <w:lang w:val="en-US"/>
        </w:rPr>
        <w:t xml:space="preserve"> with our predictions. Column (</w:t>
      </w:r>
      <w:r w:rsidR="00631176" w:rsidRPr="003101A0">
        <w:rPr>
          <w:rFonts w:ascii="Times New Roman" w:hAnsi="Times New Roman" w:cs="Times New Roman"/>
          <w:sz w:val="24"/>
          <w:szCs w:val="24"/>
          <w:lang w:val="en-US"/>
        </w:rPr>
        <w:t>4</w:t>
      </w:r>
      <w:r w:rsidRPr="003101A0">
        <w:rPr>
          <w:rFonts w:ascii="Times New Roman" w:hAnsi="Times New Roman" w:cs="Times New Roman"/>
          <w:sz w:val="24"/>
          <w:szCs w:val="24"/>
          <w:lang w:val="en-US"/>
        </w:rPr>
        <w:t xml:space="preserve">) gives the </w:t>
      </w:r>
      <w:r w:rsidR="0049621F" w:rsidRPr="003101A0">
        <w:rPr>
          <w:rFonts w:ascii="Times New Roman" w:hAnsi="Times New Roman" w:cs="Times New Roman"/>
          <w:sz w:val="24"/>
          <w:szCs w:val="24"/>
          <w:lang w:val="en-US"/>
        </w:rPr>
        <w:t xml:space="preserve">selectivity-adjusted second-stage </w:t>
      </w:r>
      <w:r w:rsidR="0049621F" w:rsidRPr="0090402E">
        <w:rPr>
          <w:rFonts w:ascii="Times New Roman" w:hAnsi="Times New Roman" w:cs="Times New Roman"/>
          <w:i/>
          <w:iCs/>
          <w:sz w:val="24"/>
          <w:szCs w:val="24"/>
          <w:lang w:val="en-US"/>
        </w:rPr>
        <w:t>CI index</w:t>
      </w:r>
      <w:r w:rsidR="0049621F" w:rsidRPr="003101A0">
        <w:rPr>
          <w:rFonts w:ascii="Times New Roman" w:hAnsi="Times New Roman" w:cs="Times New Roman"/>
          <w:sz w:val="24"/>
          <w:szCs w:val="24"/>
          <w:lang w:val="en-US"/>
        </w:rPr>
        <w:t xml:space="preserve"> model estimates</w:t>
      </w:r>
      <w:r w:rsidRPr="003101A0">
        <w:rPr>
          <w:rFonts w:ascii="Times New Roman" w:hAnsi="Times New Roman" w:cs="Times New Roman"/>
          <w:sz w:val="24"/>
          <w:szCs w:val="24"/>
          <w:lang w:val="en-US"/>
        </w:rPr>
        <w:t xml:space="preserve">. We find that </w:t>
      </w:r>
      <w:r w:rsidRPr="003101A0">
        <w:rPr>
          <w:rFonts w:ascii="Times New Roman" w:hAnsi="Times New Roman" w:cs="Times New Roman"/>
          <w:i/>
          <w:sz w:val="24"/>
          <w:szCs w:val="24"/>
          <w:lang w:val="en-US"/>
        </w:rPr>
        <w:t>Convertible</w:t>
      </w:r>
      <w:r w:rsidRPr="003101A0">
        <w:rPr>
          <w:rFonts w:ascii="Times New Roman" w:hAnsi="Times New Roman" w:cs="Times New Roman"/>
          <w:sz w:val="24"/>
          <w:szCs w:val="24"/>
          <w:lang w:val="en-US"/>
        </w:rPr>
        <w:t xml:space="preserve"> retains its highly significant</w:t>
      </w:r>
      <w:r w:rsidR="00EF2AAB" w:rsidRPr="003101A0">
        <w:rPr>
          <w:rFonts w:ascii="Times New Roman" w:hAnsi="Times New Roman" w:cs="Times New Roman"/>
          <w:sz w:val="24"/>
          <w:szCs w:val="24"/>
          <w:lang w:val="en-US"/>
        </w:rPr>
        <w:t xml:space="preserve"> and</w:t>
      </w:r>
      <w:r w:rsidRPr="003101A0">
        <w:rPr>
          <w:rFonts w:ascii="Times New Roman" w:hAnsi="Times New Roman" w:cs="Times New Roman"/>
          <w:sz w:val="24"/>
          <w:szCs w:val="24"/>
          <w:lang w:val="en-US"/>
        </w:rPr>
        <w:t xml:space="preserve"> negative effect on </w:t>
      </w:r>
      <w:r w:rsidRPr="003101A0">
        <w:rPr>
          <w:rFonts w:ascii="Times New Roman" w:hAnsi="Times New Roman" w:cs="Times New Roman"/>
          <w:i/>
          <w:sz w:val="24"/>
          <w:szCs w:val="24"/>
          <w:lang w:val="en-US"/>
        </w:rPr>
        <w:t>CI index</w:t>
      </w:r>
      <w:r w:rsidRPr="003101A0">
        <w:rPr>
          <w:rFonts w:ascii="Times New Roman" w:hAnsi="Times New Roman" w:cs="Times New Roman"/>
          <w:sz w:val="24"/>
          <w:szCs w:val="24"/>
          <w:lang w:val="en-US"/>
        </w:rPr>
        <w:t>.</w:t>
      </w:r>
      <w:r w:rsidR="00DC13FD" w:rsidRPr="003101A0">
        <w:rPr>
          <w:rFonts w:ascii="Times New Roman" w:hAnsi="Times New Roman" w:cs="Times New Roman"/>
          <w:sz w:val="24"/>
          <w:szCs w:val="24"/>
          <w:lang w:val="en-US"/>
        </w:rPr>
        <w:t xml:space="preserve"> </w:t>
      </w:r>
      <w:r w:rsidR="002435C3" w:rsidRPr="003101A0">
        <w:rPr>
          <w:rFonts w:ascii="Times New Roman" w:hAnsi="Times New Roman" w:cs="Times New Roman"/>
          <w:sz w:val="24"/>
          <w:szCs w:val="24"/>
          <w:lang w:val="en-US"/>
        </w:rPr>
        <w:t xml:space="preserve">In terms of economic significance, the coefficient on </w:t>
      </w:r>
      <w:r w:rsidR="002435C3" w:rsidRPr="003101A0">
        <w:rPr>
          <w:rFonts w:ascii="Times New Roman" w:hAnsi="Times New Roman" w:cs="Times New Roman"/>
          <w:i/>
          <w:iCs/>
          <w:sz w:val="24"/>
          <w:szCs w:val="24"/>
          <w:lang w:val="en-US"/>
        </w:rPr>
        <w:t>Convertible</w:t>
      </w:r>
      <w:r w:rsidR="002435C3" w:rsidRPr="003101A0">
        <w:rPr>
          <w:rFonts w:ascii="Times New Roman" w:hAnsi="Times New Roman" w:cs="Times New Roman"/>
          <w:sz w:val="24"/>
          <w:szCs w:val="24"/>
          <w:lang w:val="en-US"/>
        </w:rPr>
        <w:t xml:space="preserve"> implies that</w:t>
      </w:r>
      <w:r w:rsidR="00320280" w:rsidRPr="003101A0">
        <w:rPr>
          <w:rFonts w:ascii="Times New Roman" w:hAnsi="Times New Roman" w:cs="Times New Roman"/>
          <w:sz w:val="24"/>
          <w:szCs w:val="24"/>
          <w:lang w:val="en-US"/>
        </w:rPr>
        <w:t xml:space="preserve"> </w:t>
      </w:r>
      <w:r w:rsidR="00DC13FD" w:rsidRPr="003101A0">
        <w:rPr>
          <w:rFonts w:ascii="Times New Roman" w:hAnsi="Times New Roman" w:cs="Times New Roman"/>
          <w:sz w:val="24"/>
          <w:szCs w:val="24"/>
          <w:lang w:val="en-US"/>
        </w:rPr>
        <w:t>an average convertible bond offering has 3.</w:t>
      </w:r>
      <w:r w:rsidR="002C76A1">
        <w:rPr>
          <w:rFonts w:ascii="Times New Roman" w:hAnsi="Times New Roman" w:cs="Times New Roman"/>
          <w:sz w:val="24"/>
          <w:szCs w:val="24"/>
          <w:lang w:val="en-US"/>
        </w:rPr>
        <w:t>21</w:t>
      </w:r>
      <w:r w:rsidR="00B2056F" w:rsidRPr="003101A0">
        <w:rPr>
          <w:rFonts w:ascii="Times New Roman" w:hAnsi="Times New Roman" w:cs="Times New Roman"/>
          <w:sz w:val="24"/>
          <w:szCs w:val="24"/>
          <w:lang w:val="en-US"/>
        </w:rPr>
        <w:t xml:space="preserve"> </w:t>
      </w:r>
      <w:r w:rsidR="00DC13FD" w:rsidRPr="003101A0">
        <w:rPr>
          <w:rFonts w:ascii="Times New Roman" w:hAnsi="Times New Roman" w:cs="Times New Roman"/>
          <w:sz w:val="24"/>
          <w:szCs w:val="24"/>
          <w:lang w:val="en-US"/>
        </w:rPr>
        <w:t>fewer covenants than an average straight bond offering</w:t>
      </w:r>
      <w:r w:rsidR="00DF7D0C" w:rsidRPr="003101A0">
        <w:rPr>
          <w:rFonts w:ascii="Times New Roman" w:hAnsi="Times New Roman" w:cs="Times New Roman"/>
          <w:sz w:val="24"/>
          <w:szCs w:val="24"/>
          <w:lang w:val="en-US"/>
        </w:rPr>
        <w:t xml:space="preserve">. </w:t>
      </w:r>
      <w:r w:rsidR="00105EE5" w:rsidRPr="003101A0">
        <w:rPr>
          <w:rFonts w:ascii="Times New Roman" w:hAnsi="Times New Roman" w:cs="Times New Roman"/>
          <w:sz w:val="24"/>
          <w:szCs w:val="24"/>
          <w:lang w:val="en-US"/>
        </w:rPr>
        <w:t xml:space="preserve">Findings for the control variables </w:t>
      </w:r>
      <w:r w:rsidR="00F74247">
        <w:rPr>
          <w:rFonts w:ascii="Times New Roman" w:hAnsi="Times New Roman" w:cs="Times New Roman"/>
          <w:sz w:val="24"/>
          <w:szCs w:val="24"/>
          <w:lang w:val="en-US"/>
        </w:rPr>
        <w:t>resemble</w:t>
      </w:r>
      <w:r w:rsidR="00105EE5" w:rsidRPr="003101A0">
        <w:rPr>
          <w:rFonts w:ascii="Times New Roman" w:hAnsi="Times New Roman" w:cs="Times New Roman"/>
          <w:sz w:val="24"/>
          <w:szCs w:val="24"/>
          <w:lang w:val="en-US"/>
        </w:rPr>
        <w:t xml:space="preserve"> those in column (2). </w:t>
      </w:r>
      <w:r w:rsidR="007F4EAB" w:rsidRPr="003101A0">
        <w:rPr>
          <w:rFonts w:ascii="Times New Roman" w:hAnsi="Times New Roman" w:cs="Times New Roman"/>
          <w:sz w:val="24"/>
          <w:szCs w:val="24"/>
          <w:lang w:val="en-US"/>
        </w:rPr>
        <w:t xml:space="preserve">The coefficient on </w:t>
      </w:r>
      <w:r w:rsidR="00C52D83" w:rsidRPr="003101A0">
        <w:rPr>
          <w:rFonts w:ascii="Times New Roman" w:hAnsi="Times New Roman" w:cs="Times New Roman"/>
          <w:i/>
          <w:iCs/>
          <w:sz w:val="24"/>
          <w:szCs w:val="24"/>
          <w:lang w:val="en-US"/>
        </w:rPr>
        <w:t>Lambda</w:t>
      </w:r>
      <w:r w:rsidR="007F4EAB" w:rsidRPr="003101A0">
        <w:rPr>
          <w:rFonts w:ascii="Times New Roman" w:hAnsi="Times New Roman" w:cs="Times New Roman"/>
          <w:sz w:val="24"/>
          <w:szCs w:val="24"/>
          <w:lang w:val="en-US"/>
        </w:rPr>
        <w:t xml:space="preserve"> is significant</w:t>
      </w:r>
      <w:r w:rsidR="00141267">
        <w:rPr>
          <w:rFonts w:ascii="Times New Roman" w:hAnsi="Times New Roman" w:cs="Times New Roman"/>
          <w:sz w:val="24"/>
          <w:szCs w:val="24"/>
          <w:lang w:val="en-US"/>
        </w:rPr>
        <w:t xml:space="preserve">ly positive, suggesting </w:t>
      </w:r>
      <w:r w:rsidR="00004E46">
        <w:rPr>
          <w:rFonts w:ascii="Times New Roman" w:hAnsi="Times New Roman" w:cs="Times New Roman"/>
          <w:sz w:val="24"/>
          <w:szCs w:val="24"/>
          <w:lang w:val="en-US"/>
        </w:rPr>
        <w:t xml:space="preserve">that </w:t>
      </w:r>
      <w:r w:rsidR="00141267">
        <w:rPr>
          <w:rFonts w:ascii="Times New Roman" w:hAnsi="Times New Roman" w:cs="Times New Roman"/>
          <w:sz w:val="24"/>
          <w:szCs w:val="24"/>
          <w:lang w:val="en-US"/>
        </w:rPr>
        <w:t xml:space="preserve">unobservable variables associated with firms’ self-selection into issuing convertibles affect </w:t>
      </w:r>
      <w:r w:rsidR="00141267" w:rsidRPr="00F25B64">
        <w:rPr>
          <w:rFonts w:ascii="Times New Roman" w:hAnsi="Times New Roman" w:cs="Times New Roman"/>
          <w:i/>
          <w:iCs/>
          <w:sz w:val="24"/>
          <w:szCs w:val="24"/>
          <w:lang w:val="en-US"/>
        </w:rPr>
        <w:t>CI index</w:t>
      </w:r>
      <w:r w:rsidR="007F4EAB" w:rsidRPr="003101A0">
        <w:rPr>
          <w:rFonts w:ascii="Times New Roman" w:hAnsi="Times New Roman" w:cs="Times New Roman"/>
          <w:sz w:val="24"/>
          <w:szCs w:val="24"/>
          <w:lang w:val="en-US"/>
        </w:rPr>
        <w:t>.</w:t>
      </w:r>
      <w:r w:rsidR="00DE0657" w:rsidRPr="003101A0">
        <w:rPr>
          <w:rFonts w:ascii="Times New Roman" w:hAnsi="Times New Roman" w:cs="Times New Roman"/>
          <w:sz w:val="24"/>
          <w:szCs w:val="24"/>
          <w:lang w:val="en-US"/>
        </w:rPr>
        <w:t xml:space="preserve"> We </w:t>
      </w:r>
      <w:r w:rsidR="00F648F0" w:rsidRPr="003101A0">
        <w:rPr>
          <w:rFonts w:ascii="Times New Roman" w:hAnsi="Times New Roman" w:cs="Times New Roman"/>
          <w:sz w:val="24"/>
          <w:szCs w:val="24"/>
          <w:lang w:val="en-US"/>
        </w:rPr>
        <w:t>label</w:t>
      </w:r>
      <w:r w:rsidR="00DE0657" w:rsidRPr="003101A0">
        <w:rPr>
          <w:rFonts w:ascii="Times New Roman" w:hAnsi="Times New Roman" w:cs="Times New Roman"/>
          <w:sz w:val="24"/>
          <w:szCs w:val="24"/>
          <w:lang w:val="en-US"/>
        </w:rPr>
        <w:t xml:space="preserve"> </w:t>
      </w:r>
      <w:r w:rsidR="00105EE5" w:rsidRPr="003101A0">
        <w:rPr>
          <w:rFonts w:ascii="Times New Roman" w:hAnsi="Times New Roman" w:cs="Times New Roman"/>
          <w:sz w:val="24"/>
          <w:szCs w:val="24"/>
          <w:lang w:val="en-US"/>
        </w:rPr>
        <w:t>the regression in column (4)</w:t>
      </w:r>
      <w:r w:rsidR="00DE0657" w:rsidRPr="003101A0">
        <w:rPr>
          <w:rFonts w:ascii="Times New Roman" w:hAnsi="Times New Roman" w:cs="Times New Roman"/>
          <w:sz w:val="24"/>
          <w:szCs w:val="24"/>
          <w:lang w:val="en-US"/>
        </w:rPr>
        <w:t xml:space="preserve"> </w:t>
      </w:r>
      <w:r w:rsidR="00F648F0" w:rsidRPr="003101A0">
        <w:rPr>
          <w:rFonts w:ascii="Times New Roman" w:hAnsi="Times New Roman" w:cs="Times New Roman"/>
          <w:sz w:val="24"/>
          <w:szCs w:val="24"/>
          <w:lang w:val="en-US"/>
        </w:rPr>
        <w:t>the</w:t>
      </w:r>
      <w:r w:rsidR="00DE0657" w:rsidRPr="003101A0">
        <w:rPr>
          <w:rFonts w:ascii="Times New Roman" w:hAnsi="Times New Roman" w:cs="Times New Roman"/>
          <w:sz w:val="24"/>
          <w:szCs w:val="24"/>
          <w:lang w:val="en-US"/>
        </w:rPr>
        <w:t xml:space="preserve"> baseline covenant intensity regression in the remainder of the paper. </w:t>
      </w:r>
    </w:p>
    <w:p w14:paraId="4E6C68A9" w14:textId="0DE660CD" w:rsidR="00631176" w:rsidRPr="003101A0" w:rsidRDefault="00631176" w:rsidP="00994DF8">
      <w:pPr>
        <w:spacing w:after="0" w:line="480" w:lineRule="auto"/>
        <w:ind w:firstLine="426"/>
        <w:jc w:val="both"/>
        <w:rPr>
          <w:rFonts w:ascii="Times New Roman" w:eastAsia="Times New Roman" w:hAnsi="Times New Roman" w:cs="Times New Roman"/>
          <w:sz w:val="24"/>
          <w:szCs w:val="24"/>
          <w:lang w:val="en-US"/>
        </w:rPr>
      </w:pPr>
      <w:r w:rsidRPr="003101A0">
        <w:rPr>
          <w:rFonts w:ascii="Times New Roman" w:hAnsi="Times New Roman" w:cs="Times New Roman"/>
          <w:sz w:val="24"/>
          <w:szCs w:val="24"/>
          <w:lang w:val="en-US"/>
        </w:rPr>
        <w:t>The remaining columns of Table 4</w:t>
      </w:r>
      <w:r w:rsidR="004261A1" w:rsidRPr="003101A0">
        <w:rPr>
          <w:rFonts w:ascii="Times New Roman" w:hAnsi="Times New Roman" w:cs="Times New Roman"/>
          <w:sz w:val="24"/>
          <w:szCs w:val="24"/>
          <w:lang w:val="en-US"/>
        </w:rPr>
        <w:t>, Panel A</w:t>
      </w:r>
      <w:r w:rsidR="00871C61"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 xml:space="preserve"> provide robustness tests</w:t>
      </w:r>
      <w:r w:rsidR="00DE0657" w:rsidRPr="003101A0">
        <w:rPr>
          <w:rFonts w:ascii="Times New Roman" w:hAnsi="Times New Roman" w:cs="Times New Roman"/>
          <w:sz w:val="24"/>
          <w:szCs w:val="24"/>
          <w:lang w:val="en-US"/>
        </w:rPr>
        <w:t xml:space="preserve"> of this baseline regression</w:t>
      </w:r>
      <w:r w:rsidRPr="003101A0">
        <w:rPr>
          <w:rFonts w:ascii="Times New Roman" w:hAnsi="Times New Roman" w:cs="Times New Roman"/>
          <w:sz w:val="24"/>
          <w:szCs w:val="24"/>
          <w:lang w:val="en-US"/>
        </w:rPr>
        <w:t xml:space="preserve">. </w:t>
      </w:r>
      <w:r w:rsidR="00141267">
        <w:rPr>
          <w:rFonts w:ascii="Times New Roman" w:hAnsi="Times New Roman" w:cs="Times New Roman"/>
          <w:sz w:val="24"/>
          <w:szCs w:val="24"/>
          <w:lang w:val="en-US"/>
        </w:rPr>
        <w:t>T</w:t>
      </w:r>
      <w:r w:rsidRPr="003101A0">
        <w:rPr>
          <w:rFonts w:ascii="Times New Roman" w:hAnsi="Times New Roman" w:cs="Times New Roman"/>
          <w:sz w:val="24"/>
          <w:szCs w:val="24"/>
          <w:lang w:val="en-US"/>
        </w:rPr>
        <w:t xml:space="preserve">he first-stage </w:t>
      </w:r>
      <w:r w:rsidR="00B410C8" w:rsidRPr="003101A0">
        <w:rPr>
          <w:rFonts w:ascii="Times New Roman" w:hAnsi="Times New Roman" w:cs="Times New Roman"/>
          <w:sz w:val="24"/>
          <w:szCs w:val="24"/>
          <w:lang w:val="en-US"/>
        </w:rPr>
        <w:t>p</w:t>
      </w:r>
      <w:r w:rsidR="00567ECE" w:rsidRPr="003101A0">
        <w:rPr>
          <w:rFonts w:ascii="Times New Roman" w:hAnsi="Times New Roman" w:cs="Times New Roman"/>
          <w:sz w:val="24"/>
          <w:szCs w:val="24"/>
          <w:lang w:val="en-US"/>
        </w:rPr>
        <w:t xml:space="preserve">robit </w:t>
      </w:r>
      <w:r w:rsidRPr="003101A0">
        <w:rPr>
          <w:rFonts w:ascii="Times New Roman" w:hAnsi="Times New Roman" w:cs="Times New Roman"/>
          <w:sz w:val="24"/>
          <w:szCs w:val="24"/>
          <w:lang w:val="en-US"/>
        </w:rPr>
        <w:t>results are similar across the different specifications</w:t>
      </w:r>
      <w:r w:rsidR="00141267">
        <w:rPr>
          <w:rFonts w:ascii="Times New Roman" w:hAnsi="Times New Roman" w:cs="Times New Roman"/>
          <w:sz w:val="24"/>
          <w:szCs w:val="24"/>
          <w:lang w:val="en-US"/>
        </w:rPr>
        <w:t>, and therefore not reported</w:t>
      </w:r>
      <w:r w:rsidRPr="003101A0">
        <w:rPr>
          <w:rFonts w:ascii="Times New Roman" w:hAnsi="Times New Roman" w:cs="Times New Roman"/>
          <w:sz w:val="24"/>
          <w:szCs w:val="24"/>
          <w:lang w:val="en-US"/>
        </w:rPr>
        <w:t xml:space="preserve">. </w:t>
      </w:r>
      <w:r w:rsidR="00CF1537" w:rsidRPr="003101A0">
        <w:rPr>
          <w:rFonts w:ascii="Times New Roman" w:hAnsi="Times New Roman" w:cs="Times New Roman"/>
          <w:sz w:val="24"/>
          <w:szCs w:val="24"/>
          <w:lang w:val="en-US"/>
        </w:rPr>
        <w:t xml:space="preserve">Because </w:t>
      </w:r>
      <w:r w:rsidR="00CD4DF0" w:rsidRPr="003101A0">
        <w:rPr>
          <w:rFonts w:ascii="Times New Roman" w:hAnsi="Times New Roman" w:cs="Times New Roman"/>
          <w:sz w:val="24"/>
          <w:szCs w:val="24"/>
          <w:lang w:val="en-US"/>
        </w:rPr>
        <w:t xml:space="preserve">security design </w:t>
      </w:r>
      <w:r w:rsidR="00CF1537" w:rsidRPr="003101A0">
        <w:rPr>
          <w:rFonts w:ascii="Times New Roman" w:hAnsi="Times New Roman" w:cs="Times New Roman"/>
          <w:sz w:val="24"/>
          <w:szCs w:val="24"/>
          <w:lang w:val="en-US"/>
        </w:rPr>
        <w:t xml:space="preserve">characteristics </w:t>
      </w:r>
      <w:r w:rsidR="00C52D83" w:rsidRPr="003101A0">
        <w:rPr>
          <w:rFonts w:ascii="Times New Roman" w:hAnsi="Times New Roman" w:cs="Times New Roman"/>
          <w:sz w:val="24"/>
          <w:szCs w:val="24"/>
          <w:lang w:val="en-US"/>
        </w:rPr>
        <w:t>may be simultaneously determined with covenants, covenant intensity</w:t>
      </w:r>
      <w:r w:rsidR="00CF1537" w:rsidRPr="003101A0">
        <w:rPr>
          <w:rFonts w:ascii="Times New Roman" w:hAnsi="Times New Roman" w:cs="Times New Roman"/>
          <w:sz w:val="24"/>
          <w:szCs w:val="24"/>
          <w:lang w:val="en-US"/>
        </w:rPr>
        <w:t xml:space="preserve"> </w:t>
      </w:r>
      <w:r w:rsidR="002D6073" w:rsidRPr="003101A0">
        <w:rPr>
          <w:rFonts w:ascii="Times New Roman" w:hAnsi="Times New Roman" w:cs="Times New Roman"/>
          <w:sz w:val="24"/>
          <w:szCs w:val="24"/>
          <w:lang w:val="en-US"/>
        </w:rPr>
        <w:t xml:space="preserve">studies </w:t>
      </w:r>
      <w:r w:rsidR="00C52D83" w:rsidRPr="003101A0">
        <w:rPr>
          <w:rFonts w:ascii="Times New Roman" w:hAnsi="Times New Roman" w:cs="Times New Roman"/>
          <w:sz w:val="24"/>
          <w:szCs w:val="24"/>
          <w:lang w:val="en-US"/>
        </w:rPr>
        <w:t>tend to</w:t>
      </w:r>
      <w:r w:rsidR="002D6073" w:rsidRPr="003101A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omit these from their</w:t>
      </w:r>
      <w:r w:rsidR="00C9275E" w:rsidRPr="003101A0">
        <w:rPr>
          <w:rFonts w:ascii="Times New Roman" w:hAnsi="Times New Roman" w:cs="Times New Roman"/>
          <w:sz w:val="24"/>
          <w:szCs w:val="24"/>
          <w:lang w:val="en-US"/>
        </w:rPr>
        <w:t xml:space="preserve"> baseline</w:t>
      </w:r>
      <w:r w:rsidR="00CF1537" w:rsidRPr="003101A0">
        <w:rPr>
          <w:rFonts w:ascii="Times New Roman" w:hAnsi="Times New Roman" w:cs="Times New Roman"/>
          <w:sz w:val="24"/>
          <w:szCs w:val="24"/>
          <w:lang w:val="en-US"/>
        </w:rPr>
        <w:t xml:space="preserve"> regression </w:t>
      </w:r>
      <w:r w:rsidRPr="003101A0">
        <w:rPr>
          <w:rFonts w:ascii="Times New Roman" w:hAnsi="Times New Roman" w:cs="Times New Roman"/>
          <w:sz w:val="24"/>
          <w:szCs w:val="24"/>
          <w:lang w:val="en-US"/>
        </w:rPr>
        <w:t>models</w:t>
      </w:r>
      <w:r w:rsidR="00012976">
        <w:rPr>
          <w:rFonts w:ascii="Times New Roman" w:hAnsi="Times New Roman" w:cs="Times New Roman"/>
          <w:sz w:val="24"/>
          <w:szCs w:val="24"/>
          <w:lang w:val="en-US"/>
        </w:rPr>
        <w:t>, and</w:t>
      </w:r>
      <w:r w:rsidR="002D6073" w:rsidRPr="003101A0">
        <w:rPr>
          <w:rFonts w:ascii="Times New Roman" w:hAnsi="Times New Roman" w:cs="Times New Roman"/>
          <w:sz w:val="24"/>
          <w:szCs w:val="24"/>
          <w:lang w:val="en-US"/>
        </w:rPr>
        <w:t xml:space="preserve"> </w:t>
      </w:r>
      <w:r w:rsidR="00012976">
        <w:rPr>
          <w:rFonts w:ascii="Times New Roman" w:hAnsi="Times New Roman" w:cs="Times New Roman"/>
          <w:sz w:val="24"/>
          <w:szCs w:val="24"/>
          <w:lang w:val="en-US"/>
        </w:rPr>
        <w:t>then add them</w:t>
      </w:r>
      <w:r w:rsidR="002D6073" w:rsidRPr="003101A0">
        <w:rPr>
          <w:rFonts w:ascii="Times New Roman" w:hAnsi="Times New Roman" w:cs="Times New Roman"/>
          <w:sz w:val="24"/>
          <w:szCs w:val="24"/>
          <w:lang w:val="en-US"/>
        </w:rPr>
        <w:t xml:space="preserve"> to subsequent </w:t>
      </w:r>
      <w:r w:rsidR="00C52D83" w:rsidRPr="003101A0">
        <w:rPr>
          <w:rFonts w:ascii="Times New Roman" w:hAnsi="Times New Roman" w:cs="Times New Roman"/>
          <w:sz w:val="24"/>
          <w:szCs w:val="24"/>
          <w:lang w:val="en-US"/>
        </w:rPr>
        <w:t>robustness tests</w:t>
      </w:r>
      <w:r w:rsidR="002D6073" w:rsidRPr="003101A0">
        <w:rPr>
          <w:rFonts w:ascii="Times New Roman" w:hAnsi="Times New Roman" w:cs="Times New Roman"/>
          <w:sz w:val="24"/>
          <w:szCs w:val="24"/>
          <w:lang w:val="en-US"/>
        </w:rPr>
        <w:t xml:space="preserve"> (</w:t>
      </w:r>
      <w:r w:rsidR="006209B7" w:rsidRPr="003101A0">
        <w:rPr>
          <w:rFonts w:ascii="Times New Roman" w:hAnsi="Times New Roman" w:cs="Times New Roman"/>
          <w:sz w:val="24"/>
          <w:szCs w:val="24"/>
          <w:lang w:val="en-US"/>
        </w:rPr>
        <w:t xml:space="preserve">Miller and </w:t>
      </w:r>
      <w:proofErr w:type="spellStart"/>
      <w:r w:rsidR="006209B7" w:rsidRPr="003101A0">
        <w:rPr>
          <w:rFonts w:ascii="Times New Roman" w:hAnsi="Times New Roman" w:cs="Times New Roman"/>
          <w:sz w:val="24"/>
          <w:szCs w:val="24"/>
          <w:lang w:val="en-US"/>
        </w:rPr>
        <w:t>Reisel</w:t>
      </w:r>
      <w:proofErr w:type="spellEnd"/>
      <w:r w:rsidR="006209B7" w:rsidRPr="003101A0">
        <w:rPr>
          <w:rFonts w:ascii="Times New Roman" w:hAnsi="Times New Roman" w:cs="Times New Roman"/>
          <w:sz w:val="24"/>
          <w:szCs w:val="24"/>
          <w:lang w:val="en-US"/>
        </w:rPr>
        <w:t xml:space="preserve">, 2012; </w:t>
      </w:r>
      <w:proofErr w:type="spellStart"/>
      <w:r w:rsidR="00C9275E" w:rsidRPr="003101A0">
        <w:rPr>
          <w:rFonts w:ascii="Times New Roman" w:hAnsi="Times New Roman" w:cs="Times New Roman"/>
          <w:sz w:val="24"/>
          <w:szCs w:val="24"/>
          <w:lang w:val="en-US"/>
        </w:rPr>
        <w:t>Reisel</w:t>
      </w:r>
      <w:proofErr w:type="spellEnd"/>
      <w:r w:rsidR="002D6073" w:rsidRPr="003101A0">
        <w:rPr>
          <w:rFonts w:ascii="Times New Roman" w:hAnsi="Times New Roman" w:cs="Times New Roman"/>
          <w:sz w:val="24"/>
          <w:szCs w:val="24"/>
          <w:lang w:val="en-US"/>
        </w:rPr>
        <w:t xml:space="preserve">, </w:t>
      </w:r>
      <w:r w:rsidR="00C9275E" w:rsidRPr="003101A0">
        <w:rPr>
          <w:rFonts w:ascii="Times New Roman" w:hAnsi="Times New Roman" w:cs="Times New Roman"/>
          <w:sz w:val="24"/>
          <w:szCs w:val="24"/>
          <w:lang w:val="en-US"/>
        </w:rPr>
        <w:t>2014)</w:t>
      </w:r>
      <w:r w:rsidR="002D6073" w:rsidRPr="003101A0">
        <w:rPr>
          <w:rFonts w:ascii="Times New Roman" w:hAnsi="Times New Roman" w:cs="Times New Roman"/>
          <w:sz w:val="24"/>
          <w:szCs w:val="24"/>
          <w:lang w:val="en-US"/>
        </w:rPr>
        <w:t xml:space="preserve">. </w:t>
      </w:r>
      <w:r w:rsidR="002D645D">
        <w:rPr>
          <w:rFonts w:ascii="Times New Roman" w:hAnsi="Times New Roman" w:cs="Times New Roman"/>
          <w:sz w:val="24"/>
          <w:szCs w:val="24"/>
          <w:lang w:val="en-US"/>
        </w:rPr>
        <w:t>In line with this approach, w</w:t>
      </w:r>
      <w:r w:rsidR="0049621F" w:rsidRPr="003101A0">
        <w:rPr>
          <w:rFonts w:ascii="Times New Roman" w:hAnsi="Times New Roman" w:cs="Times New Roman"/>
          <w:sz w:val="24"/>
          <w:szCs w:val="24"/>
          <w:lang w:val="en-US"/>
        </w:rPr>
        <w:t>e replicate the baseline covenant intensity analysis adding security design features</w:t>
      </w:r>
      <w:r w:rsidR="00DE0657" w:rsidRPr="003101A0">
        <w:rPr>
          <w:rFonts w:ascii="Times New Roman" w:hAnsi="Times New Roman" w:cs="Times New Roman"/>
          <w:sz w:val="24"/>
          <w:szCs w:val="24"/>
          <w:lang w:val="en-US"/>
        </w:rPr>
        <w:t>.</w:t>
      </w:r>
      <w:r w:rsidR="00A500EA">
        <w:rPr>
          <w:rStyle w:val="FootnoteReference"/>
          <w:rFonts w:ascii="Times New Roman" w:hAnsi="Times New Roman" w:cs="Times New Roman"/>
          <w:sz w:val="24"/>
          <w:szCs w:val="24"/>
          <w:lang w:val="en-US"/>
        </w:rPr>
        <w:footnoteReference w:id="12"/>
      </w:r>
      <w:r w:rsidR="00DE0657" w:rsidRPr="003101A0">
        <w:rPr>
          <w:rFonts w:ascii="Times New Roman" w:hAnsi="Times New Roman" w:cs="Times New Roman"/>
          <w:sz w:val="24"/>
          <w:szCs w:val="24"/>
          <w:lang w:val="en-US"/>
        </w:rPr>
        <w:t xml:space="preserve"> As column (5) shows, this leaves our results virtually un</w:t>
      </w:r>
      <w:r w:rsidR="00E85DB3" w:rsidRPr="003101A0">
        <w:rPr>
          <w:rFonts w:ascii="Times New Roman" w:hAnsi="Times New Roman" w:cs="Times New Roman"/>
          <w:sz w:val="24"/>
          <w:szCs w:val="24"/>
          <w:lang w:val="en-US"/>
        </w:rPr>
        <w:t>altered</w:t>
      </w:r>
      <w:r w:rsidRPr="003101A0">
        <w:rPr>
          <w:rFonts w:ascii="Times New Roman" w:hAnsi="Times New Roman" w:cs="Times New Roman"/>
          <w:sz w:val="24"/>
          <w:szCs w:val="24"/>
          <w:lang w:val="en-US"/>
        </w:rPr>
        <w:t>. Most importantly,</w:t>
      </w:r>
      <w:r w:rsidR="001D4EBF" w:rsidRPr="003101A0">
        <w:rPr>
          <w:rFonts w:ascii="Times New Roman" w:hAnsi="Times New Roman" w:cs="Times New Roman"/>
          <w:sz w:val="24"/>
          <w:szCs w:val="24"/>
          <w:lang w:val="en-US"/>
        </w:rPr>
        <w:t xml:space="preserve"> </w:t>
      </w:r>
      <w:r w:rsidR="00C77081" w:rsidRPr="003101A0">
        <w:rPr>
          <w:rFonts w:ascii="Times New Roman" w:hAnsi="Times New Roman" w:cs="Times New Roman"/>
          <w:i/>
          <w:sz w:val="24"/>
          <w:szCs w:val="24"/>
          <w:lang w:val="en-US"/>
        </w:rPr>
        <w:t>Convertible</w:t>
      </w:r>
      <w:r w:rsidR="001D4EBF" w:rsidRPr="003101A0">
        <w:rPr>
          <w:rFonts w:ascii="Times New Roman" w:hAnsi="Times New Roman" w:cs="Times New Roman"/>
          <w:sz w:val="24"/>
          <w:szCs w:val="24"/>
          <w:lang w:val="en-US"/>
        </w:rPr>
        <w:t xml:space="preserve"> </w:t>
      </w:r>
      <w:r w:rsidR="00DE0657" w:rsidRPr="003101A0">
        <w:rPr>
          <w:rFonts w:ascii="Times New Roman" w:hAnsi="Times New Roman" w:cs="Times New Roman"/>
          <w:sz w:val="24"/>
          <w:szCs w:val="24"/>
          <w:lang w:val="en-US"/>
        </w:rPr>
        <w:t xml:space="preserve">again </w:t>
      </w:r>
      <w:r w:rsidR="0073616F" w:rsidRPr="003101A0">
        <w:rPr>
          <w:rFonts w:ascii="Times New Roman" w:hAnsi="Times New Roman" w:cs="Times New Roman"/>
          <w:sz w:val="24"/>
          <w:szCs w:val="24"/>
          <w:lang w:val="en-US"/>
        </w:rPr>
        <w:t>negative</w:t>
      </w:r>
      <w:r w:rsidR="00871C61" w:rsidRPr="003101A0">
        <w:rPr>
          <w:rFonts w:ascii="Times New Roman" w:hAnsi="Times New Roman" w:cs="Times New Roman"/>
          <w:sz w:val="24"/>
          <w:szCs w:val="24"/>
          <w:lang w:val="en-US"/>
        </w:rPr>
        <w:t>ly</w:t>
      </w:r>
      <w:r w:rsidR="0073616F" w:rsidRPr="003101A0">
        <w:rPr>
          <w:rFonts w:ascii="Times New Roman" w:hAnsi="Times New Roman" w:cs="Times New Roman"/>
          <w:sz w:val="24"/>
          <w:szCs w:val="24"/>
          <w:lang w:val="en-US"/>
        </w:rPr>
        <w:t xml:space="preserve"> impact</w:t>
      </w:r>
      <w:r w:rsidR="00871C61" w:rsidRPr="003101A0">
        <w:rPr>
          <w:rFonts w:ascii="Times New Roman" w:hAnsi="Times New Roman" w:cs="Times New Roman"/>
          <w:sz w:val="24"/>
          <w:szCs w:val="24"/>
          <w:lang w:val="en-US"/>
        </w:rPr>
        <w:t>s</w:t>
      </w:r>
      <w:r w:rsidR="00DE0657" w:rsidRPr="003101A0">
        <w:rPr>
          <w:rFonts w:ascii="Times New Roman" w:hAnsi="Times New Roman" w:cs="Times New Roman"/>
          <w:sz w:val="24"/>
          <w:szCs w:val="24"/>
          <w:lang w:val="en-US"/>
        </w:rPr>
        <w:t xml:space="preserve"> </w:t>
      </w:r>
      <w:r w:rsidR="00DE0657" w:rsidRPr="003101A0">
        <w:rPr>
          <w:rFonts w:ascii="Times New Roman" w:hAnsi="Times New Roman" w:cs="Times New Roman"/>
          <w:i/>
          <w:iCs/>
          <w:sz w:val="24"/>
          <w:szCs w:val="24"/>
          <w:lang w:val="en-US"/>
        </w:rPr>
        <w:t>CI index</w:t>
      </w:r>
      <w:r w:rsidR="0073616F" w:rsidRPr="003101A0">
        <w:rPr>
          <w:rFonts w:ascii="Times New Roman" w:hAnsi="Times New Roman" w:cs="Times New Roman"/>
          <w:sz w:val="24"/>
          <w:szCs w:val="24"/>
          <w:lang w:val="en-US"/>
        </w:rPr>
        <w:t>, with the size and significance of its coefficient not materially chang</w:t>
      </w:r>
      <w:r w:rsidR="00494937" w:rsidRPr="003101A0">
        <w:rPr>
          <w:rFonts w:ascii="Times New Roman" w:hAnsi="Times New Roman" w:cs="Times New Roman"/>
          <w:sz w:val="24"/>
          <w:szCs w:val="24"/>
          <w:lang w:val="en-US"/>
        </w:rPr>
        <w:t>ed</w:t>
      </w:r>
      <w:r w:rsidR="00CF1537" w:rsidRPr="003101A0">
        <w:rPr>
          <w:rFonts w:ascii="Times New Roman" w:hAnsi="Times New Roman" w:cs="Times New Roman"/>
          <w:sz w:val="24"/>
          <w:szCs w:val="24"/>
          <w:lang w:val="en-US"/>
        </w:rPr>
        <w:t xml:space="preserve">. </w:t>
      </w:r>
      <w:r w:rsidR="00AF6EF4" w:rsidRPr="003101A0">
        <w:rPr>
          <w:rFonts w:ascii="Times New Roman" w:eastAsia="Times New Roman" w:hAnsi="Times New Roman" w:cs="Times New Roman"/>
          <w:i/>
          <w:iCs/>
          <w:sz w:val="24"/>
          <w:szCs w:val="24"/>
          <w:lang w:val="en-US"/>
        </w:rPr>
        <w:t>Proceeds</w:t>
      </w:r>
      <w:r w:rsidR="00AF6EF4" w:rsidRPr="003101A0">
        <w:rPr>
          <w:rFonts w:ascii="Times New Roman" w:eastAsia="Times New Roman" w:hAnsi="Times New Roman" w:cs="Times New Roman"/>
          <w:sz w:val="24"/>
          <w:szCs w:val="24"/>
          <w:lang w:val="en-US"/>
        </w:rPr>
        <w:t xml:space="preserve">, </w:t>
      </w:r>
      <w:r w:rsidR="00FB3B1C" w:rsidRPr="003101A0">
        <w:rPr>
          <w:rFonts w:ascii="Times New Roman" w:eastAsia="Times New Roman" w:hAnsi="Times New Roman" w:cs="Times New Roman"/>
          <w:i/>
          <w:iCs/>
          <w:sz w:val="24"/>
          <w:szCs w:val="24"/>
          <w:lang w:val="en-US"/>
        </w:rPr>
        <w:t>Senior</w:t>
      </w:r>
      <w:r w:rsidR="006654EA" w:rsidRPr="003101A0">
        <w:rPr>
          <w:rFonts w:ascii="Times New Roman" w:eastAsia="Times New Roman" w:hAnsi="Times New Roman" w:cs="Times New Roman"/>
          <w:sz w:val="24"/>
          <w:szCs w:val="24"/>
          <w:lang w:val="en-US"/>
        </w:rPr>
        <w:t>,</w:t>
      </w:r>
      <w:r w:rsidR="00FB3B1C" w:rsidRPr="003101A0">
        <w:rPr>
          <w:rFonts w:ascii="Times New Roman" w:eastAsia="Times New Roman" w:hAnsi="Times New Roman" w:cs="Times New Roman"/>
          <w:sz w:val="24"/>
          <w:szCs w:val="24"/>
          <w:lang w:val="en-US"/>
        </w:rPr>
        <w:t xml:space="preserve"> and </w:t>
      </w:r>
      <w:r w:rsidR="00FB3B1C" w:rsidRPr="003101A0">
        <w:rPr>
          <w:rFonts w:ascii="Times New Roman" w:eastAsia="Times New Roman" w:hAnsi="Times New Roman" w:cs="Times New Roman"/>
          <w:i/>
          <w:iCs/>
          <w:sz w:val="24"/>
          <w:szCs w:val="24"/>
          <w:lang w:val="en-US"/>
        </w:rPr>
        <w:t>Secured</w:t>
      </w:r>
      <w:r w:rsidR="00994DF8" w:rsidRPr="003101A0">
        <w:rPr>
          <w:rFonts w:ascii="Times New Roman" w:eastAsia="Times New Roman" w:hAnsi="Times New Roman" w:cs="Times New Roman"/>
          <w:i/>
          <w:iCs/>
          <w:sz w:val="24"/>
          <w:szCs w:val="24"/>
          <w:lang w:val="en-US"/>
        </w:rPr>
        <w:t xml:space="preserve"> </w:t>
      </w:r>
      <w:r w:rsidR="00012976">
        <w:rPr>
          <w:rFonts w:ascii="Times New Roman" w:eastAsia="Times New Roman" w:hAnsi="Times New Roman" w:cs="Times New Roman"/>
          <w:sz w:val="24"/>
          <w:szCs w:val="24"/>
          <w:lang w:val="en-US"/>
        </w:rPr>
        <w:t>have s</w:t>
      </w:r>
      <w:r w:rsidR="00FB3B1C" w:rsidRPr="003101A0">
        <w:rPr>
          <w:rFonts w:ascii="Times New Roman" w:eastAsia="Times New Roman" w:hAnsi="Times New Roman" w:cs="Times New Roman"/>
          <w:sz w:val="24"/>
          <w:szCs w:val="24"/>
          <w:lang w:val="en-US"/>
        </w:rPr>
        <w:t xml:space="preserve">ignificant </w:t>
      </w:r>
      <w:r w:rsidR="00012976">
        <w:rPr>
          <w:rFonts w:ascii="Times New Roman" w:eastAsia="Times New Roman" w:hAnsi="Times New Roman" w:cs="Times New Roman"/>
          <w:sz w:val="24"/>
          <w:szCs w:val="24"/>
          <w:lang w:val="en-US"/>
        </w:rPr>
        <w:t xml:space="preserve">coefficients with the </w:t>
      </w:r>
      <w:r w:rsidR="00FB3B1C" w:rsidRPr="003101A0">
        <w:rPr>
          <w:rFonts w:ascii="Times New Roman" w:eastAsia="Times New Roman" w:hAnsi="Times New Roman" w:cs="Times New Roman"/>
          <w:sz w:val="24"/>
          <w:szCs w:val="24"/>
          <w:lang w:val="en-US"/>
        </w:rPr>
        <w:t>predicted sign</w:t>
      </w:r>
      <w:r w:rsidR="00E4348D" w:rsidRPr="003101A0">
        <w:rPr>
          <w:rFonts w:ascii="Times New Roman" w:eastAsia="Times New Roman" w:hAnsi="Times New Roman" w:cs="Times New Roman"/>
          <w:sz w:val="24"/>
          <w:szCs w:val="24"/>
          <w:lang w:val="en-US"/>
        </w:rPr>
        <w:t>s</w:t>
      </w:r>
      <w:r w:rsidR="00FB3B1C" w:rsidRPr="003101A0">
        <w:rPr>
          <w:rFonts w:ascii="Times New Roman" w:eastAsia="Times New Roman" w:hAnsi="Times New Roman" w:cs="Times New Roman"/>
          <w:sz w:val="24"/>
          <w:szCs w:val="24"/>
          <w:lang w:val="en-US"/>
        </w:rPr>
        <w:t xml:space="preserve">, </w:t>
      </w:r>
      <w:r w:rsidR="00567ECE" w:rsidRPr="003101A0">
        <w:rPr>
          <w:rFonts w:ascii="Times New Roman" w:eastAsia="Times New Roman" w:hAnsi="Times New Roman" w:cs="Times New Roman"/>
          <w:sz w:val="24"/>
          <w:szCs w:val="24"/>
          <w:lang w:val="en-US"/>
        </w:rPr>
        <w:t xml:space="preserve">whereas </w:t>
      </w:r>
      <w:proofErr w:type="gramStart"/>
      <w:r w:rsidR="00FB3B1C" w:rsidRPr="003101A0">
        <w:rPr>
          <w:rFonts w:ascii="Times New Roman" w:eastAsia="Times New Roman" w:hAnsi="Times New Roman" w:cs="Times New Roman"/>
          <w:i/>
          <w:iCs/>
          <w:sz w:val="24"/>
          <w:szCs w:val="24"/>
          <w:lang w:val="en-US"/>
        </w:rPr>
        <w:t>L</w:t>
      </w:r>
      <w:r w:rsidR="00CD4DF0" w:rsidRPr="003101A0">
        <w:rPr>
          <w:rFonts w:ascii="Times New Roman" w:eastAsia="Times New Roman" w:hAnsi="Times New Roman" w:cs="Times New Roman"/>
          <w:i/>
          <w:iCs/>
          <w:sz w:val="24"/>
          <w:szCs w:val="24"/>
          <w:lang w:val="en-US"/>
        </w:rPr>
        <w:t>n</w:t>
      </w:r>
      <w:r w:rsidR="00FB3B1C" w:rsidRPr="003101A0">
        <w:rPr>
          <w:rFonts w:ascii="Times New Roman" w:eastAsia="Times New Roman" w:hAnsi="Times New Roman" w:cs="Times New Roman"/>
          <w:i/>
          <w:iCs/>
          <w:sz w:val="24"/>
          <w:szCs w:val="24"/>
          <w:lang w:val="en-US"/>
        </w:rPr>
        <w:t>(</w:t>
      </w:r>
      <w:proofErr w:type="gramEnd"/>
      <w:r w:rsidR="00FB3B1C" w:rsidRPr="003101A0">
        <w:rPr>
          <w:rFonts w:ascii="Times New Roman" w:eastAsia="Times New Roman" w:hAnsi="Times New Roman" w:cs="Times New Roman"/>
          <w:i/>
          <w:iCs/>
          <w:sz w:val="24"/>
          <w:szCs w:val="24"/>
          <w:lang w:val="en-US"/>
        </w:rPr>
        <w:t>Maturity)</w:t>
      </w:r>
      <w:r w:rsidR="00FB3B1C" w:rsidRPr="003101A0">
        <w:rPr>
          <w:rFonts w:ascii="Times New Roman" w:eastAsia="Times New Roman" w:hAnsi="Times New Roman" w:cs="Times New Roman"/>
          <w:sz w:val="24"/>
          <w:szCs w:val="24"/>
          <w:lang w:val="en-US"/>
        </w:rPr>
        <w:t xml:space="preserve"> and </w:t>
      </w:r>
      <w:r w:rsidR="00FB3B1C" w:rsidRPr="003101A0">
        <w:rPr>
          <w:rFonts w:ascii="Times New Roman" w:eastAsia="Times New Roman" w:hAnsi="Times New Roman" w:cs="Times New Roman"/>
          <w:i/>
          <w:iCs/>
          <w:sz w:val="24"/>
          <w:szCs w:val="24"/>
          <w:lang w:val="en-US"/>
        </w:rPr>
        <w:t>Callable</w:t>
      </w:r>
      <w:r w:rsidR="00FB3B1C" w:rsidRPr="003101A0">
        <w:rPr>
          <w:rFonts w:ascii="Times New Roman" w:eastAsia="Times New Roman" w:hAnsi="Times New Roman" w:cs="Times New Roman"/>
          <w:sz w:val="24"/>
          <w:szCs w:val="24"/>
          <w:lang w:val="en-US"/>
        </w:rPr>
        <w:t xml:space="preserve"> </w:t>
      </w:r>
      <w:r w:rsidR="00E4348D" w:rsidRPr="003101A0">
        <w:rPr>
          <w:rFonts w:ascii="Times New Roman" w:eastAsia="Times New Roman" w:hAnsi="Times New Roman" w:cs="Times New Roman"/>
          <w:sz w:val="24"/>
          <w:szCs w:val="24"/>
          <w:lang w:val="en-US"/>
        </w:rPr>
        <w:t xml:space="preserve">have </w:t>
      </w:r>
      <w:r w:rsidR="002D645D">
        <w:rPr>
          <w:rFonts w:ascii="Times New Roman" w:eastAsia="Times New Roman" w:hAnsi="Times New Roman" w:cs="Times New Roman"/>
          <w:sz w:val="24"/>
          <w:szCs w:val="24"/>
          <w:lang w:val="en-US"/>
        </w:rPr>
        <w:lastRenderedPageBreak/>
        <w:t xml:space="preserve">significant coefficients with signs </w:t>
      </w:r>
      <w:r w:rsidR="00FB3B1C" w:rsidRPr="003101A0">
        <w:rPr>
          <w:rFonts w:ascii="Times New Roman" w:eastAsia="Times New Roman" w:hAnsi="Times New Roman" w:cs="Times New Roman"/>
          <w:sz w:val="24"/>
          <w:szCs w:val="24"/>
          <w:lang w:val="en-US"/>
        </w:rPr>
        <w:t xml:space="preserve">inconsistent with predictions, and </w:t>
      </w:r>
      <w:proofErr w:type="spellStart"/>
      <w:r w:rsidR="00FB3B1C" w:rsidRPr="003101A0">
        <w:rPr>
          <w:rFonts w:ascii="Times New Roman" w:eastAsia="Times New Roman" w:hAnsi="Times New Roman" w:cs="Times New Roman"/>
          <w:i/>
          <w:iCs/>
          <w:sz w:val="24"/>
          <w:szCs w:val="24"/>
          <w:lang w:val="en-US"/>
        </w:rPr>
        <w:t>Putable</w:t>
      </w:r>
      <w:proofErr w:type="spellEnd"/>
      <w:r w:rsidR="00FB3B1C" w:rsidRPr="003101A0">
        <w:rPr>
          <w:rFonts w:ascii="Times New Roman" w:eastAsia="Times New Roman" w:hAnsi="Times New Roman" w:cs="Times New Roman"/>
          <w:sz w:val="24"/>
          <w:szCs w:val="24"/>
          <w:lang w:val="en-US"/>
        </w:rPr>
        <w:t xml:space="preserve"> has no significant impact.</w:t>
      </w:r>
    </w:p>
    <w:p w14:paraId="4E3610F5" w14:textId="0CFC3C88" w:rsidR="00631176" w:rsidRPr="00DB60EF" w:rsidRDefault="00631176" w:rsidP="00994DF8">
      <w:pPr>
        <w:spacing w:after="0" w:line="480" w:lineRule="auto"/>
        <w:ind w:firstLine="426"/>
        <w:jc w:val="both"/>
        <w:rPr>
          <w:rFonts w:ascii="Times New Roman" w:hAnsi="Times New Roman" w:cs="Times New Roman"/>
          <w:sz w:val="24"/>
          <w:szCs w:val="24"/>
          <w:lang w:eastAsia="zh-CN"/>
        </w:rPr>
      </w:pPr>
      <w:r w:rsidRPr="003101A0">
        <w:rPr>
          <w:rFonts w:ascii="Times New Roman" w:hAnsi="Times New Roman" w:cs="Times New Roman"/>
          <w:sz w:val="24"/>
          <w:szCs w:val="24"/>
          <w:lang w:val="en-US"/>
        </w:rPr>
        <w:t xml:space="preserve">A relatively novel </w:t>
      </w:r>
      <w:proofErr w:type="spellStart"/>
      <w:r w:rsidRPr="003101A0">
        <w:rPr>
          <w:rFonts w:ascii="Times New Roman" w:hAnsi="Times New Roman" w:cs="Times New Roman"/>
          <w:sz w:val="24"/>
          <w:szCs w:val="24"/>
          <w:lang w:val="en-US"/>
        </w:rPr>
        <w:t>substream</w:t>
      </w:r>
      <w:proofErr w:type="spellEnd"/>
      <w:r w:rsidRPr="003101A0">
        <w:rPr>
          <w:rFonts w:ascii="Times New Roman" w:hAnsi="Times New Roman" w:cs="Times New Roman"/>
          <w:sz w:val="24"/>
          <w:szCs w:val="24"/>
          <w:lang w:val="en-US"/>
        </w:rPr>
        <w:t xml:space="preserve"> in the literature documents the impact of </w:t>
      </w:r>
      <w:r w:rsidR="002D645D">
        <w:rPr>
          <w:rFonts w:ascii="Times New Roman" w:hAnsi="Times New Roman" w:cs="Times New Roman"/>
          <w:sz w:val="24"/>
          <w:szCs w:val="24"/>
          <w:lang w:val="en-US"/>
        </w:rPr>
        <w:t xml:space="preserve">supply-side </w:t>
      </w:r>
      <w:r w:rsidRPr="003101A0">
        <w:rPr>
          <w:rFonts w:ascii="Times New Roman" w:hAnsi="Times New Roman" w:cs="Times New Roman"/>
          <w:sz w:val="24"/>
          <w:szCs w:val="24"/>
          <w:lang w:val="en-US"/>
        </w:rPr>
        <w:t xml:space="preserve">characteristics </w:t>
      </w:r>
      <w:r w:rsidR="00E85DB3" w:rsidRPr="003101A0">
        <w:rPr>
          <w:rFonts w:ascii="Times New Roman" w:hAnsi="Times New Roman" w:cs="Times New Roman"/>
          <w:sz w:val="24"/>
          <w:szCs w:val="24"/>
          <w:lang w:val="en-US"/>
        </w:rPr>
        <w:t xml:space="preserve">on covenant intensity </w:t>
      </w:r>
      <w:r w:rsidRPr="003101A0">
        <w:rPr>
          <w:rFonts w:ascii="Times New Roman" w:hAnsi="Times New Roman" w:cs="Times New Roman"/>
          <w:sz w:val="24"/>
          <w:szCs w:val="24"/>
          <w:lang w:val="en-US"/>
        </w:rPr>
        <w:t>(</w:t>
      </w:r>
      <w:proofErr w:type="spellStart"/>
      <w:r w:rsidRPr="003101A0">
        <w:rPr>
          <w:rFonts w:ascii="Times New Roman" w:hAnsi="Times New Roman" w:cs="Times New Roman"/>
          <w:sz w:val="24"/>
          <w:szCs w:val="24"/>
          <w:lang w:val="en-US"/>
        </w:rPr>
        <w:t>Murfin</w:t>
      </w:r>
      <w:proofErr w:type="spellEnd"/>
      <w:r w:rsidRPr="003101A0">
        <w:rPr>
          <w:rFonts w:ascii="Times New Roman" w:hAnsi="Times New Roman" w:cs="Times New Roman"/>
          <w:sz w:val="24"/>
          <w:szCs w:val="24"/>
          <w:lang w:val="en-US"/>
        </w:rPr>
        <w:t>, 2012; Kang and Zhuang, 2019</w:t>
      </w:r>
      <w:r w:rsidR="0032421D">
        <w:rPr>
          <w:rFonts w:ascii="Times New Roman" w:hAnsi="Times New Roman" w:cs="Times New Roman"/>
          <w:sz w:val="24"/>
          <w:szCs w:val="24"/>
          <w:lang w:val="en-US"/>
        </w:rPr>
        <w:t xml:space="preserve">; </w:t>
      </w:r>
      <w:r w:rsidR="0032421D" w:rsidRPr="003101A0">
        <w:rPr>
          <w:rFonts w:ascii="Times New Roman" w:hAnsi="Times New Roman" w:cs="Times New Roman"/>
          <w:sz w:val="24"/>
          <w:szCs w:val="24"/>
          <w:lang w:val="en-US"/>
        </w:rPr>
        <w:t xml:space="preserve">Becker and </w:t>
      </w:r>
      <w:proofErr w:type="spellStart"/>
      <w:r w:rsidR="0032421D" w:rsidRPr="003101A0">
        <w:rPr>
          <w:rFonts w:ascii="Times New Roman" w:hAnsi="Times New Roman" w:cs="Times New Roman"/>
          <w:sz w:val="24"/>
          <w:szCs w:val="24"/>
          <w:lang w:val="en-US"/>
        </w:rPr>
        <w:t>Ivashina</w:t>
      </w:r>
      <w:proofErr w:type="spellEnd"/>
      <w:r w:rsidR="0032421D" w:rsidRPr="003101A0">
        <w:rPr>
          <w:rFonts w:ascii="Times New Roman" w:hAnsi="Times New Roman" w:cs="Times New Roman"/>
          <w:sz w:val="24"/>
          <w:szCs w:val="24"/>
          <w:lang w:val="en-US"/>
        </w:rPr>
        <w:t>, 20</w:t>
      </w:r>
      <w:r w:rsidR="0032421D">
        <w:rPr>
          <w:rFonts w:ascii="Times New Roman" w:hAnsi="Times New Roman" w:cs="Times New Roman"/>
          <w:sz w:val="24"/>
          <w:szCs w:val="24"/>
          <w:lang w:val="en-US"/>
        </w:rPr>
        <w:t>22</w:t>
      </w:r>
      <w:r w:rsidRPr="003101A0">
        <w:rPr>
          <w:rFonts w:ascii="Times New Roman" w:hAnsi="Times New Roman" w:cs="Times New Roman"/>
          <w:sz w:val="24"/>
          <w:szCs w:val="24"/>
          <w:lang w:val="en-US"/>
        </w:rPr>
        <w:t xml:space="preserve">). For example, Becker and </w:t>
      </w:r>
      <w:proofErr w:type="spellStart"/>
      <w:r w:rsidRPr="003101A0">
        <w:rPr>
          <w:rFonts w:ascii="Times New Roman" w:hAnsi="Times New Roman" w:cs="Times New Roman"/>
          <w:sz w:val="24"/>
          <w:szCs w:val="24"/>
          <w:lang w:val="en-US"/>
        </w:rPr>
        <w:t>Ivashina</w:t>
      </w:r>
      <w:proofErr w:type="spellEnd"/>
      <w:r w:rsidRPr="003101A0">
        <w:rPr>
          <w:rFonts w:ascii="Times New Roman" w:hAnsi="Times New Roman" w:cs="Times New Roman"/>
          <w:sz w:val="24"/>
          <w:szCs w:val="24"/>
          <w:lang w:val="en-US"/>
        </w:rPr>
        <w:t xml:space="preserve"> (</w:t>
      </w:r>
      <w:r w:rsidR="00C7473C" w:rsidRPr="003101A0">
        <w:rPr>
          <w:rFonts w:ascii="Times New Roman" w:hAnsi="Times New Roman" w:cs="Times New Roman"/>
          <w:sz w:val="24"/>
          <w:szCs w:val="24"/>
          <w:lang w:val="en-US"/>
        </w:rPr>
        <w:t>20</w:t>
      </w:r>
      <w:r w:rsidR="00120323">
        <w:rPr>
          <w:rFonts w:ascii="Times New Roman" w:hAnsi="Times New Roman" w:cs="Times New Roman"/>
          <w:sz w:val="24"/>
          <w:szCs w:val="24"/>
          <w:lang w:val="en-US"/>
        </w:rPr>
        <w:t>22</w:t>
      </w:r>
      <w:r w:rsidRPr="003101A0">
        <w:rPr>
          <w:rFonts w:ascii="Times New Roman" w:hAnsi="Times New Roman" w:cs="Times New Roman"/>
          <w:sz w:val="24"/>
          <w:szCs w:val="24"/>
          <w:lang w:val="en-US"/>
        </w:rPr>
        <w:t>) find that changes in the investor base for loans have been a key driver for the popularity of ‘</w:t>
      </w:r>
      <w:proofErr w:type="spellStart"/>
      <w:r w:rsidRPr="003101A0">
        <w:rPr>
          <w:rFonts w:ascii="Times New Roman" w:hAnsi="Times New Roman" w:cs="Times New Roman"/>
          <w:sz w:val="24"/>
          <w:szCs w:val="24"/>
          <w:lang w:val="en-US"/>
        </w:rPr>
        <w:t>cov</w:t>
      </w:r>
      <w:proofErr w:type="spellEnd"/>
      <w:r w:rsidRPr="003101A0">
        <w:rPr>
          <w:rFonts w:ascii="Times New Roman" w:hAnsi="Times New Roman" w:cs="Times New Roman"/>
          <w:sz w:val="24"/>
          <w:szCs w:val="24"/>
          <w:lang w:val="en-US"/>
        </w:rPr>
        <w:t xml:space="preserve">-lite’ loans. </w:t>
      </w:r>
      <w:r w:rsidR="00CD4DF0" w:rsidRPr="003101A0">
        <w:rPr>
          <w:rFonts w:ascii="Times New Roman" w:hAnsi="Times New Roman" w:cs="Times New Roman"/>
          <w:sz w:val="24"/>
          <w:szCs w:val="24"/>
          <w:lang w:val="en-US"/>
        </w:rPr>
        <w:t xml:space="preserve">The </w:t>
      </w:r>
      <w:r w:rsidRPr="003101A0">
        <w:rPr>
          <w:rFonts w:ascii="Times New Roman" w:hAnsi="Times New Roman" w:cs="Times New Roman"/>
          <w:sz w:val="24"/>
          <w:szCs w:val="24"/>
          <w:lang w:val="en-US"/>
        </w:rPr>
        <w:t xml:space="preserve">period </w:t>
      </w:r>
      <w:r w:rsidR="00E4348D" w:rsidRPr="003101A0">
        <w:rPr>
          <w:rFonts w:ascii="Times New Roman" w:hAnsi="Times New Roman" w:cs="Times New Roman"/>
          <w:sz w:val="24"/>
          <w:szCs w:val="24"/>
          <w:lang w:val="en-US"/>
        </w:rPr>
        <w:t xml:space="preserve">dummy </w:t>
      </w:r>
      <w:r w:rsidRPr="003101A0">
        <w:rPr>
          <w:rFonts w:ascii="Times New Roman" w:hAnsi="Times New Roman" w:cs="Times New Roman"/>
          <w:sz w:val="24"/>
          <w:szCs w:val="24"/>
          <w:lang w:val="en-US"/>
        </w:rPr>
        <w:t xml:space="preserve">variables </w:t>
      </w:r>
      <w:r w:rsidR="00CD4DF0" w:rsidRPr="003101A0">
        <w:rPr>
          <w:rFonts w:ascii="Times New Roman" w:hAnsi="Times New Roman" w:cs="Times New Roman"/>
          <w:sz w:val="24"/>
          <w:szCs w:val="24"/>
          <w:lang w:val="en-US"/>
        </w:rPr>
        <w:t xml:space="preserve">included in our baseline regression </w:t>
      </w:r>
      <w:r w:rsidR="007340C8">
        <w:rPr>
          <w:rFonts w:ascii="Times New Roman" w:hAnsi="Times New Roman" w:cs="Times New Roman"/>
          <w:sz w:val="24"/>
          <w:szCs w:val="24"/>
          <w:lang w:val="en-US"/>
        </w:rPr>
        <w:t xml:space="preserve">already </w:t>
      </w:r>
      <w:r w:rsidR="00E4348D" w:rsidRPr="003101A0">
        <w:rPr>
          <w:rFonts w:ascii="Times New Roman" w:hAnsi="Times New Roman" w:cs="Times New Roman"/>
          <w:sz w:val="24"/>
          <w:szCs w:val="24"/>
          <w:lang w:val="en-US"/>
        </w:rPr>
        <w:t xml:space="preserve">capture </w:t>
      </w:r>
      <w:r w:rsidRPr="003101A0">
        <w:rPr>
          <w:rFonts w:ascii="Times New Roman" w:hAnsi="Times New Roman" w:cs="Times New Roman"/>
          <w:sz w:val="24"/>
          <w:szCs w:val="24"/>
          <w:lang w:val="en-US"/>
        </w:rPr>
        <w:t xml:space="preserve">changes in convertible bond investor characteristics over time. In a final test reported in </w:t>
      </w:r>
      <w:r w:rsidR="001D1C16" w:rsidRPr="003101A0">
        <w:rPr>
          <w:rFonts w:ascii="Times New Roman" w:hAnsi="Times New Roman" w:cs="Times New Roman"/>
          <w:sz w:val="24"/>
          <w:szCs w:val="24"/>
          <w:lang w:val="en-US"/>
        </w:rPr>
        <w:t>c</w:t>
      </w:r>
      <w:r w:rsidRPr="003101A0">
        <w:rPr>
          <w:rFonts w:ascii="Times New Roman" w:hAnsi="Times New Roman" w:cs="Times New Roman"/>
          <w:sz w:val="24"/>
          <w:szCs w:val="24"/>
          <w:lang w:val="en-US"/>
        </w:rPr>
        <w:t xml:space="preserve">olumn (6), we </w:t>
      </w:r>
      <w:r w:rsidR="002D645D">
        <w:rPr>
          <w:rFonts w:ascii="Times New Roman" w:hAnsi="Times New Roman" w:cs="Times New Roman"/>
          <w:sz w:val="24"/>
          <w:szCs w:val="24"/>
          <w:lang w:val="en-US"/>
        </w:rPr>
        <w:t xml:space="preserve">further </w:t>
      </w:r>
      <w:r w:rsidR="00871C61" w:rsidRPr="003101A0">
        <w:rPr>
          <w:rFonts w:ascii="Times New Roman" w:hAnsi="Times New Roman" w:cs="Times New Roman"/>
          <w:sz w:val="24"/>
          <w:szCs w:val="24"/>
          <w:lang w:val="en-US"/>
        </w:rPr>
        <w:t>account</w:t>
      </w:r>
      <w:r w:rsidRPr="003101A0">
        <w:rPr>
          <w:rFonts w:ascii="Times New Roman" w:hAnsi="Times New Roman" w:cs="Times New Roman"/>
          <w:sz w:val="24"/>
          <w:szCs w:val="24"/>
          <w:lang w:val="en-US"/>
        </w:rPr>
        <w:t xml:space="preserve"> for convertible bond </w:t>
      </w:r>
      <w:r w:rsidR="002D645D">
        <w:rPr>
          <w:rFonts w:ascii="Times New Roman" w:hAnsi="Times New Roman" w:cs="Times New Roman"/>
          <w:sz w:val="24"/>
          <w:szCs w:val="24"/>
          <w:lang w:val="en-US"/>
        </w:rPr>
        <w:t xml:space="preserve">supply </w:t>
      </w:r>
      <w:r w:rsidRPr="003101A0">
        <w:rPr>
          <w:rFonts w:ascii="Times New Roman" w:hAnsi="Times New Roman" w:cs="Times New Roman"/>
          <w:sz w:val="24"/>
          <w:szCs w:val="24"/>
          <w:lang w:val="en-US"/>
        </w:rPr>
        <w:t>characteristics by controlling for flows into convertible arbitrage funds (</w:t>
      </w:r>
      <w:proofErr w:type="spellStart"/>
      <w:r w:rsidR="00C222AA">
        <w:rPr>
          <w:rFonts w:ascii="Times New Roman" w:hAnsi="Times New Roman" w:cs="Times New Roman"/>
          <w:i/>
          <w:sz w:val="24"/>
          <w:szCs w:val="24"/>
          <w:lang w:val="en-US"/>
        </w:rPr>
        <w:t>CA</w:t>
      </w:r>
      <w:r w:rsidR="00BA2952" w:rsidRPr="003101A0">
        <w:rPr>
          <w:rFonts w:ascii="Times New Roman" w:hAnsi="Times New Roman" w:cs="Times New Roman"/>
          <w:i/>
          <w:sz w:val="24"/>
          <w:szCs w:val="24"/>
          <w:lang w:val="en-US"/>
        </w:rPr>
        <w:t>flow</w:t>
      </w:r>
      <w:proofErr w:type="spellEnd"/>
      <w:r w:rsidRPr="003101A0">
        <w:rPr>
          <w:rFonts w:ascii="Times New Roman" w:hAnsi="Times New Roman" w:cs="Times New Roman"/>
          <w:sz w:val="24"/>
          <w:szCs w:val="24"/>
          <w:lang w:val="en-US"/>
        </w:rPr>
        <w:t xml:space="preserve">, </w:t>
      </w:r>
      <w:r w:rsidR="00012976">
        <w:rPr>
          <w:rFonts w:ascii="Times New Roman" w:hAnsi="Times New Roman" w:cs="Times New Roman"/>
          <w:sz w:val="24"/>
          <w:szCs w:val="24"/>
          <w:lang w:val="en-US"/>
        </w:rPr>
        <w:t xml:space="preserve">defined </w:t>
      </w:r>
      <w:r w:rsidRPr="003101A0">
        <w:rPr>
          <w:rFonts w:ascii="Times New Roman" w:hAnsi="Times New Roman" w:cs="Times New Roman"/>
          <w:sz w:val="24"/>
          <w:szCs w:val="24"/>
          <w:lang w:val="en-US"/>
        </w:rPr>
        <w:t xml:space="preserve">as outlined in the Appendix). Higher values of these fund flows capture </w:t>
      </w:r>
      <w:r w:rsidR="00BA2952" w:rsidRPr="003101A0">
        <w:rPr>
          <w:rFonts w:ascii="Times New Roman" w:hAnsi="Times New Roman" w:cs="Times New Roman"/>
          <w:sz w:val="24"/>
          <w:szCs w:val="24"/>
          <w:lang w:val="en-US"/>
        </w:rPr>
        <w:t xml:space="preserve">periods </w:t>
      </w:r>
      <w:r w:rsidRPr="003101A0">
        <w:rPr>
          <w:rFonts w:ascii="Times New Roman" w:hAnsi="Times New Roman" w:cs="Times New Roman"/>
          <w:sz w:val="24"/>
          <w:szCs w:val="24"/>
          <w:lang w:val="en-US"/>
        </w:rPr>
        <w:t xml:space="preserve">with a stronger presence of convertible bond arbitrageurs as convertible bond investors </w:t>
      </w:r>
      <w:r w:rsidRPr="00012976">
        <w:rPr>
          <w:rFonts w:ascii="Times New Roman" w:hAnsi="Times New Roman" w:cs="Times New Roman"/>
          <w:sz w:val="24"/>
          <w:szCs w:val="24"/>
          <w:lang w:val="en-US"/>
        </w:rPr>
        <w:t>(</w:t>
      </w:r>
      <w:proofErr w:type="spellStart"/>
      <w:r w:rsidRPr="003101A0">
        <w:rPr>
          <w:rFonts w:ascii="Times New Roman" w:hAnsi="Times New Roman" w:cs="Times New Roman"/>
          <w:sz w:val="24"/>
          <w:szCs w:val="24"/>
          <w:lang w:val="en-US"/>
        </w:rPr>
        <w:t>Duca</w:t>
      </w:r>
      <w:proofErr w:type="spellEnd"/>
      <w:r w:rsidRPr="003101A0">
        <w:rPr>
          <w:rFonts w:ascii="Times New Roman" w:hAnsi="Times New Roman" w:cs="Times New Roman"/>
          <w:sz w:val="24"/>
          <w:szCs w:val="24"/>
          <w:lang w:val="en-US"/>
        </w:rPr>
        <w:t xml:space="preserve"> et al., 2012). </w:t>
      </w:r>
      <w:r w:rsidR="00871C61" w:rsidRPr="003101A0">
        <w:rPr>
          <w:rFonts w:ascii="Times New Roman" w:hAnsi="Times New Roman" w:cs="Times New Roman"/>
          <w:sz w:val="24"/>
          <w:szCs w:val="24"/>
          <w:lang w:val="en-US"/>
        </w:rPr>
        <w:t xml:space="preserve">As sophisticated investors, convertible bond arbitrageurs </w:t>
      </w:r>
      <w:r w:rsidR="002D645D">
        <w:rPr>
          <w:rFonts w:ascii="Times New Roman" w:hAnsi="Times New Roman" w:cs="Times New Roman"/>
          <w:sz w:val="24"/>
          <w:szCs w:val="24"/>
          <w:lang w:val="en-US"/>
        </w:rPr>
        <w:t>may</w:t>
      </w:r>
      <w:r w:rsidR="002D645D" w:rsidRPr="003101A0">
        <w:rPr>
          <w:rFonts w:ascii="Times New Roman" w:hAnsi="Times New Roman" w:cs="Times New Roman"/>
          <w:sz w:val="24"/>
          <w:szCs w:val="24"/>
          <w:lang w:val="en-US"/>
        </w:rPr>
        <w:t xml:space="preserve"> </w:t>
      </w:r>
      <w:r w:rsidR="00871C61" w:rsidRPr="003101A0">
        <w:rPr>
          <w:rFonts w:ascii="Times New Roman" w:hAnsi="Times New Roman" w:cs="Times New Roman"/>
          <w:sz w:val="24"/>
          <w:szCs w:val="24"/>
          <w:lang w:val="en-US"/>
        </w:rPr>
        <w:t>have other tools</w:t>
      </w:r>
      <w:r w:rsidRPr="003101A0">
        <w:rPr>
          <w:rFonts w:ascii="Times New Roman" w:hAnsi="Times New Roman" w:cs="Times New Roman"/>
          <w:sz w:val="24"/>
          <w:szCs w:val="24"/>
          <w:lang w:val="en-US"/>
        </w:rPr>
        <w:t xml:space="preserve"> </w:t>
      </w:r>
      <w:r w:rsidR="002D645D">
        <w:rPr>
          <w:rFonts w:ascii="Times New Roman" w:hAnsi="Times New Roman" w:cs="Times New Roman"/>
          <w:sz w:val="24"/>
          <w:szCs w:val="24"/>
          <w:lang w:val="en-US"/>
        </w:rPr>
        <w:t xml:space="preserve">at their disposal </w:t>
      </w:r>
      <w:r w:rsidRPr="003101A0">
        <w:rPr>
          <w:rFonts w:ascii="Times New Roman" w:hAnsi="Times New Roman" w:cs="Times New Roman"/>
          <w:sz w:val="24"/>
          <w:szCs w:val="24"/>
          <w:lang w:val="en-US"/>
        </w:rPr>
        <w:t xml:space="preserve">to mitigate the </w:t>
      </w:r>
      <w:r w:rsidR="00B44011" w:rsidRPr="003101A0">
        <w:rPr>
          <w:rFonts w:ascii="Times New Roman" w:hAnsi="Times New Roman" w:cs="Times New Roman"/>
          <w:sz w:val="24"/>
          <w:szCs w:val="24"/>
          <w:lang w:val="en-US"/>
        </w:rPr>
        <w:t xml:space="preserve">debt-related </w:t>
      </w:r>
      <w:r w:rsidRPr="003101A0">
        <w:rPr>
          <w:rFonts w:ascii="Times New Roman" w:hAnsi="Times New Roman" w:cs="Times New Roman"/>
          <w:sz w:val="24"/>
          <w:szCs w:val="24"/>
          <w:lang w:val="en-US"/>
        </w:rPr>
        <w:t>financing costs covered by covenants</w:t>
      </w:r>
      <w:r w:rsidR="0049621F"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 xml:space="preserve"> therefore requiring </w:t>
      </w:r>
      <w:r w:rsidR="000D638C" w:rsidRPr="003101A0">
        <w:rPr>
          <w:rFonts w:ascii="Times New Roman" w:hAnsi="Times New Roman" w:cs="Times New Roman"/>
          <w:sz w:val="24"/>
          <w:szCs w:val="24"/>
          <w:lang w:val="en-US"/>
        </w:rPr>
        <w:t>fewer</w:t>
      </w:r>
      <w:r w:rsidRPr="003101A0">
        <w:rPr>
          <w:rFonts w:ascii="Times New Roman" w:hAnsi="Times New Roman" w:cs="Times New Roman"/>
          <w:sz w:val="24"/>
          <w:szCs w:val="24"/>
          <w:lang w:val="en-US"/>
        </w:rPr>
        <w:t xml:space="preserve"> </w:t>
      </w:r>
      <w:r w:rsidR="00012976">
        <w:rPr>
          <w:rFonts w:ascii="Times New Roman" w:hAnsi="Times New Roman" w:cs="Times New Roman"/>
          <w:sz w:val="24"/>
          <w:szCs w:val="24"/>
          <w:lang w:val="en-US"/>
        </w:rPr>
        <w:t>covenants in their</w:t>
      </w:r>
      <w:r w:rsidRPr="003101A0">
        <w:rPr>
          <w:rFonts w:ascii="Times New Roman" w:hAnsi="Times New Roman" w:cs="Times New Roman"/>
          <w:sz w:val="24"/>
          <w:szCs w:val="24"/>
          <w:lang w:val="en-US"/>
        </w:rPr>
        <w:t xml:space="preserve"> debt contracts (Kang and Zhuang, 2019). </w:t>
      </w:r>
      <w:r w:rsidR="00F52F5F" w:rsidRPr="003101A0">
        <w:rPr>
          <w:rFonts w:ascii="Times New Roman" w:hAnsi="Times New Roman" w:cs="Times New Roman"/>
          <w:sz w:val="24"/>
          <w:szCs w:val="24"/>
          <w:lang w:val="en-US"/>
        </w:rPr>
        <w:t xml:space="preserve">To </w:t>
      </w:r>
      <w:r w:rsidRPr="003101A0">
        <w:rPr>
          <w:rFonts w:ascii="Times New Roman" w:hAnsi="Times New Roman" w:cs="Times New Roman"/>
          <w:sz w:val="24"/>
          <w:szCs w:val="24"/>
          <w:lang w:val="en-US"/>
        </w:rPr>
        <w:t xml:space="preserve">test this assumption, we augment the endogenous treatment effects regression with </w:t>
      </w:r>
      <w:proofErr w:type="spellStart"/>
      <w:r w:rsidR="00C222AA">
        <w:rPr>
          <w:rFonts w:ascii="Times New Roman" w:hAnsi="Times New Roman" w:cs="Times New Roman"/>
          <w:i/>
          <w:sz w:val="24"/>
          <w:szCs w:val="24"/>
          <w:lang w:val="en-US"/>
        </w:rPr>
        <w:t>CA</w:t>
      </w:r>
      <w:r w:rsidR="00BA2952" w:rsidRPr="003101A0">
        <w:rPr>
          <w:rFonts w:ascii="Times New Roman" w:hAnsi="Times New Roman" w:cs="Times New Roman"/>
          <w:i/>
          <w:iCs/>
          <w:sz w:val="24"/>
          <w:szCs w:val="24"/>
          <w:lang w:val="en-US"/>
        </w:rPr>
        <w:t>flow</w:t>
      </w:r>
      <w:proofErr w:type="spellEnd"/>
      <w:r w:rsidR="00BA2952" w:rsidRPr="003101A0">
        <w:rPr>
          <w:rFonts w:ascii="Times New Roman" w:hAnsi="Times New Roman" w:cs="Times New Roman"/>
          <w:sz w:val="24"/>
          <w:szCs w:val="24"/>
          <w:lang w:val="en-US"/>
        </w:rPr>
        <w:t xml:space="preserve"> </w:t>
      </w:r>
      <w:r w:rsidR="00E4348D" w:rsidRPr="003101A0">
        <w:rPr>
          <w:rFonts w:ascii="Times New Roman" w:hAnsi="Times New Roman" w:cs="Times New Roman"/>
          <w:sz w:val="24"/>
          <w:szCs w:val="24"/>
          <w:lang w:val="en-US"/>
        </w:rPr>
        <w:t>and</w:t>
      </w:r>
      <w:r w:rsidRPr="003101A0">
        <w:rPr>
          <w:rFonts w:ascii="Times New Roman" w:hAnsi="Times New Roman" w:cs="Times New Roman"/>
          <w:sz w:val="24"/>
          <w:szCs w:val="24"/>
          <w:lang w:val="en-US"/>
        </w:rPr>
        <w:t xml:space="preserve"> an interaction term between this variable and </w:t>
      </w:r>
      <w:r w:rsidR="00E4348D" w:rsidRPr="003101A0">
        <w:rPr>
          <w:rFonts w:ascii="Times New Roman" w:hAnsi="Times New Roman" w:cs="Times New Roman"/>
          <w:sz w:val="24"/>
          <w:szCs w:val="24"/>
          <w:lang w:val="en-US"/>
        </w:rPr>
        <w:t xml:space="preserve">the </w:t>
      </w:r>
      <w:r w:rsidRPr="003101A0">
        <w:rPr>
          <w:rFonts w:ascii="Times New Roman" w:hAnsi="Times New Roman" w:cs="Times New Roman"/>
          <w:i/>
          <w:sz w:val="24"/>
          <w:szCs w:val="24"/>
          <w:lang w:val="en-US"/>
        </w:rPr>
        <w:t>Convertible</w:t>
      </w:r>
      <w:r w:rsidR="00E4348D" w:rsidRPr="003101A0">
        <w:rPr>
          <w:rFonts w:ascii="Times New Roman" w:hAnsi="Times New Roman" w:cs="Times New Roman"/>
          <w:iCs/>
          <w:sz w:val="24"/>
          <w:szCs w:val="24"/>
          <w:lang w:val="en-US"/>
        </w:rPr>
        <w:t xml:space="preserve"> dummy</w:t>
      </w:r>
      <w:r w:rsidRPr="003101A0">
        <w:rPr>
          <w:rFonts w:ascii="Times New Roman" w:hAnsi="Times New Roman" w:cs="Times New Roman"/>
          <w:sz w:val="24"/>
          <w:szCs w:val="24"/>
          <w:lang w:val="en-US"/>
        </w:rPr>
        <w:t xml:space="preserve">. </w:t>
      </w:r>
      <w:r w:rsidR="002435C3" w:rsidRPr="003101A0">
        <w:rPr>
          <w:rFonts w:ascii="Times New Roman" w:hAnsi="Times New Roman" w:cs="Times New Roman"/>
          <w:sz w:val="24"/>
          <w:szCs w:val="24"/>
          <w:lang w:val="en-US"/>
        </w:rPr>
        <w:t>As predicted</w:t>
      </w:r>
      <w:r w:rsidRPr="003101A0">
        <w:rPr>
          <w:rFonts w:ascii="Times New Roman" w:hAnsi="Times New Roman" w:cs="Times New Roman"/>
          <w:sz w:val="24"/>
          <w:szCs w:val="24"/>
          <w:lang w:val="en-US"/>
        </w:rPr>
        <w:t>, we find a negative</w:t>
      </w:r>
      <w:r w:rsidR="00021CC2" w:rsidRPr="003101A0">
        <w:rPr>
          <w:rFonts w:ascii="Times New Roman" w:hAnsi="Times New Roman" w:cs="Times New Roman"/>
          <w:sz w:val="24"/>
          <w:szCs w:val="24"/>
          <w:lang w:val="en-US"/>
        </w:rPr>
        <w:t xml:space="preserve">ly significant coefficient </w:t>
      </w:r>
      <w:r w:rsidR="000D638C" w:rsidRPr="003101A0">
        <w:rPr>
          <w:rFonts w:ascii="Times New Roman" w:hAnsi="Times New Roman" w:cs="Times New Roman"/>
          <w:sz w:val="24"/>
          <w:szCs w:val="24"/>
          <w:lang w:val="en-US"/>
        </w:rPr>
        <w:t>f</w:t>
      </w:r>
      <w:r w:rsidR="00021CC2" w:rsidRPr="003101A0">
        <w:rPr>
          <w:rFonts w:ascii="Times New Roman" w:hAnsi="Times New Roman" w:cs="Times New Roman"/>
          <w:sz w:val="24"/>
          <w:szCs w:val="24"/>
          <w:lang w:val="en-US"/>
        </w:rPr>
        <w:t>o</w:t>
      </w:r>
      <w:r w:rsidR="000D638C" w:rsidRPr="003101A0">
        <w:rPr>
          <w:rFonts w:ascii="Times New Roman" w:hAnsi="Times New Roman" w:cs="Times New Roman"/>
          <w:sz w:val="24"/>
          <w:szCs w:val="24"/>
          <w:lang w:val="en-US"/>
        </w:rPr>
        <w:t>r</w:t>
      </w:r>
      <w:r w:rsidR="00CA36DD" w:rsidRPr="003101A0">
        <w:rPr>
          <w:rFonts w:ascii="Times New Roman" w:hAnsi="Times New Roman" w:cs="Times New Roman"/>
          <w:sz w:val="24"/>
          <w:szCs w:val="24"/>
          <w:lang w:val="en-US"/>
        </w:rPr>
        <w:t xml:space="preserve"> </w:t>
      </w:r>
      <w:r w:rsidR="00CA36DD" w:rsidRPr="003101A0">
        <w:rPr>
          <w:rFonts w:ascii="Times New Roman" w:hAnsi="Times New Roman" w:cs="Times New Roman"/>
          <w:sz w:val="24"/>
          <w:szCs w:val="24"/>
          <w:lang w:val="en-US" w:eastAsia="zh-CN"/>
        </w:rPr>
        <w:t>the</w:t>
      </w:r>
      <w:r w:rsidR="00021CC2" w:rsidRPr="003101A0">
        <w:rPr>
          <w:rFonts w:ascii="Times New Roman" w:hAnsi="Times New Roman" w:cs="Times New Roman"/>
          <w:sz w:val="24"/>
          <w:szCs w:val="24"/>
          <w:lang w:val="en-US"/>
        </w:rPr>
        <w:t xml:space="preserve"> </w:t>
      </w:r>
      <w:proofErr w:type="spellStart"/>
      <w:r w:rsidR="00C222AA">
        <w:rPr>
          <w:rFonts w:ascii="Times New Roman" w:hAnsi="Times New Roman" w:cs="Times New Roman"/>
          <w:i/>
          <w:sz w:val="24"/>
          <w:szCs w:val="24"/>
          <w:lang w:val="en-US"/>
        </w:rPr>
        <w:t>CA</w:t>
      </w:r>
      <w:r w:rsidR="00BA2952" w:rsidRPr="003101A0">
        <w:rPr>
          <w:rFonts w:ascii="Times New Roman" w:hAnsi="Times New Roman" w:cs="Times New Roman"/>
          <w:i/>
          <w:sz w:val="24"/>
          <w:szCs w:val="24"/>
          <w:lang w:val="en-US" w:eastAsia="zh-CN"/>
        </w:rPr>
        <w:t>flow</w:t>
      </w:r>
      <w:proofErr w:type="spellEnd"/>
      <w:r w:rsidR="00BA2952" w:rsidRPr="003101A0">
        <w:rPr>
          <w:rFonts w:ascii="Times New Roman" w:hAnsi="Times New Roman" w:cs="Times New Roman"/>
          <w:i/>
          <w:sz w:val="24"/>
          <w:szCs w:val="24"/>
          <w:lang w:val="en-US" w:eastAsia="zh-CN"/>
        </w:rPr>
        <w:t xml:space="preserve"> </w:t>
      </w:r>
      <w:r w:rsidR="008B193A" w:rsidRPr="00B07C86">
        <w:rPr>
          <w:rFonts w:ascii="Times New Roman" w:hAnsi="Times New Roman" w:cs="Times New Roman"/>
          <w:i/>
          <w:sz w:val="24"/>
          <w:szCs w:val="24"/>
          <w:lang w:val="en-US"/>
        </w:rPr>
        <w:t>×</w:t>
      </w:r>
      <w:r w:rsidR="00021CC2" w:rsidRPr="003101A0">
        <w:rPr>
          <w:rFonts w:ascii="Times New Roman" w:hAnsi="Times New Roman" w:cs="Times New Roman"/>
          <w:i/>
          <w:sz w:val="24"/>
          <w:szCs w:val="24"/>
          <w:lang w:val="en-US" w:eastAsia="zh-CN"/>
        </w:rPr>
        <w:t xml:space="preserve"> </w:t>
      </w:r>
      <w:r w:rsidR="00021CC2" w:rsidRPr="003101A0">
        <w:rPr>
          <w:rFonts w:ascii="Times New Roman" w:hAnsi="Times New Roman" w:cs="Times New Roman"/>
          <w:i/>
          <w:sz w:val="24"/>
          <w:szCs w:val="24"/>
          <w:lang w:val="en-US"/>
        </w:rPr>
        <w:t>Conv</w:t>
      </w:r>
      <w:r w:rsidR="00021CC2" w:rsidRPr="003101A0">
        <w:rPr>
          <w:rFonts w:ascii="Times New Roman" w:hAnsi="Times New Roman" w:cs="Times New Roman"/>
          <w:i/>
          <w:sz w:val="24"/>
          <w:szCs w:val="24"/>
          <w:lang w:val="en-US" w:eastAsia="zh-CN"/>
        </w:rPr>
        <w:t>ertible</w:t>
      </w:r>
      <w:r w:rsidR="00BA2952" w:rsidRPr="003101A0">
        <w:rPr>
          <w:rFonts w:ascii="Times New Roman" w:hAnsi="Times New Roman" w:cs="Times New Roman"/>
          <w:iCs/>
          <w:sz w:val="24"/>
          <w:szCs w:val="24"/>
          <w:lang w:val="en-US" w:eastAsia="zh-CN"/>
        </w:rPr>
        <w:t xml:space="preserve"> interaction term</w:t>
      </w:r>
      <w:r w:rsidRPr="003101A0">
        <w:rPr>
          <w:rFonts w:ascii="Times New Roman" w:hAnsi="Times New Roman" w:cs="Times New Roman"/>
          <w:sz w:val="24"/>
          <w:szCs w:val="24"/>
          <w:lang w:val="en-US"/>
        </w:rPr>
        <w:t xml:space="preserve">. However, the main effect of </w:t>
      </w:r>
      <w:r w:rsidRPr="003101A0">
        <w:rPr>
          <w:rFonts w:ascii="Times New Roman" w:hAnsi="Times New Roman" w:cs="Times New Roman"/>
          <w:i/>
          <w:sz w:val="24"/>
          <w:szCs w:val="24"/>
          <w:lang w:val="en-US"/>
        </w:rPr>
        <w:t>Convertible</w:t>
      </w:r>
      <w:r w:rsidRPr="003101A0">
        <w:rPr>
          <w:rFonts w:ascii="Times New Roman" w:hAnsi="Times New Roman" w:cs="Times New Roman"/>
          <w:sz w:val="24"/>
          <w:szCs w:val="24"/>
          <w:lang w:val="en-US"/>
        </w:rPr>
        <w:t xml:space="preserve"> remains unaffected, suggesting that </w:t>
      </w:r>
      <w:r w:rsidR="00C22BD7" w:rsidRPr="003101A0">
        <w:rPr>
          <w:rFonts w:ascii="Times New Roman" w:hAnsi="Times New Roman" w:cs="Times New Roman"/>
          <w:sz w:val="24"/>
          <w:szCs w:val="24"/>
          <w:lang w:val="en-US"/>
        </w:rPr>
        <w:t xml:space="preserve">the lower covenant intensity of </w:t>
      </w:r>
      <w:r w:rsidR="00C22BD7" w:rsidRPr="003101A0">
        <w:rPr>
          <w:rFonts w:ascii="Times New Roman" w:hAnsi="Times New Roman" w:cs="Times New Roman"/>
          <w:sz w:val="24"/>
          <w:szCs w:val="24"/>
          <w:lang w:val="en-US" w:eastAsia="zh-CN"/>
        </w:rPr>
        <w:t xml:space="preserve">convertibles </w:t>
      </w:r>
      <w:r w:rsidR="00891C18" w:rsidRPr="003101A0">
        <w:rPr>
          <w:rFonts w:ascii="Times New Roman" w:hAnsi="Times New Roman" w:cs="Times New Roman"/>
          <w:sz w:val="24"/>
          <w:szCs w:val="24"/>
          <w:lang w:val="en-US" w:eastAsia="zh-CN"/>
        </w:rPr>
        <w:t xml:space="preserve">does not </w:t>
      </w:r>
      <w:r w:rsidR="00BA2952" w:rsidRPr="003101A0">
        <w:rPr>
          <w:rFonts w:ascii="Times New Roman" w:hAnsi="Times New Roman" w:cs="Times New Roman"/>
          <w:sz w:val="24"/>
          <w:szCs w:val="24"/>
          <w:lang w:val="en-US" w:eastAsia="zh-CN"/>
        </w:rPr>
        <w:t xml:space="preserve">rely </w:t>
      </w:r>
      <w:r w:rsidR="00C22BD7" w:rsidRPr="003101A0">
        <w:rPr>
          <w:rFonts w:ascii="Times New Roman" w:hAnsi="Times New Roman" w:cs="Times New Roman"/>
          <w:sz w:val="24"/>
          <w:szCs w:val="24"/>
          <w:lang w:val="en-US" w:eastAsia="zh-CN"/>
        </w:rPr>
        <w:t xml:space="preserve">on </w:t>
      </w:r>
      <w:r w:rsidR="002D645D">
        <w:rPr>
          <w:rFonts w:ascii="Times New Roman" w:hAnsi="Times New Roman" w:cs="Times New Roman"/>
          <w:sz w:val="24"/>
          <w:szCs w:val="24"/>
          <w:lang w:val="en-US" w:eastAsia="zh-CN"/>
        </w:rPr>
        <w:t xml:space="preserve">a strong presence of </w:t>
      </w:r>
      <w:r w:rsidRPr="003101A0">
        <w:rPr>
          <w:rFonts w:ascii="Times New Roman" w:hAnsi="Times New Roman" w:cs="Times New Roman"/>
          <w:sz w:val="24"/>
          <w:szCs w:val="24"/>
          <w:lang w:val="en-US"/>
        </w:rPr>
        <w:t>convertible bond arbitrageurs among convertible bond investors.</w:t>
      </w:r>
    </w:p>
    <w:p w14:paraId="4DF19B6F" w14:textId="498D72F3" w:rsidR="00986744" w:rsidRPr="003101A0" w:rsidRDefault="00986744" w:rsidP="00515C58">
      <w:pPr>
        <w:spacing w:after="0" w:line="480" w:lineRule="auto"/>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&lt;&lt; Please insert Table 4 here &gt;&gt;</w:t>
      </w:r>
    </w:p>
    <w:p w14:paraId="73B322A8" w14:textId="0730EAC8" w:rsidR="00CE301A" w:rsidRPr="003101A0" w:rsidRDefault="00F52F5F" w:rsidP="00515C58">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Table 4, Panel B</w:t>
      </w:r>
      <w:r w:rsidR="000D638C"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 xml:space="preserve"> </w:t>
      </w:r>
      <w:r w:rsidR="00BA2952" w:rsidRPr="003101A0">
        <w:rPr>
          <w:rFonts w:ascii="Times New Roman" w:hAnsi="Times New Roman" w:cs="Times New Roman"/>
          <w:sz w:val="24"/>
          <w:szCs w:val="24"/>
          <w:lang w:val="en-US"/>
        </w:rPr>
        <w:t xml:space="preserve">repeats </w:t>
      </w:r>
      <w:r w:rsidRPr="003101A0">
        <w:rPr>
          <w:rFonts w:ascii="Times New Roman" w:hAnsi="Times New Roman" w:cs="Times New Roman"/>
          <w:sz w:val="24"/>
          <w:szCs w:val="24"/>
          <w:lang w:val="en-US"/>
        </w:rPr>
        <w:t xml:space="preserve">the </w:t>
      </w:r>
      <w:r w:rsidR="00E4348D" w:rsidRPr="003101A0">
        <w:rPr>
          <w:rFonts w:ascii="Times New Roman" w:hAnsi="Times New Roman" w:cs="Times New Roman"/>
          <w:sz w:val="24"/>
          <w:szCs w:val="24"/>
          <w:lang w:val="en-US"/>
        </w:rPr>
        <w:t>baseline covenant intensity regression</w:t>
      </w:r>
      <w:r w:rsidRPr="003101A0">
        <w:rPr>
          <w:rFonts w:ascii="Times New Roman" w:hAnsi="Times New Roman" w:cs="Times New Roman"/>
          <w:sz w:val="24"/>
          <w:szCs w:val="24"/>
          <w:lang w:val="en-US"/>
        </w:rPr>
        <w:t xml:space="preserve"> for relevant subsamples as an additional robustness test. </w:t>
      </w:r>
      <w:r w:rsidR="00621012" w:rsidRPr="003101A0">
        <w:rPr>
          <w:rFonts w:ascii="Times New Roman" w:hAnsi="Times New Roman" w:cs="Times New Roman"/>
          <w:sz w:val="24"/>
          <w:szCs w:val="24"/>
          <w:lang w:val="en-US"/>
        </w:rPr>
        <w:t>A sizeable percentage of the convertible</w:t>
      </w:r>
      <w:r w:rsidR="00311822">
        <w:rPr>
          <w:rFonts w:ascii="Times New Roman" w:hAnsi="Times New Roman" w:cs="Times New Roman"/>
          <w:sz w:val="24"/>
          <w:szCs w:val="24"/>
          <w:lang w:val="en-US"/>
        </w:rPr>
        <w:t>s</w:t>
      </w:r>
      <w:r w:rsidR="00621012" w:rsidRPr="003101A0">
        <w:rPr>
          <w:rFonts w:ascii="Times New Roman" w:hAnsi="Times New Roman" w:cs="Times New Roman"/>
          <w:sz w:val="24"/>
          <w:szCs w:val="24"/>
          <w:lang w:val="en-US"/>
        </w:rPr>
        <w:t xml:space="preserve"> (37.48%) and straight bond</w:t>
      </w:r>
      <w:r w:rsidR="00311822">
        <w:rPr>
          <w:rFonts w:ascii="Times New Roman" w:hAnsi="Times New Roman" w:cs="Times New Roman"/>
          <w:sz w:val="24"/>
          <w:szCs w:val="24"/>
          <w:lang w:val="en-US"/>
        </w:rPr>
        <w:t>s</w:t>
      </w:r>
      <w:r w:rsidR="00621012" w:rsidRPr="003101A0">
        <w:rPr>
          <w:rFonts w:ascii="Times New Roman" w:hAnsi="Times New Roman" w:cs="Times New Roman"/>
          <w:sz w:val="24"/>
          <w:szCs w:val="24"/>
          <w:lang w:val="en-US"/>
        </w:rPr>
        <w:t xml:space="preserve"> (16.51%) are Rule </w:t>
      </w:r>
      <w:r w:rsidR="00236DDC" w:rsidRPr="003101A0">
        <w:rPr>
          <w:rFonts w:ascii="Times New Roman" w:hAnsi="Times New Roman" w:cs="Times New Roman"/>
          <w:sz w:val="24"/>
          <w:szCs w:val="24"/>
          <w:lang w:val="en-US"/>
        </w:rPr>
        <w:t>144a</w:t>
      </w:r>
      <w:r w:rsidR="00621012" w:rsidRPr="003101A0">
        <w:rPr>
          <w:rFonts w:ascii="Times New Roman" w:hAnsi="Times New Roman" w:cs="Times New Roman"/>
          <w:sz w:val="24"/>
          <w:szCs w:val="24"/>
          <w:lang w:val="en-US"/>
        </w:rPr>
        <w:t xml:space="preserve"> offerings. </w:t>
      </w:r>
      <w:r w:rsidR="00BA2952" w:rsidRPr="003101A0">
        <w:rPr>
          <w:rFonts w:ascii="Times New Roman" w:hAnsi="Times New Roman" w:cs="Times New Roman"/>
          <w:sz w:val="24"/>
          <w:szCs w:val="24"/>
          <w:lang w:val="en-US"/>
        </w:rPr>
        <w:t>Results in c</w:t>
      </w:r>
      <w:r w:rsidR="00621012" w:rsidRPr="003101A0">
        <w:rPr>
          <w:rFonts w:ascii="Times New Roman" w:hAnsi="Times New Roman" w:cs="Times New Roman"/>
          <w:sz w:val="24"/>
          <w:szCs w:val="24"/>
          <w:lang w:val="en-US"/>
        </w:rPr>
        <w:t xml:space="preserve">olumns (1) and (2) show that the negative association between the conversion option and covenant intensity holds both for </w:t>
      </w:r>
      <w:r w:rsidR="00621012" w:rsidRPr="003101A0">
        <w:rPr>
          <w:rFonts w:ascii="Times New Roman" w:hAnsi="Times New Roman" w:cs="Times New Roman"/>
          <w:sz w:val="24"/>
          <w:szCs w:val="24"/>
          <w:lang w:val="en-US"/>
        </w:rPr>
        <w:lastRenderedPageBreak/>
        <w:t xml:space="preserve">Rule </w:t>
      </w:r>
      <w:r w:rsidR="00236DDC" w:rsidRPr="003101A0">
        <w:rPr>
          <w:rFonts w:ascii="Times New Roman" w:hAnsi="Times New Roman" w:cs="Times New Roman"/>
          <w:sz w:val="24"/>
          <w:szCs w:val="24"/>
          <w:lang w:val="en-US"/>
        </w:rPr>
        <w:t>144a</w:t>
      </w:r>
      <w:r w:rsidR="00621012" w:rsidRPr="003101A0">
        <w:rPr>
          <w:rFonts w:ascii="Times New Roman" w:hAnsi="Times New Roman" w:cs="Times New Roman"/>
          <w:sz w:val="24"/>
          <w:szCs w:val="24"/>
          <w:lang w:val="en-US"/>
        </w:rPr>
        <w:t xml:space="preserve"> and public bonds</w:t>
      </w:r>
      <w:r w:rsidR="00871C61" w:rsidRPr="003101A0">
        <w:rPr>
          <w:rFonts w:ascii="Times New Roman" w:hAnsi="Times New Roman" w:cs="Times New Roman"/>
          <w:sz w:val="24"/>
          <w:szCs w:val="24"/>
          <w:lang w:val="en-US"/>
        </w:rPr>
        <w:t>. However,</w:t>
      </w:r>
      <w:r w:rsidR="00621012" w:rsidRPr="003101A0">
        <w:rPr>
          <w:rFonts w:ascii="Times New Roman" w:hAnsi="Times New Roman" w:cs="Times New Roman"/>
          <w:sz w:val="24"/>
          <w:szCs w:val="24"/>
          <w:lang w:val="en-US"/>
        </w:rPr>
        <w:t xml:space="preserve"> the association is weaker for the former. </w:t>
      </w:r>
      <w:r w:rsidR="007340C8">
        <w:rPr>
          <w:rFonts w:ascii="Times New Roman" w:hAnsi="Times New Roman" w:cs="Times New Roman"/>
          <w:sz w:val="24"/>
          <w:szCs w:val="24"/>
          <w:lang w:val="en-US"/>
        </w:rPr>
        <w:t>A</w:t>
      </w:r>
      <w:r w:rsidR="00621012" w:rsidRPr="003101A0">
        <w:rPr>
          <w:rFonts w:ascii="Times New Roman" w:hAnsi="Times New Roman" w:cs="Times New Roman"/>
          <w:sz w:val="24"/>
          <w:szCs w:val="24"/>
          <w:lang w:val="en-US"/>
        </w:rPr>
        <w:t xml:space="preserve"> substantial </w:t>
      </w:r>
      <w:r w:rsidR="004C1920">
        <w:rPr>
          <w:rFonts w:ascii="Times New Roman" w:hAnsi="Times New Roman" w:cs="Times New Roman"/>
          <w:sz w:val="24"/>
          <w:szCs w:val="24"/>
          <w:lang w:val="en-US"/>
        </w:rPr>
        <w:t>portion</w:t>
      </w:r>
      <w:r w:rsidR="004C1920" w:rsidRPr="003101A0">
        <w:rPr>
          <w:rFonts w:ascii="Times New Roman" w:hAnsi="Times New Roman" w:cs="Times New Roman"/>
          <w:sz w:val="24"/>
          <w:szCs w:val="24"/>
          <w:lang w:val="en-US"/>
        </w:rPr>
        <w:t xml:space="preserve"> </w:t>
      </w:r>
      <w:r w:rsidR="007340C8">
        <w:rPr>
          <w:rFonts w:ascii="Times New Roman" w:hAnsi="Times New Roman" w:cs="Times New Roman"/>
          <w:sz w:val="24"/>
          <w:szCs w:val="24"/>
          <w:lang w:val="en-US"/>
        </w:rPr>
        <w:t>of</w:t>
      </w:r>
      <w:r w:rsidR="00621012" w:rsidRPr="003101A0">
        <w:rPr>
          <w:rFonts w:ascii="Times New Roman" w:hAnsi="Times New Roman" w:cs="Times New Roman"/>
          <w:sz w:val="24"/>
          <w:szCs w:val="24"/>
          <w:lang w:val="en-US"/>
        </w:rPr>
        <w:t xml:space="preserve"> the convertible </w:t>
      </w:r>
      <w:r w:rsidR="007340C8">
        <w:rPr>
          <w:rFonts w:ascii="Times New Roman" w:hAnsi="Times New Roman" w:cs="Times New Roman"/>
          <w:sz w:val="24"/>
          <w:szCs w:val="24"/>
          <w:lang w:val="en-US"/>
        </w:rPr>
        <w:t xml:space="preserve">and straight bond </w:t>
      </w:r>
      <w:r w:rsidR="00621012" w:rsidRPr="003101A0">
        <w:rPr>
          <w:rFonts w:ascii="Times New Roman" w:hAnsi="Times New Roman" w:cs="Times New Roman"/>
          <w:sz w:val="24"/>
          <w:szCs w:val="24"/>
          <w:lang w:val="en-US"/>
        </w:rPr>
        <w:t>offerings</w:t>
      </w:r>
      <w:r w:rsidR="007340C8">
        <w:rPr>
          <w:rFonts w:ascii="Times New Roman" w:hAnsi="Times New Roman" w:cs="Times New Roman"/>
          <w:sz w:val="24"/>
          <w:szCs w:val="24"/>
          <w:lang w:val="en-US"/>
        </w:rPr>
        <w:t xml:space="preserve"> </w:t>
      </w:r>
      <w:r w:rsidR="0036359A">
        <w:rPr>
          <w:rFonts w:ascii="Times New Roman" w:hAnsi="Times New Roman" w:cs="Times New Roman"/>
          <w:sz w:val="24"/>
          <w:szCs w:val="24"/>
          <w:lang w:val="en-US"/>
        </w:rPr>
        <w:t>is</w:t>
      </w:r>
      <w:r w:rsidR="007340C8">
        <w:rPr>
          <w:rFonts w:ascii="Times New Roman" w:hAnsi="Times New Roman" w:cs="Times New Roman"/>
          <w:sz w:val="24"/>
          <w:szCs w:val="24"/>
          <w:lang w:val="en-US"/>
        </w:rPr>
        <w:t xml:space="preserve"> shelf-registered (</w:t>
      </w:r>
      <w:r w:rsidR="007340C8" w:rsidRPr="003101A0">
        <w:rPr>
          <w:rFonts w:ascii="Times New Roman" w:hAnsi="Times New Roman" w:cs="Times New Roman"/>
          <w:sz w:val="24"/>
          <w:szCs w:val="24"/>
          <w:lang w:val="en-US"/>
        </w:rPr>
        <w:t>26.7</w:t>
      </w:r>
      <w:r w:rsidR="006A6959">
        <w:rPr>
          <w:rFonts w:ascii="Times New Roman" w:hAnsi="Times New Roman" w:cs="Times New Roman"/>
          <w:sz w:val="24"/>
          <w:szCs w:val="24"/>
          <w:lang w:val="en-US"/>
        </w:rPr>
        <w:t>0</w:t>
      </w:r>
      <w:r w:rsidR="007340C8" w:rsidRPr="003101A0">
        <w:rPr>
          <w:rFonts w:ascii="Times New Roman" w:hAnsi="Times New Roman" w:cs="Times New Roman"/>
          <w:sz w:val="24"/>
          <w:szCs w:val="24"/>
          <w:lang w:val="en-US"/>
        </w:rPr>
        <w:t>%</w:t>
      </w:r>
      <w:r w:rsidR="007340C8">
        <w:rPr>
          <w:rFonts w:ascii="Times New Roman" w:hAnsi="Times New Roman" w:cs="Times New Roman"/>
          <w:sz w:val="24"/>
          <w:szCs w:val="24"/>
          <w:lang w:val="en-US"/>
        </w:rPr>
        <w:t xml:space="preserve"> and</w:t>
      </w:r>
      <w:r w:rsidR="007340C8" w:rsidRPr="003101A0">
        <w:rPr>
          <w:rFonts w:ascii="Times New Roman" w:hAnsi="Times New Roman" w:cs="Times New Roman"/>
          <w:sz w:val="24"/>
          <w:szCs w:val="24"/>
          <w:lang w:val="en-US"/>
        </w:rPr>
        <w:t xml:space="preserve"> 50.99%</w:t>
      </w:r>
      <w:r w:rsidR="007340C8">
        <w:rPr>
          <w:rFonts w:ascii="Times New Roman" w:hAnsi="Times New Roman" w:cs="Times New Roman"/>
          <w:sz w:val="24"/>
          <w:szCs w:val="24"/>
          <w:lang w:val="en-US"/>
        </w:rPr>
        <w:t>, respectively</w:t>
      </w:r>
      <w:r w:rsidR="007340C8" w:rsidRPr="003101A0">
        <w:rPr>
          <w:rFonts w:ascii="Times New Roman" w:hAnsi="Times New Roman" w:cs="Times New Roman"/>
          <w:sz w:val="24"/>
          <w:szCs w:val="24"/>
          <w:lang w:val="en-US"/>
        </w:rPr>
        <w:t>)</w:t>
      </w:r>
      <w:r w:rsidR="00621012" w:rsidRPr="003101A0">
        <w:rPr>
          <w:rFonts w:ascii="Times New Roman" w:hAnsi="Times New Roman" w:cs="Times New Roman"/>
          <w:sz w:val="24"/>
          <w:szCs w:val="24"/>
          <w:lang w:val="en-US"/>
        </w:rPr>
        <w:t xml:space="preserve">. </w:t>
      </w:r>
      <w:r w:rsidR="00343D66">
        <w:rPr>
          <w:rFonts w:ascii="Times New Roman" w:hAnsi="Times New Roman" w:cs="Times New Roman"/>
          <w:sz w:val="24"/>
          <w:szCs w:val="24"/>
          <w:lang w:val="en-US"/>
        </w:rPr>
        <w:t>Results in c</w:t>
      </w:r>
      <w:r w:rsidR="00621012" w:rsidRPr="003101A0">
        <w:rPr>
          <w:rFonts w:ascii="Times New Roman" w:hAnsi="Times New Roman" w:cs="Times New Roman"/>
          <w:sz w:val="24"/>
          <w:szCs w:val="24"/>
          <w:lang w:val="en-US"/>
        </w:rPr>
        <w:t>olumns (3) and (4) illustrate that the negative relation</w:t>
      </w:r>
      <w:r w:rsidR="000D638C" w:rsidRPr="003101A0">
        <w:rPr>
          <w:rFonts w:ascii="Times New Roman" w:hAnsi="Times New Roman" w:cs="Times New Roman"/>
          <w:sz w:val="24"/>
          <w:szCs w:val="24"/>
          <w:lang w:val="en-US"/>
        </w:rPr>
        <w:t>ship</w:t>
      </w:r>
      <w:r w:rsidR="00621012" w:rsidRPr="003101A0">
        <w:rPr>
          <w:rFonts w:ascii="Times New Roman" w:hAnsi="Times New Roman" w:cs="Times New Roman"/>
          <w:sz w:val="24"/>
          <w:szCs w:val="24"/>
          <w:lang w:val="en-US"/>
        </w:rPr>
        <w:t xml:space="preserve"> between the conversion option and covenant intensity holds for shelf </w:t>
      </w:r>
      <w:r w:rsidR="00BA2952" w:rsidRPr="003101A0">
        <w:rPr>
          <w:rFonts w:ascii="Times New Roman" w:hAnsi="Times New Roman" w:cs="Times New Roman"/>
          <w:sz w:val="24"/>
          <w:szCs w:val="24"/>
          <w:lang w:val="en-US"/>
        </w:rPr>
        <w:t xml:space="preserve">and </w:t>
      </w:r>
      <w:r w:rsidR="00621012" w:rsidRPr="003101A0">
        <w:rPr>
          <w:rFonts w:ascii="Times New Roman" w:hAnsi="Times New Roman" w:cs="Times New Roman"/>
          <w:sz w:val="24"/>
          <w:szCs w:val="24"/>
          <w:lang w:val="en-US"/>
        </w:rPr>
        <w:t>non-shelf offerings</w:t>
      </w:r>
      <w:r w:rsidR="00A4076F" w:rsidRPr="003101A0">
        <w:rPr>
          <w:rFonts w:ascii="Times New Roman" w:hAnsi="Times New Roman" w:cs="Times New Roman"/>
          <w:sz w:val="24"/>
          <w:szCs w:val="24"/>
          <w:lang w:val="en-US"/>
        </w:rPr>
        <w:t xml:space="preserve"> </w:t>
      </w:r>
      <w:r w:rsidR="00105EE5" w:rsidRPr="003101A0">
        <w:rPr>
          <w:rFonts w:ascii="Times New Roman" w:hAnsi="Times New Roman" w:cs="Times New Roman"/>
          <w:sz w:val="24"/>
          <w:szCs w:val="24"/>
          <w:lang w:val="en-US"/>
        </w:rPr>
        <w:t xml:space="preserve">but is </w:t>
      </w:r>
      <w:r w:rsidR="00A4076F" w:rsidRPr="003101A0">
        <w:rPr>
          <w:rFonts w:ascii="Times New Roman" w:hAnsi="Times New Roman" w:cs="Times New Roman"/>
          <w:sz w:val="24"/>
          <w:szCs w:val="24"/>
          <w:lang w:val="en-US"/>
        </w:rPr>
        <w:t>more pronounced for the former group</w:t>
      </w:r>
      <w:r w:rsidR="00621012" w:rsidRPr="003101A0">
        <w:rPr>
          <w:rFonts w:ascii="Times New Roman" w:hAnsi="Times New Roman" w:cs="Times New Roman"/>
          <w:sz w:val="24"/>
          <w:szCs w:val="24"/>
          <w:lang w:val="en-US"/>
        </w:rPr>
        <w:t>.</w:t>
      </w:r>
      <w:r w:rsidR="00621012" w:rsidRPr="003101A0">
        <w:rPr>
          <w:rStyle w:val="FootnoteReference"/>
          <w:rFonts w:ascii="Times New Roman" w:hAnsi="Times New Roman" w:cs="Times New Roman"/>
          <w:sz w:val="24"/>
          <w:szCs w:val="24"/>
          <w:lang w:val="en-US"/>
        </w:rPr>
        <w:footnoteReference w:id="13"/>
      </w:r>
      <w:r w:rsidR="00621012" w:rsidRPr="003101A0">
        <w:rPr>
          <w:rFonts w:ascii="Times New Roman" w:hAnsi="Times New Roman" w:cs="Times New Roman"/>
          <w:sz w:val="24"/>
          <w:szCs w:val="24"/>
          <w:lang w:val="en-US"/>
        </w:rPr>
        <w:t xml:space="preserve"> </w:t>
      </w:r>
      <w:r w:rsidR="00232D7C" w:rsidRPr="003101A0">
        <w:rPr>
          <w:rFonts w:ascii="Times New Roman" w:hAnsi="Times New Roman" w:cs="Times New Roman"/>
          <w:sz w:val="24"/>
          <w:szCs w:val="24"/>
          <w:lang w:val="en-US"/>
        </w:rPr>
        <w:t>Convertibles differ in the magnit</w:t>
      </w:r>
      <w:r w:rsidR="005C472A" w:rsidRPr="003101A0">
        <w:rPr>
          <w:rFonts w:ascii="Times New Roman" w:hAnsi="Times New Roman" w:cs="Times New Roman"/>
          <w:sz w:val="24"/>
          <w:szCs w:val="24"/>
          <w:lang w:val="en-US"/>
        </w:rPr>
        <w:t xml:space="preserve">ude of their equity components (Lewis et al., 1998). </w:t>
      </w:r>
      <w:r w:rsidR="00343D66">
        <w:rPr>
          <w:rFonts w:ascii="Times New Roman" w:hAnsi="Times New Roman" w:cs="Times New Roman"/>
          <w:sz w:val="24"/>
          <w:szCs w:val="24"/>
          <w:lang w:val="en-US"/>
        </w:rPr>
        <w:t xml:space="preserve">Regressions in </w:t>
      </w:r>
      <w:r w:rsidR="001D1C16" w:rsidRPr="003101A0">
        <w:rPr>
          <w:rFonts w:ascii="Times New Roman" w:hAnsi="Times New Roman" w:cs="Times New Roman"/>
          <w:sz w:val="24"/>
          <w:szCs w:val="24"/>
          <w:lang w:val="en-US"/>
        </w:rPr>
        <w:t>c</w:t>
      </w:r>
      <w:r w:rsidR="00E24872" w:rsidRPr="003101A0">
        <w:rPr>
          <w:rFonts w:ascii="Times New Roman" w:hAnsi="Times New Roman" w:cs="Times New Roman"/>
          <w:sz w:val="24"/>
          <w:szCs w:val="24"/>
          <w:lang w:val="en-US"/>
        </w:rPr>
        <w:t>olumns (5) and (6)</w:t>
      </w:r>
      <w:r w:rsidR="00343D66">
        <w:rPr>
          <w:rFonts w:ascii="Times New Roman" w:hAnsi="Times New Roman" w:cs="Times New Roman"/>
          <w:sz w:val="24"/>
          <w:szCs w:val="24"/>
          <w:lang w:val="en-US"/>
        </w:rPr>
        <w:t xml:space="preserve"> show </w:t>
      </w:r>
      <w:r w:rsidR="00E24872" w:rsidRPr="003101A0">
        <w:rPr>
          <w:rFonts w:ascii="Times New Roman" w:hAnsi="Times New Roman" w:cs="Times New Roman"/>
          <w:sz w:val="24"/>
          <w:szCs w:val="24"/>
          <w:lang w:val="en-US"/>
        </w:rPr>
        <w:t xml:space="preserve">a negative coefficient on </w:t>
      </w:r>
      <w:r w:rsidR="00E24872" w:rsidRPr="003101A0">
        <w:rPr>
          <w:rFonts w:ascii="Times New Roman" w:hAnsi="Times New Roman" w:cs="Times New Roman"/>
          <w:i/>
          <w:iCs/>
          <w:sz w:val="24"/>
          <w:szCs w:val="24"/>
          <w:lang w:val="en-US"/>
        </w:rPr>
        <w:t>Convertible</w:t>
      </w:r>
      <w:r w:rsidR="00E24872" w:rsidRPr="003101A0">
        <w:rPr>
          <w:rFonts w:ascii="Times New Roman" w:hAnsi="Times New Roman" w:cs="Times New Roman"/>
          <w:sz w:val="24"/>
          <w:szCs w:val="24"/>
          <w:lang w:val="en-US"/>
        </w:rPr>
        <w:t xml:space="preserve"> for subsamples of debt-like and equity-like convertibles, </w:t>
      </w:r>
      <w:r w:rsidR="007340C8">
        <w:rPr>
          <w:rFonts w:ascii="Times New Roman" w:hAnsi="Times New Roman" w:cs="Times New Roman"/>
          <w:sz w:val="24"/>
          <w:szCs w:val="24"/>
          <w:lang w:val="en-US"/>
        </w:rPr>
        <w:t>suggesting</w:t>
      </w:r>
      <w:r w:rsidR="007340C8" w:rsidRPr="003101A0">
        <w:rPr>
          <w:rFonts w:ascii="Times New Roman" w:hAnsi="Times New Roman" w:cs="Times New Roman"/>
          <w:sz w:val="24"/>
          <w:szCs w:val="24"/>
          <w:lang w:val="en-US"/>
        </w:rPr>
        <w:t xml:space="preserve"> </w:t>
      </w:r>
      <w:r w:rsidR="005C472A" w:rsidRPr="003101A0">
        <w:rPr>
          <w:rFonts w:ascii="Times New Roman" w:hAnsi="Times New Roman" w:cs="Times New Roman"/>
          <w:sz w:val="24"/>
          <w:szCs w:val="24"/>
          <w:lang w:val="en-US"/>
        </w:rPr>
        <w:t xml:space="preserve">that the lower covenant intensity of convertibles holds across the spectrum of equity component sizes. </w:t>
      </w:r>
      <w:r w:rsidR="00871C61" w:rsidRPr="003101A0">
        <w:rPr>
          <w:rFonts w:ascii="Times New Roman" w:hAnsi="Times New Roman" w:cs="Times New Roman"/>
          <w:sz w:val="24"/>
          <w:szCs w:val="24"/>
          <w:lang w:val="en-US"/>
        </w:rPr>
        <w:t>However, the coefficient is larger</w:t>
      </w:r>
      <w:r w:rsidR="00E24872" w:rsidRPr="003101A0">
        <w:rPr>
          <w:rFonts w:ascii="Times New Roman" w:hAnsi="Times New Roman" w:cs="Times New Roman"/>
          <w:sz w:val="24"/>
          <w:szCs w:val="24"/>
          <w:lang w:val="en-US"/>
        </w:rPr>
        <w:t xml:space="preserve"> for debt-like convertibles, consistent with </w:t>
      </w:r>
      <w:r w:rsidR="007340C8">
        <w:rPr>
          <w:rFonts w:ascii="Times New Roman" w:hAnsi="Times New Roman" w:cs="Times New Roman"/>
          <w:sz w:val="24"/>
          <w:szCs w:val="24"/>
          <w:lang w:val="en-US"/>
        </w:rPr>
        <w:t>evidence that</w:t>
      </w:r>
      <w:r w:rsidR="00104C69" w:rsidRPr="003101A0">
        <w:rPr>
          <w:rFonts w:ascii="Times New Roman" w:hAnsi="Times New Roman" w:cs="Times New Roman"/>
          <w:sz w:val="24"/>
          <w:szCs w:val="24"/>
          <w:lang w:val="en-US"/>
        </w:rPr>
        <w:t xml:space="preserve"> debt-like convertibles</w:t>
      </w:r>
      <w:r w:rsidR="00E24872" w:rsidRPr="003101A0">
        <w:rPr>
          <w:rFonts w:ascii="Times New Roman" w:hAnsi="Times New Roman" w:cs="Times New Roman"/>
          <w:sz w:val="24"/>
          <w:szCs w:val="24"/>
          <w:lang w:val="en-US"/>
        </w:rPr>
        <w:t xml:space="preserve"> are typically used by firms that wish to address debt-related agency costs (Green, 1984; Lewis et al., 1998). </w:t>
      </w:r>
      <w:r w:rsidR="00F6418A" w:rsidRPr="003101A0">
        <w:rPr>
          <w:rFonts w:ascii="Times New Roman" w:hAnsi="Times New Roman" w:cs="Times New Roman"/>
          <w:sz w:val="24"/>
          <w:szCs w:val="24"/>
          <w:lang w:val="en-US"/>
        </w:rPr>
        <w:t>F</w:t>
      </w:r>
      <w:r w:rsidR="00343D66">
        <w:rPr>
          <w:rFonts w:ascii="Times New Roman" w:hAnsi="Times New Roman" w:cs="Times New Roman"/>
          <w:sz w:val="24"/>
          <w:szCs w:val="24"/>
          <w:lang w:val="en-US"/>
        </w:rPr>
        <w:t>inally, f</w:t>
      </w:r>
      <w:r w:rsidR="00F6418A" w:rsidRPr="003101A0">
        <w:rPr>
          <w:rFonts w:ascii="Times New Roman" w:hAnsi="Times New Roman" w:cs="Times New Roman"/>
          <w:sz w:val="24"/>
          <w:szCs w:val="24"/>
          <w:lang w:val="en-US"/>
        </w:rPr>
        <w:t>indings</w:t>
      </w:r>
      <w:r w:rsidR="00104C69" w:rsidRPr="003101A0">
        <w:rPr>
          <w:rFonts w:ascii="Times New Roman" w:hAnsi="Times New Roman" w:cs="Times New Roman"/>
          <w:sz w:val="24"/>
          <w:szCs w:val="24"/>
          <w:lang w:val="en-US"/>
        </w:rPr>
        <w:t xml:space="preserve"> in c</w:t>
      </w:r>
      <w:r w:rsidR="00E24872" w:rsidRPr="003101A0">
        <w:rPr>
          <w:rFonts w:ascii="Times New Roman" w:hAnsi="Times New Roman" w:cs="Times New Roman"/>
          <w:sz w:val="24"/>
          <w:szCs w:val="24"/>
          <w:lang w:val="en-US"/>
        </w:rPr>
        <w:t>olumns (7) and (8) show that the baseline results hold</w:t>
      </w:r>
      <w:r w:rsidR="00105EE5" w:rsidRPr="003101A0">
        <w:rPr>
          <w:rFonts w:ascii="Times New Roman" w:hAnsi="Times New Roman" w:cs="Times New Roman"/>
          <w:sz w:val="24"/>
          <w:szCs w:val="24"/>
          <w:lang w:val="en-US"/>
        </w:rPr>
        <w:t xml:space="preserve"> equally strongly</w:t>
      </w:r>
      <w:r w:rsidR="00E24872" w:rsidRPr="003101A0">
        <w:rPr>
          <w:rFonts w:ascii="Times New Roman" w:hAnsi="Times New Roman" w:cs="Times New Roman"/>
          <w:sz w:val="24"/>
          <w:szCs w:val="24"/>
          <w:lang w:val="en-US"/>
        </w:rPr>
        <w:t xml:space="preserve"> for investment</w:t>
      </w:r>
      <w:r w:rsidR="009F7D89" w:rsidRPr="003101A0">
        <w:rPr>
          <w:rFonts w:ascii="Times New Roman" w:hAnsi="Times New Roman" w:cs="Times New Roman"/>
          <w:sz w:val="24"/>
          <w:szCs w:val="24"/>
          <w:lang w:val="en-US"/>
        </w:rPr>
        <w:t>-</w:t>
      </w:r>
      <w:r w:rsidR="00E24872" w:rsidRPr="003101A0">
        <w:rPr>
          <w:rFonts w:ascii="Times New Roman" w:hAnsi="Times New Roman" w:cs="Times New Roman"/>
          <w:sz w:val="24"/>
          <w:szCs w:val="24"/>
          <w:lang w:val="en-US"/>
        </w:rPr>
        <w:t xml:space="preserve">grade and non-investment-grade issuers. </w:t>
      </w:r>
    </w:p>
    <w:p w14:paraId="7E10040B" w14:textId="10110188" w:rsidR="007340C8" w:rsidRDefault="00623597" w:rsidP="007340C8">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Table </w:t>
      </w:r>
      <w:r w:rsidR="00E24872" w:rsidRPr="003101A0">
        <w:rPr>
          <w:rFonts w:ascii="Times New Roman" w:hAnsi="Times New Roman" w:cs="Times New Roman"/>
          <w:sz w:val="24"/>
          <w:szCs w:val="24"/>
          <w:lang w:val="en-US"/>
        </w:rPr>
        <w:t>5</w:t>
      </w:r>
      <w:r w:rsidRPr="003101A0">
        <w:rPr>
          <w:rFonts w:ascii="Times New Roman" w:hAnsi="Times New Roman" w:cs="Times New Roman"/>
          <w:sz w:val="24"/>
          <w:szCs w:val="24"/>
          <w:lang w:val="en-US"/>
        </w:rPr>
        <w:t xml:space="preserve"> reports the </w:t>
      </w:r>
      <w:r w:rsidR="00E4348D" w:rsidRPr="003101A0">
        <w:rPr>
          <w:rFonts w:ascii="Times New Roman" w:hAnsi="Times New Roman" w:cs="Times New Roman"/>
          <w:sz w:val="24"/>
          <w:szCs w:val="24"/>
          <w:lang w:val="en-US"/>
        </w:rPr>
        <w:t>baseline covenant intensity</w:t>
      </w:r>
      <w:r w:rsidRPr="003101A0">
        <w:rPr>
          <w:rFonts w:ascii="Times New Roman" w:hAnsi="Times New Roman" w:cs="Times New Roman"/>
          <w:sz w:val="24"/>
          <w:szCs w:val="24"/>
          <w:lang w:val="en-US"/>
        </w:rPr>
        <w:t xml:space="preserve"> </w:t>
      </w:r>
      <w:r w:rsidR="00E4348D" w:rsidRPr="003101A0">
        <w:rPr>
          <w:rFonts w:ascii="Times New Roman" w:hAnsi="Times New Roman" w:cs="Times New Roman"/>
          <w:sz w:val="24"/>
          <w:szCs w:val="24"/>
          <w:lang w:val="en-US"/>
        </w:rPr>
        <w:t xml:space="preserve">regression separately </w:t>
      </w:r>
      <w:r w:rsidRPr="003101A0">
        <w:rPr>
          <w:rFonts w:ascii="Times New Roman" w:hAnsi="Times New Roman" w:cs="Times New Roman"/>
          <w:sz w:val="24"/>
          <w:szCs w:val="24"/>
          <w:lang w:val="en-US"/>
        </w:rPr>
        <w:t xml:space="preserve">for the four groups of covenants. </w:t>
      </w:r>
      <w:r w:rsidR="00B44011" w:rsidRPr="003101A0">
        <w:rPr>
          <w:rFonts w:ascii="Times New Roman" w:hAnsi="Times New Roman" w:cs="Times New Roman"/>
          <w:sz w:val="24"/>
          <w:szCs w:val="24"/>
          <w:lang w:val="en-US"/>
        </w:rPr>
        <w:t>W</w:t>
      </w:r>
      <w:r w:rsidR="007170A3" w:rsidRPr="003101A0">
        <w:rPr>
          <w:rFonts w:ascii="Times New Roman" w:hAnsi="Times New Roman" w:cs="Times New Roman"/>
          <w:sz w:val="24"/>
          <w:szCs w:val="24"/>
          <w:lang w:val="en-US"/>
        </w:rPr>
        <w:t xml:space="preserve">e use </w:t>
      </w:r>
      <w:r w:rsidR="00B107C3" w:rsidRPr="003101A0">
        <w:rPr>
          <w:rFonts w:ascii="Times New Roman" w:hAnsi="Times New Roman" w:cs="Times New Roman"/>
          <w:sz w:val="24"/>
          <w:szCs w:val="24"/>
          <w:lang w:val="en-US"/>
        </w:rPr>
        <w:t xml:space="preserve">a </w:t>
      </w:r>
      <w:r w:rsidR="00B107C3" w:rsidRPr="003101A0">
        <w:rPr>
          <w:rFonts w:ascii="Times New Roman" w:hAnsi="Times New Roman" w:cs="Times New Roman"/>
          <w:i/>
          <w:iCs/>
          <w:sz w:val="24"/>
          <w:szCs w:val="24"/>
          <w:lang w:val="en-US"/>
        </w:rPr>
        <w:t>Covenant dummy</w:t>
      </w:r>
      <w:r w:rsidR="00B107C3" w:rsidRPr="003101A0">
        <w:rPr>
          <w:rFonts w:ascii="Times New Roman" w:hAnsi="Times New Roman" w:cs="Times New Roman"/>
          <w:sz w:val="24"/>
          <w:szCs w:val="24"/>
          <w:lang w:val="en-US"/>
        </w:rPr>
        <w:t xml:space="preserve"> equal to one if the bond issue has at least one covenant of the group under consideration as </w:t>
      </w:r>
      <w:r w:rsidR="00871C61" w:rsidRPr="003101A0">
        <w:rPr>
          <w:rFonts w:ascii="Times New Roman" w:hAnsi="Times New Roman" w:cs="Times New Roman"/>
          <w:sz w:val="24"/>
          <w:szCs w:val="24"/>
          <w:lang w:val="en-US"/>
        </w:rPr>
        <w:t xml:space="preserve">the </w:t>
      </w:r>
      <w:r w:rsidR="00B107C3" w:rsidRPr="003101A0">
        <w:rPr>
          <w:rFonts w:ascii="Times New Roman" w:hAnsi="Times New Roman" w:cs="Times New Roman"/>
          <w:sz w:val="24"/>
          <w:szCs w:val="24"/>
          <w:lang w:val="en-US"/>
        </w:rPr>
        <w:t>dependent variable and estimate one probit regression for each of the four covenant groups</w:t>
      </w:r>
      <w:r w:rsidR="00B44011" w:rsidRPr="003101A0">
        <w:rPr>
          <w:rFonts w:ascii="Times New Roman" w:hAnsi="Times New Roman" w:cs="Times New Roman"/>
          <w:sz w:val="24"/>
          <w:szCs w:val="24"/>
          <w:lang w:val="en-US"/>
        </w:rPr>
        <w:t>, consistent with previous studies (</w:t>
      </w:r>
      <w:proofErr w:type="spellStart"/>
      <w:r w:rsidR="00B44011" w:rsidRPr="003101A0">
        <w:rPr>
          <w:rFonts w:ascii="Times New Roman" w:hAnsi="Times New Roman" w:cs="Times New Roman"/>
          <w:sz w:val="24"/>
          <w:szCs w:val="24"/>
          <w:lang w:val="en-US"/>
        </w:rPr>
        <w:t>Chava</w:t>
      </w:r>
      <w:proofErr w:type="spellEnd"/>
      <w:r w:rsidR="00B44011" w:rsidRPr="003101A0">
        <w:rPr>
          <w:rFonts w:ascii="Times New Roman" w:hAnsi="Times New Roman" w:cs="Times New Roman"/>
          <w:sz w:val="24"/>
          <w:szCs w:val="24"/>
          <w:lang w:val="en-US"/>
        </w:rPr>
        <w:t xml:space="preserve"> et al., 2010</w:t>
      </w:r>
      <w:r w:rsidR="00311822">
        <w:rPr>
          <w:rFonts w:ascii="Times New Roman" w:hAnsi="Times New Roman" w:cs="Times New Roman"/>
          <w:sz w:val="24"/>
          <w:szCs w:val="24"/>
          <w:lang w:val="en-US"/>
        </w:rPr>
        <w:t>;</w:t>
      </w:r>
      <w:r w:rsidR="00B44011" w:rsidRPr="003101A0">
        <w:rPr>
          <w:rFonts w:ascii="Times New Roman" w:hAnsi="Times New Roman" w:cs="Times New Roman"/>
          <w:sz w:val="24"/>
          <w:szCs w:val="24"/>
          <w:lang w:val="en-US"/>
        </w:rPr>
        <w:t xml:space="preserve"> Co</w:t>
      </w:r>
      <w:r w:rsidR="00F167FF" w:rsidRPr="003101A0">
        <w:rPr>
          <w:rFonts w:ascii="Times New Roman" w:hAnsi="Times New Roman" w:cs="Times New Roman"/>
          <w:sz w:val="24"/>
          <w:szCs w:val="24"/>
          <w:lang w:val="en-US"/>
        </w:rPr>
        <w:t>o</w:t>
      </w:r>
      <w:r w:rsidR="00B44011" w:rsidRPr="003101A0">
        <w:rPr>
          <w:rFonts w:ascii="Times New Roman" w:hAnsi="Times New Roman" w:cs="Times New Roman"/>
          <w:sz w:val="24"/>
          <w:szCs w:val="24"/>
          <w:lang w:val="en-US"/>
        </w:rPr>
        <w:t>k et al., 2014</w:t>
      </w:r>
      <w:r w:rsidR="00BD2E53">
        <w:rPr>
          <w:rFonts w:ascii="Times New Roman" w:hAnsi="Times New Roman" w:cs="Times New Roman"/>
          <w:sz w:val="24"/>
          <w:szCs w:val="24"/>
          <w:lang w:val="en-US"/>
        </w:rPr>
        <w:t>;</w:t>
      </w:r>
      <w:r w:rsidR="00B44011" w:rsidRPr="003101A0">
        <w:rPr>
          <w:rFonts w:ascii="Times New Roman" w:hAnsi="Times New Roman" w:cs="Times New Roman"/>
          <w:sz w:val="24"/>
          <w:szCs w:val="24"/>
          <w:lang w:val="en-US"/>
        </w:rPr>
        <w:t xml:space="preserve"> </w:t>
      </w:r>
      <w:proofErr w:type="spellStart"/>
      <w:r w:rsidR="00B44011" w:rsidRPr="003101A0">
        <w:rPr>
          <w:rFonts w:ascii="Times New Roman" w:hAnsi="Times New Roman" w:cs="Times New Roman"/>
          <w:sz w:val="24"/>
          <w:szCs w:val="24"/>
          <w:lang w:val="en-US"/>
        </w:rPr>
        <w:t>Reisel</w:t>
      </w:r>
      <w:proofErr w:type="spellEnd"/>
      <w:r w:rsidR="00B44011" w:rsidRPr="003101A0">
        <w:rPr>
          <w:rFonts w:ascii="Times New Roman" w:hAnsi="Times New Roman" w:cs="Times New Roman"/>
          <w:sz w:val="24"/>
          <w:szCs w:val="24"/>
          <w:lang w:val="en-US"/>
        </w:rPr>
        <w:t xml:space="preserve">, 2014; Simpson and Grossman, 2017). </w:t>
      </w:r>
      <w:r w:rsidR="009F7D89" w:rsidRPr="003101A0">
        <w:rPr>
          <w:rFonts w:ascii="Times New Roman" w:hAnsi="Times New Roman" w:cs="Times New Roman"/>
          <w:sz w:val="24"/>
          <w:szCs w:val="24"/>
          <w:lang w:val="en-US"/>
        </w:rPr>
        <w:t>We find that t</w:t>
      </w:r>
      <w:r w:rsidR="00CE301A" w:rsidRPr="003101A0">
        <w:rPr>
          <w:rFonts w:ascii="Times New Roman" w:hAnsi="Times New Roman" w:cs="Times New Roman"/>
          <w:sz w:val="24"/>
          <w:szCs w:val="24"/>
          <w:lang w:val="en-US"/>
        </w:rPr>
        <w:t>he</w:t>
      </w:r>
      <w:r w:rsidRPr="003101A0">
        <w:rPr>
          <w:rFonts w:ascii="Times New Roman" w:hAnsi="Times New Roman" w:cs="Times New Roman"/>
          <w:sz w:val="24"/>
          <w:szCs w:val="24"/>
          <w:lang w:val="en-US"/>
        </w:rPr>
        <w:t xml:space="preserve"> coefficient on </w:t>
      </w:r>
      <w:r w:rsidRPr="003101A0">
        <w:rPr>
          <w:rFonts w:ascii="Times New Roman" w:hAnsi="Times New Roman" w:cs="Times New Roman"/>
          <w:i/>
          <w:sz w:val="24"/>
          <w:szCs w:val="24"/>
          <w:lang w:val="en-US"/>
        </w:rPr>
        <w:t>Convertible</w:t>
      </w:r>
      <w:r w:rsidRPr="003101A0">
        <w:rPr>
          <w:rFonts w:ascii="Times New Roman" w:hAnsi="Times New Roman" w:cs="Times New Roman"/>
          <w:sz w:val="24"/>
          <w:szCs w:val="24"/>
          <w:lang w:val="en-US"/>
        </w:rPr>
        <w:t xml:space="preserve"> is </w:t>
      </w:r>
      <w:r w:rsidR="00B47910" w:rsidRPr="003101A0">
        <w:rPr>
          <w:rFonts w:ascii="Times New Roman" w:hAnsi="Times New Roman" w:cs="Times New Roman"/>
          <w:sz w:val="24"/>
          <w:szCs w:val="24"/>
          <w:lang w:val="en-US" w:eastAsia="zh-CN"/>
        </w:rPr>
        <w:t xml:space="preserve">significantly </w:t>
      </w:r>
      <w:r w:rsidRPr="003101A0">
        <w:rPr>
          <w:rFonts w:ascii="Times New Roman" w:hAnsi="Times New Roman" w:cs="Times New Roman"/>
          <w:sz w:val="24"/>
          <w:szCs w:val="24"/>
          <w:lang w:val="en-US"/>
        </w:rPr>
        <w:t xml:space="preserve">negative </w:t>
      </w:r>
      <w:r w:rsidR="00B107C3" w:rsidRPr="003101A0">
        <w:rPr>
          <w:rFonts w:ascii="Times New Roman" w:hAnsi="Times New Roman" w:cs="Times New Roman"/>
          <w:sz w:val="24"/>
          <w:szCs w:val="24"/>
          <w:lang w:val="en-US"/>
        </w:rPr>
        <w:t xml:space="preserve">in the regressions </w:t>
      </w:r>
      <w:r w:rsidR="00CE301A" w:rsidRPr="003101A0">
        <w:rPr>
          <w:rFonts w:ascii="Times New Roman" w:hAnsi="Times New Roman" w:cs="Times New Roman"/>
          <w:sz w:val="24"/>
          <w:szCs w:val="24"/>
          <w:lang w:val="en-US"/>
        </w:rPr>
        <w:t>for payout- and financing-restricting covenants</w:t>
      </w:r>
      <w:r w:rsidR="007340C8">
        <w:rPr>
          <w:rFonts w:ascii="Times New Roman" w:hAnsi="Times New Roman" w:cs="Times New Roman"/>
          <w:sz w:val="24"/>
          <w:szCs w:val="24"/>
          <w:lang w:val="en-US"/>
        </w:rPr>
        <w:t>. However, we</w:t>
      </w:r>
      <w:r w:rsidR="00DC5D90" w:rsidRPr="003101A0">
        <w:rPr>
          <w:rFonts w:ascii="Times New Roman" w:hAnsi="Times New Roman" w:cs="Times New Roman"/>
          <w:sz w:val="24"/>
          <w:szCs w:val="24"/>
          <w:lang w:val="en-US"/>
        </w:rPr>
        <w:t xml:space="preserve"> find no significant differences in the investment-restricting covenants of convertibles and straight bonds after</w:t>
      </w:r>
      <w:r w:rsidR="00646277" w:rsidRPr="003101A0">
        <w:rPr>
          <w:rFonts w:ascii="Times New Roman" w:hAnsi="Times New Roman" w:cs="Times New Roman"/>
          <w:sz w:val="24"/>
          <w:szCs w:val="24"/>
          <w:lang w:val="en-US"/>
        </w:rPr>
        <w:t xml:space="preserve"> controlling for covenant intensity determinants</w:t>
      </w:r>
      <w:r w:rsidR="00F6418A" w:rsidRPr="003101A0">
        <w:rPr>
          <w:rFonts w:ascii="Times New Roman" w:hAnsi="Times New Roman" w:cs="Times New Roman"/>
          <w:sz w:val="24"/>
          <w:szCs w:val="24"/>
          <w:lang w:val="en-US"/>
        </w:rPr>
        <w:t xml:space="preserve">. </w:t>
      </w:r>
      <w:r w:rsidR="009F7D89" w:rsidRPr="003101A0">
        <w:rPr>
          <w:rFonts w:ascii="Times New Roman" w:hAnsi="Times New Roman" w:cs="Times New Roman"/>
          <w:sz w:val="24"/>
          <w:szCs w:val="24"/>
          <w:lang w:val="en-US"/>
        </w:rPr>
        <w:t xml:space="preserve">One possible explanation for this </w:t>
      </w:r>
      <w:r w:rsidR="00DC5D90" w:rsidRPr="003101A0">
        <w:rPr>
          <w:rFonts w:ascii="Times New Roman" w:hAnsi="Times New Roman" w:cs="Times New Roman"/>
          <w:sz w:val="24"/>
          <w:szCs w:val="24"/>
          <w:lang w:val="en-US"/>
        </w:rPr>
        <w:t xml:space="preserve">non-significant result </w:t>
      </w:r>
      <w:r w:rsidR="009F7D89" w:rsidRPr="003101A0">
        <w:rPr>
          <w:rFonts w:ascii="Times New Roman" w:hAnsi="Times New Roman" w:cs="Times New Roman"/>
          <w:sz w:val="24"/>
          <w:szCs w:val="24"/>
          <w:lang w:val="en-US"/>
        </w:rPr>
        <w:t xml:space="preserve">lies in the difficulty of monitoring overly risky investments. </w:t>
      </w:r>
      <w:r w:rsidR="00871C61" w:rsidRPr="003101A0">
        <w:rPr>
          <w:rFonts w:ascii="Times New Roman" w:hAnsi="Times New Roman" w:cs="Times New Roman"/>
          <w:sz w:val="24"/>
          <w:szCs w:val="24"/>
          <w:lang w:val="en-US"/>
        </w:rPr>
        <w:t xml:space="preserve">While </w:t>
      </w:r>
      <w:r w:rsidR="00DC5D90" w:rsidRPr="003101A0">
        <w:rPr>
          <w:rFonts w:ascii="Times New Roman" w:hAnsi="Times New Roman" w:cs="Times New Roman"/>
          <w:sz w:val="24"/>
          <w:szCs w:val="24"/>
          <w:lang w:val="en-US"/>
        </w:rPr>
        <w:t xml:space="preserve">corporate </w:t>
      </w:r>
      <w:r w:rsidR="009F7D89" w:rsidRPr="003101A0">
        <w:rPr>
          <w:rFonts w:ascii="Times New Roman" w:hAnsi="Times New Roman" w:cs="Times New Roman"/>
          <w:sz w:val="24"/>
          <w:szCs w:val="24"/>
          <w:lang w:val="en-US"/>
        </w:rPr>
        <w:t>payout and debt issuance decisions are easily observable</w:t>
      </w:r>
      <w:r w:rsidR="007974C8" w:rsidRPr="003101A0">
        <w:rPr>
          <w:rFonts w:ascii="Times New Roman" w:hAnsi="Times New Roman" w:cs="Times New Roman"/>
          <w:sz w:val="24"/>
          <w:szCs w:val="24"/>
          <w:lang w:val="en-US"/>
        </w:rPr>
        <w:t xml:space="preserve"> and </w:t>
      </w:r>
      <w:r w:rsidR="00E3241A">
        <w:rPr>
          <w:rFonts w:ascii="Times New Roman" w:hAnsi="Times New Roman" w:cs="Times New Roman"/>
          <w:sz w:val="24"/>
          <w:szCs w:val="24"/>
          <w:lang w:val="en-US"/>
        </w:rPr>
        <w:t xml:space="preserve">therefore </w:t>
      </w:r>
      <w:r w:rsidR="007974C8" w:rsidRPr="003101A0">
        <w:rPr>
          <w:rFonts w:ascii="Times New Roman" w:hAnsi="Times New Roman" w:cs="Times New Roman"/>
          <w:sz w:val="24"/>
          <w:szCs w:val="24"/>
          <w:lang w:val="en-US"/>
        </w:rPr>
        <w:t>straightforward to cover with covenants</w:t>
      </w:r>
      <w:r w:rsidR="009F7D89" w:rsidRPr="003101A0">
        <w:rPr>
          <w:rFonts w:ascii="Times New Roman" w:hAnsi="Times New Roman" w:cs="Times New Roman"/>
          <w:sz w:val="24"/>
          <w:szCs w:val="24"/>
          <w:lang w:val="en-US"/>
        </w:rPr>
        <w:t xml:space="preserve">, this is not the case for </w:t>
      </w:r>
      <w:r w:rsidR="00DC5D90" w:rsidRPr="003101A0">
        <w:rPr>
          <w:rFonts w:ascii="Times New Roman" w:hAnsi="Times New Roman" w:cs="Times New Roman"/>
          <w:sz w:val="24"/>
          <w:szCs w:val="24"/>
          <w:lang w:val="en-US"/>
        </w:rPr>
        <w:t xml:space="preserve">corporate capital </w:t>
      </w:r>
      <w:r w:rsidR="00DC5D90" w:rsidRPr="003101A0">
        <w:rPr>
          <w:rFonts w:ascii="Times New Roman" w:hAnsi="Times New Roman" w:cs="Times New Roman"/>
          <w:sz w:val="24"/>
          <w:szCs w:val="24"/>
          <w:lang w:val="en-US"/>
        </w:rPr>
        <w:lastRenderedPageBreak/>
        <w:t xml:space="preserve">expenditure and </w:t>
      </w:r>
      <w:r w:rsidR="00AB52FF" w:rsidRPr="003101A0">
        <w:rPr>
          <w:rFonts w:ascii="Times New Roman" w:hAnsi="Times New Roman" w:cs="Times New Roman"/>
          <w:sz w:val="24"/>
          <w:szCs w:val="24"/>
          <w:lang w:val="en-US"/>
        </w:rPr>
        <w:t>R&amp;D</w:t>
      </w:r>
      <w:r w:rsidR="00DC5D90" w:rsidRPr="003101A0">
        <w:rPr>
          <w:rFonts w:ascii="Times New Roman" w:hAnsi="Times New Roman" w:cs="Times New Roman"/>
          <w:sz w:val="24"/>
          <w:szCs w:val="24"/>
          <w:lang w:val="en-US"/>
        </w:rPr>
        <w:t xml:space="preserve"> investment decisions. </w:t>
      </w:r>
      <w:r w:rsidR="00AB52FF" w:rsidRPr="003101A0">
        <w:rPr>
          <w:rFonts w:ascii="Times New Roman" w:hAnsi="Times New Roman" w:cs="Times New Roman"/>
          <w:sz w:val="24"/>
          <w:szCs w:val="24"/>
          <w:lang w:val="en-US"/>
        </w:rPr>
        <w:t>It</w:t>
      </w:r>
      <w:r w:rsidR="009F7D89" w:rsidRPr="003101A0">
        <w:rPr>
          <w:rFonts w:ascii="Times New Roman" w:hAnsi="Times New Roman" w:cs="Times New Roman"/>
          <w:sz w:val="24"/>
          <w:szCs w:val="24"/>
          <w:lang w:val="en-US"/>
        </w:rPr>
        <w:t xml:space="preserve"> might be </w:t>
      </w:r>
      <w:r w:rsidR="00AB52FF" w:rsidRPr="003101A0">
        <w:rPr>
          <w:rFonts w:ascii="Times New Roman" w:hAnsi="Times New Roman" w:cs="Times New Roman"/>
          <w:sz w:val="24"/>
          <w:szCs w:val="24"/>
          <w:lang w:val="en-US"/>
        </w:rPr>
        <w:t>difficult</w:t>
      </w:r>
      <w:r w:rsidR="009F7D89" w:rsidRPr="003101A0">
        <w:rPr>
          <w:rFonts w:ascii="Times New Roman" w:hAnsi="Times New Roman" w:cs="Times New Roman"/>
          <w:sz w:val="24"/>
          <w:szCs w:val="24"/>
          <w:lang w:val="en-US"/>
        </w:rPr>
        <w:t xml:space="preserve"> for outsiders to </w:t>
      </w:r>
      <w:r w:rsidR="00E3241A">
        <w:rPr>
          <w:rFonts w:ascii="Times New Roman" w:hAnsi="Times New Roman" w:cs="Times New Roman"/>
          <w:sz w:val="24"/>
          <w:szCs w:val="24"/>
          <w:lang w:val="en-US"/>
        </w:rPr>
        <w:t>disentangle</w:t>
      </w:r>
      <w:r w:rsidR="009F7D89" w:rsidRPr="003101A0">
        <w:rPr>
          <w:rFonts w:ascii="Times New Roman" w:hAnsi="Times New Roman" w:cs="Times New Roman"/>
          <w:sz w:val="24"/>
          <w:szCs w:val="24"/>
          <w:lang w:val="en-US"/>
        </w:rPr>
        <w:t xml:space="preserve"> </w:t>
      </w:r>
      <w:r w:rsidR="00A70AAF">
        <w:rPr>
          <w:rFonts w:ascii="Times New Roman" w:hAnsi="Times New Roman" w:cs="Times New Roman"/>
          <w:sz w:val="24"/>
          <w:szCs w:val="24"/>
          <w:lang w:val="en-US"/>
        </w:rPr>
        <w:t>‘</w:t>
      </w:r>
      <w:r w:rsidR="009F7D89" w:rsidRPr="003101A0">
        <w:rPr>
          <w:rFonts w:ascii="Times New Roman" w:hAnsi="Times New Roman" w:cs="Times New Roman"/>
          <w:sz w:val="24"/>
          <w:szCs w:val="24"/>
          <w:lang w:val="en-US"/>
        </w:rPr>
        <w:t>too risky</w:t>
      </w:r>
      <w:r w:rsidR="00A70AAF">
        <w:rPr>
          <w:rFonts w:ascii="Times New Roman" w:hAnsi="Times New Roman" w:cs="Times New Roman"/>
          <w:sz w:val="24"/>
          <w:szCs w:val="24"/>
          <w:lang w:val="en-US"/>
        </w:rPr>
        <w:t>’</w:t>
      </w:r>
      <w:r w:rsidR="009F7D89" w:rsidRPr="003101A0">
        <w:rPr>
          <w:rFonts w:ascii="Times New Roman" w:hAnsi="Times New Roman" w:cs="Times New Roman"/>
          <w:sz w:val="24"/>
          <w:szCs w:val="24"/>
          <w:lang w:val="en-US"/>
        </w:rPr>
        <w:t xml:space="preserve"> value-reducing investments</w:t>
      </w:r>
      <w:r w:rsidR="00AB52FF" w:rsidRPr="003101A0">
        <w:rPr>
          <w:rFonts w:ascii="Times New Roman" w:hAnsi="Times New Roman" w:cs="Times New Roman"/>
          <w:sz w:val="24"/>
          <w:szCs w:val="24"/>
          <w:lang w:val="en-US"/>
        </w:rPr>
        <w:t xml:space="preserve"> from value-creating investments</w:t>
      </w:r>
      <w:r w:rsidR="00B107C3" w:rsidRPr="003101A0">
        <w:rPr>
          <w:rFonts w:ascii="Times New Roman" w:hAnsi="Times New Roman" w:cs="Times New Roman"/>
          <w:sz w:val="24"/>
          <w:szCs w:val="24"/>
          <w:lang w:val="en-US"/>
        </w:rPr>
        <w:t xml:space="preserve">. As such, firms at high risk of asset substitution behavior may want </w:t>
      </w:r>
      <w:r w:rsidR="001E3F38" w:rsidRPr="003101A0">
        <w:rPr>
          <w:rFonts w:ascii="Times New Roman" w:hAnsi="Times New Roman" w:cs="Times New Roman"/>
          <w:sz w:val="24"/>
          <w:szCs w:val="24"/>
          <w:lang w:val="en-US"/>
        </w:rPr>
        <w:t xml:space="preserve">to put </w:t>
      </w:r>
      <w:r w:rsidR="00B107C3" w:rsidRPr="003101A0">
        <w:rPr>
          <w:rFonts w:ascii="Times New Roman" w:hAnsi="Times New Roman" w:cs="Times New Roman"/>
          <w:sz w:val="24"/>
          <w:szCs w:val="24"/>
          <w:lang w:val="en-US"/>
        </w:rPr>
        <w:t>double protection</w:t>
      </w:r>
      <w:r w:rsidR="001E3F38" w:rsidRPr="003101A0">
        <w:rPr>
          <w:rFonts w:ascii="Times New Roman" w:hAnsi="Times New Roman" w:cs="Times New Roman"/>
          <w:sz w:val="24"/>
          <w:szCs w:val="24"/>
          <w:lang w:val="en-US"/>
        </w:rPr>
        <w:t xml:space="preserve"> in place,</w:t>
      </w:r>
      <w:r w:rsidR="00B107C3" w:rsidRPr="003101A0">
        <w:rPr>
          <w:rFonts w:ascii="Times New Roman" w:hAnsi="Times New Roman" w:cs="Times New Roman"/>
          <w:sz w:val="24"/>
          <w:szCs w:val="24"/>
          <w:lang w:val="en-US"/>
        </w:rPr>
        <w:t xml:space="preserve"> </w:t>
      </w:r>
      <w:r w:rsidR="00AB52FF" w:rsidRPr="003101A0">
        <w:rPr>
          <w:rFonts w:ascii="Times New Roman" w:hAnsi="Times New Roman" w:cs="Times New Roman"/>
          <w:sz w:val="24"/>
          <w:szCs w:val="24"/>
          <w:lang w:val="en-US"/>
        </w:rPr>
        <w:t>by</w:t>
      </w:r>
      <w:r w:rsidR="00B107C3" w:rsidRPr="003101A0">
        <w:rPr>
          <w:rFonts w:ascii="Times New Roman" w:hAnsi="Times New Roman" w:cs="Times New Roman"/>
          <w:sz w:val="24"/>
          <w:szCs w:val="24"/>
          <w:lang w:val="en-US"/>
        </w:rPr>
        <w:t xml:space="preserve"> </w:t>
      </w:r>
      <w:r w:rsidR="007974C8" w:rsidRPr="003101A0">
        <w:rPr>
          <w:rFonts w:ascii="Times New Roman" w:hAnsi="Times New Roman" w:cs="Times New Roman"/>
          <w:sz w:val="24"/>
          <w:szCs w:val="24"/>
          <w:lang w:val="en-US"/>
        </w:rPr>
        <w:t>including</w:t>
      </w:r>
      <w:r w:rsidR="00B107C3" w:rsidRPr="003101A0">
        <w:rPr>
          <w:rFonts w:ascii="Times New Roman" w:hAnsi="Times New Roman" w:cs="Times New Roman"/>
          <w:sz w:val="24"/>
          <w:szCs w:val="24"/>
          <w:lang w:val="en-US"/>
        </w:rPr>
        <w:t xml:space="preserve"> both a conversion option and covenants</w:t>
      </w:r>
      <w:r w:rsidR="00646277" w:rsidRPr="003101A0">
        <w:rPr>
          <w:rFonts w:ascii="Times New Roman" w:hAnsi="Times New Roman" w:cs="Times New Roman"/>
          <w:sz w:val="24"/>
          <w:szCs w:val="24"/>
          <w:lang w:val="en-US"/>
        </w:rPr>
        <w:t xml:space="preserve"> </w:t>
      </w:r>
      <w:r w:rsidR="001E3F38" w:rsidRPr="003101A0">
        <w:rPr>
          <w:rFonts w:ascii="Times New Roman" w:hAnsi="Times New Roman" w:cs="Times New Roman"/>
          <w:sz w:val="24"/>
          <w:szCs w:val="24"/>
          <w:lang w:val="en-US"/>
        </w:rPr>
        <w:t>in their bond offering</w:t>
      </w:r>
      <w:r w:rsidR="00B107C3" w:rsidRPr="003101A0">
        <w:rPr>
          <w:rFonts w:ascii="Times New Roman" w:hAnsi="Times New Roman" w:cs="Times New Roman"/>
          <w:sz w:val="24"/>
          <w:szCs w:val="24"/>
          <w:lang w:val="en-US"/>
        </w:rPr>
        <w:t xml:space="preserve">, </w:t>
      </w:r>
      <w:r w:rsidR="00AB6C19" w:rsidRPr="003101A0">
        <w:rPr>
          <w:rFonts w:ascii="Times New Roman" w:hAnsi="Times New Roman" w:cs="Times New Roman"/>
          <w:sz w:val="24"/>
          <w:szCs w:val="24"/>
          <w:lang w:val="en-US"/>
        </w:rPr>
        <w:t>leading to weakened findings of a substitutive relation between convertibility and covenants</w:t>
      </w:r>
      <w:r w:rsidR="00B107C3" w:rsidRPr="003101A0">
        <w:rPr>
          <w:rFonts w:ascii="Times New Roman" w:hAnsi="Times New Roman" w:cs="Times New Roman"/>
          <w:sz w:val="24"/>
          <w:szCs w:val="24"/>
          <w:lang w:val="en-US"/>
        </w:rPr>
        <w:t xml:space="preserve">. </w:t>
      </w:r>
      <w:r w:rsidR="007340C8">
        <w:rPr>
          <w:rFonts w:ascii="Times New Roman" w:hAnsi="Times New Roman" w:cs="Times New Roman"/>
          <w:sz w:val="24"/>
          <w:szCs w:val="24"/>
          <w:lang w:val="en-US"/>
        </w:rPr>
        <w:t xml:space="preserve">Finally, we find a positive coefficient on </w:t>
      </w:r>
      <w:r w:rsidR="007340C8" w:rsidRPr="0036359A">
        <w:rPr>
          <w:rFonts w:ascii="Times New Roman" w:hAnsi="Times New Roman" w:cs="Times New Roman"/>
          <w:i/>
          <w:iCs/>
          <w:sz w:val="24"/>
          <w:szCs w:val="24"/>
          <w:lang w:val="en-US"/>
        </w:rPr>
        <w:t xml:space="preserve">Convertible </w:t>
      </w:r>
      <w:r w:rsidR="007340C8">
        <w:rPr>
          <w:rFonts w:ascii="Times New Roman" w:hAnsi="Times New Roman" w:cs="Times New Roman"/>
          <w:sz w:val="24"/>
          <w:szCs w:val="24"/>
          <w:lang w:val="en-US"/>
        </w:rPr>
        <w:t xml:space="preserve">for event-driven covenants. </w:t>
      </w:r>
      <w:r w:rsidR="007340C8" w:rsidRPr="003101A0">
        <w:rPr>
          <w:rFonts w:ascii="Times New Roman" w:hAnsi="Times New Roman" w:cs="Times New Roman"/>
          <w:sz w:val="24"/>
          <w:szCs w:val="24"/>
          <w:lang w:val="en-US"/>
        </w:rPr>
        <w:t xml:space="preserve">By construction, event-driven covenants only deal with extreme </w:t>
      </w:r>
      <w:r w:rsidR="007340C8">
        <w:rPr>
          <w:rFonts w:ascii="Times New Roman" w:hAnsi="Times New Roman" w:cs="Times New Roman"/>
          <w:sz w:val="24"/>
          <w:szCs w:val="24"/>
          <w:lang w:val="en-US"/>
        </w:rPr>
        <w:t xml:space="preserve">situations, notably </w:t>
      </w:r>
      <w:r w:rsidR="007340C8" w:rsidRPr="003101A0">
        <w:rPr>
          <w:rFonts w:ascii="Times New Roman" w:hAnsi="Times New Roman" w:cs="Times New Roman"/>
          <w:sz w:val="24"/>
          <w:szCs w:val="24"/>
          <w:lang w:val="en-US"/>
        </w:rPr>
        <w:t>defaults and takeovers</w:t>
      </w:r>
      <w:r w:rsidR="007340C8">
        <w:rPr>
          <w:rFonts w:ascii="Times New Roman" w:hAnsi="Times New Roman" w:cs="Times New Roman"/>
          <w:sz w:val="24"/>
          <w:szCs w:val="24"/>
          <w:lang w:val="en-US"/>
        </w:rPr>
        <w:t>. These covenants therefore</w:t>
      </w:r>
      <w:r w:rsidR="007340C8" w:rsidRPr="003101A0">
        <w:rPr>
          <w:rFonts w:ascii="Times New Roman" w:hAnsi="Times New Roman" w:cs="Times New Roman"/>
          <w:sz w:val="24"/>
          <w:szCs w:val="24"/>
          <w:lang w:val="en-US"/>
        </w:rPr>
        <w:t xml:space="preserve"> impos</w:t>
      </w:r>
      <w:r w:rsidR="007340C8">
        <w:rPr>
          <w:rFonts w:ascii="Times New Roman" w:hAnsi="Times New Roman" w:cs="Times New Roman"/>
          <w:sz w:val="24"/>
          <w:szCs w:val="24"/>
          <w:lang w:val="en-US"/>
        </w:rPr>
        <w:t>e</w:t>
      </w:r>
      <w:r w:rsidR="007340C8" w:rsidRPr="003101A0">
        <w:rPr>
          <w:rFonts w:ascii="Times New Roman" w:hAnsi="Times New Roman" w:cs="Times New Roman"/>
          <w:sz w:val="24"/>
          <w:szCs w:val="24"/>
          <w:lang w:val="en-US"/>
        </w:rPr>
        <w:t xml:space="preserve"> fewer limitations on firms’ day-to-day operations than the other three covenant types (Nanda and Yun, 1996). As such, the popularity of event-driven covenants for convertibles could result from a trade-off whereby convertible bond issuers only accept a degree of constraints for extreme situations. </w:t>
      </w:r>
    </w:p>
    <w:p w14:paraId="56439D5C" w14:textId="47781301" w:rsidR="00906EC5" w:rsidRPr="003101A0" w:rsidRDefault="00CE301A" w:rsidP="00515C58">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In conclusion, the like-for-like comparison of individual covenant groups across convertibles and </w:t>
      </w:r>
      <w:r w:rsidR="00437772" w:rsidRPr="003101A0">
        <w:rPr>
          <w:rFonts w:ascii="Times New Roman" w:hAnsi="Times New Roman" w:cs="Times New Roman"/>
          <w:sz w:val="24"/>
          <w:szCs w:val="24"/>
          <w:lang w:val="en-US"/>
        </w:rPr>
        <w:t xml:space="preserve">straight </w:t>
      </w:r>
      <w:r w:rsidRPr="003101A0">
        <w:rPr>
          <w:rFonts w:ascii="Times New Roman" w:hAnsi="Times New Roman" w:cs="Times New Roman"/>
          <w:sz w:val="24"/>
          <w:szCs w:val="24"/>
          <w:lang w:val="en-US"/>
        </w:rPr>
        <w:t>bonds provides a more nuanced image than the overall covenant intensity analysis</w:t>
      </w:r>
      <w:r w:rsidR="00F6418A" w:rsidRPr="003101A0">
        <w:rPr>
          <w:rFonts w:ascii="Times New Roman" w:hAnsi="Times New Roman" w:cs="Times New Roman"/>
          <w:sz w:val="24"/>
          <w:szCs w:val="24"/>
          <w:lang w:val="en-US"/>
        </w:rPr>
        <w:t xml:space="preserve">, with the substitution effect only </w:t>
      </w:r>
      <w:r w:rsidR="007974C8" w:rsidRPr="003101A0">
        <w:rPr>
          <w:rFonts w:ascii="Times New Roman" w:hAnsi="Times New Roman" w:cs="Times New Roman"/>
          <w:sz w:val="24"/>
          <w:szCs w:val="24"/>
          <w:lang w:val="en-US"/>
        </w:rPr>
        <w:t>holding</w:t>
      </w:r>
      <w:r w:rsidR="005020A9" w:rsidRPr="003101A0">
        <w:rPr>
          <w:rFonts w:ascii="Times New Roman" w:hAnsi="Times New Roman" w:cs="Times New Roman"/>
          <w:sz w:val="24"/>
          <w:szCs w:val="24"/>
          <w:lang w:val="en-US"/>
        </w:rPr>
        <w:t xml:space="preserve"> </w:t>
      </w:r>
      <w:r w:rsidR="00F6418A" w:rsidRPr="003101A0">
        <w:rPr>
          <w:rFonts w:ascii="Times New Roman" w:hAnsi="Times New Roman" w:cs="Times New Roman"/>
          <w:sz w:val="24"/>
          <w:szCs w:val="24"/>
          <w:lang w:val="en-US"/>
        </w:rPr>
        <w:t>for payout- and financing-restricting covenants</w:t>
      </w:r>
      <w:r w:rsidRPr="003101A0">
        <w:rPr>
          <w:rFonts w:ascii="Times New Roman" w:hAnsi="Times New Roman" w:cs="Times New Roman"/>
          <w:sz w:val="24"/>
          <w:szCs w:val="24"/>
          <w:lang w:val="en-US"/>
        </w:rPr>
        <w:t xml:space="preserve">. </w:t>
      </w:r>
    </w:p>
    <w:p w14:paraId="630DD391" w14:textId="1ED948D4" w:rsidR="009926DB" w:rsidRPr="0036359A" w:rsidRDefault="009926DB" w:rsidP="00515C58">
      <w:pPr>
        <w:spacing w:after="0" w:line="480" w:lineRule="auto"/>
        <w:jc w:val="center"/>
        <w:rPr>
          <w:rFonts w:ascii="Times New Roman" w:hAnsi="Times New Roman" w:cs="Times New Roman"/>
          <w:sz w:val="24"/>
          <w:szCs w:val="24"/>
          <w:lang w:eastAsia="zh-CN"/>
        </w:rPr>
      </w:pPr>
      <w:r w:rsidRPr="003101A0">
        <w:rPr>
          <w:rFonts w:ascii="Times New Roman" w:hAnsi="Times New Roman" w:cs="Times New Roman"/>
          <w:sz w:val="24"/>
          <w:szCs w:val="24"/>
          <w:lang w:val="en-US"/>
        </w:rPr>
        <w:t>&lt;&lt; Please insert Table 5 here &gt;&gt;</w:t>
      </w:r>
    </w:p>
    <w:p w14:paraId="5F4A93D4" w14:textId="77777777" w:rsidR="00FE0B07" w:rsidRPr="003101A0" w:rsidRDefault="00FE0B07" w:rsidP="00515C58">
      <w:pPr>
        <w:spacing w:after="0" w:line="480" w:lineRule="auto"/>
        <w:ind w:firstLine="426"/>
        <w:rPr>
          <w:rFonts w:ascii="Times New Roman" w:hAnsi="Times New Roman" w:cs="Times New Roman"/>
          <w:sz w:val="24"/>
          <w:szCs w:val="24"/>
          <w:lang w:val="en-US" w:eastAsia="zh-CN"/>
        </w:rPr>
      </w:pPr>
    </w:p>
    <w:p w14:paraId="0785ED57" w14:textId="50E9B9E2" w:rsidR="00CE301A" w:rsidRPr="003101A0" w:rsidRDefault="00C94459" w:rsidP="00515C58">
      <w:pPr>
        <w:pStyle w:val="ListParagraph"/>
        <w:numPr>
          <w:ilvl w:val="0"/>
          <w:numId w:val="4"/>
        </w:num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Do</w:t>
      </w:r>
      <w:r w:rsidR="00CE301A" w:rsidRPr="003101A0">
        <w:rPr>
          <w:rFonts w:ascii="Times New Roman" w:hAnsi="Times New Roman" w:cs="Times New Roman"/>
          <w:b/>
          <w:sz w:val="24"/>
          <w:szCs w:val="24"/>
          <w:lang w:val="en-US"/>
        </w:rPr>
        <w:t xml:space="preserve"> covenants </w:t>
      </w:r>
      <w:r>
        <w:rPr>
          <w:rFonts w:ascii="Times New Roman" w:hAnsi="Times New Roman" w:cs="Times New Roman"/>
          <w:b/>
          <w:sz w:val="24"/>
          <w:szCs w:val="24"/>
          <w:lang w:val="en-US"/>
        </w:rPr>
        <w:t>reduce</w:t>
      </w:r>
      <w:r w:rsidR="00CE301A" w:rsidRPr="003101A0">
        <w:rPr>
          <w:rFonts w:ascii="Times New Roman" w:hAnsi="Times New Roman" w:cs="Times New Roman"/>
          <w:b/>
          <w:sz w:val="24"/>
          <w:szCs w:val="24"/>
          <w:lang w:val="en-US"/>
        </w:rPr>
        <w:t xml:space="preserve"> convertible bond</w:t>
      </w:r>
      <w:r w:rsidR="006D30C3" w:rsidRPr="003101A0">
        <w:rPr>
          <w:rFonts w:ascii="Times New Roman" w:hAnsi="Times New Roman" w:cs="Times New Roman"/>
          <w:b/>
          <w:sz w:val="24"/>
          <w:szCs w:val="24"/>
          <w:lang w:val="en-US"/>
        </w:rPr>
        <w:t xml:space="preserve"> yields</w:t>
      </w:r>
      <w:r w:rsidR="00CE301A" w:rsidRPr="003101A0">
        <w:rPr>
          <w:rFonts w:ascii="Times New Roman" w:hAnsi="Times New Roman" w:cs="Times New Roman"/>
          <w:b/>
          <w:sz w:val="24"/>
          <w:szCs w:val="24"/>
          <w:lang w:val="en-US"/>
        </w:rPr>
        <w:t>?</w:t>
      </w:r>
    </w:p>
    <w:p w14:paraId="4CAA4BB2" w14:textId="74A709C9" w:rsidR="00743104" w:rsidRPr="003101A0" w:rsidRDefault="005F2E83" w:rsidP="00D46513">
      <w:pPr>
        <w:spacing w:after="0" w:line="480" w:lineRule="auto"/>
        <w:ind w:firstLine="360"/>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To test </w:t>
      </w:r>
      <w:r w:rsidR="009A0610" w:rsidRPr="003101A0">
        <w:rPr>
          <w:rFonts w:ascii="Times New Roman" w:hAnsi="Times New Roman" w:cs="Times New Roman"/>
          <w:i/>
          <w:iCs/>
          <w:sz w:val="24"/>
          <w:szCs w:val="24"/>
          <w:lang w:val="en-US"/>
        </w:rPr>
        <w:t>P</w:t>
      </w:r>
      <w:r w:rsidRPr="003101A0">
        <w:rPr>
          <w:rFonts w:ascii="Times New Roman" w:hAnsi="Times New Roman" w:cs="Times New Roman"/>
          <w:i/>
          <w:iCs/>
          <w:sz w:val="24"/>
          <w:szCs w:val="24"/>
          <w:vertAlign w:val="subscript"/>
          <w:lang w:val="en-US"/>
        </w:rPr>
        <w:t>2</w:t>
      </w:r>
      <w:r w:rsidRPr="003101A0">
        <w:rPr>
          <w:rFonts w:ascii="Times New Roman" w:hAnsi="Times New Roman" w:cs="Times New Roman"/>
          <w:sz w:val="24"/>
          <w:szCs w:val="24"/>
          <w:lang w:val="en-US"/>
        </w:rPr>
        <w:t xml:space="preserve">, we </w:t>
      </w:r>
      <w:r w:rsidR="00CE301A" w:rsidRPr="003101A0">
        <w:rPr>
          <w:rFonts w:ascii="Times New Roman" w:hAnsi="Times New Roman" w:cs="Times New Roman"/>
          <w:sz w:val="24"/>
          <w:szCs w:val="24"/>
          <w:lang w:val="en-US"/>
        </w:rPr>
        <w:t xml:space="preserve">examine the yield impact of restrictive covenants for </w:t>
      </w:r>
      <w:r w:rsidR="00711301">
        <w:rPr>
          <w:rFonts w:ascii="Times New Roman" w:hAnsi="Times New Roman" w:cs="Times New Roman"/>
          <w:sz w:val="24"/>
          <w:szCs w:val="24"/>
          <w:lang w:val="en-US"/>
        </w:rPr>
        <w:t>a pooled sample of convertibles and straight bonds.</w:t>
      </w:r>
      <w:r w:rsidR="00711301">
        <w:rPr>
          <w:rStyle w:val="FootnoteReference"/>
          <w:rFonts w:ascii="Times New Roman" w:hAnsi="Times New Roman" w:cs="Times New Roman"/>
          <w:sz w:val="24"/>
          <w:szCs w:val="24"/>
          <w:lang w:val="en-US"/>
        </w:rPr>
        <w:footnoteReference w:id="14"/>
      </w:r>
      <w:r w:rsidR="00711301">
        <w:rPr>
          <w:rFonts w:ascii="Times New Roman" w:hAnsi="Times New Roman" w:cs="Times New Roman"/>
          <w:sz w:val="24"/>
          <w:szCs w:val="24"/>
          <w:lang w:val="en-US"/>
        </w:rPr>
        <w:t xml:space="preserve"> </w:t>
      </w:r>
      <w:r w:rsidR="00743104" w:rsidRPr="003101A0">
        <w:rPr>
          <w:rFonts w:ascii="Times New Roman" w:hAnsi="Times New Roman" w:cs="Times New Roman"/>
          <w:sz w:val="24"/>
          <w:szCs w:val="24"/>
          <w:lang w:val="en-US"/>
        </w:rPr>
        <w:t xml:space="preserve">The model we estimate </w:t>
      </w:r>
      <w:r w:rsidR="00ED73B7" w:rsidRPr="003101A0">
        <w:rPr>
          <w:rFonts w:ascii="Times New Roman" w:hAnsi="Times New Roman" w:cs="Times New Roman"/>
          <w:sz w:val="24"/>
          <w:szCs w:val="24"/>
          <w:lang w:val="en-US"/>
        </w:rPr>
        <w:t xml:space="preserve">to examine the yield impact of </w:t>
      </w:r>
      <w:r w:rsidR="00871C61" w:rsidRPr="003101A0">
        <w:rPr>
          <w:rFonts w:ascii="Times New Roman" w:hAnsi="Times New Roman" w:cs="Times New Roman"/>
          <w:sz w:val="24"/>
          <w:szCs w:val="24"/>
          <w:lang w:val="en-US"/>
        </w:rPr>
        <w:t xml:space="preserve">the </w:t>
      </w:r>
      <w:r w:rsidR="00ED73B7" w:rsidRPr="003101A0">
        <w:rPr>
          <w:rFonts w:ascii="Times New Roman" w:hAnsi="Times New Roman" w:cs="Times New Roman"/>
          <w:i/>
          <w:iCs/>
          <w:sz w:val="24"/>
          <w:szCs w:val="24"/>
          <w:lang w:val="en-US"/>
        </w:rPr>
        <w:t>CI index</w:t>
      </w:r>
      <w:r w:rsidR="00ED73B7" w:rsidRPr="003101A0">
        <w:rPr>
          <w:rFonts w:ascii="Times New Roman" w:hAnsi="Times New Roman" w:cs="Times New Roman"/>
          <w:sz w:val="24"/>
          <w:szCs w:val="24"/>
          <w:lang w:val="en-US"/>
        </w:rPr>
        <w:t xml:space="preserve"> </w:t>
      </w:r>
      <w:r w:rsidR="00743104" w:rsidRPr="003101A0">
        <w:rPr>
          <w:rFonts w:ascii="Times New Roman" w:hAnsi="Times New Roman" w:cs="Times New Roman"/>
          <w:sz w:val="24"/>
          <w:szCs w:val="24"/>
          <w:lang w:val="en-US"/>
        </w:rPr>
        <w:t xml:space="preserve">is: </w:t>
      </w:r>
    </w:p>
    <w:p w14:paraId="36B1247A" w14:textId="3144B362" w:rsidR="006D30C3" w:rsidRPr="003101A0" w:rsidRDefault="00000000" w:rsidP="00A40CEA">
      <w:pPr>
        <w:spacing w:after="0" w:line="480" w:lineRule="auto"/>
        <w:ind w:left="1843" w:right="804" w:hanging="992"/>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Yield</m:t>
            </m:r>
          </m:e>
          <m:sub>
            <m:r>
              <m:rPr>
                <m:nor/>
              </m:rPr>
              <w:rPr>
                <w:rFonts w:ascii="Times New Roman" w:hAnsi="Times New Roman" w:cs="Times New Roman"/>
                <w:i/>
                <w:sz w:val="24"/>
                <w:szCs w:val="24"/>
                <w:lang w:val="en-US"/>
              </w:rPr>
              <m:t>i,t</m:t>
            </m:r>
          </m:sub>
        </m:sSub>
        <m:r>
          <m:rPr>
            <m:nor/>
          </m:rPr>
          <w:rPr>
            <w:rFonts w:ascii="Cambria Math" w:hAnsi="Times New Roman" w:cs="Times New Roman"/>
            <w:sz w:val="24"/>
            <w:szCs w:val="24"/>
            <w:lang w:val="en-US"/>
          </w:rPr>
          <m:t xml:space="preserve"> </m:t>
        </m:r>
        <m:r>
          <m:rPr>
            <m:nor/>
          </m:rPr>
          <w:rPr>
            <w:rFonts w:ascii="Times New Roman" w:hAnsi="Times New Roman" w:cs="Times New Roman"/>
            <w:sz w:val="24"/>
            <w:szCs w:val="24"/>
            <w:lang w:val="en-US"/>
          </w:rPr>
          <m:t xml:space="preserve">= </m:t>
        </m:r>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 xml:space="preserve"> δ</m:t>
            </m:r>
          </m:e>
          <m:sub>
            <m:r>
              <m:rPr>
                <m:nor/>
              </m:rPr>
              <w:rPr>
                <w:rFonts w:ascii="Times New Roman" w:hAnsi="Times New Roman" w:cs="Times New Roman"/>
                <w:sz w:val="24"/>
                <w:szCs w:val="24"/>
                <w:lang w:val="en-US"/>
              </w:rPr>
              <m:t>0</m:t>
            </m:r>
          </m:sub>
        </m:sSub>
        <m:r>
          <m:rPr>
            <m:nor/>
          </m:rPr>
          <w:rPr>
            <w:rFonts w:ascii="Times New Roman" w:hAnsi="Times New Roman" w:cs="Times New Roman"/>
            <w:sz w:val="24"/>
            <w:szCs w:val="24"/>
            <w:lang w:val="en-US"/>
          </w:rPr>
          <m:t xml:space="preserve">+ </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δ'</m:t>
                </m:r>
              </m:e>
              <m:sub>
                <m:r>
                  <m:rPr>
                    <m:nor/>
                  </m:rPr>
                  <w:rPr>
                    <w:rFonts w:ascii="Times New Roman" w:hAnsi="Times New Roman" w:cs="Times New Roman"/>
                    <w:sz w:val="24"/>
                    <w:szCs w:val="24"/>
                    <w:lang w:val="en-US"/>
                  </w:rPr>
                  <m:t>1</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 xml:space="preserve"> CI index</m:t>
                </m:r>
              </m:e>
              <m:sub>
                <m:r>
                  <m:rPr>
                    <m:nor/>
                  </m:rPr>
                  <w:rPr>
                    <w:rFonts w:ascii="Times New Roman" w:hAnsi="Times New Roman" w:cs="Times New Roman"/>
                    <w:i/>
                    <w:sz w:val="24"/>
                    <w:szCs w:val="24"/>
                    <w:lang w:val="en-US"/>
                  </w:rPr>
                  <m:t>i,t</m:t>
                </m:r>
              </m:sub>
            </m:sSub>
          </m:e>
          <m:sub/>
        </m:sSub>
        <m:r>
          <m:rPr>
            <m:nor/>
          </m:rPr>
          <w:rPr>
            <w:rFonts w:ascii="Times New Roman" w:hAnsi="Times New Roman"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δ'</m:t>
            </m:r>
          </m:e>
          <m:sub>
            <m:r>
              <m:rPr>
                <m:nor/>
              </m:rPr>
              <w:rPr>
                <w:rFonts w:ascii="Cambria Math" w:hAnsi="Times New Roman" w:cs="Times New Roman"/>
                <w:sz w:val="24"/>
                <w:szCs w:val="24"/>
                <w:lang w:val="en-US"/>
              </w:rPr>
              <m:t>2</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Convertible</m:t>
            </m:r>
          </m:e>
          <m:sub>
            <m:r>
              <m:rPr>
                <m:nor/>
              </m:rPr>
              <w:rPr>
                <w:rFonts w:ascii="Times New Roman" w:hAnsi="Times New Roman" w:cs="Times New Roman"/>
                <w:i/>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δ'</m:t>
                    </m:r>
                  </m:e>
                  <m:sub>
                    <m:r>
                      <m:rPr>
                        <m:nor/>
                      </m:rPr>
                      <w:rPr>
                        <w:rFonts w:ascii="Times New Roman" w:hAnsi="Times New Roman" w:cs="Times New Roman"/>
                        <w:sz w:val="24"/>
                        <w:szCs w:val="24"/>
                        <w:lang w:val="en-US"/>
                      </w:rPr>
                      <m:t>3</m:t>
                    </m:r>
                  </m:sub>
                </m:sSub>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 xml:space="preserve"> CI index</m:t>
                    </m:r>
                  </m:e>
                  <m:sub>
                    <m:r>
                      <m:rPr>
                        <m:nor/>
                      </m:rPr>
                      <w:rPr>
                        <w:rFonts w:ascii="Times New Roman" w:hAnsi="Times New Roman" w:cs="Times New Roman"/>
                        <w:i/>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Convertible</m:t>
                    </m:r>
                  </m:e>
                  <m:sub>
                    <m:r>
                      <m:rPr>
                        <m:nor/>
                      </m:rPr>
                      <w:rPr>
                        <w:rFonts w:ascii="Times New Roman" w:hAnsi="Times New Roman" w:cs="Times New Roman"/>
                        <w:i/>
                        <w:sz w:val="24"/>
                        <w:szCs w:val="24"/>
                        <w:lang w:val="en-US"/>
                      </w:rPr>
                      <m:t>i,t</m:t>
                    </m:r>
                  </m:sub>
                </m:sSub>
                <m:r>
                  <w:rPr>
                    <w:rFonts w:ascii="Cambria Math" w:hAnsi="Cambria Math" w:cs="Times New Roman"/>
                    <w:sz w:val="24"/>
                    <w:szCs w:val="24"/>
                    <w:lang w:val="en-US"/>
                  </w:rPr>
                  <m:t xml:space="preserve"> </m:t>
                </m:r>
              </m:e>
              <m:sub/>
            </m:sSub>
            <m:sSub>
              <m:sSubPr>
                <m:ctrlPr>
                  <w:rPr>
                    <w:rFonts w:ascii="Cambria Math" w:hAnsi="Cambria Math" w:cs="Times New Roman"/>
                    <w:i/>
                    <w:sz w:val="24"/>
                    <w:szCs w:val="24"/>
                    <w:lang w:val="en-US"/>
                  </w:rPr>
                </m:ctrlPr>
              </m:sSubPr>
              <m:e>
                <m:r>
                  <m:rPr>
                    <m:nor/>
                  </m:rPr>
                  <w:rPr>
                    <w:rFonts w:ascii="Cambria Math" w:hAnsi="Times New Roman" w:cs="Times New Roman"/>
                    <w:iCs/>
                    <w:sz w:val="24"/>
                    <w:szCs w:val="24"/>
                    <w:lang w:val="en-US"/>
                  </w:rPr>
                  <m:t>+</m:t>
                </m:r>
                <m:r>
                  <m:rPr>
                    <m:nor/>
                  </m:rPr>
                  <w:rPr>
                    <w:rFonts w:ascii="Times New Roman" w:hAnsi="Times New Roman" w:cs="Times New Roman"/>
                    <w:i/>
                    <w:sz w:val="24"/>
                    <w:szCs w:val="24"/>
                    <w:lang w:val="en-US"/>
                  </w:rPr>
                  <m:t xml:space="preserve"> </m:t>
                </m:r>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δ'</m:t>
                    </m:r>
                  </m:e>
                  <m:sub>
                    <m:r>
                      <m:rPr>
                        <m:nor/>
                      </m:rPr>
                      <w:rPr>
                        <w:rFonts w:ascii="Cambria Math" w:hAnsi="Times New Roman" w:cs="Times New Roman"/>
                        <w:sz w:val="24"/>
                        <w:szCs w:val="24"/>
                        <w:lang w:val="en-US"/>
                      </w:rPr>
                      <m:t>4</m:t>
                    </m:r>
                  </m:sub>
                </m:sSub>
                <m:r>
                  <m:rPr>
                    <m:nor/>
                  </m:rPr>
                  <w:rPr>
                    <w:rFonts w:ascii="Times New Roman" w:hAnsi="Times New Roman" w:cs="Times New Roman"/>
                    <w:i/>
                    <w:sz w:val="24"/>
                    <w:szCs w:val="24"/>
                    <w:lang w:val="en-US"/>
                  </w:rPr>
                  <m:t>W</m:t>
                </m:r>
              </m:e>
              <m:sub>
                <m:r>
                  <m:rPr>
                    <m:nor/>
                  </m:rPr>
                  <w:rPr>
                    <w:rFonts w:ascii="Times New Roman" w:hAnsi="Times New Roman" w:cs="Times New Roman"/>
                    <w:i/>
                    <w:sz w:val="24"/>
                    <w:szCs w:val="24"/>
                    <w:lang w:val="en-US"/>
                  </w:rPr>
                  <m:t>i,t</m:t>
                </m:r>
              </m:sub>
            </m:sSub>
          </m:e>
          <m:sub/>
        </m:sSub>
        <m:r>
          <m:rPr>
            <m:nor/>
          </m:rPr>
          <w:rPr>
            <w:rFonts w:ascii="Times New Roman" w:hAnsi="Times New Roman" w:cs="Times New Roman"/>
            <w:sz w:val="24"/>
            <w:szCs w:val="24"/>
            <w:lang w:val="en-US"/>
          </w:rPr>
          <m:t>+</m:t>
        </m:r>
        <m:r>
          <m:rPr>
            <m:nor/>
          </m:rPr>
          <w:rPr>
            <w:rFonts w:ascii="Cambria Math" w:hAnsi="Times New Roman" w:cs="Times New Roman"/>
            <w:sz w:val="24"/>
            <w:szCs w:val="24"/>
            <w:lang w:val="en-US"/>
          </w:rPr>
          <m:t xml:space="preserve"> </m:t>
        </m:r>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η</m:t>
            </m:r>
          </m:e>
          <m:sub>
            <m:r>
              <m:rPr>
                <m:nor/>
              </m:rPr>
              <w:rPr>
                <w:rFonts w:ascii="Times New Roman" w:hAnsi="Times New Roman" w:cs="Times New Roman"/>
                <w:sz w:val="24"/>
                <w:szCs w:val="24"/>
                <w:lang w:val="en-US"/>
              </w:rPr>
              <m:t>i,t</m:t>
            </m:r>
          </m:sub>
        </m:sSub>
        <m:r>
          <m:rPr>
            <m:nor/>
          </m:rPr>
          <w:rPr>
            <w:rFonts w:ascii="Times New Roman" w:hAnsi="Times New Roman" w:cs="Times New Roman"/>
            <w:sz w:val="24"/>
            <w:szCs w:val="24"/>
            <w:lang w:val="en-US"/>
          </w:rPr>
          <m:t xml:space="preserve">    </m:t>
        </m:r>
      </m:oMath>
      <w:r w:rsidR="00D46513" w:rsidRPr="003101A0">
        <w:rPr>
          <w:rFonts w:ascii="Times New Roman" w:hAnsi="Times New Roman" w:cs="Times New Roman"/>
          <w:sz w:val="24"/>
          <w:szCs w:val="24"/>
          <w:lang w:val="en-US"/>
        </w:rPr>
        <w:t xml:space="preserve">    </w:t>
      </w:r>
      <w:r w:rsidR="00746115">
        <w:rPr>
          <w:rFonts w:ascii="Times New Roman" w:hAnsi="Times New Roman" w:cs="Times New Roman"/>
          <w:sz w:val="24"/>
          <w:szCs w:val="24"/>
          <w:lang w:val="en-US"/>
        </w:rPr>
        <w:t xml:space="preserve">                                           </w:t>
      </w:r>
      <w:r w:rsidR="00D46513" w:rsidRPr="003101A0">
        <w:rPr>
          <w:rFonts w:ascii="Times New Roman" w:hAnsi="Times New Roman" w:cs="Times New Roman"/>
          <w:sz w:val="24"/>
          <w:szCs w:val="24"/>
          <w:lang w:val="en-US"/>
        </w:rPr>
        <w:t xml:space="preserve">    </w:t>
      </w:r>
      <w:r w:rsidR="00282161" w:rsidRPr="003101A0">
        <w:rPr>
          <w:rFonts w:ascii="Times New Roman" w:hAnsi="Times New Roman" w:cs="Times New Roman"/>
          <w:sz w:val="24"/>
          <w:szCs w:val="24"/>
          <w:lang w:val="en-US"/>
        </w:rPr>
        <w:t xml:space="preserve"> (4)</w:t>
      </w:r>
    </w:p>
    <w:p w14:paraId="02D9A157" w14:textId="07B7F63F" w:rsidR="009B7A05" w:rsidRPr="003101A0" w:rsidRDefault="001B49F5" w:rsidP="005D7975">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w:t>
      </w:r>
      <w:r w:rsidR="003B0BA0" w:rsidRPr="003101A0">
        <w:rPr>
          <w:rFonts w:ascii="Times New Roman" w:hAnsi="Times New Roman" w:cs="Times New Roman"/>
          <w:sz w:val="24"/>
          <w:szCs w:val="24"/>
          <w:lang w:val="en-US"/>
        </w:rPr>
        <w:t>here</w:t>
      </w:r>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Yield</m:t>
            </m:r>
          </m:e>
          <m:sub>
            <m:r>
              <m:rPr>
                <m:nor/>
              </m:rPr>
              <w:rPr>
                <w:rFonts w:ascii="Times New Roman" w:hAnsi="Times New Roman" w:cs="Times New Roman"/>
                <w:i/>
                <w:sz w:val="24"/>
                <w:szCs w:val="24"/>
                <w:lang w:val="en-US"/>
              </w:rPr>
              <m:t>i,t</m:t>
            </m:r>
          </m:sub>
        </m:sSub>
      </m:oMath>
      <w:r>
        <w:rPr>
          <w:rFonts w:ascii="Times New Roman" w:hAnsi="Times New Roman" w:cs="Times New Roman"/>
          <w:sz w:val="24"/>
          <w:szCs w:val="24"/>
          <w:lang w:val="en-US"/>
        </w:rPr>
        <w:t xml:space="preserve"> is the </w:t>
      </w:r>
      <w:r w:rsidRPr="00A40CEA">
        <w:rPr>
          <w:rFonts w:ascii="Times New Roman" w:hAnsi="Times New Roman" w:cs="Times New Roman"/>
          <w:sz w:val="24"/>
          <w:szCs w:val="24"/>
          <w:lang w:val="en-US"/>
        </w:rPr>
        <w:t xml:space="preserve">difference between the </w:t>
      </w:r>
      <w:r w:rsidR="00C53631">
        <w:rPr>
          <w:rFonts w:ascii="Times New Roman" w:hAnsi="Times New Roman" w:cs="Times New Roman"/>
          <w:sz w:val="24"/>
          <w:szCs w:val="24"/>
          <w:lang w:val="en-US"/>
        </w:rPr>
        <w:t xml:space="preserve">at-issue </w:t>
      </w:r>
      <w:r w:rsidR="00CB602B" w:rsidRPr="00CB602B">
        <w:rPr>
          <w:rFonts w:ascii="Times New Roman" w:hAnsi="Times New Roman" w:cs="Times New Roman"/>
          <w:sz w:val="24"/>
          <w:szCs w:val="24"/>
          <w:lang w:val="en-US"/>
        </w:rPr>
        <w:t xml:space="preserve">yield-to-maturity (YTM) of the </w:t>
      </w:r>
      <w:r w:rsidR="00CB602B">
        <w:rPr>
          <w:rFonts w:ascii="Times New Roman" w:hAnsi="Times New Roman" w:cs="Times New Roman"/>
          <w:sz w:val="24"/>
          <w:szCs w:val="24"/>
          <w:lang w:val="en-US"/>
        </w:rPr>
        <w:t>bond</w:t>
      </w:r>
      <w:r w:rsidR="00CB602B" w:rsidRPr="00CB602B">
        <w:rPr>
          <w:rFonts w:ascii="Times New Roman" w:hAnsi="Times New Roman" w:cs="Times New Roman"/>
          <w:sz w:val="24"/>
          <w:szCs w:val="24"/>
          <w:lang w:val="en-US"/>
        </w:rPr>
        <w:t xml:space="preserve"> and the YTM of </w:t>
      </w:r>
      <w:r w:rsidR="007E0FB2">
        <w:rPr>
          <w:rFonts w:ascii="Times New Roman" w:hAnsi="Times New Roman" w:cs="Times New Roman"/>
          <w:sz w:val="24"/>
          <w:szCs w:val="24"/>
          <w:lang w:val="en-US"/>
        </w:rPr>
        <w:t xml:space="preserve">a </w:t>
      </w:r>
      <w:r w:rsidR="00C53631">
        <w:rPr>
          <w:rFonts w:ascii="Times New Roman" w:hAnsi="Times New Roman" w:cs="Times New Roman"/>
          <w:sz w:val="24"/>
          <w:szCs w:val="24"/>
          <w:lang w:val="en-US"/>
        </w:rPr>
        <w:t xml:space="preserve">matched </w:t>
      </w:r>
      <w:r w:rsidR="00CB602B" w:rsidRPr="00CB602B">
        <w:rPr>
          <w:rFonts w:ascii="Times New Roman" w:hAnsi="Times New Roman" w:cs="Times New Roman"/>
          <w:sz w:val="24"/>
          <w:szCs w:val="24"/>
          <w:lang w:val="en-US"/>
        </w:rPr>
        <w:t xml:space="preserve">Treasury </w:t>
      </w:r>
      <w:r w:rsidR="00C02FC1">
        <w:rPr>
          <w:rFonts w:ascii="Times New Roman" w:hAnsi="Times New Roman" w:cs="Times New Roman"/>
          <w:sz w:val="24"/>
          <w:szCs w:val="24"/>
          <w:lang w:val="en-US"/>
        </w:rPr>
        <w:t>b</w:t>
      </w:r>
      <w:r w:rsidR="00CB602B" w:rsidRPr="00CB602B">
        <w:rPr>
          <w:rFonts w:ascii="Times New Roman" w:hAnsi="Times New Roman" w:cs="Times New Roman"/>
          <w:sz w:val="24"/>
          <w:szCs w:val="24"/>
          <w:lang w:val="en-US"/>
        </w:rPr>
        <w:t xml:space="preserve">ond </w:t>
      </w:r>
      <w:r w:rsidR="00C53631">
        <w:rPr>
          <w:rFonts w:ascii="Times New Roman" w:hAnsi="Times New Roman" w:cs="Times New Roman"/>
          <w:sz w:val="24"/>
          <w:szCs w:val="24"/>
          <w:lang w:val="en-US"/>
        </w:rPr>
        <w:t>with</w:t>
      </w:r>
      <w:r w:rsidR="00CB602B" w:rsidRPr="00CB602B">
        <w:rPr>
          <w:rFonts w:ascii="Times New Roman" w:hAnsi="Times New Roman" w:cs="Times New Roman"/>
          <w:sz w:val="24"/>
          <w:szCs w:val="24"/>
          <w:lang w:val="en-US"/>
        </w:rPr>
        <w:t xml:space="preserve"> the</w:t>
      </w:r>
      <w:r w:rsidR="00CB602B">
        <w:rPr>
          <w:rFonts w:ascii="Times New Roman" w:hAnsi="Times New Roman" w:cs="Times New Roman"/>
          <w:sz w:val="24"/>
          <w:szCs w:val="24"/>
          <w:lang w:val="en-US"/>
        </w:rPr>
        <w:t xml:space="preserve"> </w:t>
      </w:r>
      <w:r w:rsidR="00CB602B" w:rsidRPr="00CB602B">
        <w:rPr>
          <w:rFonts w:ascii="Times New Roman" w:hAnsi="Times New Roman" w:cs="Times New Roman"/>
          <w:sz w:val="24"/>
          <w:szCs w:val="24"/>
          <w:lang w:val="en-US"/>
        </w:rPr>
        <w:t>closest maturity.</w:t>
      </w:r>
      <w:r w:rsidRPr="00A40CEA">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W</m:t>
            </m:r>
          </m:e>
          <m:sub>
            <m:r>
              <m:rPr>
                <m:nor/>
              </m:rPr>
              <w:rPr>
                <w:rFonts w:ascii="Times New Roman" w:hAnsi="Times New Roman" w:cs="Times New Roman"/>
                <w:i/>
                <w:sz w:val="24"/>
                <w:szCs w:val="24"/>
                <w:lang w:val="en-US"/>
              </w:rPr>
              <m:t>i,t</m:t>
            </m:r>
          </m:sub>
        </m:sSub>
      </m:oMath>
      <w:r w:rsidR="00646277" w:rsidRPr="003101A0">
        <w:rPr>
          <w:rFonts w:ascii="Times New Roman" w:hAnsi="Times New Roman" w:cs="Times New Roman"/>
          <w:i/>
          <w:iCs/>
          <w:sz w:val="24"/>
          <w:szCs w:val="24"/>
          <w:lang w:val="en-US"/>
        </w:rPr>
        <w:t xml:space="preserve"> </w:t>
      </w:r>
      <w:r w:rsidR="00D82DBD" w:rsidRPr="003101A0">
        <w:rPr>
          <w:rFonts w:ascii="Times New Roman" w:hAnsi="Times New Roman" w:cs="Times New Roman"/>
          <w:sz w:val="24"/>
          <w:szCs w:val="24"/>
          <w:lang w:val="en-US"/>
        </w:rPr>
        <w:t>is a vector of control variables</w:t>
      </w:r>
      <w:r w:rsidR="002501A7" w:rsidRPr="003101A0">
        <w:rPr>
          <w:rFonts w:ascii="Times New Roman" w:hAnsi="Times New Roman" w:cs="Times New Roman"/>
          <w:sz w:val="24"/>
          <w:szCs w:val="24"/>
          <w:lang w:val="en-US"/>
        </w:rPr>
        <w:t xml:space="preserve"> and </w:t>
      </w:r>
      <m:oMath>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η</m:t>
            </m:r>
          </m:e>
          <m:sub>
            <m:r>
              <m:rPr>
                <m:nor/>
              </m:rPr>
              <w:rPr>
                <w:rFonts w:ascii="Times New Roman" w:hAnsi="Times New Roman" w:cs="Times New Roman"/>
                <w:sz w:val="24"/>
                <w:szCs w:val="24"/>
                <w:lang w:val="en-US"/>
              </w:rPr>
              <m:t>i,t</m:t>
            </m:r>
          </m:sub>
        </m:sSub>
      </m:oMath>
      <w:r w:rsidR="002501A7" w:rsidRPr="003101A0">
        <w:rPr>
          <w:rFonts w:ascii="Times New Roman" w:hAnsi="Times New Roman" w:cs="Times New Roman"/>
          <w:sz w:val="24"/>
          <w:szCs w:val="24"/>
          <w:lang w:val="en-US"/>
        </w:rPr>
        <w:t xml:space="preserve"> an error term. </w:t>
      </w:r>
      <w:r w:rsidR="007E4BFB">
        <w:rPr>
          <w:rFonts w:ascii="Times New Roman" w:hAnsi="Times New Roman" w:cs="Times New Roman"/>
          <w:sz w:val="24"/>
          <w:szCs w:val="24"/>
          <w:lang w:val="en-US"/>
        </w:rPr>
        <w:t xml:space="preserve">We expect a negative impact of </w:t>
      </w:r>
      <w:r w:rsidR="007E4BFB" w:rsidRPr="00532049">
        <w:rPr>
          <w:rFonts w:ascii="Times New Roman" w:hAnsi="Times New Roman" w:cs="Times New Roman"/>
          <w:i/>
          <w:iCs/>
          <w:sz w:val="24"/>
          <w:szCs w:val="24"/>
          <w:lang w:val="en-US"/>
        </w:rPr>
        <w:t>Convertible</w:t>
      </w:r>
      <w:r w:rsidR="007E4BFB">
        <w:rPr>
          <w:rFonts w:ascii="Times New Roman" w:hAnsi="Times New Roman" w:cs="Times New Roman"/>
          <w:sz w:val="24"/>
          <w:szCs w:val="24"/>
          <w:lang w:val="en-US"/>
        </w:rPr>
        <w:t xml:space="preserve">, since convertible bonds typically have a lower yield than straight bonds due to the inclusion of the convertibility option (Brennan and Schwartz, 1988). Our key variable of interest is </w:t>
      </w:r>
      <w:r w:rsidR="009B7A05">
        <w:rPr>
          <w:rFonts w:ascii="Times New Roman" w:hAnsi="Times New Roman" w:cs="Times New Roman"/>
          <w:sz w:val="24"/>
          <w:szCs w:val="24"/>
          <w:lang w:val="en-US"/>
        </w:rPr>
        <w:t>the</w:t>
      </w:r>
      <w:r w:rsidR="007E4BFB">
        <w:rPr>
          <w:rFonts w:ascii="Times New Roman" w:hAnsi="Times New Roman" w:cs="Times New Roman"/>
          <w:sz w:val="24"/>
          <w:szCs w:val="24"/>
          <w:lang w:val="en-US"/>
        </w:rPr>
        <w:t xml:space="preserve"> interaction term of </w:t>
      </w:r>
      <w:r w:rsidR="007E4BFB" w:rsidRPr="00532049">
        <w:rPr>
          <w:rFonts w:ascii="Times New Roman" w:hAnsi="Times New Roman" w:cs="Times New Roman"/>
          <w:i/>
          <w:iCs/>
          <w:sz w:val="24"/>
          <w:szCs w:val="24"/>
          <w:lang w:val="en-US"/>
        </w:rPr>
        <w:t>CI index</w:t>
      </w:r>
      <w:r w:rsidR="007E4BFB">
        <w:rPr>
          <w:rFonts w:ascii="Times New Roman" w:hAnsi="Times New Roman" w:cs="Times New Roman"/>
          <w:sz w:val="24"/>
          <w:szCs w:val="24"/>
          <w:lang w:val="en-US"/>
        </w:rPr>
        <w:t xml:space="preserve"> with </w:t>
      </w:r>
      <w:r w:rsidR="007E4BFB" w:rsidRPr="00532049">
        <w:rPr>
          <w:rFonts w:ascii="Times New Roman" w:hAnsi="Times New Roman" w:cs="Times New Roman"/>
          <w:i/>
          <w:iCs/>
          <w:sz w:val="24"/>
          <w:szCs w:val="24"/>
          <w:lang w:val="en-US"/>
        </w:rPr>
        <w:t>Convertible</w:t>
      </w:r>
      <w:r w:rsidR="007E4BFB">
        <w:rPr>
          <w:rFonts w:ascii="Times New Roman" w:hAnsi="Times New Roman" w:cs="Times New Roman"/>
          <w:sz w:val="24"/>
          <w:szCs w:val="24"/>
          <w:lang w:val="en-US"/>
        </w:rPr>
        <w:t xml:space="preserve">. Under </w:t>
      </w:r>
      <w:r w:rsidR="007E4BFB" w:rsidRPr="00BF5664">
        <w:rPr>
          <w:rFonts w:ascii="Times New Roman" w:hAnsi="Times New Roman" w:cs="Times New Roman"/>
          <w:i/>
          <w:iCs/>
          <w:sz w:val="24"/>
          <w:szCs w:val="24"/>
          <w:lang w:val="en-US"/>
        </w:rPr>
        <w:t>P</w:t>
      </w:r>
      <w:r w:rsidR="007E4BFB" w:rsidRPr="00BF5664">
        <w:rPr>
          <w:rFonts w:ascii="Times New Roman" w:hAnsi="Times New Roman" w:cs="Times New Roman"/>
          <w:i/>
          <w:iCs/>
          <w:sz w:val="24"/>
          <w:szCs w:val="24"/>
          <w:vertAlign w:val="subscript"/>
          <w:lang w:val="en-US"/>
        </w:rPr>
        <w:t>2</w:t>
      </w:r>
      <w:r w:rsidR="007E4BFB">
        <w:rPr>
          <w:rFonts w:ascii="Times New Roman" w:hAnsi="Times New Roman" w:cs="Times New Roman"/>
          <w:sz w:val="24"/>
          <w:szCs w:val="24"/>
          <w:lang w:val="en-US"/>
        </w:rPr>
        <w:t xml:space="preserve">, we predict a weaker negative impact of covenant intensity on convertible bond yields, relative to straight bond yields. This translates </w:t>
      </w:r>
      <w:r w:rsidR="009F553E">
        <w:rPr>
          <w:rFonts w:ascii="Times New Roman" w:hAnsi="Times New Roman" w:cs="Times New Roman"/>
          <w:sz w:val="24"/>
          <w:szCs w:val="24"/>
          <w:lang w:val="en-US"/>
        </w:rPr>
        <w:t>to</w:t>
      </w:r>
      <w:r w:rsidR="007E4BFB">
        <w:rPr>
          <w:rFonts w:ascii="Times New Roman" w:hAnsi="Times New Roman" w:cs="Times New Roman"/>
          <w:sz w:val="24"/>
          <w:szCs w:val="24"/>
          <w:lang w:val="en-US"/>
        </w:rPr>
        <w:t xml:space="preserve"> a prediction of a negative main effect of </w:t>
      </w:r>
      <w:r w:rsidR="009B7A05">
        <w:rPr>
          <w:rFonts w:ascii="Times New Roman" w:hAnsi="Times New Roman" w:cs="Times New Roman"/>
          <w:i/>
          <w:iCs/>
          <w:sz w:val="24"/>
          <w:szCs w:val="24"/>
          <w:lang w:val="en-US"/>
        </w:rPr>
        <w:t>CI index</w:t>
      </w:r>
      <w:r w:rsidR="007E4BFB">
        <w:rPr>
          <w:rFonts w:ascii="Times New Roman" w:hAnsi="Times New Roman" w:cs="Times New Roman"/>
          <w:sz w:val="24"/>
          <w:szCs w:val="24"/>
          <w:lang w:val="en-US"/>
        </w:rPr>
        <w:t xml:space="preserve">, and a positive effect of the </w:t>
      </w:r>
      <w:r w:rsidR="007E4BFB" w:rsidRPr="00B07C86">
        <w:rPr>
          <w:rFonts w:ascii="Times New Roman" w:hAnsi="Times New Roman" w:cs="Times New Roman"/>
          <w:i/>
          <w:sz w:val="24"/>
          <w:szCs w:val="24"/>
          <w:lang w:val="en-US"/>
        </w:rPr>
        <w:t>C</w:t>
      </w:r>
      <w:r w:rsidR="009B7A05">
        <w:rPr>
          <w:rFonts w:ascii="Times New Roman" w:hAnsi="Times New Roman" w:cs="Times New Roman"/>
          <w:i/>
          <w:sz w:val="24"/>
          <w:szCs w:val="24"/>
          <w:lang w:val="en-US"/>
        </w:rPr>
        <w:t xml:space="preserve">I index </w:t>
      </w:r>
      <w:r w:rsidR="007E4BFB" w:rsidRPr="00B07C86">
        <w:rPr>
          <w:rFonts w:ascii="Times New Roman" w:hAnsi="Times New Roman" w:cs="Times New Roman"/>
          <w:i/>
          <w:sz w:val="24"/>
          <w:szCs w:val="24"/>
          <w:lang w:val="en-US"/>
        </w:rPr>
        <w:t>× Convertible</w:t>
      </w:r>
      <w:r w:rsidR="007E4BFB">
        <w:rPr>
          <w:rFonts w:ascii="Times New Roman" w:hAnsi="Times New Roman" w:cs="Times New Roman"/>
          <w:sz w:val="24"/>
          <w:szCs w:val="24"/>
          <w:lang w:val="en-US"/>
        </w:rPr>
        <w:t xml:space="preserve"> interaction term on </w:t>
      </w:r>
      <w:r w:rsidR="007E4BFB" w:rsidRPr="00532049">
        <w:rPr>
          <w:rFonts w:ascii="Times New Roman" w:hAnsi="Times New Roman" w:cs="Times New Roman"/>
          <w:i/>
          <w:iCs/>
          <w:sz w:val="24"/>
          <w:szCs w:val="24"/>
          <w:lang w:val="en-US"/>
        </w:rPr>
        <w:t>Yield</w:t>
      </w:r>
      <w:r w:rsidR="007E4BFB">
        <w:rPr>
          <w:rFonts w:ascii="Times New Roman" w:hAnsi="Times New Roman" w:cs="Times New Roman"/>
          <w:sz w:val="24"/>
          <w:szCs w:val="24"/>
          <w:lang w:val="en-US"/>
        </w:rPr>
        <w:t xml:space="preserve">. </w:t>
      </w:r>
      <w:r w:rsidR="00D82DBD" w:rsidRPr="003101A0">
        <w:rPr>
          <w:rFonts w:ascii="Times New Roman" w:hAnsi="Times New Roman" w:cs="Times New Roman"/>
          <w:sz w:val="24"/>
          <w:szCs w:val="24"/>
          <w:lang w:val="en-US"/>
        </w:rPr>
        <w:t xml:space="preserve">We use </w:t>
      </w:r>
      <w:r w:rsidR="00BF5664">
        <w:rPr>
          <w:rFonts w:ascii="Times New Roman" w:hAnsi="Times New Roman" w:cs="Times New Roman"/>
          <w:sz w:val="24"/>
          <w:szCs w:val="24"/>
          <w:lang w:val="en-US"/>
        </w:rPr>
        <w:t xml:space="preserve">the </w:t>
      </w:r>
      <w:r w:rsidR="00D82DBD" w:rsidRPr="003101A0">
        <w:rPr>
          <w:rFonts w:ascii="Times New Roman" w:hAnsi="Times New Roman" w:cs="Times New Roman"/>
          <w:sz w:val="24"/>
          <w:szCs w:val="24"/>
          <w:lang w:val="en-US"/>
        </w:rPr>
        <w:t>issuer</w:t>
      </w:r>
      <w:r w:rsidR="00AA4EE9" w:rsidRPr="003101A0">
        <w:rPr>
          <w:rFonts w:ascii="Times New Roman" w:hAnsi="Times New Roman" w:cs="Times New Roman"/>
          <w:sz w:val="24"/>
          <w:szCs w:val="24"/>
          <w:lang w:val="en-US"/>
        </w:rPr>
        <w:t>,</w:t>
      </w:r>
      <w:r w:rsidR="00D82DBD" w:rsidRPr="003101A0">
        <w:rPr>
          <w:rFonts w:ascii="Times New Roman" w:hAnsi="Times New Roman" w:cs="Times New Roman"/>
          <w:sz w:val="24"/>
          <w:szCs w:val="24"/>
          <w:lang w:val="en-US"/>
        </w:rPr>
        <w:t xml:space="preserve"> macroeconomic</w:t>
      </w:r>
      <w:r w:rsidR="00AA4EE9" w:rsidRPr="003101A0">
        <w:rPr>
          <w:rFonts w:ascii="Times New Roman" w:hAnsi="Times New Roman" w:cs="Times New Roman"/>
          <w:sz w:val="24"/>
          <w:szCs w:val="24"/>
          <w:lang w:val="en-US"/>
        </w:rPr>
        <w:t xml:space="preserve">, and </w:t>
      </w:r>
      <w:r w:rsidR="007974C8" w:rsidRPr="003101A0">
        <w:rPr>
          <w:rFonts w:ascii="Times New Roman" w:hAnsi="Times New Roman" w:cs="Times New Roman"/>
          <w:sz w:val="24"/>
          <w:szCs w:val="24"/>
          <w:lang w:val="en-US"/>
        </w:rPr>
        <w:t>period effects</w:t>
      </w:r>
      <w:r w:rsidR="00D82DBD" w:rsidRPr="003101A0">
        <w:rPr>
          <w:rFonts w:ascii="Times New Roman" w:hAnsi="Times New Roman" w:cs="Times New Roman"/>
          <w:sz w:val="24"/>
          <w:szCs w:val="24"/>
          <w:lang w:val="en-US"/>
        </w:rPr>
        <w:t xml:space="preserve"> proxies</w:t>
      </w:r>
      <w:r w:rsidR="00BF5664">
        <w:rPr>
          <w:rFonts w:ascii="Times New Roman" w:hAnsi="Times New Roman" w:cs="Times New Roman"/>
          <w:sz w:val="24"/>
          <w:szCs w:val="24"/>
          <w:lang w:val="en-US"/>
        </w:rPr>
        <w:t xml:space="preserve"> described</w:t>
      </w:r>
      <w:r w:rsidR="00D82DBD" w:rsidRPr="003101A0">
        <w:rPr>
          <w:rFonts w:ascii="Times New Roman" w:hAnsi="Times New Roman" w:cs="Times New Roman"/>
          <w:sz w:val="24"/>
          <w:szCs w:val="24"/>
          <w:lang w:val="en-US"/>
        </w:rPr>
        <w:t xml:space="preserve"> in Section 3 as components of </w:t>
      </w: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 xml:space="preserve"> W</m:t>
            </m:r>
          </m:e>
          <m:sub>
            <m:r>
              <m:rPr>
                <m:nor/>
              </m:rPr>
              <w:rPr>
                <w:rFonts w:ascii="Times New Roman" w:hAnsi="Times New Roman" w:cs="Times New Roman"/>
                <w:i/>
                <w:sz w:val="24"/>
                <w:szCs w:val="24"/>
                <w:lang w:val="en-US"/>
              </w:rPr>
              <m:t>i,t</m:t>
            </m:r>
          </m:sub>
        </m:sSub>
      </m:oMath>
      <w:r w:rsidR="00D82DBD" w:rsidRPr="003101A0">
        <w:rPr>
          <w:rFonts w:ascii="Times New Roman" w:hAnsi="Times New Roman" w:cs="Times New Roman"/>
          <w:sz w:val="24"/>
          <w:szCs w:val="24"/>
          <w:lang w:val="en-US"/>
        </w:rPr>
        <w:t xml:space="preserve">. </w:t>
      </w:r>
      <w:r w:rsidR="002501A7" w:rsidRPr="003101A0">
        <w:rPr>
          <w:rFonts w:ascii="Times New Roman" w:hAnsi="Times New Roman" w:cs="Times New Roman"/>
          <w:sz w:val="24"/>
          <w:szCs w:val="24"/>
          <w:lang w:val="en-US"/>
        </w:rPr>
        <w:t xml:space="preserve">We </w:t>
      </w:r>
      <w:r w:rsidR="00D82DBD" w:rsidRPr="003101A0">
        <w:rPr>
          <w:rFonts w:ascii="Times New Roman" w:hAnsi="Times New Roman" w:cs="Times New Roman"/>
          <w:sz w:val="24"/>
          <w:szCs w:val="24"/>
          <w:lang w:val="en-US"/>
        </w:rPr>
        <w:t xml:space="preserve">predict a higher yield </w:t>
      </w:r>
      <w:r w:rsidR="00646277" w:rsidRPr="003101A0">
        <w:rPr>
          <w:rFonts w:ascii="Times New Roman" w:hAnsi="Times New Roman" w:cs="Times New Roman"/>
          <w:sz w:val="24"/>
          <w:szCs w:val="24"/>
          <w:lang w:val="en-US"/>
        </w:rPr>
        <w:t>for bonds issued by firms</w:t>
      </w:r>
      <w:r w:rsidR="00D82DBD" w:rsidRPr="003101A0">
        <w:rPr>
          <w:rFonts w:ascii="Times New Roman" w:hAnsi="Times New Roman" w:cs="Times New Roman"/>
          <w:sz w:val="24"/>
          <w:szCs w:val="24"/>
          <w:lang w:val="en-US"/>
        </w:rPr>
        <w:t xml:space="preserve"> with higher debt-related agency and financial distress costs, </w:t>
      </w:r>
      <w:r w:rsidR="008E5193">
        <w:rPr>
          <w:rFonts w:ascii="Times New Roman" w:hAnsi="Times New Roman" w:cs="Times New Roman"/>
          <w:sz w:val="24"/>
          <w:szCs w:val="24"/>
          <w:lang w:val="en-US"/>
        </w:rPr>
        <w:t>and for bonds issued</w:t>
      </w:r>
      <w:r w:rsidR="00D82DBD" w:rsidRPr="003101A0">
        <w:rPr>
          <w:rFonts w:ascii="Times New Roman" w:hAnsi="Times New Roman" w:cs="Times New Roman"/>
          <w:sz w:val="24"/>
          <w:szCs w:val="24"/>
          <w:lang w:val="en-US"/>
        </w:rPr>
        <w:t xml:space="preserve"> during macroeconomic conditions with higher debt-related financing costs. </w:t>
      </w:r>
      <w:r w:rsidR="002501A7" w:rsidRPr="003101A0">
        <w:rPr>
          <w:rFonts w:ascii="Times New Roman" w:hAnsi="Times New Roman" w:cs="Times New Roman"/>
          <w:sz w:val="24"/>
          <w:szCs w:val="24"/>
          <w:lang w:val="en-US"/>
        </w:rPr>
        <w:t xml:space="preserve">We </w:t>
      </w:r>
      <w:r w:rsidR="008E5193">
        <w:rPr>
          <w:rFonts w:ascii="Times New Roman" w:hAnsi="Times New Roman" w:cs="Times New Roman"/>
          <w:sz w:val="24"/>
          <w:szCs w:val="24"/>
          <w:lang w:val="en-US"/>
        </w:rPr>
        <w:t xml:space="preserve">furthermore </w:t>
      </w:r>
      <w:r w:rsidR="002501A7" w:rsidRPr="003101A0">
        <w:rPr>
          <w:rFonts w:ascii="Times New Roman" w:hAnsi="Times New Roman" w:cs="Times New Roman"/>
          <w:sz w:val="24"/>
          <w:szCs w:val="24"/>
          <w:lang w:val="en-US"/>
        </w:rPr>
        <w:t xml:space="preserve">predict a positive impact of investment </w:t>
      </w:r>
      <w:r w:rsidR="0049621F" w:rsidRPr="003101A0">
        <w:rPr>
          <w:rFonts w:ascii="Times New Roman" w:hAnsi="Times New Roman" w:cs="Times New Roman"/>
          <w:sz w:val="24"/>
          <w:szCs w:val="24"/>
          <w:lang w:val="en-US"/>
        </w:rPr>
        <w:t xml:space="preserve">opportunity </w:t>
      </w:r>
      <w:r w:rsidR="002501A7" w:rsidRPr="003101A0">
        <w:rPr>
          <w:rFonts w:ascii="Times New Roman" w:hAnsi="Times New Roman" w:cs="Times New Roman"/>
          <w:sz w:val="24"/>
          <w:szCs w:val="24"/>
          <w:lang w:val="en-US"/>
        </w:rPr>
        <w:t xml:space="preserve">measures on </w:t>
      </w:r>
      <w:r w:rsidR="002501A7" w:rsidRPr="003101A0">
        <w:rPr>
          <w:rFonts w:ascii="Times New Roman" w:hAnsi="Times New Roman" w:cs="Times New Roman"/>
          <w:i/>
          <w:iCs/>
          <w:sz w:val="24"/>
          <w:szCs w:val="24"/>
          <w:lang w:val="en-US"/>
        </w:rPr>
        <w:t>Yield</w:t>
      </w:r>
      <w:r w:rsidR="002501A7" w:rsidRPr="003101A0">
        <w:rPr>
          <w:rFonts w:ascii="Times New Roman" w:hAnsi="Times New Roman" w:cs="Times New Roman"/>
          <w:sz w:val="24"/>
          <w:szCs w:val="24"/>
          <w:lang w:val="en-US"/>
        </w:rPr>
        <w:t xml:space="preserve"> </w:t>
      </w:r>
      <w:r w:rsidR="00871C61" w:rsidRPr="003101A0">
        <w:rPr>
          <w:rFonts w:ascii="Times New Roman" w:hAnsi="Times New Roman" w:cs="Times New Roman"/>
          <w:sz w:val="24"/>
          <w:szCs w:val="24"/>
          <w:lang w:val="en-US"/>
        </w:rPr>
        <w:t>b</w:t>
      </w:r>
      <w:r w:rsidR="002501A7" w:rsidRPr="003101A0">
        <w:rPr>
          <w:rFonts w:ascii="Times New Roman" w:hAnsi="Times New Roman" w:cs="Times New Roman"/>
          <w:sz w:val="24"/>
          <w:szCs w:val="24"/>
          <w:lang w:val="en-US"/>
        </w:rPr>
        <w:t>e</w:t>
      </w:r>
      <w:r w:rsidR="00871C61" w:rsidRPr="003101A0">
        <w:rPr>
          <w:rFonts w:ascii="Times New Roman" w:hAnsi="Times New Roman" w:cs="Times New Roman"/>
          <w:sz w:val="24"/>
          <w:szCs w:val="24"/>
          <w:lang w:val="en-US"/>
        </w:rPr>
        <w:t>cause</w:t>
      </w:r>
      <w:r w:rsidR="002501A7" w:rsidRPr="003101A0">
        <w:rPr>
          <w:rFonts w:ascii="Times New Roman" w:hAnsi="Times New Roman" w:cs="Times New Roman"/>
          <w:sz w:val="24"/>
          <w:szCs w:val="24"/>
          <w:lang w:val="en-US"/>
        </w:rPr>
        <w:t xml:space="preserve"> such opportunities could be associated with higher risk uncertainty. </w:t>
      </w:r>
      <w:r w:rsidR="009B7A05">
        <w:rPr>
          <w:rFonts w:ascii="Times New Roman" w:hAnsi="Times New Roman" w:cs="Times New Roman"/>
          <w:sz w:val="24"/>
          <w:szCs w:val="24"/>
          <w:lang w:val="en-US"/>
        </w:rPr>
        <w:t xml:space="preserve">Since the various control variables may affect convertible and straight bond yields differently, we also interact each of these variables with </w:t>
      </w:r>
      <w:r w:rsidR="009B7A05" w:rsidRPr="00532049">
        <w:rPr>
          <w:rFonts w:ascii="Times New Roman" w:hAnsi="Times New Roman" w:cs="Times New Roman"/>
          <w:i/>
          <w:iCs/>
          <w:sz w:val="24"/>
          <w:szCs w:val="24"/>
          <w:lang w:val="en-US"/>
        </w:rPr>
        <w:t>Convertible</w:t>
      </w:r>
      <w:r w:rsidR="009B7A05">
        <w:rPr>
          <w:rFonts w:ascii="Times New Roman" w:hAnsi="Times New Roman" w:cs="Times New Roman"/>
          <w:sz w:val="24"/>
          <w:szCs w:val="24"/>
          <w:lang w:val="en-US"/>
        </w:rPr>
        <w:t xml:space="preserve">, but do not report the detailed coefficients on these interaction terms in the interest of space. </w:t>
      </w:r>
    </w:p>
    <w:p w14:paraId="54CEC273" w14:textId="5889B2FE" w:rsidR="00ED73B7" w:rsidRPr="003101A0" w:rsidRDefault="002501A7" w:rsidP="0096066D">
      <w:pPr>
        <w:spacing w:after="0" w:line="480" w:lineRule="auto"/>
        <w:ind w:firstLine="567"/>
        <w:jc w:val="both"/>
        <w:rPr>
          <w:rFonts w:ascii="Times New Roman" w:hAnsi="Times New Roman" w:cs="Times New Roman"/>
          <w:sz w:val="24"/>
          <w:szCs w:val="24"/>
          <w:lang w:val="en-US" w:eastAsia="zh-CN"/>
        </w:rPr>
      </w:pPr>
      <w:r w:rsidRPr="003101A0">
        <w:rPr>
          <w:rFonts w:ascii="Times New Roman" w:hAnsi="Times New Roman" w:cs="Times New Roman"/>
          <w:sz w:val="24"/>
          <w:szCs w:val="24"/>
          <w:lang w:val="en-US"/>
        </w:rPr>
        <w:t>When estimating the model, we need</w:t>
      </w:r>
      <w:r w:rsidR="00646277" w:rsidRPr="003101A0">
        <w:rPr>
          <w:rFonts w:ascii="Times New Roman" w:hAnsi="Times New Roman" w:cs="Times New Roman"/>
          <w:sz w:val="24"/>
          <w:szCs w:val="24"/>
          <w:lang w:val="en-US"/>
        </w:rPr>
        <w:t xml:space="preserve"> to</w:t>
      </w:r>
      <w:r w:rsidR="00ED73B7" w:rsidRPr="003101A0">
        <w:rPr>
          <w:rFonts w:ascii="Times New Roman" w:hAnsi="Times New Roman" w:cs="Times New Roman"/>
          <w:sz w:val="24"/>
          <w:szCs w:val="24"/>
          <w:lang w:val="en-US"/>
        </w:rPr>
        <w:t xml:space="preserve"> account for the potential endogeneity of covenant intensity.</w:t>
      </w:r>
      <w:r w:rsidR="00871C61" w:rsidRPr="003101A0">
        <w:rPr>
          <w:rFonts w:ascii="Times New Roman" w:hAnsi="Times New Roman" w:cs="Times New Roman"/>
          <w:sz w:val="24"/>
          <w:szCs w:val="24"/>
          <w:lang w:val="en-US"/>
        </w:rPr>
        <w:t xml:space="preserve"> </w:t>
      </w:r>
      <w:r w:rsidR="00ED73B7" w:rsidRPr="003101A0">
        <w:rPr>
          <w:rFonts w:ascii="Times New Roman" w:hAnsi="Times New Roman" w:cs="Times New Roman"/>
          <w:i/>
          <w:iCs/>
          <w:sz w:val="24"/>
          <w:szCs w:val="24"/>
          <w:lang w:val="en-US"/>
        </w:rPr>
        <w:t xml:space="preserve">CI index </w:t>
      </w:r>
      <w:r w:rsidR="00ED73B7" w:rsidRPr="003101A0">
        <w:rPr>
          <w:rFonts w:ascii="Times New Roman" w:hAnsi="Times New Roman" w:cs="Times New Roman"/>
          <w:sz w:val="24"/>
          <w:szCs w:val="24"/>
          <w:lang w:val="en-US"/>
        </w:rPr>
        <w:t>is a continuous variable, making a treatment effects model inappropriate for our design. We instead use a two</w:t>
      </w:r>
      <w:r w:rsidR="00D82DBD" w:rsidRPr="003101A0">
        <w:rPr>
          <w:rFonts w:ascii="Times New Roman" w:hAnsi="Times New Roman" w:cs="Times New Roman"/>
          <w:sz w:val="24"/>
          <w:szCs w:val="24"/>
          <w:lang w:val="en-US"/>
        </w:rPr>
        <w:t>-</w:t>
      </w:r>
      <w:r w:rsidR="00ED73B7" w:rsidRPr="003101A0">
        <w:rPr>
          <w:rFonts w:ascii="Times New Roman" w:hAnsi="Times New Roman" w:cs="Times New Roman"/>
          <w:sz w:val="24"/>
          <w:szCs w:val="24"/>
          <w:lang w:val="en-US"/>
        </w:rPr>
        <w:t>stage least squares</w:t>
      </w:r>
      <w:r w:rsidR="002828C5">
        <w:rPr>
          <w:rFonts w:ascii="Times New Roman" w:hAnsi="Times New Roman" w:cs="Times New Roman"/>
          <w:sz w:val="24"/>
          <w:szCs w:val="24"/>
          <w:lang w:val="en-US"/>
        </w:rPr>
        <w:t xml:space="preserve"> (2SLS)</w:t>
      </w:r>
      <w:r w:rsidR="00ED73B7" w:rsidRPr="003101A0">
        <w:rPr>
          <w:rFonts w:ascii="Times New Roman" w:hAnsi="Times New Roman" w:cs="Times New Roman"/>
          <w:sz w:val="24"/>
          <w:szCs w:val="24"/>
          <w:lang w:val="en-US"/>
        </w:rPr>
        <w:t xml:space="preserve"> instrumental variable approach. The first stage </w:t>
      </w:r>
      <w:r w:rsidR="009A0610" w:rsidRPr="003101A0">
        <w:rPr>
          <w:rFonts w:ascii="Times New Roman" w:hAnsi="Times New Roman" w:cs="Times New Roman"/>
          <w:sz w:val="24"/>
          <w:szCs w:val="24"/>
          <w:lang w:val="en-US"/>
        </w:rPr>
        <w:t xml:space="preserve">regresses </w:t>
      </w:r>
      <w:r w:rsidR="009A0610" w:rsidRPr="003101A0">
        <w:rPr>
          <w:rFonts w:ascii="Times New Roman" w:hAnsi="Times New Roman" w:cs="Times New Roman"/>
          <w:i/>
          <w:iCs/>
          <w:sz w:val="24"/>
          <w:szCs w:val="24"/>
          <w:lang w:val="en-US"/>
        </w:rPr>
        <w:t>CI index</w:t>
      </w:r>
      <w:r w:rsidR="009A0610" w:rsidRPr="003101A0">
        <w:rPr>
          <w:rFonts w:ascii="Times New Roman" w:hAnsi="Times New Roman" w:cs="Times New Roman"/>
          <w:sz w:val="24"/>
          <w:szCs w:val="24"/>
          <w:lang w:val="en-US"/>
        </w:rPr>
        <w:t xml:space="preserve"> on the covenant intensity determinants included in </w:t>
      </w:r>
      <w:r w:rsidR="00646277" w:rsidRPr="003101A0">
        <w:rPr>
          <w:rFonts w:ascii="Times New Roman" w:hAnsi="Times New Roman" w:cs="Times New Roman"/>
          <w:sz w:val="24"/>
          <w:szCs w:val="24"/>
          <w:lang w:val="en-US"/>
        </w:rPr>
        <w:t>the baseline covenant intensity regression</w:t>
      </w:r>
      <w:r w:rsidR="009A0610" w:rsidRPr="003101A0">
        <w:rPr>
          <w:rFonts w:ascii="Times New Roman" w:hAnsi="Times New Roman" w:cs="Times New Roman"/>
          <w:sz w:val="24"/>
          <w:szCs w:val="24"/>
          <w:lang w:val="en-US"/>
        </w:rPr>
        <w:t>.</w:t>
      </w:r>
      <w:r w:rsidR="00ED73B7" w:rsidRPr="003101A0">
        <w:rPr>
          <w:rFonts w:ascii="Times New Roman" w:hAnsi="Times New Roman" w:cs="Times New Roman"/>
          <w:sz w:val="24"/>
          <w:szCs w:val="24"/>
          <w:lang w:val="en-US"/>
        </w:rPr>
        <w:t xml:space="preserve"> The second stage uses the instrumented value of </w:t>
      </w:r>
      <w:r w:rsidR="00871C61" w:rsidRPr="003101A0">
        <w:rPr>
          <w:rFonts w:ascii="Times New Roman" w:hAnsi="Times New Roman" w:cs="Times New Roman"/>
          <w:sz w:val="24"/>
          <w:szCs w:val="24"/>
          <w:lang w:val="en-US"/>
        </w:rPr>
        <w:t xml:space="preserve">the </w:t>
      </w:r>
      <w:r w:rsidR="00ED73B7" w:rsidRPr="003101A0">
        <w:rPr>
          <w:rFonts w:ascii="Times New Roman" w:hAnsi="Times New Roman" w:cs="Times New Roman"/>
          <w:i/>
          <w:iCs/>
          <w:sz w:val="24"/>
          <w:szCs w:val="24"/>
          <w:lang w:val="en-US"/>
        </w:rPr>
        <w:t>CI index</w:t>
      </w:r>
      <w:r w:rsidR="00ED73B7" w:rsidRPr="003101A0">
        <w:rPr>
          <w:rFonts w:ascii="Times New Roman" w:hAnsi="Times New Roman" w:cs="Times New Roman"/>
          <w:sz w:val="24"/>
          <w:szCs w:val="24"/>
          <w:lang w:val="en-US"/>
        </w:rPr>
        <w:t xml:space="preserve"> obtained from the first stage to estimate the </w:t>
      </w:r>
      <w:r w:rsidRPr="003101A0">
        <w:rPr>
          <w:rFonts w:ascii="Times New Roman" w:hAnsi="Times New Roman" w:cs="Times New Roman"/>
          <w:sz w:val="24"/>
          <w:szCs w:val="24"/>
          <w:lang w:val="en-US"/>
        </w:rPr>
        <w:t xml:space="preserve">yield </w:t>
      </w:r>
      <w:r w:rsidR="00ED73B7" w:rsidRPr="003101A0">
        <w:rPr>
          <w:rFonts w:ascii="Times New Roman" w:hAnsi="Times New Roman" w:cs="Times New Roman"/>
          <w:sz w:val="24"/>
          <w:szCs w:val="24"/>
          <w:lang w:val="en-US"/>
        </w:rPr>
        <w:t>model in Equation (</w:t>
      </w:r>
      <w:r w:rsidR="00533F0A" w:rsidRPr="003101A0">
        <w:rPr>
          <w:rFonts w:ascii="Times New Roman" w:hAnsi="Times New Roman" w:cs="Times New Roman"/>
          <w:sz w:val="24"/>
          <w:szCs w:val="24"/>
          <w:lang w:val="en-US"/>
        </w:rPr>
        <w:t>4</w:t>
      </w:r>
      <w:r w:rsidR="00ED73B7" w:rsidRPr="003101A0">
        <w:rPr>
          <w:rFonts w:ascii="Times New Roman" w:hAnsi="Times New Roman" w:cs="Times New Roman"/>
          <w:sz w:val="24"/>
          <w:szCs w:val="24"/>
          <w:lang w:val="en-US"/>
        </w:rPr>
        <w:t xml:space="preserve">). </w:t>
      </w:r>
      <w:r w:rsidR="00D82DBD" w:rsidRPr="003101A0">
        <w:rPr>
          <w:rFonts w:ascii="Times New Roman" w:hAnsi="Times New Roman" w:cs="Times New Roman"/>
          <w:sz w:val="24"/>
          <w:szCs w:val="24"/>
          <w:lang w:val="en-US"/>
        </w:rPr>
        <w:t xml:space="preserve">The instruments we use are </w:t>
      </w:r>
      <w:proofErr w:type="spellStart"/>
      <w:r w:rsidR="00D82DBD" w:rsidRPr="003101A0">
        <w:rPr>
          <w:rFonts w:ascii="Times New Roman" w:hAnsi="Times New Roman" w:cs="Times New Roman"/>
          <w:i/>
          <w:iCs/>
          <w:sz w:val="24"/>
          <w:szCs w:val="24"/>
          <w:lang w:val="en-US"/>
        </w:rPr>
        <w:t>CIloans</w:t>
      </w:r>
      <w:proofErr w:type="spellEnd"/>
      <w:r w:rsidR="00D82DBD" w:rsidRPr="003101A0">
        <w:rPr>
          <w:rFonts w:ascii="Times New Roman" w:hAnsi="Times New Roman" w:cs="Times New Roman"/>
          <w:sz w:val="24"/>
          <w:szCs w:val="24"/>
          <w:lang w:val="en-US"/>
        </w:rPr>
        <w:t xml:space="preserve"> and </w:t>
      </w:r>
      <w:proofErr w:type="spellStart"/>
      <w:r w:rsidR="00D82DBD" w:rsidRPr="003101A0">
        <w:rPr>
          <w:rFonts w:ascii="Times New Roman" w:hAnsi="Times New Roman" w:cs="Times New Roman"/>
          <w:i/>
          <w:iCs/>
          <w:sz w:val="24"/>
          <w:szCs w:val="24"/>
          <w:lang w:val="en-US"/>
        </w:rPr>
        <w:t>CIbonds</w:t>
      </w:r>
      <w:proofErr w:type="spellEnd"/>
      <w:r w:rsidR="00D82DBD" w:rsidRPr="003101A0">
        <w:rPr>
          <w:rFonts w:ascii="Times New Roman" w:hAnsi="Times New Roman" w:cs="Times New Roman"/>
          <w:sz w:val="24"/>
          <w:szCs w:val="24"/>
          <w:lang w:val="en-US"/>
        </w:rPr>
        <w:t xml:space="preserve">. While these variables </w:t>
      </w:r>
      <w:r w:rsidR="00871C61" w:rsidRPr="003101A0">
        <w:rPr>
          <w:rFonts w:ascii="Times New Roman" w:hAnsi="Times New Roman" w:cs="Times New Roman"/>
          <w:sz w:val="24"/>
          <w:szCs w:val="24"/>
          <w:lang w:val="en-US"/>
        </w:rPr>
        <w:t xml:space="preserve">significantly affect the covenant intensities of new </w:t>
      </w:r>
      <w:r w:rsidR="00CA5308">
        <w:rPr>
          <w:rFonts w:ascii="Times New Roman" w:hAnsi="Times New Roman" w:cs="Times New Roman"/>
          <w:sz w:val="24"/>
          <w:szCs w:val="24"/>
          <w:lang w:val="en-US"/>
        </w:rPr>
        <w:t>convertible and straight</w:t>
      </w:r>
      <w:r w:rsidR="00D82DBD" w:rsidRPr="003101A0">
        <w:rPr>
          <w:rFonts w:ascii="Times New Roman" w:hAnsi="Times New Roman" w:cs="Times New Roman"/>
          <w:sz w:val="24"/>
          <w:szCs w:val="24"/>
          <w:lang w:val="en-US"/>
        </w:rPr>
        <w:t xml:space="preserve"> bond issues, </w:t>
      </w:r>
      <w:r w:rsidR="00646277" w:rsidRPr="003101A0">
        <w:rPr>
          <w:rFonts w:ascii="Times New Roman" w:hAnsi="Times New Roman" w:cs="Times New Roman"/>
          <w:sz w:val="24"/>
          <w:szCs w:val="24"/>
          <w:lang w:val="en-US"/>
        </w:rPr>
        <w:t xml:space="preserve">as demonstrated in Table </w:t>
      </w:r>
      <w:r w:rsidRPr="003101A0">
        <w:rPr>
          <w:rFonts w:ascii="Times New Roman" w:hAnsi="Times New Roman" w:cs="Times New Roman"/>
          <w:sz w:val="24"/>
          <w:szCs w:val="24"/>
          <w:lang w:val="en-US"/>
        </w:rPr>
        <w:t xml:space="preserve">4, </w:t>
      </w:r>
      <w:r w:rsidR="00D82DBD" w:rsidRPr="003101A0">
        <w:rPr>
          <w:rFonts w:ascii="Times New Roman" w:hAnsi="Times New Roman" w:cs="Times New Roman"/>
          <w:sz w:val="24"/>
          <w:szCs w:val="24"/>
          <w:lang w:val="en-US"/>
        </w:rPr>
        <w:t xml:space="preserve">we do not </w:t>
      </w:r>
      <w:r w:rsidR="00D82DBD" w:rsidRPr="003101A0">
        <w:rPr>
          <w:rFonts w:ascii="Times New Roman" w:hAnsi="Times New Roman" w:cs="Times New Roman"/>
          <w:sz w:val="24"/>
          <w:szCs w:val="24"/>
          <w:lang w:val="en-US"/>
        </w:rPr>
        <w:lastRenderedPageBreak/>
        <w:t xml:space="preserve">expect them to have a </w:t>
      </w:r>
      <w:r w:rsidR="00F167FF" w:rsidRPr="003101A0">
        <w:rPr>
          <w:rFonts w:ascii="Times New Roman" w:hAnsi="Times New Roman" w:cs="Times New Roman"/>
          <w:sz w:val="24"/>
          <w:szCs w:val="24"/>
          <w:lang w:val="en-US"/>
        </w:rPr>
        <w:t>first-order</w:t>
      </w:r>
      <w:r w:rsidR="00D82DBD" w:rsidRPr="003101A0">
        <w:rPr>
          <w:rFonts w:ascii="Times New Roman" w:hAnsi="Times New Roman" w:cs="Times New Roman"/>
          <w:sz w:val="24"/>
          <w:szCs w:val="24"/>
          <w:lang w:val="en-US"/>
        </w:rPr>
        <w:t xml:space="preserve"> impact on yields of </w:t>
      </w:r>
      <w:r w:rsidR="00AB7B9C" w:rsidRPr="003101A0">
        <w:rPr>
          <w:rFonts w:ascii="Times New Roman" w:hAnsi="Times New Roman" w:cs="Times New Roman"/>
          <w:sz w:val="24"/>
          <w:szCs w:val="24"/>
          <w:lang w:val="en-US"/>
        </w:rPr>
        <w:t xml:space="preserve">new </w:t>
      </w:r>
      <w:r w:rsidR="00CA5308">
        <w:rPr>
          <w:rFonts w:ascii="Times New Roman" w:hAnsi="Times New Roman" w:cs="Times New Roman"/>
          <w:sz w:val="24"/>
          <w:szCs w:val="24"/>
          <w:lang w:val="en-US"/>
        </w:rPr>
        <w:t xml:space="preserve">convertible and straight bond </w:t>
      </w:r>
      <w:r w:rsidR="00D82DBD" w:rsidRPr="003101A0">
        <w:rPr>
          <w:rFonts w:ascii="Times New Roman" w:hAnsi="Times New Roman" w:cs="Times New Roman"/>
          <w:sz w:val="24"/>
          <w:szCs w:val="24"/>
          <w:lang w:val="en-US"/>
        </w:rPr>
        <w:t xml:space="preserve">issues. </w:t>
      </w:r>
      <w:r w:rsidR="0065340A" w:rsidRPr="003101A0">
        <w:rPr>
          <w:rFonts w:ascii="Times New Roman" w:hAnsi="Times New Roman" w:cs="Times New Roman"/>
          <w:sz w:val="24"/>
          <w:szCs w:val="24"/>
          <w:lang w:val="en-US"/>
        </w:rPr>
        <w:t xml:space="preserve">In addition to considering the yield impact of the overall </w:t>
      </w:r>
      <w:r w:rsidR="0065340A" w:rsidRPr="003101A0">
        <w:rPr>
          <w:rFonts w:ascii="Times New Roman" w:hAnsi="Times New Roman" w:cs="Times New Roman"/>
          <w:i/>
          <w:iCs/>
          <w:sz w:val="24"/>
          <w:szCs w:val="24"/>
          <w:lang w:val="en-US"/>
        </w:rPr>
        <w:t>CI index</w:t>
      </w:r>
      <w:r w:rsidR="0065340A" w:rsidRPr="003101A0">
        <w:rPr>
          <w:rFonts w:ascii="Times New Roman" w:hAnsi="Times New Roman" w:cs="Times New Roman"/>
          <w:sz w:val="24"/>
          <w:szCs w:val="24"/>
          <w:lang w:val="en-US"/>
        </w:rPr>
        <w:t>, we</w:t>
      </w:r>
      <w:r w:rsidR="007B1C88" w:rsidRPr="003101A0">
        <w:rPr>
          <w:rFonts w:ascii="Times New Roman" w:hAnsi="Times New Roman" w:cs="Times New Roman"/>
          <w:sz w:val="24"/>
          <w:szCs w:val="24"/>
          <w:lang w:val="en-US"/>
        </w:rPr>
        <w:t xml:space="preserve"> separately</w:t>
      </w:r>
      <w:r w:rsidR="0065340A" w:rsidRPr="003101A0">
        <w:rPr>
          <w:rFonts w:ascii="Times New Roman" w:hAnsi="Times New Roman" w:cs="Times New Roman"/>
          <w:sz w:val="24"/>
          <w:szCs w:val="24"/>
          <w:lang w:val="en-US"/>
        </w:rPr>
        <w:t xml:space="preserve"> study </w:t>
      </w:r>
      <w:r w:rsidR="00005A43" w:rsidRPr="003101A0">
        <w:rPr>
          <w:rFonts w:ascii="Times New Roman" w:hAnsi="Times New Roman" w:cs="Times New Roman"/>
          <w:sz w:val="24"/>
          <w:szCs w:val="24"/>
          <w:lang w:val="en-US"/>
        </w:rPr>
        <w:t>the</w:t>
      </w:r>
      <w:r w:rsidR="0065340A" w:rsidRPr="003101A0">
        <w:rPr>
          <w:rFonts w:ascii="Times New Roman" w:hAnsi="Times New Roman" w:cs="Times New Roman"/>
          <w:sz w:val="24"/>
          <w:szCs w:val="24"/>
          <w:lang w:val="en-US"/>
        </w:rPr>
        <w:t xml:space="preserve"> impact of the four groups of covenants by estimating the model below</w:t>
      </w:r>
      <w:r w:rsidR="00816211" w:rsidRPr="003101A0">
        <w:rPr>
          <w:rFonts w:ascii="Times New Roman" w:hAnsi="Times New Roman" w:cs="Times New Roman"/>
          <w:sz w:val="24"/>
          <w:szCs w:val="24"/>
          <w:lang w:val="en-US"/>
        </w:rPr>
        <w:t>:</w:t>
      </w:r>
    </w:p>
    <w:p w14:paraId="52696958" w14:textId="2D60442D" w:rsidR="00743104" w:rsidRPr="003101A0" w:rsidRDefault="00000000" w:rsidP="00A40CEA">
      <w:pPr>
        <w:spacing w:after="0" w:line="480" w:lineRule="auto"/>
        <w:ind w:left="1560" w:right="-46" w:hanging="851"/>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 xml:space="preserve"> Yield</m:t>
            </m:r>
          </m:e>
          <m:sub>
            <m:r>
              <m:rPr>
                <m:nor/>
              </m:rPr>
              <w:rPr>
                <w:rFonts w:ascii="Times New Roman" w:hAnsi="Times New Roman" w:cs="Times New Roman"/>
                <w:i/>
                <w:sz w:val="24"/>
                <w:szCs w:val="24"/>
                <w:lang w:val="en-US"/>
              </w:rPr>
              <m:t>i,t</m:t>
            </m:r>
          </m:sub>
        </m:sSub>
        <m:r>
          <m:rPr>
            <m:nor/>
          </m:rPr>
          <w:rPr>
            <w:rFonts w:ascii="Times New Roman" w:hAnsi="Times New Roman" w:cs="Times New Roman"/>
            <w:sz w:val="24"/>
            <w:szCs w:val="24"/>
            <w:lang w:val="en-US"/>
          </w:rPr>
          <m:t xml:space="preserve"> = </m:t>
        </m:r>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 xml:space="preserve"> δ</m:t>
            </m:r>
          </m:e>
          <m:sub>
            <m:r>
              <m:rPr>
                <m:nor/>
              </m:rPr>
              <w:rPr>
                <w:rFonts w:ascii="Times New Roman" w:hAnsi="Times New Roman" w:cs="Times New Roman"/>
                <w:sz w:val="24"/>
                <w:szCs w:val="24"/>
                <w:lang w:val="en-US"/>
              </w:rPr>
              <m:t>0</m:t>
            </m:r>
          </m:sub>
        </m:sSub>
        <m:r>
          <m:rPr>
            <m:nor/>
          </m:rPr>
          <w:rPr>
            <w:rFonts w:ascii="Times New Roman" w:hAnsi="Times New Roman" w:cs="Times New Roman"/>
            <w:sz w:val="24"/>
            <w:szCs w:val="24"/>
            <w:lang w:val="en-US"/>
          </w:rPr>
          <m:t xml:space="preserve"> +</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 xml:space="preserve"> δ'</m:t>
                </m:r>
              </m:e>
              <m:sub>
                <m:r>
                  <m:rPr>
                    <m:nor/>
                  </m:rPr>
                  <w:rPr>
                    <w:rFonts w:ascii="Times New Roman" w:hAnsi="Times New Roman" w:cs="Times New Roman"/>
                    <w:sz w:val="24"/>
                    <w:szCs w:val="24"/>
                    <w:lang w:val="en-US"/>
                  </w:rPr>
                  <m:t>1</m:t>
                </m:r>
              </m:sub>
            </m:sSub>
            <m:sSub>
              <m:sSubPr>
                <m:ctrlPr>
                  <w:rPr>
                    <w:rFonts w:ascii="Cambria Math" w:hAnsi="Cambria Math" w:cs="Times New Roman"/>
                    <w:i/>
                    <w:sz w:val="24"/>
                    <w:szCs w:val="24"/>
                    <w:lang w:val="en-US"/>
                  </w:rPr>
                </m:ctrlPr>
              </m:sSubPr>
              <m:e>
                <m:r>
                  <m:rPr>
                    <m:nor/>
                  </m:rPr>
                  <w:rPr>
                    <w:rFonts w:ascii="Times New Roman" w:hAnsi="Times New Roman" w:cs="Times New Roman"/>
                    <w:i/>
                    <w:iCs/>
                    <w:sz w:val="24"/>
                    <w:szCs w:val="24"/>
                    <w:lang w:val="en-US"/>
                  </w:rPr>
                  <m:t>C</m:t>
                </m:r>
                <m:r>
                  <m:rPr>
                    <m:nor/>
                  </m:rPr>
                  <w:rPr>
                    <w:rFonts w:ascii="Times New Roman" w:hAnsi="Times New Roman" w:cs="Times New Roman"/>
                    <w:i/>
                    <w:sz w:val="24"/>
                    <w:szCs w:val="24"/>
                    <w:lang w:val="en-US"/>
                  </w:rPr>
                  <m:t>ovenant</m:t>
                </m:r>
                <m:r>
                  <m:rPr>
                    <m:nor/>
                  </m:rPr>
                  <w:rPr>
                    <w:rFonts w:ascii="Times New Roman" w:hAnsi="Times New Roman" w:cs="Times New Roman"/>
                    <w:i/>
                    <w:iCs/>
                    <w:sz w:val="24"/>
                    <w:szCs w:val="24"/>
                    <w:lang w:val="en-US"/>
                  </w:rPr>
                  <m:t xml:space="preserve"> </m:t>
                </m:r>
                <m:r>
                  <m:rPr>
                    <m:nor/>
                  </m:rPr>
                  <w:rPr>
                    <w:rFonts w:ascii="Times New Roman" w:hAnsi="Times New Roman" w:cs="Times New Roman"/>
                    <w:i/>
                    <w:sz w:val="24"/>
                    <w:szCs w:val="24"/>
                    <w:lang w:val="en-US"/>
                  </w:rPr>
                  <m:t>dummy</m:t>
                </m:r>
              </m:e>
              <m:sub>
                <m:r>
                  <m:rPr>
                    <m:nor/>
                  </m:rPr>
                  <w:rPr>
                    <w:rFonts w:ascii="Times New Roman" w:hAnsi="Times New Roman" w:cs="Times New Roman"/>
                    <w:i/>
                    <w:sz w:val="24"/>
                    <w:szCs w:val="24"/>
                    <w:lang w:val="en-US"/>
                  </w:rPr>
                  <m:t>i,t</m:t>
                </m:r>
              </m:sub>
            </m:sSub>
          </m:e>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 xml:space="preserve"> δ'</m:t>
            </m:r>
          </m:e>
          <m:sub>
            <m:r>
              <m:rPr>
                <m:nor/>
              </m:rPr>
              <w:rPr>
                <w:rFonts w:ascii="Times New Roman" w:hAnsi="Times New Roman" w:cs="Times New Roman"/>
                <w:sz w:val="24"/>
                <w:szCs w:val="24"/>
                <w:lang w:val="en-US"/>
              </w:rPr>
              <m:t>2</m:t>
            </m:r>
          </m:sub>
        </m:sSub>
        <m:sSub>
          <m:sSubPr>
            <m:ctrlPr>
              <w:rPr>
                <w:rFonts w:ascii="Cambria Math" w:hAnsi="Cambria Math" w:cs="Times New Roman"/>
                <w:i/>
                <w:sz w:val="24"/>
                <w:szCs w:val="24"/>
                <w:lang w:val="en-US"/>
              </w:rPr>
            </m:ctrlPr>
          </m:sSubPr>
          <m:e>
            <m:r>
              <m:rPr>
                <m:nor/>
              </m:rPr>
              <w:rPr>
                <w:rFonts w:ascii="Times New Roman" w:hAnsi="Times New Roman" w:cs="Times New Roman"/>
                <w:i/>
                <w:iCs/>
                <w:sz w:val="24"/>
                <w:szCs w:val="24"/>
                <w:lang w:val="en-US"/>
              </w:rPr>
              <m:t>C</m:t>
            </m:r>
            <m:r>
              <m:rPr>
                <m:nor/>
              </m:rPr>
              <w:rPr>
                <w:rFonts w:ascii="Times New Roman" w:hAnsi="Times New Roman" w:cs="Times New Roman"/>
                <w:i/>
                <w:sz w:val="24"/>
                <w:szCs w:val="24"/>
                <w:lang w:val="en-US"/>
              </w:rPr>
              <m:t>onvertible</m:t>
            </m:r>
          </m:e>
          <m:sub>
            <m:r>
              <m:rPr>
                <m:nor/>
              </m:rPr>
              <w:rPr>
                <w:rFonts w:ascii="Times New Roman" w:hAnsi="Times New Roman" w:cs="Times New Roman"/>
                <w:i/>
                <w:sz w:val="24"/>
                <w:szCs w:val="24"/>
                <w:lang w:val="en-US"/>
              </w:rPr>
              <m:t>i,t</m:t>
            </m:r>
          </m:sub>
        </m:sSub>
        <m:r>
          <m:rPr>
            <m:nor/>
          </m:rPr>
          <w:rPr>
            <w:rFonts w:ascii="Times New Roman" w:hAnsi="Times New Roman" w:cs="Times New Roman"/>
            <w:sz w:val="24"/>
            <w:szCs w:val="24"/>
            <w:lang w:val="en-US"/>
          </w:rPr>
          <m:t xml:space="preserve"> </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δ'</m:t>
                    </m:r>
                  </m:e>
                  <m:sub>
                    <m:r>
                      <m:rPr>
                        <m:nor/>
                      </m:rPr>
                      <w:rPr>
                        <w:rFonts w:ascii="Times New Roman" w:hAnsi="Times New Roman" w:cs="Times New Roman"/>
                        <w:sz w:val="24"/>
                        <w:szCs w:val="24"/>
                        <w:lang w:val="en-US"/>
                      </w:rPr>
                      <m:t>3</m:t>
                    </m:r>
                  </m:sub>
                </m:sSub>
                <m:sSub>
                  <m:sSubPr>
                    <m:ctrlPr>
                      <w:rPr>
                        <w:rFonts w:ascii="Cambria Math" w:hAnsi="Cambria Math" w:cs="Times New Roman"/>
                        <w:i/>
                        <w:sz w:val="24"/>
                        <w:szCs w:val="24"/>
                        <w:lang w:val="en-US"/>
                      </w:rPr>
                    </m:ctrlPr>
                  </m:sSubPr>
                  <m:e>
                    <m:r>
                      <m:rPr>
                        <m:nor/>
                      </m:rPr>
                      <w:rPr>
                        <w:rFonts w:ascii="Times New Roman" w:hAnsi="Times New Roman" w:cs="Times New Roman"/>
                        <w:i/>
                        <w:iCs/>
                        <w:sz w:val="24"/>
                        <w:szCs w:val="24"/>
                        <w:lang w:val="en-US"/>
                      </w:rPr>
                      <m:t>C</m:t>
                    </m:r>
                    <m:r>
                      <m:rPr>
                        <m:nor/>
                      </m:rPr>
                      <w:rPr>
                        <w:rFonts w:ascii="Times New Roman" w:hAnsi="Times New Roman" w:cs="Times New Roman"/>
                        <w:i/>
                        <w:sz w:val="24"/>
                        <w:szCs w:val="24"/>
                        <w:lang w:val="en-US"/>
                      </w:rPr>
                      <m:t>ovenant</m:t>
                    </m:r>
                    <m:r>
                      <m:rPr>
                        <m:nor/>
                      </m:rPr>
                      <w:rPr>
                        <w:rFonts w:ascii="Times New Roman" w:hAnsi="Times New Roman" w:cs="Times New Roman"/>
                        <w:i/>
                        <w:iCs/>
                        <w:sz w:val="24"/>
                        <w:szCs w:val="24"/>
                        <w:lang w:val="en-US"/>
                      </w:rPr>
                      <m:t xml:space="preserve"> </m:t>
                    </m:r>
                    <m:r>
                      <m:rPr>
                        <m:nor/>
                      </m:rPr>
                      <w:rPr>
                        <w:rFonts w:ascii="Times New Roman" w:hAnsi="Times New Roman" w:cs="Times New Roman"/>
                        <w:i/>
                        <w:sz w:val="24"/>
                        <w:szCs w:val="24"/>
                        <w:lang w:val="en-US"/>
                      </w:rPr>
                      <m:t>dummy</m:t>
                    </m:r>
                  </m:e>
                  <m:sub>
                    <m:r>
                      <m:rPr>
                        <m:nor/>
                      </m:rPr>
                      <w:rPr>
                        <w:rFonts w:ascii="Times New Roman" w:hAnsi="Times New Roman" w:cs="Times New Roman"/>
                        <w:i/>
                        <w:sz w:val="24"/>
                        <w:szCs w:val="24"/>
                        <w:lang w:val="en-US"/>
                      </w:rPr>
                      <m:t>i,t</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nor/>
                      </m:rPr>
                      <w:rPr>
                        <w:rFonts w:ascii="Cambria Math" w:hAnsi="Times New Roman" w:cs="Times New Roman"/>
                        <w:i/>
                        <w:sz w:val="24"/>
                        <w:szCs w:val="24"/>
                        <w:lang w:val="en-US"/>
                      </w:rPr>
                      <m:t xml:space="preserve"> </m:t>
                    </m:r>
                    <m:r>
                      <m:rPr>
                        <m:nor/>
                      </m:rPr>
                      <w:rPr>
                        <w:rFonts w:ascii="Times New Roman" w:hAnsi="Times New Roman" w:cs="Times New Roman"/>
                        <w:i/>
                        <w:sz w:val="24"/>
                        <w:szCs w:val="24"/>
                        <w:lang w:val="en-US"/>
                      </w:rPr>
                      <m:t>Convertible</m:t>
                    </m:r>
                  </m:e>
                  <m:sub>
                    <m:r>
                      <m:rPr>
                        <m:nor/>
                      </m:rPr>
                      <w:rPr>
                        <w:rFonts w:ascii="Times New Roman" w:hAnsi="Times New Roman" w:cs="Times New Roman"/>
                        <w:i/>
                        <w:sz w:val="24"/>
                        <w:szCs w:val="24"/>
                        <w:lang w:val="en-US"/>
                      </w:rPr>
                      <m:t>i,t</m:t>
                    </m:r>
                  </m:sub>
                </m:sSub>
                <m:r>
                  <w:rPr>
                    <w:rFonts w:ascii="Cambria Math" w:hAnsi="Cambria Math" w:cs="Times New Roman"/>
                    <w:sz w:val="24"/>
                    <w:szCs w:val="24"/>
                    <w:lang w:val="en-US"/>
                  </w:rPr>
                  <m:t>+</m:t>
                </m:r>
              </m:e>
              <m:sub/>
            </m:sSub>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m:rPr>
                        <m:nor/>
                      </m:rPr>
                      <w:rPr>
                        <w:rFonts w:ascii="Times New Roman" w:hAnsi="Times New Roman" w:cs="Times New Roman"/>
                        <w:sz w:val="24"/>
                        <w:szCs w:val="24"/>
                        <w:lang w:val="en-US"/>
                      </w:rPr>
                      <m:t>δ'</m:t>
                    </m:r>
                  </m:e>
                  <m:sub>
                    <m:r>
                      <m:rPr>
                        <m:nor/>
                      </m:rPr>
                      <w:rPr>
                        <w:rFonts w:ascii="Times New Roman" w:hAnsi="Times New Roman" w:cs="Times New Roman"/>
                        <w:sz w:val="24"/>
                        <w:szCs w:val="24"/>
                        <w:lang w:val="en-US"/>
                      </w:rPr>
                      <m:t>4</m:t>
                    </m:r>
                  </m:sub>
                </m:sSub>
                <m:r>
                  <m:rPr>
                    <m:nor/>
                  </m:rPr>
                  <w:rPr>
                    <w:rFonts w:ascii="Times New Roman" w:hAnsi="Times New Roman" w:cs="Times New Roman"/>
                    <w:i/>
                    <w:iCs/>
                    <w:sz w:val="24"/>
                    <w:szCs w:val="24"/>
                    <w:lang w:val="en-US"/>
                  </w:rPr>
                  <m:t>W</m:t>
                </m:r>
              </m:e>
              <m:sub>
                <m:r>
                  <m:rPr>
                    <m:nor/>
                  </m:rPr>
                  <w:rPr>
                    <w:rFonts w:ascii="Times New Roman" w:hAnsi="Times New Roman" w:cs="Times New Roman"/>
                    <w:i/>
                    <w:iCs/>
                    <w:sz w:val="24"/>
                    <w:szCs w:val="24"/>
                    <w:lang w:val="en-US"/>
                  </w:rPr>
                  <m:t>i,t</m:t>
                </m:r>
              </m:sub>
            </m:sSub>
          </m:e>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m:rPr>
                    <m:nor/>
                  </m:rPr>
                  <w:rPr>
                    <w:rFonts w:ascii="Times New Roman" w:hAnsi="Times New Roman" w:cs="Times New Roman"/>
                    <w:i/>
                    <w:sz w:val="24"/>
                    <w:szCs w:val="24"/>
                    <w:lang w:val="en-US"/>
                  </w:rPr>
                  <m:t xml:space="preserve"> </m:t>
                </m:r>
                <m:sSub>
                  <m:sSubPr>
                    <m:ctrlPr>
                      <w:rPr>
                        <w:rFonts w:ascii="Cambria Math" w:hAnsi="Cambria Math" w:cs="Times New Roman"/>
                        <w:iCs/>
                        <w:sz w:val="24"/>
                        <w:szCs w:val="24"/>
                        <w:lang w:val="en-US"/>
                      </w:rPr>
                    </m:ctrlPr>
                  </m:sSubPr>
                  <m:e>
                    <m:r>
                      <m:rPr>
                        <m:nor/>
                      </m:rPr>
                      <w:rPr>
                        <w:rFonts w:ascii="Times New Roman" w:hAnsi="Times New Roman" w:cs="Times New Roman"/>
                        <w:iCs/>
                        <w:sz w:val="24"/>
                        <w:szCs w:val="24"/>
                        <w:lang w:val="en-US"/>
                      </w:rPr>
                      <m:t>δ'</m:t>
                    </m:r>
                  </m:e>
                  <m:sub>
                    <m:r>
                      <m:rPr>
                        <m:nor/>
                      </m:rPr>
                      <w:rPr>
                        <w:rFonts w:ascii="Times New Roman" w:hAnsi="Times New Roman" w:cs="Times New Roman"/>
                        <w:iCs/>
                        <w:sz w:val="24"/>
                        <w:szCs w:val="24"/>
                        <w:lang w:val="en-US"/>
                      </w:rPr>
                      <m:t>5</m:t>
                    </m:r>
                  </m:sub>
                </m:sSub>
                <m:r>
                  <m:rPr>
                    <m:nor/>
                  </m:rPr>
                  <w:rPr>
                    <w:rFonts w:ascii="Times New Roman" w:hAnsi="Times New Roman" w:cs="Times New Roman"/>
                    <w:i/>
                    <w:sz w:val="24"/>
                    <w:szCs w:val="24"/>
                    <w:lang w:val="en-US"/>
                  </w:rPr>
                  <m:t>Lambda</m:t>
                </m:r>
              </m:e>
              <m:sub>
                <m:r>
                  <m:rPr>
                    <m:nor/>
                  </m:rPr>
                  <w:rPr>
                    <w:rFonts w:ascii="Times New Roman" w:hAnsi="Times New Roman" w:cs="Times New Roman"/>
                    <w:i/>
                    <w:sz w:val="24"/>
                    <w:szCs w:val="24"/>
                    <w:lang w:val="en-US"/>
                  </w:rPr>
                  <m:t>i,t</m:t>
                </m:r>
              </m:sub>
            </m:sSub>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η</m:t>
            </m:r>
          </m:e>
          <m:sub>
            <m:r>
              <m:rPr>
                <m:nor/>
              </m:rPr>
              <w:rPr>
                <w:rFonts w:ascii="Times New Roman" w:hAnsi="Times New Roman" w:cs="Times New Roman"/>
                <w:iCs/>
                <w:sz w:val="24"/>
                <w:szCs w:val="24"/>
                <w:lang w:val="en-US"/>
              </w:rPr>
              <m:t>i,t</m:t>
            </m:r>
          </m:sub>
        </m:sSub>
        <m:r>
          <m:rPr>
            <m:nor/>
          </m:rPr>
          <w:rPr>
            <w:rFonts w:ascii="Times New Roman" w:hAnsi="Times New Roman" w:cs="Times New Roman"/>
            <w:sz w:val="24"/>
            <w:szCs w:val="24"/>
            <w:lang w:val="en-US"/>
          </w:rPr>
          <m:t xml:space="preserve">    </m:t>
        </m:r>
      </m:oMath>
      <w:r w:rsidR="00B16DDD" w:rsidRPr="003101A0">
        <w:rPr>
          <w:rFonts w:ascii="Times New Roman" w:hAnsi="Times New Roman" w:cs="Times New Roman"/>
          <w:sz w:val="24"/>
          <w:szCs w:val="24"/>
          <w:lang w:val="en-US"/>
        </w:rPr>
        <w:t xml:space="preserve">     </w:t>
      </w:r>
      <w:r w:rsidR="00746115">
        <w:rPr>
          <w:rFonts w:ascii="Times New Roman" w:hAnsi="Times New Roman" w:cs="Times New Roman"/>
          <w:sz w:val="24"/>
          <w:szCs w:val="24"/>
          <w:lang w:val="en-US"/>
        </w:rPr>
        <w:t xml:space="preserve">                               </w:t>
      </w:r>
      <w:r w:rsidR="00DA7F88" w:rsidRPr="003101A0">
        <w:rPr>
          <w:rFonts w:ascii="Times New Roman" w:hAnsi="Times New Roman" w:cs="Times New Roman"/>
          <w:sz w:val="24"/>
          <w:szCs w:val="24"/>
          <w:lang w:val="en-US"/>
        </w:rPr>
        <w:t>(5)</w:t>
      </w:r>
      <w:r w:rsidR="00B16DDD" w:rsidRPr="003101A0">
        <w:rPr>
          <w:rFonts w:ascii="Times New Roman" w:hAnsi="Times New Roman" w:cs="Times New Roman"/>
          <w:sz w:val="24"/>
          <w:szCs w:val="24"/>
          <w:lang w:val="en-US"/>
        </w:rPr>
        <w:t xml:space="preserve">                                          </w:t>
      </w:r>
    </w:p>
    <w:p w14:paraId="082B8134" w14:textId="319521D4" w:rsidR="009926DB" w:rsidRPr="003101A0" w:rsidRDefault="00B16DDD" w:rsidP="0096066D">
      <w:pPr>
        <w:spacing w:after="0" w:line="480" w:lineRule="auto"/>
        <w:ind w:firstLine="567"/>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Since </w:t>
      </w:r>
      <w:r w:rsidR="00853085" w:rsidRPr="003101A0">
        <w:rPr>
          <w:rFonts w:ascii="Times New Roman" w:hAnsi="Times New Roman" w:cs="Times New Roman"/>
          <w:sz w:val="24"/>
          <w:szCs w:val="24"/>
          <w:lang w:val="en-US"/>
        </w:rPr>
        <w:t>the covenant dummies are</w:t>
      </w:r>
      <w:r w:rsidRPr="003101A0">
        <w:rPr>
          <w:rFonts w:ascii="Times New Roman" w:hAnsi="Times New Roman" w:cs="Times New Roman"/>
          <w:sz w:val="24"/>
          <w:szCs w:val="24"/>
          <w:lang w:val="en-US"/>
        </w:rPr>
        <w:t xml:space="preserve"> binary variable</w:t>
      </w:r>
      <w:r w:rsidR="00853085" w:rsidRPr="003101A0">
        <w:rPr>
          <w:rFonts w:ascii="Times New Roman" w:hAnsi="Times New Roman" w:cs="Times New Roman"/>
          <w:sz w:val="24"/>
          <w:szCs w:val="24"/>
          <w:lang w:val="en-US"/>
        </w:rPr>
        <w:t>s</w:t>
      </w:r>
      <w:r w:rsidRPr="003101A0">
        <w:rPr>
          <w:rFonts w:ascii="Times New Roman" w:hAnsi="Times New Roman" w:cs="Times New Roman"/>
          <w:sz w:val="24"/>
          <w:szCs w:val="24"/>
          <w:lang w:val="en-US"/>
        </w:rPr>
        <w:t>, we can use a treatment effects model to account for endogeneity. W</w:t>
      </w:r>
      <w:r w:rsidR="0065340A" w:rsidRPr="003101A0">
        <w:rPr>
          <w:rFonts w:ascii="Times New Roman" w:hAnsi="Times New Roman" w:cs="Times New Roman"/>
          <w:sz w:val="24"/>
          <w:szCs w:val="24"/>
          <w:lang w:val="en-US"/>
        </w:rPr>
        <w:t>e</w:t>
      </w:r>
      <w:r w:rsidR="00DA7F88" w:rsidRPr="003101A0">
        <w:rPr>
          <w:rFonts w:ascii="Times New Roman" w:hAnsi="Times New Roman" w:cs="Times New Roman"/>
          <w:sz w:val="24"/>
          <w:szCs w:val="24"/>
          <w:lang w:val="en-US"/>
        </w:rPr>
        <w:t xml:space="preserve"> thus</w:t>
      </w:r>
      <w:r w:rsidRPr="003101A0">
        <w:rPr>
          <w:rFonts w:ascii="Times New Roman" w:hAnsi="Times New Roman" w:cs="Times New Roman"/>
          <w:sz w:val="24"/>
          <w:szCs w:val="24"/>
          <w:lang w:val="en-US"/>
        </w:rPr>
        <w:t xml:space="preserve"> </w:t>
      </w:r>
      <w:r w:rsidR="0065340A" w:rsidRPr="003101A0">
        <w:rPr>
          <w:rFonts w:ascii="Times New Roman" w:hAnsi="Times New Roman" w:cs="Times New Roman"/>
          <w:sz w:val="24"/>
          <w:szCs w:val="24"/>
          <w:lang w:val="en-US"/>
        </w:rPr>
        <w:t xml:space="preserve">estimate the model </w:t>
      </w:r>
      <w:r w:rsidRPr="003101A0">
        <w:rPr>
          <w:rFonts w:ascii="Times New Roman" w:hAnsi="Times New Roman" w:cs="Times New Roman"/>
          <w:sz w:val="24"/>
          <w:szCs w:val="24"/>
          <w:lang w:val="en-US"/>
        </w:rPr>
        <w:t xml:space="preserve">in Equation (5) </w:t>
      </w:r>
      <w:r w:rsidR="0065340A" w:rsidRPr="003101A0">
        <w:rPr>
          <w:rFonts w:ascii="Times New Roman" w:hAnsi="Times New Roman" w:cs="Times New Roman"/>
          <w:sz w:val="24"/>
          <w:szCs w:val="24"/>
          <w:lang w:val="en-US"/>
        </w:rPr>
        <w:t xml:space="preserve">as the second stage of a treatment effects regression, with the selectivity correction </w:t>
      </w:r>
      <w:r w:rsidR="00BE41A5">
        <w:rPr>
          <w:rFonts w:ascii="Times New Roman" w:hAnsi="Times New Roman" w:cs="Times New Roman"/>
          <w:sz w:val="24"/>
          <w:szCs w:val="24"/>
          <w:lang w:val="en-US"/>
        </w:rPr>
        <w:t xml:space="preserve">term </w:t>
      </w:r>
      <w:r w:rsidR="00BE41A5" w:rsidRPr="00A40CEA">
        <w:rPr>
          <w:rFonts w:ascii="Times New Roman" w:hAnsi="Times New Roman" w:cs="Times New Roman"/>
          <w:i/>
          <w:iCs/>
          <w:sz w:val="24"/>
          <w:szCs w:val="24"/>
          <w:lang w:val="en-US"/>
        </w:rPr>
        <w:t>Lambda</w:t>
      </w:r>
      <w:r w:rsidR="00BE41A5">
        <w:rPr>
          <w:rFonts w:ascii="Times New Roman" w:hAnsi="Times New Roman" w:cs="Times New Roman"/>
          <w:sz w:val="24"/>
          <w:szCs w:val="24"/>
          <w:lang w:val="en-US"/>
        </w:rPr>
        <w:t xml:space="preserve"> </w:t>
      </w:r>
      <w:r w:rsidR="0065340A" w:rsidRPr="003101A0">
        <w:rPr>
          <w:rFonts w:ascii="Times New Roman" w:hAnsi="Times New Roman" w:cs="Times New Roman"/>
          <w:sz w:val="24"/>
          <w:szCs w:val="24"/>
          <w:lang w:val="en-US"/>
        </w:rPr>
        <w:t xml:space="preserve">obtained from a first-stage probit regression in which we regress </w:t>
      </w:r>
      <w:r w:rsidR="00E224F5" w:rsidRPr="003101A0">
        <w:rPr>
          <w:rFonts w:ascii="Times New Roman" w:hAnsi="Times New Roman" w:cs="Times New Roman"/>
          <w:sz w:val="24"/>
          <w:szCs w:val="24"/>
          <w:lang w:val="en-US"/>
        </w:rPr>
        <w:t xml:space="preserve">the respective </w:t>
      </w:r>
      <w:r w:rsidR="007B44D3" w:rsidRPr="003101A0">
        <w:rPr>
          <w:rFonts w:ascii="Times New Roman" w:hAnsi="Times New Roman" w:cs="Times New Roman"/>
          <w:i/>
          <w:iCs/>
          <w:sz w:val="24"/>
          <w:szCs w:val="24"/>
          <w:lang w:val="en-US"/>
        </w:rPr>
        <w:t>C</w:t>
      </w:r>
      <w:r w:rsidR="0065340A" w:rsidRPr="003101A0">
        <w:rPr>
          <w:rFonts w:ascii="Times New Roman" w:hAnsi="Times New Roman" w:cs="Times New Roman"/>
          <w:i/>
          <w:iCs/>
          <w:sz w:val="24"/>
          <w:szCs w:val="24"/>
          <w:lang w:val="en-US"/>
        </w:rPr>
        <w:t>ovenant dummy</w:t>
      </w:r>
      <w:r w:rsidR="0065340A" w:rsidRPr="003101A0">
        <w:rPr>
          <w:rFonts w:ascii="Times New Roman" w:hAnsi="Times New Roman" w:cs="Times New Roman"/>
          <w:sz w:val="24"/>
          <w:szCs w:val="24"/>
          <w:lang w:val="en-US"/>
        </w:rPr>
        <w:t xml:space="preserve"> on the covenant intensity determinants included </w:t>
      </w:r>
      <w:r w:rsidR="00E73FA3" w:rsidRPr="003101A0">
        <w:rPr>
          <w:rFonts w:ascii="Times New Roman" w:hAnsi="Times New Roman" w:cs="Times New Roman"/>
          <w:sz w:val="24"/>
          <w:szCs w:val="24"/>
          <w:lang w:val="en-US"/>
        </w:rPr>
        <w:t>i</w:t>
      </w:r>
      <w:r w:rsidR="0065340A" w:rsidRPr="003101A0">
        <w:rPr>
          <w:rFonts w:ascii="Times New Roman" w:hAnsi="Times New Roman" w:cs="Times New Roman"/>
          <w:sz w:val="24"/>
          <w:szCs w:val="24"/>
          <w:lang w:val="en-US"/>
        </w:rPr>
        <w:t xml:space="preserve">n </w:t>
      </w:r>
      <w:r w:rsidRPr="003101A0">
        <w:rPr>
          <w:rFonts w:ascii="Times New Roman" w:hAnsi="Times New Roman" w:cs="Times New Roman"/>
          <w:sz w:val="24"/>
          <w:szCs w:val="24"/>
          <w:lang w:val="en-US"/>
        </w:rPr>
        <w:t>the baseline covenant intensity regression</w:t>
      </w:r>
      <w:r w:rsidR="0065340A" w:rsidRPr="003101A0">
        <w:rPr>
          <w:rFonts w:ascii="Times New Roman" w:hAnsi="Times New Roman" w:cs="Times New Roman"/>
          <w:sz w:val="24"/>
          <w:szCs w:val="24"/>
          <w:lang w:val="en-US"/>
        </w:rPr>
        <w:t xml:space="preserve">. </w:t>
      </w:r>
      <w:r w:rsidR="001E0412" w:rsidRPr="003101A0">
        <w:rPr>
          <w:rFonts w:ascii="Times New Roman" w:hAnsi="Times New Roman" w:cs="Times New Roman"/>
          <w:sz w:val="24"/>
          <w:szCs w:val="24"/>
          <w:lang w:val="en-US"/>
        </w:rPr>
        <w:t xml:space="preserve">The first and second stages of the treatment effects regression are estimated simultaneously with </w:t>
      </w:r>
      <w:r w:rsidR="00F651D5" w:rsidRPr="003101A0">
        <w:rPr>
          <w:rFonts w:ascii="Times New Roman" w:hAnsi="Times New Roman" w:cs="Times New Roman"/>
          <w:sz w:val="24"/>
          <w:szCs w:val="24"/>
          <w:lang w:val="en-US"/>
        </w:rPr>
        <w:t xml:space="preserve">Full </w:t>
      </w:r>
      <w:r w:rsidR="001E0412" w:rsidRPr="003101A0">
        <w:rPr>
          <w:rFonts w:ascii="Times New Roman" w:hAnsi="Times New Roman" w:cs="Times New Roman"/>
          <w:sz w:val="24"/>
          <w:szCs w:val="24"/>
          <w:lang w:val="en-US"/>
        </w:rPr>
        <w:t xml:space="preserve">Maximum Likelihood estimation. </w:t>
      </w:r>
      <w:r w:rsidR="007B1C88" w:rsidRPr="003101A0">
        <w:rPr>
          <w:rFonts w:ascii="Times New Roman" w:hAnsi="Times New Roman" w:cs="Times New Roman"/>
          <w:sz w:val="24"/>
          <w:szCs w:val="24"/>
          <w:lang w:val="en-US"/>
        </w:rPr>
        <w:t>We repeat this process for each of the four covenant dummies</w:t>
      </w:r>
      <w:r w:rsidR="00F167FF" w:rsidRPr="003101A0">
        <w:rPr>
          <w:rFonts w:ascii="Times New Roman" w:hAnsi="Times New Roman" w:cs="Times New Roman"/>
          <w:sz w:val="24"/>
          <w:szCs w:val="24"/>
          <w:lang w:val="en-US"/>
        </w:rPr>
        <w:t xml:space="preserve"> </w:t>
      </w:r>
      <w:r w:rsidR="0084554D" w:rsidRPr="003101A0">
        <w:rPr>
          <w:rFonts w:ascii="Times New Roman" w:hAnsi="Times New Roman" w:cs="Times New Roman"/>
          <w:sz w:val="24"/>
          <w:szCs w:val="24"/>
          <w:lang w:val="en-US"/>
        </w:rPr>
        <w:t>i</w:t>
      </w:r>
      <w:r w:rsidR="00871C61" w:rsidRPr="003101A0">
        <w:rPr>
          <w:rFonts w:ascii="Times New Roman" w:hAnsi="Times New Roman" w:cs="Times New Roman"/>
          <w:sz w:val="24"/>
          <w:szCs w:val="24"/>
          <w:lang w:val="en-US"/>
        </w:rPr>
        <w:t>n</w:t>
      </w:r>
      <w:r w:rsidR="00F167FF" w:rsidRPr="003101A0">
        <w:rPr>
          <w:rFonts w:ascii="Times New Roman" w:hAnsi="Times New Roman" w:cs="Times New Roman"/>
          <w:sz w:val="24"/>
          <w:szCs w:val="24"/>
          <w:lang w:val="en-US"/>
        </w:rPr>
        <w:t xml:space="preserve"> each of the four covenant categories</w:t>
      </w:r>
      <w:r w:rsidR="007B1C88" w:rsidRPr="003101A0">
        <w:rPr>
          <w:rFonts w:ascii="Times New Roman" w:hAnsi="Times New Roman" w:cs="Times New Roman"/>
          <w:sz w:val="24"/>
          <w:szCs w:val="24"/>
          <w:lang w:val="en-US"/>
        </w:rPr>
        <w:t xml:space="preserve">. </w:t>
      </w:r>
      <w:r w:rsidR="0065340A" w:rsidRPr="003101A0">
        <w:rPr>
          <w:rFonts w:ascii="Times New Roman" w:hAnsi="Times New Roman" w:cs="Times New Roman"/>
          <w:sz w:val="24"/>
          <w:szCs w:val="24"/>
          <w:lang w:val="en-US"/>
        </w:rPr>
        <w:t>We do not report the first-stage regressions for parsimony</w:t>
      </w:r>
      <w:r w:rsidRPr="003101A0">
        <w:rPr>
          <w:rFonts w:ascii="Times New Roman" w:hAnsi="Times New Roman" w:cs="Times New Roman"/>
          <w:sz w:val="24"/>
          <w:szCs w:val="24"/>
          <w:lang w:val="en-US"/>
        </w:rPr>
        <w:t xml:space="preserve"> since </w:t>
      </w:r>
      <w:r w:rsidR="00BC2ACE">
        <w:rPr>
          <w:rFonts w:ascii="Times New Roman" w:hAnsi="Times New Roman" w:cs="Times New Roman"/>
          <w:sz w:val="24"/>
          <w:szCs w:val="24"/>
          <w:lang w:val="en-US"/>
        </w:rPr>
        <w:t xml:space="preserve">they </w:t>
      </w:r>
      <w:r w:rsidR="002828C5">
        <w:rPr>
          <w:rFonts w:ascii="Times New Roman" w:hAnsi="Times New Roman" w:cs="Times New Roman"/>
          <w:sz w:val="24"/>
          <w:szCs w:val="24"/>
          <w:lang w:val="en-US"/>
        </w:rPr>
        <w:t>are virtually identical</w:t>
      </w:r>
      <w:r w:rsidRPr="003101A0">
        <w:rPr>
          <w:rFonts w:ascii="Times New Roman" w:hAnsi="Times New Roman" w:cs="Times New Roman"/>
          <w:sz w:val="24"/>
          <w:szCs w:val="24"/>
          <w:lang w:val="en-US"/>
        </w:rPr>
        <w:t xml:space="preserve"> to the baseline </w:t>
      </w:r>
      <w:r w:rsidR="002828C5">
        <w:rPr>
          <w:rFonts w:ascii="Times New Roman" w:hAnsi="Times New Roman" w:cs="Times New Roman"/>
          <w:sz w:val="24"/>
          <w:szCs w:val="24"/>
          <w:lang w:val="en-US"/>
        </w:rPr>
        <w:t xml:space="preserve">first-stage </w:t>
      </w:r>
      <w:r w:rsidRPr="003101A0">
        <w:rPr>
          <w:rFonts w:ascii="Times New Roman" w:hAnsi="Times New Roman" w:cs="Times New Roman"/>
          <w:sz w:val="24"/>
          <w:szCs w:val="24"/>
          <w:lang w:val="en-US"/>
        </w:rPr>
        <w:t>regression results</w:t>
      </w:r>
      <w:r w:rsidR="0065340A" w:rsidRPr="003101A0">
        <w:rPr>
          <w:rFonts w:ascii="Times New Roman" w:hAnsi="Times New Roman" w:cs="Times New Roman"/>
          <w:sz w:val="24"/>
          <w:szCs w:val="24"/>
          <w:lang w:val="en-US"/>
        </w:rPr>
        <w:t xml:space="preserve">. </w:t>
      </w:r>
    </w:p>
    <w:p w14:paraId="7DAC4505" w14:textId="376E9326" w:rsidR="009926DB" w:rsidRDefault="00236DDC" w:rsidP="00D46513">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For the</w:t>
      </w:r>
      <w:r w:rsidR="0065340A" w:rsidRPr="003101A0">
        <w:rPr>
          <w:rFonts w:ascii="Times New Roman" w:hAnsi="Times New Roman" w:cs="Times New Roman"/>
          <w:sz w:val="24"/>
          <w:szCs w:val="24"/>
          <w:lang w:val="en-US"/>
        </w:rPr>
        <w:t xml:space="preserve"> </w:t>
      </w:r>
      <w:r w:rsidR="0065340A" w:rsidRPr="003101A0">
        <w:rPr>
          <w:rFonts w:ascii="Times New Roman" w:hAnsi="Times New Roman" w:cs="Times New Roman"/>
          <w:i/>
          <w:iCs/>
          <w:sz w:val="24"/>
          <w:szCs w:val="24"/>
          <w:lang w:val="en-US"/>
        </w:rPr>
        <w:t>CI index</w:t>
      </w:r>
      <w:r w:rsidRPr="003101A0">
        <w:rPr>
          <w:rFonts w:ascii="Times New Roman" w:hAnsi="Times New Roman" w:cs="Times New Roman"/>
          <w:sz w:val="24"/>
          <w:szCs w:val="24"/>
          <w:lang w:val="en-US"/>
        </w:rPr>
        <w:t xml:space="preserve"> and each </w:t>
      </w:r>
      <w:r w:rsidR="00583001" w:rsidRPr="003101A0">
        <w:rPr>
          <w:rFonts w:ascii="Times New Roman" w:hAnsi="Times New Roman" w:cs="Times New Roman"/>
          <w:sz w:val="24"/>
          <w:szCs w:val="24"/>
          <w:lang w:val="en-US"/>
        </w:rPr>
        <w:t>of the four covenant types</w:t>
      </w:r>
      <w:r w:rsidR="009926DB" w:rsidRPr="003101A0">
        <w:rPr>
          <w:rFonts w:ascii="Times New Roman" w:hAnsi="Times New Roman" w:cs="Times New Roman"/>
          <w:sz w:val="24"/>
          <w:szCs w:val="24"/>
          <w:lang w:val="en-US"/>
        </w:rPr>
        <w:t xml:space="preserve">, we </w:t>
      </w:r>
      <w:r w:rsidR="002345C1" w:rsidRPr="003101A0">
        <w:rPr>
          <w:rFonts w:ascii="Times New Roman" w:hAnsi="Times New Roman" w:cs="Times New Roman"/>
          <w:sz w:val="24"/>
          <w:szCs w:val="24"/>
          <w:lang w:val="en-US"/>
        </w:rPr>
        <w:t xml:space="preserve">estimate </w:t>
      </w:r>
      <w:r w:rsidR="009926DB" w:rsidRPr="003101A0">
        <w:rPr>
          <w:rFonts w:ascii="Times New Roman" w:hAnsi="Times New Roman" w:cs="Times New Roman"/>
          <w:sz w:val="24"/>
          <w:szCs w:val="24"/>
          <w:lang w:val="en-US"/>
        </w:rPr>
        <w:t xml:space="preserve">a regression without </w:t>
      </w:r>
      <w:r w:rsidR="00B16DDD" w:rsidRPr="003101A0">
        <w:rPr>
          <w:rFonts w:ascii="Times New Roman" w:hAnsi="Times New Roman" w:cs="Times New Roman"/>
          <w:sz w:val="24"/>
          <w:szCs w:val="24"/>
          <w:lang w:val="en-US"/>
        </w:rPr>
        <w:t xml:space="preserve">security design </w:t>
      </w:r>
      <w:r w:rsidR="009926DB" w:rsidRPr="003101A0">
        <w:rPr>
          <w:rFonts w:ascii="Times New Roman" w:hAnsi="Times New Roman" w:cs="Times New Roman"/>
          <w:sz w:val="24"/>
          <w:szCs w:val="24"/>
          <w:lang w:val="en-US"/>
        </w:rPr>
        <w:t xml:space="preserve">features and </w:t>
      </w:r>
      <w:r w:rsidR="00AD7731">
        <w:rPr>
          <w:rFonts w:ascii="Times New Roman" w:hAnsi="Times New Roman" w:cs="Times New Roman"/>
          <w:sz w:val="24"/>
          <w:szCs w:val="24"/>
          <w:lang w:val="en-US"/>
        </w:rPr>
        <w:t xml:space="preserve">a </w:t>
      </w:r>
      <w:r w:rsidR="009926DB" w:rsidRPr="003101A0">
        <w:rPr>
          <w:rFonts w:ascii="Times New Roman" w:hAnsi="Times New Roman" w:cs="Times New Roman"/>
          <w:sz w:val="24"/>
          <w:szCs w:val="24"/>
          <w:lang w:val="en-US"/>
        </w:rPr>
        <w:t xml:space="preserve">regression with </w:t>
      </w:r>
      <w:r w:rsidR="00B16DDD" w:rsidRPr="003101A0">
        <w:rPr>
          <w:rFonts w:ascii="Times New Roman" w:hAnsi="Times New Roman" w:cs="Times New Roman"/>
          <w:sz w:val="24"/>
          <w:szCs w:val="24"/>
          <w:lang w:val="en-US"/>
        </w:rPr>
        <w:t xml:space="preserve">security design </w:t>
      </w:r>
      <w:r w:rsidR="009926DB" w:rsidRPr="003101A0">
        <w:rPr>
          <w:rFonts w:ascii="Times New Roman" w:hAnsi="Times New Roman" w:cs="Times New Roman"/>
          <w:sz w:val="24"/>
          <w:szCs w:val="24"/>
          <w:lang w:val="en-US"/>
        </w:rPr>
        <w:t xml:space="preserve">features </w:t>
      </w:r>
      <w:r w:rsidR="00766F4F" w:rsidRPr="003101A0">
        <w:rPr>
          <w:rFonts w:ascii="Times New Roman" w:hAnsi="Times New Roman" w:cs="Times New Roman"/>
          <w:sz w:val="24"/>
          <w:szCs w:val="24"/>
          <w:lang w:val="en-US"/>
        </w:rPr>
        <w:t>added</w:t>
      </w:r>
      <w:r w:rsidR="002345C1" w:rsidRPr="003101A0">
        <w:rPr>
          <w:rFonts w:ascii="Times New Roman" w:hAnsi="Times New Roman" w:cs="Times New Roman"/>
          <w:sz w:val="24"/>
          <w:szCs w:val="24"/>
          <w:lang w:val="en-US"/>
        </w:rPr>
        <w:t>, with the caveat that the latter are endogenously determined</w:t>
      </w:r>
      <w:r w:rsidR="009926DB" w:rsidRPr="003101A0">
        <w:rPr>
          <w:rFonts w:ascii="Times New Roman" w:hAnsi="Times New Roman" w:cs="Times New Roman"/>
          <w:sz w:val="24"/>
          <w:szCs w:val="24"/>
          <w:lang w:val="en-US"/>
        </w:rPr>
        <w:t xml:space="preserve">. We predict higher yields for </w:t>
      </w:r>
      <w:r w:rsidR="00B16DDD" w:rsidRPr="003101A0">
        <w:rPr>
          <w:rFonts w:ascii="Times New Roman" w:hAnsi="Times New Roman" w:cs="Times New Roman"/>
          <w:sz w:val="24"/>
          <w:szCs w:val="24"/>
          <w:lang w:val="en-US"/>
        </w:rPr>
        <w:t xml:space="preserve">security design </w:t>
      </w:r>
      <w:r w:rsidR="009926DB" w:rsidRPr="003101A0">
        <w:rPr>
          <w:rFonts w:ascii="Times New Roman" w:hAnsi="Times New Roman" w:cs="Times New Roman"/>
          <w:sz w:val="24"/>
          <w:szCs w:val="24"/>
          <w:lang w:val="en-US"/>
        </w:rPr>
        <w:t xml:space="preserve">features that impose a higher risk or less flexibility on bondholders, suggesting a positive yield impact of </w:t>
      </w:r>
      <w:r w:rsidR="009926DB" w:rsidRPr="003101A0">
        <w:rPr>
          <w:rFonts w:ascii="Times New Roman" w:hAnsi="Times New Roman" w:cs="Times New Roman"/>
          <w:i/>
          <w:iCs/>
          <w:sz w:val="24"/>
          <w:szCs w:val="24"/>
          <w:lang w:val="en-US"/>
        </w:rPr>
        <w:t>Proceeds</w:t>
      </w:r>
      <w:r w:rsidR="009926DB" w:rsidRPr="003101A0">
        <w:rPr>
          <w:rFonts w:ascii="Times New Roman" w:hAnsi="Times New Roman" w:cs="Times New Roman"/>
          <w:sz w:val="24"/>
          <w:szCs w:val="24"/>
          <w:lang w:val="en-US"/>
        </w:rPr>
        <w:t xml:space="preserve">, </w:t>
      </w:r>
      <w:r w:rsidR="009926DB" w:rsidRPr="003101A0">
        <w:rPr>
          <w:rFonts w:ascii="Times New Roman" w:hAnsi="Times New Roman" w:cs="Times New Roman"/>
          <w:i/>
          <w:iCs/>
          <w:sz w:val="24"/>
          <w:szCs w:val="24"/>
          <w:lang w:val="en-US"/>
        </w:rPr>
        <w:t>Maturity</w:t>
      </w:r>
      <w:r w:rsidR="00C34AFF" w:rsidRPr="003101A0">
        <w:rPr>
          <w:rFonts w:ascii="Times New Roman" w:hAnsi="Times New Roman" w:cs="Times New Roman"/>
          <w:i/>
          <w:iCs/>
          <w:sz w:val="24"/>
          <w:szCs w:val="24"/>
          <w:lang w:val="en-US"/>
        </w:rPr>
        <w:t>,</w:t>
      </w:r>
      <w:r w:rsidR="009926DB" w:rsidRPr="003101A0">
        <w:rPr>
          <w:rFonts w:ascii="Times New Roman" w:hAnsi="Times New Roman" w:cs="Times New Roman"/>
          <w:sz w:val="24"/>
          <w:szCs w:val="24"/>
          <w:lang w:val="en-US"/>
        </w:rPr>
        <w:t xml:space="preserve"> and </w:t>
      </w:r>
      <w:r w:rsidR="009926DB" w:rsidRPr="003101A0">
        <w:rPr>
          <w:rFonts w:ascii="Times New Roman" w:hAnsi="Times New Roman" w:cs="Times New Roman"/>
          <w:i/>
          <w:iCs/>
          <w:sz w:val="24"/>
          <w:szCs w:val="24"/>
          <w:lang w:val="en-US"/>
        </w:rPr>
        <w:t>Callable</w:t>
      </w:r>
      <w:r w:rsidR="009926DB" w:rsidRPr="003101A0">
        <w:rPr>
          <w:rFonts w:ascii="Times New Roman" w:hAnsi="Times New Roman" w:cs="Times New Roman"/>
          <w:sz w:val="24"/>
          <w:szCs w:val="24"/>
          <w:lang w:val="en-US"/>
        </w:rPr>
        <w:t xml:space="preserve">, and a negative impact of </w:t>
      </w:r>
      <w:proofErr w:type="spellStart"/>
      <w:r w:rsidR="009926DB" w:rsidRPr="003101A0">
        <w:rPr>
          <w:rFonts w:ascii="Times New Roman" w:hAnsi="Times New Roman" w:cs="Times New Roman"/>
          <w:i/>
          <w:iCs/>
          <w:sz w:val="24"/>
          <w:szCs w:val="24"/>
          <w:lang w:val="en-US"/>
        </w:rPr>
        <w:t>Putable</w:t>
      </w:r>
      <w:proofErr w:type="spellEnd"/>
      <w:r w:rsidR="009926DB" w:rsidRPr="003101A0">
        <w:rPr>
          <w:rFonts w:ascii="Times New Roman" w:hAnsi="Times New Roman" w:cs="Times New Roman"/>
          <w:sz w:val="24"/>
          <w:szCs w:val="24"/>
          <w:lang w:val="en-US"/>
        </w:rPr>
        <w:t xml:space="preserve">, </w:t>
      </w:r>
      <w:r w:rsidR="009926DB" w:rsidRPr="003101A0">
        <w:rPr>
          <w:rFonts w:ascii="Times New Roman" w:hAnsi="Times New Roman" w:cs="Times New Roman"/>
          <w:i/>
          <w:iCs/>
          <w:sz w:val="24"/>
          <w:szCs w:val="24"/>
          <w:lang w:val="en-US"/>
        </w:rPr>
        <w:t>Senior</w:t>
      </w:r>
      <w:r w:rsidR="00C34AFF" w:rsidRPr="003101A0">
        <w:rPr>
          <w:rFonts w:ascii="Times New Roman" w:hAnsi="Times New Roman" w:cs="Times New Roman"/>
          <w:i/>
          <w:iCs/>
          <w:sz w:val="24"/>
          <w:szCs w:val="24"/>
          <w:lang w:val="en-US"/>
        </w:rPr>
        <w:t>,</w:t>
      </w:r>
      <w:r w:rsidR="009926DB" w:rsidRPr="003101A0">
        <w:rPr>
          <w:rFonts w:ascii="Times New Roman" w:hAnsi="Times New Roman" w:cs="Times New Roman"/>
          <w:sz w:val="24"/>
          <w:szCs w:val="24"/>
          <w:lang w:val="en-US"/>
        </w:rPr>
        <w:t xml:space="preserve"> and </w:t>
      </w:r>
      <w:r w:rsidR="009926DB" w:rsidRPr="003101A0">
        <w:rPr>
          <w:rFonts w:ascii="Times New Roman" w:hAnsi="Times New Roman" w:cs="Times New Roman"/>
          <w:i/>
          <w:iCs/>
          <w:sz w:val="24"/>
          <w:szCs w:val="24"/>
          <w:lang w:val="en-US"/>
        </w:rPr>
        <w:t>Secured</w:t>
      </w:r>
      <w:r w:rsidR="009926DB" w:rsidRPr="003101A0">
        <w:rPr>
          <w:rFonts w:ascii="Times New Roman" w:hAnsi="Times New Roman" w:cs="Times New Roman"/>
          <w:sz w:val="24"/>
          <w:szCs w:val="24"/>
          <w:lang w:val="en-US"/>
        </w:rPr>
        <w:t xml:space="preserve">. </w:t>
      </w:r>
    </w:p>
    <w:p w14:paraId="5A1BAB55" w14:textId="3D4538EE" w:rsidR="00A41912" w:rsidRDefault="007B355C" w:rsidP="008C7293">
      <w:pPr>
        <w:pStyle w:val="PlainText"/>
        <w:spacing w:line="480" w:lineRule="auto"/>
        <w:ind w:firstLine="426"/>
        <w:jc w:val="both"/>
        <w:rPr>
          <w:rFonts w:ascii="Times New Roman" w:hAnsi="Times New Roman" w:cs="Times New Roman"/>
          <w:sz w:val="24"/>
          <w:szCs w:val="24"/>
          <w:lang w:val="en-US"/>
        </w:rPr>
      </w:pPr>
      <w:bookmarkStart w:id="3" w:name="_Hlk121917563"/>
      <w:r w:rsidRPr="003101A0">
        <w:rPr>
          <w:rFonts w:ascii="Times New Roman" w:hAnsi="Times New Roman" w:cs="Times New Roman"/>
          <w:sz w:val="24"/>
          <w:szCs w:val="24"/>
          <w:lang w:val="en-US"/>
        </w:rPr>
        <w:t>Table</w:t>
      </w:r>
      <w:r w:rsidR="002345C1" w:rsidRPr="003101A0">
        <w:rPr>
          <w:rFonts w:ascii="Times New Roman" w:hAnsi="Times New Roman" w:cs="Times New Roman"/>
          <w:sz w:val="24"/>
          <w:szCs w:val="24"/>
          <w:lang w:val="en-US"/>
        </w:rPr>
        <w:t xml:space="preserve"> 6</w:t>
      </w:r>
      <w:r w:rsidR="00D4428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 xml:space="preserve">provides the results </w:t>
      </w:r>
      <w:r w:rsidR="00D44280">
        <w:rPr>
          <w:rFonts w:ascii="Times New Roman" w:hAnsi="Times New Roman" w:cs="Times New Roman"/>
          <w:sz w:val="24"/>
          <w:szCs w:val="24"/>
          <w:lang w:val="en-US"/>
        </w:rPr>
        <w:t>of the yield analysis</w:t>
      </w:r>
      <w:r w:rsidR="00766F4F" w:rsidRPr="003101A0">
        <w:rPr>
          <w:rFonts w:ascii="Times New Roman" w:hAnsi="Times New Roman" w:cs="Times New Roman"/>
          <w:sz w:val="24"/>
          <w:szCs w:val="24"/>
          <w:lang w:val="en-US"/>
        </w:rPr>
        <w:t xml:space="preserve">. </w:t>
      </w:r>
      <w:r w:rsidR="00D44280">
        <w:rPr>
          <w:rFonts w:ascii="Times New Roman" w:hAnsi="Times New Roman" w:cs="Times New Roman"/>
          <w:sz w:val="24"/>
          <w:szCs w:val="24"/>
          <w:lang w:val="en-US"/>
        </w:rPr>
        <w:t xml:space="preserve">The </w:t>
      </w:r>
      <w:r w:rsidR="00047506">
        <w:rPr>
          <w:rFonts w:ascii="Times New Roman" w:hAnsi="Times New Roman" w:cs="Times New Roman"/>
          <w:sz w:val="24"/>
          <w:szCs w:val="24"/>
          <w:lang w:val="en-US"/>
        </w:rPr>
        <w:t xml:space="preserve">coefficient on the </w:t>
      </w:r>
      <w:r w:rsidR="00D44280" w:rsidRPr="008C7293">
        <w:rPr>
          <w:rFonts w:ascii="Times New Roman" w:hAnsi="Times New Roman" w:cs="Times New Roman"/>
          <w:i/>
          <w:iCs/>
          <w:sz w:val="24"/>
          <w:szCs w:val="24"/>
          <w:lang w:val="en-US"/>
        </w:rPr>
        <w:t>Covenant intensity</w:t>
      </w:r>
      <w:r w:rsidR="00D44280">
        <w:rPr>
          <w:rFonts w:ascii="Times New Roman" w:hAnsi="Times New Roman" w:cs="Times New Roman"/>
          <w:sz w:val="24"/>
          <w:szCs w:val="24"/>
          <w:lang w:val="en-US"/>
        </w:rPr>
        <w:t xml:space="preserve"> variable captures the yield impact of covenants for straight bonds (i.e.</w:t>
      </w:r>
      <w:r w:rsidR="00C92B43">
        <w:rPr>
          <w:rFonts w:ascii="Times New Roman" w:hAnsi="Times New Roman" w:cs="Times New Roman"/>
          <w:sz w:val="24"/>
          <w:szCs w:val="24"/>
          <w:lang w:val="en-US"/>
        </w:rPr>
        <w:t>,</w:t>
      </w:r>
      <w:r w:rsidR="00D44280">
        <w:rPr>
          <w:rFonts w:ascii="Times New Roman" w:hAnsi="Times New Roman" w:cs="Times New Roman"/>
          <w:sz w:val="24"/>
          <w:szCs w:val="24"/>
          <w:lang w:val="en-US"/>
        </w:rPr>
        <w:t xml:space="preserve"> bonds with a </w:t>
      </w:r>
      <w:r w:rsidR="00D44280" w:rsidRPr="008C7293">
        <w:rPr>
          <w:rFonts w:ascii="Times New Roman" w:hAnsi="Times New Roman" w:cs="Times New Roman"/>
          <w:i/>
          <w:iCs/>
          <w:sz w:val="24"/>
          <w:szCs w:val="24"/>
          <w:lang w:val="en-US"/>
        </w:rPr>
        <w:t xml:space="preserve">Convertible </w:t>
      </w:r>
      <w:r w:rsidR="00D44280">
        <w:rPr>
          <w:rFonts w:ascii="Times New Roman" w:hAnsi="Times New Roman" w:cs="Times New Roman"/>
          <w:sz w:val="24"/>
          <w:szCs w:val="24"/>
          <w:lang w:val="en-US"/>
        </w:rPr>
        <w:t>value of zero). Consistent with previous empirical stu</w:t>
      </w:r>
      <w:bookmarkEnd w:id="3"/>
      <w:r w:rsidR="00D44280">
        <w:rPr>
          <w:rFonts w:ascii="Times New Roman" w:hAnsi="Times New Roman" w:cs="Times New Roman"/>
          <w:sz w:val="24"/>
          <w:szCs w:val="24"/>
          <w:lang w:val="en-US"/>
        </w:rPr>
        <w:t>dies on the association between covenants and straight bond yields</w:t>
      </w:r>
      <w:r w:rsidR="00C92B43">
        <w:rPr>
          <w:rFonts w:ascii="Times New Roman" w:hAnsi="Times New Roman" w:cs="Times New Roman"/>
          <w:sz w:val="24"/>
          <w:szCs w:val="24"/>
          <w:lang w:val="en-US"/>
        </w:rPr>
        <w:t xml:space="preserve"> (</w:t>
      </w:r>
      <w:r w:rsidR="00C92B43" w:rsidRPr="003101A0">
        <w:rPr>
          <w:rFonts w:ascii="Times New Roman" w:hAnsi="Times New Roman" w:cs="Times New Roman"/>
          <w:sz w:val="24"/>
          <w:szCs w:val="24"/>
          <w:lang w:val="en-US"/>
        </w:rPr>
        <w:t xml:space="preserve">Miller and </w:t>
      </w:r>
      <w:proofErr w:type="spellStart"/>
      <w:r w:rsidR="00C92B43" w:rsidRPr="003101A0">
        <w:rPr>
          <w:rFonts w:ascii="Times New Roman" w:hAnsi="Times New Roman" w:cs="Times New Roman"/>
          <w:sz w:val="24"/>
          <w:szCs w:val="24"/>
          <w:lang w:val="en-US"/>
        </w:rPr>
        <w:t>Reisel</w:t>
      </w:r>
      <w:proofErr w:type="spellEnd"/>
      <w:r w:rsidR="00C92B43" w:rsidRPr="003101A0">
        <w:rPr>
          <w:rFonts w:ascii="Times New Roman" w:hAnsi="Times New Roman" w:cs="Times New Roman"/>
          <w:sz w:val="24"/>
          <w:szCs w:val="24"/>
          <w:lang w:val="en-US"/>
        </w:rPr>
        <w:t xml:space="preserve">, 2012; </w:t>
      </w:r>
      <w:proofErr w:type="spellStart"/>
      <w:r w:rsidR="00C92B43" w:rsidRPr="003101A0">
        <w:rPr>
          <w:rFonts w:ascii="Times New Roman" w:hAnsi="Times New Roman" w:cs="Times New Roman"/>
          <w:sz w:val="24"/>
          <w:szCs w:val="24"/>
          <w:lang w:val="en-US"/>
        </w:rPr>
        <w:t>Reisel</w:t>
      </w:r>
      <w:proofErr w:type="spellEnd"/>
      <w:r w:rsidR="00C92B43" w:rsidRPr="003101A0">
        <w:rPr>
          <w:rFonts w:ascii="Times New Roman" w:hAnsi="Times New Roman" w:cs="Times New Roman"/>
          <w:sz w:val="24"/>
          <w:szCs w:val="24"/>
          <w:lang w:val="en-US"/>
        </w:rPr>
        <w:t>, 2014</w:t>
      </w:r>
      <w:r w:rsidR="00C92B43">
        <w:rPr>
          <w:rFonts w:ascii="Times New Roman" w:hAnsi="Times New Roman" w:cs="Times New Roman"/>
          <w:sz w:val="24"/>
          <w:szCs w:val="24"/>
          <w:lang w:val="en-US"/>
        </w:rPr>
        <w:t>)</w:t>
      </w:r>
      <w:r w:rsidR="00D44280">
        <w:rPr>
          <w:rFonts w:ascii="Times New Roman" w:hAnsi="Times New Roman" w:cs="Times New Roman"/>
          <w:sz w:val="24"/>
          <w:szCs w:val="24"/>
          <w:lang w:val="en-US"/>
        </w:rPr>
        <w:t xml:space="preserve">, we find a significant negative </w:t>
      </w:r>
      <w:r w:rsidR="00C62FFA">
        <w:rPr>
          <w:rFonts w:ascii="Times New Roman" w:hAnsi="Times New Roman" w:cs="Times New Roman"/>
          <w:sz w:val="24"/>
          <w:szCs w:val="24"/>
          <w:lang w:val="en-US"/>
        </w:rPr>
        <w:t>coefficient</w:t>
      </w:r>
      <w:r w:rsidR="00D44280">
        <w:rPr>
          <w:rFonts w:ascii="Times New Roman" w:hAnsi="Times New Roman" w:cs="Times New Roman"/>
          <w:sz w:val="24"/>
          <w:szCs w:val="24"/>
          <w:lang w:val="en-US"/>
        </w:rPr>
        <w:t xml:space="preserve"> </w:t>
      </w:r>
      <w:r w:rsidR="00BF5664">
        <w:rPr>
          <w:rFonts w:ascii="Times New Roman" w:hAnsi="Times New Roman" w:cs="Times New Roman"/>
          <w:sz w:val="24"/>
          <w:szCs w:val="24"/>
          <w:lang w:val="en-US"/>
        </w:rPr>
        <w:t xml:space="preserve">on this variable </w:t>
      </w:r>
      <w:r w:rsidR="00D44280">
        <w:rPr>
          <w:rFonts w:ascii="Times New Roman" w:hAnsi="Times New Roman" w:cs="Times New Roman"/>
          <w:sz w:val="24"/>
          <w:szCs w:val="24"/>
          <w:lang w:val="en-US"/>
        </w:rPr>
        <w:t xml:space="preserve">in all but one of the regressions. </w:t>
      </w:r>
      <w:r w:rsidR="00D44280" w:rsidRPr="003101A0">
        <w:rPr>
          <w:rFonts w:ascii="Times New Roman" w:hAnsi="Times New Roman" w:cs="Times New Roman"/>
          <w:sz w:val="24"/>
          <w:szCs w:val="24"/>
          <w:lang w:val="en-US"/>
        </w:rPr>
        <w:t xml:space="preserve">Results in </w:t>
      </w:r>
      <w:r w:rsidR="00D44280" w:rsidRPr="003101A0">
        <w:rPr>
          <w:rFonts w:ascii="Times New Roman" w:hAnsi="Times New Roman" w:cs="Times New Roman"/>
          <w:sz w:val="24"/>
          <w:szCs w:val="24"/>
          <w:lang w:val="en-US"/>
        </w:rPr>
        <w:lastRenderedPageBreak/>
        <w:t xml:space="preserve">column (1) indicate that a one-standard deviation increase in the </w:t>
      </w:r>
      <w:r w:rsidR="00D44280" w:rsidRPr="003101A0">
        <w:rPr>
          <w:rFonts w:ascii="Times New Roman" w:hAnsi="Times New Roman" w:cs="Times New Roman"/>
          <w:i/>
          <w:iCs/>
          <w:sz w:val="24"/>
          <w:szCs w:val="24"/>
          <w:lang w:val="en-US"/>
        </w:rPr>
        <w:t>CI index</w:t>
      </w:r>
      <w:r w:rsidR="00D44280" w:rsidRPr="003101A0">
        <w:rPr>
          <w:rFonts w:ascii="Times New Roman" w:hAnsi="Times New Roman" w:cs="Times New Roman"/>
          <w:sz w:val="24"/>
          <w:szCs w:val="24"/>
          <w:lang w:val="en-US"/>
        </w:rPr>
        <w:t xml:space="preserve"> leads to a reduction in straight bond yields of </w:t>
      </w:r>
      <w:r w:rsidR="003921E9">
        <w:rPr>
          <w:rFonts w:ascii="Times New Roman" w:hAnsi="Times New Roman" w:cs="Times New Roman"/>
          <w:sz w:val="24"/>
          <w:szCs w:val="24"/>
          <w:lang w:val="en-US"/>
        </w:rPr>
        <w:t>0.204%</w:t>
      </w:r>
      <w:r w:rsidR="00D44280" w:rsidRPr="003101A0">
        <w:rPr>
          <w:rFonts w:ascii="Times New Roman" w:hAnsi="Times New Roman" w:cs="Times New Roman"/>
          <w:sz w:val="24"/>
          <w:szCs w:val="24"/>
          <w:lang w:val="en-US"/>
        </w:rPr>
        <w:t xml:space="preserve">, equivalent to </w:t>
      </w:r>
      <w:r w:rsidR="003921E9">
        <w:rPr>
          <w:rFonts w:ascii="Times New Roman" w:hAnsi="Times New Roman" w:cs="Times New Roman"/>
          <w:sz w:val="24"/>
          <w:szCs w:val="24"/>
          <w:lang w:val="en-US"/>
        </w:rPr>
        <w:t>10.72</w:t>
      </w:r>
      <w:r w:rsidR="00D44280" w:rsidRPr="003101A0">
        <w:rPr>
          <w:rFonts w:ascii="Times New Roman" w:hAnsi="Times New Roman" w:cs="Times New Roman"/>
          <w:sz w:val="24"/>
          <w:szCs w:val="24"/>
          <w:lang w:val="en-US"/>
        </w:rPr>
        <w:t xml:space="preserve">% of the average yields in our straight bond sample – an economic magnitude </w:t>
      </w:r>
      <w:r w:rsidR="00AF2682">
        <w:rPr>
          <w:rFonts w:ascii="Times New Roman" w:hAnsi="Times New Roman" w:cs="Times New Roman"/>
          <w:sz w:val="24"/>
          <w:szCs w:val="24"/>
          <w:lang w:val="en-US"/>
        </w:rPr>
        <w:t xml:space="preserve">in line with </w:t>
      </w:r>
      <w:r w:rsidR="00D44280" w:rsidRPr="003101A0">
        <w:rPr>
          <w:rFonts w:ascii="Times New Roman" w:hAnsi="Times New Roman" w:cs="Times New Roman"/>
          <w:sz w:val="24"/>
          <w:szCs w:val="24"/>
          <w:lang w:val="en-US"/>
        </w:rPr>
        <w:t xml:space="preserve">straight bonds results obtained by Miller and </w:t>
      </w:r>
      <w:proofErr w:type="spellStart"/>
      <w:r w:rsidR="00D44280" w:rsidRPr="003101A0">
        <w:rPr>
          <w:rFonts w:ascii="Times New Roman" w:hAnsi="Times New Roman" w:cs="Times New Roman"/>
          <w:sz w:val="24"/>
          <w:szCs w:val="24"/>
          <w:lang w:val="en-US"/>
        </w:rPr>
        <w:t>Reisel</w:t>
      </w:r>
      <w:proofErr w:type="spellEnd"/>
      <w:r w:rsidR="00D44280" w:rsidRPr="003101A0">
        <w:rPr>
          <w:rFonts w:ascii="Times New Roman" w:hAnsi="Times New Roman" w:cs="Times New Roman"/>
          <w:sz w:val="24"/>
          <w:szCs w:val="24"/>
          <w:lang w:val="en-US"/>
        </w:rPr>
        <w:t xml:space="preserve"> (2012). Significant coefficients on the control variables are largely in line with predictions and therefore not discussed in detail here.</w:t>
      </w:r>
      <w:r w:rsidR="00D44280">
        <w:rPr>
          <w:rFonts w:ascii="Times New Roman" w:hAnsi="Times New Roman" w:cs="Times New Roman"/>
          <w:sz w:val="24"/>
          <w:szCs w:val="24"/>
          <w:lang w:val="en-US"/>
        </w:rPr>
        <w:t xml:space="preserve"> Most importantly, consistent with </w:t>
      </w:r>
      <w:r w:rsidR="00D44280" w:rsidRPr="00A40CEA">
        <w:rPr>
          <w:rFonts w:ascii="Times New Roman" w:hAnsi="Times New Roman" w:cs="Times New Roman"/>
          <w:i/>
          <w:iCs/>
          <w:sz w:val="24"/>
          <w:szCs w:val="24"/>
          <w:lang w:val="en-US"/>
        </w:rPr>
        <w:t>P</w:t>
      </w:r>
      <w:r w:rsidR="00D44280" w:rsidRPr="00A40CEA">
        <w:rPr>
          <w:rFonts w:ascii="Times New Roman" w:hAnsi="Times New Roman" w:cs="Times New Roman"/>
          <w:i/>
          <w:iCs/>
          <w:sz w:val="24"/>
          <w:szCs w:val="24"/>
          <w:vertAlign w:val="subscript"/>
          <w:lang w:val="en-US"/>
        </w:rPr>
        <w:t>2</w:t>
      </w:r>
      <w:r w:rsidR="00D44280">
        <w:rPr>
          <w:rFonts w:ascii="Times New Roman" w:hAnsi="Times New Roman" w:cs="Times New Roman"/>
          <w:sz w:val="24"/>
          <w:szCs w:val="24"/>
          <w:lang w:val="en-US"/>
        </w:rPr>
        <w:t>, we find a significant</w:t>
      </w:r>
      <w:r w:rsidR="0008335D">
        <w:rPr>
          <w:rFonts w:ascii="Times New Roman" w:hAnsi="Times New Roman" w:cs="Times New Roman"/>
          <w:sz w:val="24"/>
          <w:szCs w:val="24"/>
          <w:lang w:val="en-US"/>
        </w:rPr>
        <w:t>ly</w:t>
      </w:r>
      <w:r w:rsidR="00D44280">
        <w:rPr>
          <w:rFonts w:ascii="Times New Roman" w:hAnsi="Times New Roman" w:cs="Times New Roman"/>
          <w:sz w:val="24"/>
          <w:szCs w:val="24"/>
          <w:lang w:val="en-US"/>
        </w:rPr>
        <w:t xml:space="preserve"> positive coefficient on the </w:t>
      </w:r>
      <w:r w:rsidR="00F939C3" w:rsidRPr="00B07C86">
        <w:rPr>
          <w:rFonts w:ascii="Times New Roman" w:hAnsi="Times New Roman" w:cs="Times New Roman"/>
          <w:i/>
          <w:sz w:val="24"/>
          <w:szCs w:val="24"/>
          <w:lang w:val="en-US"/>
        </w:rPr>
        <w:t>Covenant intensity × Convertible</w:t>
      </w:r>
      <w:r w:rsidR="00F939C3">
        <w:rPr>
          <w:rFonts w:ascii="Times New Roman" w:hAnsi="Times New Roman" w:cs="Times New Roman"/>
          <w:iCs/>
          <w:sz w:val="24"/>
          <w:szCs w:val="24"/>
          <w:lang w:val="en-US"/>
        </w:rPr>
        <w:t xml:space="preserve"> </w:t>
      </w:r>
      <w:r w:rsidR="002828C5">
        <w:rPr>
          <w:rFonts w:ascii="Times New Roman" w:hAnsi="Times New Roman" w:cs="Times New Roman"/>
          <w:iCs/>
          <w:sz w:val="24"/>
          <w:szCs w:val="24"/>
          <w:lang w:val="en-US"/>
        </w:rPr>
        <w:t xml:space="preserve">interaction term </w:t>
      </w:r>
      <w:r w:rsidR="00F939C3">
        <w:rPr>
          <w:rFonts w:ascii="Times New Roman" w:hAnsi="Times New Roman" w:cs="Times New Roman"/>
          <w:iCs/>
          <w:sz w:val="24"/>
          <w:szCs w:val="24"/>
          <w:lang w:val="en-US"/>
        </w:rPr>
        <w:t xml:space="preserve">for </w:t>
      </w:r>
      <w:r w:rsidR="00BF5664">
        <w:rPr>
          <w:rFonts w:ascii="Times New Roman" w:hAnsi="Times New Roman" w:cs="Times New Roman"/>
          <w:iCs/>
          <w:sz w:val="24"/>
          <w:szCs w:val="24"/>
          <w:lang w:val="en-US"/>
        </w:rPr>
        <w:t xml:space="preserve">the overall </w:t>
      </w:r>
      <w:r w:rsidR="00BF5664" w:rsidRPr="00BF5664">
        <w:rPr>
          <w:rFonts w:ascii="Times New Roman" w:hAnsi="Times New Roman" w:cs="Times New Roman"/>
          <w:i/>
          <w:sz w:val="24"/>
          <w:szCs w:val="24"/>
          <w:lang w:val="en-US"/>
        </w:rPr>
        <w:t>CI index</w:t>
      </w:r>
      <w:r w:rsidR="00BF5664">
        <w:rPr>
          <w:rFonts w:ascii="Times New Roman" w:hAnsi="Times New Roman" w:cs="Times New Roman"/>
          <w:iCs/>
          <w:sz w:val="24"/>
          <w:szCs w:val="24"/>
          <w:lang w:val="en-US"/>
        </w:rPr>
        <w:t xml:space="preserve"> and for </w:t>
      </w:r>
      <w:r w:rsidR="00F939C3">
        <w:rPr>
          <w:rFonts w:ascii="Times New Roman" w:hAnsi="Times New Roman" w:cs="Times New Roman"/>
          <w:iCs/>
          <w:sz w:val="24"/>
          <w:szCs w:val="24"/>
          <w:lang w:val="en-US"/>
        </w:rPr>
        <w:t xml:space="preserve">all </w:t>
      </w:r>
      <w:r w:rsidR="00AF2682">
        <w:rPr>
          <w:rFonts w:ascii="Times New Roman" w:hAnsi="Times New Roman" w:cs="Times New Roman"/>
          <w:iCs/>
          <w:sz w:val="24"/>
          <w:szCs w:val="24"/>
          <w:lang w:val="en-US"/>
        </w:rPr>
        <w:t xml:space="preserve">individual </w:t>
      </w:r>
      <w:r w:rsidR="00F939C3">
        <w:rPr>
          <w:rFonts w:ascii="Times New Roman" w:hAnsi="Times New Roman" w:cs="Times New Roman"/>
          <w:iCs/>
          <w:sz w:val="24"/>
          <w:szCs w:val="24"/>
          <w:lang w:val="en-US"/>
        </w:rPr>
        <w:t xml:space="preserve">covenant types, except for </w:t>
      </w:r>
      <w:r w:rsidR="00792977">
        <w:rPr>
          <w:rFonts w:ascii="Times New Roman" w:hAnsi="Times New Roman" w:cs="Times New Roman"/>
          <w:iCs/>
          <w:sz w:val="24"/>
          <w:szCs w:val="24"/>
          <w:lang w:val="en-US"/>
        </w:rPr>
        <w:t>payout</w:t>
      </w:r>
      <w:r w:rsidR="00F939C3">
        <w:rPr>
          <w:rFonts w:ascii="Times New Roman" w:hAnsi="Times New Roman" w:cs="Times New Roman"/>
          <w:iCs/>
          <w:sz w:val="24"/>
          <w:szCs w:val="24"/>
          <w:lang w:val="en-US"/>
        </w:rPr>
        <w:t xml:space="preserve"> and </w:t>
      </w:r>
      <w:r w:rsidR="00792977">
        <w:rPr>
          <w:rFonts w:ascii="Times New Roman" w:hAnsi="Times New Roman" w:cs="Times New Roman"/>
          <w:iCs/>
          <w:sz w:val="24"/>
          <w:szCs w:val="24"/>
          <w:lang w:val="en-US"/>
        </w:rPr>
        <w:t xml:space="preserve">financing </w:t>
      </w:r>
      <w:r w:rsidR="00F939C3">
        <w:rPr>
          <w:rFonts w:ascii="Times New Roman" w:hAnsi="Times New Roman" w:cs="Times New Roman"/>
          <w:iCs/>
          <w:sz w:val="24"/>
          <w:szCs w:val="24"/>
          <w:lang w:val="en-US"/>
        </w:rPr>
        <w:t xml:space="preserve">covenants. The total yield effect of </w:t>
      </w:r>
      <w:r w:rsidR="00F939C3" w:rsidRPr="008C7293">
        <w:rPr>
          <w:rFonts w:ascii="Times New Roman" w:hAnsi="Times New Roman" w:cs="Times New Roman"/>
          <w:i/>
          <w:sz w:val="24"/>
          <w:szCs w:val="24"/>
          <w:lang w:val="en-US"/>
        </w:rPr>
        <w:t>Covenant intensity</w:t>
      </w:r>
      <w:r w:rsidR="00F939C3">
        <w:rPr>
          <w:rFonts w:ascii="Times New Roman" w:hAnsi="Times New Roman" w:cs="Times New Roman"/>
          <w:iCs/>
          <w:sz w:val="24"/>
          <w:szCs w:val="24"/>
          <w:lang w:val="en-US"/>
        </w:rPr>
        <w:t xml:space="preserve"> for convertible bonds is captured by the sum of the coefficients on </w:t>
      </w:r>
      <w:r w:rsidR="00F939C3" w:rsidRPr="008C7293">
        <w:rPr>
          <w:rFonts w:ascii="Times New Roman" w:hAnsi="Times New Roman" w:cs="Times New Roman"/>
          <w:i/>
          <w:sz w:val="24"/>
          <w:szCs w:val="24"/>
          <w:lang w:val="en-US"/>
        </w:rPr>
        <w:t>Covenant intensity</w:t>
      </w:r>
      <w:r w:rsidR="00F939C3">
        <w:rPr>
          <w:rFonts w:ascii="Times New Roman" w:hAnsi="Times New Roman" w:cs="Times New Roman"/>
          <w:iCs/>
          <w:sz w:val="24"/>
          <w:szCs w:val="24"/>
          <w:lang w:val="en-US"/>
        </w:rPr>
        <w:t xml:space="preserve"> and </w:t>
      </w:r>
      <w:r w:rsidR="00F939C3" w:rsidRPr="008C7293">
        <w:rPr>
          <w:rFonts w:ascii="Times New Roman" w:hAnsi="Times New Roman" w:cs="Times New Roman"/>
          <w:i/>
          <w:sz w:val="24"/>
          <w:szCs w:val="24"/>
          <w:lang w:val="en-US"/>
        </w:rPr>
        <w:t xml:space="preserve">Covenant intensity </w:t>
      </w:r>
      <w:r w:rsidR="00F939C3" w:rsidRPr="00F939C3">
        <w:rPr>
          <w:rFonts w:ascii="Times New Roman" w:hAnsi="Times New Roman" w:cs="Times New Roman"/>
          <w:i/>
          <w:sz w:val="24"/>
          <w:szCs w:val="24"/>
          <w:lang w:val="en-US"/>
        </w:rPr>
        <w:t>× Convertible</w:t>
      </w:r>
      <w:r w:rsidR="00F939C3">
        <w:rPr>
          <w:rFonts w:ascii="Times New Roman" w:hAnsi="Times New Roman" w:cs="Times New Roman"/>
          <w:iCs/>
          <w:sz w:val="24"/>
          <w:szCs w:val="24"/>
          <w:lang w:val="en-US"/>
        </w:rPr>
        <w:t xml:space="preserve">. As reported in Table 6, we find that this impact is significantly positive for the overall </w:t>
      </w:r>
      <w:r w:rsidR="00F939C3" w:rsidRPr="008C7293">
        <w:rPr>
          <w:rFonts w:ascii="Times New Roman" w:hAnsi="Times New Roman" w:cs="Times New Roman"/>
          <w:i/>
          <w:sz w:val="24"/>
          <w:szCs w:val="24"/>
          <w:lang w:val="en-US"/>
        </w:rPr>
        <w:t xml:space="preserve">CI </w:t>
      </w:r>
      <w:r w:rsidR="00264015">
        <w:rPr>
          <w:rFonts w:ascii="Times New Roman" w:hAnsi="Times New Roman" w:cs="Times New Roman"/>
          <w:i/>
          <w:sz w:val="24"/>
          <w:szCs w:val="24"/>
          <w:lang w:val="en-US"/>
        </w:rPr>
        <w:t>i</w:t>
      </w:r>
      <w:r w:rsidR="00F939C3" w:rsidRPr="008C7293">
        <w:rPr>
          <w:rFonts w:ascii="Times New Roman" w:hAnsi="Times New Roman" w:cs="Times New Roman"/>
          <w:i/>
          <w:sz w:val="24"/>
          <w:szCs w:val="24"/>
          <w:lang w:val="en-US"/>
        </w:rPr>
        <w:t>ndex</w:t>
      </w:r>
      <w:r w:rsidR="00F939C3">
        <w:rPr>
          <w:rFonts w:ascii="Times New Roman" w:hAnsi="Times New Roman" w:cs="Times New Roman"/>
          <w:iCs/>
          <w:sz w:val="24"/>
          <w:szCs w:val="24"/>
          <w:lang w:val="en-US"/>
        </w:rPr>
        <w:t>, as well as for investment and event covenants</w:t>
      </w:r>
      <w:r w:rsidR="00792977">
        <w:rPr>
          <w:rFonts w:ascii="Times New Roman" w:hAnsi="Times New Roman" w:cs="Times New Roman"/>
          <w:iCs/>
          <w:sz w:val="24"/>
          <w:szCs w:val="24"/>
          <w:lang w:val="en-US"/>
        </w:rPr>
        <w:t xml:space="preserve">, </w:t>
      </w:r>
      <w:r w:rsidR="00F939C3">
        <w:rPr>
          <w:rFonts w:ascii="Times New Roman" w:hAnsi="Times New Roman" w:cs="Times New Roman"/>
          <w:iCs/>
          <w:sz w:val="24"/>
          <w:szCs w:val="24"/>
          <w:lang w:val="en-US"/>
        </w:rPr>
        <w:t xml:space="preserve">whilst it is insignificant for </w:t>
      </w:r>
      <w:r w:rsidR="00792977">
        <w:rPr>
          <w:rFonts w:ascii="Times New Roman" w:hAnsi="Times New Roman" w:cs="Times New Roman"/>
          <w:iCs/>
          <w:sz w:val="24"/>
          <w:szCs w:val="24"/>
          <w:lang w:val="en-US"/>
        </w:rPr>
        <w:t xml:space="preserve">payout and financing covenants. </w:t>
      </w:r>
      <w:r w:rsidR="00A41912">
        <w:rPr>
          <w:rFonts w:ascii="Times New Roman" w:hAnsi="Times New Roman" w:cs="Times New Roman"/>
          <w:sz w:val="24"/>
          <w:szCs w:val="24"/>
          <w:lang w:val="en-US"/>
        </w:rPr>
        <w:t>We note that the frequencies of payout and financing covenants for convertible bonds are extremely low, i.e.</w:t>
      </w:r>
      <w:r w:rsidR="00C92B43">
        <w:rPr>
          <w:rFonts w:ascii="Times New Roman" w:hAnsi="Times New Roman" w:cs="Times New Roman"/>
          <w:sz w:val="24"/>
          <w:szCs w:val="24"/>
          <w:lang w:val="en-US"/>
        </w:rPr>
        <w:t>,</w:t>
      </w:r>
      <w:r w:rsidR="00A41912">
        <w:rPr>
          <w:rFonts w:ascii="Times New Roman" w:hAnsi="Times New Roman" w:cs="Times New Roman"/>
          <w:sz w:val="24"/>
          <w:szCs w:val="24"/>
          <w:lang w:val="en-US"/>
        </w:rPr>
        <w:t xml:space="preserve"> 1.54% and 0.94% respectively, as per the univariate findings in Table 2. Th</w:t>
      </w:r>
      <w:r w:rsidR="007753DB">
        <w:rPr>
          <w:rFonts w:ascii="Times New Roman" w:hAnsi="Times New Roman" w:cs="Times New Roman"/>
          <w:sz w:val="24"/>
          <w:szCs w:val="24"/>
          <w:lang w:val="en-US"/>
        </w:rPr>
        <w:t xml:space="preserve">ese low occurrence rates </w:t>
      </w:r>
      <w:r w:rsidR="00A41912">
        <w:rPr>
          <w:rFonts w:ascii="Times New Roman" w:hAnsi="Times New Roman" w:cs="Times New Roman"/>
          <w:sz w:val="24"/>
          <w:szCs w:val="24"/>
          <w:lang w:val="en-US"/>
        </w:rPr>
        <w:t xml:space="preserve">may weaken the power of the yield analyses pertaining to </w:t>
      </w:r>
      <w:r w:rsidR="007753DB">
        <w:rPr>
          <w:rFonts w:ascii="Times New Roman" w:hAnsi="Times New Roman" w:cs="Times New Roman"/>
          <w:sz w:val="24"/>
          <w:szCs w:val="24"/>
          <w:lang w:val="en-US"/>
        </w:rPr>
        <w:t>payout and financing</w:t>
      </w:r>
      <w:r w:rsidR="00A41912">
        <w:rPr>
          <w:rFonts w:ascii="Times New Roman" w:hAnsi="Times New Roman" w:cs="Times New Roman"/>
          <w:sz w:val="24"/>
          <w:szCs w:val="24"/>
          <w:lang w:val="en-US"/>
        </w:rPr>
        <w:t xml:space="preserve"> covenant types. </w:t>
      </w:r>
    </w:p>
    <w:p w14:paraId="3DD4A463" w14:textId="2E92961D" w:rsidR="007B355C" w:rsidRPr="003101A0" w:rsidRDefault="002345C1" w:rsidP="00A41912">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Overall, </w:t>
      </w:r>
      <w:r w:rsidR="00BF5664">
        <w:rPr>
          <w:rFonts w:ascii="Times New Roman" w:hAnsi="Times New Roman" w:cs="Times New Roman"/>
          <w:sz w:val="24"/>
          <w:szCs w:val="24"/>
          <w:lang w:val="en-US"/>
        </w:rPr>
        <w:t xml:space="preserve">the results in </w:t>
      </w:r>
      <w:r w:rsidR="00792977">
        <w:rPr>
          <w:rFonts w:ascii="Times New Roman" w:hAnsi="Times New Roman" w:cs="Times New Roman"/>
          <w:sz w:val="24"/>
          <w:szCs w:val="24"/>
          <w:lang w:val="en-US"/>
        </w:rPr>
        <w:t>Table 6 provide</w:t>
      </w:r>
      <w:r w:rsidR="00570AE0" w:rsidRPr="003101A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 xml:space="preserve">strong evidence </w:t>
      </w:r>
      <w:r w:rsidR="0058264B" w:rsidRPr="003101A0">
        <w:rPr>
          <w:rFonts w:ascii="Times New Roman" w:hAnsi="Times New Roman" w:cs="Times New Roman"/>
          <w:sz w:val="24"/>
          <w:szCs w:val="24"/>
          <w:lang w:val="en-US"/>
        </w:rPr>
        <w:t xml:space="preserve">that covenants do not reduce convertible bond yields, </w:t>
      </w:r>
      <w:r w:rsidR="00CA5308">
        <w:rPr>
          <w:rFonts w:ascii="Times New Roman" w:hAnsi="Times New Roman" w:cs="Times New Roman"/>
          <w:sz w:val="24"/>
          <w:szCs w:val="24"/>
          <w:lang w:val="en-US"/>
        </w:rPr>
        <w:t>but negatively impact</w:t>
      </w:r>
      <w:r w:rsidR="0058264B" w:rsidRPr="003101A0">
        <w:rPr>
          <w:rFonts w:ascii="Times New Roman" w:hAnsi="Times New Roman" w:cs="Times New Roman"/>
          <w:sz w:val="24"/>
          <w:szCs w:val="24"/>
          <w:lang w:val="en-US"/>
        </w:rPr>
        <w:t xml:space="preserve"> straight bond yields. This pattern is consistent with </w:t>
      </w:r>
      <w:r w:rsidR="00C538D4" w:rsidRPr="003101A0">
        <w:rPr>
          <w:rFonts w:ascii="Times New Roman" w:hAnsi="Times New Roman" w:cs="Times New Roman"/>
          <w:i/>
          <w:iCs/>
          <w:sz w:val="24"/>
          <w:szCs w:val="24"/>
          <w:lang w:val="en-US"/>
        </w:rPr>
        <w:t>P</w:t>
      </w:r>
      <w:r w:rsidRPr="003101A0">
        <w:rPr>
          <w:rFonts w:ascii="Times New Roman" w:hAnsi="Times New Roman" w:cs="Times New Roman"/>
          <w:i/>
          <w:iCs/>
          <w:sz w:val="24"/>
          <w:szCs w:val="24"/>
          <w:vertAlign w:val="subscript"/>
          <w:lang w:val="en-US"/>
        </w:rPr>
        <w:t>2</w:t>
      </w:r>
      <w:r w:rsidRPr="003101A0">
        <w:rPr>
          <w:rFonts w:ascii="Times New Roman" w:hAnsi="Times New Roman" w:cs="Times New Roman"/>
          <w:sz w:val="24"/>
          <w:szCs w:val="24"/>
          <w:lang w:val="en-US"/>
        </w:rPr>
        <w:t xml:space="preserve">. </w:t>
      </w:r>
    </w:p>
    <w:p w14:paraId="6490161A" w14:textId="1B7BBC44" w:rsidR="007B355C" w:rsidRPr="003101A0" w:rsidRDefault="007B355C" w:rsidP="00D46513">
      <w:pPr>
        <w:spacing w:after="0" w:line="480" w:lineRule="auto"/>
        <w:jc w:val="center"/>
        <w:rPr>
          <w:rFonts w:ascii="Times New Roman" w:hAnsi="Times New Roman" w:cs="Times New Roman"/>
          <w:sz w:val="24"/>
          <w:szCs w:val="24"/>
          <w:lang w:val="en-US"/>
        </w:rPr>
      </w:pPr>
      <w:r w:rsidRPr="003101A0">
        <w:rPr>
          <w:rFonts w:ascii="Times New Roman" w:hAnsi="Times New Roman" w:cs="Times New Roman"/>
          <w:sz w:val="24"/>
          <w:szCs w:val="24"/>
          <w:lang w:val="en-US"/>
        </w:rPr>
        <w:t>&lt;&lt; Please insert Table 6 here &gt;&gt;</w:t>
      </w:r>
    </w:p>
    <w:p w14:paraId="006518AD" w14:textId="77777777" w:rsidR="007B355C" w:rsidRPr="003101A0" w:rsidRDefault="007B355C" w:rsidP="00515C58">
      <w:pPr>
        <w:spacing w:after="0" w:line="480" w:lineRule="auto"/>
        <w:rPr>
          <w:rFonts w:ascii="Times New Roman" w:hAnsi="Times New Roman" w:cs="Times New Roman"/>
          <w:sz w:val="24"/>
          <w:szCs w:val="24"/>
          <w:lang w:val="en-US"/>
        </w:rPr>
      </w:pPr>
    </w:p>
    <w:p w14:paraId="6A996C03" w14:textId="64AC6602" w:rsidR="00F74F87" w:rsidRPr="003101A0" w:rsidRDefault="00BD4992" w:rsidP="00D46513">
      <w:pPr>
        <w:pStyle w:val="ListParagraph"/>
        <w:numPr>
          <w:ilvl w:val="0"/>
          <w:numId w:val="4"/>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Additional tests</w:t>
      </w:r>
      <w:r w:rsidR="00F74F87" w:rsidRPr="003101A0">
        <w:rPr>
          <w:rFonts w:ascii="Times New Roman" w:hAnsi="Times New Roman" w:cs="Times New Roman"/>
          <w:b/>
          <w:sz w:val="24"/>
          <w:szCs w:val="24"/>
          <w:lang w:val="en-US"/>
        </w:rPr>
        <w:t xml:space="preserve"> </w:t>
      </w:r>
    </w:p>
    <w:p w14:paraId="28D8579F" w14:textId="119A15F6" w:rsidR="00F649C3" w:rsidRPr="003101A0" w:rsidRDefault="006D4472" w:rsidP="0010107B">
      <w:pPr>
        <w:spacing w:after="0" w:line="480" w:lineRule="auto"/>
        <w:ind w:firstLine="426"/>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We conduct two further sets of empirical tests to sharpen the interpretation of our main findings. </w:t>
      </w:r>
      <w:r w:rsidR="00264015">
        <w:rPr>
          <w:rFonts w:ascii="Times New Roman" w:hAnsi="Times New Roman" w:cs="Times New Roman"/>
          <w:sz w:val="24"/>
          <w:szCs w:val="24"/>
          <w:lang w:val="en-US"/>
        </w:rPr>
        <w:t xml:space="preserve">First, to obtain more insight into </w:t>
      </w:r>
      <w:r w:rsidR="00264015" w:rsidRPr="003101A0">
        <w:rPr>
          <w:rFonts w:ascii="Times New Roman" w:hAnsi="Times New Roman" w:cs="Times New Roman"/>
          <w:sz w:val="24"/>
          <w:szCs w:val="24"/>
          <w:lang w:val="en-US"/>
        </w:rPr>
        <w:t xml:space="preserve">differences in the drivers of covenant intensities of </w:t>
      </w:r>
      <w:r w:rsidR="00264015">
        <w:rPr>
          <w:rFonts w:ascii="Times New Roman" w:hAnsi="Times New Roman" w:cs="Times New Roman"/>
          <w:sz w:val="24"/>
          <w:szCs w:val="24"/>
          <w:lang w:val="en-US"/>
        </w:rPr>
        <w:t xml:space="preserve">convertible and straight bonds, we estimate the </w:t>
      </w:r>
      <w:r w:rsidR="005E1164">
        <w:rPr>
          <w:rFonts w:ascii="Times New Roman" w:hAnsi="Times New Roman" w:cs="Times New Roman"/>
          <w:sz w:val="24"/>
          <w:szCs w:val="24"/>
          <w:lang w:val="en-US"/>
        </w:rPr>
        <w:t>baseline</w:t>
      </w:r>
      <w:r w:rsidR="0058264B" w:rsidRPr="003101A0">
        <w:rPr>
          <w:rFonts w:ascii="Times New Roman" w:hAnsi="Times New Roman" w:cs="Times New Roman"/>
          <w:sz w:val="24"/>
          <w:szCs w:val="24"/>
          <w:lang w:val="en-US"/>
        </w:rPr>
        <w:t xml:space="preserve"> </w:t>
      </w:r>
      <w:r w:rsidR="0058264B" w:rsidRPr="003101A0">
        <w:rPr>
          <w:rFonts w:ascii="Times New Roman" w:hAnsi="Times New Roman" w:cs="Times New Roman"/>
          <w:i/>
          <w:iCs/>
          <w:sz w:val="24"/>
          <w:szCs w:val="24"/>
          <w:lang w:val="en-US"/>
        </w:rPr>
        <w:t>CI index</w:t>
      </w:r>
      <w:r w:rsidR="0058264B" w:rsidRPr="003101A0">
        <w:rPr>
          <w:rFonts w:ascii="Times New Roman" w:hAnsi="Times New Roman" w:cs="Times New Roman"/>
          <w:sz w:val="24"/>
          <w:szCs w:val="24"/>
          <w:lang w:val="en-US"/>
        </w:rPr>
        <w:t xml:space="preserve"> regression</w:t>
      </w:r>
      <w:r w:rsidR="005E1164">
        <w:rPr>
          <w:rFonts w:ascii="Times New Roman" w:hAnsi="Times New Roman" w:cs="Times New Roman"/>
          <w:sz w:val="24"/>
          <w:szCs w:val="24"/>
          <w:lang w:val="en-US"/>
        </w:rPr>
        <w:t xml:space="preserve"> in Table 4, column (4) separately</w:t>
      </w:r>
      <w:r w:rsidR="0058264B" w:rsidRPr="003101A0">
        <w:rPr>
          <w:rFonts w:ascii="Times New Roman" w:hAnsi="Times New Roman" w:cs="Times New Roman"/>
          <w:sz w:val="24"/>
          <w:szCs w:val="24"/>
          <w:lang w:val="en-US"/>
        </w:rPr>
        <w:t xml:space="preserve"> for these two bond types. </w:t>
      </w:r>
      <w:r w:rsidR="00485877">
        <w:rPr>
          <w:rFonts w:ascii="Times New Roman" w:hAnsi="Times New Roman" w:cs="Times New Roman"/>
          <w:sz w:val="24"/>
          <w:szCs w:val="24"/>
          <w:lang w:eastAsia="zh-CN"/>
        </w:rPr>
        <w:t xml:space="preserve">To address </w:t>
      </w:r>
      <w:r w:rsidR="00AF2682">
        <w:rPr>
          <w:rFonts w:ascii="Times New Roman" w:hAnsi="Times New Roman" w:cs="Times New Roman"/>
          <w:sz w:val="24"/>
          <w:szCs w:val="24"/>
          <w:lang w:eastAsia="zh-CN"/>
        </w:rPr>
        <w:t>firms’</w:t>
      </w:r>
      <w:r w:rsidR="00485877">
        <w:rPr>
          <w:rFonts w:ascii="Times New Roman" w:hAnsi="Times New Roman" w:cs="Times New Roman"/>
          <w:sz w:val="24"/>
          <w:szCs w:val="24"/>
          <w:lang w:eastAsia="zh-CN"/>
        </w:rPr>
        <w:t xml:space="preserve"> self-selection of bond type, we adopt </w:t>
      </w:r>
      <w:r w:rsidR="00485877">
        <w:rPr>
          <w:rFonts w:ascii="Times New Roman" w:hAnsi="Times New Roman" w:cs="Times New Roman"/>
          <w:sz w:val="24"/>
          <w:szCs w:val="24"/>
          <w:lang w:eastAsia="zh-CN"/>
        </w:rPr>
        <w:lastRenderedPageBreak/>
        <w:t xml:space="preserve">a switching regression approach. </w:t>
      </w:r>
      <w:r w:rsidR="00485877">
        <w:rPr>
          <w:rFonts w:ascii="Times New Roman" w:eastAsiaTheme="minorEastAsia" w:hAnsi="Times New Roman" w:cs="Times New Roman"/>
          <w:sz w:val="24"/>
          <w:szCs w:val="24"/>
          <w:lang w:val="en-US"/>
        </w:rPr>
        <w:t>The first-stage selection model</w:t>
      </w:r>
      <w:r w:rsidR="00485877" w:rsidRPr="003101A0">
        <w:rPr>
          <w:rFonts w:ascii="Times New Roman" w:eastAsiaTheme="minorEastAsia" w:hAnsi="Times New Roman" w:cs="Times New Roman"/>
          <w:sz w:val="24"/>
          <w:szCs w:val="24"/>
          <w:lang w:val="en-US"/>
        </w:rPr>
        <w:t xml:space="preserve"> results are </w:t>
      </w:r>
      <w:r w:rsidR="00485877">
        <w:rPr>
          <w:rFonts w:ascii="Times New Roman" w:eastAsiaTheme="minorEastAsia" w:hAnsi="Times New Roman" w:cs="Times New Roman"/>
          <w:sz w:val="24"/>
          <w:szCs w:val="24"/>
          <w:lang w:val="en-US"/>
        </w:rPr>
        <w:t xml:space="preserve">virtually identical </w:t>
      </w:r>
      <w:r w:rsidR="00485877" w:rsidRPr="003101A0">
        <w:rPr>
          <w:rFonts w:ascii="Times New Roman" w:eastAsiaTheme="minorEastAsia" w:hAnsi="Times New Roman" w:cs="Times New Roman"/>
          <w:sz w:val="24"/>
          <w:szCs w:val="24"/>
          <w:lang w:val="en-US"/>
        </w:rPr>
        <w:t xml:space="preserve">to those provided in Table 4, column (3), and therefore not </w:t>
      </w:r>
      <w:r w:rsidR="00485877">
        <w:rPr>
          <w:rFonts w:ascii="Times New Roman" w:eastAsiaTheme="minorEastAsia" w:hAnsi="Times New Roman" w:cs="Times New Roman"/>
          <w:sz w:val="24"/>
          <w:szCs w:val="24"/>
          <w:lang w:val="en-US"/>
        </w:rPr>
        <w:t xml:space="preserve">reported </w:t>
      </w:r>
      <w:r w:rsidR="00485877" w:rsidRPr="003101A0">
        <w:rPr>
          <w:rFonts w:ascii="Times New Roman" w:eastAsiaTheme="minorEastAsia" w:hAnsi="Times New Roman" w:cs="Times New Roman"/>
          <w:sz w:val="24"/>
          <w:szCs w:val="24"/>
          <w:lang w:val="en-US"/>
        </w:rPr>
        <w:t xml:space="preserve">for brevity. </w:t>
      </w:r>
      <w:r w:rsidR="00485877">
        <w:rPr>
          <w:rFonts w:ascii="Times New Roman" w:eastAsiaTheme="minorEastAsia" w:hAnsi="Times New Roman" w:cs="Times New Roman"/>
          <w:sz w:val="24"/>
          <w:szCs w:val="24"/>
          <w:lang w:val="en-US"/>
        </w:rPr>
        <w:t>The second</w:t>
      </w:r>
      <w:r w:rsidR="00904117">
        <w:rPr>
          <w:rFonts w:ascii="Times New Roman" w:eastAsiaTheme="minorEastAsia" w:hAnsi="Times New Roman" w:cs="Times New Roman"/>
          <w:sz w:val="24"/>
          <w:szCs w:val="24"/>
          <w:lang w:val="en-US"/>
        </w:rPr>
        <w:t xml:space="preserve">-stage covenant intensity regression results are provided in </w:t>
      </w:r>
      <w:r w:rsidR="00904117">
        <w:rPr>
          <w:rFonts w:ascii="Times New Roman" w:hAnsi="Times New Roman" w:cs="Times New Roman"/>
          <w:sz w:val="24"/>
          <w:szCs w:val="24"/>
          <w:lang w:val="en-US" w:eastAsia="zh-CN"/>
        </w:rPr>
        <w:t>c</w:t>
      </w:r>
      <w:r w:rsidR="0074242C" w:rsidRPr="003101A0">
        <w:rPr>
          <w:rFonts w:ascii="Times New Roman" w:hAnsi="Times New Roman" w:cs="Times New Roman"/>
          <w:sz w:val="24"/>
          <w:szCs w:val="24"/>
          <w:lang w:val="en-US"/>
        </w:rPr>
        <w:t xml:space="preserve">olumns (1) and (2) </w:t>
      </w:r>
      <w:r w:rsidR="003A4870" w:rsidRPr="003101A0">
        <w:rPr>
          <w:rFonts w:ascii="Times New Roman" w:hAnsi="Times New Roman" w:cs="Times New Roman"/>
          <w:sz w:val="24"/>
          <w:szCs w:val="24"/>
          <w:lang w:val="en-US"/>
        </w:rPr>
        <w:t>of Table 7</w:t>
      </w:r>
      <w:r w:rsidR="0074242C" w:rsidRPr="003101A0">
        <w:rPr>
          <w:rFonts w:ascii="Times New Roman" w:hAnsi="Times New Roman" w:cs="Times New Roman"/>
          <w:sz w:val="24"/>
          <w:szCs w:val="24"/>
          <w:lang w:val="en-US"/>
        </w:rPr>
        <w:t xml:space="preserve">. </w:t>
      </w:r>
      <w:r w:rsidR="003E3765" w:rsidRPr="003101A0">
        <w:rPr>
          <w:rFonts w:ascii="Times New Roman" w:hAnsi="Times New Roman" w:cs="Times New Roman"/>
          <w:sz w:val="24"/>
          <w:szCs w:val="24"/>
          <w:lang w:val="en-US"/>
        </w:rPr>
        <w:t>An interesting pattern emerges. For the straight bond regression</w:t>
      </w:r>
      <w:r w:rsidR="00973BDC" w:rsidRPr="003101A0">
        <w:rPr>
          <w:rFonts w:ascii="Times New Roman" w:hAnsi="Times New Roman" w:cs="Times New Roman"/>
          <w:sz w:val="24"/>
          <w:szCs w:val="24"/>
          <w:lang w:val="en-US"/>
        </w:rPr>
        <w:t xml:space="preserve"> in column (</w:t>
      </w:r>
      <w:r w:rsidR="003A4870" w:rsidRPr="003101A0">
        <w:rPr>
          <w:rFonts w:ascii="Times New Roman" w:hAnsi="Times New Roman" w:cs="Times New Roman"/>
          <w:sz w:val="24"/>
          <w:szCs w:val="24"/>
          <w:lang w:val="en-US"/>
        </w:rPr>
        <w:t>2)</w:t>
      </w:r>
      <w:r w:rsidR="003E3765" w:rsidRPr="003101A0">
        <w:rPr>
          <w:rFonts w:ascii="Times New Roman" w:hAnsi="Times New Roman" w:cs="Times New Roman"/>
          <w:sz w:val="24"/>
          <w:szCs w:val="24"/>
          <w:lang w:val="en-US"/>
        </w:rPr>
        <w:t xml:space="preserve">, we </w:t>
      </w:r>
      <w:r w:rsidR="008C7486" w:rsidRPr="003101A0">
        <w:rPr>
          <w:rFonts w:ascii="Times New Roman" w:hAnsi="Times New Roman" w:cs="Times New Roman"/>
          <w:sz w:val="24"/>
          <w:szCs w:val="24"/>
          <w:lang w:val="en-US"/>
        </w:rPr>
        <w:t xml:space="preserve">detect </w:t>
      </w:r>
      <w:r w:rsidR="003E3765" w:rsidRPr="003101A0">
        <w:rPr>
          <w:rFonts w:ascii="Times New Roman" w:hAnsi="Times New Roman" w:cs="Times New Roman"/>
          <w:sz w:val="24"/>
          <w:szCs w:val="24"/>
          <w:lang w:val="en-US"/>
        </w:rPr>
        <w:t xml:space="preserve">several significant </w:t>
      </w:r>
      <w:r w:rsidR="003A4870" w:rsidRPr="003101A0">
        <w:rPr>
          <w:rFonts w:ascii="Times New Roman" w:hAnsi="Times New Roman" w:cs="Times New Roman"/>
          <w:sz w:val="24"/>
          <w:szCs w:val="24"/>
          <w:lang w:val="en-US"/>
        </w:rPr>
        <w:t>issuer-specific</w:t>
      </w:r>
      <w:r w:rsidR="00937D8B" w:rsidRPr="003101A0">
        <w:rPr>
          <w:rFonts w:ascii="Times New Roman" w:hAnsi="Times New Roman" w:cs="Times New Roman"/>
          <w:sz w:val="24"/>
          <w:szCs w:val="24"/>
          <w:lang w:val="en-US"/>
        </w:rPr>
        <w:t xml:space="preserve"> </w:t>
      </w:r>
      <w:r w:rsidR="00973BDC" w:rsidRPr="003101A0">
        <w:rPr>
          <w:rFonts w:ascii="Times New Roman" w:hAnsi="Times New Roman" w:cs="Times New Roman"/>
          <w:sz w:val="24"/>
          <w:szCs w:val="24"/>
          <w:lang w:val="en-US"/>
        </w:rPr>
        <w:t xml:space="preserve">covenant intensity </w:t>
      </w:r>
      <w:r w:rsidR="003E3765" w:rsidRPr="003101A0">
        <w:rPr>
          <w:rFonts w:ascii="Times New Roman" w:hAnsi="Times New Roman" w:cs="Times New Roman"/>
          <w:sz w:val="24"/>
          <w:szCs w:val="24"/>
          <w:lang w:val="en-US"/>
        </w:rPr>
        <w:t>determinants</w:t>
      </w:r>
      <w:r w:rsidR="002828C5">
        <w:rPr>
          <w:rFonts w:ascii="Times New Roman" w:hAnsi="Times New Roman" w:cs="Times New Roman"/>
          <w:sz w:val="24"/>
          <w:szCs w:val="24"/>
          <w:lang w:val="en-US"/>
        </w:rPr>
        <w:t xml:space="preserve">, with most findings </w:t>
      </w:r>
      <w:r w:rsidR="0049621F" w:rsidRPr="003101A0">
        <w:rPr>
          <w:rFonts w:ascii="Times New Roman" w:hAnsi="Times New Roman" w:cs="Times New Roman"/>
          <w:sz w:val="24"/>
          <w:szCs w:val="24"/>
          <w:lang w:val="en-US"/>
        </w:rPr>
        <w:t>suggest</w:t>
      </w:r>
      <w:r w:rsidR="002828C5">
        <w:rPr>
          <w:rFonts w:ascii="Times New Roman" w:hAnsi="Times New Roman" w:cs="Times New Roman"/>
          <w:sz w:val="24"/>
          <w:szCs w:val="24"/>
          <w:lang w:val="en-US"/>
        </w:rPr>
        <w:t>ing</w:t>
      </w:r>
      <w:r w:rsidR="0049621F" w:rsidRPr="003101A0">
        <w:rPr>
          <w:rFonts w:ascii="Times New Roman" w:hAnsi="Times New Roman" w:cs="Times New Roman"/>
          <w:sz w:val="24"/>
          <w:szCs w:val="24"/>
          <w:lang w:val="en-US"/>
        </w:rPr>
        <w:t xml:space="preserve"> that higher debt-related agency and financial distress costs and fewer investment opportunities</w:t>
      </w:r>
      <w:r w:rsidR="003E3765" w:rsidRPr="003101A0">
        <w:rPr>
          <w:rFonts w:ascii="Times New Roman" w:hAnsi="Times New Roman" w:cs="Times New Roman"/>
          <w:sz w:val="24"/>
          <w:szCs w:val="24"/>
          <w:lang w:val="en-US"/>
        </w:rPr>
        <w:t xml:space="preserve"> are associated with higher </w:t>
      </w:r>
      <w:r w:rsidR="00973BDC" w:rsidRPr="003101A0">
        <w:rPr>
          <w:rFonts w:ascii="Times New Roman" w:hAnsi="Times New Roman" w:cs="Times New Roman"/>
          <w:sz w:val="24"/>
          <w:szCs w:val="24"/>
          <w:lang w:val="en-US"/>
        </w:rPr>
        <w:t>covenant intensity values</w:t>
      </w:r>
      <w:r w:rsidR="003E3765" w:rsidRPr="003101A0">
        <w:rPr>
          <w:rFonts w:ascii="Times New Roman" w:eastAsiaTheme="minorEastAsia" w:hAnsi="Times New Roman" w:cs="Times New Roman"/>
          <w:sz w:val="24"/>
          <w:szCs w:val="24"/>
          <w:lang w:val="en-US"/>
        </w:rPr>
        <w:t>.</w:t>
      </w:r>
      <w:r w:rsidR="00904117">
        <w:rPr>
          <w:rStyle w:val="FootnoteReference"/>
          <w:rFonts w:ascii="Times New Roman" w:eastAsiaTheme="minorEastAsia" w:hAnsi="Times New Roman" w:cs="Times New Roman"/>
          <w:sz w:val="24"/>
          <w:szCs w:val="24"/>
          <w:lang w:val="en-US"/>
        </w:rPr>
        <w:footnoteReference w:id="15"/>
      </w:r>
      <w:r w:rsidR="003E3765" w:rsidRPr="003101A0">
        <w:rPr>
          <w:rFonts w:ascii="Times New Roman" w:eastAsiaTheme="minorEastAsia" w:hAnsi="Times New Roman" w:cs="Times New Roman"/>
          <w:sz w:val="24"/>
          <w:szCs w:val="24"/>
          <w:lang w:val="en-US"/>
        </w:rPr>
        <w:t xml:space="preserve"> By contrast, </w:t>
      </w:r>
      <w:r w:rsidR="003A4870" w:rsidRPr="003101A0">
        <w:rPr>
          <w:rFonts w:ascii="Times New Roman" w:eastAsiaTheme="minorEastAsia" w:hAnsi="Times New Roman" w:cs="Times New Roman"/>
          <w:sz w:val="24"/>
          <w:szCs w:val="24"/>
          <w:lang w:val="en-US"/>
        </w:rPr>
        <w:t>issuer-specific</w:t>
      </w:r>
      <w:r w:rsidR="00973BDC" w:rsidRPr="003101A0">
        <w:rPr>
          <w:rFonts w:ascii="Times New Roman" w:eastAsiaTheme="minorEastAsia" w:hAnsi="Times New Roman" w:cs="Times New Roman"/>
          <w:sz w:val="24"/>
          <w:szCs w:val="24"/>
          <w:lang w:val="en-US"/>
        </w:rPr>
        <w:t xml:space="preserve"> covenant intensity determinants </w:t>
      </w:r>
      <w:r w:rsidR="000F0FF0">
        <w:rPr>
          <w:rFonts w:ascii="Times New Roman" w:eastAsiaTheme="minorEastAsia" w:hAnsi="Times New Roman" w:cs="Times New Roman"/>
          <w:sz w:val="24"/>
          <w:szCs w:val="24"/>
          <w:lang w:val="en-US"/>
        </w:rPr>
        <w:t xml:space="preserve">have a weaker impact on the </w:t>
      </w:r>
      <w:r w:rsidR="000F0FF0" w:rsidRPr="004D074C">
        <w:rPr>
          <w:rFonts w:ascii="Times New Roman" w:eastAsiaTheme="minorEastAsia" w:hAnsi="Times New Roman" w:cs="Times New Roman"/>
          <w:i/>
          <w:iCs/>
          <w:sz w:val="24"/>
          <w:szCs w:val="24"/>
          <w:lang w:val="en-US"/>
        </w:rPr>
        <w:t>CI index</w:t>
      </w:r>
      <w:r w:rsidR="000F0FF0">
        <w:rPr>
          <w:rFonts w:ascii="Times New Roman" w:eastAsiaTheme="minorEastAsia" w:hAnsi="Times New Roman" w:cs="Times New Roman"/>
          <w:sz w:val="24"/>
          <w:szCs w:val="24"/>
          <w:lang w:val="en-US"/>
        </w:rPr>
        <w:t xml:space="preserve"> </w:t>
      </w:r>
      <w:r w:rsidR="00973BDC" w:rsidRPr="003101A0">
        <w:rPr>
          <w:rFonts w:ascii="Times New Roman" w:eastAsiaTheme="minorEastAsia" w:hAnsi="Times New Roman" w:cs="Times New Roman"/>
          <w:sz w:val="24"/>
          <w:szCs w:val="24"/>
          <w:lang w:val="en-US"/>
        </w:rPr>
        <w:t xml:space="preserve">in </w:t>
      </w:r>
      <w:r w:rsidR="003A4870" w:rsidRPr="003101A0">
        <w:rPr>
          <w:rFonts w:ascii="Times New Roman" w:eastAsiaTheme="minorEastAsia" w:hAnsi="Times New Roman" w:cs="Times New Roman"/>
          <w:sz w:val="24"/>
          <w:szCs w:val="24"/>
          <w:lang w:val="en-US"/>
        </w:rPr>
        <w:t xml:space="preserve">the regression for convertibles in </w:t>
      </w:r>
      <w:r w:rsidR="00973BDC" w:rsidRPr="003101A0">
        <w:rPr>
          <w:rFonts w:ascii="Times New Roman" w:eastAsiaTheme="minorEastAsia" w:hAnsi="Times New Roman" w:cs="Times New Roman"/>
          <w:sz w:val="24"/>
          <w:szCs w:val="24"/>
          <w:lang w:val="en-US"/>
        </w:rPr>
        <w:t>column (1)</w:t>
      </w:r>
      <w:r w:rsidR="003E3765" w:rsidRPr="003101A0">
        <w:rPr>
          <w:rFonts w:ascii="Times New Roman" w:eastAsiaTheme="minorEastAsia" w:hAnsi="Times New Roman" w:cs="Times New Roman"/>
          <w:sz w:val="24"/>
          <w:szCs w:val="24"/>
          <w:lang w:val="en-US"/>
        </w:rPr>
        <w:t xml:space="preserve">. </w:t>
      </w:r>
      <w:r w:rsidR="00441779">
        <w:rPr>
          <w:rFonts w:ascii="Times New Roman" w:eastAsiaTheme="minorEastAsia" w:hAnsi="Times New Roman" w:cs="Times New Roman"/>
          <w:sz w:val="24"/>
          <w:szCs w:val="24"/>
          <w:lang w:val="en-US"/>
        </w:rPr>
        <w:t xml:space="preserve">A </w:t>
      </w:r>
      <w:r w:rsidR="00BD2E53" w:rsidRPr="00BD2E53">
        <w:rPr>
          <w:rFonts w:ascii="Times New Roman" w:eastAsiaTheme="minorEastAsia" w:hAnsi="Times New Roman" w:cs="Times New Roman"/>
          <w:i/>
          <w:iCs/>
          <w:sz w:val="24"/>
          <w:szCs w:val="24"/>
          <w:lang w:val="en-US"/>
        </w:rPr>
        <w:t>Chi</w:t>
      </w:r>
      <w:r w:rsidR="00441779" w:rsidRPr="004D074C">
        <w:rPr>
          <w:rFonts w:ascii="Times New Roman" w:hAnsi="Times New Roman" w:cs="Times New Roman"/>
          <w:sz w:val="24"/>
          <w:szCs w:val="24"/>
          <w:vertAlign w:val="superscript"/>
          <w:lang w:val="en-US"/>
        </w:rPr>
        <w:t>2</w:t>
      </w:r>
      <w:r w:rsidR="001A73E2">
        <w:rPr>
          <w:rFonts w:ascii="Times New Roman" w:eastAsiaTheme="minorEastAsia" w:hAnsi="Times New Roman" w:cs="Times New Roman"/>
          <w:sz w:val="24"/>
          <w:szCs w:val="24"/>
          <w:lang w:val="en-US"/>
        </w:rPr>
        <w:t>-</w:t>
      </w:r>
      <w:r w:rsidR="00441779">
        <w:rPr>
          <w:rFonts w:ascii="Times New Roman" w:eastAsiaTheme="minorEastAsia" w:hAnsi="Times New Roman" w:cs="Times New Roman"/>
          <w:sz w:val="24"/>
          <w:szCs w:val="24"/>
          <w:lang w:val="en-US"/>
        </w:rPr>
        <w:t xml:space="preserve">test </w:t>
      </w:r>
      <w:r w:rsidR="00C329D4">
        <w:rPr>
          <w:rFonts w:ascii="Times New Roman" w:eastAsiaTheme="minorEastAsia" w:hAnsi="Times New Roman" w:cs="Times New Roman"/>
          <w:sz w:val="24"/>
          <w:szCs w:val="24"/>
          <w:lang w:val="en-US"/>
        </w:rPr>
        <w:t>confirms</w:t>
      </w:r>
      <w:r w:rsidR="00441779">
        <w:rPr>
          <w:rFonts w:ascii="Times New Roman" w:eastAsiaTheme="minorEastAsia" w:hAnsi="Times New Roman" w:cs="Times New Roman"/>
          <w:sz w:val="24"/>
          <w:szCs w:val="24"/>
          <w:lang w:val="en-US"/>
        </w:rPr>
        <w:t xml:space="preserve"> that </w:t>
      </w:r>
      <w:r w:rsidR="00D15F07">
        <w:rPr>
          <w:rFonts w:ascii="Times New Roman" w:eastAsiaTheme="minorEastAsia" w:hAnsi="Times New Roman" w:cs="Times New Roman"/>
          <w:sz w:val="24"/>
          <w:szCs w:val="24"/>
          <w:lang w:eastAsia="zh-CN"/>
        </w:rPr>
        <w:t xml:space="preserve">the joint significance of </w:t>
      </w:r>
      <w:r w:rsidR="00441779">
        <w:rPr>
          <w:rFonts w:ascii="Times New Roman" w:eastAsiaTheme="minorEastAsia" w:hAnsi="Times New Roman" w:cs="Times New Roman" w:hint="eastAsia"/>
          <w:sz w:val="24"/>
          <w:szCs w:val="24"/>
          <w:lang w:val="en-US" w:eastAsia="zh-CN"/>
        </w:rPr>
        <w:t>i</w:t>
      </w:r>
      <w:r w:rsidR="00441779">
        <w:rPr>
          <w:rFonts w:ascii="Times New Roman" w:eastAsiaTheme="minorEastAsia" w:hAnsi="Times New Roman" w:cs="Times New Roman"/>
          <w:sz w:val="24"/>
          <w:szCs w:val="24"/>
          <w:lang w:val="en-US"/>
        </w:rPr>
        <w:t xml:space="preserve">ssuer-specific variables </w:t>
      </w:r>
      <w:r w:rsidR="00D15F07">
        <w:rPr>
          <w:rFonts w:ascii="Times New Roman" w:eastAsiaTheme="minorEastAsia" w:hAnsi="Times New Roman" w:cs="Times New Roman"/>
          <w:sz w:val="24"/>
          <w:szCs w:val="24"/>
          <w:lang w:val="en-US"/>
        </w:rPr>
        <w:t>in</w:t>
      </w:r>
      <w:r w:rsidR="00441779">
        <w:rPr>
          <w:rFonts w:ascii="Times New Roman" w:eastAsiaTheme="minorEastAsia" w:hAnsi="Times New Roman" w:cs="Times New Roman"/>
          <w:sz w:val="24"/>
          <w:szCs w:val="24"/>
          <w:lang w:val="en-US"/>
        </w:rPr>
        <w:t xml:space="preserve"> explaining </w:t>
      </w:r>
      <w:r w:rsidR="00A70AAF">
        <w:rPr>
          <w:rFonts w:ascii="Times New Roman" w:eastAsiaTheme="minorEastAsia" w:hAnsi="Times New Roman" w:cs="Times New Roman"/>
          <w:sz w:val="24"/>
          <w:szCs w:val="24"/>
          <w:lang w:val="en-US"/>
        </w:rPr>
        <w:t xml:space="preserve">the </w:t>
      </w:r>
      <w:r w:rsidR="00441779" w:rsidRPr="004D074C">
        <w:rPr>
          <w:rFonts w:ascii="Times New Roman" w:eastAsiaTheme="minorEastAsia" w:hAnsi="Times New Roman" w:cs="Times New Roman"/>
          <w:i/>
          <w:iCs/>
          <w:sz w:val="24"/>
          <w:szCs w:val="24"/>
          <w:lang w:val="en-US"/>
        </w:rPr>
        <w:t>CI index</w:t>
      </w:r>
      <w:r w:rsidR="00D15F07">
        <w:rPr>
          <w:rFonts w:ascii="Times New Roman" w:eastAsiaTheme="minorEastAsia" w:hAnsi="Times New Roman" w:cs="Times New Roman"/>
          <w:i/>
          <w:iCs/>
          <w:sz w:val="24"/>
          <w:szCs w:val="24"/>
          <w:lang w:val="en-US"/>
        </w:rPr>
        <w:t xml:space="preserve"> </w:t>
      </w:r>
      <w:r w:rsidR="00D15F07">
        <w:rPr>
          <w:rFonts w:ascii="Times New Roman" w:eastAsiaTheme="minorEastAsia" w:hAnsi="Times New Roman" w:cs="Times New Roman"/>
          <w:sz w:val="24"/>
          <w:szCs w:val="24"/>
          <w:lang w:val="en-US"/>
        </w:rPr>
        <w:t xml:space="preserve">is lower for convertibles than for straight bonds </w:t>
      </w:r>
      <w:r w:rsidR="00441779">
        <w:rPr>
          <w:rFonts w:ascii="Times New Roman" w:eastAsiaTheme="minorEastAsia" w:hAnsi="Times New Roman" w:cs="Times New Roman"/>
          <w:sz w:val="24"/>
          <w:szCs w:val="24"/>
          <w:lang w:val="en-US"/>
        </w:rPr>
        <w:t>(</w:t>
      </w:r>
      <w:r w:rsidR="00441779" w:rsidRPr="004D074C">
        <w:rPr>
          <w:rFonts w:ascii="Times New Roman" w:hAnsi="Times New Roman" w:cs="Times New Roman"/>
          <w:i/>
          <w:iCs/>
          <w:sz w:val="24"/>
          <w:szCs w:val="24"/>
          <w:lang w:val="en-US"/>
        </w:rPr>
        <w:t>p</w:t>
      </w:r>
      <w:r w:rsidR="00441779">
        <w:rPr>
          <w:rFonts w:ascii="Times New Roman" w:hAnsi="Times New Roman" w:cs="Times New Roman"/>
          <w:sz w:val="24"/>
          <w:szCs w:val="24"/>
          <w:lang w:val="en-US"/>
        </w:rPr>
        <w:t>-value = 0.02)</w:t>
      </w:r>
      <w:r w:rsidR="00441779">
        <w:rPr>
          <w:rFonts w:ascii="Times New Roman" w:eastAsiaTheme="minorEastAsia" w:hAnsi="Times New Roman" w:cs="Times New Roman"/>
          <w:sz w:val="24"/>
          <w:szCs w:val="24"/>
          <w:lang w:val="en-US"/>
        </w:rPr>
        <w:t xml:space="preserve">. </w:t>
      </w:r>
      <w:r w:rsidR="004C553F" w:rsidRPr="003101A0">
        <w:rPr>
          <w:rFonts w:ascii="Times New Roman" w:eastAsiaTheme="minorEastAsia" w:hAnsi="Times New Roman" w:cs="Times New Roman"/>
          <w:sz w:val="24"/>
          <w:szCs w:val="24"/>
          <w:lang w:val="en-US"/>
        </w:rPr>
        <w:t xml:space="preserve">The absence of </w:t>
      </w:r>
      <w:r w:rsidR="00220687">
        <w:rPr>
          <w:rFonts w:ascii="Times New Roman" w:eastAsiaTheme="minorEastAsia" w:hAnsi="Times New Roman" w:cs="Times New Roman"/>
          <w:sz w:val="24"/>
          <w:szCs w:val="24"/>
          <w:lang w:val="en-US"/>
        </w:rPr>
        <w:t>a strong</w:t>
      </w:r>
      <w:r w:rsidR="004C553F" w:rsidRPr="003101A0">
        <w:rPr>
          <w:rFonts w:ascii="Times New Roman" w:eastAsiaTheme="minorEastAsia" w:hAnsi="Times New Roman" w:cs="Times New Roman"/>
          <w:sz w:val="24"/>
          <w:szCs w:val="24"/>
          <w:lang w:val="en-US"/>
        </w:rPr>
        <w:t xml:space="preserve"> </w:t>
      </w:r>
      <w:r w:rsidR="00C329D4">
        <w:rPr>
          <w:rFonts w:ascii="Times New Roman" w:eastAsiaTheme="minorEastAsia" w:hAnsi="Times New Roman" w:cs="Times New Roman"/>
          <w:sz w:val="24"/>
          <w:szCs w:val="24"/>
          <w:lang w:val="en-US"/>
        </w:rPr>
        <w:t>relationship</w:t>
      </w:r>
      <w:r w:rsidR="00C329D4" w:rsidRPr="003101A0">
        <w:rPr>
          <w:rFonts w:ascii="Times New Roman" w:eastAsiaTheme="minorEastAsia" w:hAnsi="Times New Roman" w:cs="Times New Roman"/>
          <w:sz w:val="24"/>
          <w:szCs w:val="24"/>
          <w:lang w:val="en-US"/>
        </w:rPr>
        <w:t xml:space="preserve"> </w:t>
      </w:r>
      <w:r w:rsidR="004C553F" w:rsidRPr="003101A0">
        <w:rPr>
          <w:rFonts w:ascii="Times New Roman" w:eastAsiaTheme="minorEastAsia" w:hAnsi="Times New Roman" w:cs="Times New Roman"/>
          <w:sz w:val="24"/>
          <w:szCs w:val="24"/>
          <w:lang w:val="en-US"/>
        </w:rPr>
        <w:t xml:space="preserve">between covenant usage in convertibles and the extent of </w:t>
      </w:r>
      <w:r w:rsidR="003A4870" w:rsidRPr="003101A0">
        <w:rPr>
          <w:rFonts w:ascii="Times New Roman" w:eastAsiaTheme="minorEastAsia" w:hAnsi="Times New Roman" w:cs="Times New Roman"/>
          <w:sz w:val="24"/>
          <w:szCs w:val="24"/>
          <w:lang w:val="en-US"/>
        </w:rPr>
        <w:t>issuer-specific debt-related financing costs</w:t>
      </w:r>
      <w:r w:rsidR="004C553F" w:rsidRPr="003101A0">
        <w:rPr>
          <w:rFonts w:ascii="Times New Roman" w:eastAsiaTheme="minorEastAsia" w:hAnsi="Times New Roman" w:cs="Times New Roman"/>
          <w:sz w:val="24"/>
          <w:szCs w:val="24"/>
          <w:lang w:val="en-US"/>
        </w:rPr>
        <w:t xml:space="preserve"> is consistent with </w:t>
      </w:r>
      <w:r w:rsidR="00B679A6" w:rsidRPr="003101A0">
        <w:rPr>
          <w:rFonts w:ascii="Times New Roman" w:eastAsiaTheme="minorEastAsia" w:hAnsi="Times New Roman" w:cs="Times New Roman"/>
          <w:sz w:val="24"/>
          <w:szCs w:val="24"/>
          <w:lang w:val="en-US"/>
        </w:rPr>
        <w:t xml:space="preserve">our </w:t>
      </w:r>
      <w:r w:rsidR="004C553F" w:rsidRPr="003101A0">
        <w:rPr>
          <w:rFonts w:ascii="Times New Roman" w:eastAsiaTheme="minorEastAsia" w:hAnsi="Times New Roman" w:cs="Times New Roman"/>
          <w:sz w:val="24"/>
          <w:szCs w:val="24"/>
          <w:lang w:val="en-US"/>
        </w:rPr>
        <w:t>earlier finding that covenants embedded in convertibles do not result in lower yields</w:t>
      </w:r>
      <w:r w:rsidR="003E3765" w:rsidRPr="003101A0">
        <w:rPr>
          <w:rFonts w:ascii="Times New Roman" w:eastAsiaTheme="minorEastAsia" w:hAnsi="Times New Roman" w:cs="Times New Roman"/>
          <w:sz w:val="24"/>
          <w:szCs w:val="24"/>
          <w:lang w:val="en-US"/>
        </w:rPr>
        <w:t xml:space="preserve">. </w:t>
      </w:r>
      <w:r w:rsidR="004C553F" w:rsidRPr="003101A0">
        <w:rPr>
          <w:rFonts w:ascii="Times New Roman" w:eastAsiaTheme="minorEastAsia" w:hAnsi="Times New Roman" w:cs="Times New Roman"/>
          <w:sz w:val="24"/>
          <w:szCs w:val="24"/>
          <w:lang w:val="en-US"/>
        </w:rPr>
        <w:t xml:space="preserve">It suggests that </w:t>
      </w:r>
      <w:r w:rsidR="00AF2682">
        <w:rPr>
          <w:rFonts w:ascii="Times New Roman" w:eastAsiaTheme="minorEastAsia" w:hAnsi="Times New Roman" w:cs="Times New Roman"/>
          <w:sz w:val="24"/>
          <w:szCs w:val="24"/>
          <w:lang w:val="en-US"/>
        </w:rPr>
        <w:t>convertible bond covenants</w:t>
      </w:r>
      <w:r w:rsidR="004C553F" w:rsidRPr="003101A0">
        <w:rPr>
          <w:rFonts w:ascii="Times New Roman" w:eastAsiaTheme="minorEastAsia" w:hAnsi="Times New Roman" w:cs="Times New Roman"/>
          <w:sz w:val="24"/>
          <w:szCs w:val="24"/>
          <w:lang w:val="en-US"/>
        </w:rPr>
        <w:t xml:space="preserve"> are boilerplate inclusions</w:t>
      </w:r>
      <w:r w:rsidR="003A4870" w:rsidRPr="003101A0">
        <w:rPr>
          <w:rFonts w:ascii="Times New Roman" w:eastAsiaTheme="minorEastAsia" w:hAnsi="Times New Roman" w:cs="Times New Roman"/>
          <w:sz w:val="24"/>
          <w:szCs w:val="24"/>
          <w:lang w:val="en-US"/>
        </w:rPr>
        <w:t>,</w:t>
      </w:r>
      <w:r w:rsidR="00C404C6" w:rsidRPr="003101A0">
        <w:rPr>
          <w:rFonts w:ascii="Times New Roman" w:eastAsiaTheme="minorEastAsia" w:hAnsi="Times New Roman" w:cs="Times New Roman"/>
          <w:sz w:val="24"/>
          <w:szCs w:val="24"/>
          <w:lang w:val="en-US"/>
        </w:rPr>
        <w:t xml:space="preserve"> </w:t>
      </w:r>
      <w:r w:rsidR="00C329D4">
        <w:rPr>
          <w:rFonts w:ascii="Times New Roman" w:eastAsiaTheme="minorEastAsia" w:hAnsi="Times New Roman" w:cs="Times New Roman"/>
          <w:sz w:val="24"/>
          <w:szCs w:val="24"/>
          <w:lang w:val="en-US"/>
        </w:rPr>
        <w:t xml:space="preserve">largely </w:t>
      </w:r>
      <w:r w:rsidR="00C404C6" w:rsidRPr="003101A0">
        <w:rPr>
          <w:rFonts w:ascii="Times New Roman" w:eastAsiaTheme="minorEastAsia" w:hAnsi="Times New Roman" w:cs="Times New Roman"/>
          <w:sz w:val="24"/>
          <w:szCs w:val="24"/>
          <w:lang w:val="en-US"/>
        </w:rPr>
        <w:t>untailored to issuer characteristics</w:t>
      </w:r>
      <w:r w:rsidR="004C553F" w:rsidRPr="003101A0">
        <w:rPr>
          <w:rFonts w:ascii="Times New Roman" w:eastAsiaTheme="minorEastAsia" w:hAnsi="Times New Roman" w:cs="Times New Roman"/>
          <w:sz w:val="24"/>
          <w:szCs w:val="24"/>
          <w:lang w:val="en-US"/>
        </w:rPr>
        <w:t xml:space="preserve">. </w:t>
      </w:r>
      <w:r w:rsidR="00C329D4">
        <w:rPr>
          <w:rFonts w:ascii="Times New Roman" w:eastAsiaTheme="minorEastAsia" w:hAnsi="Times New Roman" w:cs="Times New Roman"/>
          <w:sz w:val="24"/>
          <w:szCs w:val="24"/>
          <w:lang w:val="en-US"/>
        </w:rPr>
        <w:t xml:space="preserve">We obtain similar findings on the differential impact of issuer characteristics when we re-estimate the regressions adding security design features, in columns (3) and (4). A </w:t>
      </w:r>
      <w:r w:rsidR="00BD2E53">
        <w:rPr>
          <w:rFonts w:ascii="Times New Roman" w:hAnsi="Times New Roman" w:cs="Times New Roman"/>
          <w:i/>
          <w:iCs/>
          <w:sz w:val="24"/>
          <w:szCs w:val="24"/>
          <w:lang w:val="en-US"/>
        </w:rPr>
        <w:t>Chi</w:t>
      </w:r>
      <w:r w:rsidR="00C329D4" w:rsidRPr="00B07C86">
        <w:rPr>
          <w:rFonts w:ascii="Times New Roman" w:hAnsi="Times New Roman" w:cs="Times New Roman"/>
          <w:sz w:val="24"/>
          <w:szCs w:val="24"/>
          <w:vertAlign w:val="superscript"/>
          <w:lang w:val="en-US"/>
        </w:rPr>
        <w:t>2</w:t>
      </w:r>
      <w:r w:rsidR="001A73E2" w:rsidRPr="001A73E2">
        <w:rPr>
          <w:rFonts w:ascii="Times New Roman" w:hAnsi="Times New Roman" w:cs="Times New Roman"/>
          <w:sz w:val="24"/>
          <w:szCs w:val="24"/>
          <w:lang w:val="en-US"/>
        </w:rPr>
        <w:t>-</w:t>
      </w:r>
      <w:r w:rsidR="00C329D4">
        <w:rPr>
          <w:rFonts w:ascii="Times New Roman" w:eastAsiaTheme="minorEastAsia" w:hAnsi="Times New Roman" w:cs="Times New Roman"/>
          <w:sz w:val="24"/>
          <w:szCs w:val="24"/>
          <w:lang w:val="en-US"/>
        </w:rPr>
        <w:t xml:space="preserve">test indicates that security design features also have a lower joint significance for explaining the convertible </w:t>
      </w:r>
      <w:r w:rsidR="00C329D4" w:rsidRPr="00B07C86">
        <w:rPr>
          <w:rFonts w:ascii="Times New Roman" w:eastAsiaTheme="minorEastAsia" w:hAnsi="Times New Roman" w:cs="Times New Roman"/>
          <w:i/>
          <w:iCs/>
          <w:sz w:val="24"/>
          <w:szCs w:val="24"/>
          <w:lang w:val="en-US"/>
        </w:rPr>
        <w:t>CI index</w:t>
      </w:r>
      <w:r w:rsidR="00C329D4">
        <w:rPr>
          <w:rFonts w:ascii="Times New Roman" w:eastAsiaTheme="minorEastAsia" w:hAnsi="Times New Roman" w:cs="Times New Roman"/>
          <w:sz w:val="24"/>
          <w:szCs w:val="24"/>
          <w:lang w:val="en-US"/>
        </w:rPr>
        <w:t xml:space="preserve">, in comparison with the straight bond </w:t>
      </w:r>
      <w:r w:rsidR="00C329D4" w:rsidRPr="00B07C86">
        <w:rPr>
          <w:rFonts w:ascii="Times New Roman" w:eastAsiaTheme="minorEastAsia" w:hAnsi="Times New Roman" w:cs="Times New Roman"/>
          <w:i/>
          <w:iCs/>
          <w:sz w:val="24"/>
          <w:szCs w:val="24"/>
          <w:lang w:val="en-US"/>
        </w:rPr>
        <w:t>CI index</w:t>
      </w:r>
      <w:r w:rsidR="00C329D4">
        <w:rPr>
          <w:rFonts w:ascii="Times New Roman" w:eastAsiaTheme="minorEastAsia" w:hAnsi="Times New Roman" w:cs="Times New Roman"/>
          <w:sz w:val="24"/>
          <w:szCs w:val="24"/>
          <w:lang w:val="en-US"/>
        </w:rPr>
        <w:t xml:space="preserve"> (</w:t>
      </w:r>
      <w:r w:rsidR="00C329D4" w:rsidRPr="00B07C86">
        <w:rPr>
          <w:rFonts w:ascii="Times New Roman" w:hAnsi="Times New Roman" w:cs="Times New Roman"/>
          <w:i/>
          <w:iCs/>
          <w:sz w:val="24"/>
          <w:szCs w:val="24"/>
          <w:lang w:val="en-US"/>
        </w:rPr>
        <w:t>p</w:t>
      </w:r>
      <w:r w:rsidR="00C329D4">
        <w:rPr>
          <w:rFonts w:ascii="Times New Roman" w:hAnsi="Times New Roman" w:cs="Times New Roman"/>
          <w:sz w:val="24"/>
          <w:szCs w:val="24"/>
          <w:lang w:val="en-US"/>
        </w:rPr>
        <w:t>-value = 0.005)</w:t>
      </w:r>
      <w:r w:rsidR="00C329D4">
        <w:rPr>
          <w:rFonts w:ascii="Times New Roman" w:eastAsiaTheme="minorEastAsia" w:hAnsi="Times New Roman" w:cs="Times New Roman"/>
          <w:sz w:val="24"/>
          <w:szCs w:val="24"/>
          <w:lang w:val="en-US"/>
        </w:rPr>
        <w:t>.</w:t>
      </w:r>
      <w:r w:rsidR="00AF2682">
        <w:rPr>
          <w:rStyle w:val="FootnoteReference"/>
          <w:rFonts w:ascii="Times New Roman" w:eastAsiaTheme="minorEastAsia" w:hAnsi="Times New Roman" w:cs="Times New Roman"/>
          <w:sz w:val="24"/>
          <w:szCs w:val="24"/>
          <w:lang w:val="en-US"/>
        </w:rPr>
        <w:footnoteReference w:id="16"/>
      </w:r>
      <w:r w:rsidR="00C329D4">
        <w:rPr>
          <w:rFonts w:ascii="Times New Roman" w:eastAsiaTheme="minorEastAsia" w:hAnsi="Times New Roman" w:cs="Times New Roman"/>
          <w:sz w:val="24"/>
          <w:szCs w:val="24"/>
          <w:lang w:val="en-US"/>
        </w:rPr>
        <w:t xml:space="preserve"> </w:t>
      </w:r>
    </w:p>
    <w:p w14:paraId="4A3CAC15" w14:textId="22FD71A8" w:rsidR="001D426A" w:rsidRPr="003101A0" w:rsidRDefault="001D426A" w:rsidP="0010107B">
      <w:pPr>
        <w:spacing w:after="0" w:line="480" w:lineRule="auto"/>
        <w:jc w:val="center"/>
        <w:rPr>
          <w:rFonts w:ascii="Times New Roman" w:hAnsi="Times New Roman" w:cs="Times New Roman"/>
          <w:sz w:val="24"/>
          <w:szCs w:val="24"/>
          <w:lang w:val="en-US" w:eastAsia="zh-CN"/>
        </w:rPr>
      </w:pPr>
      <w:r w:rsidRPr="003101A0">
        <w:rPr>
          <w:rFonts w:ascii="Times New Roman" w:eastAsiaTheme="minorEastAsia" w:hAnsi="Times New Roman" w:cs="Times New Roman"/>
          <w:sz w:val="24"/>
          <w:szCs w:val="24"/>
          <w:lang w:val="en-US"/>
        </w:rPr>
        <w:t xml:space="preserve">&lt;&lt; Please include Table </w:t>
      </w:r>
      <w:r w:rsidR="000F0FF0">
        <w:rPr>
          <w:rFonts w:ascii="Times New Roman" w:eastAsiaTheme="minorEastAsia" w:hAnsi="Times New Roman" w:cs="Times New Roman"/>
          <w:sz w:val="24"/>
          <w:szCs w:val="24"/>
          <w:lang w:val="en-US"/>
        </w:rPr>
        <w:t>7</w:t>
      </w:r>
      <w:r w:rsidRPr="003101A0">
        <w:rPr>
          <w:rFonts w:ascii="Times New Roman" w:eastAsiaTheme="minorEastAsia" w:hAnsi="Times New Roman" w:cs="Times New Roman"/>
          <w:sz w:val="24"/>
          <w:szCs w:val="24"/>
          <w:lang w:val="en-US"/>
        </w:rPr>
        <w:t xml:space="preserve"> here &gt;&gt;</w:t>
      </w:r>
    </w:p>
    <w:p w14:paraId="4DFF3AC1" w14:textId="4B123E42" w:rsidR="00411EC2" w:rsidRDefault="002D5E01" w:rsidP="00F21166">
      <w:pPr>
        <w:spacing w:after="0" w:line="480" w:lineRule="auto"/>
        <w:ind w:firstLine="426"/>
        <w:jc w:val="both"/>
        <w:rPr>
          <w:rFonts w:ascii="Times New Roman" w:eastAsia="Times New Roman" w:hAnsi="Times New Roman" w:cs="Times New Roman"/>
          <w:color w:val="000000"/>
          <w:sz w:val="18"/>
          <w:szCs w:val="18"/>
          <w:lang w:val="en-US" w:eastAsia="en-GB"/>
        </w:rPr>
      </w:pPr>
      <w:r>
        <w:rPr>
          <w:rFonts w:ascii="Times New Roman" w:eastAsiaTheme="minorEastAsia" w:hAnsi="Times New Roman" w:cs="Times New Roman"/>
          <w:sz w:val="24"/>
          <w:szCs w:val="24"/>
          <w:lang w:val="en-US"/>
        </w:rPr>
        <w:t xml:space="preserve">Our first-stage selection model in the analysis of covenant intensities and yields rests on the assumption that firms can substitute convertibles for straight bonds, and vice versa. This </w:t>
      </w:r>
      <w:r>
        <w:rPr>
          <w:rFonts w:ascii="Times New Roman" w:eastAsiaTheme="minorEastAsia" w:hAnsi="Times New Roman" w:cs="Times New Roman"/>
          <w:sz w:val="24"/>
          <w:szCs w:val="24"/>
          <w:lang w:val="en-US"/>
        </w:rPr>
        <w:lastRenderedPageBreak/>
        <w:t xml:space="preserve">assumption may be </w:t>
      </w:r>
      <w:r w:rsidR="002828C5">
        <w:rPr>
          <w:rFonts w:ascii="Times New Roman" w:eastAsiaTheme="minorEastAsia" w:hAnsi="Times New Roman" w:cs="Times New Roman"/>
          <w:sz w:val="24"/>
          <w:szCs w:val="24"/>
          <w:lang w:val="en-US"/>
        </w:rPr>
        <w:t>overly</w:t>
      </w:r>
      <w:r>
        <w:rPr>
          <w:rFonts w:ascii="Times New Roman" w:eastAsiaTheme="minorEastAsia" w:hAnsi="Times New Roman" w:cs="Times New Roman"/>
          <w:sz w:val="24"/>
          <w:szCs w:val="24"/>
          <w:lang w:val="en-US"/>
        </w:rPr>
        <w:t xml:space="preserve"> strong. For example, convertible bond issuers’ debt-related financing costs may be too high for them to be able to tap straight bond markets. In a final set of </w:t>
      </w:r>
      <w:r w:rsidR="00BE13EF">
        <w:rPr>
          <w:rFonts w:ascii="Times New Roman" w:eastAsiaTheme="minorEastAsia" w:hAnsi="Times New Roman" w:cs="Times New Roman"/>
          <w:sz w:val="24"/>
          <w:szCs w:val="24"/>
          <w:lang w:val="en-US"/>
        </w:rPr>
        <w:t xml:space="preserve">robustness </w:t>
      </w:r>
      <w:r>
        <w:rPr>
          <w:rFonts w:ascii="Times New Roman" w:eastAsiaTheme="minorEastAsia" w:hAnsi="Times New Roman" w:cs="Times New Roman"/>
          <w:sz w:val="24"/>
          <w:szCs w:val="24"/>
          <w:lang w:val="en-US"/>
        </w:rPr>
        <w:t xml:space="preserve">tests, we impose stronger comparability between the two security offering samples </w:t>
      </w:r>
      <w:r w:rsidR="007753DB">
        <w:rPr>
          <w:rFonts w:ascii="Times New Roman" w:eastAsiaTheme="minorEastAsia" w:hAnsi="Times New Roman" w:cs="Times New Roman"/>
          <w:sz w:val="24"/>
          <w:szCs w:val="24"/>
          <w:lang w:val="en-US"/>
        </w:rPr>
        <w:t xml:space="preserve">than in our baseline analysis, </w:t>
      </w:r>
      <w:r>
        <w:rPr>
          <w:rFonts w:ascii="Times New Roman" w:eastAsiaTheme="minorEastAsia" w:hAnsi="Times New Roman" w:cs="Times New Roman"/>
          <w:sz w:val="24"/>
          <w:szCs w:val="24"/>
          <w:lang w:val="en-US"/>
        </w:rPr>
        <w:t xml:space="preserve">by requiring that a given bond issuer has previously issued </w:t>
      </w:r>
      <w:r w:rsidR="003744BA">
        <w:rPr>
          <w:rFonts w:ascii="Times New Roman" w:eastAsiaTheme="minorEastAsia" w:hAnsi="Times New Roman" w:cs="Times New Roman"/>
          <w:sz w:val="24"/>
          <w:szCs w:val="24"/>
          <w:lang w:val="en-US"/>
        </w:rPr>
        <w:t xml:space="preserve">a </w:t>
      </w:r>
      <w:r>
        <w:rPr>
          <w:rFonts w:ascii="Times New Roman" w:eastAsiaTheme="minorEastAsia" w:hAnsi="Times New Roman" w:cs="Times New Roman"/>
          <w:sz w:val="24"/>
          <w:szCs w:val="24"/>
          <w:lang w:val="en-US"/>
        </w:rPr>
        <w:t xml:space="preserve">bond of the other type. Table 8 reports the results of these robustness tests. Panel A focuses on the association between convertibility and </w:t>
      </w:r>
      <w:r w:rsidRPr="002D5E01">
        <w:rPr>
          <w:rFonts w:ascii="Times New Roman" w:eastAsiaTheme="minorEastAsia" w:hAnsi="Times New Roman" w:cs="Times New Roman"/>
          <w:sz w:val="24"/>
          <w:szCs w:val="24"/>
          <w:lang w:val="en-US"/>
        </w:rPr>
        <w:t xml:space="preserve">covenant intensity, and Panel B addresses the yield impact of covenant intensity. In each panel, we limit our dataset to </w:t>
      </w:r>
      <w:r w:rsidRPr="009735B2">
        <w:rPr>
          <w:rFonts w:ascii="Times New Roman" w:hAnsi="Times New Roman" w:cs="Times New Roman"/>
          <w:sz w:val="24"/>
          <w:szCs w:val="24"/>
        </w:rPr>
        <w:t xml:space="preserve">convertible (straight) bond issuers that have issued straight bonds (convertibles) during a specified window </w:t>
      </w:r>
      <w:r w:rsidRPr="009735B2">
        <w:rPr>
          <w:rFonts w:ascii="Times New Roman" w:hAnsi="Times New Roman" w:cs="Times New Roman"/>
          <w:i/>
          <w:iCs/>
          <w:sz w:val="24"/>
          <w:szCs w:val="24"/>
        </w:rPr>
        <w:t>before</w:t>
      </w:r>
      <w:r w:rsidRPr="009735B2">
        <w:rPr>
          <w:rFonts w:ascii="Times New Roman" w:hAnsi="Times New Roman" w:cs="Times New Roman"/>
          <w:sz w:val="24"/>
          <w:szCs w:val="24"/>
        </w:rPr>
        <w:t xml:space="preserve"> their current offering. More specifically, for each bond </w:t>
      </w:r>
      <w:proofErr w:type="spellStart"/>
      <w:r w:rsidRPr="009735B2">
        <w:rPr>
          <w:rFonts w:ascii="Times New Roman" w:hAnsi="Times New Roman" w:cs="Times New Roman"/>
          <w:i/>
          <w:iCs/>
          <w:sz w:val="24"/>
          <w:szCs w:val="24"/>
        </w:rPr>
        <w:t>i</w:t>
      </w:r>
      <w:proofErr w:type="spellEnd"/>
      <w:r w:rsidRPr="009735B2">
        <w:rPr>
          <w:rFonts w:ascii="Times New Roman" w:hAnsi="Times New Roman" w:cs="Times New Roman"/>
          <w:sz w:val="24"/>
          <w:szCs w:val="24"/>
        </w:rPr>
        <w:t xml:space="preserve">, if there is a prior bond </w:t>
      </w:r>
      <w:r w:rsidRPr="009735B2">
        <w:rPr>
          <w:rFonts w:ascii="Times New Roman" w:hAnsi="Times New Roman" w:cs="Times New Roman"/>
          <w:i/>
          <w:iCs/>
          <w:sz w:val="24"/>
          <w:szCs w:val="24"/>
        </w:rPr>
        <w:t>k</w:t>
      </w:r>
      <w:r w:rsidRPr="009735B2">
        <w:rPr>
          <w:rFonts w:ascii="Times New Roman" w:hAnsi="Times New Roman" w:cs="Times New Roman"/>
          <w:sz w:val="24"/>
          <w:szCs w:val="24"/>
        </w:rPr>
        <w:t xml:space="preserve"> issued by the same issuer at any time during the sample period (column (1)), within five years (column (2)), within three years (column (3)), or within one year (column (4)) before the issuance date of bond </w:t>
      </w:r>
      <w:proofErr w:type="spellStart"/>
      <w:r w:rsidRPr="009735B2">
        <w:rPr>
          <w:rFonts w:ascii="Times New Roman" w:hAnsi="Times New Roman" w:cs="Times New Roman"/>
          <w:i/>
          <w:iCs/>
          <w:sz w:val="24"/>
          <w:szCs w:val="24"/>
        </w:rPr>
        <w:t>i</w:t>
      </w:r>
      <w:proofErr w:type="spellEnd"/>
      <w:r w:rsidRPr="009735B2">
        <w:rPr>
          <w:rFonts w:ascii="Times New Roman" w:hAnsi="Times New Roman" w:cs="Times New Roman"/>
          <w:sz w:val="24"/>
          <w:szCs w:val="24"/>
        </w:rPr>
        <w:t xml:space="preserve">, and bond </w:t>
      </w:r>
      <w:proofErr w:type="spellStart"/>
      <w:r w:rsidRPr="009735B2">
        <w:rPr>
          <w:rFonts w:ascii="Times New Roman" w:hAnsi="Times New Roman" w:cs="Times New Roman"/>
          <w:i/>
          <w:iCs/>
          <w:sz w:val="24"/>
          <w:szCs w:val="24"/>
        </w:rPr>
        <w:t>i</w:t>
      </w:r>
      <w:proofErr w:type="spellEnd"/>
      <w:r w:rsidRPr="009735B2">
        <w:rPr>
          <w:rFonts w:ascii="Times New Roman" w:hAnsi="Times New Roman" w:cs="Times New Roman"/>
          <w:i/>
          <w:iCs/>
          <w:sz w:val="24"/>
          <w:szCs w:val="24"/>
        </w:rPr>
        <w:t xml:space="preserve"> </w:t>
      </w:r>
      <w:r w:rsidRPr="009735B2">
        <w:rPr>
          <w:rFonts w:ascii="Times New Roman" w:hAnsi="Times New Roman" w:cs="Times New Roman"/>
          <w:sz w:val="24"/>
          <w:szCs w:val="24"/>
        </w:rPr>
        <w:t xml:space="preserve">and bond </w:t>
      </w:r>
      <w:r w:rsidRPr="009735B2">
        <w:rPr>
          <w:rFonts w:ascii="Times New Roman" w:hAnsi="Times New Roman" w:cs="Times New Roman"/>
          <w:i/>
          <w:iCs/>
          <w:sz w:val="24"/>
          <w:szCs w:val="24"/>
        </w:rPr>
        <w:t xml:space="preserve">k </w:t>
      </w:r>
      <w:r w:rsidRPr="009735B2">
        <w:rPr>
          <w:rFonts w:ascii="Times New Roman" w:hAnsi="Times New Roman" w:cs="Times New Roman"/>
          <w:sz w:val="24"/>
          <w:szCs w:val="24"/>
        </w:rPr>
        <w:t xml:space="preserve">are of different types (i.e., one is a convertible and the other is a straight bond), we keep both bond </w:t>
      </w:r>
      <w:proofErr w:type="spellStart"/>
      <w:r w:rsidRPr="009735B2">
        <w:rPr>
          <w:rFonts w:ascii="Times New Roman" w:hAnsi="Times New Roman" w:cs="Times New Roman"/>
          <w:i/>
          <w:iCs/>
          <w:sz w:val="24"/>
          <w:szCs w:val="24"/>
        </w:rPr>
        <w:t>i</w:t>
      </w:r>
      <w:proofErr w:type="spellEnd"/>
      <w:r w:rsidRPr="009735B2">
        <w:rPr>
          <w:rFonts w:ascii="Times New Roman" w:hAnsi="Times New Roman" w:cs="Times New Roman"/>
          <w:i/>
          <w:iCs/>
          <w:sz w:val="24"/>
          <w:szCs w:val="24"/>
        </w:rPr>
        <w:t xml:space="preserve"> </w:t>
      </w:r>
      <w:r w:rsidRPr="009735B2">
        <w:rPr>
          <w:rFonts w:ascii="Times New Roman" w:hAnsi="Times New Roman" w:cs="Times New Roman"/>
          <w:sz w:val="24"/>
          <w:szCs w:val="24"/>
        </w:rPr>
        <w:t xml:space="preserve">and bond </w:t>
      </w:r>
      <w:r w:rsidRPr="009735B2">
        <w:rPr>
          <w:rFonts w:ascii="Times New Roman" w:hAnsi="Times New Roman" w:cs="Times New Roman"/>
          <w:i/>
          <w:iCs/>
          <w:sz w:val="24"/>
          <w:szCs w:val="24"/>
        </w:rPr>
        <w:t>k</w:t>
      </w:r>
      <w:r w:rsidRPr="009735B2">
        <w:rPr>
          <w:rFonts w:ascii="Times New Roman" w:hAnsi="Times New Roman" w:cs="Times New Roman"/>
          <w:sz w:val="24"/>
          <w:szCs w:val="24"/>
        </w:rPr>
        <w:t xml:space="preserve"> in the sample. </w:t>
      </w:r>
      <w:r w:rsidRPr="009735B2">
        <w:rPr>
          <w:rFonts w:ascii="Times New Roman" w:eastAsia="Times New Roman" w:hAnsi="Times New Roman" w:cs="Times New Roman"/>
          <w:color w:val="000000"/>
          <w:sz w:val="24"/>
          <w:szCs w:val="24"/>
          <w:lang w:val="en-US" w:eastAsia="en-GB"/>
        </w:rPr>
        <w:t xml:space="preserve">Panel A adopts treatment effects and Panel B adopts 2SLS models, as in our baseline tests in Tables 4 and </w:t>
      </w:r>
      <w:r w:rsidR="006004FC">
        <w:rPr>
          <w:rFonts w:ascii="Times New Roman" w:eastAsia="Times New Roman" w:hAnsi="Times New Roman" w:cs="Times New Roman"/>
          <w:color w:val="000000"/>
          <w:sz w:val="24"/>
          <w:szCs w:val="24"/>
          <w:lang w:val="en-US" w:eastAsia="en-GB"/>
        </w:rPr>
        <w:t>6</w:t>
      </w:r>
      <w:r w:rsidRPr="009735B2">
        <w:rPr>
          <w:rFonts w:ascii="Times New Roman" w:eastAsia="Times New Roman" w:hAnsi="Times New Roman" w:cs="Times New Roman"/>
          <w:color w:val="000000"/>
          <w:sz w:val="24"/>
          <w:szCs w:val="24"/>
          <w:lang w:val="en-US" w:eastAsia="en-GB"/>
        </w:rPr>
        <w:t>, respectively.</w:t>
      </w:r>
      <w:r>
        <w:rPr>
          <w:rFonts w:ascii="Times New Roman" w:eastAsia="Times New Roman" w:hAnsi="Times New Roman" w:cs="Times New Roman"/>
          <w:color w:val="000000"/>
          <w:sz w:val="18"/>
          <w:szCs w:val="18"/>
          <w:lang w:val="en-US" w:eastAsia="en-GB"/>
        </w:rPr>
        <w:t xml:space="preserve"> </w:t>
      </w:r>
    </w:p>
    <w:p w14:paraId="778A6258" w14:textId="0ED8FDF4" w:rsidR="00D0483A" w:rsidRPr="003101A0" w:rsidRDefault="002D5E01" w:rsidP="00F21166">
      <w:pPr>
        <w:spacing w:after="0" w:line="480" w:lineRule="auto"/>
        <w:ind w:firstLine="426"/>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en-GB"/>
        </w:rPr>
        <w:t xml:space="preserve">Reassuringly, the results in Panel A confirm a negative impact of </w:t>
      </w:r>
      <w:r w:rsidRPr="009735B2">
        <w:rPr>
          <w:rFonts w:ascii="Times New Roman" w:eastAsia="Times New Roman" w:hAnsi="Times New Roman" w:cs="Times New Roman"/>
          <w:i/>
          <w:iCs/>
          <w:color w:val="000000"/>
          <w:sz w:val="24"/>
          <w:szCs w:val="24"/>
          <w:lang w:val="en-US" w:eastAsia="en-GB"/>
        </w:rPr>
        <w:t xml:space="preserve">Convertible </w:t>
      </w:r>
      <w:r>
        <w:rPr>
          <w:rFonts w:ascii="Times New Roman" w:eastAsia="Times New Roman" w:hAnsi="Times New Roman" w:cs="Times New Roman"/>
          <w:color w:val="000000"/>
          <w:sz w:val="24"/>
          <w:szCs w:val="24"/>
          <w:lang w:val="en-US" w:eastAsia="en-GB"/>
        </w:rPr>
        <w:t xml:space="preserve">on </w:t>
      </w:r>
      <w:r w:rsidRPr="009735B2">
        <w:rPr>
          <w:rFonts w:ascii="Times New Roman" w:eastAsia="Times New Roman" w:hAnsi="Times New Roman" w:cs="Times New Roman"/>
          <w:i/>
          <w:iCs/>
          <w:color w:val="000000"/>
          <w:sz w:val="24"/>
          <w:szCs w:val="24"/>
          <w:lang w:val="en-US" w:eastAsia="en-GB"/>
        </w:rPr>
        <w:t>CI index</w:t>
      </w:r>
      <w:r>
        <w:rPr>
          <w:rFonts w:ascii="Times New Roman" w:eastAsia="Times New Roman" w:hAnsi="Times New Roman" w:cs="Times New Roman"/>
          <w:color w:val="000000"/>
          <w:sz w:val="24"/>
          <w:szCs w:val="24"/>
          <w:lang w:val="en-US" w:eastAsia="en-GB"/>
        </w:rPr>
        <w:t xml:space="preserve">, consistent with </w:t>
      </w:r>
      <w:r w:rsidRPr="00DC14E8">
        <w:rPr>
          <w:rFonts w:ascii="Times New Roman" w:eastAsia="Times New Roman" w:hAnsi="Times New Roman" w:cs="Times New Roman"/>
          <w:i/>
          <w:iCs/>
          <w:color w:val="000000"/>
          <w:sz w:val="24"/>
          <w:szCs w:val="24"/>
          <w:lang w:val="en-US" w:eastAsia="en-GB"/>
        </w:rPr>
        <w:t>P</w:t>
      </w:r>
      <w:r w:rsidRPr="00DC14E8">
        <w:rPr>
          <w:rFonts w:ascii="Times New Roman" w:eastAsia="Times New Roman" w:hAnsi="Times New Roman" w:cs="Times New Roman"/>
          <w:i/>
          <w:iCs/>
          <w:color w:val="000000"/>
          <w:sz w:val="24"/>
          <w:szCs w:val="24"/>
          <w:vertAlign w:val="subscript"/>
          <w:lang w:val="en-US" w:eastAsia="en-GB"/>
        </w:rPr>
        <w:t>1</w:t>
      </w:r>
      <w:r>
        <w:rPr>
          <w:rFonts w:ascii="Times New Roman" w:eastAsia="Times New Roman" w:hAnsi="Times New Roman" w:cs="Times New Roman"/>
          <w:color w:val="000000"/>
          <w:sz w:val="24"/>
          <w:szCs w:val="24"/>
          <w:lang w:val="en-US" w:eastAsia="en-GB"/>
        </w:rPr>
        <w:t xml:space="preserve">. The results in column (4) are not statistically significant, which can be attributed to the substantial drop in sample size in that </w:t>
      </w:r>
      <w:r w:rsidR="001A73E2">
        <w:rPr>
          <w:rFonts w:ascii="Times New Roman" w:eastAsia="Times New Roman" w:hAnsi="Times New Roman" w:cs="Times New Roman"/>
          <w:color w:val="000000"/>
          <w:sz w:val="24"/>
          <w:szCs w:val="24"/>
          <w:lang w:val="en-US" w:eastAsia="en-GB"/>
        </w:rPr>
        <w:t>analysis</w:t>
      </w:r>
      <w:r>
        <w:rPr>
          <w:rFonts w:ascii="Times New Roman" w:eastAsia="Times New Roman" w:hAnsi="Times New Roman" w:cs="Times New Roman"/>
          <w:color w:val="000000"/>
          <w:sz w:val="24"/>
          <w:szCs w:val="24"/>
          <w:lang w:val="en-US" w:eastAsia="en-GB"/>
        </w:rPr>
        <w:t xml:space="preserve">. Moreover, consistent with </w:t>
      </w:r>
      <w:r w:rsidRPr="00DC14E8">
        <w:rPr>
          <w:rFonts w:ascii="Times New Roman" w:eastAsia="Times New Roman" w:hAnsi="Times New Roman" w:cs="Times New Roman"/>
          <w:i/>
          <w:iCs/>
          <w:color w:val="000000"/>
          <w:sz w:val="24"/>
          <w:szCs w:val="24"/>
          <w:lang w:val="en-US" w:eastAsia="en-GB"/>
        </w:rPr>
        <w:t>P</w:t>
      </w:r>
      <w:r w:rsidRPr="00DC14E8">
        <w:rPr>
          <w:rFonts w:ascii="Times New Roman" w:eastAsia="Times New Roman" w:hAnsi="Times New Roman" w:cs="Times New Roman"/>
          <w:i/>
          <w:iCs/>
          <w:color w:val="000000"/>
          <w:sz w:val="24"/>
          <w:szCs w:val="24"/>
          <w:vertAlign w:val="subscript"/>
          <w:lang w:val="en-US" w:eastAsia="en-GB"/>
        </w:rPr>
        <w:t>2</w:t>
      </w:r>
      <w:r>
        <w:rPr>
          <w:rFonts w:ascii="Times New Roman" w:eastAsia="Times New Roman" w:hAnsi="Times New Roman" w:cs="Times New Roman"/>
          <w:color w:val="000000"/>
          <w:sz w:val="24"/>
          <w:szCs w:val="24"/>
          <w:lang w:val="en-US" w:eastAsia="en-GB"/>
        </w:rPr>
        <w:t>, the results in Panel B again show a significant</w:t>
      </w:r>
      <w:r w:rsidR="00C9459A">
        <w:rPr>
          <w:rFonts w:ascii="Times New Roman" w:eastAsia="Times New Roman" w:hAnsi="Times New Roman" w:cs="Times New Roman"/>
          <w:color w:val="000000"/>
          <w:sz w:val="24"/>
          <w:szCs w:val="24"/>
          <w:lang w:val="en-US" w:eastAsia="en-GB"/>
        </w:rPr>
        <w:t>ly</w:t>
      </w:r>
      <w:r>
        <w:rPr>
          <w:rFonts w:ascii="Times New Roman" w:eastAsia="Times New Roman" w:hAnsi="Times New Roman" w:cs="Times New Roman"/>
          <w:color w:val="000000"/>
          <w:sz w:val="24"/>
          <w:szCs w:val="24"/>
          <w:lang w:val="en-US" w:eastAsia="en-GB"/>
        </w:rPr>
        <w:t xml:space="preserve"> positive impact of the </w:t>
      </w:r>
      <w:r w:rsidR="00411EC2" w:rsidRPr="009735B2">
        <w:rPr>
          <w:rFonts w:ascii="Times New Roman" w:hAnsi="Times New Roman" w:cs="Times New Roman"/>
          <w:i/>
          <w:sz w:val="24"/>
          <w:szCs w:val="24"/>
          <w:lang w:val="en-US"/>
        </w:rPr>
        <w:t>CI index × Convertible</w:t>
      </w:r>
      <w:r w:rsidR="00411EC2" w:rsidRPr="003101A0" w:rsidDel="000F0FF0">
        <w:rPr>
          <w:rFonts w:ascii="Times New Roman" w:eastAsiaTheme="minorEastAsia" w:hAnsi="Times New Roman" w:cs="Times New Roman"/>
          <w:sz w:val="24"/>
          <w:szCs w:val="24"/>
          <w:lang w:val="en-US"/>
        </w:rPr>
        <w:t xml:space="preserve"> </w:t>
      </w:r>
      <w:r w:rsidR="00411EC2">
        <w:rPr>
          <w:rFonts w:ascii="Times New Roman" w:eastAsiaTheme="minorEastAsia" w:hAnsi="Times New Roman" w:cs="Times New Roman"/>
          <w:sz w:val="24"/>
          <w:szCs w:val="24"/>
          <w:lang w:val="en-US"/>
        </w:rPr>
        <w:t xml:space="preserve">interaction term on </w:t>
      </w:r>
      <w:r w:rsidR="00411EC2" w:rsidRPr="009735B2">
        <w:rPr>
          <w:rFonts w:ascii="Times New Roman" w:eastAsiaTheme="minorEastAsia" w:hAnsi="Times New Roman" w:cs="Times New Roman"/>
          <w:i/>
          <w:iCs/>
          <w:sz w:val="24"/>
          <w:szCs w:val="24"/>
          <w:lang w:val="en-US"/>
        </w:rPr>
        <w:t>Yield</w:t>
      </w:r>
      <w:r w:rsidR="00411EC2">
        <w:rPr>
          <w:rFonts w:ascii="Times New Roman" w:eastAsiaTheme="minorEastAsia" w:hAnsi="Times New Roman" w:cs="Times New Roman"/>
          <w:sz w:val="24"/>
          <w:szCs w:val="24"/>
          <w:lang w:val="en-US"/>
        </w:rPr>
        <w:t xml:space="preserve">, suggesting that convertible bond covenants are less able to attenuate bond financing costs, compared with straight bond covenants. In unreported further tests, we obtain virtually identical results when we add security design features </w:t>
      </w:r>
      <w:r w:rsidR="007753DB">
        <w:rPr>
          <w:rFonts w:ascii="Times New Roman" w:eastAsiaTheme="minorEastAsia" w:hAnsi="Times New Roman" w:cs="Times New Roman"/>
          <w:sz w:val="24"/>
          <w:szCs w:val="24"/>
          <w:lang w:val="en-US"/>
        </w:rPr>
        <w:t>or</w:t>
      </w:r>
      <w:r w:rsidR="00411EC2">
        <w:rPr>
          <w:rFonts w:ascii="Times New Roman" w:eastAsiaTheme="minorEastAsia" w:hAnsi="Times New Roman" w:cs="Times New Roman"/>
          <w:sz w:val="24"/>
          <w:szCs w:val="24"/>
          <w:lang w:val="en-US"/>
        </w:rPr>
        <w:t xml:space="preserve"> firm fixed effects to the </w:t>
      </w:r>
      <w:r w:rsidR="001A73E2">
        <w:rPr>
          <w:rFonts w:ascii="Times New Roman" w:eastAsiaTheme="minorEastAsia" w:hAnsi="Times New Roman" w:cs="Times New Roman"/>
          <w:sz w:val="24"/>
          <w:szCs w:val="24"/>
          <w:lang w:val="en-US"/>
        </w:rPr>
        <w:t xml:space="preserve">subsample </w:t>
      </w:r>
      <w:r w:rsidR="00411EC2">
        <w:rPr>
          <w:rFonts w:ascii="Times New Roman" w:eastAsiaTheme="minorEastAsia" w:hAnsi="Times New Roman" w:cs="Times New Roman"/>
          <w:sz w:val="24"/>
          <w:szCs w:val="24"/>
          <w:lang w:val="en-US"/>
        </w:rPr>
        <w:t>analyses</w:t>
      </w:r>
      <w:r w:rsidR="002828C5">
        <w:rPr>
          <w:rFonts w:ascii="Times New Roman" w:eastAsiaTheme="minorEastAsia" w:hAnsi="Times New Roman" w:cs="Times New Roman"/>
          <w:sz w:val="24"/>
          <w:szCs w:val="24"/>
          <w:lang w:val="en-US"/>
        </w:rPr>
        <w:t xml:space="preserve"> or limit the</w:t>
      </w:r>
      <w:r w:rsidR="001A73E2">
        <w:rPr>
          <w:rFonts w:ascii="Times New Roman" w:eastAsiaTheme="minorEastAsia" w:hAnsi="Times New Roman" w:cs="Times New Roman"/>
          <w:sz w:val="24"/>
          <w:szCs w:val="24"/>
          <w:lang w:val="en-US"/>
        </w:rPr>
        <w:t>se</w:t>
      </w:r>
      <w:r w:rsidR="002828C5">
        <w:rPr>
          <w:rFonts w:ascii="Times New Roman" w:eastAsiaTheme="minorEastAsia" w:hAnsi="Times New Roman" w:cs="Times New Roman"/>
          <w:sz w:val="24"/>
          <w:szCs w:val="24"/>
          <w:lang w:val="en-US"/>
        </w:rPr>
        <w:t xml:space="preserve"> analyses to firms that still have the previous </w:t>
      </w:r>
      <w:r w:rsidR="007753DB">
        <w:rPr>
          <w:rFonts w:ascii="Times New Roman" w:eastAsiaTheme="minorEastAsia" w:hAnsi="Times New Roman" w:cs="Times New Roman"/>
          <w:sz w:val="24"/>
          <w:szCs w:val="24"/>
          <w:lang w:val="en-US"/>
        </w:rPr>
        <w:t xml:space="preserve">bond of </w:t>
      </w:r>
      <w:r w:rsidR="002828C5">
        <w:rPr>
          <w:rFonts w:ascii="Times New Roman" w:eastAsiaTheme="minorEastAsia" w:hAnsi="Times New Roman" w:cs="Times New Roman"/>
          <w:sz w:val="24"/>
          <w:szCs w:val="24"/>
          <w:lang w:val="en-US"/>
        </w:rPr>
        <w:t xml:space="preserve">the </w:t>
      </w:r>
      <w:r w:rsidR="007753DB">
        <w:rPr>
          <w:rFonts w:ascii="Times New Roman" w:eastAsiaTheme="minorEastAsia" w:hAnsi="Times New Roman" w:cs="Times New Roman"/>
          <w:sz w:val="24"/>
          <w:szCs w:val="24"/>
          <w:lang w:val="en-US"/>
        </w:rPr>
        <w:t>alternative</w:t>
      </w:r>
      <w:r w:rsidR="002828C5">
        <w:rPr>
          <w:rFonts w:ascii="Times New Roman" w:eastAsiaTheme="minorEastAsia" w:hAnsi="Times New Roman" w:cs="Times New Roman"/>
          <w:sz w:val="24"/>
          <w:szCs w:val="24"/>
          <w:lang w:val="en-US"/>
        </w:rPr>
        <w:t xml:space="preserve"> type outstanding</w:t>
      </w:r>
      <w:r w:rsidR="00411EC2">
        <w:rPr>
          <w:rFonts w:ascii="Times New Roman" w:eastAsiaTheme="minorEastAsia" w:hAnsi="Times New Roman" w:cs="Times New Roman"/>
          <w:sz w:val="24"/>
          <w:szCs w:val="24"/>
          <w:lang w:val="en-US"/>
        </w:rPr>
        <w:t>.</w:t>
      </w:r>
      <w:r w:rsidR="0059615F">
        <w:rPr>
          <w:rStyle w:val="FootnoteReference"/>
          <w:rFonts w:ascii="Times New Roman" w:eastAsiaTheme="minorEastAsia" w:hAnsi="Times New Roman" w:cs="Times New Roman"/>
          <w:sz w:val="24"/>
          <w:szCs w:val="24"/>
          <w:lang w:val="en-US"/>
        </w:rPr>
        <w:footnoteReference w:id="17"/>
      </w:r>
      <w:r w:rsidR="00411EC2">
        <w:rPr>
          <w:rFonts w:ascii="Times New Roman" w:eastAsiaTheme="minorEastAsia" w:hAnsi="Times New Roman" w:cs="Times New Roman"/>
          <w:sz w:val="24"/>
          <w:szCs w:val="24"/>
          <w:lang w:val="en-US"/>
        </w:rPr>
        <w:t xml:space="preserve"> </w:t>
      </w:r>
    </w:p>
    <w:p w14:paraId="1352BC22" w14:textId="1F58C3A7" w:rsidR="005C1177" w:rsidRDefault="005C1177" w:rsidP="0010107B">
      <w:pPr>
        <w:spacing w:after="0" w:line="480" w:lineRule="auto"/>
        <w:jc w:val="center"/>
        <w:rPr>
          <w:rFonts w:ascii="Times New Roman" w:eastAsiaTheme="minorEastAsia" w:hAnsi="Times New Roman" w:cs="Times New Roman"/>
          <w:sz w:val="24"/>
          <w:szCs w:val="24"/>
          <w:lang w:val="en-US"/>
        </w:rPr>
      </w:pPr>
      <w:r w:rsidRPr="003101A0">
        <w:rPr>
          <w:rFonts w:ascii="Times New Roman" w:eastAsiaTheme="minorEastAsia" w:hAnsi="Times New Roman" w:cs="Times New Roman"/>
          <w:sz w:val="24"/>
          <w:szCs w:val="24"/>
          <w:lang w:val="en-US"/>
        </w:rPr>
        <w:lastRenderedPageBreak/>
        <w:t xml:space="preserve">&lt;&lt; Please include Table </w:t>
      </w:r>
      <w:r w:rsidR="000F0FF0">
        <w:rPr>
          <w:rFonts w:ascii="Times New Roman" w:eastAsiaTheme="minorEastAsia" w:hAnsi="Times New Roman" w:cs="Times New Roman"/>
          <w:sz w:val="24"/>
          <w:szCs w:val="24"/>
          <w:lang w:val="en-US"/>
        </w:rPr>
        <w:t>8</w:t>
      </w:r>
      <w:r w:rsidRPr="003101A0">
        <w:rPr>
          <w:rFonts w:ascii="Times New Roman" w:eastAsiaTheme="minorEastAsia" w:hAnsi="Times New Roman" w:cs="Times New Roman"/>
          <w:sz w:val="24"/>
          <w:szCs w:val="24"/>
          <w:lang w:val="en-US"/>
        </w:rPr>
        <w:t xml:space="preserve"> here &gt;&gt;</w:t>
      </w:r>
    </w:p>
    <w:p w14:paraId="5BA0F17C" w14:textId="77777777" w:rsidR="00BE13EF" w:rsidRPr="003101A0" w:rsidRDefault="00BE13EF" w:rsidP="0010107B">
      <w:pPr>
        <w:spacing w:after="0" w:line="480" w:lineRule="auto"/>
        <w:jc w:val="center"/>
        <w:rPr>
          <w:rFonts w:ascii="Times New Roman" w:hAnsi="Times New Roman" w:cs="Times New Roman"/>
          <w:sz w:val="24"/>
          <w:szCs w:val="24"/>
          <w:lang w:val="en-US" w:eastAsia="zh-CN"/>
        </w:rPr>
      </w:pPr>
    </w:p>
    <w:p w14:paraId="45984D89" w14:textId="09A02900" w:rsidR="00F74F87" w:rsidRPr="003101A0" w:rsidRDefault="00BC61FC" w:rsidP="00515C58">
      <w:pPr>
        <w:pStyle w:val="ListParagraph"/>
        <w:numPr>
          <w:ilvl w:val="0"/>
          <w:numId w:val="4"/>
        </w:numPr>
        <w:spacing w:after="0" w:line="480" w:lineRule="auto"/>
        <w:ind w:left="426" w:hanging="426"/>
        <w:rPr>
          <w:rFonts w:ascii="Times New Roman" w:hAnsi="Times New Roman" w:cs="Times New Roman"/>
          <w:b/>
          <w:sz w:val="24"/>
          <w:szCs w:val="24"/>
          <w:lang w:val="en-US"/>
        </w:rPr>
      </w:pPr>
      <w:r>
        <w:rPr>
          <w:rFonts w:ascii="Times New Roman" w:hAnsi="Times New Roman" w:cs="Times New Roman"/>
          <w:b/>
          <w:sz w:val="24"/>
          <w:szCs w:val="24"/>
          <w:lang w:val="en-US"/>
        </w:rPr>
        <w:t>Summary and discussion</w:t>
      </w:r>
    </w:p>
    <w:p w14:paraId="6951C471" w14:textId="742FAAD3" w:rsidR="00081F7F" w:rsidRPr="003101A0" w:rsidRDefault="00F74F87" w:rsidP="0010107B">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Convertible bonds have been largely overlooked in the literature on restrictive covenants</w:t>
      </w:r>
      <w:r w:rsidR="00C404C6" w:rsidRPr="003101A0">
        <w:rPr>
          <w:rFonts w:ascii="Times New Roman" w:hAnsi="Times New Roman" w:cs="Times New Roman"/>
          <w:sz w:val="24"/>
          <w:szCs w:val="24"/>
          <w:lang w:val="en-US"/>
        </w:rPr>
        <w:t xml:space="preserve">. This is an important omission </w:t>
      </w:r>
      <w:r w:rsidR="00BC61FC">
        <w:rPr>
          <w:rFonts w:ascii="Times New Roman" w:hAnsi="Times New Roman" w:cs="Times New Roman"/>
          <w:sz w:val="24"/>
          <w:szCs w:val="24"/>
          <w:lang w:val="en-US"/>
        </w:rPr>
        <w:t xml:space="preserve">because </w:t>
      </w:r>
      <w:r w:rsidR="00C404C6" w:rsidRPr="003101A0">
        <w:rPr>
          <w:rFonts w:ascii="Times New Roman" w:hAnsi="Times New Roman" w:cs="Times New Roman"/>
          <w:sz w:val="24"/>
          <w:szCs w:val="24"/>
          <w:lang w:val="en-US"/>
        </w:rPr>
        <w:t>convertibles represent</w:t>
      </w:r>
      <w:r w:rsidR="009E7BEB" w:rsidRPr="003101A0">
        <w:rPr>
          <w:rFonts w:ascii="Times New Roman" w:hAnsi="Times New Roman" w:cs="Times New Roman"/>
          <w:sz w:val="24"/>
          <w:szCs w:val="24"/>
          <w:lang w:val="en-US"/>
        </w:rPr>
        <w:t xml:space="preserve"> billions of U.S. dollars in annual issuance volume. </w:t>
      </w:r>
      <w:r w:rsidR="00BC61FC">
        <w:rPr>
          <w:rFonts w:ascii="Times New Roman" w:hAnsi="Times New Roman" w:cs="Times New Roman"/>
          <w:sz w:val="24"/>
          <w:szCs w:val="24"/>
          <w:lang w:val="en-US"/>
        </w:rPr>
        <w:t>Drawing from theories on covenants and theories on convertible bond issuance, we formulate and test predictions</w:t>
      </w:r>
      <w:r w:rsidR="009E7BEB" w:rsidRPr="003101A0">
        <w:rPr>
          <w:rFonts w:ascii="Times New Roman" w:hAnsi="Times New Roman" w:cs="Times New Roman"/>
          <w:sz w:val="24"/>
          <w:szCs w:val="24"/>
          <w:lang w:val="en-US"/>
        </w:rPr>
        <w:t xml:space="preserve"> on the frequency and role of covenants in convertible bond offerings, thereby complementing previous studies on straight bond covenants</w:t>
      </w:r>
      <w:r w:rsidR="00081F7F" w:rsidRPr="003101A0">
        <w:rPr>
          <w:rFonts w:ascii="Times New Roman" w:hAnsi="Times New Roman" w:cs="Times New Roman"/>
          <w:sz w:val="24"/>
          <w:szCs w:val="24"/>
          <w:lang w:val="en-US"/>
        </w:rPr>
        <w:t xml:space="preserve">. </w:t>
      </w:r>
    </w:p>
    <w:p w14:paraId="212F7D3C" w14:textId="7F6CABDF" w:rsidR="00B109C7" w:rsidRPr="003101A0" w:rsidRDefault="00305941" w:rsidP="0010107B">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Anecdotal evidence suggests that investors and advisors work under the assumption that convertibles are </w:t>
      </w:r>
      <w:proofErr w:type="gramStart"/>
      <w:r w:rsidRPr="003101A0">
        <w:rPr>
          <w:rFonts w:ascii="Times New Roman" w:hAnsi="Times New Roman" w:cs="Times New Roman"/>
          <w:sz w:val="24"/>
          <w:szCs w:val="24"/>
          <w:lang w:val="en-US"/>
        </w:rPr>
        <w:t>covenant-light</w:t>
      </w:r>
      <w:proofErr w:type="gramEnd"/>
      <w:r w:rsidRPr="003101A0">
        <w:rPr>
          <w:rFonts w:ascii="Times New Roman" w:hAnsi="Times New Roman" w:cs="Times New Roman"/>
          <w:sz w:val="24"/>
          <w:szCs w:val="24"/>
          <w:lang w:val="en-US"/>
        </w:rPr>
        <w:t xml:space="preserve">. Illustrative quotes include </w:t>
      </w:r>
      <w:r w:rsidRPr="003101A0">
        <w:rPr>
          <w:rFonts w:ascii="Times New Roman" w:hAnsi="Times New Roman" w:cs="Times New Roman"/>
          <w:i/>
          <w:iCs/>
          <w:sz w:val="24"/>
          <w:szCs w:val="24"/>
          <w:lang w:val="en-US"/>
        </w:rPr>
        <w:t>“Convertible notes generally do not include any significant operating or financial covenants</w:t>
      </w:r>
      <w:r w:rsidRPr="00101123">
        <w:rPr>
          <w:rFonts w:ascii="Times New Roman" w:hAnsi="Times New Roman" w:cs="Times New Roman"/>
          <w:i/>
          <w:iCs/>
          <w:sz w:val="24"/>
          <w:szCs w:val="24"/>
          <w:lang w:val="en-US"/>
        </w:rPr>
        <w:t>”</w:t>
      </w:r>
      <w:r w:rsidRPr="00101123">
        <w:rPr>
          <w:rFonts w:ascii="Times New Roman" w:hAnsi="Times New Roman" w:cs="Times New Roman"/>
          <w:sz w:val="24"/>
          <w:szCs w:val="24"/>
          <w:lang w:val="en-US"/>
        </w:rPr>
        <w:t xml:space="preserve"> (Gibson Dunn, 2019)</w:t>
      </w:r>
      <w:r w:rsidRPr="003101A0">
        <w:rPr>
          <w:rFonts w:ascii="Times New Roman" w:hAnsi="Times New Roman" w:cs="Times New Roman"/>
          <w:sz w:val="24"/>
          <w:szCs w:val="24"/>
          <w:lang w:val="en-US"/>
        </w:rPr>
        <w:t xml:space="preserve"> and </w:t>
      </w:r>
      <w:r w:rsidRPr="003101A0">
        <w:rPr>
          <w:rFonts w:ascii="Times New Roman" w:hAnsi="Times New Roman" w:cs="Times New Roman"/>
          <w:i/>
          <w:iCs/>
          <w:sz w:val="24"/>
          <w:szCs w:val="24"/>
          <w:lang w:val="en-US"/>
        </w:rPr>
        <w:t>“Convertibles are also typically unsecured obligations and have no covenants”</w:t>
      </w:r>
      <w:r w:rsidRPr="003101A0">
        <w:rPr>
          <w:rFonts w:ascii="Times New Roman" w:hAnsi="Times New Roman" w:cs="Times New Roman"/>
          <w:sz w:val="24"/>
          <w:szCs w:val="24"/>
          <w:lang w:val="en-US"/>
        </w:rPr>
        <w:t xml:space="preserve"> (Oaktree Insights, 2020). However, to </w:t>
      </w:r>
      <w:r w:rsidR="00E62ADF">
        <w:rPr>
          <w:rFonts w:ascii="Times New Roman" w:hAnsi="Times New Roman" w:cs="Times New Roman"/>
          <w:sz w:val="24"/>
          <w:szCs w:val="24"/>
          <w:lang w:val="en-US"/>
        </w:rPr>
        <w:t xml:space="preserve">the best of </w:t>
      </w:r>
      <w:r w:rsidR="00871C61" w:rsidRPr="003101A0">
        <w:rPr>
          <w:rFonts w:ascii="Times New Roman" w:hAnsi="Times New Roman" w:cs="Times New Roman"/>
          <w:sz w:val="24"/>
          <w:szCs w:val="24"/>
          <w:lang w:val="en-US"/>
        </w:rPr>
        <w:t>our knowledge, no academic study has</w:t>
      </w:r>
      <w:r w:rsidRPr="003101A0">
        <w:rPr>
          <w:rFonts w:ascii="Times New Roman" w:hAnsi="Times New Roman" w:cs="Times New Roman"/>
          <w:sz w:val="24"/>
          <w:szCs w:val="24"/>
          <w:lang w:val="en-US"/>
        </w:rPr>
        <w:t xml:space="preserve"> substantiated this assumption</w:t>
      </w:r>
      <w:r w:rsidR="00C404C6" w:rsidRPr="003101A0">
        <w:rPr>
          <w:rFonts w:ascii="Times New Roman" w:hAnsi="Times New Roman" w:cs="Times New Roman"/>
          <w:sz w:val="24"/>
          <w:szCs w:val="24"/>
          <w:lang w:val="en-US"/>
        </w:rPr>
        <w:t xml:space="preserve"> under like-for-like conditions</w:t>
      </w:r>
      <w:r w:rsidRPr="003101A0">
        <w:rPr>
          <w:rFonts w:ascii="Times New Roman" w:hAnsi="Times New Roman" w:cs="Times New Roman"/>
          <w:sz w:val="24"/>
          <w:szCs w:val="24"/>
          <w:lang w:val="en-US"/>
        </w:rPr>
        <w:t xml:space="preserve">. </w:t>
      </w:r>
      <w:r w:rsidR="00C404C6" w:rsidRPr="003101A0">
        <w:rPr>
          <w:rFonts w:ascii="Times New Roman" w:hAnsi="Times New Roman" w:cs="Times New Roman"/>
          <w:sz w:val="24"/>
          <w:szCs w:val="24"/>
          <w:lang w:val="en-US"/>
        </w:rPr>
        <w:t>After controlling for relevant covenant intensity determinants, w</w:t>
      </w:r>
      <w:r w:rsidR="009E7BEB" w:rsidRPr="003101A0">
        <w:rPr>
          <w:rFonts w:ascii="Times New Roman" w:hAnsi="Times New Roman" w:cs="Times New Roman"/>
          <w:sz w:val="24"/>
          <w:szCs w:val="24"/>
          <w:lang w:val="en-US"/>
        </w:rPr>
        <w:t>e find that</w:t>
      </w:r>
      <w:r w:rsidR="00E833EB" w:rsidRPr="003101A0">
        <w:rPr>
          <w:rFonts w:ascii="Times New Roman" w:hAnsi="Times New Roman" w:cs="Times New Roman"/>
          <w:sz w:val="24"/>
          <w:szCs w:val="24"/>
          <w:lang w:val="en-US"/>
        </w:rPr>
        <w:t xml:space="preserve">, while </w:t>
      </w:r>
      <w:r w:rsidR="00BC61FC">
        <w:rPr>
          <w:rFonts w:ascii="Times New Roman" w:hAnsi="Times New Roman" w:cs="Times New Roman"/>
          <w:sz w:val="24"/>
          <w:szCs w:val="24"/>
          <w:lang w:val="en-US"/>
        </w:rPr>
        <w:t>being</w:t>
      </w:r>
      <w:r w:rsidR="00E833EB" w:rsidRPr="003101A0">
        <w:rPr>
          <w:rFonts w:ascii="Times New Roman" w:hAnsi="Times New Roman" w:cs="Times New Roman"/>
          <w:sz w:val="24"/>
          <w:szCs w:val="24"/>
          <w:lang w:val="en-US"/>
        </w:rPr>
        <w:t xml:space="preserve"> less covenant heavy than</w:t>
      </w:r>
      <w:r w:rsidR="008B403B" w:rsidRPr="003101A0">
        <w:rPr>
          <w:rFonts w:ascii="Times New Roman" w:hAnsi="Times New Roman" w:cs="Times New Roman"/>
          <w:sz w:val="24"/>
          <w:szCs w:val="24"/>
          <w:lang w:val="en-US"/>
        </w:rPr>
        <w:t xml:space="preserve"> straight bonds,</w:t>
      </w:r>
      <w:r w:rsidR="00E833EB" w:rsidRPr="003101A0">
        <w:rPr>
          <w:rFonts w:ascii="Times New Roman" w:hAnsi="Times New Roman" w:cs="Times New Roman"/>
          <w:sz w:val="24"/>
          <w:szCs w:val="24"/>
          <w:lang w:val="en-US"/>
        </w:rPr>
        <w:t xml:space="preserve"> </w:t>
      </w:r>
      <w:r w:rsidR="00BC61FC">
        <w:rPr>
          <w:rFonts w:ascii="Times New Roman" w:hAnsi="Times New Roman" w:cs="Times New Roman"/>
          <w:sz w:val="24"/>
          <w:szCs w:val="24"/>
          <w:lang w:val="en-US"/>
        </w:rPr>
        <w:t>convertibles</w:t>
      </w:r>
      <w:r w:rsidR="00E833EB" w:rsidRPr="003101A0">
        <w:rPr>
          <w:rFonts w:ascii="Times New Roman" w:hAnsi="Times New Roman" w:cs="Times New Roman"/>
          <w:sz w:val="24"/>
          <w:szCs w:val="24"/>
          <w:lang w:val="en-US"/>
        </w:rPr>
        <w:t xml:space="preserve"> are not covenant free</w:t>
      </w:r>
      <w:r w:rsidR="00BC61FC">
        <w:rPr>
          <w:rFonts w:ascii="Times New Roman" w:hAnsi="Times New Roman" w:cs="Times New Roman"/>
          <w:sz w:val="24"/>
          <w:szCs w:val="24"/>
          <w:lang w:val="en-US"/>
        </w:rPr>
        <w:t xml:space="preserve">. In fact, convertibles </w:t>
      </w:r>
      <w:r w:rsidR="00E833EB" w:rsidRPr="003101A0">
        <w:rPr>
          <w:rFonts w:ascii="Times New Roman" w:hAnsi="Times New Roman" w:cs="Times New Roman"/>
          <w:sz w:val="24"/>
          <w:szCs w:val="24"/>
          <w:lang w:val="en-US"/>
        </w:rPr>
        <w:t xml:space="preserve">have a </w:t>
      </w:r>
      <w:r w:rsidR="009C0B4F" w:rsidRPr="003101A0">
        <w:rPr>
          <w:rFonts w:ascii="Times New Roman" w:hAnsi="Times New Roman" w:cs="Times New Roman"/>
          <w:sz w:val="24"/>
          <w:szCs w:val="24"/>
          <w:lang w:val="en-US"/>
        </w:rPr>
        <w:t xml:space="preserve">frequency </w:t>
      </w:r>
      <w:r w:rsidR="00E833EB" w:rsidRPr="003101A0">
        <w:rPr>
          <w:rFonts w:ascii="Times New Roman" w:hAnsi="Times New Roman" w:cs="Times New Roman"/>
          <w:sz w:val="24"/>
          <w:szCs w:val="24"/>
          <w:lang w:val="en-US"/>
        </w:rPr>
        <w:t xml:space="preserve">of </w:t>
      </w:r>
      <w:r w:rsidR="00C404C6" w:rsidRPr="003101A0">
        <w:rPr>
          <w:rFonts w:ascii="Times New Roman" w:hAnsi="Times New Roman" w:cs="Times New Roman"/>
          <w:sz w:val="24"/>
          <w:szCs w:val="24"/>
          <w:lang w:val="en-US"/>
        </w:rPr>
        <w:t>investment-restricting covenants</w:t>
      </w:r>
      <w:r w:rsidR="00E833EB" w:rsidRPr="003101A0">
        <w:rPr>
          <w:rFonts w:ascii="Times New Roman" w:hAnsi="Times New Roman" w:cs="Times New Roman"/>
          <w:sz w:val="24"/>
          <w:szCs w:val="24"/>
          <w:lang w:val="en-US"/>
        </w:rPr>
        <w:t xml:space="preserve"> </w:t>
      </w:r>
      <w:r w:rsidR="00BE13EF">
        <w:rPr>
          <w:rFonts w:ascii="Times New Roman" w:hAnsi="Times New Roman" w:cs="Times New Roman"/>
          <w:sz w:val="24"/>
          <w:szCs w:val="24"/>
          <w:lang w:val="en-US"/>
        </w:rPr>
        <w:t>not statistically different from that</w:t>
      </w:r>
      <w:r w:rsidR="00BC61FC">
        <w:rPr>
          <w:rFonts w:ascii="Times New Roman" w:hAnsi="Times New Roman" w:cs="Times New Roman"/>
          <w:sz w:val="24"/>
          <w:szCs w:val="24"/>
          <w:lang w:val="en-US"/>
        </w:rPr>
        <w:t xml:space="preserve"> of straight bonds, </w:t>
      </w:r>
      <w:r w:rsidR="00E833EB" w:rsidRPr="003101A0">
        <w:rPr>
          <w:rFonts w:ascii="Times New Roman" w:hAnsi="Times New Roman" w:cs="Times New Roman"/>
          <w:sz w:val="24"/>
          <w:szCs w:val="24"/>
          <w:lang w:val="en-US"/>
        </w:rPr>
        <w:t xml:space="preserve">and </w:t>
      </w:r>
      <w:r w:rsidR="00BE13EF">
        <w:rPr>
          <w:rFonts w:ascii="Times New Roman" w:hAnsi="Times New Roman" w:cs="Times New Roman"/>
          <w:sz w:val="24"/>
          <w:szCs w:val="24"/>
          <w:lang w:val="en-US"/>
        </w:rPr>
        <w:t>a</w:t>
      </w:r>
      <w:r w:rsidR="00BE13EF" w:rsidRPr="003101A0">
        <w:rPr>
          <w:rFonts w:ascii="Times New Roman" w:hAnsi="Times New Roman" w:cs="Times New Roman"/>
          <w:sz w:val="24"/>
          <w:szCs w:val="24"/>
          <w:lang w:val="en-US"/>
        </w:rPr>
        <w:t xml:space="preserve"> </w:t>
      </w:r>
      <w:r w:rsidR="009C0B4F" w:rsidRPr="003101A0">
        <w:rPr>
          <w:rFonts w:ascii="Times New Roman" w:hAnsi="Times New Roman" w:cs="Times New Roman"/>
          <w:sz w:val="24"/>
          <w:szCs w:val="24"/>
          <w:lang w:val="en-US"/>
        </w:rPr>
        <w:t>frequency</w:t>
      </w:r>
      <w:r w:rsidR="00E833EB" w:rsidRPr="003101A0">
        <w:rPr>
          <w:rFonts w:ascii="Times New Roman" w:hAnsi="Times New Roman" w:cs="Times New Roman"/>
          <w:sz w:val="24"/>
          <w:szCs w:val="24"/>
          <w:lang w:val="en-US"/>
        </w:rPr>
        <w:t xml:space="preserve"> of event</w:t>
      </w:r>
      <w:r w:rsidR="009E7BEB" w:rsidRPr="003101A0">
        <w:rPr>
          <w:rFonts w:ascii="Times New Roman" w:hAnsi="Times New Roman" w:cs="Times New Roman"/>
          <w:sz w:val="24"/>
          <w:szCs w:val="24"/>
          <w:lang w:val="en-US"/>
        </w:rPr>
        <w:t>-</w:t>
      </w:r>
      <w:r w:rsidR="00C404C6" w:rsidRPr="003101A0">
        <w:rPr>
          <w:rFonts w:ascii="Times New Roman" w:hAnsi="Times New Roman" w:cs="Times New Roman"/>
          <w:sz w:val="24"/>
          <w:szCs w:val="24"/>
          <w:lang w:val="en-US"/>
        </w:rPr>
        <w:t>driven covenants</w:t>
      </w:r>
      <w:r w:rsidR="00BC61FC">
        <w:rPr>
          <w:rFonts w:ascii="Times New Roman" w:hAnsi="Times New Roman" w:cs="Times New Roman"/>
          <w:sz w:val="24"/>
          <w:szCs w:val="24"/>
          <w:lang w:val="en-US"/>
        </w:rPr>
        <w:t xml:space="preserve"> </w:t>
      </w:r>
      <w:r w:rsidR="00BE13EF">
        <w:rPr>
          <w:rFonts w:ascii="Times New Roman" w:hAnsi="Times New Roman" w:cs="Times New Roman"/>
          <w:sz w:val="24"/>
          <w:szCs w:val="24"/>
          <w:lang w:val="en-US"/>
        </w:rPr>
        <w:t xml:space="preserve">significantly </w:t>
      </w:r>
      <w:r w:rsidR="00BC61FC">
        <w:rPr>
          <w:rFonts w:ascii="Times New Roman" w:hAnsi="Times New Roman" w:cs="Times New Roman"/>
          <w:sz w:val="24"/>
          <w:szCs w:val="24"/>
          <w:lang w:val="en-US"/>
        </w:rPr>
        <w:t>higher</w:t>
      </w:r>
      <w:r w:rsidR="00E833EB" w:rsidRPr="003101A0">
        <w:rPr>
          <w:rFonts w:ascii="Times New Roman" w:hAnsi="Times New Roman" w:cs="Times New Roman"/>
          <w:sz w:val="24"/>
          <w:szCs w:val="24"/>
          <w:lang w:val="en-US"/>
        </w:rPr>
        <w:t xml:space="preserve"> than </w:t>
      </w:r>
      <w:r w:rsidR="00BC61FC">
        <w:rPr>
          <w:rFonts w:ascii="Times New Roman" w:hAnsi="Times New Roman" w:cs="Times New Roman"/>
          <w:sz w:val="24"/>
          <w:szCs w:val="24"/>
          <w:lang w:val="en-US"/>
        </w:rPr>
        <w:t xml:space="preserve">that of </w:t>
      </w:r>
      <w:r w:rsidR="00E833EB" w:rsidRPr="003101A0">
        <w:rPr>
          <w:rFonts w:ascii="Times New Roman" w:hAnsi="Times New Roman" w:cs="Times New Roman"/>
          <w:sz w:val="24"/>
          <w:szCs w:val="24"/>
          <w:lang w:val="en-US"/>
        </w:rPr>
        <w:t xml:space="preserve">straight bonds. </w:t>
      </w:r>
    </w:p>
    <w:p w14:paraId="63FA61EE" w14:textId="06CE5511" w:rsidR="009C0B4F" w:rsidRPr="003101A0" w:rsidRDefault="00B109C7" w:rsidP="0010107B">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t xml:space="preserve">Our </w:t>
      </w:r>
      <w:r w:rsidR="00C404C6" w:rsidRPr="003101A0">
        <w:rPr>
          <w:rFonts w:ascii="Times New Roman" w:hAnsi="Times New Roman" w:cs="Times New Roman"/>
          <w:sz w:val="24"/>
          <w:szCs w:val="24"/>
          <w:lang w:val="en-US"/>
        </w:rPr>
        <w:t xml:space="preserve">subsequent </w:t>
      </w:r>
      <w:r w:rsidRPr="003101A0">
        <w:rPr>
          <w:rFonts w:ascii="Times New Roman" w:hAnsi="Times New Roman" w:cs="Times New Roman"/>
          <w:sz w:val="24"/>
          <w:szCs w:val="24"/>
          <w:lang w:val="en-US"/>
        </w:rPr>
        <w:t xml:space="preserve">evidence on </w:t>
      </w:r>
      <w:r w:rsidR="00E833EB" w:rsidRPr="003101A0">
        <w:rPr>
          <w:rFonts w:ascii="Times New Roman" w:hAnsi="Times New Roman" w:cs="Times New Roman"/>
          <w:sz w:val="24"/>
          <w:szCs w:val="24"/>
          <w:lang w:val="en-US"/>
        </w:rPr>
        <w:t xml:space="preserve">the yield effect </w:t>
      </w:r>
      <w:r w:rsidR="00BC61FC">
        <w:rPr>
          <w:rFonts w:ascii="Times New Roman" w:hAnsi="Times New Roman" w:cs="Times New Roman"/>
          <w:sz w:val="24"/>
          <w:szCs w:val="24"/>
          <w:lang w:val="en-US"/>
        </w:rPr>
        <w:t xml:space="preserve">and determinants </w:t>
      </w:r>
      <w:r w:rsidR="00E833EB" w:rsidRPr="003101A0">
        <w:rPr>
          <w:rFonts w:ascii="Times New Roman" w:hAnsi="Times New Roman" w:cs="Times New Roman"/>
          <w:sz w:val="24"/>
          <w:szCs w:val="24"/>
          <w:lang w:val="en-US"/>
        </w:rPr>
        <w:t xml:space="preserve">of convertible bond covenants suggests that </w:t>
      </w:r>
      <w:r w:rsidRPr="003101A0">
        <w:rPr>
          <w:rFonts w:ascii="Times New Roman" w:hAnsi="Times New Roman" w:cs="Times New Roman"/>
          <w:sz w:val="24"/>
          <w:szCs w:val="24"/>
          <w:lang w:val="en-US"/>
        </w:rPr>
        <w:t>convertible bond covenants</w:t>
      </w:r>
      <w:r w:rsidR="00E833EB" w:rsidRPr="003101A0">
        <w:rPr>
          <w:rFonts w:ascii="Times New Roman" w:hAnsi="Times New Roman" w:cs="Times New Roman"/>
          <w:sz w:val="24"/>
          <w:szCs w:val="24"/>
          <w:lang w:val="en-US"/>
        </w:rPr>
        <w:t xml:space="preserve"> </w:t>
      </w:r>
      <w:r w:rsidR="00871C61" w:rsidRPr="003101A0">
        <w:rPr>
          <w:rFonts w:ascii="Times New Roman" w:hAnsi="Times New Roman" w:cs="Times New Roman"/>
          <w:sz w:val="24"/>
          <w:szCs w:val="24"/>
          <w:lang w:val="en-US"/>
        </w:rPr>
        <w:t>cannot</w:t>
      </w:r>
      <w:r w:rsidR="00E833EB" w:rsidRPr="003101A0">
        <w:rPr>
          <w:rFonts w:ascii="Times New Roman" w:hAnsi="Times New Roman" w:cs="Times New Roman"/>
          <w:sz w:val="24"/>
          <w:szCs w:val="24"/>
          <w:lang w:val="en-US"/>
        </w:rPr>
        <w:t xml:space="preserve"> alleviate concerns about debt-related financing costs</w:t>
      </w:r>
      <w:r w:rsidRPr="003101A0">
        <w:rPr>
          <w:rFonts w:ascii="Times New Roman" w:hAnsi="Times New Roman" w:cs="Times New Roman"/>
          <w:sz w:val="24"/>
          <w:szCs w:val="24"/>
          <w:lang w:val="en-US"/>
        </w:rPr>
        <w:t xml:space="preserve"> and </w:t>
      </w:r>
      <w:r w:rsidR="00871C61" w:rsidRPr="003101A0">
        <w:rPr>
          <w:rFonts w:ascii="Times New Roman" w:hAnsi="Times New Roman" w:cs="Times New Roman"/>
          <w:sz w:val="24"/>
          <w:szCs w:val="24"/>
          <w:lang w:val="en-US"/>
        </w:rPr>
        <w:t xml:space="preserve">are </w:t>
      </w:r>
      <w:r w:rsidRPr="003101A0">
        <w:rPr>
          <w:rFonts w:ascii="Times New Roman" w:hAnsi="Times New Roman" w:cs="Times New Roman"/>
          <w:sz w:val="24"/>
          <w:szCs w:val="24"/>
          <w:lang w:val="en-US"/>
        </w:rPr>
        <w:t xml:space="preserve">set </w:t>
      </w:r>
      <w:r w:rsidR="00BC61FC">
        <w:rPr>
          <w:rFonts w:ascii="Times New Roman" w:hAnsi="Times New Roman" w:cs="Times New Roman"/>
          <w:sz w:val="24"/>
          <w:szCs w:val="24"/>
          <w:lang w:val="en-US"/>
        </w:rPr>
        <w:t xml:space="preserve">largely </w:t>
      </w:r>
      <w:r w:rsidRPr="003101A0">
        <w:rPr>
          <w:rFonts w:ascii="Times New Roman" w:hAnsi="Times New Roman" w:cs="Times New Roman"/>
          <w:sz w:val="24"/>
          <w:szCs w:val="24"/>
          <w:lang w:val="en-US"/>
        </w:rPr>
        <w:t xml:space="preserve">independently of </w:t>
      </w:r>
      <w:r w:rsidR="00C404C6" w:rsidRPr="003101A0">
        <w:rPr>
          <w:rFonts w:ascii="Times New Roman" w:hAnsi="Times New Roman" w:cs="Times New Roman"/>
          <w:sz w:val="24"/>
          <w:szCs w:val="24"/>
          <w:lang w:val="en-US"/>
        </w:rPr>
        <w:t>issuer characteristics</w:t>
      </w:r>
      <w:r w:rsidR="00E833EB" w:rsidRPr="003101A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Th</w:t>
      </w:r>
      <w:r w:rsidR="009C0B4F" w:rsidRPr="003101A0">
        <w:rPr>
          <w:rFonts w:ascii="Times New Roman" w:hAnsi="Times New Roman" w:cs="Times New Roman"/>
          <w:sz w:val="24"/>
          <w:szCs w:val="24"/>
          <w:lang w:val="en-US"/>
        </w:rPr>
        <w:t>ese</w:t>
      </w:r>
      <w:r w:rsidRPr="003101A0">
        <w:rPr>
          <w:rFonts w:ascii="Times New Roman" w:hAnsi="Times New Roman" w:cs="Times New Roman"/>
          <w:sz w:val="24"/>
          <w:szCs w:val="24"/>
          <w:lang w:val="en-US"/>
        </w:rPr>
        <w:t xml:space="preserve"> </w:t>
      </w:r>
      <w:r w:rsidR="00876B63"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non-result</w:t>
      </w:r>
      <w:r w:rsidR="009C0B4F" w:rsidRPr="003101A0">
        <w:rPr>
          <w:rFonts w:ascii="Times New Roman" w:hAnsi="Times New Roman" w:cs="Times New Roman"/>
          <w:sz w:val="24"/>
          <w:szCs w:val="24"/>
          <w:lang w:val="en-US"/>
        </w:rPr>
        <w:t>s</w:t>
      </w:r>
      <w:r w:rsidR="00876B63" w:rsidRPr="003101A0">
        <w:rPr>
          <w:rFonts w:ascii="Times New Roman" w:hAnsi="Times New Roman" w:cs="Times New Roman"/>
          <w:sz w:val="24"/>
          <w:szCs w:val="24"/>
          <w:lang w:val="en-US"/>
        </w:rPr>
        <w:t xml:space="preserve">’ </w:t>
      </w:r>
      <w:r w:rsidRPr="003101A0">
        <w:rPr>
          <w:rFonts w:ascii="Times New Roman" w:hAnsi="Times New Roman" w:cs="Times New Roman"/>
          <w:sz w:val="24"/>
          <w:szCs w:val="24"/>
          <w:lang w:val="en-US"/>
        </w:rPr>
        <w:t xml:space="preserve">contrast with established findings </w:t>
      </w:r>
      <w:r w:rsidR="00C404C6" w:rsidRPr="003101A0">
        <w:rPr>
          <w:rFonts w:ascii="Times New Roman" w:hAnsi="Times New Roman" w:cs="Times New Roman"/>
          <w:sz w:val="24"/>
          <w:szCs w:val="24"/>
          <w:lang w:val="en-US"/>
        </w:rPr>
        <w:t xml:space="preserve">for </w:t>
      </w:r>
      <w:r w:rsidRPr="003101A0">
        <w:rPr>
          <w:rFonts w:ascii="Times New Roman" w:hAnsi="Times New Roman" w:cs="Times New Roman"/>
          <w:sz w:val="24"/>
          <w:szCs w:val="24"/>
          <w:lang w:val="en-US"/>
        </w:rPr>
        <w:t xml:space="preserve">straight bond covenants. </w:t>
      </w:r>
      <w:r w:rsidR="00082169" w:rsidRPr="003101A0">
        <w:rPr>
          <w:rFonts w:ascii="Times New Roman" w:hAnsi="Times New Roman" w:cs="Times New Roman"/>
          <w:sz w:val="24"/>
          <w:szCs w:val="24"/>
          <w:lang w:val="en-US"/>
        </w:rPr>
        <w:t xml:space="preserve">In response to </w:t>
      </w:r>
      <w:r w:rsidR="00871C61" w:rsidRPr="003101A0">
        <w:rPr>
          <w:rFonts w:ascii="Times New Roman" w:hAnsi="Times New Roman" w:cs="Times New Roman"/>
          <w:sz w:val="24"/>
          <w:szCs w:val="24"/>
          <w:lang w:val="en-US"/>
        </w:rPr>
        <w:t>our paper</w:t>
      </w:r>
      <w:r w:rsidR="00BC61FC">
        <w:rPr>
          <w:rFonts w:ascii="Times New Roman" w:hAnsi="Times New Roman" w:cs="Times New Roman"/>
          <w:sz w:val="24"/>
          <w:szCs w:val="24"/>
          <w:lang w:val="en-US"/>
        </w:rPr>
        <w:t>’</w:t>
      </w:r>
      <w:r w:rsidR="00871C61" w:rsidRPr="003101A0">
        <w:rPr>
          <w:rFonts w:ascii="Times New Roman" w:hAnsi="Times New Roman" w:cs="Times New Roman"/>
          <w:sz w:val="24"/>
          <w:szCs w:val="24"/>
          <w:lang w:val="en-US"/>
        </w:rPr>
        <w:t>s title, w</w:t>
      </w:r>
      <w:r w:rsidR="00E833EB" w:rsidRPr="003101A0">
        <w:rPr>
          <w:rFonts w:ascii="Times New Roman" w:hAnsi="Times New Roman" w:cs="Times New Roman"/>
          <w:sz w:val="24"/>
          <w:szCs w:val="24"/>
          <w:lang w:val="en-US"/>
        </w:rPr>
        <w:t xml:space="preserve">e conclude that convertible bond covenants </w:t>
      </w:r>
      <w:r w:rsidR="00C47F4B" w:rsidRPr="003101A0">
        <w:rPr>
          <w:rFonts w:ascii="Times New Roman" w:hAnsi="Times New Roman" w:cs="Times New Roman"/>
          <w:sz w:val="24"/>
          <w:szCs w:val="24"/>
          <w:lang w:val="en-US"/>
        </w:rPr>
        <w:t xml:space="preserve">are </w:t>
      </w:r>
      <w:r w:rsidR="001A73E2">
        <w:rPr>
          <w:rFonts w:ascii="Times New Roman" w:hAnsi="Times New Roman" w:cs="Times New Roman"/>
          <w:sz w:val="24"/>
          <w:szCs w:val="24"/>
          <w:lang w:val="en-US"/>
        </w:rPr>
        <w:t xml:space="preserve">largely </w:t>
      </w:r>
      <w:r w:rsidR="00C47F4B" w:rsidRPr="003101A0">
        <w:rPr>
          <w:rFonts w:ascii="Times New Roman" w:hAnsi="Times New Roman" w:cs="Times New Roman"/>
          <w:sz w:val="24"/>
          <w:szCs w:val="24"/>
          <w:lang w:val="en-US"/>
        </w:rPr>
        <w:t>boilerplate</w:t>
      </w:r>
      <w:r w:rsidR="001A73E2">
        <w:rPr>
          <w:rFonts w:ascii="Times New Roman" w:hAnsi="Times New Roman" w:cs="Times New Roman"/>
          <w:sz w:val="24"/>
          <w:szCs w:val="24"/>
          <w:lang w:val="en-US"/>
        </w:rPr>
        <w:t xml:space="preserve"> in nature</w:t>
      </w:r>
      <w:r w:rsidR="00E833EB" w:rsidRPr="003101A0">
        <w:rPr>
          <w:rFonts w:ascii="Times New Roman" w:hAnsi="Times New Roman" w:cs="Times New Roman"/>
          <w:sz w:val="24"/>
          <w:szCs w:val="24"/>
          <w:lang w:val="en-US"/>
        </w:rPr>
        <w:t xml:space="preserve">. </w:t>
      </w:r>
    </w:p>
    <w:p w14:paraId="48800B1A" w14:textId="1E7EF375" w:rsidR="004E0E1E" w:rsidRPr="003101A0" w:rsidRDefault="008A76DF" w:rsidP="0010107B">
      <w:pPr>
        <w:spacing w:after="0" w:line="480" w:lineRule="auto"/>
        <w:ind w:firstLine="426"/>
        <w:jc w:val="both"/>
        <w:rPr>
          <w:rFonts w:ascii="Times New Roman" w:hAnsi="Times New Roman" w:cs="Times New Roman"/>
          <w:sz w:val="24"/>
          <w:szCs w:val="24"/>
          <w:lang w:val="en-US"/>
        </w:rPr>
      </w:pPr>
      <w:r w:rsidRPr="003101A0">
        <w:rPr>
          <w:rFonts w:ascii="Times New Roman" w:hAnsi="Times New Roman" w:cs="Times New Roman"/>
          <w:sz w:val="24"/>
          <w:szCs w:val="24"/>
          <w:lang w:val="en-US"/>
        </w:rPr>
        <w:lastRenderedPageBreak/>
        <w:t>Our paper has practical implications for</w:t>
      </w:r>
      <w:r w:rsidR="00A50C82" w:rsidRPr="003101A0">
        <w:rPr>
          <w:rFonts w:ascii="Times New Roman" w:hAnsi="Times New Roman" w:cs="Times New Roman"/>
          <w:sz w:val="24"/>
          <w:szCs w:val="24"/>
          <w:lang w:val="en-US"/>
        </w:rPr>
        <w:t xml:space="preserve"> a range of stakeholders</w:t>
      </w:r>
      <w:r w:rsidRPr="003101A0">
        <w:rPr>
          <w:rFonts w:ascii="Times New Roman" w:hAnsi="Times New Roman" w:cs="Times New Roman"/>
          <w:sz w:val="24"/>
          <w:szCs w:val="24"/>
          <w:lang w:val="en-US"/>
        </w:rPr>
        <w:t xml:space="preserve">. </w:t>
      </w:r>
      <w:r w:rsidR="00C47F4B" w:rsidRPr="003101A0">
        <w:rPr>
          <w:rFonts w:ascii="Times New Roman" w:hAnsi="Times New Roman" w:cs="Times New Roman"/>
          <w:sz w:val="24"/>
          <w:szCs w:val="24"/>
          <w:lang w:val="en-US"/>
        </w:rPr>
        <w:t>We</w:t>
      </w:r>
      <w:r w:rsidRPr="003101A0">
        <w:rPr>
          <w:rFonts w:ascii="Times New Roman" w:hAnsi="Times New Roman" w:cs="Times New Roman"/>
          <w:sz w:val="24"/>
          <w:szCs w:val="24"/>
          <w:lang w:val="en-US"/>
        </w:rPr>
        <w:t xml:space="preserve"> hope that our </w:t>
      </w:r>
      <w:r w:rsidR="00C47F4B" w:rsidRPr="003101A0">
        <w:rPr>
          <w:rFonts w:ascii="Times New Roman" w:hAnsi="Times New Roman" w:cs="Times New Roman"/>
          <w:sz w:val="24"/>
          <w:szCs w:val="24"/>
          <w:lang w:val="en-US"/>
        </w:rPr>
        <w:t>results</w:t>
      </w:r>
      <w:r w:rsidRPr="003101A0">
        <w:rPr>
          <w:rFonts w:ascii="Times New Roman" w:hAnsi="Times New Roman" w:cs="Times New Roman"/>
          <w:sz w:val="24"/>
          <w:szCs w:val="24"/>
          <w:lang w:val="en-US"/>
        </w:rPr>
        <w:t xml:space="preserve"> </w:t>
      </w:r>
      <w:r w:rsidR="009C0B4F" w:rsidRPr="003101A0">
        <w:rPr>
          <w:rFonts w:ascii="Times New Roman" w:hAnsi="Times New Roman" w:cs="Times New Roman"/>
          <w:sz w:val="24"/>
          <w:szCs w:val="24"/>
          <w:lang w:val="en-US"/>
        </w:rPr>
        <w:t>make (potential)</w:t>
      </w:r>
      <w:r w:rsidR="00A50C82" w:rsidRPr="003101A0">
        <w:rPr>
          <w:rFonts w:ascii="Times New Roman" w:hAnsi="Times New Roman" w:cs="Times New Roman"/>
          <w:sz w:val="24"/>
          <w:szCs w:val="24"/>
          <w:lang w:val="en-US"/>
        </w:rPr>
        <w:t xml:space="preserve"> convertible bond investors</w:t>
      </w:r>
      <w:r w:rsidRPr="003101A0">
        <w:rPr>
          <w:rFonts w:ascii="Times New Roman" w:hAnsi="Times New Roman" w:cs="Times New Roman"/>
          <w:sz w:val="24"/>
          <w:szCs w:val="24"/>
          <w:lang w:val="en-US"/>
        </w:rPr>
        <w:t xml:space="preserve"> </w:t>
      </w:r>
      <w:r w:rsidR="009C0B4F" w:rsidRPr="003101A0">
        <w:rPr>
          <w:rFonts w:ascii="Times New Roman" w:hAnsi="Times New Roman" w:cs="Times New Roman"/>
          <w:sz w:val="24"/>
          <w:szCs w:val="24"/>
          <w:lang w:val="en-US"/>
        </w:rPr>
        <w:t xml:space="preserve">aware </w:t>
      </w:r>
      <w:r w:rsidRPr="003101A0">
        <w:rPr>
          <w:rFonts w:ascii="Times New Roman" w:hAnsi="Times New Roman" w:cs="Times New Roman"/>
          <w:sz w:val="24"/>
          <w:szCs w:val="24"/>
          <w:lang w:val="en-US"/>
        </w:rPr>
        <w:t xml:space="preserve">that those few covenants included in convertibles </w:t>
      </w:r>
      <w:r w:rsidR="001A73E2">
        <w:rPr>
          <w:rFonts w:ascii="Times New Roman" w:hAnsi="Times New Roman" w:cs="Times New Roman"/>
          <w:sz w:val="24"/>
          <w:szCs w:val="24"/>
          <w:lang w:val="en-US"/>
        </w:rPr>
        <w:t>tend to be mostly</w:t>
      </w:r>
      <w:r w:rsidRPr="003101A0">
        <w:rPr>
          <w:rFonts w:ascii="Times New Roman" w:hAnsi="Times New Roman" w:cs="Times New Roman"/>
          <w:sz w:val="24"/>
          <w:szCs w:val="24"/>
          <w:lang w:val="en-US"/>
        </w:rPr>
        <w:t xml:space="preserve"> disconnected from issuer-specific characteristics and have no incremental benefits in terms of yield reduction. </w:t>
      </w:r>
      <w:r w:rsidR="00BC61FC">
        <w:rPr>
          <w:rFonts w:ascii="Times New Roman" w:hAnsi="Times New Roman" w:cs="Times New Roman"/>
          <w:sz w:val="24"/>
          <w:szCs w:val="24"/>
          <w:lang w:val="en-US"/>
        </w:rPr>
        <w:t>T</w:t>
      </w:r>
      <w:r w:rsidRPr="003101A0">
        <w:rPr>
          <w:rFonts w:ascii="Times New Roman" w:hAnsi="Times New Roman" w:cs="Times New Roman"/>
          <w:sz w:val="24"/>
          <w:szCs w:val="24"/>
          <w:lang w:val="en-US"/>
        </w:rPr>
        <w:t xml:space="preserve">his </w:t>
      </w:r>
      <w:r w:rsidR="00A50C82" w:rsidRPr="003101A0">
        <w:rPr>
          <w:rFonts w:ascii="Times New Roman" w:hAnsi="Times New Roman" w:cs="Times New Roman"/>
          <w:sz w:val="24"/>
          <w:szCs w:val="24"/>
          <w:lang w:val="en-US"/>
        </w:rPr>
        <w:t xml:space="preserve">result </w:t>
      </w:r>
      <w:r w:rsidRPr="003101A0">
        <w:rPr>
          <w:rFonts w:ascii="Times New Roman" w:hAnsi="Times New Roman" w:cs="Times New Roman"/>
          <w:sz w:val="24"/>
          <w:szCs w:val="24"/>
          <w:lang w:val="en-US"/>
        </w:rPr>
        <w:t xml:space="preserve">could </w:t>
      </w:r>
      <w:r w:rsidR="00A50C82" w:rsidRPr="003101A0">
        <w:rPr>
          <w:rFonts w:ascii="Times New Roman" w:hAnsi="Times New Roman" w:cs="Times New Roman"/>
          <w:sz w:val="24"/>
          <w:szCs w:val="24"/>
          <w:lang w:val="en-US"/>
        </w:rPr>
        <w:t xml:space="preserve">also </w:t>
      </w:r>
      <w:r w:rsidRPr="003101A0">
        <w:rPr>
          <w:rFonts w:ascii="Times New Roman" w:hAnsi="Times New Roman" w:cs="Times New Roman"/>
          <w:sz w:val="24"/>
          <w:szCs w:val="24"/>
          <w:lang w:val="en-US"/>
        </w:rPr>
        <w:t xml:space="preserve">be useful for </w:t>
      </w:r>
      <w:r w:rsidR="009E7BEB" w:rsidRPr="003101A0">
        <w:rPr>
          <w:rFonts w:ascii="Times New Roman" w:hAnsi="Times New Roman" w:cs="Times New Roman"/>
          <w:sz w:val="24"/>
          <w:szCs w:val="24"/>
          <w:lang w:val="en-US"/>
        </w:rPr>
        <w:t xml:space="preserve">companies and investment banks </w:t>
      </w:r>
      <w:r w:rsidRPr="003101A0">
        <w:rPr>
          <w:rFonts w:ascii="Times New Roman" w:hAnsi="Times New Roman" w:cs="Times New Roman"/>
          <w:sz w:val="24"/>
          <w:szCs w:val="24"/>
          <w:lang w:val="en-US"/>
        </w:rPr>
        <w:t xml:space="preserve">involved in </w:t>
      </w:r>
      <w:r w:rsidR="00A50C82" w:rsidRPr="003101A0">
        <w:rPr>
          <w:rFonts w:ascii="Times New Roman" w:hAnsi="Times New Roman" w:cs="Times New Roman"/>
          <w:sz w:val="24"/>
          <w:szCs w:val="24"/>
          <w:lang w:val="en-US"/>
        </w:rPr>
        <w:t>negotiating the</w:t>
      </w:r>
      <w:r w:rsidRPr="003101A0">
        <w:rPr>
          <w:rFonts w:ascii="Times New Roman" w:hAnsi="Times New Roman" w:cs="Times New Roman"/>
          <w:sz w:val="24"/>
          <w:szCs w:val="24"/>
          <w:lang w:val="en-US"/>
        </w:rPr>
        <w:t xml:space="preserve"> contract terms for convertible bonds.</w:t>
      </w:r>
      <w:r w:rsidR="00A50C82" w:rsidRPr="003101A0">
        <w:rPr>
          <w:rFonts w:ascii="Times New Roman" w:hAnsi="Times New Roman" w:cs="Times New Roman"/>
          <w:sz w:val="24"/>
          <w:szCs w:val="24"/>
          <w:lang w:val="en-US"/>
        </w:rPr>
        <w:t xml:space="preserve"> </w:t>
      </w:r>
      <w:r w:rsidR="009C0B4F" w:rsidRPr="003101A0">
        <w:rPr>
          <w:rFonts w:ascii="Times New Roman" w:hAnsi="Times New Roman" w:cs="Times New Roman"/>
          <w:sz w:val="24"/>
          <w:szCs w:val="24"/>
          <w:lang w:val="en-US"/>
        </w:rPr>
        <w:t>Since the start of the COVID-19 pandemic, we</w:t>
      </w:r>
      <w:r w:rsidR="00A50C82" w:rsidRPr="003101A0">
        <w:rPr>
          <w:rFonts w:ascii="Times New Roman" w:hAnsi="Times New Roman" w:cs="Times New Roman"/>
          <w:sz w:val="24"/>
          <w:szCs w:val="24"/>
          <w:lang w:val="en-US"/>
        </w:rPr>
        <w:t xml:space="preserve"> have witnessed record numbers of convertible bond offerings, </w:t>
      </w:r>
      <w:r w:rsidR="00F82B1D" w:rsidRPr="003101A0">
        <w:rPr>
          <w:rFonts w:ascii="Times New Roman" w:hAnsi="Times New Roman" w:cs="Times New Roman"/>
          <w:sz w:val="24"/>
          <w:szCs w:val="24"/>
          <w:lang w:val="en-US"/>
        </w:rPr>
        <w:t>many of</w:t>
      </w:r>
      <w:r w:rsidR="00A50C82" w:rsidRPr="003101A0">
        <w:rPr>
          <w:rFonts w:ascii="Times New Roman" w:hAnsi="Times New Roman" w:cs="Times New Roman"/>
          <w:sz w:val="24"/>
          <w:szCs w:val="24"/>
          <w:lang w:val="en-US"/>
        </w:rPr>
        <w:t xml:space="preserve"> which </w:t>
      </w:r>
      <w:r w:rsidR="00F82B1D" w:rsidRPr="003101A0">
        <w:rPr>
          <w:rFonts w:ascii="Times New Roman" w:hAnsi="Times New Roman" w:cs="Times New Roman"/>
          <w:sz w:val="24"/>
          <w:szCs w:val="24"/>
          <w:lang w:val="en-US"/>
        </w:rPr>
        <w:t>are</w:t>
      </w:r>
      <w:r w:rsidR="00A50C82" w:rsidRPr="003101A0">
        <w:rPr>
          <w:rFonts w:ascii="Times New Roman" w:hAnsi="Times New Roman" w:cs="Times New Roman"/>
          <w:sz w:val="24"/>
          <w:szCs w:val="24"/>
          <w:lang w:val="en-US"/>
        </w:rPr>
        <w:t xml:space="preserve"> by first-time issuers who may be </w:t>
      </w:r>
      <w:r w:rsidR="00B109C7" w:rsidRPr="003101A0">
        <w:rPr>
          <w:rFonts w:ascii="Times New Roman" w:hAnsi="Times New Roman" w:cs="Times New Roman"/>
          <w:sz w:val="24"/>
          <w:szCs w:val="24"/>
          <w:lang w:val="en-US"/>
        </w:rPr>
        <w:t xml:space="preserve">particularly </w:t>
      </w:r>
      <w:r w:rsidR="00A50C82" w:rsidRPr="003101A0">
        <w:rPr>
          <w:rFonts w:ascii="Times New Roman" w:hAnsi="Times New Roman" w:cs="Times New Roman"/>
          <w:sz w:val="24"/>
          <w:szCs w:val="24"/>
          <w:lang w:val="en-US"/>
        </w:rPr>
        <w:t xml:space="preserve">open to reflect about appropriate convertible debt </w:t>
      </w:r>
      <w:r w:rsidR="00876B63" w:rsidRPr="003101A0">
        <w:rPr>
          <w:rFonts w:ascii="Times New Roman" w:hAnsi="Times New Roman" w:cs="Times New Roman"/>
          <w:sz w:val="24"/>
          <w:szCs w:val="24"/>
          <w:lang w:val="en-US"/>
        </w:rPr>
        <w:t>covenants</w:t>
      </w:r>
      <w:r w:rsidR="00A50C82" w:rsidRPr="003101A0">
        <w:rPr>
          <w:rFonts w:ascii="Times New Roman" w:hAnsi="Times New Roman" w:cs="Times New Roman"/>
          <w:sz w:val="24"/>
          <w:szCs w:val="24"/>
          <w:lang w:val="en-US"/>
        </w:rPr>
        <w:t xml:space="preserve"> (</w:t>
      </w:r>
      <w:proofErr w:type="spellStart"/>
      <w:r w:rsidR="00A50C82" w:rsidRPr="003101A0">
        <w:rPr>
          <w:rFonts w:ascii="Times New Roman" w:hAnsi="Times New Roman" w:cs="Times New Roman"/>
          <w:sz w:val="24"/>
          <w:szCs w:val="24"/>
          <w:lang w:val="en-US"/>
        </w:rPr>
        <w:t>Calamos</w:t>
      </w:r>
      <w:proofErr w:type="spellEnd"/>
      <w:r w:rsidR="00A50C82" w:rsidRPr="003101A0">
        <w:rPr>
          <w:rFonts w:ascii="Times New Roman" w:hAnsi="Times New Roman" w:cs="Times New Roman"/>
          <w:sz w:val="24"/>
          <w:szCs w:val="24"/>
          <w:lang w:val="en-US"/>
        </w:rPr>
        <w:t>, 2020</w:t>
      </w:r>
      <w:r w:rsidR="00C47F4B" w:rsidRPr="003101A0">
        <w:rPr>
          <w:rFonts w:ascii="Times New Roman" w:hAnsi="Times New Roman" w:cs="Times New Roman"/>
          <w:sz w:val="24"/>
          <w:szCs w:val="24"/>
          <w:lang w:val="en-US"/>
        </w:rPr>
        <w:t>;</w:t>
      </w:r>
      <w:r w:rsidR="00A50C82" w:rsidRPr="003101A0">
        <w:rPr>
          <w:rFonts w:ascii="Times New Roman" w:hAnsi="Times New Roman" w:cs="Times New Roman"/>
          <w:sz w:val="24"/>
          <w:szCs w:val="24"/>
          <w:lang w:val="en-US"/>
        </w:rPr>
        <w:t xml:space="preserve"> </w:t>
      </w:r>
      <w:proofErr w:type="spellStart"/>
      <w:r w:rsidR="00A50C82" w:rsidRPr="003101A0">
        <w:rPr>
          <w:rFonts w:ascii="Times New Roman" w:hAnsi="Times New Roman" w:cs="Times New Roman"/>
          <w:sz w:val="24"/>
          <w:szCs w:val="24"/>
          <w:lang w:val="en-US"/>
        </w:rPr>
        <w:t>Driebusch</w:t>
      </w:r>
      <w:proofErr w:type="spellEnd"/>
      <w:r w:rsidR="00A50C82" w:rsidRPr="003101A0">
        <w:rPr>
          <w:rFonts w:ascii="Times New Roman" w:hAnsi="Times New Roman" w:cs="Times New Roman"/>
          <w:sz w:val="24"/>
          <w:szCs w:val="24"/>
          <w:lang w:val="en-US"/>
        </w:rPr>
        <w:t xml:space="preserve">, 2022). </w:t>
      </w:r>
      <w:r w:rsidR="00871C61" w:rsidRPr="003101A0">
        <w:rPr>
          <w:rFonts w:ascii="Times New Roman" w:hAnsi="Times New Roman" w:cs="Times New Roman"/>
          <w:sz w:val="24"/>
          <w:szCs w:val="24"/>
          <w:lang w:val="en-US"/>
        </w:rPr>
        <w:t xml:space="preserve">While </w:t>
      </w:r>
      <w:r w:rsidRPr="003101A0">
        <w:rPr>
          <w:rFonts w:ascii="Times New Roman" w:hAnsi="Times New Roman" w:cs="Times New Roman"/>
          <w:sz w:val="24"/>
          <w:szCs w:val="24"/>
          <w:lang w:val="en-US"/>
        </w:rPr>
        <w:t xml:space="preserve">our paper does not cast judgment on whether the </w:t>
      </w:r>
      <w:r w:rsidR="00A50C82" w:rsidRPr="003101A0">
        <w:rPr>
          <w:rFonts w:ascii="Times New Roman" w:hAnsi="Times New Roman" w:cs="Times New Roman"/>
          <w:sz w:val="24"/>
          <w:szCs w:val="24"/>
          <w:lang w:val="en-US"/>
        </w:rPr>
        <w:t xml:space="preserve">current </w:t>
      </w:r>
      <w:r w:rsidR="00876B63" w:rsidRPr="003101A0">
        <w:rPr>
          <w:rFonts w:ascii="Times New Roman" w:hAnsi="Times New Roman" w:cs="Times New Roman"/>
          <w:sz w:val="24"/>
          <w:szCs w:val="24"/>
          <w:lang w:val="en-US"/>
        </w:rPr>
        <w:t>‘</w:t>
      </w:r>
      <w:r w:rsidR="00A50C82" w:rsidRPr="003101A0">
        <w:rPr>
          <w:rFonts w:ascii="Times New Roman" w:hAnsi="Times New Roman" w:cs="Times New Roman"/>
          <w:sz w:val="24"/>
          <w:szCs w:val="24"/>
          <w:lang w:val="en-US"/>
        </w:rPr>
        <w:t>non-</w:t>
      </w:r>
      <w:r w:rsidR="00B109C7" w:rsidRPr="003101A0">
        <w:rPr>
          <w:rFonts w:ascii="Times New Roman" w:hAnsi="Times New Roman" w:cs="Times New Roman"/>
          <w:sz w:val="24"/>
          <w:szCs w:val="24"/>
          <w:lang w:val="en-US"/>
        </w:rPr>
        <w:t>role</w:t>
      </w:r>
      <w:r w:rsidR="00876B63" w:rsidRPr="003101A0">
        <w:rPr>
          <w:rFonts w:ascii="Times New Roman" w:hAnsi="Times New Roman" w:cs="Times New Roman"/>
          <w:sz w:val="24"/>
          <w:szCs w:val="24"/>
          <w:lang w:val="en-US"/>
        </w:rPr>
        <w:t>’</w:t>
      </w:r>
      <w:r w:rsidRPr="003101A0">
        <w:rPr>
          <w:rFonts w:ascii="Times New Roman" w:hAnsi="Times New Roman" w:cs="Times New Roman"/>
          <w:sz w:val="24"/>
          <w:szCs w:val="24"/>
          <w:lang w:val="en-US"/>
        </w:rPr>
        <w:t xml:space="preserve"> of convertible bond covenants is optimal, these parties may at least wish to </w:t>
      </w:r>
      <w:r w:rsidR="00C47F4B" w:rsidRPr="003101A0">
        <w:rPr>
          <w:rFonts w:ascii="Times New Roman" w:hAnsi="Times New Roman" w:cs="Times New Roman"/>
          <w:sz w:val="24"/>
          <w:szCs w:val="24"/>
          <w:lang w:val="en-US"/>
        </w:rPr>
        <w:t xml:space="preserve">reflect </w:t>
      </w:r>
      <w:r w:rsidRPr="003101A0">
        <w:rPr>
          <w:rFonts w:ascii="Times New Roman" w:hAnsi="Times New Roman" w:cs="Times New Roman"/>
          <w:sz w:val="24"/>
          <w:szCs w:val="24"/>
          <w:lang w:val="en-US"/>
        </w:rPr>
        <w:t xml:space="preserve">more critically </w:t>
      </w:r>
      <w:r w:rsidR="00C47F4B" w:rsidRPr="003101A0">
        <w:rPr>
          <w:rFonts w:ascii="Times New Roman" w:hAnsi="Times New Roman" w:cs="Times New Roman"/>
          <w:sz w:val="24"/>
          <w:szCs w:val="24"/>
          <w:lang w:val="en-US"/>
        </w:rPr>
        <w:t>on appropriate</w:t>
      </w:r>
      <w:r w:rsidRPr="003101A0">
        <w:rPr>
          <w:rFonts w:ascii="Times New Roman" w:hAnsi="Times New Roman" w:cs="Times New Roman"/>
          <w:sz w:val="24"/>
          <w:szCs w:val="24"/>
          <w:lang w:val="en-US"/>
        </w:rPr>
        <w:t xml:space="preserve"> covenants for convertibles</w:t>
      </w:r>
      <w:r w:rsidR="00A50C82" w:rsidRPr="003101A0">
        <w:rPr>
          <w:rFonts w:ascii="Times New Roman" w:hAnsi="Times New Roman" w:cs="Times New Roman"/>
          <w:sz w:val="24"/>
          <w:szCs w:val="24"/>
          <w:lang w:val="en-US"/>
        </w:rPr>
        <w:t xml:space="preserve"> rather than </w:t>
      </w:r>
      <w:r w:rsidR="009E7BEB" w:rsidRPr="003101A0">
        <w:rPr>
          <w:rFonts w:ascii="Times New Roman" w:hAnsi="Times New Roman" w:cs="Times New Roman"/>
          <w:sz w:val="24"/>
          <w:szCs w:val="24"/>
          <w:lang w:val="en-US"/>
        </w:rPr>
        <w:t>blithely including</w:t>
      </w:r>
      <w:r w:rsidR="00A50C82" w:rsidRPr="003101A0">
        <w:rPr>
          <w:rFonts w:ascii="Times New Roman" w:hAnsi="Times New Roman" w:cs="Times New Roman"/>
          <w:sz w:val="24"/>
          <w:szCs w:val="24"/>
          <w:lang w:val="en-US"/>
        </w:rPr>
        <w:t xml:space="preserve"> boilerplate statements</w:t>
      </w:r>
      <w:r w:rsidRPr="003101A0">
        <w:rPr>
          <w:rFonts w:ascii="Times New Roman" w:hAnsi="Times New Roman" w:cs="Times New Roman"/>
          <w:sz w:val="24"/>
          <w:szCs w:val="24"/>
          <w:lang w:val="en-US"/>
        </w:rPr>
        <w:t>.</w:t>
      </w:r>
      <w:r w:rsidR="00A50C82" w:rsidRPr="003101A0">
        <w:rPr>
          <w:rFonts w:ascii="Times New Roman" w:hAnsi="Times New Roman" w:cs="Times New Roman"/>
          <w:sz w:val="24"/>
          <w:szCs w:val="24"/>
          <w:lang w:val="en-US"/>
        </w:rPr>
        <w:t xml:space="preserve"> </w:t>
      </w:r>
    </w:p>
    <w:p w14:paraId="7B96E60C" w14:textId="0AB22164" w:rsidR="00CF244D" w:rsidRPr="00384DFE" w:rsidRDefault="00CF244D" w:rsidP="00384DFE">
      <w:pPr>
        <w:spacing w:after="0" w:line="480" w:lineRule="auto"/>
        <w:ind w:firstLine="426"/>
        <w:rPr>
          <w:rFonts w:ascii="Times New Roman" w:hAnsi="Times New Roman" w:cs="Times New Roman"/>
          <w:b/>
          <w:bCs/>
          <w:sz w:val="24"/>
          <w:szCs w:val="24"/>
          <w:lang w:val="en-US" w:eastAsia="zh-CN"/>
        </w:rPr>
        <w:sectPr w:rsidR="00CF244D" w:rsidRPr="00384DFE" w:rsidSect="00745F47">
          <w:headerReference w:type="default" r:id="rId16"/>
          <w:pgSz w:w="11906" w:h="16838"/>
          <w:pgMar w:top="1440" w:right="1440" w:bottom="1440" w:left="1440" w:header="708" w:footer="708" w:gutter="0"/>
          <w:pgNumType w:start="1"/>
          <w:cols w:space="708"/>
          <w:docGrid w:linePitch="360"/>
        </w:sectPr>
      </w:pPr>
    </w:p>
    <w:p w14:paraId="00307EB5" w14:textId="77777777" w:rsidR="0009220C" w:rsidRPr="003101A0" w:rsidRDefault="0009220C" w:rsidP="0052510E">
      <w:pPr>
        <w:spacing w:after="0" w:line="480" w:lineRule="auto"/>
        <w:jc w:val="both"/>
        <w:rPr>
          <w:rFonts w:ascii="Times New Roman" w:hAnsi="Times New Roman" w:cs="Times New Roman"/>
          <w:b/>
          <w:sz w:val="24"/>
          <w:szCs w:val="24"/>
          <w:lang w:val="en-US"/>
        </w:rPr>
      </w:pPr>
      <w:r w:rsidRPr="003101A0">
        <w:rPr>
          <w:rFonts w:ascii="Times New Roman" w:hAnsi="Times New Roman" w:cs="Times New Roman"/>
          <w:b/>
          <w:sz w:val="24"/>
          <w:szCs w:val="24"/>
          <w:lang w:val="en-US"/>
        </w:rPr>
        <w:lastRenderedPageBreak/>
        <w:t>References</w:t>
      </w:r>
    </w:p>
    <w:p w14:paraId="1C936646" w14:textId="57C9A850"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Anderson, C. W., 1999. Financial contracting under extreme uncertainty: an analysis of Brazilian corporate debentures. </w:t>
      </w:r>
      <w:r w:rsidR="007140D8" w:rsidRPr="00790DC5">
        <w:rPr>
          <w:rFonts w:ascii="Times New Roman" w:hAnsi="Times New Roman" w:cs="Times New Roman"/>
          <w:sz w:val="24"/>
          <w:szCs w:val="24"/>
          <w:lang w:val="en-US"/>
        </w:rPr>
        <w:t xml:space="preserve">Journal of Financial Economics </w:t>
      </w:r>
      <w:r w:rsidRPr="00790DC5">
        <w:rPr>
          <w:rFonts w:ascii="Times New Roman" w:hAnsi="Times New Roman" w:cs="Times New Roman"/>
          <w:sz w:val="24"/>
          <w:szCs w:val="24"/>
          <w:lang w:val="en-US"/>
        </w:rPr>
        <w:t>51, 45-84.</w:t>
      </w:r>
    </w:p>
    <w:p w14:paraId="5DC74DD1" w14:textId="75413AB4"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Andrén</w:t>
      </w:r>
      <w:proofErr w:type="spellEnd"/>
      <w:r w:rsidRPr="00790DC5">
        <w:rPr>
          <w:rFonts w:ascii="Times New Roman" w:hAnsi="Times New Roman" w:cs="Times New Roman"/>
          <w:sz w:val="24"/>
          <w:szCs w:val="24"/>
          <w:lang w:val="en-US"/>
        </w:rPr>
        <w:t xml:space="preserve">, N., </w:t>
      </w:r>
      <w:proofErr w:type="spellStart"/>
      <w:r w:rsidRPr="00790DC5">
        <w:rPr>
          <w:rFonts w:ascii="Times New Roman" w:hAnsi="Times New Roman" w:cs="Times New Roman"/>
          <w:sz w:val="24"/>
          <w:szCs w:val="24"/>
          <w:lang w:val="en-US"/>
        </w:rPr>
        <w:t>Jankensgård</w:t>
      </w:r>
      <w:proofErr w:type="spellEnd"/>
      <w:r w:rsidRPr="00790DC5">
        <w:rPr>
          <w:rFonts w:ascii="Times New Roman" w:hAnsi="Times New Roman" w:cs="Times New Roman"/>
          <w:sz w:val="24"/>
          <w:szCs w:val="24"/>
          <w:lang w:val="en-US"/>
        </w:rPr>
        <w:t>, H., 2015. Wall of cash: The investment-cash flow sensitivity when capital becomes abundant. </w:t>
      </w:r>
      <w:r w:rsidR="007140D8" w:rsidRPr="00790DC5">
        <w:rPr>
          <w:rFonts w:ascii="Times New Roman" w:hAnsi="Times New Roman" w:cs="Times New Roman"/>
          <w:sz w:val="24"/>
          <w:szCs w:val="24"/>
          <w:lang w:val="en-US"/>
        </w:rPr>
        <w:t xml:space="preserve">Journal of Banking and Finance </w:t>
      </w:r>
      <w:r w:rsidRPr="00790DC5">
        <w:rPr>
          <w:rFonts w:ascii="Times New Roman" w:hAnsi="Times New Roman" w:cs="Times New Roman"/>
          <w:sz w:val="24"/>
          <w:szCs w:val="24"/>
          <w:lang w:val="en-US"/>
        </w:rPr>
        <w:t>50, 204-213.</w:t>
      </w:r>
    </w:p>
    <w:p w14:paraId="42013938" w14:textId="272A003E"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Beatty, A., Liao, S., Weber, J.,</w:t>
      </w:r>
      <w:r w:rsidR="00120323" w:rsidRPr="00790DC5">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2012. Evidence on the determinants and economic consequences of delegated monitoring. J</w:t>
      </w:r>
      <w:r w:rsidR="007140D8" w:rsidRPr="00790DC5">
        <w:rPr>
          <w:rFonts w:ascii="Times New Roman" w:hAnsi="Times New Roman" w:cs="Times New Roman"/>
          <w:sz w:val="24"/>
          <w:szCs w:val="24"/>
          <w:lang w:val="en-US"/>
        </w:rPr>
        <w:t xml:space="preserve">ournal of Accounting and Economics </w:t>
      </w:r>
      <w:r w:rsidRPr="00790DC5">
        <w:rPr>
          <w:rFonts w:ascii="Times New Roman" w:hAnsi="Times New Roman" w:cs="Times New Roman"/>
          <w:sz w:val="24"/>
          <w:szCs w:val="24"/>
          <w:lang w:val="en-US"/>
        </w:rPr>
        <w:t>53, 555-576.</w:t>
      </w:r>
    </w:p>
    <w:p w14:paraId="69D88ACB" w14:textId="77777777" w:rsidR="001A73E2"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 xml:space="preserve">Becker, B., </w:t>
      </w:r>
      <w:proofErr w:type="spellStart"/>
      <w:r w:rsidRPr="00790DC5">
        <w:rPr>
          <w:rFonts w:ascii="Times New Roman" w:hAnsi="Times New Roman" w:cs="Times New Roman"/>
          <w:sz w:val="24"/>
          <w:szCs w:val="24"/>
          <w:lang w:val="en-US"/>
        </w:rPr>
        <w:t>Ivashina</w:t>
      </w:r>
      <w:proofErr w:type="spellEnd"/>
      <w:r w:rsidRPr="00790DC5">
        <w:rPr>
          <w:rFonts w:ascii="Times New Roman" w:hAnsi="Times New Roman" w:cs="Times New Roman"/>
          <w:sz w:val="24"/>
          <w:szCs w:val="24"/>
          <w:lang w:val="en-US"/>
        </w:rPr>
        <w:t>, V., 20</w:t>
      </w:r>
      <w:r w:rsidR="00120323" w:rsidRPr="00790DC5">
        <w:rPr>
          <w:rFonts w:ascii="Times New Roman" w:hAnsi="Times New Roman" w:cs="Times New Roman"/>
          <w:sz w:val="24"/>
          <w:szCs w:val="24"/>
          <w:lang w:val="en-US"/>
        </w:rPr>
        <w:t>22</w:t>
      </w:r>
      <w:r w:rsidRPr="00790DC5">
        <w:rPr>
          <w:rFonts w:ascii="Times New Roman" w:hAnsi="Times New Roman" w:cs="Times New Roman"/>
          <w:sz w:val="24"/>
          <w:szCs w:val="24"/>
          <w:lang w:val="en-US"/>
        </w:rPr>
        <w:t xml:space="preserve">. Disruption and credit markets. Working paper, NBER. </w:t>
      </w:r>
    </w:p>
    <w:p w14:paraId="6513DA73" w14:textId="074E81DC"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Berkovitch</w:t>
      </w:r>
      <w:proofErr w:type="spellEnd"/>
      <w:r w:rsidRPr="00790DC5">
        <w:rPr>
          <w:rFonts w:ascii="Times New Roman" w:hAnsi="Times New Roman" w:cs="Times New Roman"/>
          <w:sz w:val="24"/>
          <w:szCs w:val="24"/>
          <w:lang w:val="en-US"/>
        </w:rPr>
        <w:t>, E., Kim, E. H., 1990. Financial contracting and leverage induced over‐and under‐investment incentives. </w:t>
      </w:r>
      <w:r w:rsidR="007140D8" w:rsidRPr="00790DC5">
        <w:rPr>
          <w:rFonts w:ascii="Times New Roman" w:hAnsi="Times New Roman" w:cs="Times New Roman"/>
          <w:sz w:val="24"/>
          <w:szCs w:val="24"/>
          <w:lang w:val="en-US"/>
        </w:rPr>
        <w:t xml:space="preserve">The Journal of Finance </w:t>
      </w:r>
      <w:r w:rsidRPr="00790DC5">
        <w:rPr>
          <w:rFonts w:ascii="Times New Roman" w:hAnsi="Times New Roman" w:cs="Times New Roman"/>
          <w:sz w:val="24"/>
          <w:szCs w:val="24"/>
          <w:lang w:val="en-US"/>
        </w:rPr>
        <w:t>45, 765-794.</w:t>
      </w:r>
    </w:p>
    <w:p w14:paraId="45B047EB" w14:textId="633CD4B6"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Billett</w:t>
      </w:r>
      <w:proofErr w:type="spellEnd"/>
      <w:r w:rsidRPr="00790DC5">
        <w:rPr>
          <w:rFonts w:ascii="Times New Roman" w:hAnsi="Times New Roman" w:cs="Times New Roman"/>
          <w:sz w:val="24"/>
          <w:szCs w:val="24"/>
          <w:lang w:val="en-US"/>
        </w:rPr>
        <w:t>, M. T., King, T. H. D., Mauer, D. C., 2007. Growth opportunities and the choice of leverage, debt maturity, and covenants. </w:t>
      </w:r>
      <w:r w:rsidR="007140D8" w:rsidRPr="00790DC5">
        <w:rPr>
          <w:rFonts w:ascii="Times New Roman" w:hAnsi="Times New Roman" w:cs="Times New Roman"/>
          <w:sz w:val="24"/>
          <w:szCs w:val="24"/>
          <w:lang w:val="en-US"/>
        </w:rPr>
        <w:t xml:space="preserve">The Journal of Finance </w:t>
      </w:r>
      <w:r w:rsidRPr="00790DC5">
        <w:rPr>
          <w:rFonts w:ascii="Times New Roman" w:hAnsi="Times New Roman" w:cs="Times New Roman"/>
          <w:sz w:val="24"/>
          <w:szCs w:val="24"/>
          <w:lang w:val="en-US"/>
        </w:rPr>
        <w:t>62, 697-730.</w:t>
      </w:r>
    </w:p>
    <w:p w14:paraId="16C3C98E" w14:textId="7CA3CB33"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Bodie, Z., Taggart, R. A., 1978. Future investment opportunities and the value of the call provision on a bond. </w:t>
      </w:r>
      <w:r w:rsidR="007140D8" w:rsidRPr="00790DC5">
        <w:rPr>
          <w:rFonts w:ascii="Times New Roman" w:hAnsi="Times New Roman" w:cs="Times New Roman"/>
          <w:sz w:val="24"/>
          <w:szCs w:val="24"/>
          <w:lang w:val="en-US"/>
        </w:rPr>
        <w:t xml:space="preserve">The Journal of Finance </w:t>
      </w:r>
      <w:r w:rsidRPr="00790DC5">
        <w:rPr>
          <w:rFonts w:ascii="Times New Roman" w:hAnsi="Times New Roman" w:cs="Times New Roman"/>
          <w:sz w:val="24"/>
          <w:szCs w:val="24"/>
          <w:lang w:val="en-US"/>
        </w:rPr>
        <w:t>33, 1187-1200.</w:t>
      </w:r>
    </w:p>
    <w:p w14:paraId="7018157D" w14:textId="23F65266"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Bradley, M., Roberts, M. R., 2015. The structure and pricing of corporate debt covenants. Q</w:t>
      </w:r>
      <w:r w:rsidR="00DD3324" w:rsidRPr="00790DC5">
        <w:rPr>
          <w:rFonts w:ascii="Times New Roman" w:hAnsi="Times New Roman" w:cs="Times New Roman"/>
          <w:sz w:val="24"/>
          <w:szCs w:val="24"/>
          <w:lang w:val="en-US"/>
        </w:rPr>
        <w:t>uarterly</w:t>
      </w:r>
      <w:r w:rsidR="007140D8" w:rsidRPr="00790DC5">
        <w:rPr>
          <w:rFonts w:ascii="Times New Roman" w:hAnsi="Times New Roman" w:cs="Times New Roman"/>
          <w:sz w:val="24"/>
          <w:szCs w:val="24"/>
          <w:lang w:val="en-US"/>
        </w:rPr>
        <w:t xml:space="preserve"> Journal of Finance </w:t>
      </w:r>
      <w:r w:rsidRPr="00790DC5">
        <w:rPr>
          <w:rFonts w:ascii="Times New Roman" w:hAnsi="Times New Roman" w:cs="Times New Roman"/>
          <w:sz w:val="24"/>
          <w:szCs w:val="24"/>
          <w:lang w:val="en-US"/>
        </w:rPr>
        <w:t xml:space="preserve">5, </w:t>
      </w:r>
      <w:r w:rsidR="001C44D9" w:rsidRPr="00790DC5">
        <w:rPr>
          <w:rFonts w:ascii="Times New Roman" w:hAnsi="Times New Roman" w:cs="Times New Roman"/>
          <w:sz w:val="24"/>
          <w:szCs w:val="24"/>
          <w:lang w:val="en-US"/>
        </w:rPr>
        <w:t>1-37.</w:t>
      </w:r>
    </w:p>
    <w:p w14:paraId="66FD527F" w14:textId="7379C287"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Brennan, M. J., Schwartz, E. S., 1988. The case for convertibles. J</w:t>
      </w:r>
      <w:r w:rsidR="00DD3324" w:rsidRPr="00790DC5">
        <w:rPr>
          <w:rFonts w:ascii="Times New Roman" w:hAnsi="Times New Roman" w:cs="Times New Roman"/>
          <w:sz w:val="24"/>
          <w:szCs w:val="24"/>
          <w:lang w:val="en-US"/>
        </w:rPr>
        <w:t xml:space="preserve">ournal of Applied Corporate Finance </w:t>
      </w:r>
      <w:r w:rsidRPr="00790DC5">
        <w:rPr>
          <w:rFonts w:ascii="Times New Roman" w:hAnsi="Times New Roman" w:cs="Times New Roman"/>
          <w:sz w:val="24"/>
          <w:szCs w:val="24"/>
          <w:lang w:val="en-US"/>
        </w:rPr>
        <w:t>1, 55-64.</w:t>
      </w:r>
    </w:p>
    <w:p w14:paraId="1F52B62B" w14:textId="0629B8DC"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Brennan, M., Kraus, A., 1987. Efficient financing under asymmetric information. </w:t>
      </w:r>
      <w:r w:rsidR="00DD3324" w:rsidRPr="00790DC5">
        <w:rPr>
          <w:rFonts w:ascii="Times New Roman" w:hAnsi="Times New Roman" w:cs="Times New Roman"/>
          <w:sz w:val="24"/>
          <w:szCs w:val="24"/>
          <w:lang w:val="en-US"/>
        </w:rPr>
        <w:t xml:space="preserve">The Journal of Finance </w:t>
      </w:r>
      <w:r w:rsidRPr="00790DC5">
        <w:rPr>
          <w:rFonts w:ascii="Times New Roman" w:hAnsi="Times New Roman" w:cs="Times New Roman"/>
          <w:sz w:val="24"/>
          <w:szCs w:val="24"/>
          <w:lang w:val="en-US"/>
        </w:rPr>
        <w:t>42, 1225-1243.</w:t>
      </w:r>
    </w:p>
    <w:p w14:paraId="432355E7" w14:textId="76FF4042"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Calamos</w:t>
      </w:r>
      <w:proofErr w:type="spellEnd"/>
      <w:r w:rsidRPr="00790DC5">
        <w:rPr>
          <w:rFonts w:ascii="Times New Roman" w:hAnsi="Times New Roman" w:cs="Times New Roman"/>
          <w:sz w:val="24"/>
          <w:szCs w:val="24"/>
          <w:lang w:val="en-US"/>
        </w:rPr>
        <w:t xml:space="preserve">, J. 2020., Convertible securities: Structures, valuation, market environment, and asset allocation. Available at </w:t>
      </w:r>
      <w:hyperlink r:id="rId17" w:history="1">
        <w:r w:rsidRPr="00790DC5">
          <w:rPr>
            <w:rStyle w:val="Hyperlink"/>
            <w:rFonts w:ascii="Times New Roman" w:hAnsi="Times New Roman" w:cs="Times New Roman"/>
            <w:sz w:val="24"/>
            <w:szCs w:val="24"/>
            <w:lang w:val="en-US"/>
          </w:rPr>
          <w:t>www.calamos.com</w:t>
        </w:r>
      </w:hyperlink>
      <w:r w:rsidRPr="00790DC5">
        <w:rPr>
          <w:rFonts w:ascii="Times New Roman" w:hAnsi="Times New Roman" w:cs="Times New Roman"/>
          <w:sz w:val="24"/>
          <w:szCs w:val="24"/>
          <w:lang w:val="en-US"/>
        </w:rPr>
        <w:t xml:space="preserve"> (accessed 1</w:t>
      </w:r>
      <w:r w:rsidR="00EC0DC1" w:rsidRPr="00790DC5">
        <w:rPr>
          <w:rFonts w:ascii="Times New Roman" w:hAnsi="Times New Roman" w:cs="Times New Roman"/>
          <w:sz w:val="24"/>
          <w:szCs w:val="24"/>
          <w:lang w:val="en-US"/>
        </w:rPr>
        <w:t>6</w:t>
      </w:r>
      <w:r w:rsidRPr="00790DC5">
        <w:rPr>
          <w:rFonts w:ascii="Times New Roman" w:hAnsi="Times New Roman" w:cs="Times New Roman"/>
          <w:sz w:val="24"/>
          <w:szCs w:val="24"/>
          <w:lang w:val="en-US"/>
        </w:rPr>
        <w:t xml:space="preserve"> June 2022). </w:t>
      </w:r>
    </w:p>
    <w:p w14:paraId="3DA3674B" w14:textId="204FF53A"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 xml:space="preserve">Campa, J. M., </w:t>
      </w:r>
      <w:proofErr w:type="spellStart"/>
      <w:r w:rsidRPr="00790DC5">
        <w:rPr>
          <w:rFonts w:ascii="Times New Roman" w:hAnsi="Times New Roman" w:cs="Times New Roman"/>
          <w:sz w:val="24"/>
          <w:szCs w:val="24"/>
          <w:lang w:val="en-US"/>
        </w:rPr>
        <w:t>Kedia</w:t>
      </w:r>
      <w:proofErr w:type="spellEnd"/>
      <w:r w:rsidRPr="00790DC5">
        <w:rPr>
          <w:rFonts w:ascii="Times New Roman" w:hAnsi="Times New Roman" w:cs="Times New Roman"/>
          <w:sz w:val="24"/>
          <w:szCs w:val="24"/>
          <w:lang w:val="en-US"/>
        </w:rPr>
        <w:t>, S.,</w:t>
      </w:r>
      <w:r w:rsidR="001C44D9" w:rsidRPr="00790DC5">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2002. Explaining the diversification discount.</w:t>
      </w:r>
      <w:r w:rsidR="00DD3324" w:rsidRPr="00790DC5">
        <w:rPr>
          <w:rFonts w:ascii="Times New Roman" w:hAnsi="Times New Roman" w:cs="Times New Roman"/>
          <w:sz w:val="24"/>
          <w:szCs w:val="24"/>
          <w:lang w:val="en-US"/>
        </w:rPr>
        <w:t xml:space="preserve"> The Journal of Finance</w:t>
      </w:r>
      <w:r w:rsidRPr="00790DC5">
        <w:rPr>
          <w:rFonts w:ascii="Times New Roman" w:hAnsi="Times New Roman" w:cs="Times New Roman"/>
          <w:sz w:val="24"/>
          <w:szCs w:val="24"/>
          <w:lang w:val="en-US"/>
        </w:rPr>
        <w:t> 57, 1731-1762.</w:t>
      </w:r>
    </w:p>
    <w:p w14:paraId="40BE830F" w14:textId="5ADAE538"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 xml:space="preserve">Chan, A. W., Chen, N. F., 2007. Convertible bond underpricing: </w:t>
      </w:r>
      <w:r w:rsidR="00101123" w:rsidRPr="00790DC5">
        <w:rPr>
          <w:rFonts w:ascii="Times New Roman" w:hAnsi="Times New Roman" w:cs="Times New Roman"/>
          <w:sz w:val="24"/>
          <w:szCs w:val="24"/>
          <w:lang w:val="en-US"/>
        </w:rPr>
        <w:t>r</w:t>
      </w:r>
      <w:r w:rsidRPr="00790DC5">
        <w:rPr>
          <w:rFonts w:ascii="Times New Roman" w:hAnsi="Times New Roman" w:cs="Times New Roman"/>
          <w:sz w:val="24"/>
          <w:szCs w:val="24"/>
          <w:lang w:val="en-US"/>
        </w:rPr>
        <w:t>enegotiable covenants, seasoning, and convergence. </w:t>
      </w:r>
      <w:r w:rsidR="00DD3324" w:rsidRPr="00790DC5">
        <w:rPr>
          <w:rFonts w:ascii="Times New Roman" w:hAnsi="Times New Roman" w:cs="Times New Roman"/>
          <w:sz w:val="24"/>
          <w:szCs w:val="24"/>
          <w:lang w:val="en-US"/>
        </w:rPr>
        <w:t xml:space="preserve">Management Science </w:t>
      </w:r>
      <w:r w:rsidRPr="00790DC5">
        <w:rPr>
          <w:rFonts w:ascii="Times New Roman" w:hAnsi="Times New Roman" w:cs="Times New Roman"/>
          <w:sz w:val="24"/>
          <w:szCs w:val="24"/>
          <w:lang w:val="en-US"/>
        </w:rPr>
        <w:t>53, 1793-1814.</w:t>
      </w:r>
    </w:p>
    <w:p w14:paraId="67B6B5FB" w14:textId="71F2EB35"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Chava</w:t>
      </w:r>
      <w:proofErr w:type="spellEnd"/>
      <w:r w:rsidRPr="00790DC5">
        <w:rPr>
          <w:rFonts w:ascii="Times New Roman" w:hAnsi="Times New Roman" w:cs="Times New Roman"/>
          <w:sz w:val="24"/>
          <w:szCs w:val="24"/>
          <w:lang w:val="en-US"/>
        </w:rPr>
        <w:t xml:space="preserve">, S., Kumar, P., </w:t>
      </w:r>
      <w:proofErr w:type="spellStart"/>
      <w:r w:rsidRPr="00790DC5">
        <w:rPr>
          <w:rFonts w:ascii="Times New Roman" w:hAnsi="Times New Roman" w:cs="Times New Roman"/>
          <w:sz w:val="24"/>
          <w:szCs w:val="24"/>
          <w:lang w:val="en-US"/>
        </w:rPr>
        <w:t>Warga</w:t>
      </w:r>
      <w:proofErr w:type="spellEnd"/>
      <w:r w:rsidRPr="00790DC5">
        <w:rPr>
          <w:rFonts w:ascii="Times New Roman" w:hAnsi="Times New Roman" w:cs="Times New Roman"/>
          <w:sz w:val="24"/>
          <w:szCs w:val="24"/>
          <w:lang w:val="en-US"/>
        </w:rPr>
        <w:t>, A., 2010. Managerial agency and bond covenants.</w:t>
      </w:r>
      <w:r w:rsidR="00DD3324" w:rsidRPr="00790DC5">
        <w:rPr>
          <w:rFonts w:ascii="Times New Roman" w:hAnsi="Times New Roman" w:cs="Times New Roman"/>
          <w:sz w:val="24"/>
          <w:szCs w:val="24"/>
          <w:lang w:val="en-US"/>
        </w:rPr>
        <w:t xml:space="preserve"> Review of Financial Studies </w:t>
      </w:r>
      <w:r w:rsidRPr="00790DC5">
        <w:rPr>
          <w:rFonts w:ascii="Times New Roman" w:hAnsi="Times New Roman" w:cs="Times New Roman"/>
          <w:sz w:val="24"/>
          <w:szCs w:val="24"/>
          <w:lang w:val="en-US"/>
        </w:rPr>
        <w:t>23, 1120-1148.</w:t>
      </w:r>
    </w:p>
    <w:p w14:paraId="5A8908AA" w14:textId="5C5C4604" w:rsidR="00432C44" w:rsidRPr="00790DC5" w:rsidRDefault="00432C44" w:rsidP="00790DC5">
      <w:pPr>
        <w:jc w:val="both"/>
        <w:rPr>
          <w:rFonts w:ascii="Times New Roman" w:hAnsi="Times New Roman" w:cs="Times New Roman"/>
          <w:sz w:val="24"/>
          <w:szCs w:val="24"/>
          <w:lang w:val="en-US"/>
        </w:rPr>
      </w:pPr>
      <w:proofErr w:type="spellStart"/>
      <w:r w:rsidRPr="00441AB2">
        <w:rPr>
          <w:rFonts w:ascii="Times New Roman" w:hAnsi="Times New Roman" w:cs="Times New Roman"/>
          <w:sz w:val="24"/>
          <w:szCs w:val="24"/>
        </w:rPr>
        <w:t>Chava</w:t>
      </w:r>
      <w:proofErr w:type="spellEnd"/>
      <w:r w:rsidRPr="00441AB2">
        <w:rPr>
          <w:rFonts w:ascii="Times New Roman" w:hAnsi="Times New Roman" w:cs="Times New Roman"/>
          <w:sz w:val="24"/>
          <w:szCs w:val="24"/>
        </w:rPr>
        <w:t xml:space="preserve">, S., Wang, R., Zou, H., 2019. </w:t>
      </w:r>
      <w:r w:rsidRPr="00790DC5">
        <w:rPr>
          <w:rFonts w:ascii="Times New Roman" w:hAnsi="Times New Roman" w:cs="Times New Roman"/>
          <w:sz w:val="24"/>
          <w:szCs w:val="24"/>
          <w:lang w:val="en-US"/>
        </w:rPr>
        <w:t>Covenants, creditors’ simultaneous equity holdings, and firm investment policies. J</w:t>
      </w:r>
      <w:r w:rsidR="00DD3324" w:rsidRPr="00790DC5">
        <w:rPr>
          <w:rFonts w:ascii="Times New Roman" w:hAnsi="Times New Roman" w:cs="Times New Roman"/>
          <w:sz w:val="24"/>
          <w:szCs w:val="24"/>
          <w:lang w:val="en-US"/>
        </w:rPr>
        <w:t>ournal of Financial and Quantitative Analysis</w:t>
      </w:r>
      <w:r w:rsidRPr="00790DC5" w:rsidDel="004A0E86">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54, 481-512.</w:t>
      </w:r>
    </w:p>
    <w:p w14:paraId="00459903" w14:textId="1A9883CA" w:rsidR="00001351" w:rsidRPr="00790DC5" w:rsidRDefault="00001351" w:rsidP="00790DC5">
      <w:pPr>
        <w:jc w:val="both"/>
        <w:rPr>
          <w:rFonts w:ascii="Times New Roman" w:hAnsi="Times New Roman" w:cs="Times New Roman"/>
          <w:sz w:val="24"/>
          <w:szCs w:val="24"/>
          <w:lang w:val="en-US"/>
        </w:rPr>
      </w:pPr>
      <w:proofErr w:type="spellStart"/>
      <w:r w:rsidRPr="00790DC5">
        <w:rPr>
          <w:rStyle w:val="cf01"/>
          <w:rFonts w:ascii="Times New Roman" w:hAnsi="Times New Roman" w:cs="Times New Roman"/>
          <w:sz w:val="24"/>
          <w:szCs w:val="24"/>
        </w:rPr>
        <w:t>Chemmanur</w:t>
      </w:r>
      <w:proofErr w:type="spellEnd"/>
      <w:r w:rsidRPr="00790DC5">
        <w:rPr>
          <w:rStyle w:val="cf01"/>
          <w:rFonts w:ascii="Times New Roman" w:hAnsi="Times New Roman" w:cs="Times New Roman"/>
          <w:sz w:val="24"/>
          <w:szCs w:val="24"/>
        </w:rPr>
        <w:t xml:space="preserve">, T. J., </w:t>
      </w:r>
      <w:proofErr w:type="spellStart"/>
      <w:r w:rsidRPr="00790DC5">
        <w:rPr>
          <w:rStyle w:val="cf01"/>
          <w:rFonts w:ascii="Times New Roman" w:hAnsi="Times New Roman" w:cs="Times New Roman"/>
          <w:sz w:val="24"/>
          <w:szCs w:val="24"/>
        </w:rPr>
        <w:t>Simonyan</w:t>
      </w:r>
      <w:proofErr w:type="spellEnd"/>
      <w:r w:rsidRPr="00790DC5">
        <w:rPr>
          <w:rStyle w:val="cf01"/>
          <w:rFonts w:ascii="Times New Roman" w:hAnsi="Times New Roman" w:cs="Times New Roman"/>
          <w:sz w:val="24"/>
          <w:szCs w:val="24"/>
        </w:rPr>
        <w:t>, K.</w:t>
      </w:r>
      <w:r w:rsidR="007140D8" w:rsidRPr="00790DC5">
        <w:rPr>
          <w:rStyle w:val="cf01"/>
          <w:rFonts w:ascii="Times New Roman" w:hAnsi="Times New Roman" w:cs="Times New Roman"/>
          <w:sz w:val="24"/>
          <w:szCs w:val="24"/>
        </w:rPr>
        <w:t xml:space="preserve">, </w:t>
      </w:r>
      <w:r w:rsidRPr="00790DC5">
        <w:rPr>
          <w:rStyle w:val="cf01"/>
          <w:rFonts w:ascii="Times New Roman" w:hAnsi="Times New Roman" w:cs="Times New Roman"/>
          <w:sz w:val="24"/>
          <w:szCs w:val="24"/>
        </w:rPr>
        <w:t xml:space="preserve">2010. What </w:t>
      </w:r>
      <w:r w:rsidR="007140D8" w:rsidRPr="00790DC5">
        <w:rPr>
          <w:rStyle w:val="cf01"/>
          <w:rFonts w:ascii="Times New Roman" w:hAnsi="Times New Roman" w:cs="Times New Roman"/>
          <w:sz w:val="24"/>
          <w:szCs w:val="24"/>
        </w:rPr>
        <w:t>d</w:t>
      </w:r>
      <w:r w:rsidRPr="00790DC5">
        <w:rPr>
          <w:rStyle w:val="cf01"/>
          <w:rFonts w:ascii="Times New Roman" w:hAnsi="Times New Roman" w:cs="Times New Roman"/>
          <w:sz w:val="24"/>
          <w:szCs w:val="24"/>
        </w:rPr>
        <w:t xml:space="preserve">rives the </w:t>
      </w:r>
      <w:r w:rsidR="007140D8" w:rsidRPr="00790DC5">
        <w:rPr>
          <w:rStyle w:val="cf01"/>
          <w:rFonts w:ascii="Times New Roman" w:hAnsi="Times New Roman" w:cs="Times New Roman"/>
          <w:sz w:val="24"/>
          <w:szCs w:val="24"/>
        </w:rPr>
        <w:t>i</w:t>
      </w:r>
      <w:r w:rsidRPr="00790DC5">
        <w:rPr>
          <w:rStyle w:val="cf01"/>
          <w:rFonts w:ascii="Times New Roman" w:hAnsi="Times New Roman" w:cs="Times New Roman"/>
          <w:sz w:val="24"/>
          <w:szCs w:val="24"/>
        </w:rPr>
        <w:t xml:space="preserve">ssuance of </w:t>
      </w:r>
      <w:proofErr w:type="spellStart"/>
      <w:r w:rsidR="007140D8" w:rsidRPr="00790DC5">
        <w:rPr>
          <w:rStyle w:val="cf01"/>
          <w:rFonts w:ascii="Times New Roman" w:hAnsi="Times New Roman" w:cs="Times New Roman"/>
          <w:sz w:val="24"/>
          <w:szCs w:val="24"/>
        </w:rPr>
        <w:t>p</w:t>
      </w:r>
      <w:r w:rsidRPr="00790DC5">
        <w:rPr>
          <w:rStyle w:val="cf01"/>
          <w:rFonts w:ascii="Times New Roman" w:hAnsi="Times New Roman" w:cs="Times New Roman"/>
          <w:sz w:val="24"/>
          <w:szCs w:val="24"/>
        </w:rPr>
        <w:t>utable</w:t>
      </w:r>
      <w:proofErr w:type="spellEnd"/>
      <w:r w:rsidRPr="00790DC5">
        <w:rPr>
          <w:rStyle w:val="cf01"/>
          <w:rFonts w:ascii="Times New Roman" w:hAnsi="Times New Roman" w:cs="Times New Roman"/>
          <w:sz w:val="24"/>
          <w:szCs w:val="24"/>
        </w:rPr>
        <w:t xml:space="preserve"> </w:t>
      </w:r>
      <w:r w:rsidR="007140D8" w:rsidRPr="00790DC5">
        <w:rPr>
          <w:rStyle w:val="cf01"/>
          <w:rFonts w:ascii="Times New Roman" w:hAnsi="Times New Roman" w:cs="Times New Roman"/>
          <w:sz w:val="24"/>
          <w:szCs w:val="24"/>
        </w:rPr>
        <w:t>c</w:t>
      </w:r>
      <w:r w:rsidRPr="00790DC5">
        <w:rPr>
          <w:rStyle w:val="cf01"/>
          <w:rFonts w:ascii="Times New Roman" w:hAnsi="Times New Roman" w:cs="Times New Roman"/>
          <w:sz w:val="24"/>
          <w:szCs w:val="24"/>
        </w:rPr>
        <w:t xml:space="preserve">onvertibles: </w:t>
      </w:r>
      <w:r w:rsidR="007140D8" w:rsidRPr="00790DC5">
        <w:rPr>
          <w:rStyle w:val="cf01"/>
          <w:rFonts w:ascii="Times New Roman" w:hAnsi="Times New Roman" w:cs="Times New Roman"/>
          <w:sz w:val="24"/>
          <w:szCs w:val="24"/>
        </w:rPr>
        <w:t>r</w:t>
      </w:r>
      <w:r w:rsidRPr="00790DC5">
        <w:rPr>
          <w:rStyle w:val="cf01"/>
          <w:rFonts w:ascii="Times New Roman" w:hAnsi="Times New Roman" w:cs="Times New Roman"/>
          <w:sz w:val="24"/>
          <w:szCs w:val="24"/>
        </w:rPr>
        <w:t>isk‐</w:t>
      </w:r>
      <w:r w:rsidR="007140D8" w:rsidRPr="00790DC5">
        <w:rPr>
          <w:rStyle w:val="cf01"/>
          <w:rFonts w:ascii="Times New Roman" w:hAnsi="Times New Roman" w:cs="Times New Roman"/>
          <w:sz w:val="24"/>
          <w:szCs w:val="24"/>
        </w:rPr>
        <w:t>s</w:t>
      </w:r>
      <w:r w:rsidRPr="00790DC5">
        <w:rPr>
          <w:rStyle w:val="cf01"/>
          <w:rFonts w:ascii="Times New Roman" w:hAnsi="Times New Roman" w:cs="Times New Roman"/>
          <w:sz w:val="24"/>
          <w:szCs w:val="24"/>
        </w:rPr>
        <w:t xml:space="preserve">hifting, </w:t>
      </w:r>
      <w:r w:rsidR="00DD3324" w:rsidRPr="00790DC5">
        <w:rPr>
          <w:rStyle w:val="cf01"/>
          <w:rFonts w:ascii="Times New Roman" w:hAnsi="Times New Roman" w:cs="Times New Roman"/>
          <w:sz w:val="24"/>
          <w:szCs w:val="24"/>
        </w:rPr>
        <w:t>a</w:t>
      </w:r>
      <w:r w:rsidR="007140D8" w:rsidRPr="00790DC5">
        <w:rPr>
          <w:rStyle w:val="cf01"/>
          <w:rFonts w:ascii="Times New Roman" w:hAnsi="Times New Roman" w:cs="Times New Roman"/>
          <w:sz w:val="24"/>
          <w:szCs w:val="24"/>
        </w:rPr>
        <w:t>s</w:t>
      </w:r>
      <w:r w:rsidRPr="00790DC5">
        <w:rPr>
          <w:rStyle w:val="cf01"/>
          <w:rFonts w:ascii="Times New Roman" w:hAnsi="Times New Roman" w:cs="Times New Roman"/>
          <w:sz w:val="24"/>
          <w:szCs w:val="24"/>
        </w:rPr>
        <w:t xml:space="preserve">ymmetric </w:t>
      </w:r>
      <w:r w:rsidR="007140D8" w:rsidRPr="00790DC5">
        <w:rPr>
          <w:rStyle w:val="cf01"/>
          <w:rFonts w:ascii="Times New Roman" w:hAnsi="Times New Roman" w:cs="Times New Roman"/>
          <w:sz w:val="24"/>
          <w:szCs w:val="24"/>
        </w:rPr>
        <w:t>i</w:t>
      </w:r>
      <w:r w:rsidRPr="00790DC5">
        <w:rPr>
          <w:rStyle w:val="cf01"/>
          <w:rFonts w:ascii="Times New Roman" w:hAnsi="Times New Roman" w:cs="Times New Roman"/>
          <w:sz w:val="24"/>
          <w:szCs w:val="24"/>
        </w:rPr>
        <w:t xml:space="preserve">nformation, or </w:t>
      </w:r>
      <w:proofErr w:type="gramStart"/>
      <w:r w:rsidR="007140D8" w:rsidRPr="00790DC5">
        <w:rPr>
          <w:rStyle w:val="cf01"/>
          <w:rFonts w:ascii="Times New Roman" w:hAnsi="Times New Roman" w:cs="Times New Roman"/>
          <w:sz w:val="24"/>
          <w:szCs w:val="24"/>
        </w:rPr>
        <w:t>t</w:t>
      </w:r>
      <w:r w:rsidRPr="00790DC5">
        <w:rPr>
          <w:rStyle w:val="cf01"/>
          <w:rFonts w:ascii="Times New Roman" w:hAnsi="Times New Roman" w:cs="Times New Roman"/>
          <w:sz w:val="24"/>
          <w:szCs w:val="24"/>
        </w:rPr>
        <w:t>axes?.</w:t>
      </w:r>
      <w:proofErr w:type="gramEnd"/>
      <w:r w:rsidRPr="00790DC5">
        <w:rPr>
          <w:rStyle w:val="cf01"/>
          <w:rFonts w:ascii="Times New Roman" w:hAnsi="Times New Roman" w:cs="Times New Roman"/>
          <w:sz w:val="24"/>
          <w:szCs w:val="24"/>
        </w:rPr>
        <w:t> </w:t>
      </w:r>
      <w:r w:rsidR="00DD3324" w:rsidRPr="00790DC5">
        <w:rPr>
          <w:rStyle w:val="cf11"/>
          <w:rFonts w:ascii="Times New Roman" w:hAnsi="Times New Roman" w:cs="Times New Roman"/>
          <w:sz w:val="24"/>
          <w:szCs w:val="24"/>
        </w:rPr>
        <w:t xml:space="preserve"> </w:t>
      </w:r>
      <w:r w:rsidR="00DD3324" w:rsidRPr="00790DC5">
        <w:rPr>
          <w:rStyle w:val="cf11"/>
          <w:rFonts w:ascii="Times New Roman" w:hAnsi="Times New Roman" w:cs="Times New Roman"/>
          <w:i w:val="0"/>
          <w:iCs w:val="0"/>
          <w:sz w:val="24"/>
          <w:szCs w:val="24"/>
        </w:rPr>
        <w:t xml:space="preserve">Financial Management </w:t>
      </w:r>
      <w:r w:rsidRPr="00790DC5">
        <w:rPr>
          <w:rStyle w:val="cf11"/>
          <w:rFonts w:ascii="Times New Roman" w:hAnsi="Times New Roman" w:cs="Times New Roman"/>
          <w:i w:val="0"/>
          <w:iCs w:val="0"/>
          <w:sz w:val="24"/>
          <w:szCs w:val="24"/>
        </w:rPr>
        <w:t>39</w:t>
      </w:r>
      <w:r w:rsidRPr="00790DC5">
        <w:rPr>
          <w:rStyle w:val="cf01"/>
          <w:rFonts w:ascii="Times New Roman" w:hAnsi="Times New Roman" w:cs="Times New Roman"/>
          <w:sz w:val="24"/>
          <w:szCs w:val="24"/>
        </w:rPr>
        <w:t>, 1027-1068.</w:t>
      </w:r>
    </w:p>
    <w:p w14:paraId="6367F127" w14:textId="30E1F988" w:rsidR="00432C44" w:rsidRPr="00790DC5" w:rsidRDefault="00432C44" w:rsidP="00790DC5">
      <w:pPr>
        <w:jc w:val="both"/>
        <w:rPr>
          <w:rFonts w:ascii="Times New Roman" w:hAnsi="Times New Roman" w:cs="Times New Roman"/>
          <w:sz w:val="24"/>
          <w:szCs w:val="24"/>
          <w:lang w:val="en-US"/>
        </w:rPr>
      </w:pPr>
      <w:r w:rsidRPr="00441AB2">
        <w:rPr>
          <w:rFonts w:ascii="Times New Roman" w:hAnsi="Times New Roman" w:cs="Times New Roman"/>
          <w:sz w:val="24"/>
          <w:szCs w:val="24"/>
        </w:rPr>
        <w:t xml:space="preserve">Choe, H., </w:t>
      </w:r>
      <w:proofErr w:type="spellStart"/>
      <w:r w:rsidRPr="00441AB2">
        <w:rPr>
          <w:rFonts w:ascii="Times New Roman" w:hAnsi="Times New Roman" w:cs="Times New Roman"/>
          <w:sz w:val="24"/>
          <w:szCs w:val="24"/>
        </w:rPr>
        <w:t>Masulis</w:t>
      </w:r>
      <w:proofErr w:type="spellEnd"/>
      <w:r w:rsidRPr="00441AB2">
        <w:rPr>
          <w:rFonts w:ascii="Times New Roman" w:hAnsi="Times New Roman" w:cs="Times New Roman"/>
          <w:sz w:val="24"/>
          <w:szCs w:val="24"/>
        </w:rPr>
        <w:t xml:space="preserve">, R. W., Nanda, V., 1993. </w:t>
      </w:r>
      <w:r w:rsidRPr="00790DC5">
        <w:rPr>
          <w:rFonts w:ascii="Times New Roman" w:hAnsi="Times New Roman" w:cs="Times New Roman"/>
          <w:sz w:val="24"/>
          <w:szCs w:val="24"/>
          <w:lang w:val="en-US"/>
        </w:rPr>
        <w:t>Common stock offerings across the business cycle: Theory and evidence. </w:t>
      </w:r>
      <w:r w:rsidR="00DD3324" w:rsidRPr="00790DC5">
        <w:rPr>
          <w:rFonts w:ascii="Times New Roman" w:hAnsi="Times New Roman" w:cs="Times New Roman"/>
          <w:sz w:val="24"/>
          <w:szCs w:val="24"/>
          <w:lang w:val="en-US"/>
        </w:rPr>
        <w:t xml:space="preserve">Journal of Empirical Finance </w:t>
      </w:r>
      <w:r w:rsidRPr="00790DC5">
        <w:rPr>
          <w:rFonts w:ascii="Times New Roman" w:hAnsi="Times New Roman" w:cs="Times New Roman"/>
          <w:sz w:val="24"/>
          <w:szCs w:val="24"/>
          <w:lang w:val="en-US"/>
        </w:rPr>
        <w:t>11, 3-31.</w:t>
      </w:r>
    </w:p>
    <w:p w14:paraId="54816B36" w14:textId="4B6F72E7"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Cook, D. O., Fu, X., Tang, T., 2014. The effect of liquidity and solvency risk on the inclusion of bond covenants. </w:t>
      </w:r>
      <w:r w:rsidR="00DD3324" w:rsidRPr="00790DC5">
        <w:rPr>
          <w:rFonts w:ascii="Times New Roman" w:hAnsi="Times New Roman" w:cs="Times New Roman"/>
          <w:sz w:val="24"/>
          <w:szCs w:val="24"/>
          <w:lang w:val="en-US"/>
        </w:rPr>
        <w:t xml:space="preserve">Journal of Banking and Finance </w:t>
      </w:r>
      <w:r w:rsidRPr="00790DC5">
        <w:rPr>
          <w:rFonts w:ascii="Times New Roman" w:hAnsi="Times New Roman" w:cs="Times New Roman"/>
          <w:sz w:val="24"/>
          <w:szCs w:val="24"/>
          <w:lang w:val="en-US"/>
        </w:rPr>
        <w:t>48, 120-136.</w:t>
      </w:r>
    </w:p>
    <w:p w14:paraId="03FACFA3" w14:textId="6D0184C7"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lastRenderedPageBreak/>
        <w:t xml:space="preserve">Denis, D. J., </w:t>
      </w:r>
      <w:proofErr w:type="spellStart"/>
      <w:r w:rsidRPr="00790DC5">
        <w:rPr>
          <w:rFonts w:ascii="Times New Roman" w:hAnsi="Times New Roman" w:cs="Times New Roman"/>
          <w:sz w:val="24"/>
          <w:szCs w:val="24"/>
          <w:lang w:val="en-US"/>
        </w:rPr>
        <w:t>Mihov</w:t>
      </w:r>
      <w:proofErr w:type="spellEnd"/>
      <w:r w:rsidRPr="00790DC5">
        <w:rPr>
          <w:rFonts w:ascii="Times New Roman" w:hAnsi="Times New Roman" w:cs="Times New Roman"/>
          <w:sz w:val="24"/>
          <w:szCs w:val="24"/>
          <w:lang w:val="en-US"/>
        </w:rPr>
        <w:t>, V. T.,</w:t>
      </w:r>
      <w:r w:rsidR="001C44D9" w:rsidRPr="00790DC5">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2003. The choice among bank debt, non-bank private debt, and public debt: evidence from new corporate borrowings. </w:t>
      </w:r>
      <w:r w:rsidR="00DD3324" w:rsidRPr="00790DC5">
        <w:rPr>
          <w:rFonts w:ascii="Times New Roman" w:hAnsi="Times New Roman" w:cs="Times New Roman"/>
          <w:sz w:val="24"/>
          <w:szCs w:val="24"/>
          <w:lang w:val="en-US"/>
        </w:rPr>
        <w:t xml:space="preserve">Journal of Financial Economics </w:t>
      </w:r>
      <w:r w:rsidRPr="00790DC5">
        <w:rPr>
          <w:rFonts w:ascii="Times New Roman" w:hAnsi="Times New Roman" w:cs="Times New Roman"/>
          <w:sz w:val="24"/>
          <w:szCs w:val="24"/>
          <w:lang w:val="en-US"/>
        </w:rPr>
        <w:t>70, 3-28.</w:t>
      </w:r>
    </w:p>
    <w:p w14:paraId="47FC4B99" w14:textId="6B200467"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rPr>
        <w:t xml:space="preserve">Dong, M., Dutordoir, M., Veld, C., 2018. </w:t>
      </w:r>
      <w:r w:rsidRPr="00790DC5">
        <w:rPr>
          <w:rFonts w:ascii="Times New Roman" w:hAnsi="Times New Roman" w:cs="Times New Roman"/>
          <w:sz w:val="24"/>
          <w:szCs w:val="24"/>
          <w:lang w:val="en-US"/>
        </w:rPr>
        <w:t xml:space="preserve">Why do firms issue convertible bonds? Evidence from the field. </w:t>
      </w:r>
      <w:r w:rsidR="00DD3324" w:rsidRPr="00790DC5">
        <w:rPr>
          <w:rFonts w:ascii="Times New Roman" w:hAnsi="Times New Roman" w:cs="Times New Roman"/>
          <w:sz w:val="24"/>
          <w:szCs w:val="24"/>
          <w:lang w:val="en-US"/>
        </w:rPr>
        <w:t>Critical Finance Review</w:t>
      </w:r>
      <w:r w:rsidRPr="00790DC5">
        <w:rPr>
          <w:rFonts w:ascii="Times New Roman" w:hAnsi="Times New Roman" w:cs="Times New Roman"/>
          <w:sz w:val="24"/>
          <w:szCs w:val="24"/>
          <w:lang w:val="en-US"/>
        </w:rPr>
        <w:t xml:space="preserve"> 7, 111-164.</w:t>
      </w:r>
    </w:p>
    <w:p w14:paraId="34ED0CF1" w14:textId="7B2C8C3A"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Dorion</w:t>
      </w:r>
      <w:proofErr w:type="spellEnd"/>
      <w:r w:rsidRPr="00790DC5">
        <w:rPr>
          <w:rFonts w:ascii="Times New Roman" w:hAnsi="Times New Roman" w:cs="Times New Roman"/>
          <w:sz w:val="24"/>
          <w:szCs w:val="24"/>
          <w:lang w:val="en-US"/>
        </w:rPr>
        <w:t xml:space="preserve">, C., François, P., Grass, G., </w:t>
      </w:r>
      <w:proofErr w:type="spellStart"/>
      <w:r w:rsidRPr="00790DC5">
        <w:rPr>
          <w:rFonts w:ascii="Times New Roman" w:hAnsi="Times New Roman" w:cs="Times New Roman"/>
          <w:sz w:val="24"/>
          <w:szCs w:val="24"/>
          <w:lang w:val="en-US"/>
        </w:rPr>
        <w:t>Jeanneret</w:t>
      </w:r>
      <w:proofErr w:type="spellEnd"/>
      <w:r w:rsidRPr="00790DC5">
        <w:rPr>
          <w:rFonts w:ascii="Times New Roman" w:hAnsi="Times New Roman" w:cs="Times New Roman"/>
          <w:sz w:val="24"/>
          <w:szCs w:val="24"/>
          <w:lang w:val="en-US"/>
        </w:rPr>
        <w:t>, A., 2014. Convertible debt and shareholder incentives. </w:t>
      </w:r>
      <w:r w:rsidR="00DD3324" w:rsidRPr="00790DC5">
        <w:rPr>
          <w:rFonts w:ascii="Times New Roman" w:hAnsi="Times New Roman" w:cs="Times New Roman"/>
          <w:sz w:val="24"/>
          <w:szCs w:val="24"/>
          <w:lang w:val="en-US"/>
        </w:rPr>
        <w:t xml:space="preserve">Journal of Corporate Finance </w:t>
      </w:r>
      <w:r w:rsidRPr="00790DC5">
        <w:rPr>
          <w:rFonts w:ascii="Times New Roman" w:hAnsi="Times New Roman" w:cs="Times New Roman"/>
          <w:sz w:val="24"/>
          <w:szCs w:val="24"/>
          <w:lang w:val="en-US"/>
        </w:rPr>
        <w:t>24, 38-56.</w:t>
      </w:r>
    </w:p>
    <w:p w14:paraId="051643A9" w14:textId="441AD9FF"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Driebusch</w:t>
      </w:r>
      <w:proofErr w:type="spellEnd"/>
      <w:r w:rsidRPr="00790DC5">
        <w:rPr>
          <w:rFonts w:ascii="Times New Roman" w:hAnsi="Times New Roman" w:cs="Times New Roman"/>
          <w:sz w:val="24"/>
          <w:szCs w:val="24"/>
          <w:lang w:val="en-US"/>
        </w:rPr>
        <w:t>, C., 2022. Record run for zero-interest convertibles hits a wall. Wall Street Journal, February 4</w:t>
      </w:r>
      <w:proofErr w:type="gramStart"/>
      <w:r w:rsidRPr="00790DC5">
        <w:rPr>
          <w:rFonts w:ascii="Times New Roman" w:hAnsi="Times New Roman" w:cs="Times New Roman"/>
          <w:sz w:val="24"/>
          <w:szCs w:val="24"/>
          <w:lang w:val="en-US"/>
        </w:rPr>
        <w:t xml:space="preserve"> 2022</w:t>
      </w:r>
      <w:proofErr w:type="gramEnd"/>
      <w:r w:rsidRPr="00790DC5">
        <w:rPr>
          <w:rFonts w:ascii="Times New Roman" w:hAnsi="Times New Roman" w:cs="Times New Roman"/>
          <w:sz w:val="24"/>
          <w:szCs w:val="24"/>
          <w:lang w:val="en-US"/>
        </w:rPr>
        <w:t xml:space="preserve">. </w:t>
      </w:r>
      <w:r w:rsidR="00111C0D" w:rsidRPr="00790DC5">
        <w:rPr>
          <w:rFonts w:ascii="Times New Roman" w:hAnsi="Times New Roman" w:cs="Times New Roman"/>
          <w:sz w:val="24"/>
          <w:szCs w:val="24"/>
          <w:lang w:val="en-US"/>
        </w:rPr>
        <w:t>Available at https://www.wsj.com/articles/record-run-for-zero-interest-convertible-bonds-hits-a-wall-11643970605.</w:t>
      </w:r>
    </w:p>
    <w:p w14:paraId="422E5029" w14:textId="3204F0D1"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nl-NL"/>
        </w:rPr>
        <w:t xml:space="preserve">Duca, E., Dutordoir, M., Veld, C., Verwijmeren, P., 2012. </w:t>
      </w:r>
      <w:r w:rsidRPr="00790DC5">
        <w:rPr>
          <w:rFonts w:ascii="Times New Roman" w:hAnsi="Times New Roman" w:cs="Times New Roman"/>
          <w:sz w:val="24"/>
          <w:szCs w:val="24"/>
          <w:lang w:val="en-US"/>
        </w:rPr>
        <w:t>Why are convertible bond announcements associated with increasingly negative issuer stock returns? An arbitrage-based explanation. J</w:t>
      </w:r>
      <w:r w:rsidR="00EC0DC1" w:rsidRPr="00790DC5">
        <w:rPr>
          <w:rFonts w:ascii="Times New Roman" w:hAnsi="Times New Roman" w:cs="Times New Roman"/>
          <w:sz w:val="24"/>
          <w:szCs w:val="24"/>
          <w:lang w:val="en-US"/>
        </w:rPr>
        <w:t xml:space="preserve">ournal of Banking and Finance </w:t>
      </w:r>
      <w:r w:rsidRPr="00790DC5">
        <w:rPr>
          <w:rFonts w:ascii="Times New Roman" w:hAnsi="Times New Roman" w:cs="Times New Roman"/>
          <w:sz w:val="24"/>
          <w:szCs w:val="24"/>
          <w:lang w:val="en-US"/>
        </w:rPr>
        <w:t>36, 2884-2899.</w:t>
      </w:r>
    </w:p>
    <w:p w14:paraId="05C5FD5B" w14:textId="4170617F"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Dutordoir, M., Lewis, C., Seward, J., Veld, C., 2014. What we do and do not know about convertible bond financing. J</w:t>
      </w:r>
      <w:r w:rsidR="00EC0DC1" w:rsidRPr="00790DC5">
        <w:rPr>
          <w:rFonts w:ascii="Times New Roman" w:hAnsi="Times New Roman" w:cs="Times New Roman"/>
          <w:sz w:val="24"/>
          <w:szCs w:val="24"/>
          <w:lang w:val="en-US"/>
        </w:rPr>
        <w:t xml:space="preserve">ournal of </w:t>
      </w:r>
      <w:r w:rsidRPr="00790DC5">
        <w:rPr>
          <w:rFonts w:ascii="Times New Roman" w:hAnsi="Times New Roman" w:cs="Times New Roman"/>
          <w:sz w:val="24"/>
          <w:szCs w:val="24"/>
          <w:lang w:val="en-US"/>
        </w:rPr>
        <w:t>Corp</w:t>
      </w:r>
      <w:r w:rsidR="00EC0DC1" w:rsidRPr="00790DC5">
        <w:rPr>
          <w:rFonts w:ascii="Times New Roman" w:hAnsi="Times New Roman" w:cs="Times New Roman"/>
          <w:sz w:val="24"/>
          <w:szCs w:val="24"/>
          <w:lang w:val="en-US"/>
        </w:rPr>
        <w:t xml:space="preserve">orate </w:t>
      </w:r>
      <w:r w:rsidRPr="00790DC5">
        <w:rPr>
          <w:rFonts w:ascii="Times New Roman" w:hAnsi="Times New Roman" w:cs="Times New Roman"/>
          <w:sz w:val="24"/>
          <w:szCs w:val="24"/>
          <w:lang w:val="en-US"/>
        </w:rPr>
        <w:t>Finance</w:t>
      </w:r>
      <w:r w:rsidR="00EC0DC1" w:rsidRPr="00790DC5">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24, 3-20.</w:t>
      </w:r>
    </w:p>
    <w:p w14:paraId="51AAF3D9" w14:textId="208D55ED"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rPr>
        <w:t xml:space="preserve">Dutordoir, M., Van de Gucht, L., 2007. </w:t>
      </w:r>
      <w:r w:rsidRPr="00790DC5">
        <w:rPr>
          <w:rFonts w:ascii="Times New Roman" w:hAnsi="Times New Roman" w:cs="Times New Roman"/>
          <w:sz w:val="24"/>
          <w:szCs w:val="24"/>
          <w:lang w:val="en-US"/>
        </w:rPr>
        <w:t>Are there windows of opportunity for convertible debt issuance? Evidence for Western Europe</w:t>
      </w:r>
      <w:r w:rsidR="00EC0DC1" w:rsidRPr="00790DC5">
        <w:rPr>
          <w:rFonts w:ascii="Times New Roman" w:hAnsi="Times New Roman" w:cs="Times New Roman"/>
          <w:sz w:val="24"/>
          <w:szCs w:val="24"/>
          <w:lang w:val="en-US"/>
        </w:rPr>
        <w:t>.</w:t>
      </w:r>
      <w:r w:rsidRPr="00790DC5">
        <w:rPr>
          <w:rFonts w:ascii="Times New Roman" w:hAnsi="Times New Roman" w:cs="Times New Roman"/>
          <w:sz w:val="24"/>
          <w:szCs w:val="24"/>
          <w:lang w:val="en-US"/>
        </w:rPr>
        <w:t xml:space="preserve"> </w:t>
      </w:r>
      <w:r w:rsidR="00EC0DC1" w:rsidRPr="00790DC5">
        <w:rPr>
          <w:rFonts w:ascii="Times New Roman" w:hAnsi="Times New Roman" w:cs="Times New Roman"/>
          <w:sz w:val="24"/>
          <w:szCs w:val="24"/>
          <w:lang w:val="en-US"/>
        </w:rPr>
        <w:t xml:space="preserve">Journal of Banking and Finance </w:t>
      </w:r>
      <w:r w:rsidRPr="00790DC5">
        <w:rPr>
          <w:rFonts w:ascii="Times New Roman" w:hAnsi="Times New Roman" w:cs="Times New Roman"/>
          <w:sz w:val="24"/>
          <w:szCs w:val="24"/>
          <w:lang w:val="en-US"/>
        </w:rPr>
        <w:t>31, 2828-2846.</w:t>
      </w:r>
    </w:p>
    <w:p w14:paraId="2659B63B" w14:textId="268DCB36"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Fama</w:t>
      </w:r>
      <w:proofErr w:type="spellEnd"/>
      <w:r w:rsidRPr="00790DC5">
        <w:rPr>
          <w:rFonts w:ascii="Times New Roman" w:hAnsi="Times New Roman" w:cs="Times New Roman"/>
          <w:sz w:val="24"/>
          <w:szCs w:val="24"/>
          <w:lang w:val="en-US"/>
        </w:rPr>
        <w:t>, E. F., Miller, M., 1972. The Theory of Finance, 1</w:t>
      </w:r>
      <w:r w:rsidRPr="00790DC5">
        <w:rPr>
          <w:rFonts w:ascii="Times New Roman" w:hAnsi="Times New Roman" w:cs="Times New Roman"/>
          <w:sz w:val="24"/>
          <w:szCs w:val="24"/>
          <w:vertAlign w:val="superscript"/>
          <w:lang w:val="en-US"/>
        </w:rPr>
        <w:t>st</w:t>
      </w:r>
      <w:r w:rsidRPr="00790DC5">
        <w:rPr>
          <w:rFonts w:ascii="Times New Roman" w:hAnsi="Times New Roman" w:cs="Times New Roman"/>
          <w:sz w:val="24"/>
          <w:szCs w:val="24"/>
          <w:lang w:val="en-US"/>
        </w:rPr>
        <w:t xml:space="preserve"> ed, Holt Rinehart &amp; Winston, New York.</w:t>
      </w:r>
    </w:p>
    <w:p w14:paraId="066CCB1F" w14:textId="39512514" w:rsidR="00101123" w:rsidRPr="00790DC5" w:rsidRDefault="00101123"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 xml:space="preserve">Gibson Dunn, 2019. Convertible note offerings – an overview for issuers. Available at </w:t>
      </w:r>
      <w:hyperlink r:id="rId18" w:history="1">
        <w:r w:rsidRPr="00790DC5">
          <w:rPr>
            <w:rStyle w:val="Hyperlink"/>
            <w:rFonts w:ascii="Times New Roman" w:hAnsi="Times New Roman" w:cs="Times New Roman"/>
            <w:sz w:val="24"/>
            <w:szCs w:val="24"/>
            <w:lang w:val="en-US"/>
          </w:rPr>
          <w:t>https://www.gibsondunn.com/wp-content/uploads/2018/01/CAP-Convertible-Notes-Overview.pdf</w:t>
        </w:r>
      </w:hyperlink>
      <w:r w:rsidRPr="00790DC5">
        <w:rPr>
          <w:rFonts w:ascii="Times New Roman" w:hAnsi="Times New Roman" w:cs="Times New Roman"/>
          <w:sz w:val="24"/>
          <w:szCs w:val="24"/>
          <w:lang w:val="en-US"/>
        </w:rPr>
        <w:t xml:space="preserve"> (accessed 16 June 2022). </w:t>
      </w:r>
    </w:p>
    <w:p w14:paraId="5AB0CC93" w14:textId="2C26427C"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Gomes, A., &amp; Phillips, G., 2012. Why do public firms issue private and public securities? </w:t>
      </w:r>
      <w:r w:rsidR="00101123" w:rsidRPr="00790DC5">
        <w:rPr>
          <w:rFonts w:ascii="Times New Roman" w:hAnsi="Times New Roman" w:cs="Times New Roman"/>
          <w:sz w:val="24"/>
          <w:szCs w:val="24"/>
          <w:lang w:val="en-US"/>
        </w:rPr>
        <w:t xml:space="preserve">Journal of Financial Intermediation </w:t>
      </w:r>
      <w:r w:rsidRPr="00790DC5">
        <w:rPr>
          <w:rFonts w:ascii="Times New Roman" w:hAnsi="Times New Roman" w:cs="Times New Roman"/>
          <w:sz w:val="24"/>
          <w:szCs w:val="24"/>
          <w:lang w:val="en-US"/>
        </w:rPr>
        <w:t>2</w:t>
      </w:r>
      <w:r w:rsidR="00101123" w:rsidRPr="00790DC5">
        <w:rPr>
          <w:rFonts w:ascii="Times New Roman" w:hAnsi="Times New Roman" w:cs="Times New Roman"/>
          <w:sz w:val="24"/>
          <w:szCs w:val="24"/>
          <w:lang w:val="en-US"/>
        </w:rPr>
        <w:t>1</w:t>
      </w:r>
      <w:r w:rsidRPr="00790DC5">
        <w:rPr>
          <w:rFonts w:ascii="Times New Roman" w:hAnsi="Times New Roman" w:cs="Times New Roman"/>
          <w:sz w:val="24"/>
          <w:szCs w:val="24"/>
          <w:lang w:val="en-US"/>
        </w:rPr>
        <w:t>, 619-658.</w:t>
      </w:r>
    </w:p>
    <w:p w14:paraId="4BA506C2" w14:textId="056D3F11"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Graham, J. R., Harvey, C. R., 2001. The theory and practice of corporate finance: Evidence from the field. J</w:t>
      </w:r>
      <w:r w:rsidR="00EC0DC1" w:rsidRPr="00790DC5">
        <w:rPr>
          <w:rFonts w:ascii="Times New Roman" w:hAnsi="Times New Roman" w:cs="Times New Roman"/>
          <w:sz w:val="24"/>
          <w:szCs w:val="24"/>
          <w:lang w:val="en-US"/>
        </w:rPr>
        <w:t xml:space="preserve">ournal of Financial Economics </w:t>
      </w:r>
      <w:r w:rsidRPr="00790DC5">
        <w:rPr>
          <w:rFonts w:ascii="Times New Roman" w:hAnsi="Times New Roman" w:cs="Times New Roman"/>
          <w:sz w:val="24"/>
          <w:szCs w:val="24"/>
          <w:lang w:val="en-US"/>
        </w:rPr>
        <w:t>60, 187-243.</w:t>
      </w:r>
    </w:p>
    <w:p w14:paraId="150114C6" w14:textId="3ABB05CF"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Green, R. C., 1984. Investment incentives, debt, and warrants. J</w:t>
      </w:r>
      <w:r w:rsidR="00EC0DC1" w:rsidRPr="00790DC5">
        <w:rPr>
          <w:rFonts w:ascii="Times New Roman" w:hAnsi="Times New Roman" w:cs="Times New Roman"/>
          <w:sz w:val="24"/>
          <w:szCs w:val="24"/>
          <w:lang w:val="en-US"/>
        </w:rPr>
        <w:t>ournal of Financial Economics</w:t>
      </w:r>
      <w:r w:rsidRPr="00790DC5" w:rsidDel="00B95E0E">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13, 115-136.</w:t>
      </w:r>
    </w:p>
    <w:p w14:paraId="7B34678F" w14:textId="0DC91CE8"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 xml:space="preserve">Heckman, J. J., 1976. The common structure of statistical models of truncation, sample selection and limited dependent variables and a simple estimator for such models. </w:t>
      </w:r>
      <w:r w:rsidR="005A7275" w:rsidRPr="00790DC5">
        <w:rPr>
          <w:rFonts w:ascii="Times New Roman" w:hAnsi="Times New Roman" w:cs="Times New Roman"/>
          <w:sz w:val="24"/>
          <w:szCs w:val="24"/>
          <w:lang w:val="en-US"/>
        </w:rPr>
        <w:t>Annals of Economic and Social Measurement</w:t>
      </w:r>
      <w:r w:rsidR="007140D8" w:rsidRPr="00790DC5">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5,</w:t>
      </w:r>
      <w:r w:rsidR="007140D8" w:rsidRPr="00790DC5">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475-492.</w:t>
      </w:r>
    </w:p>
    <w:p w14:paraId="2475D82E" w14:textId="79C6C1DE"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Heckman, J. J., 1977.</w:t>
      </w:r>
      <w:r w:rsidR="005A7275" w:rsidRPr="00790DC5">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 xml:space="preserve">Dummy endogenous variables in a simultaneous equation system. </w:t>
      </w:r>
      <w:proofErr w:type="spellStart"/>
      <w:r w:rsidRPr="00790DC5">
        <w:rPr>
          <w:rFonts w:ascii="Times New Roman" w:hAnsi="Times New Roman" w:cs="Times New Roman"/>
          <w:sz w:val="24"/>
          <w:szCs w:val="24"/>
          <w:lang w:val="en-US"/>
        </w:rPr>
        <w:t>Econometrica</w:t>
      </w:r>
      <w:proofErr w:type="spellEnd"/>
      <w:r w:rsidRPr="00790DC5">
        <w:rPr>
          <w:rFonts w:ascii="Times New Roman" w:hAnsi="Times New Roman" w:cs="Times New Roman"/>
          <w:sz w:val="24"/>
          <w:szCs w:val="24"/>
          <w:lang w:val="en-US"/>
        </w:rPr>
        <w:t xml:space="preserve"> 46, 695-712</w:t>
      </w:r>
    </w:p>
    <w:p w14:paraId="57F320AB" w14:textId="392898A2"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Helwege</w:t>
      </w:r>
      <w:proofErr w:type="spellEnd"/>
      <w:r w:rsidRPr="00790DC5">
        <w:rPr>
          <w:rFonts w:ascii="Times New Roman" w:hAnsi="Times New Roman" w:cs="Times New Roman"/>
          <w:sz w:val="24"/>
          <w:szCs w:val="24"/>
          <w:lang w:val="en-US"/>
        </w:rPr>
        <w:t>, J., Huang, J. Z., Wang, Y., 2017. Debt covenants and cross-sectional equity returns. </w:t>
      </w:r>
      <w:r w:rsidR="005A7275" w:rsidRPr="00790DC5">
        <w:rPr>
          <w:rFonts w:ascii="Times New Roman" w:hAnsi="Times New Roman" w:cs="Times New Roman"/>
          <w:sz w:val="24"/>
          <w:szCs w:val="24"/>
          <w:lang w:val="en-US"/>
        </w:rPr>
        <w:t xml:space="preserve">Management Science </w:t>
      </w:r>
      <w:r w:rsidRPr="00790DC5">
        <w:rPr>
          <w:rFonts w:ascii="Times New Roman" w:hAnsi="Times New Roman" w:cs="Times New Roman"/>
          <w:sz w:val="24"/>
          <w:szCs w:val="24"/>
          <w:lang w:val="en-US"/>
        </w:rPr>
        <w:t>63, 1835-1854.</w:t>
      </w:r>
    </w:p>
    <w:p w14:paraId="253936A9" w14:textId="79290F71"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 xml:space="preserve">Jensen, M. C., &amp; </w:t>
      </w:r>
      <w:proofErr w:type="spellStart"/>
      <w:r w:rsidRPr="00790DC5">
        <w:rPr>
          <w:rFonts w:ascii="Times New Roman" w:hAnsi="Times New Roman" w:cs="Times New Roman"/>
          <w:sz w:val="24"/>
          <w:szCs w:val="24"/>
          <w:lang w:val="en-US"/>
        </w:rPr>
        <w:t>Meckling</w:t>
      </w:r>
      <w:proofErr w:type="spellEnd"/>
      <w:r w:rsidRPr="00790DC5">
        <w:rPr>
          <w:rFonts w:ascii="Times New Roman" w:hAnsi="Times New Roman" w:cs="Times New Roman"/>
          <w:sz w:val="24"/>
          <w:szCs w:val="24"/>
          <w:lang w:val="en-US"/>
        </w:rPr>
        <w:t>, W. H., 1976. Theory of the firm: Managerial behavior, agency costs and ownership structure. J</w:t>
      </w:r>
      <w:r w:rsidR="005A7275" w:rsidRPr="00790DC5">
        <w:rPr>
          <w:rFonts w:ascii="Times New Roman" w:hAnsi="Times New Roman" w:cs="Times New Roman"/>
          <w:sz w:val="24"/>
          <w:szCs w:val="24"/>
          <w:lang w:val="en-US"/>
        </w:rPr>
        <w:t>ournal of Financial Economics</w:t>
      </w:r>
      <w:r w:rsidRPr="00790DC5" w:rsidDel="00314BAC">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3, 305-360.</w:t>
      </w:r>
    </w:p>
    <w:p w14:paraId="5FB6F925" w14:textId="468E18F3"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lastRenderedPageBreak/>
        <w:t>Kahan, M., Yermack, D., 1998. Investment opportunities and the design of debt securities. </w:t>
      </w:r>
      <w:r w:rsidR="005A7275" w:rsidRPr="00790DC5">
        <w:rPr>
          <w:rFonts w:ascii="Times New Roman" w:hAnsi="Times New Roman" w:cs="Times New Roman"/>
          <w:sz w:val="24"/>
          <w:szCs w:val="24"/>
          <w:lang w:val="en-US"/>
        </w:rPr>
        <w:t xml:space="preserve">Journal of Law, Economics &amp; Organization </w:t>
      </w:r>
      <w:r w:rsidRPr="00790DC5">
        <w:rPr>
          <w:rFonts w:ascii="Times New Roman" w:hAnsi="Times New Roman" w:cs="Times New Roman"/>
          <w:sz w:val="24"/>
          <w:szCs w:val="24"/>
          <w:lang w:val="en-US"/>
        </w:rPr>
        <w:t>14, 136</w:t>
      </w:r>
      <w:r w:rsidR="00B346DE" w:rsidRPr="00790DC5">
        <w:rPr>
          <w:rFonts w:ascii="Times New Roman" w:hAnsi="Times New Roman" w:cs="Times New Roman"/>
          <w:sz w:val="24"/>
          <w:szCs w:val="24"/>
          <w:lang w:val="en-US"/>
        </w:rPr>
        <w:t>-151</w:t>
      </w:r>
      <w:r w:rsidRPr="00790DC5">
        <w:rPr>
          <w:rFonts w:ascii="Times New Roman" w:hAnsi="Times New Roman" w:cs="Times New Roman"/>
          <w:sz w:val="24"/>
          <w:szCs w:val="24"/>
          <w:lang w:val="en-US"/>
        </w:rPr>
        <w:t>.</w:t>
      </w:r>
    </w:p>
    <w:p w14:paraId="0980EB11" w14:textId="21FE52D3"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Kalay</w:t>
      </w:r>
      <w:proofErr w:type="spellEnd"/>
      <w:r w:rsidRPr="00790DC5">
        <w:rPr>
          <w:rFonts w:ascii="Times New Roman" w:hAnsi="Times New Roman" w:cs="Times New Roman"/>
          <w:sz w:val="24"/>
          <w:szCs w:val="24"/>
          <w:lang w:val="en-US"/>
        </w:rPr>
        <w:t>, A.,1982. Stockholder-bondholder conflict and dividend constraints. </w:t>
      </w:r>
      <w:r w:rsidR="005A7275" w:rsidRPr="00790DC5">
        <w:rPr>
          <w:rFonts w:ascii="Times New Roman" w:hAnsi="Times New Roman" w:cs="Times New Roman"/>
          <w:sz w:val="24"/>
          <w:szCs w:val="24"/>
          <w:lang w:val="en-US"/>
        </w:rPr>
        <w:t xml:space="preserve">Journal of Financial Economics </w:t>
      </w:r>
      <w:r w:rsidRPr="00790DC5">
        <w:rPr>
          <w:rFonts w:ascii="Times New Roman" w:hAnsi="Times New Roman" w:cs="Times New Roman"/>
          <w:sz w:val="24"/>
          <w:szCs w:val="24"/>
          <w:lang w:val="en-US"/>
        </w:rPr>
        <w:t>10, 211-233.</w:t>
      </w:r>
    </w:p>
    <w:p w14:paraId="31C6B0DC" w14:textId="4D33C998"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Kang, D., Zhuang, Z., 2019. Should companies care who their lender is? Evidence from loan covenants. Pacific Basin Finance J</w:t>
      </w:r>
      <w:r w:rsidR="005A7275" w:rsidRPr="00790DC5">
        <w:rPr>
          <w:rFonts w:ascii="Times New Roman" w:hAnsi="Times New Roman" w:cs="Times New Roman"/>
          <w:sz w:val="24"/>
          <w:szCs w:val="24"/>
          <w:lang w:val="en-US"/>
        </w:rPr>
        <w:t>ournal</w:t>
      </w:r>
      <w:r w:rsidRPr="00790DC5">
        <w:rPr>
          <w:rFonts w:ascii="Times New Roman" w:hAnsi="Times New Roman" w:cs="Times New Roman"/>
          <w:sz w:val="24"/>
          <w:szCs w:val="24"/>
          <w:lang w:val="en-US"/>
        </w:rPr>
        <w:t xml:space="preserve"> 57, </w:t>
      </w:r>
      <w:r w:rsidR="00B346DE" w:rsidRPr="00790DC5">
        <w:rPr>
          <w:rFonts w:ascii="Times New Roman" w:hAnsi="Times New Roman" w:cs="Times New Roman"/>
          <w:sz w:val="24"/>
          <w:szCs w:val="24"/>
          <w:lang w:val="en-US"/>
        </w:rPr>
        <w:t>1-25</w:t>
      </w:r>
      <w:r w:rsidRPr="00790DC5">
        <w:rPr>
          <w:rFonts w:ascii="Times New Roman" w:hAnsi="Times New Roman" w:cs="Times New Roman"/>
          <w:sz w:val="24"/>
          <w:szCs w:val="24"/>
          <w:lang w:val="en-US"/>
        </w:rPr>
        <w:t>.</w:t>
      </w:r>
    </w:p>
    <w:p w14:paraId="5C57EC6D" w14:textId="7FD316D2"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 xml:space="preserve">Krishnaswami, S., </w:t>
      </w:r>
      <w:proofErr w:type="spellStart"/>
      <w:r w:rsidRPr="00790DC5">
        <w:rPr>
          <w:rFonts w:ascii="Times New Roman" w:hAnsi="Times New Roman" w:cs="Times New Roman"/>
          <w:sz w:val="24"/>
          <w:szCs w:val="24"/>
          <w:lang w:val="en-US"/>
        </w:rPr>
        <w:t>Yaman</w:t>
      </w:r>
      <w:proofErr w:type="spellEnd"/>
      <w:r w:rsidRPr="00790DC5">
        <w:rPr>
          <w:rFonts w:ascii="Times New Roman" w:hAnsi="Times New Roman" w:cs="Times New Roman"/>
          <w:sz w:val="24"/>
          <w:szCs w:val="24"/>
          <w:lang w:val="en-US"/>
        </w:rPr>
        <w:t>, D., 2008. The role of convertible bonds in alleviating contracting costs. </w:t>
      </w:r>
      <w:r w:rsidR="003244B6" w:rsidRPr="00790DC5">
        <w:rPr>
          <w:rFonts w:ascii="Times New Roman" w:hAnsi="Times New Roman" w:cs="Times New Roman"/>
          <w:sz w:val="24"/>
          <w:szCs w:val="24"/>
          <w:lang w:val="en-US"/>
        </w:rPr>
        <w:t xml:space="preserve">Quarterly Review of Economics and Finance </w:t>
      </w:r>
      <w:r w:rsidRPr="00790DC5">
        <w:rPr>
          <w:rFonts w:ascii="Times New Roman" w:hAnsi="Times New Roman" w:cs="Times New Roman"/>
          <w:sz w:val="24"/>
          <w:szCs w:val="24"/>
          <w:lang w:val="en-US"/>
        </w:rPr>
        <w:t>48, 792-816.</w:t>
      </w:r>
    </w:p>
    <w:p w14:paraId="3415EE23" w14:textId="11B9E883"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color w:val="222222"/>
          <w:sz w:val="24"/>
          <w:szCs w:val="24"/>
          <w:shd w:val="clear" w:color="auto" w:fill="FFFFFF"/>
          <w:lang w:val="en-US"/>
        </w:rPr>
        <w:t>Lewis, C. M., Rogalski, R. J., Seward, J. K., 1999. Is convertible debt a substitute for straight debt or for common equity? </w:t>
      </w:r>
      <w:r w:rsidR="003244B6" w:rsidRPr="00790DC5">
        <w:rPr>
          <w:rFonts w:ascii="Times New Roman" w:hAnsi="Times New Roman" w:cs="Times New Roman"/>
          <w:color w:val="222222"/>
          <w:sz w:val="24"/>
          <w:szCs w:val="24"/>
          <w:shd w:val="clear" w:color="auto" w:fill="FFFFFF"/>
          <w:lang w:val="en-US"/>
        </w:rPr>
        <w:t>Financial Management</w:t>
      </w:r>
      <w:r w:rsidRPr="00790DC5" w:rsidDel="00632B91">
        <w:rPr>
          <w:rFonts w:ascii="Times New Roman" w:hAnsi="Times New Roman" w:cs="Times New Roman"/>
          <w:color w:val="222222"/>
          <w:sz w:val="24"/>
          <w:szCs w:val="24"/>
          <w:shd w:val="clear" w:color="auto" w:fill="FFFFFF"/>
          <w:lang w:val="en-US"/>
        </w:rPr>
        <w:t xml:space="preserve"> </w:t>
      </w:r>
      <w:r w:rsidRPr="00790DC5">
        <w:rPr>
          <w:rFonts w:ascii="Times New Roman" w:hAnsi="Times New Roman" w:cs="Times New Roman"/>
          <w:color w:val="222222"/>
          <w:sz w:val="24"/>
          <w:szCs w:val="24"/>
          <w:shd w:val="clear" w:color="auto" w:fill="FFFFFF"/>
          <w:lang w:val="en-US"/>
        </w:rPr>
        <w:t>28, 5-27.</w:t>
      </w:r>
    </w:p>
    <w:p w14:paraId="485D74B4" w14:textId="3520BE65"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Lewis, C. M., Rogalski, R. J., Seward, J. K., 2003. Industry conditions, growth opportunities and market reactions to convertible debt financing decisions. </w:t>
      </w:r>
      <w:r w:rsidR="003244B6" w:rsidRPr="00790DC5">
        <w:rPr>
          <w:rFonts w:ascii="Times New Roman" w:hAnsi="Times New Roman" w:cs="Times New Roman"/>
          <w:sz w:val="24"/>
          <w:szCs w:val="24"/>
          <w:lang w:val="en-US"/>
        </w:rPr>
        <w:t xml:space="preserve">Journal of Banking and Finance </w:t>
      </w:r>
      <w:r w:rsidRPr="00790DC5">
        <w:rPr>
          <w:rFonts w:ascii="Times New Roman" w:hAnsi="Times New Roman" w:cs="Times New Roman"/>
          <w:sz w:val="24"/>
          <w:szCs w:val="24"/>
          <w:lang w:val="en-US"/>
        </w:rPr>
        <w:t>27, 153-181.</w:t>
      </w:r>
    </w:p>
    <w:p w14:paraId="4452FBE0" w14:textId="3C683232"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Lewis, C. M., Rogalski, R. J., Seward, J. K., 1998. Agency problems, information asymmetries, and convertible debt security design. J</w:t>
      </w:r>
      <w:r w:rsidR="003244B6" w:rsidRPr="00790DC5">
        <w:rPr>
          <w:rFonts w:ascii="Times New Roman" w:hAnsi="Times New Roman" w:cs="Times New Roman"/>
          <w:sz w:val="24"/>
          <w:szCs w:val="24"/>
          <w:lang w:val="en-US"/>
        </w:rPr>
        <w:t xml:space="preserve">ournal of Financial Intermediation </w:t>
      </w:r>
      <w:r w:rsidRPr="00790DC5">
        <w:rPr>
          <w:rFonts w:ascii="Times New Roman" w:hAnsi="Times New Roman" w:cs="Times New Roman"/>
          <w:sz w:val="24"/>
          <w:szCs w:val="24"/>
          <w:lang w:val="en-US"/>
        </w:rPr>
        <w:t>7, 32-59.</w:t>
      </w:r>
    </w:p>
    <w:p w14:paraId="3E959C16" w14:textId="04357E75"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 xml:space="preserve">Li. K., </w:t>
      </w:r>
      <w:proofErr w:type="spellStart"/>
      <w:r w:rsidRPr="00790DC5">
        <w:rPr>
          <w:rFonts w:ascii="Times New Roman" w:hAnsi="Times New Roman" w:cs="Times New Roman"/>
          <w:sz w:val="24"/>
          <w:szCs w:val="24"/>
          <w:lang w:val="en-US"/>
        </w:rPr>
        <w:t>Prabhala</w:t>
      </w:r>
      <w:proofErr w:type="spellEnd"/>
      <w:r w:rsidRPr="00790DC5">
        <w:rPr>
          <w:rFonts w:ascii="Times New Roman" w:hAnsi="Times New Roman" w:cs="Times New Roman"/>
          <w:sz w:val="24"/>
          <w:szCs w:val="24"/>
          <w:lang w:val="en-US"/>
        </w:rPr>
        <w:t>, N. R., 2007. Self-selection models in corporate finance</w:t>
      </w:r>
      <w:r w:rsidR="00E86331" w:rsidRPr="00790DC5">
        <w:rPr>
          <w:rFonts w:ascii="Times New Roman" w:hAnsi="Times New Roman" w:cs="Times New Roman"/>
          <w:sz w:val="24"/>
          <w:szCs w:val="24"/>
          <w:lang w:val="en-US"/>
        </w:rPr>
        <w:t xml:space="preserve"> in</w:t>
      </w:r>
      <w:r w:rsidRPr="00790DC5">
        <w:rPr>
          <w:rFonts w:ascii="Times New Roman" w:hAnsi="Times New Roman" w:cs="Times New Roman"/>
          <w:sz w:val="24"/>
          <w:szCs w:val="24"/>
          <w:lang w:val="en-US"/>
        </w:rPr>
        <w:t> Handbook of Corporate Finance</w:t>
      </w:r>
      <w:r w:rsidR="00E86331" w:rsidRPr="00790DC5">
        <w:rPr>
          <w:rFonts w:ascii="Times New Roman" w:hAnsi="Times New Roman" w:cs="Times New Roman"/>
          <w:sz w:val="24"/>
          <w:szCs w:val="24"/>
          <w:lang w:val="en-US"/>
        </w:rPr>
        <w:t xml:space="preserve">: Empirical </w:t>
      </w:r>
      <w:r w:rsidR="00AB74DF" w:rsidRPr="00790DC5">
        <w:rPr>
          <w:rFonts w:ascii="Times New Roman" w:hAnsi="Times New Roman" w:cs="Times New Roman"/>
          <w:sz w:val="24"/>
          <w:szCs w:val="24"/>
          <w:lang w:val="en-US"/>
        </w:rPr>
        <w:t>C</w:t>
      </w:r>
      <w:r w:rsidR="00E86331" w:rsidRPr="00790DC5">
        <w:rPr>
          <w:rFonts w:ascii="Times New Roman" w:hAnsi="Times New Roman" w:cs="Times New Roman"/>
          <w:sz w:val="24"/>
          <w:szCs w:val="24"/>
          <w:lang w:val="en-US"/>
        </w:rPr>
        <w:t xml:space="preserve">orporate </w:t>
      </w:r>
      <w:r w:rsidR="00AB74DF" w:rsidRPr="00790DC5">
        <w:rPr>
          <w:rFonts w:ascii="Times New Roman" w:hAnsi="Times New Roman" w:cs="Times New Roman"/>
          <w:sz w:val="24"/>
          <w:szCs w:val="24"/>
          <w:lang w:val="en-US"/>
        </w:rPr>
        <w:t>F</w:t>
      </w:r>
      <w:r w:rsidR="00E86331" w:rsidRPr="00790DC5">
        <w:rPr>
          <w:rFonts w:ascii="Times New Roman" w:hAnsi="Times New Roman" w:cs="Times New Roman"/>
          <w:sz w:val="24"/>
          <w:szCs w:val="24"/>
          <w:lang w:val="en-US"/>
        </w:rPr>
        <w:t xml:space="preserve">inance, edited by B. E. </w:t>
      </w:r>
      <w:proofErr w:type="spellStart"/>
      <w:r w:rsidR="00E86331" w:rsidRPr="00790DC5">
        <w:rPr>
          <w:rFonts w:ascii="Times New Roman" w:hAnsi="Times New Roman" w:cs="Times New Roman"/>
          <w:sz w:val="24"/>
          <w:szCs w:val="24"/>
          <w:lang w:val="en-US"/>
        </w:rPr>
        <w:t>Eck</w:t>
      </w:r>
      <w:r w:rsidR="0032421D" w:rsidRPr="00790DC5">
        <w:rPr>
          <w:rFonts w:ascii="Times New Roman" w:hAnsi="Times New Roman" w:cs="Times New Roman"/>
          <w:sz w:val="24"/>
          <w:szCs w:val="24"/>
          <w:lang w:val="en-US"/>
        </w:rPr>
        <w:t>b</w:t>
      </w:r>
      <w:r w:rsidR="00E86331" w:rsidRPr="00790DC5">
        <w:rPr>
          <w:rFonts w:ascii="Times New Roman" w:hAnsi="Times New Roman" w:cs="Times New Roman"/>
          <w:sz w:val="24"/>
          <w:szCs w:val="24"/>
          <w:lang w:val="en-US"/>
        </w:rPr>
        <w:t>o</w:t>
      </w:r>
      <w:proofErr w:type="spellEnd"/>
      <w:r w:rsidR="00E86331" w:rsidRPr="00790DC5">
        <w:rPr>
          <w:rFonts w:ascii="Times New Roman" w:hAnsi="Times New Roman" w:cs="Times New Roman"/>
          <w:sz w:val="24"/>
          <w:szCs w:val="24"/>
          <w:lang w:val="en-US"/>
        </w:rPr>
        <w:t>, 37-86. Amsterdam, The Netherlands: North-Holland</w:t>
      </w:r>
      <w:r w:rsidRPr="00790DC5">
        <w:rPr>
          <w:rFonts w:ascii="Times New Roman" w:hAnsi="Times New Roman" w:cs="Times New Roman"/>
          <w:sz w:val="24"/>
          <w:szCs w:val="24"/>
          <w:lang w:val="en-US"/>
        </w:rPr>
        <w:t>.</w:t>
      </w:r>
    </w:p>
    <w:p w14:paraId="0C91DE6C" w14:textId="0898EDBF"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 xml:space="preserve">Lou, Y., Otto, C. A., 2020. Debt </w:t>
      </w:r>
      <w:r w:rsidR="003244B6" w:rsidRPr="00790DC5">
        <w:rPr>
          <w:rFonts w:ascii="Times New Roman" w:hAnsi="Times New Roman" w:cs="Times New Roman"/>
          <w:sz w:val="24"/>
          <w:szCs w:val="24"/>
          <w:lang w:val="en-US"/>
        </w:rPr>
        <w:t>h</w:t>
      </w:r>
      <w:r w:rsidRPr="00790DC5">
        <w:rPr>
          <w:rFonts w:ascii="Times New Roman" w:hAnsi="Times New Roman" w:cs="Times New Roman"/>
          <w:sz w:val="24"/>
          <w:szCs w:val="24"/>
          <w:lang w:val="en-US"/>
        </w:rPr>
        <w:t xml:space="preserve">eterogeneity and </w:t>
      </w:r>
      <w:r w:rsidR="003244B6" w:rsidRPr="00790DC5">
        <w:rPr>
          <w:rFonts w:ascii="Times New Roman" w:hAnsi="Times New Roman" w:cs="Times New Roman"/>
          <w:sz w:val="24"/>
          <w:szCs w:val="24"/>
          <w:lang w:val="en-US"/>
        </w:rPr>
        <w:t>c</w:t>
      </w:r>
      <w:r w:rsidRPr="00790DC5">
        <w:rPr>
          <w:rFonts w:ascii="Times New Roman" w:hAnsi="Times New Roman" w:cs="Times New Roman"/>
          <w:sz w:val="24"/>
          <w:szCs w:val="24"/>
          <w:lang w:val="en-US"/>
        </w:rPr>
        <w:t xml:space="preserve">ovenants. </w:t>
      </w:r>
      <w:r w:rsidR="003244B6" w:rsidRPr="00790DC5">
        <w:rPr>
          <w:rFonts w:ascii="Times New Roman" w:hAnsi="Times New Roman" w:cs="Times New Roman"/>
          <w:sz w:val="24"/>
          <w:szCs w:val="24"/>
          <w:lang w:val="en-US"/>
        </w:rPr>
        <w:t>Management Science</w:t>
      </w:r>
      <w:r w:rsidRPr="00790DC5" w:rsidDel="00632B91">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66, 70-92.</w:t>
      </w:r>
    </w:p>
    <w:p w14:paraId="530E9453" w14:textId="4B85C7D1" w:rsidR="00432C44" w:rsidRPr="00790DC5" w:rsidRDefault="00432C44" w:rsidP="00790DC5">
      <w:pPr>
        <w:spacing w:line="240" w:lineRule="auto"/>
        <w:jc w:val="both"/>
        <w:rPr>
          <w:rFonts w:ascii="Times New Roman" w:hAnsi="Times New Roman" w:cs="Times New Roman"/>
          <w:color w:val="222222"/>
          <w:sz w:val="24"/>
          <w:szCs w:val="24"/>
          <w:shd w:val="clear" w:color="auto" w:fill="FFFFFF"/>
          <w:lang w:val="en-US"/>
        </w:rPr>
      </w:pPr>
      <w:r w:rsidRPr="00790DC5">
        <w:rPr>
          <w:rFonts w:ascii="Times New Roman" w:hAnsi="Times New Roman" w:cs="Times New Roman"/>
          <w:color w:val="222222"/>
          <w:sz w:val="24"/>
          <w:szCs w:val="24"/>
          <w:shd w:val="clear" w:color="auto" w:fill="FFFFFF"/>
          <w:lang w:val="en-US"/>
        </w:rPr>
        <w:t>Lucas, D. J., McDonald, R. L., 1990. Equity issues and stock price dynamics. </w:t>
      </w:r>
      <w:r w:rsidR="003244B6" w:rsidRPr="00790DC5">
        <w:rPr>
          <w:rFonts w:ascii="Times New Roman" w:hAnsi="Times New Roman" w:cs="Times New Roman"/>
          <w:sz w:val="24"/>
          <w:szCs w:val="24"/>
          <w:lang w:val="en-US"/>
        </w:rPr>
        <w:t xml:space="preserve">The Journal of Finance </w:t>
      </w:r>
      <w:r w:rsidRPr="00790DC5">
        <w:rPr>
          <w:rFonts w:ascii="Times New Roman" w:hAnsi="Times New Roman" w:cs="Times New Roman"/>
          <w:color w:val="222222"/>
          <w:sz w:val="24"/>
          <w:szCs w:val="24"/>
          <w:shd w:val="clear" w:color="auto" w:fill="FFFFFF"/>
          <w:lang w:val="en-US"/>
        </w:rPr>
        <w:t>45, 1019-1043.</w:t>
      </w:r>
    </w:p>
    <w:p w14:paraId="715D0BBE" w14:textId="0D361567"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Lyandres</w:t>
      </w:r>
      <w:proofErr w:type="spellEnd"/>
      <w:r w:rsidRPr="00790DC5">
        <w:rPr>
          <w:rFonts w:ascii="Times New Roman" w:hAnsi="Times New Roman" w:cs="Times New Roman"/>
          <w:sz w:val="24"/>
          <w:szCs w:val="24"/>
          <w:lang w:val="en-US"/>
        </w:rPr>
        <w:t>, E., Zhdanov, A., 2014. Convertible debt and investment timing.</w:t>
      </w:r>
      <w:r w:rsidR="003244B6" w:rsidRPr="00790DC5">
        <w:rPr>
          <w:rFonts w:ascii="Times New Roman" w:hAnsi="Times New Roman" w:cs="Times New Roman"/>
          <w:sz w:val="24"/>
          <w:szCs w:val="24"/>
          <w:lang w:val="en-US"/>
        </w:rPr>
        <w:t xml:space="preserve"> Journal of Corporate Finance </w:t>
      </w:r>
      <w:r w:rsidRPr="00790DC5">
        <w:rPr>
          <w:rFonts w:ascii="Times New Roman" w:hAnsi="Times New Roman" w:cs="Times New Roman"/>
          <w:sz w:val="24"/>
          <w:szCs w:val="24"/>
          <w:lang w:val="en-US"/>
        </w:rPr>
        <w:t>24, 21-37.</w:t>
      </w:r>
    </w:p>
    <w:p w14:paraId="19985ED4" w14:textId="5E6AD402"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MacKie</w:t>
      </w:r>
      <w:proofErr w:type="spellEnd"/>
      <w:r w:rsidRPr="00790DC5">
        <w:rPr>
          <w:rFonts w:ascii="Times New Roman" w:hAnsi="Times New Roman" w:cs="Times New Roman"/>
          <w:sz w:val="24"/>
          <w:szCs w:val="24"/>
          <w:lang w:val="en-US"/>
        </w:rPr>
        <w:t>‐Mason, J. K., 1990. Do taxes affect corporate financing decisions? </w:t>
      </w:r>
      <w:r w:rsidR="00CC3042" w:rsidRPr="00790DC5">
        <w:rPr>
          <w:rFonts w:ascii="Times New Roman" w:hAnsi="Times New Roman" w:cs="Times New Roman"/>
          <w:sz w:val="24"/>
          <w:szCs w:val="24"/>
          <w:lang w:val="en-US"/>
        </w:rPr>
        <w:t xml:space="preserve">The </w:t>
      </w:r>
      <w:r w:rsidR="003244B6" w:rsidRPr="00790DC5">
        <w:rPr>
          <w:rFonts w:ascii="Times New Roman" w:hAnsi="Times New Roman" w:cs="Times New Roman"/>
          <w:sz w:val="24"/>
          <w:szCs w:val="24"/>
          <w:lang w:val="en-US"/>
        </w:rPr>
        <w:t xml:space="preserve">Journal of Finance </w:t>
      </w:r>
      <w:r w:rsidRPr="00790DC5">
        <w:rPr>
          <w:rFonts w:ascii="Times New Roman" w:hAnsi="Times New Roman" w:cs="Times New Roman"/>
          <w:sz w:val="24"/>
          <w:szCs w:val="24"/>
          <w:lang w:val="en-US"/>
        </w:rPr>
        <w:t>45, 1471-1493.</w:t>
      </w:r>
    </w:p>
    <w:p w14:paraId="057AA696" w14:textId="69482264"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Maddala</w:t>
      </w:r>
      <w:proofErr w:type="spellEnd"/>
      <w:r w:rsidRPr="00790DC5">
        <w:rPr>
          <w:rFonts w:ascii="Times New Roman" w:hAnsi="Times New Roman" w:cs="Times New Roman"/>
          <w:sz w:val="24"/>
          <w:szCs w:val="24"/>
          <w:lang w:val="en-US"/>
        </w:rPr>
        <w:t>, G. S., 1983. Limited Dependent and Qualitative Variables in Econometrics, Cambridge University Press, New York.</w:t>
      </w:r>
    </w:p>
    <w:p w14:paraId="4D558B7A" w14:textId="7578FDA6"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Maet</w:t>
      </w:r>
      <w:proofErr w:type="spellEnd"/>
      <w:r w:rsidRPr="00790DC5">
        <w:rPr>
          <w:rFonts w:ascii="Times New Roman" w:hAnsi="Times New Roman" w:cs="Times New Roman"/>
          <w:sz w:val="24"/>
          <w:szCs w:val="24"/>
          <w:lang w:val="en-US"/>
        </w:rPr>
        <w:t xml:space="preserve">, Z., </w:t>
      </w:r>
      <w:proofErr w:type="spellStart"/>
      <w:r w:rsidRPr="00790DC5">
        <w:rPr>
          <w:rFonts w:ascii="Times New Roman" w:hAnsi="Times New Roman" w:cs="Times New Roman"/>
          <w:sz w:val="24"/>
          <w:szCs w:val="24"/>
          <w:lang w:val="en-US"/>
        </w:rPr>
        <w:t>Stice</w:t>
      </w:r>
      <w:proofErr w:type="spellEnd"/>
      <w:r w:rsidRPr="00790DC5">
        <w:rPr>
          <w:rFonts w:ascii="Times New Roman" w:hAnsi="Times New Roman" w:cs="Times New Roman"/>
          <w:sz w:val="24"/>
          <w:szCs w:val="24"/>
          <w:lang w:val="en-US"/>
        </w:rPr>
        <w:t>, D., Williams, C., 2019. The effect of bank monitoring on public bond terms. </w:t>
      </w:r>
      <w:r w:rsidR="00CC3042" w:rsidRPr="00790DC5">
        <w:rPr>
          <w:rFonts w:ascii="Times New Roman" w:hAnsi="Times New Roman" w:cs="Times New Roman"/>
          <w:sz w:val="24"/>
          <w:szCs w:val="24"/>
          <w:lang w:val="en-US"/>
        </w:rPr>
        <w:t xml:space="preserve">Journal of Financial Economics </w:t>
      </w:r>
      <w:r w:rsidRPr="00790DC5">
        <w:rPr>
          <w:rFonts w:ascii="Times New Roman" w:hAnsi="Times New Roman" w:cs="Times New Roman"/>
          <w:sz w:val="24"/>
          <w:szCs w:val="24"/>
          <w:lang w:val="en-US"/>
        </w:rPr>
        <w:t>133</w:t>
      </w:r>
      <w:r w:rsidR="00CC3042" w:rsidRPr="00790DC5">
        <w:rPr>
          <w:rFonts w:ascii="Times New Roman" w:hAnsi="Times New Roman" w:cs="Times New Roman"/>
          <w:sz w:val="24"/>
          <w:szCs w:val="24"/>
          <w:lang w:val="en-US"/>
        </w:rPr>
        <w:t>,</w:t>
      </w:r>
      <w:r w:rsidRPr="00790DC5">
        <w:rPr>
          <w:rFonts w:ascii="Times New Roman" w:hAnsi="Times New Roman" w:cs="Times New Roman"/>
          <w:sz w:val="24"/>
          <w:szCs w:val="24"/>
          <w:lang w:val="en-US"/>
        </w:rPr>
        <w:t xml:space="preserve"> 379-396.</w:t>
      </w:r>
    </w:p>
    <w:p w14:paraId="65D4AFFE" w14:textId="0CB962AD"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Malitz</w:t>
      </w:r>
      <w:proofErr w:type="spellEnd"/>
      <w:r w:rsidRPr="00790DC5">
        <w:rPr>
          <w:rFonts w:ascii="Times New Roman" w:hAnsi="Times New Roman" w:cs="Times New Roman"/>
          <w:sz w:val="24"/>
          <w:szCs w:val="24"/>
          <w:lang w:val="en-US"/>
        </w:rPr>
        <w:t xml:space="preserve">, I., 1986. On financial contracting: </w:t>
      </w:r>
      <w:r w:rsidR="00CC3042" w:rsidRPr="00790DC5">
        <w:rPr>
          <w:rFonts w:ascii="Times New Roman" w:hAnsi="Times New Roman" w:cs="Times New Roman"/>
          <w:sz w:val="24"/>
          <w:szCs w:val="24"/>
          <w:lang w:val="en-US"/>
        </w:rPr>
        <w:t>t</w:t>
      </w:r>
      <w:r w:rsidRPr="00790DC5">
        <w:rPr>
          <w:rFonts w:ascii="Times New Roman" w:hAnsi="Times New Roman" w:cs="Times New Roman"/>
          <w:sz w:val="24"/>
          <w:szCs w:val="24"/>
          <w:lang w:val="en-US"/>
        </w:rPr>
        <w:t>he determinants of bond covenants. </w:t>
      </w:r>
      <w:r w:rsidR="00CC3042" w:rsidRPr="00790DC5">
        <w:rPr>
          <w:rFonts w:ascii="Times New Roman" w:hAnsi="Times New Roman" w:cs="Times New Roman"/>
          <w:sz w:val="24"/>
          <w:szCs w:val="24"/>
          <w:lang w:val="en-US"/>
        </w:rPr>
        <w:t>Financial Management 15,</w:t>
      </w:r>
      <w:r w:rsidRPr="00790DC5" w:rsidDel="0091370E">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18-25.</w:t>
      </w:r>
    </w:p>
    <w:p w14:paraId="2B7099F6" w14:textId="63DAFA62"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Mansi, S. A., Qi, Y., Wald, J. K., 2021. Bond covenants, bankruptcy risk, and the cost of debt. </w:t>
      </w:r>
      <w:bookmarkStart w:id="6" w:name="_Hlk106381336"/>
      <w:r w:rsidRPr="00790DC5">
        <w:rPr>
          <w:rFonts w:ascii="Times New Roman" w:hAnsi="Times New Roman" w:cs="Times New Roman"/>
          <w:sz w:val="24"/>
          <w:szCs w:val="24"/>
          <w:lang w:val="en-US"/>
        </w:rPr>
        <w:t>J</w:t>
      </w:r>
      <w:bookmarkEnd w:id="6"/>
      <w:r w:rsidR="00CC3042" w:rsidRPr="00790DC5">
        <w:rPr>
          <w:rFonts w:ascii="Times New Roman" w:hAnsi="Times New Roman" w:cs="Times New Roman"/>
          <w:sz w:val="24"/>
          <w:szCs w:val="24"/>
          <w:lang w:val="en-US"/>
        </w:rPr>
        <w:t xml:space="preserve">ournal of Corporate Finance </w:t>
      </w:r>
      <w:r w:rsidRPr="00790DC5">
        <w:rPr>
          <w:rFonts w:ascii="Times New Roman" w:hAnsi="Times New Roman" w:cs="Times New Roman"/>
          <w:sz w:val="24"/>
          <w:szCs w:val="24"/>
          <w:lang w:val="en-US"/>
        </w:rPr>
        <w:t>66, 101799.</w:t>
      </w:r>
    </w:p>
    <w:p w14:paraId="19CF416B" w14:textId="286EA26C"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Masulis</w:t>
      </w:r>
      <w:proofErr w:type="spellEnd"/>
      <w:r w:rsidRPr="00790DC5">
        <w:rPr>
          <w:rFonts w:ascii="Times New Roman" w:hAnsi="Times New Roman" w:cs="Times New Roman"/>
          <w:sz w:val="24"/>
          <w:szCs w:val="24"/>
          <w:lang w:val="en-US"/>
        </w:rPr>
        <w:t>, R. W., 1980. The effects of capital structure change on security prices: A study of exchange offers. </w:t>
      </w:r>
      <w:r w:rsidR="00CC3042" w:rsidRPr="00790DC5">
        <w:rPr>
          <w:rFonts w:ascii="Times New Roman" w:hAnsi="Times New Roman" w:cs="Times New Roman"/>
          <w:sz w:val="24"/>
          <w:szCs w:val="24"/>
          <w:lang w:val="en-US"/>
        </w:rPr>
        <w:t>Journal of Financial Economics</w:t>
      </w:r>
      <w:r w:rsidRPr="00790DC5">
        <w:rPr>
          <w:rFonts w:ascii="Times New Roman" w:hAnsi="Times New Roman" w:cs="Times New Roman"/>
          <w:sz w:val="24"/>
          <w:szCs w:val="24"/>
          <w:lang w:val="en-US"/>
        </w:rPr>
        <w:t xml:space="preserve"> 8, 139-178.</w:t>
      </w:r>
    </w:p>
    <w:p w14:paraId="3F0D718D" w14:textId="17AE7ED7"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Mayers</w:t>
      </w:r>
      <w:proofErr w:type="spellEnd"/>
      <w:r w:rsidRPr="00790DC5">
        <w:rPr>
          <w:rFonts w:ascii="Times New Roman" w:hAnsi="Times New Roman" w:cs="Times New Roman"/>
          <w:sz w:val="24"/>
          <w:szCs w:val="24"/>
          <w:lang w:val="en-US"/>
        </w:rPr>
        <w:t>, D., 1998. Why firms issue convertible bonds: the matching of financial and real investment options. </w:t>
      </w:r>
      <w:r w:rsidR="00CC3042" w:rsidRPr="00790DC5">
        <w:rPr>
          <w:rFonts w:ascii="Times New Roman" w:hAnsi="Times New Roman" w:cs="Times New Roman"/>
          <w:sz w:val="24"/>
          <w:szCs w:val="24"/>
          <w:lang w:val="en-US"/>
        </w:rPr>
        <w:t>Journal of Financial Economics</w:t>
      </w:r>
      <w:r w:rsidRPr="00790DC5">
        <w:rPr>
          <w:rFonts w:ascii="Times New Roman" w:hAnsi="Times New Roman" w:cs="Times New Roman"/>
          <w:sz w:val="24"/>
          <w:szCs w:val="24"/>
          <w:lang w:val="en-US"/>
        </w:rPr>
        <w:t> 47, 83-102.</w:t>
      </w:r>
    </w:p>
    <w:p w14:paraId="01C9F33C" w14:textId="375E51AB"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lastRenderedPageBreak/>
        <w:t>McFadden, D., 1981. Econometric models of probabilistic choice</w:t>
      </w:r>
      <w:r w:rsidR="006E6D22" w:rsidRPr="00790DC5">
        <w:rPr>
          <w:rFonts w:ascii="Times New Roman" w:hAnsi="Times New Roman" w:cs="Times New Roman"/>
          <w:sz w:val="24"/>
          <w:szCs w:val="24"/>
          <w:lang w:val="en-US"/>
        </w:rPr>
        <w:t xml:space="preserve"> </w:t>
      </w:r>
      <w:r w:rsidR="00E4654F" w:rsidRPr="00790DC5">
        <w:rPr>
          <w:rFonts w:ascii="Times New Roman" w:hAnsi="Times New Roman" w:cs="Times New Roman"/>
          <w:sz w:val="24"/>
          <w:szCs w:val="24"/>
          <w:lang w:val="en-US"/>
        </w:rPr>
        <w:t xml:space="preserve">in Structural </w:t>
      </w:r>
      <w:r w:rsidR="00AB74DF" w:rsidRPr="00790DC5">
        <w:rPr>
          <w:rFonts w:ascii="Times New Roman" w:hAnsi="Times New Roman" w:cs="Times New Roman"/>
          <w:sz w:val="24"/>
          <w:szCs w:val="24"/>
          <w:lang w:val="en-US"/>
        </w:rPr>
        <w:t>A</w:t>
      </w:r>
      <w:r w:rsidR="00E4654F" w:rsidRPr="00790DC5">
        <w:rPr>
          <w:rFonts w:ascii="Times New Roman" w:hAnsi="Times New Roman" w:cs="Times New Roman"/>
          <w:sz w:val="24"/>
          <w:szCs w:val="24"/>
          <w:lang w:val="en-US"/>
        </w:rPr>
        <w:t xml:space="preserve">nalysis of </w:t>
      </w:r>
      <w:r w:rsidR="00AB74DF" w:rsidRPr="00790DC5">
        <w:rPr>
          <w:rFonts w:ascii="Times New Roman" w:hAnsi="Times New Roman" w:cs="Times New Roman"/>
          <w:sz w:val="24"/>
          <w:szCs w:val="24"/>
          <w:lang w:val="en-US"/>
        </w:rPr>
        <w:t>D</w:t>
      </w:r>
      <w:r w:rsidR="00E4654F" w:rsidRPr="00790DC5">
        <w:rPr>
          <w:rFonts w:ascii="Times New Roman" w:hAnsi="Times New Roman" w:cs="Times New Roman"/>
          <w:sz w:val="24"/>
          <w:szCs w:val="24"/>
          <w:lang w:val="en-US"/>
        </w:rPr>
        <w:t xml:space="preserve">iscrete </w:t>
      </w:r>
      <w:r w:rsidR="00AB74DF" w:rsidRPr="00790DC5">
        <w:rPr>
          <w:rFonts w:ascii="Times New Roman" w:hAnsi="Times New Roman" w:cs="Times New Roman"/>
          <w:sz w:val="24"/>
          <w:szCs w:val="24"/>
          <w:lang w:val="en-US"/>
        </w:rPr>
        <w:t>D</w:t>
      </w:r>
      <w:r w:rsidR="00E4654F" w:rsidRPr="00790DC5">
        <w:rPr>
          <w:rFonts w:ascii="Times New Roman" w:hAnsi="Times New Roman" w:cs="Times New Roman"/>
          <w:sz w:val="24"/>
          <w:szCs w:val="24"/>
          <w:lang w:val="en-US"/>
        </w:rPr>
        <w:t xml:space="preserve">ata with </w:t>
      </w:r>
      <w:r w:rsidR="00AB74DF" w:rsidRPr="00790DC5">
        <w:rPr>
          <w:rFonts w:ascii="Times New Roman" w:hAnsi="Times New Roman" w:cs="Times New Roman"/>
          <w:sz w:val="24"/>
          <w:szCs w:val="24"/>
          <w:lang w:val="en-US"/>
        </w:rPr>
        <w:t>E</w:t>
      </w:r>
      <w:r w:rsidR="00E4654F" w:rsidRPr="00790DC5">
        <w:rPr>
          <w:rFonts w:ascii="Times New Roman" w:hAnsi="Times New Roman" w:cs="Times New Roman"/>
          <w:sz w:val="24"/>
          <w:szCs w:val="24"/>
          <w:lang w:val="en-US"/>
        </w:rPr>
        <w:t xml:space="preserve">conometric </w:t>
      </w:r>
      <w:r w:rsidR="00AB74DF" w:rsidRPr="00790DC5">
        <w:rPr>
          <w:rFonts w:ascii="Times New Roman" w:hAnsi="Times New Roman" w:cs="Times New Roman"/>
          <w:sz w:val="24"/>
          <w:szCs w:val="24"/>
          <w:lang w:val="en-US"/>
        </w:rPr>
        <w:t>A</w:t>
      </w:r>
      <w:r w:rsidR="00E4654F" w:rsidRPr="00790DC5">
        <w:rPr>
          <w:rFonts w:ascii="Times New Roman" w:hAnsi="Times New Roman" w:cs="Times New Roman"/>
          <w:sz w:val="24"/>
          <w:szCs w:val="24"/>
          <w:lang w:val="en-US"/>
        </w:rPr>
        <w:t xml:space="preserve">pplications, edited by </w:t>
      </w:r>
      <w:proofErr w:type="spellStart"/>
      <w:r w:rsidR="00E4654F" w:rsidRPr="00790DC5">
        <w:rPr>
          <w:rFonts w:ascii="Times New Roman" w:hAnsi="Times New Roman" w:cs="Times New Roman"/>
          <w:sz w:val="24"/>
          <w:szCs w:val="24"/>
          <w:lang w:val="en-US"/>
        </w:rPr>
        <w:t>Manski</w:t>
      </w:r>
      <w:proofErr w:type="spellEnd"/>
      <w:r w:rsidR="00E4654F" w:rsidRPr="00790DC5">
        <w:rPr>
          <w:rFonts w:ascii="Times New Roman" w:hAnsi="Times New Roman" w:cs="Times New Roman"/>
          <w:sz w:val="24"/>
          <w:szCs w:val="24"/>
          <w:lang w:val="en-US"/>
        </w:rPr>
        <w:t>, C. and McFadden, D., 198-272</w:t>
      </w:r>
      <w:r w:rsidR="00DB6D63" w:rsidRPr="00790DC5">
        <w:rPr>
          <w:rFonts w:ascii="Times New Roman" w:hAnsi="Times New Roman" w:cs="Times New Roman"/>
          <w:sz w:val="24"/>
          <w:szCs w:val="24"/>
          <w:lang w:val="en-US"/>
        </w:rPr>
        <w:t>.</w:t>
      </w:r>
      <w:r w:rsidR="00E4654F" w:rsidRPr="00790DC5">
        <w:rPr>
          <w:rFonts w:ascii="Times New Roman" w:hAnsi="Times New Roman" w:cs="Times New Roman"/>
          <w:sz w:val="24"/>
          <w:szCs w:val="24"/>
          <w:lang w:val="en-US"/>
        </w:rPr>
        <w:t xml:space="preserve"> The MIT Press, Cambridge, Massachusetts.</w:t>
      </w:r>
    </w:p>
    <w:p w14:paraId="3B850370" w14:textId="44990A80"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rPr>
        <w:t xml:space="preserve">Miller, D. P., </w:t>
      </w:r>
      <w:proofErr w:type="spellStart"/>
      <w:r w:rsidRPr="00790DC5">
        <w:rPr>
          <w:rFonts w:ascii="Times New Roman" w:hAnsi="Times New Roman" w:cs="Times New Roman"/>
          <w:sz w:val="24"/>
          <w:szCs w:val="24"/>
        </w:rPr>
        <w:t>Reisel</w:t>
      </w:r>
      <w:proofErr w:type="spellEnd"/>
      <w:r w:rsidRPr="00790DC5">
        <w:rPr>
          <w:rFonts w:ascii="Times New Roman" w:hAnsi="Times New Roman" w:cs="Times New Roman"/>
          <w:sz w:val="24"/>
          <w:szCs w:val="24"/>
        </w:rPr>
        <w:t xml:space="preserve">, N., 2012. </w:t>
      </w:r>
      <w:r w:rsidRPr="00790DC5">
        <w:rPr>
          <w:rFonts w:ascii="Times New Roman" w:hAnsi="Times New Roman" w:cs="Times New Roman"/>
          <w:sz w:val="24"/>
          <w:szCs w:val="24"/>
          <w:lang w:val="en-US"/>
        </w:rPr>
        <w:t>Do country-level investor protections affect security-level contract design? Evidence from foreign bond covenants</w:t>
      </w:r>
      <w:r w:rsidR="00CC3042" w:rsidRPr="00790DC5">
        <w:rPr>
          <w:rFonts w:ascii="Times New Roman" w:hAnsi="Times New Roman" w:cs="Times New Roman"/>
          <w:sz w:val="24"/>
          <w:szCs w:val="24"/>
          <w:lang w:val="en-US"/>
        </w:rPr>
        <w:t xml:space="preserve">. Review of Financial Studies </w:t>
      </w:r>
      <w:r w:rsidRPr="00790DC5">
        <w:rPr>
          <w:rFonts w:ascii="Times New Roman" w:hAnsi="Times New Roman" w:cs="Times New Roman"/>
          <w:sz w:val="24"/>
          <w:szCs w:val="24"/>
          <w:lang w:val="en-US"/>
        </w:rPr>
        <w:t>25, 408-438.</w:t>
      </w:r>
    </w:p>
    <w:p w14:paraId="78E1B3D5" w14:textId="4163E60A"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Murfin</w:t>
      </w:r>
      <w:proofErr w:type="spellEnd"/>
      <w:r w:rsidRPr="00790DC5">
        <w:rPr>
          <w:rFonts w:ascii="Times New Roman" w:hAnsi="Times New Roman" w:cs="Times New Roman"/>
          <w:sz w:val="24"/>
          <w:szCs w:val="24"/>
          <w:lang w:val="en-US"/>
        </w:rPr>
        <w:t>, J., 2012. The supply‐side determinants of loan contract strictness. </w:t>
      </w:r>
      <w:r w:rsidR="00CC3042" w:rsidRPr="00790DC5">
        <w:rPr>
          <w:rFonts w:ascii="Times New Roman" w:hAnsi="Times New Roman" w:cs="Times New Roman"/>
          <w:sz w:val="24"/>
          <w:szCs w:val="24"/>
          <w:lang w:val="en-US"/>
        </w:rPr>
        <w:t xml:space="preserve">The Journal of Finance </w:t>
      </w:r>
      <w:r w:rsidRPr="00790DC5">
        <w:rPr>
          <w:rFonts w:ascii="Times New Roman" w:hAnsi="Times New Roman" w:cs="Times New Roman"/>
          <w:sz w:val="24"/>
          <w:szCs w:val="24"/>
          <w:lang w:val="en-US"/>
        </w:rPr>
        <w:t>67, 1565-1601.</w:t>
      </w:r>
    </w:p>
    <w:p w14:paraId="05BCE28D" w14:textId="3A8210F6"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Myers, S. C., 1977. Determinants of corporate borrowing. J</w:t>
      </w:r>
      <w:r w:rsidR="00CC3042" w:rsidRPr="00790DC5">
        <w:rPr>
          <w:rFonts w:ascii="Times New Roman" w:hAnsi="Times New Roman" w:cs="Times New Roman"/>
          <w:sz w:val="24"/>
          <w:szCs w:val="24"/>
          <w:lang w:val="en-US"/>
        </w:rPr>
        <w:t xml:space="preserve">ournal of Financial Economics </w:t>
      </w:r>
      <w:r w:rsidRPr="00790DC5">
        <w:rPr>
          <w:rFonts w:ascii="Times New Roman" w:hAnsi="Times New Roman" w:cs="Times New Roman"/>
          <w:sz w:val="24"/>
          <w:szCs w:val="24"/>
          <w:lang w:val="en-US"/>
        </w:rPr>
        <w:t>5, 147-175.</w:t>
      </w:r>
    </w:p>
    <w:p w14:paraId="3A4BEB8D" w14:textId="19E0850E"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 xml:space="preserve">Myers, S. C., </w:t>
      </w:r>
      <w:proofErr w:type="spellStart"/>
      <w:r w:rsidRPr="00790DC5">
        <w:rPr>
          <w:rFonts w:ascii="Times New Roman" w:hAnsi="Times New Roman" w:cs="Times New Roman"/>
          <w:sz w:val="24"/>
          <w:szCs w:val="24"/>
          <w:lang w:val="en-US"/>
        </w:rPr>
        <w:t>Majluf</w:t>
      </w:r>
      <w:proofErr w:type="spellEnd"/>
      <w:r w:rsidRPr="00790DC5">
        <w:rPr>
          <w:rFonts w:ascii="Times New Roman" w:hAnsi="Times New Roman" w:cs="Times New Roman"/>
          <w:sz w:val="24"/>
          <w:szCs w:val="24"/>
          <w:lang w:val="en-US"/>
        </w:rPr>
        <w:t>, N. S., 1984. Corporate financing and investment decisions when firms have information that investors do not have. </w:t>
      </w:r>
      <w:r w:rsidR="00CC3042" w:rsidRPr="00790DC5">
        <w:rPr>
          <w:rFonts w:ascii="Times New Roman" w:hAnsi="Times New Roman" w:cs="Times New Roman"/>
          <w:sz w:val="24"/>
          <w:szCs w:val="24"/>
          <w:lang w:val="en-US"/>
        </w:rPr>
        <w:t xml:space="preserve">Journal of Financial Economics </w:t>
      </w:r>
      <w:r w:rsidRPr="00790DC5">
        <w:rPr>
          <w:rFonts w:ascii="Times New Roman" w:hAnsi="Times New Roman" w:cs="Times New Roman"/>
          <w:sz w:val="24"/>
          <w:szCs w:val="24"/>
          <w:lang w:val="en-US"/>
        </w:rPr>
        <w:t>13, 187-221.</w:t>
      </w:r>
    </w:p>
    <w:p w14:paraId="0D986022" w14:textId="2C550307"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Nanda, R., Rhodes-</w:t>
      </w:r>
      <w:proofErr w:type="spellStart"/>
      <w:r w:rsidRPr="00790DC5">
        <w:rPr>
          <w:rFonts w:ascii="Times New Roman" w:hAnsi="Times New Roman" w:cs="Times New Roman"/>
          <w:sz w:val="24"/>
          <w:szCs w:val="24"/>
          <w:lang w:val="en-US"/>
        </w:rPr>
        <w:t>Kropf</w:t>
      </w:r>
      <w:proofErr w:type="spellEnd"/>
      <w:r w:rsidRPr="00790DC5">
        <w:rPr>
          <w:rFonts w:ascii="Times New Roman" w:hAnsi="Times New Roman" w:cs="Times New Roman"/>
          <w:sz w:val="24"/>
          <w:szCs w:val="24"/>
          <w:lang w:val="en-US"/>
        </w:rPr>
        <w:t>, M., 2013. Investment cycles and startup innovation. </w:t>
      </w:r>
      <w:r w:rsidR="00CC3042" w:rsidRPr="00790DC5">
        <w:rPr>
          <w:rFonts w:ascii="Times New Roman" w:hAnsi="Times New Roman" w:cs="Times New Roman"/>
          <w:sz w:val="24"/>
          <w:szCs w:val="24"/>
          <w:lang w:val="en-US"/>
        </w:rPr>
        <w:t>Journal of Financial Economics</w:t>
      </w:r>
      <w:r w:rsidRPr="00790DC5" w:rsidDel="00EB378E">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110, 403-418.</w:t>
      </w:r>
    </w:p>
    <w:p w14:paraId="29ACBF03" w14:textId="3AFF83D9"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Nanda, V., Yun, Y., 1996. Financial innovation and investor wealth: A study of the poison put in convertible bonds</w:t>
      </w:r>
      <w:bookmarkStart w:id="7" w:name="_Hlk106382300"/>
      <w:r w:rsidRPr="00790DC5">
        <w:rPr>
          <w:rFonts w:ascii="Times New Roman" w:hAnsi="Times New Roman" w:cs="Times New Roman"/>
          <w:sz w:val="24"/>
          <w:szCs w:val="24"/>
          <w:lang w:val="en-US"/>
        </w:rPr>
        <w:t>. J</w:t>
      </w:r>
      <w:bookmarkEnd w:id="7"/>
      <w:r w:rsidR="00CC3042" w:rsidRPr="00790DC5">
        <w:rPr>
          <w:rFonts w:ascii="Times New Roman" w:hAnsi="Times New Roman" w:cs="Times New Roman"/>
          <w:sz w:val="24"/>
          <w:szCs w:val="24"/>
          <w:lang w:val="en-US"/>
        </w:rPr>
        <w:t xml:space="preserve">ournal of Corporate Finance </w:t>
      </w:r>
      <w:r w:rsidRPr="00790DC5">
        <w:rPr>
          <w:rFonts w:ascii="Times New Roman" w:hAnsi="Times New Roman" w:cs="Times New Roman"/>
          <w:sz w:val="24"/>
          <w:szCs w:val="24"/>
          <w:lang w:val="en-US"/>
        </w:rPr>
        <w:t>3, 1-22.</w:t>
      </w:r>
    </w:p>
    <w:p w14:paraId="63289494" w14:textId="2C406F11"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Nash, R. C., Netter, J. M., Poulsen, A. B., 2003. Determinants of contractual relations between shareholders and bondholders: investment opportunities and restrictive covenants. </w:t>
      </w:r>
      <w:r w:rsidR="005231BF" w:rsidRPr="00790DC5">
        <w:rPr>
          <w:rFonts w:ascii="Times New Roman" w:hAnsi="Times New Roman" w:cs="Times New Roman"/>
          <w:sz w:val="24"/>
          <w:szCs w:val="24"/>
          <w:lang w:val="en-US"/>
        </w:rPr>
        <w:t>Journal of Corporate Finance 9</w:t>
      </w:r>
      <w:r w:rsidRPr="00790DC5">
        <w:rPr>
          <w:rFonts w:ascii="Times New Roman" w:hAnsi="Times New Roman" w:cs="Times New Roman"/>
          <w:sz w:val="24"/>
          <w:szCs w:val="24"/>
          <w:lang w:val="en-US"/>
        </w:rPr>
        <w:t>, 201-232.</w:t>
      </w:r>
    </w:p>
    <w:p w14:paraId="26D8DE57" w14:textId="4655D04A"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Nicholson, W, Snyder, C., 2012. Microeconomic Theory: Basic Principles and Extensions, 11th edition. South</w:t>
      </w:r>
      <w:r w:rsidR="00E86331" w:rsidRPr="00790DC5">
        <w:rPr>
          <w:rFonts w:ascii="Times New Roman" w:hAnsi="Times New Roman" w:cs="Times New Roman"/>
          <w:sz w:val="24"/>
          <w:szCs w:val="24"/>
          <w:lang w:val="en-US"/>
        </w:rPr>
        <w:t>-</w:t>
      </w:r>
      <w:r w:rsidRPr="00790DC5">
        <w:rPr>
          <w:rFonts w:ascii="Times New Roman" w:hAnsi="Times New Roman" w:cs="Times New Roman"/>
          <w:sz w:val="24"/>
          <w:szCs w:val="24"/>
          <w:lang w:val="en-US"/>
        </w:rPr>
        <w:t>Western.</w:t>
      </w:r>
    </w:p>
    <w:p w14:paraId="44C1A052" w14:textId="2C45B4F3"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 xml:space="preserve">Oaktree Insights, 2020. The case for convertibles. </w:t>
      </w:r>
      <w:hyperlink r:id="rId19" w:history="1">
        <w:r w:rsidR="005231BF" w:rsidRPr="00790DC5">
          <w:rPr>
            <w:rStyle w:val="Hyperlink"/>
            <w:rFonts w:ascii="Times New Roman" w:hAnsi="Times New Roman" w:cs="Times New Roman"/>
            <w:sz w:val="24"/>
            <w:szCs w:val="24"/>
            <w:lang w:val="en-US"/>
          </w:rPr>
          <w:t xml:space="preserve">https://www.oaktreecapital.com/insights/insight-commentary/market-commentary/the-case-for-convertible-bonds </w:t>
        </w:r>
      </w:hyperlink>
      <w:r w:rsidR="005231BF" w:rsidRPr="00790DC5">
        <w:rPr>
          <w:rFonts w:ascii="Times New Roman" w:hAnsi="Times New Roman" w:cs="Times New Roman"/>
          <w:sz w:val="24"/>
          <w:szCs w:val="24"/>
          <w:lang w:val="en-US"/>
        </w:rPr>
        <w:t xml:space="preserve">(Accessed 16 June 2022). </w:t>
      </w:r>
    </w:p>
    <w:p w14:paraId="5330377D" w14:textId="52ED56F6"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Qi, Y., Roth, L., Wald, J. K., 2011. How legal environments affect the use of bond covenants. </w:t>
      </w:r>
      <w:r w:rsidR="005231BF" w:rsidRPr="00790DC5">
        <w:rPr>
          <w:rFonts w:ascii="Times New Roman" w:hAnsi="Times New Roman" w:cs="Times New Roman"/>
          <w:sz w:val="24"/>
          <w:szCs w:val="24"/>
          <w:lang w:val="en-US"/>
        </w:rPr>
        <w:t>Journal of International Business Studies</w:t>
      </w:r>
      <w:r w:rsidRPr="00790DC5">
        <w:rPr>
          <w:rFonts w:ascii="Times New Roman" w:hAnsi="Times New Roman" w:cs="Times New Roman"/>
          <w:sz w:val="24"/>
          <w:szCs w:val="24"/>
          <w:lang w:val="en-US"/>
        </w:rPr>
        <w:t> 42, 235-262.</w:t>
      </w:r>
    </w:p>
    <w:p w14:paraId="7BCD9E1C" w14:textId="454B5D1F"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Qi, Y., Wald, J., 2008. State laws and debt covenants. </w:t>
      </w:r>
      <w:r w:rsidR="005231BF" w:rsidRPr="00790DC5">
        <w:rPr>
          <w:rFonts w:ascii="Times New Roman" w:hAnsi="Times New Roman" w:cs="Times New Roman"/>
          <w:sz w:val="24"/>
          <w:szCs w:val="24"/>
          <w:lang w:val="en-US"/>
        </w:rPr>
        <w:t xml:space="preserve">Journal of Law and Economics </w:t>
      </w:r>
      <w:r w:rsidRPr="00790DC5">
        <w:rPr>
          <w:rFonts w:ascii="Times New Roman" w:hAnsi="Times New Roman" w:cs="Times New Roman"/>
          <w:sz w:val="24"/>
          <w:szCs w:val="24"/>
          <w:lang w:val="en-US"/>
        </w:rPr>
        <w:t>51, 179-207.</w:t>
      </w:r>
    </w:p>
    <w:p w14:paraId="1A378100" w14:textId="60D9F37E"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Rauh</w:t>
      </w:r>
      <w:proofErr w:type="spellEnd"/>
      <w:r w:rsidRPr="00790DC5">
        <w:rPr>
          <w:rFonts w:ascii="Times New Roman" w:hAnsi="Times New Roman" w:cs="Times New Roman"/>
          <w:sz w:val="24"/>
          <w:szCs w:val="24"/>
          <w:lang w:val="en-US"/>
        </w:rPr>
        <w:t>, J. D., Sufi, A., 2010. Capital structure and debt structure. </w:t>
      </w:r>
      <w:r w:rsidR="005231BF" w:rsidRPr="00790DC5">
        <w:rPr>
          <w:rFonts w:ascii="Times New Roman" w:hAnsi="Times New Roman" w:cs="Times New Roman"/>
          <w:sz w:val="24"/>
          <w:szCs w:val="24"/>
          <w:lang w:val="en-US"/>
        </w:rPr>
        <w:t xml:space="preserve">Review of Financial Studies </w:t>
      </w:r>
      <w:r w:rsidRPr="00790DC5">
        <w:rPr>
          <w:rFonts w:ascii="Times New Roman" w:hAnsi="Times New Roman" w:cs="Times New Roman"/>
          <w:sz w:val="24"/>
          <w:szCs w:val="24"/>
          <w:lang w:val="en-US"/>
        </w:rPr>
        <w:t>23, 4242-4280.</w:t>
      </w:r>
    </w:p>
    <w:p w14:paraId="20CBE23C" w14:textId="20A60C83" w:rsidR="00432C44" w:rsidRPr="00790DC5" w:rsidRDefault="00432C44" w:rsidP="00790DC5">
      <w:pPr>
        <w:jc w:val="both"/>
        <w:rPr>
          <w:rFonts w:ascii="Times New Roman" w:hAnsi="Times New Roman" w:cs="Times New Roman"/>
          <w:sz w:val="24"/>
          <w:szCs w:val="24"/>
          <w:lang w:val="en-US"/>
        </w:rPr>
      </w:pPr>
      <w:proofErr w:type="spellStart"/>
      <w:r w:rsidRPr="00790DC5">
        <w:rPr>
          <w:rFonts w:ascii="Times New Roman" w:hAnsi="Times New Roman" w:cs="Times New Roman"/>
          <w:sz w:val="24"/>
          <w:szCs w:val="24"/>
          <w:lang w:val="en-US"/>
        </w:rPr>
        <w:t>Reisel</w:t>
      </w:r>
      <w:proofErr w:type="spellEnd"/>
      <w:r w:rsidRPr="00790DC5">
        <w:rPr>
          <w:rFonts w:ascii="Times New Roman" w:hAnsi="Times New Roman" w:cs="Times New Roman"/>
          <w:sz w:val="24"/>
          <w:szCs w:val="24"/>
          <w:lang w:val="en-US"/>
        </w:rPr>
        <w:t xml:space="preserve">, N., 2014. On the value of restrictive covenants: Empirical investigation of public bond issues. </w:t>
      </w:r>
      <w:r w:rsidR="005231BF" w:rsidRPr="00790DC5">
        <w:rPr>
          <w:rFonts w:ascii="Times New Roman" w:hAnsi="Times New Roman" w:cs="Times New Roman"/>
          <w:sz w:val="24"/>
          <w:szCs w:val="24"/>
          <w:lang w:val="en-US"/>
        </w:rPr>
        <w:t>Journal of Corporate Finance</w:t>
      </w:r>
      <w:r w:rsidRPr="00790DC5" w:rsidDel="00E06CFA">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27, 251-268.</w:t>
      </w:r>
    </w:p>
    <w:p w14:paraId="5A45A84E" w14:textId="3E6BB3BD" w:rsidR="004F3CFB" w:rsidRPr="00790DC5" w:rsidRDefault="004F3CFB" w:rsidP="00790DC5">
      <w:pPr>
        <w:jc w:val="both"/>
        <w:rPr>
          <w:rFonts w:ascii="Times New Roman" w:hAnsi="Times New Roman" w:cs="Times New Roman"/>
          <w:sz w:val="24"/>
          <w:szCs w:val="24"/>
          <w:lang w:val="en-US"/>
        </w:rPr>
      </w:pPr>
      <w:r w:rsidRPr="00746115">
        <w:rPr>
          <w:rFonts w:ascii="Times New Roman" w:hAnsi="Times New Roman" w:cs="Times New Roman"/>
          <w:sz w:val="24"/>
          <w:szCs w:val="24"/>
          <w:lang w:val="en-US"/>
        </w:rPr>
        <w:t>Simpson, D. B.</w:t>
      </w:r>
      <w:r>
        <w:rPr>
          <w:rFonts w:ascii="Times New Roman" w:hAnsi="Times New Roman" w:cs="Times New Roman"/>
          <w:sz w:val="24"/>
          <w:szCs w:val="24"/>
          <w:lang w:val="en-US"/>
        </w:rPr>
        <w:t>,</w:t>
      </w:r>
      <w:r w:rsidRPr="00DC14E8">
        <w:rPr>
          <w:rFonts w:ascii="Times New Roman" w:hAnsi="Times New Roman" w:cs="Times New Roman"/>
          <w:sz w:val="24"/>
          <w:szCs w:val="24"/>
          <w:lang w:val="en-US"/>
        </w:rPr>
        <w:t xml:space="preserve"> 1973. The drafting of loan agreements: A borrower's viewpoint. The Business Lawyer</w:t>
      </w:r>
      <w:r w:rsidR="008A63B1">
        <w:rPr>
          <w:rFonts w:ascii="Times New Roman" w:hAnsi="Times New Roman" w:cs="Times New Roman"/>
          <w:sz w:val="24"/>
          <w:szCs w:val="24"/>
          <w:lang w:val="en-US"/>
        </w:rPr>
        <w:t xml:space="preserve"> 28</w:t>
      </w:r>
      <w:r w:rsidRPr="00DC14E8">
        <w:rPr>
          <w:rFonts w:ascii="Times New Roman" w:hAnsi="Times New Roman" w:cs="Times New Roman"/>
          <w:sz w:val="24"/>
          <w:szCs w:val="24"/>
          <w:lang w:val="en-US"/>
        </w:rPr>
        <w:t>, 1161-1196.</w:t>
      </w:r>
    </w:p>
    <w:p w14:paraId="114C2A27" w14:textId="42E1F07F"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Simpson, M. W., Grossmann, A., 2017. The value of restrictive covenants in the changing bond market dynamics before and after the financial crisis. </w:t>
      </w:r>
      <w:r w:rsidR="00CC3042" w:rsidRPr="00790DC5">
        <w:rPr>
          <w:rFonts w:ascii="Times New Roman" w:hAnsi="Times New Roman" w:cs="Times New Roman"/>
          <w:sz w:val="24"/>
          <w:szCs w:val="24"/>
          <w:lang w:val="en-US"/>
        </w:rPr>
        <w:t>Journal of Corporate Finance</w:t>
      </w:r>
      <w:r w:rsidRPr="00790DC5" w:rsidDel="00BD58A6">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46, 307-319.</w:t>
      </w:r>
    </w:p>
    <w:p w14:paraId="31F9D271" w14:textId="58A57026"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lastRenderedPageBreak/>
        <w:t xml:space="preserve">Smith Jr, C. W., Warner, J. B., 1979. On financial contracting: </w:t>
      </w:r>
      <w:r w:rsidR="00CC3042" w:rsidRPr="00790DC5">
        <w:rPr>
          <w:rFonts w:ascii="Times New Roman" w:hAnsi="Times New Roman" w:cs="Times New Roman"/>
          <w:sz w:val="24"/>
          <w:szCs w:val="24"/>
          <w:lang w:val="en-US"/>
        </w:rPr>
        <w:t>a</w:t>
      </w:r>
      <w:r w:rsidRPr="00790DC5">
        <w:rPr>
          <w:rFonts w:ascii="Times New Roman" w:hAnsi="Times New Roman" w:cs="Times New Roman"/>
          <w:sz w:val="24"/>
          <w:szCs w:val="24"/>
          <w:lang w:val="en-US"/>
        </w:rPr>
        <w:t>n analysis of bond covenants. J</w:t>
      </w:r>
      <w:r w:rsidR="00CC3042" w:rsidRPr="00790DC5">
        <w:rPr>
          <w:rFonts w:ascii="Times New Roman" w:hAnsi="Times New Roman" w:cs="Times New Roman"/>
          <w:sz w:val="24"/>
          <w:szCs w:val="24"/>
          <w:lang w:val="en-US"/>
        </w:rPr>
        <w:t xml:space="preserve">ournal of Financial Economics </w:t>
      </w:r>
      <w:r w:rsidRPr="00790DC5">
        <w:rPr>
          <w:rFonts w:ascii="Times New Roman" w:hAnsi="Times New Roman" w:cs="Times New Roman"/>
          <w:sz w:val="24"/>
          <w:szCs w:val="24"/>
          <w:lang w:val="en-US"/>
        </w:rPr>
        <w:t>7, 117-161.</w:t>
      </w:r>
    </w:p>
    <w:p w14:paraId="580AFC56" w14:textId="2F2998EC"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sz w:val="24"/>
          <w:szCs w:val="24"/>
          <w:lang w:val="en-US"/>
        </w:rPr>
        <w:t>Stein, J. C., 1992. Convertible bonds as backdoor equity financing. </w:t>
      </w:r>
      <w:r w:rsidR="00CC3042" w:rsidRPr="00790DC5">
        <w:rPr>
          <w:rFonts w:ascii="Times New Roman" w:hAnsi="Times New Roman" w:cs="Times New Roman"/>
          <w:sz w:val="24"/>
          <w:szCs w:val="24"/>
          <w:lang w:val="en-US"/>
        </w:rPr>
        <w:t>Journal of Financial Economics</w:t>
      </w:r>
      <w:r w:rsidRPr="00790DC5" w:rsidDel="00BD58A6">
        <w:rPr>
          <w:rFonts w:ascii="Times New Roman" w:hAnsi="Times New Roman" w:cs="Times New Roman"/>
          <w:sz w:val="24"/>
          <w:szCs w:val="24"/>
          <w:lang w:val="en-US"/>
        </w:rPr>
        <w:t xml:space="preserve"> </w:t>
      </w:r>
      <w:r w:rsidRPr="00790DC5">
        <w:rPr>
          <w:rFonts w:ascii="Times New Roman" w:hAnsi="Times New Roman" w:cs="Times New Roman"/>
          <w:sz w:val="24"/>
          <w:szCs w:val="24"/>
          <w:lang w:val="en-US"/>
        </w:rPr>
        <w:t>32, 3-21.</w:t>
      </w:r>
    </w:p>
    <w:p w14:paraId="387F4D6E" w14:textId="23D3FF86" w:rsidR="00432C44" w:rsidRPr="00790DC5" w:rsidRDefault="00432C44" w:rsidP="00790DC5">
      <w:pPr>
        <w:jc w:val="both"/>
        <w:rPr>
          <w:rFonts w:ascii="Times New Roman" w:hAnsi="Times New Roman" w:cs="Times New Roman"/>
          <w:sz w:val="24"/>
          <w:szCs w:val="24"/>
          <w:lang w:val="en-US"/>
        </w:rPr>
      </w:pPr>
      <w:r w:rsidRPr="00790DC5">
        <w:rPr>
          <w:rFonts w:ascii="Times New Roman" w:hAnsi="Times New Roman" w:cs="Times New Roman"/>
          <w:color w:val="222222"/>
          <w:sz w:val="24"/>
          <w:szCs w:val="24"/>
          <w:shd w:val="clear" w:color="auto" w:fill="FFFFFF"/>
          <w:lang w:val="en-US"/>
        </w:rPr>
        <w:t xml:space="preserve">Whited, R. L., </w:t>
      </w:r>
      <w:proofErr w:type="spellStart"/>
      <w:r w:rsidRPr="00790DC5">
        <w:rPr>
          <w:rFonts w:ascii="Times New Roman" w:hAnsi="Times New Roman" w:cs="Times New Roman"/>
          <w:color w:val="222222"/>
          <w:sz w:val="24"/>
          <w:szCs w:val="24"/>
          <w:shd w:val="clear" w:color="auto" w:fill="FFFFFF"/>
          <w:lang w:val="en-US"/>
        </w:rPr>
        <w:t>Swanquist</w:t>
      </w:r>
      <w:proofErr w:type="spellEnd"/>
      <w:r w:rsidRPr="00790DC5">
        <w:rPr>
          <w:rFonts w:ascii="Times New Roman" w:hAnsi="Times New Roman" w:cs="Times New Roman"/>
          <w:color w:val="222222"/>
          <w:sz w:val="24"/>
          <w:szCs w:val="24"/>
          <w:shd w:val="clear" w:color="auto" w:fill="FFFFFF"/>
          <w:lang w:val="en-US"/>
        </w:rPr>
        <w:t xml:space="preserve">, Q. T., Shipman, J. E., Moon, J., </w:t>
      </w:r>
      <w:r w:rsidR="007A0F81" w:rsidRPr="00790DC5">
        <w:rPr>
          <w:rFonts w:ascii="Times New Roman" w:hAnsi="Times New Roman" w:cs="Times New Roman"/>
          <w:color w:val="222222"/>
          <w:sz w:val="24"/>
          <w:szCs w:val="24"/>
          <w:shd w:val="clear" w:color="auto" w:fill="FFFFFF"/>
          <w:lang w:val="en-US"/>
        </w:rPr>
        <w:t>2022</w:t>
      </w:r>
      <w:r w:rsidRPr="00790DC5">
        <w:rPr>
          <w:rFonts w:ascii="Times New Roman" w:hAnsi="Times New Roman" w:cs="Times New Roman"/>
          <w:color w:val="222222"/>
          <w:sz w:val="24"/>
          <w:szCs w:val="24"/>
          <w:shd w:val="clear" w:color="auto" w:fill="FFFFFF"/>
          <w:lang w:val="en-US"/>
        </w:rPr>
        <w:t xml:space="preserve">. Out of control: </w:t>
      </w:r>
      <w:r w:rsidR="00CC3042" w:rsidRPr="00790DC5">
        <w:rPr>
          <w:rFonts w:ascii="Times New Roman" w:hAnsi="Times New Roman" w:cs="Times New Roman"/>
          <w:color w:val="222222"/>
          <w:sz w:val="24"/>
          <w:szCs w:val="24"/>
          <w:shd w:val="clear" w:color="auto" w:fill="FFFFFF"/>
          <w:lang w:val="en-US"/>
        </w:rPr>
        <w:t>t</w:t>
      </w:r>
      <w:r w:rsidRPr="00790DC5">
        <w:rPr>
          <w:rFonts w:ascii="Times New Roman" w:hAnsi="Times New Roman" w:cs="Times New Roman"/>
          <w:color w:val="222222"/>
          <w:sz w:val="24"/>
          <w:szCs w:val="24"/>
          <w:shd w:val="clear" w:color="auto" w:fill="FFFFFF"/>
          <w:lang w:val="en-US"/>
        </w:rPr>
        <w:t>he (over) use of controls in accounting research. </w:t>
      </w:r>
      <w:r w:rsidR="007A0F81" w:rsidRPr="00790DC5">
        <w:rPr>
          <w:rFonts w:ascii="Times New Roman" w:hAnsi="Times New Roman" w:cs="Times New Roman"/>
          <w:color w:val="222222"/>
          <w:sz w:val="24"/>
          <w:szCs w:val="24"/>
          <w:shd w:val="clear" w:color="auto" w:fill="FFFFFF"/>
          <w:lang w:val="en-US"/>
        </w:rPr>
        <w:t>The Accounting Review 97, 395-413.</w:t>
      </w:r>
      <w:r w:rsidR="00CC3042" w:rsidRPr="00790DC5">
        <w:rPr>
          <w:rFonts w:ascii="Times New Roman" w:hAnsi="Times New Roman" w:cs="Times New Roman"/>
          <w:color w:val="222222"/>
          <w:sz w:val="24"/>
          <w:szCs w:val="24"/>
          <w:shd w:val="clear" w:color="auto" w:fill="FFFFFF"/>
          <w:lang w:val="en-US"/>
        </w:rPr>
        <w:t xml:space="preserve"> </w:t>
      </w:r>
    </w:p>
    <w:p w14:paraId="22246841" w14:textId="4837C486" w:rsidR="00FB111B" w:rsidRPr="00790DC5" w:rsidRDefault="00432C44" w:rsidP="00790DC5">
      <w:pPr>
        <w:jc w:val="both"/>
        <w:rPr>
          <w:rFonts w:ascii="Times New Roman" w:hAnsi="Times New Roman" w:cs="Times New Roman"/>
          <w:sz w:val="24"/>
          <w:szCs w:val="24"/>
          <w:lang w:val="en-US"/>
        </w:rPr>
        <w:sectPr w:rsidR="00FB111B" w:rsidRPr="00790DC5" w:rsidSect="000C1D1E">
          <w:pgSz w:w="11906" w:h="16838"/>
          <w:pgMar w:top="1440" w:right="1440" w:bottom="1440" w:left="1440" w:header="708" w:footer="708" w:gutter="0"/>
          <w:cols w:space="708"/>
          <w:docGrid w:linePitch="360"/>
        </w:sectPr>
      </w:pPr>
      <w:r w:rsidRPr="00790DC5">
        <w:rPr>
          <w:rFonts w:ascii="Times New Roman" w:hAnsi="Times New Roman" w:cs="Times New Roman"/>
          <w:sz w:val="24"/>
          <w:szCs w:val="24"/>
          <w:lang w:val="en-US"/>
        </w:rPr>
        <w:t xml:space="preserve">Zhang, X., Zhou, S., 2018. Bond covenants and institutional </w:t>
      </w:r>
      <w:proofErr w:type="spellStart"/>
      <w:r w:rsidRPr="00790DC5">
        <w:rPr>
          <w:rFonts w:ascii="Times New Roman" w:hAnsi="Times New Roman" w:cs="Times New Roman"/>
          <w:sz w:val="24"/>
          <w:szCs w:val="24"/>
          <w:lang w:val="en-US"/>
        </w:rPr>
        <w:t>blockholding</w:t>
      </w:r>
      <w:proofErr w:type="spellEnd"/>
      <w:r w:rsidRPr="00790DC5">
        <w:rPr>
          <w:rFonts w:ascii="Times New Roman" w:hAnsi="Times New Roman" w:cs="Times New Roman"/>
          <w:sz w:val="24"/>
          <w:szCs w:val="24"/>
          <w:lang w:val="en-US"/>
        </w:rPr>
        <w:t>. </w:t>
      </w:r>
      <w:r w:rsidR="003244B6" w:rsidRPr="00790DC5">
        <w:rPr>
          <w:rFonts w:ascii="Times New Roman" w:hAnsi="Times New Roman" w:cs="Times New Roman"/>
          <w:sz w:val="24"/>
          <w:szCs w:val="24"/>
          <w:lang w:val="en-US"/>
        </w:rPr>
        <w:t>Journal of Banking and Finance</w:t>
      </w:r>
      <w:r w:rsidRPr="00790DC5">
        <w:rPr>
          <w:rFonts w:ascii="Times New Roman" w:hAnsi="Times New Roman" w:cs="Times New Roman"/>
          <w:sz w:val="24"/>
          <w:szCs w:val="24"/>
          <w:lang w:val="en-US"/>
        </w:rPr>
        <w:t xml:space="preserve"> 96, 136-152.</w:t>
      </w:r>
    </w:p>
    <w:p w14:paraId="4B708003" w14:textId="77777777" w:rsidR="00294950" w:rsidRPr="006C5031" w:rsidRDefault="00294950" w:rsidP="006C5031">
      <w:pPr>
        <w:spacing w:after="0"/>
        <w:rPr>
          <w:rFonts w:ascii="Times New Roman" w:hAnsi="Times New Roman" w:cs="Times New Roman"/>
          <w:b/>
          <w:sz w:val="2"/>
          <w:szCs w:val="2"/>
          <w:lang w:val="en-US" w:eastAsia="zh-CN"/>
        </w:rPr>
      </w:pPr>
    </w:p>
    <w:tbl>
      <w:tblPr>
        <w:tblStyle w:val="TableGrid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84"/>
        <w:gridCol w:w="992"/>
        <w:gridCol w:w="1134"/>
        <w:gridCol w:w="284"/>
        <w:gridCol w:w="1134"/>
        <w:gridCol w:w="1275"/>
        <w:gridCol w:w="284"/>
        <w:gridCol w:w="1134"/>
        <w:gridCol w:w="142"/>
        <w:gridCol w:w="1275"/>
      </w:tblGrid>
      <w:tr w:rsidR="00294950" w:rsidRPr="003101A0" w14:paraId="320A992B" w14:textId="77777777" w:rsidTr="003101A0">
        <w:trPr>
          <w:trHeight w:val="170"/>
        </w:trPr>
        <w:tc>
          <w:tcPr>
            <w:tcW w:w="9072" w:type="dxa"/>
            <w:gridSpan w:val="11"/>
            <w:tcBorders>
              <w:bottom w:val="single" w:sz="8" w:space="0" w:color="auto"/>
            </w:tcBorders>
            <w:vAlign w:val="center"/>
          </w:tcPr>
          <w:p w14:paraId="35EBCC55" w14:textId="77777777" w:rsidR="00294950" w:rsidRPr="00097346" w:rsidRDefault="00294950" w:rsidP="00493F00">
            <w:pPr>
              <w:rPr>
                <w:rFonts w:ascii="Times New Roman" w:hAnsi="Times New Roman" w:cs="Times New Roman"/>
                <w:sz w:val="20"/>
                <w:szCs w:val="20"/>
              </w:rPr>
            </w:pPr>
            <w:r w:rsidRPr="003101A0">
              <w:rPr>
                <w:rFonts w:ascii="Times New Roman" w:hAnsi="Times New Roman" w:cs="Times New Roman"/>
                <w:b/>
                <w:sz w:val="20"/>
                <w:szCs w:val="20"/>
                <w:lang w:val="en-US"/>
              </w:rPr>
              <w:t xml:space="preserve">Table 1: Sample selection and distribution by year </w:t>
            </w:r>
          </w:p>
        </w:tc>
      </w:tr>
      <w:tr w:rsidR="00294950" w:rsidRPr="003101A0" w14:paraId="3503A40D" w14:textId="77777777" w:rsidTr="003101A0">
        <w:trPr>
          <w:trHeight w:val="100"/>
        </w:trPr>
        <w:tc>
          <w:tcPr>
            <w:tcW w:w="4962" w:type="dxa"/>
            <w:gridSpan w:val="6"/>
            <w:tcBorders>
              <w:top w:val="single" w:sz="8" w:space="0" w:color="auto"/>
            </w:tcBorders>
          </w:tcPr>
          <w:p w14:paraId="5BA2DA9D"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Panel A: Sample selection procedure</w:t>
            </w:r>
          </w:p>
        </w:tc>
        <w:tc>
          <w:tcPr>
            <w:tcW w:w="4110" w:type="dxa"/>
            <w:gridSpan w:val="5"/>
            <w:tcBorders>
              <w:top w:val="single" w:sz="8" w:space="0" w:color="auto"/>
            </w:tcBorders>
            <w:vAlign w:val="center"/>
          </w:tcPr>
          <w:p w14:paraId="11A9AAA1"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i/>
                <w:iCs/>
                <w:sz w:val="20"/>
                <w:szCs w:val="20"/>
                <w:lang w:val="en-US"/>
              </w:rPr>
              <w:t>N</w:t>
            </w:r>
          </w:p>
        </w:tc>
      </w:tr>
      <w:tr w:rsidR="00294950" w:rsidRPr="003101A0" w14:paraId="63CA5115" w14:textId="77777777" w:rsidTr="003101A0">
        <w:trPr>
          <w:trHeight w:val="170"/>
        </w:trPr>
        <w:tc>
          <w:tcPr>
            <w:tcW w:w="4962" w:type="dxa"/>
            <w:gridSpan w:val="6"/>
            <w:tcBorders>
              <w:bottom w:val="single" w:sz="4" w:space="0" w:color="auto"/>
            </w:tcBorders>
            <w:vAlign w:val="center"/>
          </w:tcPr>
          <w:p w14:paraId="67B95E16" w14:textId="77777777" w:rsidR="00294950" w:rsidRPr="003101A0" w:rsidRDefault="00294950" w:rsidP="00493F00">
            <w:pPr>
              <w:rPr>
                <w:rFonts w:ascii="Times New Roman" w:hAnsi="Times New Roman" w:cs="Times New Roman"/>
                <w:sz w:val="20"/>
                <w:szCs w:val="20"/>
                <w:lang w:val="en-US"/>
              </w:rPr>
            </w:pPr>
          </w:p>
        </w:tc>
        <w:tc>
          <w:tcPr>
            <w:tcW w:w="1275" w:type="dxa"/>
            <w:tcBorders>
              <w:top w:val="single" w:sz="4" w:space="0" w:color="auto"/>
              <w:bottom w:val="single" w:sz="4" w:space="0" w:color="auto"/>
            </w:tcBorders>
            <w:vAlign w:val="center"/>
          </w:tcPr>
          <w:p w14:paraId="4D5B6A40"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All bonds</w:t>
            </w:r>
          </w:p>
        </w:tc>
        <w:tc>
          <w:tcPr>
            <w:tcW w:w="1418" w:type="dxa"/>
            <w:gridSpan w:val="2"/>
            <w:tcBorders>
              <w:top w:val="single" w:sz="4" w:space="0" w:color="auto"/>
              <w:bottom w:val="single" w:sz="4" w:space="0" w:color="auto"/>
            </w:tcBorders>
            <w:vAlign w:val="center"/>
          </w:tcPr>
          <w:p w14:paraId="4708078B"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Convertible</w:t>
            </w:r>
          </w:p>
        </w:tc>
        <w:tc>
          <w:tcPr>
            <w:tcW w:w="1417" w:type="dxa"/>
            <w:gridSpan w:val="2"/>
            <w:tcBorders>
              <w:top w:val="single" w:sz="4" w:space="0" w:color="auto"/>
              <w:bottom w:val="single" w:sz="4" w:space="0" w:color="auto"/>
            </w:tcBorders>
            <w:vAlign w:val="center"/>
          </w:tcPr>
          <w:p w14:paraId="1A1647B9"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Straight</w:t>
            </w:r>
          </w:p>
        </w:tc>
      </w:tr>
      <w:tr w:rsidR="00294950" w:rsidRPr="003101A0" w14:paraId="67D57F2B" w14:textId="77777777" w:rsidTr="003101A0">
        <w:trPr>
          <w:trHeight w:val="170"/>
        </w:trPr>
        <w:tc>
          <w:tcPr>
            <w:tcW w:w="4962" w:type="dxa"/>
            <w:gridSpan w:val="6"/>
            <w:tcBorders>
              <w:top w:val="single" w:sz="4" w:space="0" w:color="auto"/>
            </w:tcBorders>
            <w:vAlign w:val="center"/>
          </w:tcPr>
          <w:p w14:paraId="0C10DE40" w14:textId="1B82BE7F" w:rsidR="0029495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All bonds issued by U.S.-domiciled companies with an issue date between Jan</w:t>
            </w:r>
            <w:r w:rsidR="00B10D5C">
              <w:rPr>
                <w:rFonts w:ascii="Times New Roman" w:hAnsi="Times New Roman" w:cs="Times New Roman"/>
                <w:sz w:val="20"/>
                <w:szCs w:val="20"/>
                <w:lang w:val="en-US"/>
              </w:rPr>
              <w:t>.</w:t>
            </w:r>
            <w:r w:rsidRPr="003101A0">
              <w:rPr>
                <w:rFonts w:ascii="Times New Roman" w:hAnsi="Times New Roman" w:cs="Times New Roman"/>
                <w:sz w:val="20"/>
                <w:szCs w:val="20"/>
                <w:lang w:val="en-US"/>
              </w:rPr>
              <w:t xml:space="preserve"> 1989 and Sept</w:t>
            </w:r>
            <w:r w:rsidR="00B10D5C">
              <w:rPr>
                <w:rFonts w:ascii="Times New Roman" w:hAnsi="Times New Roman" w:cs="Times New Roman"/>
                <w:sz w:val="20"/>
                <w:szCs w:val="20"/>
                <w:lang w:val="en-US"/>
              </w:rPr>
              <w:t>.</w:t>
            </w:r>
            <w:r w:rsidRPr="003101A0">
              <w:rPr>
                <w:rFonts w:ascii="Times New Roman" w:hAnsi="Times New Roman" w:cs="Times New Roman"/>
                <w:sz w:val="20"/>
                <w:szCs w:val="20"/>
                <w:lang w:val="en-US"/>
              </w:rPr>
              <w:t xml:space="preserve"> 2020</w:t>
            </w:r>
            <w:r w:rsidR="00343D66">
              <w:rPr>
                <w:rFonts w:ascii="Times New Roman" w:hAnsi="Times New Roman" w:cs="Times New Roman"/>
                <w:sz w:val="20"/>
                <w:szCs w:val="20"/>
                <w:lang w:val="en-US"/>
              </w:rPr>
              <w:t xml:space="preserve"> obtained from </w:t>
            </w:r>
            <w:proofErr w:type="spellStart"/>
            <w:r w:rsidR="00343D66">
              <w:rPr>
                <w:rFonts w:ascii="Times New Roman" w:hAnsi="Times New Roman" w:cs="Times New Roman"/>
                <w:sz w:val="20"/>
                <w:szCs w:val="20"/>
                <w:lang w:val="en-US"/>
              </w:rPr>
              <w:t>Mergent</w:t>
            </w:r>
            <w:proofErr w:type="spellEnd"/>
            <w:r w:rsidR="00343D66">
              <w:rPr>
                <w:rFonts w:ascii="Times New Roman" w:hAnsi="Times New Roman" w:cs="Times New Roman"/>
                <w:sz w:val="20"/>
                <w:szCs w:val="20"/>
                <w:lang w:val="en-US"/>
              </w:rPr>
              <w:t xml:space="preserve"> FISD</w:t>
            </w:r>
            <w:r w:rsidRPr="003101A0">
              <w:rPr>
                <w:rFonts w:ascii="Times New Roman" w:hAnsi="Times New Roman" w:cs="Times New Roman"/>
                <w:sz w:val="20"/>
                <w:szCs w:val="20"/>
                <w:lang w:val="en-US"/>
              </w:rPr>
              <w:t>.</w:t>
            </w:r>
          </w:p>
          <w:p w14:paraId="63957A67" w14:textId="47831D89" w:rsidR="00343D66" w:rsidRPr="003101A0" w:rsidRDefault="00343D66" w:rsidP="00493F00">
            <w:pPr>
              <w:rPr>
                <w:rFonts w:ascii="Times New Roman" w:hAnsi="Times New Roman" w:cs="Times New Roman"/>
                <w:sz w:val="20"/>
                <w:szCs w:val="20"/>
                <w:lang w:val="en-US"/>
              </w:rPr>
            </w:pPr>
          </w:p>
        </w:tc>
        <w:tc>
          <w:tcPr>
            <w:tcW w:w="1275" w:type="dxa"/>
            <w:tcBorders>
              <w:top w:val="single" w:sz="4" w:space="0" w:color="auto"/>
            </w:tcBorders>
          </w:tcPr>
          <w:p w14:paraId="7885B135"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37,013</w:t>
            </w:r>
          </w:p>
        </w:tc>
        <w:tc>
          <w:tcPr>
            <w:tcW w:w="1418" w:type="dxa"/>
            <w:gridSpan w:val="2"/>
            <w:tcBorders>
              <w:top w:val="single" w:sz="4" w:space="0" w:color="auto"/>
            </w:tcBorders>
          </w:tcPr>
          <w:p w14:paraId="3BEC3EC2"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3,673</w:t>
            </w:r>
          </w:p>
        </w:tc>
        <w:tc>
          <w:tcPr>
            <w:tcW w:w="1417" w:type="dxa"/>
            <w:gridSpan w:val="2"/>
            <w:tcBorders>
              <w:top w:val="single" w:sz="4" w:space="0" w:color="auto"/>
            </w:tcBorders>
          </w:tcPr>
          <w:p w14:paraId="71305FBB"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33,340</w:t>
            </w:r>
          </w:p>
        </w:tc>
      </w:tr>
      <w:tr w:rsidR="00294950" w:rsidRPr="003101A0" w14:paraId="57AC8A97" w14:textId="77777777" w:rsidTr="003101A0">
        <w:trPr>
          <w:trHeight w:val="170"/>
        </w:trPr>
        <w:tc>
          <w:tcPr>
            <w:tcW w:w="4962" w:type="dxa"/>
            <w:gridSpan w:val="6"/>
            <w:vAlign w:val="center"/>
          </w:tcPr>
          <w:p w14:paraId="13E28673" w14:textId="58722F76" w:rsidR="00294950" w:rsidRDefault="00294950" w:rsidP="00493F00">
            <w:pPr>
              <w:contextualSpacing/>
              <w:rPr>
                <w:rFonts w:ascii="Times New Roman" w:hAnsi="Times New Roman" w:cs="Times New Roman"/>
                <w:sz w:val="20"/>
                <w:szCs w:val="20"/>
                <w:lang w:val="en-US"/>
              </w:rPr>
            </w:pPr>
            <w:r w:rsidRPr="003101A0">
              <w:rPr>
                <w:rFonts w:ascii="Times New Roman" w:hAnsi="Times New Roman" w:cs="Times New Roman"/>
                <w:sz w:val="20"/>
                <w:szCs w:val="20"/>
                <w:lang w:val="en-US"/>
              </w:rPr>
              <w:t>Exclude private (non-</w:t>
            </w:r>
            <w:r w:rsidR="001A73E2">
              <w:rPr>
                <w:rFonts w:ascii="Times New Roman" w:hAnsi="Times New Roman" w:cs="Times New Roman"/>
                <w:sz w:val="20"/>
                <w:szCs w:val="20"/>
                <w:lang w:val="en-US"/>
              </w:rPr>
              <w:t>R</w:t>
            </w:r>
            <w:r w:rsidRPr="003101A0">
              <w:rPr>
                <w:rFonts w:ascii="Times New Roman" w:hAnsi="Times New Roman" w:cs="Times New Roman"/>
                <w:sz w:val="20"/>
                <w:szCs w:val="20"/>
                <w:lang w:val="en-US"/>
              </w:rPr>
              <w:t xml:space="preserve">ule </w:t>
            </w:r>
            <w:r w:rsidR="00236DDC" w:rsidRPr="003101A0">
              <w:rPr>
                <w:rFonts w:ascii="Times New Roman" w:hAnsi="Times New Roman" w:cs="Times New Roman"/>
                <w:sz w:val="20"/>
                <w:szCs w:val="20"/>
                <w:lang w:val="en-US"/>
              </w:rPr>
              <w:t>144a</w:t>
            </w:r>
            <w:r w:rsidRPr="003101A0">
              <w:rPr>
                <w:rFonts w:ascii="Times New Roman" w:hAnsi="Times New Roman" w:cs="Times New Roman"/>
                <w:sz w:val="20"/>
                <w:szCs w:val="20"/>
                <w:lang w:val="en-US"/>
              </w:rPr>
              <w:t>) placements, medium term notes (MTNs) and preferred stock. Exclude bonds defined as government, municipal or foreign. Exclude mortgage-backed securities, asset-backed securities and bonds with special features such as pay-in-kind or insured.</w:t>
            </w:r>
          </w:p>
          <w:p w14:paraId="047C86BE" w14:textId="1AAA5744" w:rsidR="00343D66" w:rsidRPr="003101A0" w:rsidRDefault="00343D66" w:rsidP="00493F00">
            <w:pPr>
              <w:contextualSpacing/>
              <w:rPr>
                <w:rFonts w:ascii="Times New Roman" w:hAnsi="Times New Roman" w:cs="Times New Roman"/>
                <w:sz w:val="20"/>
                <w:szCs w:val="20"/>
                <w:lang w:val="en-US"/>
              </w:rPr>
            </w:pPr>
          </w:p>
        </w:tc>
        <w:tc>
          <w:tcPr>
            <w:tcW w:w="1275" w:type="dxa"/>
          </w:tcPr>
          <w:p w14:paraId="3849CCA3"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28,665</w:t>
            </w:r>
          </w:p>
        </w:tc>
        <w:tc>
          <w:tcPr>
            <w:tcW w:w="1418" w:type="dxa"/>
            <w:gridSpan w:val="2"/>
          </w:tcPr>
          <w:p w14:paraId="023C6A1A"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3,358</w:t>
            </w:r>
          </w:p>
        </w:tc>
        <w:tc>
          <w:tcPr>
            <w:tcW w:w="1417" w:type="dxa"/>
            <w:gridSpan w:val="2"/>
          </w:tcPr>
          <w:p w14:paraId="62BF1599"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25,407</w:t>
            </w:r>
          </w:p>
        </w:tc>
      </w:tr>
      <w:tr w:rsidR="00294950" w:rsidRPr="003101A0" w14:paraId="731964C1" w14:textId="77777777" w:rsidTr="003101A0">
        <w:trPr>
          <w:trHeight w:val="170"/>
        </w:trPr>
        <w:tc>
          <w:tcPr>
            <w:tcW w:w="4962" w:type="dxa"/>
            <w:gridSpan w:val="6"/>
            <w:vAlign w:val="center"/>
          </w:tcPr>
          <w:p w14:paraId="29EAC5B7" w14:textId="77777777" w:rsidR="00294950" w:rsidRDefault="00294950" w:rsidP="00493F00">
            <w:pPr>
              <w:contextualSpacing/>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Merge with </w:t>
            </w:r>
            <w:proofErr w:type="spellStart"/>
            <w:r w:rsidRPr="003101A0">
              <w:rPr>
                <w:rFonts w:ascii="Times New Roman" w:hAnsi="Times New Roman" w:cs="Times New Roman"/>
                <w:sz w:val="20"/>
                <w:szCs w:val="20"/>
                <w:lang w:val="en-US"/>
              </w:rPr>
              <w:t>Compustat</w:t>
            </w:r>
            <w:proofErr w:type="spellEnd"/>
            <w:r w:rsidRPr="003101A0">
              <w:rPr>
                <w:rFonts w:ascii="Times New Roman" w:hAnsi="Times New Roman" w:cs="Times New Roman"/>
                <w:sz w:val="20"/>
                <w:szCs w:val="20"/>
                <w:lang w:val="en-US"/>
              </w:rPr>
              <w:t>/CRSP by CUSIP.</w:t>
            </w:r>
          </w:p>
          <w:p w14:paraId="114DA4F1" w14:textId="2B745B99" w:rsidR="00343D66" w:rsidRPr="003101A0" w:rsidRDefault="00343D66" w:rsidP="00493F00">
            <w:pPr>
              <w:contextualSpacing/>
              <w:rPr>
                <w:rFonts w:ascii="Times New Roman" w:hAnsi="Times New Roman" w:cs="Times New Roman"/>
                <w:sz w:val="20"/>
                <w:szCs w:val="20"/>
                <w:lang w:val="en-US"/>
              </w:rPr>
            </w:pPr>
          </w:p>
        </w:tc>
        <w:tc>
          <w:tcPr>
            <w:tcW w:w="1275" w:type="dxa"/>
          </w:tcPr>
          <w:p w14:paraId="6ABD5C1C"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16,598</w:t>
            </w:r>
          </w:p>
        </w:tc>
        <w:tc>
          <w:tcPr>
            <w:tcW w:w="1418" w:type="dxa"/>
            <w:gridSpan w:val="2"/>
          </w:tcPr>
          <w:p w14:paraId="7D837E9A"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2,715</w:t>
            </w:r>
          </w:p>
        </w:tc>
        <w:tc>
          <w:tcPr>
            <w:tcW w:w="1417" w:type="dxa"/>
            <w:gridSpan w:val="2"/>
          </w:tcPr>
          <w:p w14:paraId="389CD162"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13,883</w:t>
            </w:r>
          </w:p>
        </w:tc>
      </w:tr>
      <w:tr w:rsidR="00294950" w:rsidRPr="003101A0" w14:paraId="191049D9" w14:textId="77777777" w:rsidTr="003101A0">
        <w:trPr>
          <w:trHeight w:val="170"/>
        </w:trPr>
        <w:tc>
          <w:tcPr>
            <w:tcW w:w="4962" w:type="dxa"/>
            <w:gridSpan w:val="6"/>
            <w:vAlign w:val="center"/>
          </w:tcPr>
          <w:p w14:paraId="04CE0AC3" w14:textId="75761250" w:rsidR="00294950" w:rsidRDefault="00294950" w:rsidP="00493F00">
            <w:pPr>
              <w:contextualSpacing/>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Remove bonds with missing data on </w:t>
            </w:r>
            <w:r w:rsidR="00343D66">
              <w:rPr>
                <w:rFonts w:ascii="Times New Roman" w:hAnsi="Times New Roman" w:cs="Times New Roman"/>
                <w:sz w:val="20"/>
                <w:szCs w:val="20"/>
                <w:lang w:val="en-US"/>
              </w:rPr>
              <w:t>issuer</w:t>
            </w:r>
            <w:r w:rsidRPr="003101A0">
              <w:rPr>
                <w:rFonts w:ascii="Times New Roman" w:hAnsi="Times New Roman" w:cs="Times New Roman"/>
                <w:sz w:val="20"/>
                <w:szCs w:val="20"/>
                <w:lang w:val="en-US"/>
              </w:rPr>
              <w:t xml:space="preserve"> or security design variables used in regressions.</w:t>
            </w:r>
          </w:p>
          <w:p w14:paraId="303B3D3F" w14:textId="2C27900D" w:rsidR="00343D66" w:rsidRPr="003101A0" w:rsidRDefault="00343D66" w:rsidP="00493F00">
            <w:pPr>
              <w:contextualSpacing/>
              <w:rPr>
                <w:rFonts w:ascii="Times New Roman" w:hAnsi="Times New Roman" w:cs="Times New Roman"/>
                <w:sz w:val="20"/>
                <w:szCs w:val="20"/>
                <w:lang w:val="en-US"/>
              </w:rPr>
            </w:pPr>
          </w:p>
        </w:tc>
        <w:tc>
          <w:tcPr>
            <w:tcW w:w="1275" w:type="dxa"/>
          </w:tcPr>
          <w:p w14:paraId="6BA95A8C"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14,378</w:t>
            </w:r>
          </w:p>
        </w:tc>
        <w:tc>
          <w:tcPr>
            <w:tcW w:w="1418" w:type="dxa"/>
            <w:gridSpan w:val="2"/>
          </w:tcPr>
          <w:p w14:paraId="5B03A3B2"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2,622</w:t>
            </w:r>
          </w:p>
        </w:tc>
        <w:tc>
          <w:tcPr>
            <w:tcW w:w="1417" w:type="dxa"/>
            <w:gridSpan w:val="2"/>
          </w:tcPr>
          <w:p w14:paraId="35ABC0CD"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11,756</w:t>
            </w:r>
          </w:p>
        </w:tc>
      </w:tr>
      <w:tr w:rsidR="00294950" w:rsidRPr="003101A0" w14:paraId="5B2760A3" w14:textId="77777777" w:rsidTr="003101A0">
        <w:trPr>
          <w:trHeight w:val="170"/>
        </w:trPr>
        <w:tc>
          <w:tcPr>
            <w:tcW w:w="4962" w:type="dxa"/>
            <w:gridSpan w:val="6"/>
            <w:vAlign w:val="center"/>
          </w:tcPr>
          <w:p w14:paraId="373B02A1" w14:textId="77777777" w:rsidR="00294950" w:rsidRDefault="00294950" w:rsidP="00493F00">
            <w:pPr>
              <w:contextualSpacing/>
              <w:rPr>
                <w:rFonts w:ascii="Times New Roman" w:hAnsi="Times New Roman" w:cs="Times New Roman"/>
                <w:sz w:val="20"/>
                <w:szCs w:val="20"/>
                <w:lang w:val="en-US"/>
              </w:rPr>
            </w:pPr>
            <w:r w:rsidRPr="003101A0">
              <w:rPr>
                <w:rFonts w:ascii="Times New Roman" w:hAnsi="Times New Roman" w:cs="Times New Roman"/>
                <w:sz w:val="20"/>
                <w:szCs w:val="20"/>
                <w:lang w:val="en-US"/>
              </w:rPr>
              <w:t>Remove bonds issued by financial or utility firms.</w:t>
            </w:r>
          </w:p>
          <w:p w14:paraId="20EDC75A" w14:textId="206E0177" w:rsidR="00343D66" w:rsidRPr="003101A0" w:rsidRDefault="00343D66" w:rsidP="00493F00">
            <w:pPr>
              <w:contextualSpacing/>
              <w:rPr>
                <w:rFonts w:ascii="Times New Roman" w:hAnsi="Times New Roman" w:cs="Times New Roman"/>
                <w:sz w:val="20"/>
                <w:szCs w:val="20"/>
                <w:lang w:val="en-US"/>
              </w:rPr>
            </w:pPr>
          </w:p>
        </w:tc>
        <w:tc>
          <w:tcPr>
            <w:tcW w:w="1275" w:type="dxa"/>
          </w:tcPr>
          <w:p w14:paraId="5D05800A"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12,094</w:t>
            </w:r>
          </w:p>
        </w:tc>
        <w:tc>
          <w:tcPr>
            <w:tcW w:w="1418" w:type="dxa"/>
            <w:gridSpan w:val="2"/>
          </w:tcPr>
          <w:p w14:paraId="370DF040"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2,383</w:t>
            </w:r>
          </w:p>
        </w:tc>
        <w:tc>
          <w:tcPr>
            <w:tcW w:w="1417" w:type="dxa"/>
            <w:gridSpan w:val="2"/>
          </w:tcPr>
          <w:p w14:paraId="2CC6A151"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9,711</w:t>
            </w:r>
          </w:p>
        </w:tc>
      </w:tr>
      <w:tr w:rsidR="00294950" w:rsidRPr="003101A0" w14:paraId="644CB3F4" w14:textId="77777777" w:rsidTr="003101A0">
        <w:trPr>
          <w:trHeight w:val="170"/>
        </w:trPr>
        <w:tc>
          <w:tcPr>
            <w:tcW w:w="4962" w:type="dxa"/>
            <w:gridSpan w:val="6"/>
            <w:vAlign w:val="center"/>
          </w:tcPr>
          <w:p w14:paraId="34006A9F" w14:textId="77777777" w:rsidR="00294950" w:rsidRDefault="00294950" w:rsidP="00493F00">
            <w:pPr>
              <w:contextualSpacing/>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Remove bonds without covenant information in </w:t>
            </w:r>
            <w:proofErr w:type="spellStart"/>
            <w:r w:rsidR="00F17857">
              <w:rPr>
                <w:rFonts w:ascii="Times New Roman" w:hAnsi="Times New Roman" w:cs="Times New Roman"/>
                <w:sz w:val="20"/>
                <w:szCs w:val="20"/>
                <w:lang w:val="en-US"/>
              </w:rPr>
              <w:t>Mergent</w:t>
            </w:r>
            <w:proofErr w:type="spellEnd"/>
            <w:r w:rsidR="00F17857">
              <w:rPr>
                <w:rFonts w:ascii="Times New Roman" w:hAnsi="Times New Roman" w:cs="Times New Roman"/>
                <w:sz w:val="20"/>
                <w:szCs w:val="20"/>
                <w:lang w:val="en-US"/>
              </w:rPr>
              <w:t xml:space="preserve"> </w:t>
            </w:r>
            <w:r w:rsidRPr="003101A0">
              <w:rPr>
                <w:rFonts w:ascii="Times New Roman" w:hAnsi="Times New Roman" w:cs="Times New Roman"/>
                <w:sz w:val="20"/>
                <w:szCs w:val="20"/>
                <w:lang w:val="en-US"/>
              </w:rPr>
              <w:t>FISD.</w:t>
            </w:r>
          </w:p>
          <w:p w14:paraId="10B3409C" w14:textId="4813A07B" w:rsidR="00343D66" w:rsidRPr="003101A0" w:rsidRDefault="00343D66" w:rsidP="00493F00">
            <w:pPr>
              <w:contextualSpacing/>
              <w:rPr>
                <w:rFonts w:ascii="Times New Roman" w:hAnsi="Times New Roman" w:cs="Times New Roman"/>
                <w:sz w:val="20"/>
                <w:szCs w:val="20"/>
                <w:lang w:val="en-US"/>
              </w:rPr>
            </w:pPr>
          </w:p>
        </w:tc>
        <w:tc>
          <w:tcPr>
            <w:tcW w:w="1275" w:type="dxa"/>
            <w:shd w:val="clear" w:color="auto" w:fill="auto"/>
          </w:tcPr>
          <w:p w14:paraId="47C249A8"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11,108</w:t>
            </w:r>
          </w:p>
        </w:tc>
        <w:tc>
          <w:tcPr>
            <w:tcW w:w="1418" w:type="dxa"/>
            <w:gridSpan w:val="2"/>
            <w:shd w:val="clear" w:color="auto" w:fill="auto"/>
          </w:tcPr>
          <w:p w14:paraId="03909996"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2,097</w:t>
            </w:r>
          </w:p>
        </w:tc>
        <w:tc>
          <w:tcPr>
            <w:tcW w:w="1417" w:type="dxa"/>
            <w:gridSpan w:val="2"/>
            <w:shd w:val="clear" w:color="auto" w:fill="auto"/>
          </w:tcPr>
          <w:p w14:paraId="5D60C404"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9,011</w:t>
            </w:r>
          </w:p>
        </w:tc>
      </w:tr>
      <w:tr w:rsidR="00294950" w:rsidRPr="003101A0" w14:paraId="6B36E868" w14:textId="77777777" w:rsidTr="003101A0">
        <w:trPr>
          <w:trHeight w:val="170"/>
        </w:trPr>
        <w:tc>
          <w:tcPr>
            <w:tcW w:w="4962" w:type="dxa"/>
            <w:gridSpan w:val="6"/>
            <w:tcBorders>
              <w:bottom w:val="single" w:sz="4" w:space="0" w:color="auto"/>
            </w:tcBorders>
            <w:vAlign w:val="center"/>
          </w:tcPr>
          <w:p w14:paraId="6DA0840F" w14:textId="70C530D1" w:rsidR="00294950" w:rsidRPr="003101A0" w:rsidRDefault="00294950" w:rsidP="00493F00">
            <w:pPr>
              <w:contextualSpacing/>
              <w:rPr>
                <w:rFonts w:ascii="Times New Roman" w:hAnsi="Times New Roman" w:cs="Times New Roman"/>
                <w:sz w:val="20"/>
                <w:szCs w:val="20"/>
                <w:lang w:val="en-US"/>
              </w:rPr>
            </w:pPr>
            <w:r w:rsidRPr="003101A0">
              <w:rPr>
                <w:rFonts w:ascii="Times New Roman" w:hAnsi="Times New Roman" w:cs="Times New Roman"/>
                <w:sz w:val="20"/>
                <w:szCs w:val="20"/>
                <w:lang w:val="en-US"/>
              </w:rPr>
              <w:t>(N</w:t>
            </w:r>
            <w:r w:rsidR="00343D66">
              <w:rPr>
                <w:rFonts w:ascii="Times New Roman" w:hAnsi="Times New Roman" w:cs="Times New Roman"/>
                <w:sz w:val="20"/>
                <w:szCs w:val="20"/>
                <w:lang w:val="en-US"/>
              </w:rPr>
              <w:t>umber</w:t>
            </w:r>
            <w:r w:rsidRPr="003101A0">
              <w:rPr>
                <w:rFonts w:ascii="Times New Roman" w:hAnsi="Times New Roman" w:cs="Times New Roman"/>
                <w:sz w:val="20"/>
                <w:szCs w:val="20"/>
                <w:lang w:val="en-US"/>
              </w:rPr>
              <w:t xml:space="preserve"> of issuers)</w:t>
            </w:r>
          </w:p>
        </w:tc>
        <w:tc>
          <w:tcPr>
            <w:tcW w:w="1275" w:type="dxa"/>
            <w:tcBorders>
              <w:bottom w:val="single" w:sz="4" w:space="0" w:color="auto"/>
            </w:tcBorders>
            <w:shd w:val="clear" w:color="auto" w:fill="auto"/>
          </w:tcPr>
          <w:p w14:paraId="41F72D48"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(1,907)</w:t>
            </w:r>
          </w:p>
        </w:tc>
        <w:tc>
          <w:tcPr>
            <w:tcW w:w="1418" w:type="dxa"/>
            <w:gridSpan w:val="2"/>
            <w:tcBorders>
              <w:bottom w:val="single" w:sz="4" w:space="0" w:color="auto"/>
            </w:tcBorders>
            <w:shd w:val="clear" w:color="auto" w:fill="auto"/>
          </w:tcPr>
          <w:p w14:paraId="42910A7C"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(681)</w:t>
            </w:r>
          </w:p>
        </w:tc>
        <w:tc>
          <w:tcPr>
            <w:tcW w:w="1417" w:type="dxa"/>
            <w:gridSpan w:val="2"/>
            <w:tcBorders>
              <w:bottom w:val="single" w:sz="4" w:space="0" w:color="auto"/>
            </w:tcBorders>
            <w:shd w:val="clear" w:color="auto" w:fill="auto"/>
          </w:tcPr>
          <w:p w14:paraId="514BFD07"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(1,226)</w:t>
            </w:r>
          </w:p>
        </w:tc>
      </w:tr>
      <w:tr w:rsidR="00294950" w:rsidRPr="003101A0" w14:paraId="2B72F53A" w14:textId="77777777" w:rsidTr="003101A0">
        <w:trPr>
          <w:trHeight w:val="170"/>
        </w:trPr>
        <w:tc>
          <w:tcPr>
            <w:tcW w:w="4962" w:type="dxa"/>
            <w:gridSpan w:val="6"/>
            <w:tcBorders>
              <w:top w:val="single" w:sz="4" w:space="0" w:color="auto"/>
            </w:tcBorders>
            <w:vAlign w:val="center"/>
          </w:tcPr>
          <w:p w14:paraId="347EC914" w14:textId="77777777" w:rsidR="00294950" w:rsidRPr="003101A0" w:rsidRDefault="00294950" w:rsidP="00493F00">
            <w:pPr>
              <w:contextualSpacing/>
              <w:rPr>
                <w:rFonts w:ascii="Times New Roman" w:hAnsi="Times New Roman" w:cs="Times New Roman"/>
                <w:sz w:val="20"/>
                <w:szCs w:val="20"/>
                <w:lang w:val="en-US"/>
              </w:rPr>
            </w:pPr>
          </w:p>
        </w:tc>
        <w:tc>
          <w:tcPr>
            <w:tcW w:w="1275" w:type="dxa"/>
            <w:tcBorders>
              <w:top w:val="single" w:sz="4" w:space="0" w:color="auto"/>
            </w:tcBorders>
          </w:tcPr>
          <w:p w14:paraId="7EF4E24C" w14:textId="77777777" w:rsidR="00294950" w:rsidRPr="003101A0" w:rsidRDefault="00294950" w:rsidP="001A1B45">
            <w:pPr>
              <w:rPr>
                <w:rFonts w:ascii="Times New Roman" w:hAnsi="Times New Roman" w:cs="Times New Roman"/>
                <w:sz w:val="20"/>
                <w:szCs w:val="20"/>
                <w:lang w:val="en-US"/>
              </w:rPr>
            </w:pPr>
          </w:p>
        </w:tc>
        <w:tc>
          <w:tcPr>
            <w:tcW w:w="1418" w:type="dxa"/>
            <w:gridSpan w:val="2"/>
            <w:tcBorders>
              <w:top w:val="single" w:sz="4" w:space="0" w:color="auto"/>
            </w:tcBorders>
          </w:tcPr>
          <w:p w14:paraId="139A7C3E" w14:textId="77777777" w:rsidR="00294950" w:rsidRPr="003101A0" w:rsidRDefault="00294950" w:rsidP="001A1B45">
            <w:pPr>
              <w:rPr>
                <w:rFonts w:ascii="Times New Roman" w:hAnsi="Times New Roman" w:cs="Times New Roman"/>
                <w:sz w:val="20"/>
                <w:szCs w:val="20"/>
                <w:lang w:val="en-US"/>
              </w:rPr>
            </w:pPr>
          </w:p>
        </w:tc>
        <w:tc>
          <w:tcPr>
            <w:tcW w:w="1417" w:type="dxa"/>
            <w:gridSpan w:val="2"/>
            <w:tcBorders>
              <w:top w:val="single" w:sz="4" w:space="0" w:color="auto"/>
            </w:tcBorders>
          </w:tcPr>
          <w:p w14:paraId="289D091A" w14:textId="77777777" w:rsidR="00294950" w:rsidRPr="003101A0" w:rsidRDefault="00294950" w:rsidP="001A1B45">
            <w:pPr>
              <w:rPr>
                <w:rFonts w:ascii="Times New Roman" w:hAnsi="Times New Roman" w:cs="Times New Roman"/>
                <w:sz w:val="20"/>
                <w:szCs w:val="20"/>
                <w:lang w:val="en-US"/>
              </w:rPr>
            </w:pPr>
          </w:p>
        </w:tc>
      </w:tr>
      <w:tr w:rsidR="00294950" w:rsidRPr="003101A0" w14:paraId="677AAB2A" w14:textId="77777777" w:rsidTr="003101A0">
        <w:trPr>
          <w:trHeight w:val="170"/>
        </w:trPr>
        <w:tc>
          <w:tcPr>
            <w:tcW w:w="9072" w:type="dxa"/>
            <w:gridSpan w:val="11"/>
          </w:tcPr>
          <w:p w14:paraId="7436702F"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Panel B: Issues by year</w:t>
            </w:r>
          </w:p>
        </w:tc>
      </w:tr>
      <w:tr w:rsidR="00294950" w:rsidRPr="003101A0" w14:paraId="4EE8758B" w14:textId="77777777" w:rsidTr="00310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34" w:type="dxa"/>
            <w:tcBorders>
              <w:top w:val="nil"/>
              <w:left w:val="nil"/>
              <w:bottom w:val="nil"/>
              <w:right w:val="nil"/>
            </w:tcBorders>
            <w:vAlign w:val="center"/>
          </w:tcPr>
          <w:p w14:paraId="68056045" w14:textId="77777777" w:rsidR="00294950" w:rsidRPr="003101A0" w:rsidRDefault="00294950" w:rsidP="00493F00">
            <w:pPr>
              <w:contextualSpacing/>
              <w:rPr>
                <w:rFonts w:ascii="Times New Roman" w:hAnsi="Times New Roman" w:cs="Times New Roman"/>
                <w:sz w:val="20"/>
                <w:szCs w:val="20"/>
                <w:lang w:val="en-US"/>
              </w:rPr>
            </w:pPr>
          </w:p>
        </w:tc>
        <w:tc>
          <w:tcPr>
            <w:tcW w:w="284" w:type="dxa"/>
            <w:tcBorders>
              <w:top w:val="nil"/>
              <w:left w:val="nil"/>
              <w:bottom w:val="nil"/>
              <w:right w:val="nil"/>
            </w:tcBorders>
          </w:tcPr>
          <w:p w14:paraId="314B1421" w14:textId="77777777" w:rsidR="00294950" w:rsidRPr="003101A0" w:rsidRDefault="00294950" w:rsidP="001A1B45">
            <w:pPr>
              <w:rPr>
                <w:rFonts w:ascii="Times New Roman" w:hAnsi="Times New Roman" w:cs="Times New Roman"/>
                <w:sz w:val="20"/>
                <w:szCs w:val="20"/>
                <w:lang w:val="en-US"/>
              </w:rPr>
            </w:pPr>
          </w:p>
        </w:tc>
        <w:tc>
          <w:tcPr>
            <w:tcW w:w="2126" w:type="dxa"/>
            <w:gridSpan w:val="2"/>
            <w:tcBorders>
              <w:top w:val="nil"/>
              <w:left w:val="nil"/>
              <w:bottom w:val="single" w:sz="4" w:space="0" w:color="auto"/>
              <w:right w:val="nil"/>
            </w:tcBorders>
          </w:tcPr>
          <w:p w14:paraId="28500065"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All bonds</w:t>
            </w:r>
          </w:p>
        </w:tc>
        <w:tc>
          <w:tcPr>
            <w:tcW w:w="284" w:type="dxa"/>
            <w:tcBorders>
              <w:top w:val="nil"/>
              <w:left w:val="nil"/>
              <w:bottom w:val="nil"/>
              <w:right w:val="nil"/>
            </w:tcBorders>
          </w:tcPr>
          <w:p w14:paraId="202BE455" w14:textId="77777777" w:rsidR="00294950" w:rsidRPr="003101A0" w:rsidRDefault="00294950" w:rsidP="001A1B45">
            <w:pPr>
              <w:rPr>
                <w:rFonts w:ascii="Times New Roman" w:hAnsi="Times New Roman" w:cs="Times New Roman"/>
                <w:sz w:val="20"/>
                <w:szCs w:val="20"/>
                <w:lang w:val="en-US"/>
              </w:rPr>
            </w:pPr>
          </w:p>
        </w:tc>
        <w:tc>
          <w:tcPr>
            <w:tcW w:w="2409" w:type="dxa"/>
            <w:gridSpan w:val="2"/>
            <w:tcBorders>
              <w:top w:val="nil"/>
              <w:left w:val="nil"/>
              <w:bottom w:val="single" w:sz="4" w:space="0" w:color="auto"/>
              <w:right w:val="nil"/>
            </w:tcBorders>
          </w:tcPr>
          <w:p w14:paraId="4EE348DA"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Convertible</w:t>
            </w:r>
          </w:p>
        </w:tc>
        <w:tc>
          <w:tcPr>
            <w:tcW w:w="284" w:type="dxa"/>
            <w:tcBorders>
              <w:top w:val="nil"/>
              <w:left w:val="nil"/>
              <w:bottom w:val="nil"/>
              <w:right w:val="nil"/>
            </w:tcBorders>
          </w:tcPr>
          <w:p w14:paraId="006EA0FA" w14:textId="77777777" w:rsidR="00294950" w:rsidRPr="003101A0" w:rsidRDefault="00294950" w:rsidP="001A1B45">
            <w:pPr>
              <w:rPr>
                <w:rFonts w:ascii="Times New Roman" w:hAnsi="Times New Roman" w:cs="Times New Roman"/>
                <w:sz w:val="20"/>
                <w:szCs w:val="20"/>
                <w:lang w:val="en-US"/>
              </w:rPr>
            </w:pPr>
          </w:p>
        </w:tc>
        <w:tc>
          <w:tcPr>
            <w:tcW w:w="2551" w:type="dxa"/>
            <w:gridSpan w:val="3"/>
            <w:tcBorders>
              <w:top w:val="nil"/>
              <w:left w:val="nil"/>
              <w:bottom w:val="single" w:sz="4" w:space="0" w:color="auto"/>
              <w:right w:val="nil"/>
            </w:tcBorders>
          </w:tcPr>
          <w:p w14:paraId="2F2238C4"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Straight</w:t>
            </w:r>
          </w:p>
        </w:tc>
      </w:tr>
      <w:tr w:rsidR="00294950" w:rsidRPr="003101A0" w14:paraId="1151AC64" w14:textId="77777777" w:rsidTr="00310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34" w:type="dxa"/>
            <w:tcBorders>
              <w:top w:val="nil"/>
              <w:left w:val="nil"/>
              <w:bottom w:val="single" w:sz="4" w:space="0" w:color="auto"/>
              <w:right w:val="nil"/>
            </w:tcBorders>
            <w:vAlign w:val="center"/>
          </w:tcPr>
          <w:p w14:paraId="46F23FA2" w14:textId="77777777" w:rsidR="00294950" w:rsidRPr="003101A0" w:rsidRDefault="00294950" w:rsidP="00493F00">
            <w:pPr>
              <w:contextualSpacing/>
              <w:rPr>
                <w:rFonts w:ascii="Times New Roman" w:hAnsi="Times New Roman" w:cs="Times New Roman"/>
                <w:sz w:val="20"/>
                <w:szCs w:val="20"/>
                <w:lang w:val="en-US"/>
              </w:rPr>
            </w:pPr>
          </w:p>
        </w:tc>
        <w:tc>
          <w:tcPr>
            <w:tcW w:w="284" w:type="dxa"/>
            <w:tcBorders>
              <w:top w:val="nil"/>
              <w:left w:val="nil"/>
              <w:bottom w:val="single" w:sz="4" w:space="0" w:color="auto"/>
              <w:right w:val="nil"/>
            </w:tcBorders>
          </w:tcPr>
          <w:p w14:paraId="567FFBD2" w14:textId="77777777" w:rsidR="00294950" w:rsidRPr="003101A0" w:rsidRDefault="00294950" w:rsidP="001A1B45">
            <w:pPr>
              <w:rPr>
                <w:rFonts w:ascii="Times New Roman" w:hAnsi="Times New Roman" w:cs="Times New Roman"/>
                <w:sz w:val="20"/>
                <w:szCs w:val="20"/>
                <w:lang w:val="en-US"/>
              </w:rPr>
            </w:pPr>
          </w:p>
        </w:tc>
        <w:tc>
          <w:tcPr>
            <w:tcW w:w="992" w:type="dxa"/>
            <w:tcBorders>
              <w:top w:val="single" w:sz="4" w:space="0" w:color="auto"/>
              <w:left w:val="nil"/>
              <w:bottom w:val="single" w:sz="4" w:space="0" w:color="auto"/>
              <w:right w:val="nil"/>
            </w:tcBorders>
          </w:tcPr>
          <w:p w14:paraId="06EC9C8E"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i/>
                <w:iCs/>
                <w:sz w:val="20"/>
                <w:szCs w:val="20"/>
                <w:lang w:val="en-US"/>
              </w:rPr>
              <w:t>N</w:t>
            </w:r>
          </w:p>
        </w:tc>
        <w:tc>
          <w:tcPr>
            <w:tcW w:w="1134" w:type="dxa"/>
            <w:tcBorders>
              <w:top w:val="single" w:sz="4" w:space="0" w:color="auto"/>
              <w:left w:val="nil"/>
              <w:bottom w:val="single" w:sz="4" w:space="0" w:color="auto"/>
              <w:right w:val="nil"/>
            </w:tcBorders>
          </w:tcPr>
          <w:p w14:paraId="3E3EB154"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Percentage</w:t>
            </w:r>
          </w:p>
        </w:tc>
        <w:tc>
          <w:tcPr>
            <w:tcW w:w="284" w:type="dxa"/>
            <w:tcBorders>
              <w:top w:val="nil"/>
              <w:left w:val="nil"/>
              <w:bottom w:val="single" w:sz="4" w:space="0" w:color="auto"/>
              <w:right w:val="nil"/>
            </w:tcBorders>
          </w:tcPr>
          <w:p w14:paraId="0625B0C5" w14:textId="77777777" w:rsidR="00294950" w:rsidRPr="003101A0" w:rsidRDefault="00294950" w:rsidP="001A1B45">
            <w:pPr>
              <w:rPr>
                <w:rFonts w:ascii="Times New Roman" w:hAnsi="Times New Roman" w:cs="Times New Roman"/>
                <w:sz w:val="20"/>
                <w:szCs w:val="20"/>
                <w:lang w:val="en-US"/>
              </w:rPr>
            </w:pPr>
          </w:p>
        </w:tc>
        <w:tc>
          <w:tcPr>
            <w:tcW w:w="1134" w:type="dxa"/>
            <w:tcBorders>
              <w:top w:val="single" w:sz="4" w:space="0" w:color="auto"/>
              <w:left w:val="nil"/>
              <w:bottom w:val="single" w:sz="4" w:space="0" w:color="auto"/>
              <w:right w:val="nil"/>
            </w:tcBorders>
          </w:tcPr>
          <w:p w14:paraId="6EFB3374"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i/>
                <w:iCs/>
                <w:sz w:val="20"/>
                <w:szCs w:val="20"/>
                <w:lang w:val="en-US"/>
              </w:rPr>
              <w:t>N</w:t>
            </w:r>
          </w:p>
        </w:tc>
        <w:tc>
          <w:tcPr>
            <w:tcW w:w="1275" w:type="dxa"/>
            <w:tcBorders>
              <w:top w:val="single" w:sz="4" w:space="0" w:color="auto"/>
              <w:left w:val="nil"/>
              <w:bottom w:val="single" w:sz="4" w:space="0" w:color="auto"/>
              <w:right w:val="nil"/>
            </w:tcBorders>
          </w:tcPr>
          <w:p w14:paraId="35F1EAB1"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Percentage</w:t>
            </w:r>
          </w:p>
        </w:tc>
        <w:tc>
          <w:tcPr>
            <w:tcW w:w="284" w:type="dxa"/>
            <w:tcBorders>
              <w:top w:val="nil"/>
              <w:left w:val="nil"/>
              <w:bottom w:val="single" w:sz="4" w:space="0" w:color="auto"/>
              <w:right w:val="nil"/>
            </w:tcBorders>
          </w:tcPr>
          <w:p w14:paraId="1CC56464" w14:textId="77777777" w:rsidR="00294950" w:rsidRPr="003101A0" w:rsidRDefault="00294950" w:rsidP="001A1B45">
            <w:pPr>
              <w:rPr>
                <w:rFonts w:ascii="Times New Roman" w:hAnsi="Times New Roman" w:cs="Times New Roman"/>
                <w:sz w:val="20"/>
                <w:szCs w:val="20"/>
                <w:lang w:val="en-US"/>
              </w:rPr>
            </w:pPr>
          </w:p>
        </w:tc>
        <w:tc>
          <w:tcPr>
            <w:tcW w:w="1276" w:type="dxa"/>
            <w:gridSpan w:val="2"/>
            <w:tcBorders>
              <w:top w:val="single" w:sz="4" w:space="0" w:color="auto"/>
              <w:left w:val="nil"/>
              <w:bottom w:val="single" w:sz="4" w:space="0" w:color="auto"/>
              <w:right w:val="nil"/>
            </w:tcBorders>
          </w:tcPr>
          <w:p w14:paraId="5BA90CDE"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i/>
                <w:iCs/>
                <w:sz w:val="20"/>
                <w:szCs w:val="20"/>
                <w:lang w:val="en-US"/>
              </w:rPr>
              <w:t>N</w:t>
            </w:r>
          </w:p>
        </w:tc>
        <w:tc>
          <w:tcPr>
            <w:tcW w:w="1275" w:type="dxa"/>
            <w:tcBorders>
              <w:top w:val="single" w:sz="4" w:space="0" w:color="auto"/>
              <w:left w:val="nil"/>
              <w:bottom w:val="single" w:sz="4" w:space="0" w:color="auto"/>
              <w:right w:val="nil"/>
            </w:tcBorders>
          </w:tcPr>
          <w:p w14:paraId="7F5F97DB"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Percentage</w:t>
            </w:r>
          </w:p>
        </w:tc>
      </w:tr>
      <w:tr w:rsidR="00294950" w:rsidRPr="003101A0" w14:paraId="52399EB3" w14:textId="77777777" w:rsidTr="00310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34" w:type="dxa"/>
            <w:tcBorders>
              <w:top w:val="single" w:sz="4" w:space="0" w:color="auto"/>
              <w:left w:val="nil"/>
              <w:bottom w:val="nil"/>
              <w:right w:val="nil"/>
            </w:tcBorders>
          </w:tcPr>
          <w:p w14:paraId="054F2750" w14:textId="77777777" w:rsidR="00294950" w:rsidRPr="003101A0" w:rsidRDefault="00294950" w:rsidP="00493F00">
            <w:pPr>
              <w:contextualSpacing/>
              <w:rPr>
                <w:rFonts w:ascii="Times New Roman" w:hAnsi="Times New Roman" w:cs="Times New Roman"/>
                <w:sz w:val="20"/>
                <w:szCs w:val="20"/>
                <w:lang w:val="en-US"/>
              </w:rPr>
            </w:pPr>
            <w:r w:rsidRPr="003101A0">
              <w:rPr>
                <w:rFonts w:ascii="Times New Roman" w:hAnsi="Times New Roman" w:cs="Times New Roman"/>
                <w:sz w:val="20"/>
                <w:szCs w:val="20"/>
                <w:lang w:val="en-US"/>
              </w:rPr>
              <w:t>1989</w:t>
            </w:r>
            <w:r w:rsidRPr="003101A0">
              <w:rPr>
                <w:rFonts w:ascii="Times New Roman" w:hAnsi="Times New Roman" w:cs="Times New Roman"/>
                <w:color w:val="000000"/>
                <w:sz w:val="20"/>
                <w:szCs w:val="20"/>
                <w:lang w:val="en-US"/>
              </w:rPr>
              <w:t>–</w:t>
            </w:r>
            <w:r w:rsidRPr="003101A0">
              <w:rPr>
                <w:rFonts w:ascii="Times New Roman" w:hAnsi="Times New Roman" w:cs="Times New Roman"/>
                <w:sz w:val="20"/>
                <w:szCs w:val="20"/>
                <w:lang w:val="en-US"/>
              </w:rPr>
              <w:t>1995</w:t>
            </w:r>
          </w:p>
        </w:tc>
        <w:tc>
          <w:tcPr>
            <w:tcW w:w="284" w:type="dxa"/>
            <w:tcBorders>
              <w:top w:val="single" w:sz="4" w:space="0" w:color="auto"/>
              <w:left w:val="nil"/>
              <w:bottom w:val="nil"/>
              <w:right w:val="nil"/>
            </w:tcBorders>
          </w:tcPr>
          <w:p w14:paraId="48A3D744" w14:textId="77777777" w:rsidR="00294950" w:rsidRPr="003101A0" w:rsidRDefault="00294950" w:rsidP="001A1B45">
            <w:pPr>
              <w:rPr>
                <w:rFonts w:ascii="Times New Roman" w:hAnsi="Times New Roman" w:cs="Times New Roman"/>
                <w:sz w:val="20"/>
                <w:szCs w:val="20"/>
                <w:lang w:val="en-US"/>
              </w:rPr>
            </w:pPr>
          </w:p>
        </w:tc>
        <w:tc>
          <w:tcPr>
            <w:tcW w:w="992" w:type="dxa"/>
            <w:tcBorders>
              <w:top w:val="single" w:sz="4" w:space="0" w:color="auto"/>
              <w:left w:val="nil"/>
              <w:bottom w:val="nil"/>
              <w:right w:val="nil"/>
            </w:tcBorders>
            <w:vAlign w:val="bottom"/>
          </w:tcPr>
          <w:p w14:paraId="5086362D"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1,206</w:t>
            </w:r>
          </w:p>
        </w:tc>
        <w:tc>
          <w:tcPr>
            <w:tcW w:w="1134" w:type="dxa"/>
            <w:tcBorders>
              <w:top w:val="single" w:sz="4" w:space="0" w:color="auto"/>
              <w:left w:val="nil"/>
              <w:bottom w:val="nil"/>
              <w:right w:val="nil"/>
            </w:tcBorders>
            <w:vAlign w:val="bottom"/>
          </w:tcPr>
          <w:p w14:paraId="47D93A75"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10.86</w:t>
            </w:r>
          </w:p>
        </w:tc>
        <w:tc>
          <w:tcPr>
            <w:tcW w:w="284" w:type="dxa"/>
            <w:tcBorders>
              <w:top w:val="single" w:sz="4" w:space="0" w:color="auto"/>
              <w:left w:val="nil"/>
              <w:bottom w:val="nil"/>
              <w:right w:val="nil"/>
            </w:tcBorders>
            <w:vAlign w:val="bottom"/>
          </w:tcPr>
          <w:p w14:paraId="73A479BC" w14:textId="77777777" w:rsidR="00294950" w:rsidRPr="003101A0" w:rsidRDefault="00294950" w:rsidP="001A1B45">
            <w:pPr>
              <w:rPr>
                <w:rFonts w:ascii="Times New Roman" w:hAnsi="Times New Roman" w:cs="Times New Roman"/>
                <w:sz w:val="20"/>
                <w:szCs w:val="20"/>
                <w:lang w:val="en-US"/>
              </w:rPr>
            </w:pPr>
          </w:p>
        </w:tc>
        <w:tc>
          <w:tcPr>
            <w:tcW w:w="1134" w:type="dxa"/>
            <w:tcBorders>
              <w:top w:val="single" w:sz="4" w:space="0" w:color="auto"/>
              <w:left w:val="nil"/>
              <w:bottom w:val="nil"/>
              <w:right w:val="nil"/>
            </w:tcBorders>
            <w:vAlign w:val="center"/>
          </w:tcPr>
          <w:p w14:paraId="07DF1C55"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177</w:t>
            </w:r>
          </w:p>
        </w:tc>
        <w:tc>
          <w:tcPr>
            <w:tcW w:w="1275" w:type="dxa"/>
            <w:tcBorders>
              <w:top w:val="single" w:sz="4" w:space="0" w:color="auto"/>
              <w:left w:val="nil"/>
              <w:bottom w:val="nil"/>
              <w:right w:val="nil"/>
            </w:tcBorders>
            <w:vAlign w:val="center"/>
          </w:tcPr>
          <w:p w14:paraId="154EA640"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8.44</w:t>
            </w:r>
          </w:p>
        </w:tc>
        <w:tc>
          <w:tcPr>
            <w:tcW w:w="284" w:type="dxa"/>
            <w:tcBorders>
              <w:top w:val="single" w:sz="4" w:space="0" w:color="auto"/>
              <w:left w:val="nil"/>
              <w:bottom w:val="nil"/>
              <w:right w:val="nil"/>
            </w:tcBorders>
            <w:vAlign w:val="bottom"/>
          </w:tcPr>
          <w:p w14:paraId="054C8FAA" w14:textId="77777777" w:rsidR="00294950" w:rsidRPr="003101A0" w:rsidRDefault="00294950" w:rsidP="001A1B45">
            <w:pPr>
              <w:rPr>
                <w:rFonts w:ascii="Times New Roman" w:hAnsi="Times New Roman" w:cs="Times New Roman"/>
                <w:sz w:val="20"/>
                <w:szCs w:val="20"/>
                <w:lang w:val="en-US"/>
              </w:rPr>
            </w:pPr>
          </w:p>
        </w:tc>
        <w:tc>
          <w:tcPr>
            <w:tcW w:w="1276" w:type="dxa"/>
            <w:gridSpan w:val="2"/>
            <w:tcBorders>
              <w:top w:val="single" w:sz="4" w:space="0" w:color="auto"/>
              <w:left w:val="nil"/>
              <w:bottom w:val="nil"/>
              <w:right w:val="nil"/>
            </w:tcBorders>
            <w:vAlign w:val="bottom"/>
          </w:tcPr>
          <w:p w14:paraId="653018E3"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1,029</w:t>
            </w:r>
          </w:p>
        </w:tc>
        <w:tc>
          <w:tcPr>
            <w:tcW w:w="1275" w:type="dxa"/>
            <w:tcBorders>
              <w:top w:val="single" w:sz="4" w:space="0" w:color="auto"/>
              <w:left w:val="nil"/>
              <w:bottom w:val="nil"/>
              <w:right w:val="nil"/>
            </w:tcBorders>
            <w:vAlign w:val="bottom"/>
          </w:tcPr>
          <w:p w14:paraId="0137BC26"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11.42</w:t>
            </w:r>
          </w:p>
        </w:tc>
      </w:tr>
      <w:tr w:rsidR="00294950" w:rsidRPr="003101A0" w14:paraId="776F47A2" w14:textId="77777777" w:rsidTr="00310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34" w:type="dxa"/>
            <w:tcBorders>
              <w:top w:val="nil"/>
              <w:left w:val="nil"/>
              <w:bottom w:val="nil"/>
              <w:right w:val="nil"/>
            </w:tcBorders>
          </w:tcPr>
          <w:p w14:paraId="078A08E8" w14:textId="77777777" w:rsidR="00294950" w:rsidRPr="003101A0" w:rsidRDefault="00294950" w:rsidP="00493F00">
            <w:pPr>
              <w:contextualSpacing/>
              <w:rPr>
                <w:rFonts w:ascii="Times New Roman" w:hAnsi="Times New Roman" w:cs="Times New Roman"/>
                <w:sz w:val="20"/>
                <w:szCs w:val="20"/>
                <w:lang w:val="en-US"/>
              </w:rPr>
            </w:pPr>
            <w:r w:rsidRPr="003101A0">
              <w:rPr>
                <w:rFonts w:ascii="Times New Roman" w:hAnsi="Times New Roman" w:cs="Times New Roman"/>
                <w:sz w:val="20"/>
                <w:szCs w:val="20"/>
                <w:lang w:val="en-US"/>
              </w:rPr>
              <w:t>1996</w:t>
            </w:r>
            <w:r w:rsidRPr="003101A0">
              <w:rPr>
                <w:rFonts w:ascii="Times New Roman" w:hAnsi="Times New Roman" w:cs="Times New Roman"/>
                <w:color w:val="000000"/>
                <w:sz w:val="20"/>
                <w:szCs w:val="20"/>
                <w:lang w:val="en-US"/>
              </w:rPr>
              <w:t>–</w:t>
            </w:r>
            <w:r w:rsidRPr="003101A0">
              <w:rPr>
                <w:rFonts w:ascii="Times New Roman" w:hAnsi="Times New Roman" w:cs="Times New Roman"/>
                <w:sz w:val="20"/>
                <w:szCs w:val="20"/>
                <w:lang w:val="en-US"/>
              </w:rPr>
              <w:t>2000</w:t>
            </w:r>
          </w:p>
        </w:tc>
        <w:tc>
          <w:tcPr>
            <w:tcW w:w="284" w:type="dxa"/>
            <w:tcBorders>
              <w:top w:val="nil"/>
              <w:left w:val="nil"/>
              <w:bottom w:val="nil"/>
              <w:right w:val="nil"/>
            </w:tcBorders>
          </w:tcPr>
          <w:p w14:paraId="55845CFC" w14:textId="77777777" w:rsidR="00294950" w:rsidRPr="003101A0" w:rsidRDefault="00294950" w:rsidP="001A1B45">
            <w:pPr>
              <w:rPr>
                <w:rFonts w:ascii="Times New Roman" w:hAnsi="Times New Roman" w:cs="Times New Roman"/>
                <w:sz w:val="20"/>
                <w:szCs w:val="20"/>
                <w:lang w:val="en-US"/>
              </w:rPr>
            </w:pPr>
          </w:p>
        </w:tc>
        <w:tc>
          <w:tcPr>
            <w:tcW w:w="992" w:type="dxa"/>
            <w:tcBorders>
              <w:top w:val="nil"/>
              <w:left w:val="nil"/>
              <w:bottom w:val="nil"/>
              <w:right w:val="nil"/>
            </w:tcBorders>
            <w:vAlign w:val="bottom"/>
          </w:tcPr>
          <w:p w14:paraId="51F00BEF"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1,778</w:t>
            </w:r>
          </w:p>
        </w:tc>
        <w:tc>
          <w:tcPr>
            <w:tcW w:w="1134" w:type="dxa"/>
            <w:tcBorders>
              <w:top w:val="nil"/>
              <w:left w:val="nil"/>
              <w:bottom w:val="nil"/>
              <w:right w:val="nil"/>
            </w:tcBorders>
            <w:vAlign w:val="bottom"/>
          </w:tcPr>
          <w:p w14:paraId="0106A83E"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16.01</w:t>
            </w:r>
          </w:p>
        </w:tc>
        <w:tc>
          <w:tcPr>
            <w:tcW w:w="284" w:type="dxa"/>
            <w:tcBorders>
              <w:top w:val="nil"/>
              <w:left w:val="nil"/>
              <w:bottom w:val="nil"/>
              <w:right w:val="nil"/>
            </w:tcBorders>
            <w:vAlign w:val="bottom"/>
          </w:tcPr>
          <w:p w14:paraId="777112E2" w14:textId="77777777" w:rsidR="00294950" w:rsidRPr="003101A0" w:rsidRDefault="00294950" w:rsidP="001A1B45">
            <w:pPr>
              <w:rPr>
                <w:rFonts w:ascii="Times New Roman" w:hAnsi="Times New Roman" w:cs="Times New Roman"/>
                <w:sz w:val="20"/>
                <w:szCs w:val="20"/>
                <w:lang w:val="en-US"/>
              </w:rPr>
            </w:pPr>
          </w:p>
        </w:tc>
        <w:tc>
          <w:tcPr>
            <w:tcW w:w="1134" w:type="dxa"/>
            <w:tcBorders>
              <w:top w:val="nil"/>
              <w:left w:val="nil"/>
              <w:bottom w:val="nil"/>
              <w:right w:val="nil"/>
            </w:tcBorders>
            <w:vAlign w:val="center"/>
          </w:tcPr>
          <w:p w14:paraId="47EE696E"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292</w:t>
            </w:r>
          </w:p>
        </w:tc>
        <w:tc>
          <w:tcPr>
            <w:tcW w:w="1275" w:type="dxa"/>
            <w:tcBorders>
              <w:top w:val="nil"/>
              <w:left w:val="nil"/>
              <w:bottom w:val="nil"/>
              <w:right w:val="nil"/>
            </w:tcBorders>
            <w:vAlign w:val="center"/>
          </w:tcPr>
          <w:p w14:paraId="204F739C"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13.92</w:t>
            </w:r>
          </w:p>
        </w:tc>
        <w:tc>
          <w:tcPr>
            <w:tcW w:w="284" w:type="dxa"/>
            <w:tcBorders>
              <w:top w:val="nil"/>
              <w:left w:val="nil"/>
              <w:bottom w:val="nil"/>
              <w:right w:val="nil"/>
            </w:tcBorders>
            <w:vAlign w:val="bottom"/>
          </w:tcPr>
          <w:p w14:paraId="2312E890" w14:textId="77777777" w:rsidR="00294950" w:rsidRPr="003101A0" w:rsidRDefault="00294950" w:rsidP="001A1B45">
            <w:pPr>
              <w:rPr>
                <w:rFonts w:ascii="Times New Roman" w:hAnsi="Times New Roman" w:cs="Times New Roman"/>
                <w:sz w:val="20"/>
                <w:szCs w:val="20"/>
                <w:lang w:val="en-US"/>
              </w:rPr>
            </w:pPr>
          </w:p>
        </w:tc>
        <w:tc>
          <w:tcPr>
            <w:tcW w:w="1276" w:type="dxa"/>
            <w:gridSpan w:val="2"/>
            <w:tcBorders>
              <w:top w:val="nil"/>
              <w:left w:val="nil"/>
              <w:bottom w:val="nil"/>
              <w:right w:val="nil"/>
            </w:tcBorders>
            <w:vAlign w:val="bottom"/>
          </w:tcPr>
          <w:p w14:paraId="27709B54"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1,486</w:t>
            </w:r>
          </w:p>
        </w:tc>
        <w:tc>
          <w:tcPr>
            <w:tcW w:w="1275" w:type="dxa"/>
            <w:tcBorders>
              <w:top w:val="nil"/>
              <w:left w:val="nil"/>
              <w:bottom w:val="nil"/>
              <w:right w:val="nil"/>
            </w:tcBorders>
            <w:vAlign w:val="bottom"/>
          </w:tcPr>
          <w:p w14:paraId="2603B624"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16.49</w:t>
            </w:r>
          </w:p>
        </w:tc>
      </w:tr>
      <w:tr w:rsidR="00294950" w:rsidRPr="003101A0" w14:paraId="13C6C48F" w14:textId="77777777" w:rsidTr="00310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34" w:type="dxa"/>
            <w:tcBorders>
              <w:top w:val="nil"/>
              <w:left w:val="nil"/>
              <w:bottom w:val="nil"/>
              <w:right w:val="nil"/>
            </w:tcBorders>
          </w:tcPr>
          <w:p w14:paraId="031C19C7" w14:textId="77777777" w:rsidR="00294950" w:rsidRPr="003101A0" w:rsidRDefault="00294950" w:rsidP="00493F00">
            <w:pPr>
              <w:contextualSpacing/>
              <w:rPr>
                <w:rFonts w:ascii="Times New Roman" w:hAnsi="Times New Roman" w:cs="Times New Roman"/>
                <w:sz w:val="20"/>
                <w:szCs w:val="20"/>
                <w:lang w:val="en-US"/>
              </w:rPr>
            </w:pPr>
            <w:r w:rsidRPr="003101A0">
              <w:rPr>
                <w:rFonts w:ascii="Times New Roman" w:hAnsi="Times New Roman" w:cs="Times New Roman"/>
                <w:sz w:val="20"/>
                <w:szCs w:val="20"/>
                <w:lang w:val="en-US"/>
              </w:rPr>
              <w:t>2001</w:t>
            </w:r>
            <w:r w:rsidRPr="003101A0">
              <w:rPr>
                <w:rFonts w:ascii="Times New Roman" w:hAnsi="Times New Roman" w:cs="Times New Roman"/>
                <w:color w:val="000000"/>
                <w:sz w:val="20"/>
                <w:szCs w:val="20"/>
                <w:lang w:val="en-US"/>
              </w:rPr>
              <w:t>–</w:t>
            </w:r>
            <w:r w:rsidRPr="003101A0">
              <w:rPr>
                <w:rFonts w:ascii="Times New Roman" w:hAnsi="Times New Roman" w:cs="Times New Roman"/>
                <w:sz w:val="20"/>
                <w:szCs w:val="20"/>
                <w:lang w:val="en-US"/>
              </w:rPr>
              <w:t>2005</w:t>
            </w:r>
          </w:p>
        </w:tc>
        <w:tc>
          <w:tcPr>
            <w:tcW w:w="284" w:type="dxa"/>
            <w:tcBorders>
              <w:top w:val="nil"/>
              <w:left w:val="nil"/>
              <w:bottom w:val="nil"/>
              <w:right w:val="nil"/>
            </w:tcBorders>
          </w:tcPr>
          <w:p w14:paraId="68158796" w14:textId="77777777" w:rsidR="00294950" w:rsidRPr="003101A0" w:rsidRDefault="00294950" w:rsidP="001A1B45">
            <w:pPr>
              <w:rPr>
                <w:rFonts w:ascii="Times New Roman" w:hAnsi="Times New Roman" w:cs="Times New Roman"/>
                <w:sz w:val="20"/>
                <w:szCs w:val="20"/>
                <w:lang w:val="en-US"/>
              </w:rPr>
            </w:pPr>
          </w:p>
        </w:tc>
        <w:tc>
          <w:tcPr>
            <w:tcW w:w="992" w:type="dxa"/>
            <w:tcBorders>
              <w:top w:val="nil"/>
              <w:left w:val="nil"/>
              <w:bottom w:val="nil"/>
              <w:right w:val="nil"/>
            </w:tcBorders>
            <w:vAlign w:val="bottom"/>
          </w:tcPr>
          <w:p w14:paraId="1CFF6A5A"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2,280</w:t>
            </w:r>
          </w:p>
        </w:tc>
        <w:tc>
          <w:tcPr>
            <w:tcW w:w="1134" w:type="dxa"/>
            <w:tcBorders>
              <w:top w:val="nil"/>
              <w:left w:val="nil"/>
              <w:bottom w:val="nil"/>
              <w:right w:val="nil"/>
            </w:tcBorders>
            <w:vAlign w:val="bottom"/>
          </w:tcPr>
          <w:p w14:paraId="0D9FB58C"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20.53</w:t>
            </w:r>
          </w:p>
        </w:tc>
        <w:tc>
          <w:tcPr>
            <w:tcW w:w="284" w:type="dxa"/>
            <w:tcBorders>
              <w:top w:val="nil"/>
              <w:left w:val="nil"/>
              <w:bottom w:val="nil"/>
              <w:right w:val="nil"/>
            </w:tcBorders>
            <w:vAlign w:val="bottom"/>
          </w:tcPr>
          <w:p w14:paraId="43046DD6" w14:textId="77777777" w:rsidR="00294950" w:rsidRPr="003101A0" w:rsidRDefault="00294950" w:rsidP="001A1B45">
            <w:pPr>
              <w:rPr>
                <w:rFonts w:ascii="Times New Roman" w:hAnsi="Times New Roman" w:cs="Times New Roman"/>
                <w:sz w:val="20"/>
                <w:szCs w:val="20"/>
                <w:lang w:val="en-US"/>
              </w:rPr>
            </w:pPr>
          </w:p>
        </w:tc>
        <w:tc>
          <w:tcPr>
            <w:tcW w:w="1134" w:type="dxa"/>
            <w:tcBorders>
              <w:top w:val="nil"/>
              <w:left w:val="nil"/>
              <w:bottom w:val="nil"/>
              <w:right w:val="nil"/>
            </w:tcBorders>
            <w:vAlign w:val="center"/>
          </w:tcPr>
          <w:p w14:paraId="1BF68A81"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696</w:t>
            </w:r>
          </w:p>
        </w:tc>
        <w:tc>
          <w:tcPr>
            <w:tcW w:w="1275" w:type="dxa"/>
            <w:tcBorders>
              <w:top w:val="nil"/>
              <w:left w:val="nil"/>
              <w:bottom w:val="nil"/>
              <w:right w:val="nil"/>
            </w:tcBorders>
            <w:vAlign w:val="center"/>
          </w:tcPr>
          <w:p w14:paraId="5C2C2F95"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33.19</w:t>
            </w:r>
          </w:p>
        </w:tc>
        <w:tc>
          <w:tcPr>
            <w:tcW w:w="284" w:type="dxa"/>
            <w:tcBorders>
              <w:top w:val="nil"/>
              <w:left w:val="nil"/>
              <w:bottom w:val="nil"/>
              <w:right w:val="nil"/>
            </w:tcBorders>
            <w:vAlign w:val="bottom"/>
          </w:tcPr>
          <w:p w14:paraId="262A543A" w14:textId="77777777" w:rsidR="00294950" w:rsidRPr="003101A0" w:rsidRDefault="00294950" w:rsidP="001A1B45">
            <w:pPr>
              <w:rPr>
                <w:rFonts w:ascii="Times New Roman" w:hAnsi="Times New Roman" w:cs="Times New Roman"/>
                <w:sz w:val="20"/>
                <w:szCs w:val="20"/>
                <w:lang w:val="en-US"/>
              </w:rPr>
            </w:pPr>
          </w:p>
        </w:tc>
        <w:tc>
          <w:tcPr>
            <w:tcW w:w="1276" w:type="dxa"/>
            <w:gridSpan w:val="2"/>
            <w:tcBorders>
              <w:top w:val="nil"/>
              <w:left w:val="nil"/>
              <w:bottom w:val="nil"/>
              <w:right w:val="nil"/>
            </w:tcBorders>
            <w:vAlign w:val="bottom"/>
          </w:tcPr>
          <w:p w14:paraId="40EDFA87"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1,584</w:t>
            </w:r>
          </w:p>
        </w:tc>
        <w:tc>
          <w:tcPr>
            <w:tcW w:w="1275" w:type="dxa"/>
            <w:tcBorders>
              <w:top w:val="nil"/>
              <w:left w:val="nil"/>
              <w:bottom w:val="nil"/>
              <w:right w:val="nil"/>
            </w:tcBorders>
            <w:vAlign w:val="bottom"/>
          </w:tcPr>
          <w:p w14:paraId="04B0F57F"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17.58</w:t>
            </w:r>
          </w:p>
        </w:tc>
      </w:tr>
      <w:tr w:rsidR="00294950" w:rsidRPr="003101A0" w14:paraId="565218AC" w14:textId="77777777" w:rsidTr="00310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34" w:type="dxa"/>
            <w:tcBorders>
              <w:top w:val="nil"/>
              <w:left w:val="nil"/>
              <w:bottom w:val="nil"/>
              <w:right w:val="nil"/>
            </w:tcBorders>
          </w:tcPr>
          <w:p w14:paraId="4B6F5700" w14:textId="77777777" w:rsidR="00294950" w:rsidRPr="003101A0" w:rsidRDefault="00294950" w:rsidP="00493F00">
            <w:pPr>
              <w:contextualSpacing/>
              <w:rPr>
                <w:rFonts w:ascii="Times New Roman" w:hAnsi="Times New Roman" w:cs="Times New Roman"/>
                <w:sz w:val="20"/>
                <w:szCs w:val="20"/>
                <w:lang w:val="en-US"/>
              </w:rPr>
            </w:pPr>
            <w:r w:rsidRPr="003101A0">
              <w:rPr>
                <w:rFonts w:ascii="Times New Roman" w:hAnsi="Times New Roman" w:cs="Times New Roman"/>
                <w:sz w:val="20"/>
                <w:szCs w:val="20"/>
                <w:lang w:val="en-US"/>
              </w:rPr>
              <w:t>2006</w:t>
            </w:r>
            <w:r w:rsidRPr="003101A0">
              <w:rPr>
                <w:rFonts w:ascii="Times New Roman" w:hAnsi="Times New Roman" w:cs="Times New Roman"/>
                <w:color w:val="000000"/>
                <w:sz w:val="20"/>
                <w:szCs w:val="20"/>
                <w:lang w:val="en-US"/>
              </w:rPr>
              <w:t>–</w:t>
            </w:r>
            <w:r w:rsidRPr="003101A0">
              <w:rPr>
                <w:rFonts w:ascii="Times New Roman" w:hAnsi="Times New Roman" w:cs="Times New Roman"/>
                <w:sz w:val="20"/>
                <w:szCs w:val="20"/>
                <w:lang w:val="en-US"/>
              </w:rPr>
              <w:t>2010</w:t>
            </w:r>
          </w:p>
        </w:tc>
        <w:tc>
          <w:tcPr>
            <w:tcW w:w="284" w:type="dxa"/>
            <w:tcBorders>
              <w:top w:val="nil"/>
              <w:left w:val="nil"/>
              <w:bottom w:val="nil"/>
              <w:right w:val="nil"/>
            </w:tcBorders>
          </w:tcPr>
          <w:p w14:paraId="0969658F" w14:textId="77777777" w:rsidR="00294950" w:rsidRPr="003101A0" w:rsidRDefault="00294950" w:rsidP="001A1B45">
            <w:pPr>
              <w:rPr>
                <w:rFonts w:ascii="Times New Roman" w:hAnsi="Times New Roman" w:cs="Times New Roman"/>
                <w:sz w:val="20"/>
                <w:szCs w:val="20"/>
                <w:lang w:val="en-US"/>
              </w:rPr>
            </w:pPr>
          </w:p>
        </w:tc>
        <w:tc>
          <w:tcPr>
            <w:tcW w:w="992" w:type="dxa"/>
            <w:tcBorders>
              <w:top w:val="nil"/>
              <w:left w:val="nil"/>
              <w:bottom w:val="nil"/>
              <w:right w:val="nil"/>
            </w:tcBorders>
            <w:vAlign w:val="bottom"/>
          </w:tcPr>
          <w:p w14:paraId="2B69C829"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1,792</w:t>
            </w:r>
          </w:p>
        </w:tc>
        <w:tc>
          <w:tcPr>
            <w:tcW w:w="1134" w:type="dxa"/>
            <w:tcBorders>
              <w:top w:val="nil"/>
              <w:left w:val="nil"/>
              <w:bottom w:val="nil"/>
              <w:right w:val="nil"/>
            </w:tcBorders>
            <w:vAlign w:val="bottom"/>
          </w:tcPr>
          <w:p w14:paraId="1430A2FD"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16.13</w:t>
            </w:r>
          </w:p>
        </w:tc>
        <w:tc>
          <w:tcPr>
            <w:tcW w:w="284" w:type="dxa"/>
            <w:tcBorders>
              <w:top w:val="nil"/>
              <w:left w:val="nil"/>
              <w:bottom w:val="nil"/>
              <w:right w:val="nil"/>
            </w:tcBorders>
            <w:vAlign w:val="bottom"/>
          </w:tcPr>
          <w:p w14:paraId="28E99270" w14:textId="77777777" w:rsidR="00294950" w:rsidRPr="003101A0" w:rsidRDefault="00294950" w:rsidP="001A1B45">
            <w:pPr>
              <w:rPr>
                <w:rFonts w:ascii="Times New Roman" w:hAnsi="Times New Roman" w:cs="Times New Roman"/>
                <w:sz w:val="20"/>
                <w:szCs w:val="20"/>
                <w:lang w:val="en-US"/>
              </w:rPr>
            </w:pPr>
          </w:p>
        </w:tc>
        <w:tc>
          <w:tcPr>
            <w:tcW w:w="1134" w:type="dxa"/>
            <w:tcBorders>
              <w:top w:val="nil"/>
              <w:left w:val="nil"/>
              <w:bottom w:val="nil"/>
              <w:right w:val="nil"/>
            </w:tcBorders>
            <w:vAlign w:val="center"/>
          </w:tcPr>
          <w:p w14:paraId="23A393F4"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368</w:t>
            </w:r>
          </w:p>
        </w:tc>
        <w:tc>
          <w:tcPr>
            <w:tcW w:w="1275" w:type="dxa"/>
            <w:tcBorders>
              <w:top w:val="nil"/>
              <w:left w:val="nil"/>
              <w:bottom w:val="nil"/>
              <w:right w:val="nil"/>
            </w:tcBorders>
            <w:vAlign w:val="center"/>
          </w:tcPr>
          <w:p w14:paraId="556FB322"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17.55</w:t>
            </w:r>
          </w:p>
        </w:tc>
        <w:tc>
          <w:tcPr>
            <w:tcW w:w="284" w:type="dxa"/>
            <w:tcBorders>
              <w:top w:val="nil"/>
              <w:left w:val="nil"/>
              <w:bottom w:val="nil"/>
              <w:right w:val="nil"/>
            </w:tcBorders>
            <w:vAlign w:val="bottom"/>
          </w:tcPr>
          <w:p w14:paraId="393801BC" w14:textId="77777777" w:rsidR="00294950" w:rsidRPr="003101A0" w:rsidRDefault="00294950" w:rsidP="001A1B45">
            <w:pPr>
              <w:rPr>
                <w:rFonts w:ascii="Times New Roman" w:hAnsi="Times New Roman" w:cs="Times New Roman"/>
                <w:sz w:val="20"/>
                <w:szCs w:val="20"/>
                <w:lang w:val="en-US"/>
              </w:rPr>
            </w:pPr>
          </w:p>
        </w:tc>
        <w:tc>
          <w:tcPr>
            <w:tcW w:w="1276" w:type="dxa"/>
            <w:gridSpan w:val="2"/>
            <w:tcBorders>
              <w:top w:val="nil"/>
              <w:left w:val="nil"/>
              <w:bottom w:val="nil"/>
              <w:right w:val="nil"/>
            </w:tcBorders>
            <w:vAlign w:val="bottom"/>
          </w:tcPr>
          <w:p w14:paraId="34A74FBB"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1,424</w:t>
            </w:r>
          </w:p>
        </w:tc>
        <w:tc>
          <w:tcPr>
            <w:tcW w:w="1275" w:type="dxa"/>
            <w:tcBorders>
              <w:top w:val="nil"/>
              <w:left w:val="nil"/>
              <w:bottom w:val="nil"/>
              <w:right w:val="nil"/>
            </w:tcBorders>
            <w:vAlign w:val="bottom"/>
          </w:tcPr>
          <w:p w14:paraId="11AA88E3"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15.80</w:t>
            </w:r>
          </w:p>
        </w:tc>
      </w:tr>
      <w:tr w:rsidR="00294950" w:rsidRPr="003101A0" w14:paraId="4666E155" w14:textId="77777777" w:rsidTr="00310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34" w:type="dxa"/>
            <w:tcBorders>
              <w:top w:val="nil"/>
              <w:left w:val="nil"/>
              <w:bottom w:val="nil"/>
              <w:right w:val="nil"/>
            </w:tcBorders>
          </w:tcPr>
          <w:p w14:paraId="26895EC5" w14:textId="77777777" w:rsidR="00294950" w:rsidRPr="003101A0" w:rsidRDefault="00294950" w:rsidP="00493F00">
            <w:pPr>
              <w:contextualSpacing/>
              <w:rPr>
                <w:rFonts w:ascii="Times New Roman" w:hAnsi="Times New Roman" w:cs="Times New Roman"/>
                <w:sz w:val="20"/>
                <w:szCs w:val="20"/>
                <w:lang w:val="en-US"/>
              </w:rPr>
            </w:pPr>
            <w:r w:rsidRPr="003101A0">
              <w:rPr>
                <w:rFonts w:ascii="Times New Roman" w:hAnsi="Times New Roman" w:cs="Times New Roman"/>
                <w:sz w:val="20"/>
                <w:szCs w:val="20"/>
                <w:lang w:val="en-US"/>
              </w:rPr>
              <w:t>2011</w:t>
            </w:r>
            <w:r w:rsidRPr="003101A0">
              <w:rPr>
                <w:rFonts w:ascii="Times New Roman" w:hAnsi="Times New Roman" w:cs="Times New Roman"/>
                <w:color w:val="000000"/>
                <w:sz w:val="20"/>
                <w:szCs w:val="20"/>
                <w:lang w:val="en-US"/>
              </w:rPr>
              <w:t>–</w:t>
            </w:r>
            <w:r w:rsidRPr="003101A0">
              <w:rPr>
                <w:rFonts w:ascii="Times New Roman" w:hAnsi="Times New Roman" w:cs="Times New Roman"/>
                <w:sz w:val="20"/>
                <w:szCs w:val="20"/>
                <w:lang w:val="en-US"/>
              </w:rPr>
              <w:t>2015</w:t>
            </w:r>
          </w:p>
        </w:tc>
        <w:tc>
          <w:tcPr>
            <w:tcW w:w="284" w:type="dxa"/>
            <w:tcBorders>
              <w:top w:val="nil"/>
              <w:left w:val="nil"/>
              <w:bottom w:val="nil"/>
              <w:right w:val="nil"/>
            </w:tcBorders>
          </w:tcPr>
          <w:p w14:paraId="7F056EB3" w14:textId="77777777" w:rsidR="00294950" w:rsidRPr="003101A0" w:rsidRDefault="00294950" w:rsidP="001A1B45">
            <w:pPr>
              <w:rPr>
                <w:rFonts w:ascii="Times New Roman" w:hAnsi="Times New Roman" w:cs="Times New Roman"/>
                <w:sz w:val="20"/>
                <w:szCs w:val="20"/>
                <w:lang w:val="en-US"/>
              </w:rPr>
            </w:pPr>
          </w:p>
        </w:tc>
        <w:tc>
          <w:tcPr>
            <w:tcW w:w="992" w:type="dxa"/>
            <w:tcBorders>
              <w:top w:val="nil"/>
              <w:left w:val="nil"/>
              <w:bottom w:val="nil"/>
              <w:right w:val="nil"/>
            </w:tcBorders>
            <w:vAlign w:val="bottom"/>
          </w:tcPr>
          <w:p w14:paraId="0E74BFA4"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2,072</w:t>
            </w:r>
          </w:p>
        </w:tc>
        <w:tc>
          <w:tcPr>
            <w:tcW w:w="1134" w:type="dxa"/>
            <w:tcBorders>
              <w:top w:val="nil"/>
              <w:left w:val="nil"/>
              <w:bottom w:val="nil"/>
              <w:right w:val="nil"/>
            </w:tcBorders>
            <w:vAlign w:val="bottom"/>
          </w:tcPr>
          <w:p w14:paraId="2FE8BEBC"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18.65</w:t>
            </w:r>
          </w:p>
        </w:tc>
        <w:tc>
          <w:tcPr>
            <w:tcW w:w="284" w:type="dxa"/>
            <w:tcBorders>
              <w:top w:val="nil"/>
              <w:left w:val="nil"/>
              <w:bottom w:val="nil"/>
              <w:right w:val="nil"/>
            </w:tcBorders>
            <w:vAlign w:val="bottom"/>
          </w:tcPr>
          <w:p w14:paraId="0EEA0911" w14:textId="77777777" w:rsidR="00294950" w:rsidRPr="003101A0" w:rsidRDefault="00294950" w:rsidP="001A1B45">
            <w:pPr>
              <w:rPr>
                <w:rFonts w:ascii="Times New Roman" w:hAnsi="Times New Roman" w:cs="Times New Roman"/>
                <w:sz w:val="20"/>
                <w:szCs w:val="20"/>
                <w:lang w:val="en-US"/>
              </w:rPr>
            </w:pPr>
          </w:p>
        </w:tc>
        <w:tc>
          <w:tcPr>
            <w:tcW w:w="1134" w:type="dxa"/>
            <w:tcBorders>
              <w:top w:val="nil"/>
              <w:left w:val="nil"/>
              <w:bottom w:val="nil"/>
              <w:right w:val="nil"/>
            </w:tcBorders>
            <w:vAlign w:val="center"/>
          </w:tcPr>
          <w:p w14:paraId="436A91B0"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307</w:t>
            </w:r>
          </w:p>
        </w:tc>
        <w:tc>
          <w:tcPr>
            <w:tcW w:w="1275" w:type="dxa"/>
            <w:tcBorders>
              <w:top w:val="nil"/>
              <w:left w:val="nil"/>
              <w:bottom w:val="nil"/>
              <w:right w:val="nil"/>
            </w:tcBorders>
            <w:vAlign w:val="center"/>
          </w:tcPr>
          <w:p w14:paraId="6A63F5D6"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14.64</w:t>
            </w:r>
          </w:p>
        </w:tc>
        <w:tc>
          <w:tcPr>
            <w:tcW w:w="284" w:type="dxa"/>
            <w:tcBorders>
              <w:top w:val="nil"/>
              <w:left w:val="nil"/>
              <w:bottom w:val="nil"/>
              <w:right w:val="nil"/>
            </w:tcBorders>
            <w:vAlign w:val="bottom"/>
          </w:tcPr>
          <w:p w14:paraId="17DAF7F9" w14:textId="77777777" w:rsidR="00294950" w:rsidRPr="003101A0" w:rsidRDefault="00294950" w:rsidP="001A1B45">
            <w:pPr>
              <w:rPr>
                <w:rFonts w:ascii="Times New Roman" w:hAnsi="Times New Roman" w:cs="Times New Roman"/>
                <w:sz w:val="20"/>
                <w:szCs w:val="20"/>
                <w:lang w:val="en-US"/>
              </w:rPr>
            </w:pPr>
          </w:p>
        </w:tc>
        <w:tc>
          <w:tcPr>
            <w:tcW w:w="1276" w:type="dxa"/>
            <w:gridSpan w:val="2"/>
            <w:tcBorders>
              <w:top w:val="nil"/>
              <w:left w:val="nil"/>
              <w:bottom w:val="nil"/>
              <w:right w:val="nil"/>
            </w:tcBorders>
            <w:vAlign w:val="bottom"/>
          </w:tcPr>
          <w:p w14:paraId="4667CE25"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1,765</w:t>
            </w:r>
          </w:p>
        </w:tc>
        <w:tc>
          <w:tcPr>
            <w:tcW w:w="1275" w:type="dxa"/>
            <w:tcBorders>
              <w:top w:val="nil"/>
              <w:left w:val="nil"/>
              <w:bottom w:val="nil"/>
              <w:right w:val="nil"/>
            </w:tcBorders>
            <w:vAlign w:val="bottom"/>
          </w:tcPr>
          <w:p w14:paraId="175C2E3F"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19.59</w:t>
            </w:r>
          </w:p>
        </w:tc>
      </w:tr>
      <w:tr w:rsidR="00294950" w:rsidRPr="003101A0" w14:paraId="30C90FE5" w14:textId="77777777" w:rsidTr="00310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34" w:type="dxa"/>
            <w:tcBorders>
              <w:top w:val="nil"/>
              <w:left w:val="nil"/>
              <w:bottom w:val="single" w:sz="4" w:space="0" w:color="auto"/>
              <w:right w:val="nil"/>
            </w:tcBorders>
          </w:tcPr>
          <w:p w14:paraId="73DF476D" w14:textId="77777777" w:rsidR="00294950" w:rsidRPr="003101A0" w:rsidRDefault="00294950" w:rsidP="00493F00">
            <w:pPr>
              <w:contextualSpacing/>
              <w:rPr>
                <w:rFonts w:ascii="Times New Roman" w:hAnsi="Times New Roman" w:cs="Times New Roman"/>
                <w:sz w:val="20"/>
                <w:szCs w:val="20"/>
                <w:lang w:val="en-US"/>
              </w:rPr>
            </w:pPr>
            <w:r w:rsidRPr="003101A0">
              <w:rPr>
                <w:rFonts w:ascii="Times New Roman" w:hAnsi="Times New Roman" w:cs="Times New Roman"/>
                <w:sz w:val="20"/>
                <w:szCs w:val="20"/>
                <w:lang w:val="en-US"/>
              </w:rPr>
              <w:t>2016</w:t>
            </w:r>
            <w:r w:rsidRPr="003101A0">
              <w:rPr>
                <w:rFonts w:ascii="Times New Roman" w:hAnsi="Times New Roman" w:cs="Times New Roman"/>
                <w:color w:val="000000"/>
                <w:sz w:val="20"/>
                <w:szCs w:val="20"/>
                <w:lang w:val="en-US"/>
              </w:rPr>
              <w:t>–</w:t>
            </w:r>
            <w:r w:rsidRPr="003101A0">
              <w:rPr>
                <w:rFonts w:ascii="Times New Roman" w:hAnsi="Times New Roman" w:cs="Times New Roman"/>
                <w:sz w:val="20"/>
                <w:szCs w:val="20"/>
                <w:lang w:val="en-US"/>
              </w:rPr>
              <w:t>2020</w:t>
            </w:r>
          </w:p>
        </w:tc>
        <w:tc>
          <w:tcPr>
            <w:tcW w:w="284" w:type="dxa"/>
            <w:tcBorders>
              <w:top w:val="nil"/>
              <w:left w:val="nil"/>
              <w:bottom w:val="single" w:sz="4" w:space="0" w:color="auto"/>
              <w:right w:val="nil"/>
            </w:tcBorders>
          </w:tcPr>
          <w:p w14:paraId="57C420B9" w14:textId="77777777" w:rsidR="00294950" w:rsidRPr="003101A0" w:rsidRDefault="00294950" w:rsidP="001A1B45">
            <w:pPr>
              <w:rPr>
                <w:rFonts w:ascii="Times New Roman" w:hAnsi="Times New Roman" w:cs="Times New Roman"/>
                <w:sz w:val="20"/>
                <w:szCs w:val="20"/>
                <w:lang w:val="en-US"/>
              </w:rPr>
            </w:pPr>
          </w:p>
        </w:tc>
        <w:tc>
          <w:tcPr>
            <w:tcW w:w="992" w:type="dxa"/>
            <w:tcBorders>
              <w:top w:val="nil"/>
              <w:left w:val="nil"/>
              <w:bottom w:val="single" w:sz="4" w:space="0" w:color="auto"/>
              <w:right w:val="nil"/>
            </w:tcBorders>
            <w:vAlign w:val="bottom"/>
          </w:tcPr>
          <w:p w14:paraId="1A284A6D"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1,980</w:t>
            </w:r>
          </w:p>
        </w:tc>
        <w:tc>
          <w:tcPr>
            <w:tcW w:w="1134" w:type="dxa"/>
            <w:tcBorders>
              <w:top w:val="nil"/>
              <w:left w:val="nil"/>
              <w:bottom w:val="single" w:sz="4" w:space="0" w:color="auto"/>
              <w:right w:val="nil"/>
            </w:tcBorders>
            <w:vAlign w:val="bottom"/>
          </w:tcPr>
          <w:p w14:paraId="16BBFCAF"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17.82</w:t>
            </w:r>
          </w:p>
        </w:tc>
        <w:tc>
          <w:tcPr>
            <w:tcW w:w="284" w:type="dxa"/>
            <w:tcBorders>
              <w:top w:val="nil"/>
              <w:left w:val="nil"/>
              <w:bottom w:val="single" w:sz="4" w:space="0" w:color="auto"/>
              <w:right w:val="nil"/>
            </w:tcBorders>
            <w:vAlign w:val="bottom"/>
          </w:tcPr>
          <w:p w14:paraId="44D98B2F" w14:textId="77777777" w:rsidR="00294950" w:rsidRPr="003101A0" w:rsidRDefault="00294950" w:rsidP="001A1B45">
            <w:pPr>
              <w:rPr>
                <w:rFonts w:ascii="Times New Roman" w:hAnsi="Times New Roman" w:cs="Times New Roman"/>
                <w:sz w:val="20"/>
                <w:szCs w:val="20"/>
                <w:lang w:val="en-US"/>
              </w:rPr>
            </w:pPr>
          </w:p>
        </w:tc>
        <w:tc>
          <w:tcPr>
            <w:tcW w:w="1134" w:type="dxa"/>
            <w:tcBorders>
              <w:top w:val="nil"/>
              <w:left w:val="nil"/>
              <w:bottom w:val="single" w:sz="4" w:space="0" w:color="auto"/>
              <w:right w:val="nil"/>
            </w:tcBorders>
            <w:vAlign w:val="center"/>
          </w:tcPr>
          <w:p w14:paraId="68BD5A18"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257</w:t>
            </w:r>
          </w:p>
        </w:tc>
        <w:tc>
          <w:tcPr>
            <w:tcW w:w="1275" w:type="dxa"/>
            <w:tcBorders>
              <w:top w:val="nil"/>
              <w:left w:val="nil"/>
              <w:bottom w:val="single" w:sz="4" w:space="0" w:color="auto"/>
              <w:right w:val="nil"/>
            </w:tcBorders>
            <w:vAlign w:val="center"/>
          </w:tcPr>
          <w:p w14:paraId="43364A9F"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12.26</w:t>
            </w:r>
          </w:p>
        </w:tc>
        <w:tc>
          <w:tcPr>
            <w:tcW w:w="284" w:type="dxa"/>
            <w:tcBorders>
              <w:top w:val="nil"/>
              <w:left w:val="nil"/>
              <w:bottom w:val="single" w:sz="4" w:space="0" w:color="auto"/>
              <w:right w:val="nil"/>
            </w:tcBorders>
            <w:vAlign w:val="bottom"/>
          </w:tcPr>
          <w:p w14:paraId="14D991ED" w14:textId="77777777" w:rsidR="00294950" w:rsidRPr="003101A0" w:rsidRDefault="00294950" w:rsidP="001A1B45">
            <w:pPr>
              <w:rPr>
                <w:rFonts w:ascii="Times New Roman" w:hAnsi="Times New Roman" w:cs="Times New Roman"/>
                <w:sz w:val="20"/>
                <w:szCs w:val="20"/>
                <w:lang w:val="en-US"/>
              </w:rPr>
            </w:pPr>
          </w:p>
        </w:tc>
        <w:tc>
          <w:tcPr>
            <w:tcW w:w="1276" w:type="dxa"/>
            <w:gridSpan w:val="2"/>
            <w:tcBorders>
              <w:top w:val="nil"/>
              <w:left w:val="nil"/>
              <w:bottom w:val="single" w:sz="4" w:space="0" w:color="auto"/>
              <w:right w:val="nil"/>
            </w:tcBorders>
            <w:vAlign w:val="bottom"/>
          </w:tcPr>
          <w:p w14:paraId="79BFF49B"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1,723</w:t>
            </w:r>
          </w:p>
        </w:tc>
        <w:tc>
          <w:tcPr>
            <w:tcW w:w="1275" w:type="dxa"/>
            <w:tcBorders>
              <w:top w:val="nil"/>
              <w:left w:val="nil"/>
              <w:bottom w:val="single" w:sz="4" w:space="0" w:color="auto"/>
              <w:right w:val="nil"/>
            </w:tcBorders>
            <w:vAlign w:val="bottom"/>
          </w:tcPr>
          <w:p w14:paraId="5417D166"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19.12</w:t>
            </w:r>
          </w:p>
        </w:tc>
      </w:tr>
      <w:tr w:rsidR="00294950" w:rsidRPr="003101A0" w14:paraId="32F3CE86" w14:textId="77777777" w:rsidTr="00310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34" w:type="dxa"/>
            <w:tcBorders>
              <w:top w:val="nil"/>
              <w:left w:val="nil"/>
              <w:bottom w:val="single" w:sz="4" w:space="0" w:color="auto"/>
              <w:right w:val="nil"/>
            </w:tcBorders>
          </w:tcPr>
          <w:p w14:paraId="2C7395DD" w14:textId="77777777" w:rsidR="00294950" w:rsidRPr="003101A0" w:rsidRDefault="00294950" w:rsidP="00097346">
            <w:pPr>
              <w:contextualSpacing/>
              <w:jc w:val="both"/>
              <w:rPr>
                <w:rFonts w:ascii="Times New Roman" w:hAnsi="Times New Roman" w:cs="Times New Roman"/>
                <w:sz w:val="20"/>
                <w:szCs w:val="20"/>
                <w:lang w:val="en-US"/>
              </w:rPr>
            </w:pPr>
            <w:r w:rsidRPr="003101A0">
              <w:rPr>
                <w:rFonts w:ascii="Times New Roman" w:hAnsi="Times New Roman" w:cs="Times New Roman"/>
                <w:sz w:val="20"/>
                <w:szCs w:val="20"/>
                <w:lang w:val="en-US"/>
              </w:rPr>
              <w:t>Total</w:t>
            </w:r>
          </w:p>
        </w:tc>
        <w:tc>
          <w:tcPr>
            <w:tcW w:w="284" w:type="dxa"/>
            <w:tcBorders>
              <w:top w:val="nil"/>
              <w:left w:val="nil"/>
              <w:bottom w:val="single" w:sz="4" w:space="0" w:color="auto"/>
              <w:right w:val="nil"/>
            </w:tcBorders>
          </w:tcPr>
          <w:p w14:paraId="694918AC" w14:textId="77777777" w:rsidR="00294950" w:rsidRPr="003101A0" w:rsidRDefault="00294950" w:rsidP="00097346">
            <w:pPr>
              <w:jc w:val="both"/>
              <w:rPr>
                <w:rFonts w:ascii="Times New Roman" w:hAnsi="Times New Roman" w:cs="Times New Roman"/>
                <w:sz w:val="20"/>
                <w:szCs w:val="20"/>
                <w:lang w:val="en-US"/>
              </w:rPr>
            </w:pPr>
          </w:p>
        </w:tc>
        <w:tc>
          <w:tcPr>
            <w:tcW w:w="992" w:type="dxa"/>
            <w:tcBorders>
              <w:top w:val="nil"/>
              <w:left w:val="nil"/>
              <w:bottom w:val="single" w:sz="4" w:space="0" w:color="auto"/>
              <w:right w:val="nil"/>
            </w:tcBorders>
            <w:vAlign w:val="bottom"/>
          </w:tcPr>
          <w:p w14:paraId="34447313" w14:textId="77777777" w:rsidR="00294950" w:rsidRPr="003101A0" w:rsidRDefault="00294950" w:rsidP="00097346">
            <w:pPr>
              <w:jc w:val="both"/>
              <w:rPr>
                <w:rFonts w:ascii="Times New Roman" w:hAnsi="Times New Roman" w:cs="Times New Roman"/>
                <w:sz w:val="20"/>
                <w:szCs w:val="20"/>
                <w:lang w:val="en-US"/>
              </w:rPr>
            </w:pPr>
            <w:r w:rsidRPr="003101A0">
              <w:rPr>
                <w:rFonts w:ascii="Times New Roman" w:hAnsi="Times New Roman" w:cs="Times New Roman"/>
                <w:sz w:val="20"/>
                <w:szCs w:val="20"/>
                <w:lang w:val="en-US"/>
              </w:rPr>
              <w:t>11,108</w:t>
            </w:r>
          </w:p>
        </w:tc>
        <w:tc>
          <w:tcPr>
            <w:tcW w:w="1134" w:type="dxa"/>
            <w:tcBorders>
              <w:top w:val="nil"/>
              <w:left w:val="nil"/>
              <w:bottom w:val="single" w:sz="4" w:space="0" w:color="auto"/>
              <w:right w:val="nil"/>
            </w:tcBorders>
            <w:vAlign w:val="bottom"/>
          </w:tcPr>
          <w:p w14:paraId="40FF6BA8" w14:textId="77777777" w:rsidR="00294950" w:rsidRPr="003101A0" w:rsidRDefault="00294950" w:rsidP="00097346">
            <w:pPr>
              <w:jc w:val="both"/>
              <w:rPr>
                <w:rFonts w:ascii="Times New Roman" w:hAnsi="Times New Roman" w:cs="Times New Roman"/>
                <w:sz w:val="20"/>
                <w:szCs w:val="20"/>
                <w:lang w:val="en-US"/>
              </w:rPr>
            </w:pPr>
            <w:r w:rsidRPr="003101A0">
              <w:rPr>
                <w:rFonts w:ascii="Times New Roman" w:hAnsi="Times New Roman" w:cs="Times New Roman"/>
                <w:sz w:val="20"/>
                <w:szCs w:val="20"/>
                <w:lang w:val="en-US"/>
              </w:rPr>
              <w:t>100</w:t>
            </w:r>
          </w:p>
        </w:tc>
        <w:tc>
          <w:tcPr>
            <w:tcW w:w="284" w:type="dxa"/>
            <w:tcBorders>
              <w:top w:val="nil"/>
              <w:left w:val="nil"/>
              <w:bottom w:val="single" w:sz="4" w:space="0" w:color="auto"/>
              <w:right w:val="nil"/>
            </w:tcBorders>
            <w:vAlign w:val="bottom"/>
          </w:tcPr>
          <w:p w14:paraId="21D1D803" w14:textId="77777777" w:rsidR="00294950" w:rsidRPr="003101A0" w:rsidRDefault="00294950" w:rsidP="00097346">
            <w:pPr>
              <w:jc w:val="both"/>
              <w:rPr>
                <w:rFonts w:ascii="Times New Roman" w:hAnsi="Times New Roman" w:cs="Times New Roman"/>
                <w:sz w:val="20"/>
                <w:szCs w:val="20"/>
                <w:lang w:val="en-US"/>
              </w:rPr>
            </w:pPr>
          </w:p>
        </w:tc>
        <w:tc>
          <w:tcPr>
            <w:tcW w:w="1134" w:type="dxa"/>
            <w:tcBorders>
              <w:top w:val="nil"/>
              <w:left w:val="nil"/>
              <w:bottom w:val="single" w:sz="4" w:space="0" w:color="auto"/>
              <w:right w:val="nil"/>
            </w:tcBorders>
            <w:vAlign w:val="center"/>
          </w:tcPr>
          <w:p w14:paraId="0A58A59D" w14:textId="77777777" w:rsidR="00294950" w:rsidRPr="003101A0" w:rsidRDefault="00294950" w:rsidP="00097346">
            <w:pPr>
              <w:jc w:val="both"/>
              <w:rPr>
                <w:rFonts w:ascii="Times New Roman" w:hAnsi="Times New Roman" w:cs="Times New Roman"/>
                <w:sz w:val="20"/>
                <w:szCs w:val="20"/>
                <w:lang w:val="en-US"/>
              </w:rPr>
            </w:pPr>
            <w:r w:rsidRPr="003101A0">
              <w:rPr>
                <w:rFonts w:ascii="Times New Roman" w:hAnsi="Times New Roman" w:cs="Times New Roman"/>
                <w:sz w:val="20"/>
                <w:szCs w:val="20"/>
                <w:lang w:val="en-US"/>
              </w:rPr>
              <w:t>2,097</w:t>
            </w:r>
          </w:p>
        </w:tc>
        <w:tc>
          <w:tcPr>
            <w:tcW w:w="1275" w:type="dxa"/>
            <w:tcBorders>
              <w:top w:val="nil"/>
              <w:left w:val="nil"/>
              <w:bottom w:val="single" w:sz="4" w:space="0" w:color="auto"/>
              <w:right w:val="nil"/>
            </w:tcBorders>
            <w:vAlign w:val="center"/>
          </w:tcPr>
          <w:p w14:paraId="05D62632" w14:textId="77777777" w:rsidR="00294950" w:rsidRPr="003101A0" w:rsidRDefault="00294950" w:rsidP="00097346">
            <w:pPr>
              <w:jc w:val="both"/>
              <w:rPr>
                <w:rFonts w:ascii="Times New Roman" w:hAnsi="Times New Roman" w:cs="Times New Roman"/>
                <w:sz w:val="20"/>
                <w:szCs w:val="20"/>
                <w:lang w:val="en-US"/>
              </w:rPr>
            </w:pPr>
            <w:r w:rsidRPr="003101A0">
              <w:rPr>
                <w:rFonts w:ascii="Times New Roman" w:hAnsi="Times New Roman" w:cs="Times New Roman"/>
                <w:sz w:val="20"/>
                <w:szCs w:val="20"/>
                <w:lang w:val="en-US"/>
              </w:rPr>
              <w:t>100</w:t>
            </w:r>
          </w:p>
        </w:tc>
        <w:tc>
          <w:tcPr>
            <w:tcW w:w="284" w:type="dxa"/>
            <w:tcBorders>
              <w:top w:val="nil"/>
              <w:left w:val="nil"/>
              <w:bottom w:val="single" w:sz="4" w:space="0" w:color="auto"/>
              <w:right w:val="nil"/>
            </w:tcBorders>
            <w:vAlign w:val="bottom"/>
          </w:tcPr>
          <w:p w14:paraId="0383FB73" w14:textId="77777777" w:rsidR="00294950" w:rsidRPr="003101A0" w:rsidRDefault="00294950" w:rsidP="00097346">
            <w:pPr>
              <w:jc w:val="both"/>
              <w:rPr>
                <w:rFonts w:ascii="Times New Roman" w:hAnsi="Times New Roman" w:cs="Times New Roman"/>
                <w:sz w:val="20"/>
                <w:szCs w:val="20"/>
                <w:lang w:val="en-US"/>
              </w:rPr>
            </w:pPr>
          </w:p>
        </w:tc>
        <w:tc>
          <w:tcPr>
            <w:tcW w:w="1276" w:type="dxa"/>
            <w:gridSpan w:val="2"/>
            <w:tcBorders>
              <w:top w:val="nil"/>
              <w:left w:val="nil"/>
              <w:bottom w:val="single" w:sz="4" w:space="0" w:color="auto"/>
              <w:right w:val="nil"/>
            </w:tcBorders>
            <w:vAlign w:val="bottom"/>
          </w:tcPr>
          <w:p w14:paraId="79520F7D" w14:textId="77777777" w:rsidR="00294950" w:rsidRPr="003101A0" w:rsidRDefault="00294950" w:rsidP="00097346">
            <w:pPr>
              <w:jc w:val="both"/>
              <w:rPr>
                <w:rFonts w:ascii="Times New Roman" w:hAnsi="Times New Roman" w:cs="Times New Roman"/>
                <w:sz w:val="20"/>
                <w:szCs w:val="20"/>
                <w:lang w:val="en-US"/>
              </w:rPr>
            </w:pPr>
            <w:r w:rsidRPr="003101A0">
              <w:rPr>
                <w:rFonts w:ascii="Times New Roman" w:hAnsi="Times New Roman" w:cs="Times New Roman"/>
                <w:sz w:val="20"/>
                <w:szCs w:val="20"/>
                <w:lang w:val="en-US"/>
              </w:rPr>
              <w:t>9,011</w:t>
            </w:r>
          </w:p>
        </w:tc>
        <w:tc>
          <w:tcPr>
            <w:tcW w:w="1275" w:type="dxa"/>
            <w:tcBorders>
              <w:top w:val="nil"/>
              <w:left w:val="nil"/>
              <w:bottom w:val="single" w:sz="4" w:space="0" w:color="auto"/>
              <w:right w:val="nil"/>
            </w:tcBorders>
            <w:vAlign w:val="bottom"/>
          </w:tcPr>
          <w:p w14:paraId="5C292EC3" w14:textId="77777777" w:rsidR="00294950" w:rsidRPr="003101A0" w:rsidRDefault="00294950" w:rsidP="00097346">
            <w:pPr>
              <w:jc w:val="both"/>
              <w:rPr>
                <w:rFonts w:ascii="Times New Roman" w:hAnsi="Times New Roman" w:cs="Times New Roman"/>
                <w:sz w:val="20"/>
                <w:szCs w:val="20"/>
                <w:lang w:val="en-US"/>
              </w:rPr>
            </w:pPr>
            <w:r w:rsidRPr="003101A0">
              <w:rPr>
                <w:rFonts w:ascii="Times New Roman" w:hAnsi="Times New Roman" w:cs="Times New Roman"/>
                <w:sz w:val="20"/>
                <w:szCs w:val="20"/>
                <w:lang w:val="en-US"/>
              </w:rPr>
              <w:t>100</w:t>
            </w:r>
          </w:p>
        </w:tc>
      </w:tr>
      <w:tr w:rsidR="00294950" w:rsidRPr="003101A0" w14:paraId="0BABD6F7" w14:textId="77777777" w:rsidTr="003101A0">
        <w:trPr>
          <w:trHeight w:val="415"/>
        </w:trPr>
        <w:tc>
          <w:tcPr>
            <w:tcW w:w="9072" w:type="dxa"/>
            <w:gridSpan w:val="11"/>
            <w:tcBorders>
              <w:top w:val="single" w:sz="4" w:space="0" w:color="auto"/>
            </w:tcBorders>
            <w:vAlign w:val="center"/>
          </w:tcPr>
          <w:p w14:paraId="4E46C2CB" w14:textId="50DB30D9" w:rsidR="00294950" w:rsidRPr="003101A0" w:rsidRDefault="00294950" w:rsidP="00097346">
            <w:pPr>
              <w:jc w:val="both"/>
              <w:rPr>
                <w:rFonts w:ascii="Times New Roman" w:hAnsi="Times New Roman" w:cs="Times New Roman"/>
                <w:sz w:val="18"/>
                <w:szCs w:val="18"/>
                <w:lang w:val="en-US"/>
              </w:rPr>
            </w:pPr>
            <w:r w:rsidRPr="003101A0">
              <w:rPr>
                <w:rFonts w:ascii="Times New Roman" w:hAnsi="Times New Roman" w:cs="Times New Roman"/>
                <w:iCs/>
                <w:sz w:val="18"/>
                <w:szCs w:val="18"/>
                <w:lang w:val="en-US"/>
              </w:rPr>
              <w:t xml:space="preserve">Notes: </w:t>
            </w:r>
            <w:r w:rsidRPr="003101A0">
              <w:rPr>
                <w:rFonts w:ascii="Times New Roman" w:hAnsi="Times New Roman" w:cs="Times New Roman"/>
                <w:sz w:val="18"/>
                <w:szCs w:val="18"/>
                <w:lang w:val="en-US"/>
              </w:rPr>
              <w:t xml:space="preserve">This table presents the sample selection procedure (Panel A) and the </w:t>
            </w:r>
            <w:r w:rsidR="00343D66">
              <w:rPr>
                <w:rFonts w:ascii="Times New Roman" w:hAnsi="Times New Roman" w:cs="Times New Roman"/>
                <w:sz w:val="18"/>
                <w:szCs w:val="18"/>
                <w:lang w:val="en-US"/>
              </w:rPr>
              <w:t xml:space="preserve">total, convertible and straight bond </w:t>
            </w:r>
            <w:r w:rsidRPr="003101A0">
              <w:rPr>
                <w:rFonts w:ascii="Times New Roman" w:hAnsi="Times New Roman" w:cs="Times New Roman"/>
                <w:sz w:val="18"/>
                <w:szCs w:val="18"/>
                <w:lang w:val="en-US"/>
              </w:rPr>
              <w:t xml:space="preserve">sample distributions by year (Panel B). </w:t>
            </w:r>
            <w:r w:rsidRPr="003101A0">
              <w:rPr>
                <w:rFonts w:ascii="Times New Roman" w:hAnsi="Times New Roman" w:cs="Times New Roman"/>
                <w:i/>
                <w:iCs/>
                <w:sz w:val="18"/>
                <w:szCs w:val="18"/>
                <w:lang w:val="en-US"/>
              </w:rPr>
              <w:t>N</w:t>
            </w:r>
            <w:r w:rsidRPr="003101A0">
              <w:rPr>
                <w:rFonts w:ascii="Times New Roman" w:hAnsi="Times New Roman" w:cs="Times New Roman"/>
                <w:sz w:val="18"/>
                <w:szCs w:val="18"/>
                <w:lang w:val="en-US"/>
              </w:rPr>
              <w:t xml:space="preserve"> denotes the number of observations.</w:t>
            </w:r>
          </w:p>
        </w:tc>
      </w:tr>
    </w:tbl>
    <w:p w14:paraId="5A6286D0" w14:textId="77777777" w:rsidR="00294950" w:rsidRPr="003101A0" w:rsidRDefault="00294950" w:rsidP="00493F00">
      <w:pPr>
        <w:rPr>
          <w:lang w:val="en-US"/>
        </w:rPr>
        <w:sectPr w:rsidR="00294950" w:rsidRPr="003101A0" w:rsidSect="003101A0">
          <w:footerReference w:type="even" r:id="rId20"/>
          <w:footerReference w:type="default" r:id="rId21"/>
          <w:pgSz w:w="11900" w:h="16840"/>
          <w:pgMar w:top="1440" w:right="1440" w:bottom="1440" w:left="1440" w:header="708" w:footer="708" w:gutter="0"/>
          <w:cols w:space="708"/>
          <w:docGrid w:linePitch="360"/>
        </w:sectPr>
      </w:pPr>
    </w:p>
    <w:p w14:paraId="10DAC58A" w14:textId="77777777" w:rsidR="00294950" w:rsidRPr="003101A0" w:rsidRDefault="00294950" w:rsidP="00493F00">
      <w:pPr>
        <w:spacing w:after="0" w:line="240" w:lineRule="auto"/>
        <w:rPr>
          <w:rFonts w:ascii="Times New Roman" w:hAnsi="Times New Roman" w:cs="Times New Roman"/>
          <w:b/>
          <w:sz w:val="20"/>
          <w:szCs w:val="20"/>
          <w:lang w:val="en-US"/>
        </w:rPr>
      </w:pPr>
      <w:r w:rsidRPr="003101A0">
        <w:rPr>
          <w:rFonts w:ascii="Times New Roman" w:hAnsi="Times New Roman" w:cs="Times New Roman"/>
          <w:b/>
          <w:sz w:val="20"/>
          <w:szCs w:val="20"/>
          <w:lang w:val="en-US"/>
        </w:rPr>
        <w:lastRenderedPageBreak/>
        <w:t>Table 2: Covenant characteristics</w:t>
      </w:r>
    </w:p>
    <w:p w14:paraId="33D8E8CB" w14:textId="77777777" w:rsidR="00294950" w:rsidRPr="00B16F67" w:rsidRDefault="00294950" w:rsidP="00493F00">
      <w:pPr>
        <w:spacing w:after="0" w:line="240" w:lineRule="auto"/>
        <w:rPr>
          <w:rFonts w:ascii="Times New Roman" w:hAnsi="Times New Roman" w:cs="Times New Roman"/>
          <w:iCs/>
          <w:sz w:val="20"/>
          <w:szCs w:val="20"/>
          <w:lang w:val="en-US"/>
        </w:rPr>
      </w:pPr>
      <w:r w:rsidRPr="00B16F67">
        <w:rPr>
          <w:rFonts w:ascii="Times New Roman" w:hAnsi="Times New Roman" w:cs="Times New Roman"/>
          <w:iCs/>
          <w:sz w:val="20"/>
          <w:szCs w:val="20"/>
          <w:lang w:val="en-US"/>
        </w:rPr>
        <w:t>Panel A: Covenant intensity per covenant category</w:t>
      </w:r>
    </w:p>
    <w:tbl>
      <w:tblPr>
        <w:tblStyle w:val="TableGrid"/>
        <w:tblW w:w="139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9"/>
        <w:gridCol w:w="6683"/>
        <w:gridCol w:w="1237"/>
        <w:gridCol w:w="1239"/>
      </w:tblGrid>
      <w:tr w:rsidR="00294950" w:rsidRPr="003101A0" w14:paraId="1B40EEB9" w14:textId="77777777" w:rsidTr="003101A0">
        <w:tc>
          <w:tcPr>
            <w:tcW w:w="1719" w:type="pct"/>
            <w:vMerge w:val="restart"/>
            <w:tcBorders>
              <w:top w:val="single" w:sz="4" w:space="0" w:color="auto"/>
              <w:bottom w:val="nil"/>
            </w:tcBorders>
          </w:tcPr>
          <w:p w14:paraId="23678D4A"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sz w:val="20"/>
                <w:szCs w:val="20"/>
                <w:lang w:val="en-US"/>
              </w:rPr>
              <w:t>Classification</w:t>
            </w:r>
          </w:p>
        </w:tc>
        <w:tc>
          <w:tcPr>
            <w:tcW w:w="2394" w:type="pct"/>
            <w:vMerge w:val="restart"/>
            <w:tcBorders>
              <w:top w:val="single" w:sz="4" w:space="0" w:color="auto"/>
              <w:bottom w:val="nil"/>
            </w:tcBorders>
          </w:tcPr>
          <w:p w14:paraId="56A405AE" w14:textId="2511DFEA" w:rsidR="00294950" w:rsidRPr="003101A0" w:rsidRDefault="00F17857" w:rsidP="001A1B45">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 covenant description</w:t>
            </w:r>
          </w:p>
        </w:tc>
        <w:tc>
          <w:tcPr>
            <w:tcW w:w="887" w:type="pct"/>
            <w:gridSpan w:val="2"/>
            <w:tcBorders>
              <w:top w:val="single" w:sz="4" w:space="0" w:color="auto"/>
              <w:bottom w:val="nil"/>
            </w:tcBorders>
          </w:tcPr>
          <w:p w14:paraId="6D7ACE15"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Covenant intensity</w:t>
            </w:r>
          </w:p>
        </w:tc>
      </w:tr>
      <w:tr w:rsidR="00294950" w:rsidRPr="003101A0" w14:paraId="1353C892" w14:textId="77777777" w:rsidTr="00702790">
        <w:trPr>
          <w:trHeight w:val="152"/>
        </w:trPr>
        <w:tc>
          <w:tcPr>
            <w:tcW w:w="1719" w:type="pct"/>
            <w:vMerge/>
            <w:tcBorders>
              <w:top w:val="nil"/>
              <w:bottom w:val="single" w:sz="4" w:space="0" w:color="auto"/>
            </w:tcBorders>
          </w:tcPr>
          <w:p w14:paraId="2512E2AF" w14:textId="77777777" w:rsidR="00294950" w:rsidRPr="003101A0" w:rsidRDefault="00294950" w:rsidP="00493F00">
            <w:pPr>
              <w:rPr>
                <w:rFonts w:ascii="Times New Roman" w:hAnsi="Times New Roman" w:cs="Times New Roman"/>
                <w:i/>
                <w:sz w:val="20"/>
                <w:szCs w:val="20"/>
                <w:lang w:val="en-US"/>
              </w:rPr>
            </w:pPr>
          </w:p>
        </w:tc>
        <w:tc>
          <w:tcPr>
            <w:tcW w:w="2394" w:type="pct"/>
            <w:vMerge/>
            <w:tcBorders>
              <w:top w:val="nil"/>
              <w:bottom w:val="single" w:sz="4" w:space="0" w:color="auto"/>
            </w:tcBorders>
          </w:tcPr>
          <w:p w14:paraId="608F253F" w14:textId="77777777" w:rsidR="00294950" w:rsidRPr="003101A0" w:rsidRDefault="00294950" w:rsidP="00493F00">
            <w:pPr>
              <w:rPr>
                <w:rFonts w:ascii="Times New Roman" w:hAnsi="Times New Roman" w:cs="Times New Roman"/>
                <w:i/>
                <w:sz w:val="20"/>
                <w:szCs w:val="20"/>
                <w:lang w:val="en-US"/>
              </w:rPr>
            </w:pPr>
          </w:p>
        </w:tc>
        <w:tc>
          <w:tcPr>
            <w:tcW w:w="443" w:type="pct"/>
            <w:tcBorders>
              <w:top w:val="nil"/>
              <w:bottom w:val="single" w:sz="4" w:space="0" w:color="auto"/>
            </w:tcBorders>
            <w:vAlign w:val="center"/>
          </w:tcPr>
          <w:p w14:paraId="6E94BB46" w14:textId="77777777" w:rsidR="00294950" w:rsidRPr="003101A0" w:rsidRDefault="00294950" w:rsidP="00702790">
            <w:pPr>
              <w:rPr>
                <w:rFonts w:ascii="Times New Roman" w:hAnsi="Times New Roman" w:cs="Times New Roman"/>
                <w:sz w:val="20"/>
                <w:szCs w:val="20"/>
                <w:lang w:val="en-US"/>
              </w:rPr>
            </w:pPr>
            <w:r w:rsidRPr="003101A0">
              <w:rPr>
                <w:rFonts w:ascii="Times New Roman" w:hAnsi="Times New Roman" w:cs="Times New Roman"/>
                <w:sz w:val="20"/>
                <w:szCs w:val="20"/>
                <w:lang w:val="en-US"/>
              </w:rPr>
              <w:t>Convertible</w:t>
            </w:r>
          </w:p>
        </w:tc>
        <w:tc>
          <w:tcPr>
            <w:tcW w:w="444" w:type="pct"/>
            <w:tcBorders>
              <w:top w:val="nil"/>
              <w:bottom w:val="single" w:sz="4" w:space="0" w:color="auto"/>
            </w:tcBorders>
            <w:vAlign w:val="center"/>
          </w:tcPr>
          <w:p w14:paraId="5AE16104" w14:textId="77777777" w:rsidR="00294950" w:rsidRPr="003101A0" w:rsidRDefault="00294950" w:rsidP="00702790">
            <w:pPr>
              <w:rPr>
                <w:rFonts w:ascii="Times New Roman" w:hAnsi="Times New Roman" w:cs="Times New Roman"/>
                <w:sz w:val="20"/>
                <w:szCs w:val="20"/>
                <w:lang w:val="en-US"/>
              </w:rPr>
            </w:pPr>
            <w:r w:rsidRPr="003101A0">
              <w:rPr>
                <w:rFonts w:ascii="Times New Roman" w:hAnsi="Times New Roman" w:cs="Times New Roman"/>
                <w:sz w:val="20"/>
                <w:szCs w:val="20"/>
                <w:lang w:val="en-US"/>
              </w:rPr>
              <w:t>Straight</w:t>
            </w:r>
          </w:p>
        </w:tc>
      </w:tr>
      <w:tr w:rsidR="00294950" w:rsidRPr="003101A0" w14:paraId="36B3EC20" w14:textId="77777777" w:rsidTr="00702790">
        <w:tc>
          <w:tcPr>
            <w:tcW w:w="1719" w:type="pct"/>
          </w:tcPr>
          <w:p w14:paraId="10425505"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b/>
                <w:sz w:val="20"/>
                <w:szCs w:val="20"/>
                <w:lang w:val="en-US"/>
              </w:rPr>
              <w:t>Investment restrictions</w:t>
            </w:r>
            <w:r w:rsidRPr="003101A0" w:rsidDel="005F2C91">
              <w:rPr>
                <w:rFonts w:ascii="Times New Roman" w:hAnsi="Times New Roman" w:cs="Times New Roman"/>
                <w:b/>
                <w:sz w:val="20"/>
                <w:szCs w:val="20"/>
                <w:lang w:val="en-US"/>
              </w:rPr>
              <w:t xml:space="preserve"> </w:t>
            </w:r>
            <w:r w:rsidRPr="003101A0">
              <w:rPr>
                <w:rFonts w:ascii="Times New Roman" w:hAnsi="Times New Roman" w:cs="Times New Roman"/>
                <w:b/>
                <w:sz w:val="20"/>
                <w:szCs w:val="20"/>
                <w:lang w:val="en-US"/>
              </w:rPr>
              <w:t>= (I1+I2+I3)/3</w:t>
            </w:r>
          </w:p>
        </w:tc>
        <w:tc>
          <w:tcPr>
            <w:tcW w:w="2394" w:type="pct"/>
          </w:tcPr>
          <w:p w14:paraId="5BC45B56" w14:textId="77777777" w:rsidR="00294950" w:rsidRPr="003101A0" w:rsidRDefault="00294950" w:rsidP="00493F00">
            <w:pPr>
              <w:rPr>
                <w:rFonts w:ascii="Times New Roman" w:hAnsi="Times New Roman" w:cs="Times New Roman"/>
                <w:sz w:val="20"/>
                <w:szCs w:val="20"/>
                <w:lang w:val="en-US"/>
              </w:rPr>
            </w:pPr>
          </w:p>
        </w:tc>
        <w:tc>
          <w:tcPr>
            <w:tcW w:w="443" w:type="pct"/>
          </w:tcPr>
          <w:p w14:paraId="16F0C6C4" w14:textId="77777777" w:rsidR="00294950" w:rsidRPr="003101A0" w:rsidRDefault="00294950" w:rsidP="001A1B45">
            <w:pPr>
              <w:rPr>
                <w:rFonts w:ascii="Times New Roman" w:hAnsi="Times New Roman" w:cs="Times New Roman"/>
                <w:b/>
                <w:bCs/>
                <w:iCs/>
                <w:sz w:val="20"/>
                <w:szCs w:val="20"/>
                <w:lang w:val="en-US"/>
              </w:rPr>
            </w:pPr>
            <w:r w:rsidRPr="003101A0">
              <w:rPr>
                <w:rFonts w:ascii="Times New Roman" w:hAnsi="Times New Roman" w:cs="Times New Roman"/>
                <w:b/>
                <w:bCs/>
                <w:iCs/>
                <w:sz w:val="20"/>
                <w:szCs w:val="20"/>
                <w:lang w:val="en-US"/>
              </w:rPr>
              <w:t>36.88%</w:t>
            </w:r>
          </w:p>
        </w:tc>
        <w:tc>
          <w:tcPr>
            <w:tcW w:w="444" w:type="pct"/>
          </w:tcPr>
          <w:p w14:paraId="2E05FC7C" w14:textId="77777777" w:rsidR="00294950" w:rsidRPr="003101A0" w:rsidRDefault="00294950" w:rsidP="001A1B45">
            <w:pPr>
              <w:rPr>
                <w:rFonts w:ascii="Times New Roman" w:hAnsi="Times New Roman" w:cs="Times New Roman"/>
                <w:b/>
                <w:bCs/>
                <w:iCs/>
                <w:sz w:val="20"/>
                <w:szCs w:val="20"/>
                <w:lang w:val="en-US"/>
              </w:rPr>
            </w:pPr>
            <w:r w:rsidRPr="003101A0">
              <w:rPr>
                <w:rFonts w:ascii="Times New Roman" w:hAnsi="Times New Roman" w:cs="Times New Roman"/>
                <w:b/>
                <w:bCs/>
                <w:iCs/>
                <w:sz w:val="20"/>
                <w:szCs w:val="20"/>
                <w:lang w:val="en-US"/>
              </w:rPr>
              <w:t>52.23%***</w:t>
            </w:r>
          </w:p>
        </w:tc>
      </w:tr>
      <w:tr w:rsidR="00294950" w:rsidRPr="003101A0" w14:paraId="20D55076" w14:textId="77777777" w:rsidTr="00702790">
        <w:tc>
          <w:tcPr>
            <w:tcW w:w="1719" w:type="pct"/>
          </w:tcPr>
          <w:p w14:paraId="2F76619D" w14:textId="77777777" w:rsidR="00294950" w:rsidRPr="003101A0" w:rsidRDefault="00294950" w:rsidP="00493F00">
            <w:pPr>
              <w:rPr>
                <w:rFonts w:ascii="Times New Roman" w:hAnsi="Times New Roman" w:cs="Times New Roman"/>
                <w:i/>
                <w:sz w:val="20"/>
                <w:szCs w:val="20"/>
                <w:u w:val="single"/>
                <w:lang w:val="en-US"/>
              </w:rPr>
            </w:pPr>
            <w:r w:rsidRPr="003101A0">
              <w:rPr>
                <w:rFonts w:ascii="Times New Roman" w:hAnsi="Times New Roman" w:cs="Times New Roman"/>
                <w:sz w:val="20"/>
                <w:szCs w:val="20"/>
                <w:u w:val="single"/>
                <w:lang w:val="en-US"/>
              </w:rPr>
              <w:t>I1 Asset sale clause</w:t>
            </w:r>
          </w:p>
        </w:tc>
        <w:tc>
          <w:tcPr>
            <w:tcW w:w="2394" w:type="pct"/>
          </w:tcPr>
          <w:p w14:paraId="6B8BA3A4" w14:textId="77777777" w:rsidR="00294950" w:rsidRPr="003101A0" w:rsidRDefault="00294950" w:rsidP="00493F00">
            <w:pPr>
              <w:rPr>
                <w:rFonts w:ascii="Times New Roman" w:hAnsi="Times New Roman" w:cs="Times New Roman"/>
                <w:sz w:val="20"/>
                <w:szCs w:val="20"/>
                <w:lang w:val="en-US"/>
              </w:rPr>
            </w:pPr>
          </w:p>
        </w:tc>
        <w:tc>
          <w:tcPr>
            <w:tcW w:w="443" w:type="pct"/>
          </w:tcPr>
          <w:p w14:paraId="6711C216"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iCs/>
                <w:sz w:val="20"/>
                <w:szCs w:val="20"/>
                <w:lang w:val="en-US"/>
              </w:rPr>
              <w:t>54.98%</w:t>
            </w:r>
          </w:p>
        </w:tc>
        <w:tc>
          <w:tcPr>
            <w:tcW w:w="444" w:type="pct"/>
          </w:tcPr>
          <w:p w14:paraId="2F4FBB68"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iCs/>
                <w:sz w:val="20"/>
                <w:szCs w:val="20"/>
                <w:lang w:val="en-US"/>
              </w:rPr>
              <w:t>77.52%***</w:t>
            </w:r>
          </w:p>
        </w:tc>
      </w:tr>
      <w:tr w:rsidR="00294950" w:rsidRPr="003101A0" w14:paraId="2FF6CCC2" w14:textId="77777777" w:rsidTr="00702790">
        <w:tc>
          <w:tcPr>
            <w:tcW w:w="1719" w:type="pct"/>
          </w:tcPr>
          <w:p w14:paraId="327C83E1"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Asset_sale_clause</w:t>
            </w:r>
            <w:proofErr w:type="spellEnd"/>
          </w:p>
        </w:tc>
        <w:tc>
          <w:tcPr>
            <w:tcW w:w="2394" w:type="pct"/>
          </w:tcPr>
          <w:p w14:paraId="6DDC0D60" w14:textId="7B5A35D4"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sz w:val="20"/>
                <w:szCs w:val="20"/>
                <w:lang w:val="en-US"/>
              </w:rPr>
              <w:t xml:space="preserve">Requires issuer to use net proceeds from the sale of certain assets to redeem the bonds at par or a premium. </w:t>
            </w:r>
          </w:p>
        </w:tc>
        <w:tc>
          <w:tcPr>
            <w:tcW w:w="443" w:type="pct"/>
          </w:tcPr>
          <w:p w14:paraId="2DFA1662" w14:textId="77777777" w:rsidR="00294950" w:rsidRPr="003101A0" w:rsidRDefault="00294950" w:rsidP="001A1B45">
            <w:pPr>
              <w:rPr>
                <w:rFonts w:ascii="Times New Roman" w:hAnsi="Times New Roman" w:cs="Times New Roman"/>
                <w:iCs/>
                <w:sz w:val="20"/>
                <w:szCs w:val="20"/>
                <w:lang w:val="en-US"/>
              </w:rPr>
            </w:pPr>
          </w:p>
        </w:tc>
        <w:tc>
          <w:tcPr>
            <w:tcW w:w="444" w:type="pct"/>
          </w:tcPr>
          <w:p w14:paraId="6E3986D7" w14:textId="77777777" w:rsidR="00294950" w:rsidRPr="003101A0" w:rsidRDefault="00294950" w:rsidP="001A1B45">
            <w:pPr>
              <w:rPr>
                <w:rFonts w:ascii="Times New Roman" w:hAnsi="Times New Roman" w:cs="Times New Roman"/>
                <w:iCs/>
                <w:sz w:val="20"/>
                <w:szCs w:val="20"/>
                <w:lang w:val="en-US"/>
              </w:rPr>
            </w:pPr>
          </w:p>
        </w:tc>
      </w:tr>
      <w:tr w:rsidR="00294950" w:rsidRPr="003101A0" w14:paraId="4BCDBFC8" w14:textId="77777777" w:rsidTr="00702790">
        <w:tc>
          <w:tcPr>
            <w:tcW w:w="1719" w:type="pct"/>
          </w:tcPr>
          <w:p w14:paraId="2A1A029F"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Sale_assets</w:t>
            </w:r>
            <w:proofErr w:type="spellEnd"/>
          </w:p>
        </w:tc>
        <w:tc>
          <w:tcPr>
            <w:tcW w:w="2394" w:type="pct"/>
          </w:tcPr>
          <w:p w14:paraId="42E366ED" w14:textId="1C88AFBB"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sz w:val="20"/>
                <w:szCs w:val="20"/>
                <w:lang w:val="en-US"/>
              </w:rPr>
              <w:t xml:space="preserve">Restricts issuer’s ability to sell assets or use the proceeds from the sale of assets. Such restrictions may require the issuer to apply some or </w:t>
            </w:r>
            <w:r w:rsidR="00F82B1D" w:rsidRPr="003101A0">
              <w:rPr>
                <w:rFonts w:ascii="Times New Roman" w:hAnsi="Times New Roman" w:cs="Times New Roman"/>
                <w:sz w:val="20"/>
                <w:szCs w:val="20"/>
                <w:lang w:val="en-US"/>
              </w:rPr>
              <w:t>all</w:t>
            </w:r>
            <w:r w:rsidRPr="003101A0">
              <w:rPr>
                <w:rFonts w:ascii="Times New Roman" w:hAnsi="Times New Roman" w:cs="Times New Roman"/>
                <w:sz w:val="20"/>
                <w:szCs w:val="20"/>
                <w:lang w:val="en-US"/>
              </w:rPr>
              <w:t xml:space="preserve"> the sales proceeds to </w:t>
            </w:r>
            <w:r w:rsidR="00871C61" w:rsidRPr="003101A0">
              <w:rPr>
                <w:rFonts w:ascii="Times New Roman" w:hAnsi="Times New Roman" w:cs="Times New Roman"/>
                <w:sz w:val="20"/>
                <w:szCs w:val="20"/>
                <w:lang w:val="en-US"/>
              </w:rPr>
              <w:t>repurchase</w:t>
            </w:r>
            <w:r w:rsidRPr="003101A0">
              <w:rPr>
                <w:rFonts w:ascii="Times New Roman" w:hAnsi="Times New Roman" w:cs="Times New Roman"/>
                <w:sz w:val="20"/>
                <w:szCs w:val="20"/>
                <w:lang w:val="en-US"/>
              </w:rPr>
              <w:t xml:space="preserve"> debt through a tender offer or call.</w:t>
            </w:r>
          </w:p>
        </w:tc>
        <w:tc>
          <w:tcPr>
            <w:tcW w:w="443" w:type="pct"/>
          </w:tcPr>
          <w:p w14:paraId="28F071C8" w14:textId="77777777" w:rsidR="00294950" w:rsidRPr="003101A0" w:rsidRDefault="00294950" w:rsidP="001A1B45">
            <w:pPr>
              <w:rPr>
                <w:rFonts w:ascii="Times New Roman" w:hAnsi="Times New Roman" w:cs="Times New Roman"/>
                <w:iCs/>
                <w:sz w:val="20"/>
                <w:szCs w:val="20"/>
                <w:lang w:val="en-US"/>
              </w:rPr>
            </w:pPr>
          </w:p>
        </w:tc>
        <w:tc>
          <w:tcPr>
            <w:tcW w:w="444" w:type="pct"/>
          </w:tcPr>
          <w:p w14:paraId="2B49DDC6" w14:textId="77777777" w:rsidR="00294950" w:rsidRPr="003101A0" w:rsidRDefault="00294950" w:rsidP="001A1B45">
            <w:pPr>
              <w:rPr>
                <w:rFonts w:ascii="Times New Roman" w:hAnsi="Times New Roman" w:cs="Times New Roman"/>
                <w:iCs/>
                <w:sz w:val="20"/>
                <w:szCs w:val="20"/>
                <w:lang w:val="en-US"/>
              </w:rPr>
            </w:pPr>
          </w:p>
        </w:tc>
      </w:tr>
      <w:tr w:rsidR="00294950" w:rsidRPr="003101A0" w14:paraId="0B0F2A99" w14:textId="77777777" w:rsidTr="00702790">
        <w:tc>
          <w:tcPr>
            <w:tcW w:w="1719" w:type="pct"/>
          </w:tcPr>
          <w:p w14:paraId="2F43471B"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Sale_xfer_assets_unrestricted</w:t>
            </w:r>
            <w:proofErr w:type="spellEnd"/>
          </w:p>
        </w:tc>
        <w:tc>
          <w:tcPr>
            <w:tcW w:w="2394" w:type="pct"/>
          </w:tcPr>
          <w:p w14:paraId="430B9C6B" w14:textId="42CA6C8E"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Requires issuer to use proceeds from </w:t>
            </w:r>
            <w:r w:rsidR="0049621F" w:rsidRPr="003101A0">
              <w:rPr>
                <w:rFonts w:ascii="Times New Roman" w:hAnsi="Times New Roman" w:cs="Times New Roman"/>
                <w:sz w:val="20"/>
                <w:szCs w:val="20"/>
                <w:lang w:val="en-US"/>
              </w:rPr>
              <w:t>selling</w:t>
            </w:r>
            <w:r w:rsidRPr="003101A0">
              <w:rPr>
                <w:rFonts w:ascii="Times New Roman" w:hAnsi="Times New Roman" w:cs="Times New Roman"/>
                <w:sz w:val="20"/>
                <w:szCs w:val="20"/>
                <w:lang w:val="en-US"/>
              </w:rPr>
              <w:t xml:space="preserve"> subsidiaries’ assets (either certain asset sales or all asset sales over some threshold) to reduce debt.</w:t>
            </w:r>
          </w:p>
          <w:p w14:paraId="2F7C84E5" w14:textId="77777777" w:rsidR="00294950" w:rsidRPr="003101A0" w:rsidRDefault="00294950" w:rsidP="00493F00">
            <w:pPr>
              <w:rPr>
                <w:rFonts w:ascii="Times New Roman" w:hAnsi="Times New Roman" w:cs="Times New Roman"/>
                <w:i/>
                <w:sz w:val="20"/>
                <w:szCs w:val="20"/>
                <w:lang w:val="en-US"/>
              </w:rPr>
            </w:pPr>
          </w:p>
        </w:tc>
        <w:tc>
          <w:tcPr>
            <w:tcW w:w="443" w:type="pct"/>
          </w:tcPr>
          <w:p w14:paraId="57031EBB" w14:textId="77777777" w:rsidR="00294950" w:rsidRPr="003101A0" w:rsidRDefault="00294950" w:rsidP="001A1B45">
            <w:pPr>
              <w:rPr>
                <w:rFonts w:ascii="Times New Roman" w:hAnsi="Times New Roman" w:cs="Times New Roman"/>
                <w:iCs/>
                <w:sz w:val="20"/>
                <w:szCs w:val="20"/>
                <w:lang w:val="en-US"/>
              </w:rPr>
            </w:pPr>
          </w:p>
        </w:tc>
        <w:tc>
          <w:tcPr>
            <w:tcW w:w="444" w:type="pct"/>
          </w:tcPr>
          <w:p w14:paraId="2DBEC819" w14:textId="77777777" w:rsidR="00294950" w:rsidRPr="003101A0" w:rsidRDefault="00294950" w:rsidP="001A1B45">
            <w:pPr>
              <w:rPr>
                <w:rFonts w:ascii="Times New Roman" w:hAnsi="Times New Roman" w:cs="Times New Roman"/>
                <w:iCs/>
                <w:sz w:val="20"/>
                <w:szCs w:val="20"/>
                <w:lang w:val="en-US"/>
              </w:rPr>
            </w:pPr>
          </w:p>
        </w:tc>
      </w:tr>
      <w:tr w:rsidR="00294950" w:rsidRPr="003101A0" w14:paraId="138C3D1D" w14:textId="77777777" w:rsidTr="00702790">
        <w:tc>
          <w:tcPr>
            <w:tcW w:w="1719" w:type="pct"/>
          </w:tcPr>
          <w:p w14:paraId="5FE1D5F2" w14:textId="77777777" w:rsidR="00294950" w:rsidRPr="003101A0" w:rsidRDefault="00294950" w:rsidP="00493F00">
            <w:pPr>
              <w:rPr>
                <w:rFonts w:ascii="Times New Roman" w:hAnsi="Times New Roman" w:cs="Times New Roman"/>
                <w:i/>
                <w:sz w:val="20"/>
                <w:szCs w:val="20"/>
                <w:u w:val="single"/>
                <w:lang w:val="en-US"/>
              </w:rPr>
            </w:pPr>
            <w:r w:rsidRPr="003101A0">
              <w:rPr>
                <w:rFonts w:ascii="Times New Roman" w:hAnsi="Times New Roman" w:cs="Times New Roman"/>
                <w:sz w:val="20"/>
                <w:szCs w:val="20"/>
                <w:u w:val="single"/>
                <w:lang w:val="en-US"/>
              </w:rPr>
              <w:t>I2 Investment policy restrictions</w:t>
            </w:r>
          </w:p>
        </w:tc>
        <w:tc>
          <w:tcPr>
            <w:tcW w:w="2394" w:type="pct"/>
          </w:tcPr>
          <w:p w14:paraId="75D97EC0" w14:textId="77777777" w:rsidR="00294950" w:rsidRPr="003101A0" w:rsidRDefault="00294950" w:rsidP="00493F00">
            <w:pPr>
              <w:rPr>
                <w:rFonts w:ascii="Times New Roman" w:hAnsi="Times New Roman" w:cs="Times New Roman"/>
                <w:i/>
                <w:sz w:val="20"/>
                <w:szCs w:val="20"/>
                <w:lang w:val="en-US"/>
              </w:rPr>
            </w:pPr>
          </w:p>
        </w:tc>
        <w:tc>
          <w:tcPr>
            <w:tcW w:w="443" w:type="pct"/>
          </w:tcPr>
          <w:p w14:paraId="33E083C9"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iCs/>
                <w:sz w:val="20"/>
                <w:szCs w:val="20"/>
                <w:lang w:val="en-US"/>
              </w:rPr>
              <w:t>0.43%</w:t>
            </w:r>
          </w:p>
        </w:tc>
        <w:tc>
          <w:tcPr>
            <w:tcW w:w="444" w:type="pct"/>
          </w:tcPr>
          <w:p w14:paraId="472C8F8F"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iCs/>
                <w:sz w:val="20"/>
                <w:szCs w:val="20"/>
                <w:lang w:val="en-US"/>
              </w:rPr>
              <w:t>1.66%***</w:t>
            </w:r>
          </w:p>
        </w:tc>
      </w:tr>
      <w:tr w:rsidR="00294950" w:rsidRPr="003101A0" w14:paraId="7508D41C" w14:textId="77777777" w:rsidTr="00702790">
        <w:tc>
          <w:tcPr>
            <w:tcW w:w="1719" w:type="pct"/>
          </w:tcPr>
          <w:p w14:paraId="0611450D"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Investments</w:t>
            </w:r>
          </w:p>
        </w:tc>
        <w:tc>
          <w:tcPr>
            <w:tcW w:w="2394" w:type="pct"/>
          </w:tcPr>
          <w:p w14:paraId="5F92AA16"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sz w:val="20"/>
                <w:szCs w:val="20"/>
                <w:lang w:val="en-US"/>
              </w:rPr>
              <w:t>Restricts issuer’s investment policy to prevent risky investments.</w:t>
            </w:r>
          </w:p>
        </w:tc>
        <w:tc>
          <w:tcPr>
            <w:tcW w:w="443" w:type="pct"/>
          </w:tcPr>
          <w:p w14:paraId="1893E7D5" w14:textId="77777777" w:rsidR="00294950" w:rsidRPr="003101A0" w:rsidRDefault="00294950" w:rsidP="001A1B45">
            <w:pPr>
              <w:rPr>
                <w:rFonts w:ascii="Times New Roman" w:hAnsi="Times New Roman" w:cs="Times New Roman"/>
                <w:iCs/>
                <w:sz w:val="20"/>
                <w:szCs w:val="20"/>
                <w:lang w:val="en-US"/>
              </w:rPr>
            </w:pPr>
          </w:p>
        </w:tc>
        <w:tc>
          <w:tcPr>
            <w:tcW w:w="444" w:type="pct"/>
          </w:tcPr>
          <w:p w14:paraId="7D31A80C" w14:textId="77777777" w:rsidR="00294950" w:rsidRPr="003101A0" w:rsidRDefault="00294950" w:rsidP="001A1B45">
            <w:pPr>
              <w:rPr>
                <w:rFonts w:ascii="Times New Roman" w:hAnsi="Times New Roman" w:cs="Times New Roman"/>
                <w:iCs/>
                <w:sz w:val="20"/>
                <w:szCs w:val="20"/>
                <w:lang w:val="en-US"/>
              </w:rPr>
            </w:pPr>
          </w:p>
        </w:tc>
      </w:tr>
      <w:tr w:rsidR="00294950" w:rsidRPr="003101A0" w14:paraId="650BB3DC" w14:textId="77777777" w:rsidTr="00702790">
        <w:tc>
          <w:tcPr>
            <w:tcW w:w="1719" w:type="pct"/>
          </w:tcPr>
          <w:p w14:paraId="6EBE2AD5"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Investments_unrestricted_subs</w:t>
            </w:r>
            <w:proofErr w:type="spellEnd"/>
          </w:p>
          <w:p w14:paraId="107E268B" w14:textId="77777777" w:rsidR="00294950" w:rsidRPr="003101A0" w:rsidRDefault="00294950" w:rsidP="00493F00">
            <w:pPr>
              <w:rPr>
                <w:rFonts w:ascii="Times New Roman" w:hAnsi="Times New Roman" w:cs="Times New Roman"/>
                <w:i/>
                <w:sz w:val="20"/>
                <w:szCs w:val="20"/>
                <w:lang w:val="en-US"/>
              </w:rPr>
            </w:pPr>
          </w:p>
        </w:tc>
        <w:tc>
          <w:tcPr>
            <w:tcW w:w="2394" w:type="pct"/>
          </w:tcPr>
          <w:p w14:paraId="52994B08"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sz w:val="20"/>
                <w:szCs w:val="20"/>
                <w:lang w:val="en-US"/>
              </w:rPr>
              <w:t>Restricts subsidiaries’ investments.</w:t>
            </w:r>
          </w:p>
        </w:tc>
        <w:tc>
          <w:tcPr>
            <w:tcW w:w="443" w:type="pct"/>
          </w:tcPr>
          <w:p w14:paraId="5DE05602" w14:textId="77777777" w:rsidR="00294950" w:rsidRPr="003101A0" w:rsidRDefault="00294950" w:rsidP="001A1B45">
            <w:pPr>
              <w:rPr>
                <w:rFonts w:ascii="Times New Roman" w:hAnsi="Times New Roman" w:cs="Times New Roman"/>
                <w:iCs/>
                <w:sz w:val="20"/>
                <w:szCs w:val="20"/>
                <w:lang w:val="en-US"/>
              </w:rPr>
            </w:pPr>
          </w:p>
        </w:tc>
        <w:tc>
          <w:tcPr>
            <w:tcW w:w="444" w:type="pct"/>
          </w:tcPr>
          <w:p w14:paraId="02507E58" w14:textId="77777777" w:rsidR="00294950" w:rsidRPr="003101A0" w:rsidRDefault="00294950" w:rsidP="001A1B45">
            <w:pPr>
              <w:rPr>
                <w:rFonts w:ascii="Times New Roman" w:hAnsi="Times New Roman" w:cs="Times New Roman"/>
                <w:iCs/>
                <w:sz w:val="20"/>
                <w:szCs w:val="20"/>
                <w:lang w:val="en-US"/>
              </w:rPr>
            </w:pPr>
          </w:p>
        </w:tc>
      </w:tr>
      <w:tr w:rsidR="00294950" w:rsidRPr="003101A0" w14:paraId="5B1E0DC9" w14:textId="77777777" w:rsidTr="00702790">
        <w:tc>
          <w:tcPr>
            <w:tcW w:w="1719" w:type="pct"/>
          </w:tcPr>
          <w:p w14:paraId="0CFFDA1E" w14:textId="77777777" w:rsidR="00294950" w:rsidRPr="003101A0" w:rsidRDefault="00294950" w:rsidP="00493F00">
            <w:pPr>
              <w:rPr>
                <w:rFonts w:ascii="Times New Roman" w:hAnsi="Times New Roman" w:cs="Times New Roman"/>
                <w:i/>
                <w:sz w:val="20"/>
                <w:szCs w:val="20"/>
                <w:u w:val="single"/>
                <w:lang w:val="en-US"/>
              </w:rPr>
            </w:pPr>
            <w:r w:rsidRPr="003101A0">
              <w:rPr>
                <w:rFonts w:ascii="Times New Roman" w:hAnsi="Times New Roman" w:cs="Times New Roman"/>
                <w:sz w:val="20"/>
                <w:szCs w:val="20"/>
                <w:u w:val="single"/>
                <w:lang w:val="en-US"/>
              </w:rPr>
              <w:t>I3 Merger restrictions</w:t>
            </w:r>
          </w:p>
        </w:tc>
        <w:tc>
          <w:tcPr>
            <w:tcW w:w="2394" w:type="pct"/>
          </w:tcPr>
          <w:p w14:paraId="4E5F5730" w14:textId="77777777" w:rsidR="00294950" w:rsidRPr="003101A0" w:rsidRDefault="00294950" w:rsidP="00493F00">
            <w:pPr>
              <w:rPr>
                <w:rFonts w:ascii="Times New Roman" w:hAnsi="Times New Roman" w:cs="Times New Roman"/>
                <w:i/>
                <w:sz w:val="20"/>
                <w:szCs w:val="20"/>
                <w:lang w:val="en-US"/>
              </w:rPr>
            </w:pPr>
          </w:p>
        </w:tc>
        <w:tc>
          <w:tcPr>
            <w:tcW w:w="443" w:type="pct"/>
          </w:tcPr>
          <w:p w14:paraId="3AA09F4F"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iCs/>
                <w:sz w:val="20"/>
                <w:szCs w:val="20"/>
                <w:lang w:val="en-US"/>
              </w:rPr>
              <w:t>55.22%</w:t>
            </w:r>
          </w:p>
        </w:tc>
        <w:tc>
          <w:tcPr>
            <w:tcW w:w="444" w:type="pct"/>
          </w:tcPr>
          <w:p w14:paraId="3F0C6F7E"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iCs/>
                <w:sz w:val="20"/>
                <w:szCs w:val="20"/>
                <w:lang w:val="en-US"/>
              </w:rPr>
              <w:t>77.67%***</w:t>
            </w:r>
          </w:p>
        </w:tc>
      </w:tr>
      <w:tr w:rsidR="00294950" w:rsidRPr="003101A0" w14:paraId="7A3BE861" w14:textId="77777777" w:rsidTr="00702790">
        <w:trPr>
          <w:trHeight w:val="80"/>
        </w:trPr>
        <w:tc>
          <w:tcPr>
            <w:tcW w:w="1719" w:type="pct"/>
          </w:tcPr>
          <w:p w14:paraId="2B03D022"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Consolidation_merger</w:t>
            </w:r>
            <w:proofErr w:type="spellEnd"/>
          </w:p>
        </w:tc>
        <w:tc>
          <w:tcPr>
            <w:tcW w:w="2394" w:type="pct"/>
          </w:tcPr>
          <w:p w14:paraId="4C546258"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Restricts a consolidation or merger of the issuer with another entity.</w:t>
            </w:r>
          </w:p>
        </w:tc>
        <w:tc>
          <w:tcPr>
            <w:tcW w:w="443" w:type="pct"/>
          </w:tcPr>
          <w:p w14:paraId="5C4DBA6F" w14:textId="77777777" w:rsidR="00294950" w:rsidRPr="003101A0" w:rsidRDefault="00294950" w:rsidP="001A1B45">
            <w:pPr>
              <w:rPr>
                <w:rFonts w:ascii="Times New Roman" w:hAnsi="Times New Roman" w:cs="Times New Roman"/>
                <w:iCs/>
                <w:sz w:val="20"/>
                <w:szCs w:val="20"/>
                <w:lang w:val="en-US"/>
              </w:rPr>
            </w:pPr>
          </w:p>
        </w:tc>
        <w:tc>
          <w:tcPr>
            <w:tcW w:w="444" w:type="pct"/>
          </w:tcPr>
          <w:p w14:paraId="2CF626D1" w14:textId="77777777" w:rsidR="00294950" w:rsidRPr="003101A0" w:rsidRDefault="00294950" w:rsidP="001A1B45">
            <w:pPr>
              <w:rPr>
                <w:rFonts w:ascii="Times New Roman" w:hAnsi="Times New Roman" w:cs="Times New Roman"/>
                <w:iCs/>
                <w:sz w:val="20"/>
                <w:szCs w:val="20"/>
                <w:lang w:val="en-US"/>
              </w:rPr>
            </w:pPr>
          </w:p>
        </w:tc>
      </w:tr>
      <w:tr w:rsidR="00294950" w:rsidRPr="003101A0" w14:paraId="03721D93" w14:textId="77777777" w:rsidTr="00702790">
        <w:tc>
          <w:tcPr>
            <w:tcW w:w="1719" w:type="pct"/>
            <w:tcBorders>
              <w:bottom w:val="single" w:sz="4" w:space="0" w:color="auto"/>
            </w:tcBorders>
          </w:tcPr>
          <w:p w14:paraId="674EC3E0" w14:textId="77777777" w:rsidR="00294950" w:rsidRPr="003101A0" w:rsidRDefault="00294950" w:rsidP="00493F00">
            <w:pPr>
              <w:rPr>
                <w:rFonts w:ascii="Times New Roman" w:hAnsi="Times New Roman" w:cs="Times New Roman"/>
                <w:i/>
                <w:sz w:val="20"/>
                <w:szCs w:val="20"/>
                <w:lang w:val="en-US"/>
              </w:rPr>
            </w:pPr>
          </w:p>
        </w:tc>
        <w:tc>
          <w:tcPr>
            <w:tcW w:w="2394" w:type="pct"/>
            <w:tcBorders>
              <w:bottom w:val="single" w:sz="4" w:space="0" w:color="auto"/>
            </w:tcBorders>
          </w:tcPr>
          <w:p w14:paraId="53BD6548" w14:textId="77777777" w:rsidR="00294950" w:rsidRPr="003101A0" w:rsidRDefault="00294950" w:rsidP="00493F00">
            <w:pPr>
              <w:rPr>
                <w:rFonts w:ascii="Times New Roman" w:hAnsi="Times New Roman" w:cs="Times New Roman"/>
                <w:i/>
                <w:sz w:val="20"/>
                <w:szCs w:val="20"/>
                <w:lang w:val="en-US"/>
              </w:rPr>
            </w:pPr>
          </w:p>
        </w:tc>
        <w:tc>
          <w:tcPr>
            <w:tcW w:w="443" w:type="pct"/>
            <w:tcBorders>
              <w:bottom w:val="single" w:sz="4" w:space="0" w:color="auto"/>
            </w:tcBorders>
          </w:tcPr>
          <w:p w14:paraId="23E34D21" w14:textId="77777777" w:rsidR="00294950" w:rsidRPr="003101A0" w:rsidRDefault="00294950" w:rsidP="001A1B45">
            <w:pPr>
              <w:rPr>
                <w:rFonts w:ascii="Times New Roman" w:hAnsi="Times New Roman" w:cs="Times New Roman"/>
                <w:iCs/>
                <w:sz w:val="20"/>
                <w:szCs w:val="20"/>
                <w:lang w:val="en-US"/>
              </w:rPr>
            </w:pPr>
          </w:p>
        </w:tc>
        <w:tc>
          <w:tcPr>
            <w:tcW w:w="444" w:type="pct"/>
            <w:tcBorders>
              <w:bottom w:val="single" w:sz="4" w:space="0" w:color="auto"/>
            </w:tcBorders>
          </w:tcPr>
          <w:p w14:paraId="6212B9E3" w14:textId="77777777" w:rsidR="00294950" w:rsidRPr="003101A0" w:rsidRDefault="00294950" w:rsidP="001A1B45">
            <w:pPr>
              <w:rPr>
                <w:rFonts w:ascii="Times New Roman" w:hAnsi="Times New Roman" w:cs="Times New Roman"/>
                <w:iCs/>
                <w:sz w:val="20"/>
                <w:szCs w:val="20"/>
                <w:lang w:val="en-US"/>
              </w:rPr>
            </w:pPr>
          </w:p>
        </w:tc>
      </w:tr>
      <w:tr w:rsidR="00294950" w:rsidRPr="003101A0" w14:paraId="7FE2EA65" w14:textId="77777777" w:rsidTr="00702790">
        <w:tc>
          <w:tcPr>
            <w:tcW w:w="1719" w:type="pct"/>
            <w:tcBorders>
              <w:top w:val="single" w:sz="4" w:space="0" w:color="auto"/>
              <w:bottom w:val="nil"/>
            </w:tcBorders>
          </w:tcPr>
          <w:p w14:paraId="4BE5374A"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b/>
                <w:sz w:val="20"/>
                <w:szCs w:val="20"/>
                <w:lang w:val="en-US"/>
              </w:rPr>
              <w:t>Payout restrictions = (P1+P2)/2</w:t>
            </w:r>
          </w:p>
        </w:tc>
        <w:tc>
          <w:tcPr>
            <w:tcW w:w="2394" w:type="pct"/>
            <w:tcBorders>
              <w:top w:val="single" w:sz="4" w:space="0" w:color="auto"/>
              <w:bottom w:val="nil"/>
            </w:tcBorders>
          </w:tcPr>
          <w:p w14:paraId="3386F623" w14:textId="77777777" w:rsidR="00294950" w:rsidRPr="003101A0" w:rsidRDefault="00294950" w:rsidP="00493F00">
            <w:pPr>
              <w:rPr>
                <w:rFonts w:ascii="Times New Roman" w:hAnsi="Times New Roman" w:cs="Times New Roman"/>
                <w:i/>
                <w:sz w:val="20"/>
                <w:szCs w:val="20"/>
                <w:lang w:val="en-US"/>
              </w:rPr>
            </w:pPr>
          </w:p>
        </w:tc>
        <w:tc>
          <w:tcPr>
            <w:tcW w:w="443" w:type="pct"/>
            <w:tcBorders>
              <w:top w:val="single" w:sz="4" w:space="0" w:color="auto"/>
              <w:bottom w:val="nil"/>
            </w:tcBorders>
          </w:tcPr>
          <w:p w14:paraId="5B9D77E7"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b/>
                <w:bCs/>
                <w:iCs/>
                <w:sz w:val="20"/>
                <w:szCs w:val="20"/>
                <w:lang w:val="en-US"/>
              </w:rPr>
              <w:t>1.54%</w:t>
            </w:r>
          </w:p>
        </w:tc>
        <w:tc>
          <w:tcPr>
            <w:tcW w:w="444" w:type="pct"/>
            <w:tcBorders>
              <w:top w:val="single" w:sz="4" w:space="0" w:color="auto"/>
              <w:bottom w:val="nil"/>
            </w:tcBorders>
          </w:tcPr>
          <w:p w14:paraId="430DB4EE"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b/>
                <w:bCs/>
                <w:iCs/>
                <w:sz w:val="20"/>
                <w:szCs w:val="20"/>
                <w:lang w:val="en-US"/>
              </w:rPr>
              <w:t>16.45%***</w:t>
            </w:r>
          </w:p>
        </w:tc>
      </w:tr>
      <w:tr w:rsidR="00294950" w:rsidRPr="003101A0" w14:paraId="48238213" w14:textId="77777777" w:rsidTr="00702790">
        <w:tc>
          <w:tcPr>
            <w:tcW w:w="1719" w:type="pct"/>
            <w:tcBorders>
              <w:top w:val="nil"/>
            </w:tcBorders>
          </w:tcPr>
          <w:p w14:paraId="3F472006" w14:textId="77777777" w:rsidR="00294950" w:rsidRPr="003101A0" w:rsidRDefault="00294950" w:rsidP="00493F00">
            <w:pPr>
              <w:rPr>
                <w:rFonts w:ascii="Times New Roman" w:hAnsi="Times New Roman" w:cs="Times New Roman"/>
                <w:sz w:val="20"/>
                <w:szCs w:val="20"/>
                <w:u w:val="single"/>
                <w:lang w:val="en-US"/>
              </w:rPr>
            </w:pPr>
            <w:r w:rsidRPr="003101A0">
              <w:rPr>
                <w:rFonts w:ascii="Times New Roman" w:hAnsi="Times New Roman" w:cs="Times New Roman"/>
                <w:sz w:val="20"/>
                <w:szCs w:val="20"/>
                <w:u w:val="single"/>
                <w:lang w:val="en-US"/>
              </w:rPr>
              <w:t>P1 Dividend payment restrictions</w:t>
            </w:r>
          </w:p>
        </w:tc>
        <w:tc>
          <w:tcPr>
            <w:tcW w:w="2394" w:type="pct"/>
            <w:tcBorders>
              <w:top w:val="nil"/>
            </w:tcBorders>
          </w:tcPr>
          <w:p w14:paraId="26A45F6C" w14:textId="77777777" w:rsidR="00294950" w:rsidRPr="003101A0" w:rsidRDefault="00294950" w:rsidP="00493F00">
            <w:pPr>
              <w:rPr>
                <w:rFonts w:ascii="Times New Roman" w:hAnsi="Times New Roman" w:cs="Times New Roman"/>
                <w:i/>
                <w:sz w:val="20"/>
                <w:szCs w:val="20"/>
                <w:lang w:val="en-US"/>
              </w:rPr>
            </w:pPr>
          </w:p>
        </w:tc>
        <w:tc>
          <w:tcPr>
            <w:tcW w:w="443" w:type="pct"/>
            <w:tcBorders>
              <w:top w:val="nil"/>
            </w:tcBorders>
          </w:tcPr>
          <w:p w14:paraId="0AED7287"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iCs/>
                <w:sz w:val="20"/>
                <w:szCs w:val="20"/>
                <w:lang w:val="en-US"/>
              </w:rPr>
              <w:t>1.86%</w:t>
            </w:r>
          </w:p>
        </w:tc>
        <w:tc>
          <w:tcPr>
            <w:tcW w:w="444" w:type="pct"/>
            <w:tcBorders>
              <w:top w:val="nil"/>
            </w:tcBorders>
          </w:tcPr>
          <w:p w14:paraId="524F52AC"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iCs/>
                <w:sz w:val="20"/>
                <w:szCs w:val="20"/>
                <w:lang w:val="en-US"/>
              </w:rPr>
              <w:t>15.79%***</w:t>
            </w:r>
          </w:p>
        </w:tc>
      </w:tr>
      <w:tr w:rsidR="00294950" w:rsidRPr="003101A0" w14:paraId="26453130" w14:textId="77777777" w:rsidTr="00702790">
        <w:tc>
          <w:tcPr>
            <w:tcW w:w="1719" w:type="pct"/>
          </w:tcPr>
          <w:p w14:paraId="1541FAD5"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Dividends_related_payments</w:t>
            </w:r>
            <w:proofErr w:type="spellEnd"/>
            <w:r w:rsidRPr="003101A0">
              <w:rPr>
                <w:rFonts w:ascii="Times New Roman" w:hAnsi="Times New Roman" w:cs="Times New Roman"/>
                <w:i/>
                <w:sz w:val="20"/>
                <w:szCs w:val="20"/>
                <w:lang w:val="en-US"/>
              </w:rPr>
              <w:t xml:space="preserve"> (issuer)</w:t>
            </w:r>
          </w:p>
        </w:tc>
        <w:tc>
          <w:tcPr>
            <w:tcW w:w="2394" w:type="pct"/>
          </w:tcPr>
          <w:p w14:paraId="1F406E62" w14:textId="6AB35255"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Limits payments made to shareholders or other entities to a certain </w:t>
            </w:r>
            <w:r w:rsidR="00871C61" w:rsidRPr="003101A0">
              <w:rPr>
                <w:rFonts w:ascii="Times New Roman" w:hAnsi="Times New Roman" w:cs="Times New Roman"/>
                <w:sz w:val="20"/>
                <w:szCs w:val="20"/>
                <w:lang w:val="en-US"/>
              </w:rPr>
              <w:t>net income percentage or</w:t>
            </w:r>
            <w:r w:rsidRPr="003101A0">
              <w:rPr>
                <w:rFonts w:ascii="Times New Roman" w:hAnsi="Times New Roman" w:cs="Times New Roman"/>
                <w:sz w:val="20"/>
                <w:szCs w:val="20"/>
                <w:lang w:val="en-US"/>
              </w:rPr>
              <w:t xml:space="preserve"> other ratio.</w:t>
            </w:r>
          </w:p>
        </w:tc>
        <w:tc>
          <w:tcPr>
            <w:tcW w:w="443" w:type="pct"/>
          </w:tcPr>
          <w:p w14:paraId="05D77781" w14:textId="77777777" w:rsidR="00294950" w:rsidRPr="003101A0" w:rsidRDefault="00294950" w:rsidP="001A1B45">
            <w:pPr>
              <w:rPr>
                <w:rFonts w:ascii="Times New Roman" w:hAnsi="Times New Roman" w:cs="Times New Roman"/>
                <w:iCs/>
                <w:sz w:val="20"/>
                <w:szCs w:val="20"/>
                <w:lang w:val="en-US"/>
              </w:rPr>
            </w:pPr>
          </w:p>
        </w:tc>
        <w:tc>
          <w:tcPr>
            <w:tcW w:w="444" w:type="pct"/>
          </w:tcPr>
          <w:p w14:paraId="3610316F" w14:textId="77777777" w:rsidR="00294950" w:rsidRPr="003101A0" w:rsidRDefault="00294950" w:rsidP="001A1B45">
            <w:pPr>
              <w:rPr>
                <w:rFonts w:ascii="Times New Roman" w:hAnsi="Times New Roman" w:cs="Times New Roman"/>
                <w:iCs/>
                <w:sz w:val="20"/>
                <w:szCs w:val="20"/>
                <w:lang w:val="en-US"/>
              </w:rPr>
            </w:pPr>
          </w:p>
        </w:tc>
      </w:tr>
      <w:tr w:rsidR="00294950" w:rsidRPr="003101A0" w14:paraId="11F3E6D4" w14:textId="77777777" w:rsidTr="00702790">
        <w:tc>
          <w:tcPr>
            <w:tcW w:w="1719" w:type="pct"/>
          </w:tcPr>
          <w:p w14:paraId="477CCB50"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Dividends_related_payments</w:t>
            </w:r>
            <w:proofErr w:type="spellEnd"/>
            <w:r w:rsidRPr="003101A0">
              <w:rPr>
                <w:rFonts w:ascii="Times New Roman" w:hAnsi="Times New Roman" w:cs="Times New Roman"/>
                <w:i/>
                <w:sz w:val="20"/>
                <w:szCs w:val="20"/>
                <w:lang w:val="en-US"/>
              </w:rPr>
              <w:t xml:space="preserve"> (subsidiary)</w:t>
            </w:r>
          </w:p>
        </w:tc>
        <w:tc>
          <w:tcPr>
            <w:tcW w:w="2394" w:type="pct"/>
          </w:tcPr>
          <w:p w14:paraId="1990A3D7" w14:textId="7C6A8368"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Limits subsidiary payments made to shareholders or other entities to a certain </w:t>
            </w:r>
            <w:r w:rsidR="00871C61" w:rsidRPr="003101A0">
              <w:rPr>
                <w:rFonts w:ascii="Times New Roman" w:hAnsi="Times New Roman" w:cs="Times New Roman"/>
                <w:sz w:val="20"/>
                <w:szCs w:val="20"/>
                <w:lang w:val="en-US"/>
              </w:rPr>
              <w:t>net income percentage or</w:t>
            </w:r>
            <w:r w:rsidRPr="003101A0">
              <w:rPr>
                <w:rFonts w:ascii="Times New Roman" w:hAnsi="Times New Roman" w:cs="Times New Roman"/>
                <w:sz w:val="20"/>
                <w:szCs w:val="20"/>
                <w:lang w:val="en-US"/>
              </w:rPr>
              <w:t xml:space="preserve"> other ratio.</w:t>
            </w:r>
          </w:p>
        </w:tc>
        <w:tc>
          <w:tcPr>
            <w:tcW w:w="443" w:type="pct"/>
          </w:tcPr>
          <w:p w14:paraId="5CEA3889" w14:textId="77777777" w:rsidR="00294950" w:rsidRPr="003101A0" w:rsidRDefault="00294950" w:rsidP="001A1B45">
            <w:pPr>
              <w:rPr>
                <w:rFonts w:ascii="Times New Roman" w:hAnsi="Times New Roman" w:cs="Times New Roman"/>
                <w:iCs/>
                <w:sz w:val="20"/>
                <w:szCs w:val="20"/>
                <w:lang w:val="en-US"/>
              </w:rPr>
            </w:pPr>
          </w:p>
        </w:tc>
        <w:tc>
          <w:tcPr>
            <w:tcW w:w="444" w:type="pct"/>
          </w:tcPr>
          <w:p w14:paraId="2087B9E9" w14:textId="77777777" w:rsidR="00294950" w:rsidRPr="003101A0" w:rsidRDefault="00294950" w:rsidP="001A1B45">
            <w:pPr>
              <w:rPr>
                <w:rFonts w:ascii="Times New Roman" w:hAnsi="Times New Roman" w:cs="Times New Roman"/>
                <w:iCs/>
                <w:sz w:val="20"/>
                <w:szCs w:val="20"/>
                <w:lang w:val="en-US"/>
              </w:rPr>
            </w:pPr>
          </w:p>
        </w:tc>
      </w:tr>
      <w:tr w:rsidR="00294950" w:rsidRPr="003101A0" w14:paraId="4A41E919" w14:textId="77777777" w:rsidTr="00702790">
        <w:tc>
          <w:tcPr>
            <w:tcW w:w="1719" w:type="pct"/>
          </w:tcPr>
          <w:p w14:paraId="54EB1BEB"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sz w:val="20"/>
                <w:szCs w:val="20"/>
                <w:u w:val="single"/>
                <w:lang w:val="en-US"/>
              </w:rPr>
              <w:t>P2 Share repurchase restrictions</w:t>
            </w:r>
          </w:p>
        </w:tc>
        <w:tc>
          <w:tcPr>
            <w:tcW w:w="2394" w:type="pct"/>
          </w:tcPr>
          <w:p w14:paraId="5A9AFC75" w14:textId="77777777" w:rsidR="00294950" w:rsidRPr="003101A0" w:rsidRDefault="00294950" w:rsidP="00493F00">
            <w:pPr>
              <w:rPr>
                <w:rFonts w:ascii="Times New Roman" w:hAnsi="Times New Roman" w:cs="Times New Roman"/>
                <w:sz w:val="20"/>
                <w:szCs w:val="20"/>
                <w:lang w:val="en-US"/>
              </w:rPr>
            </w:pPr>
          </w:p>
        </w:tc>
        <w:tc>
          <w:tcPr>
            <w:tcW w:w="443" w:type="pct"/>
          </w:tcPr>
          <w:p w14:paraId="06D3F889"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iCs/>
                <w:sz w:val="20"/>
                <w:szCs w:val="20"/>
                <w:lang w:val="en-US"/>
              </w:rPr>
              <w:t>1.24%</w:t>
            </w:r>
          </w:p>
        </w:tc>
        <w:tc>
          <w:tcPr>
            <w:tcW w:w="444" w:type="pct"/>
          </w:tcPr>
          <w:p w14:paraId="0CF2660E"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iCs/>
                <w:sz w:val="20"/>
                <w:szCs w:val="20"/>
                <w:lang w:val="en-US"/>
              </w:rPr>
              <w:t>17.11%***</w:t>
            </w:r>
          </w:p>
        </w:tc>
      </w:tr>
      <w:tr w:rsidR="00294950" w:rsidRPr="003101A0" w14:paraId="7433C02A" w14:textId="77777777" w:rsidTr="00702790">
        <w:tc>
          <w:tcPr>
            <w:tcW w:w="1719" w:type="pct"/>
          </w:tcPr>
          <w:p w14:paraId="5D983EE5"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Restricted_payments</w:t>
            </w:r>
            <w:proofErr w:type="spellEnd"/>
          </w:p>
        </w:tc>
        <w:tc>
          <w:tcPr>
            <w:tcW w:w="2394" w:type="pct"/>
          </w:tcPr>
          <w:p w14:paraId="34B1B6BA" w14:textId="1D4028A4"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Restricts issuer’s freedom to make payments (other than </w:t>
            </w:r>
            <w:r w:rsidR="00871C61" w:rsidRPr="003101A0">
              <w:rPr>
                <w:rFonts w:ascii="Times New Roman" w:hAnsi="Times New Roman" w:cs="Times New Roman"/>
                <w:sz w:val="20"/>
                <w:szCs w:val="20"/>
                <w:lang w:val="en-US"/>
              </w:rPr>
              <w:t>dividend-</w:t>
            </w:r>
            <w:r w:rsidRPr="003101A0">
              <w:rPr>
                <w:rFonts w:ascii="Times New Roman" w:hAnsi="Times New Roman" w:cs="Times New Roman"/>
                <w:sz w:val="20"/>
                <w:szCs w:val="20"/>
                <w:lang w:val="en-US"/>
              </w:rPr>
              <w:t>related payments) to shareholders and others.</w:t>
            </w:r>
          </w:p>
        </w:tc>
        <w:tc>
          <w:tcPr>
            <w:tcW w:w="443" w:type="pct"/>
          </w:tcPr>
          <w:p w14:paraId="20BBC7C0" w14:textId="77777777" w:rsidR="00294950" w:rsidRPr="003101A0" w:rsidRDefault="00294950" w:rsidP="001A1B45">
            <w:pPr>
              <w:rPr>
                <w:rFonts w:ascii="Times New Roman" w:hAnsi="Times New Roman" w:cs="Times New Roman"/>
                <w:iCs/>
                <w:sz w:val="20"/>
                <w:szCs w:val="20"/>
                <w:lang w:val="en-US"/>
              </w:rPr>
            </w:pPr>
          </w:p>
        </w:tc>
        <w:tc>
          <w:tcPr>
            <w:tcW w:w="444" w:type="pct"/>
          </w:tcPr>
          <w:p w14:paraId="5EEAE3D8" w14:textId="77777777" w:rsidR="00294950" w:rsidRPr="003101A0" w:rsidRDefault="00294950" w:rsidP="001A1B45">
            <w:pPr>
              <w:rPr>
                <w:rFonts w:ascii="Times New Roman" w:hAnsi="Times New Roman" w:cs="Times New Roman"/>
                <w:iCs/>
                <w:sz w:val="20"/>
                <w:szCs w:val="20"/>
                <w:lang w:val="en-US"/>
              </w:rPr>
            </w:pPr>
          </w:p>
        </w:tc>
      </w:tr>
      <w:tr w:rsidR="00294950" w:rsidRPr="003101A0" w14:paraId="43FA4A76" w14:textId="77777777" w:rsidTr="00702790">
        <w:tc>
          <w:tcPr>
            <w:tcW w:w="1719" w:type="pct"/>
            <w:tcBorders>
              <w:bottom w:val="single" w:sz="4" w:space="0" w:color="auto"/>
            </w:tcBorders>
          </w:tcPr>
          <w:p w14:paraId="005FFE47" w14:textId="77777777" w:rsidR="00294950" w:rsidRPr="003101A0" w:rsidRDefault="00294950" w:rsidP="00493F00">
            <w:pPr>
              <w:rPr>
                <w:rFonts w:ascii="Times New Roman" w:hAnsi="Times New Roman" w:cs="Times New Roman"/>
                <w:i/>
                <w:sz w:val="20"/>
                <w:szCs w:val="20"/>
                <w:lang w:val="en-US"/>
              </w:rPr>
            </w:pPr>
          </w:p>
        </w:tc>
        <w:tc>
          <w:tcPr>
            <w:tcW w:w="2394" w:type="pct"/>
            <w:tcBorders>
              <w:bottom w:val="single" w:sz="4" w:space="0" w:color="auto"/>
            </w:tcBorders>
          </w:tcPr>
          <w:p w14:paraId="7DAA965F" w14:textId="77777777" w:rsidR="00294950" w:rsidRPr="003101A0" w:rsidRDefault="00294950" w:rsidP="00493F00">
            <w:pPr>
              <w:rPr>
                <w:rFonts w:ascii="Times New Roman" w:hAnsi="Times New Roman" w:cs="Times New Roman"/>
                <w:sz w:val="20"/>
                <w:szCs w:val="20"/>
                <w:lang w:val="en-US"/>
              </w:rPr>
            </w:pPr>
          </w:p>
        </w:tc>
        <w:tc>
          <w:tcPr>
            <w:tcW w:w="443" w:type="pct"/>
            <w:tcBorders>
              <w:bottom w:val="single" w:sz="4" w:space="0" w:color="auto"/>
            </w:tcBorders>
          </w:tcPr>
          <w:p w14:paraId="1457BDA4" w14:textId="77777777" w:rsidR="00294950" w:rsidRPr="003101A0" w:rsidRDefault="00294950" w:rsidP="001A1B45">
            <w:pPr>
              <w:rPr>
                <w:rFonts w:ascii="Times New Roman" w:hAnsi="Times New Roman" w:cs="Times New Roman"/>
                <w:iCs/>
                <w:sz w:val="20"/>
                <w:szCs w:val="20"/>
                <w:lang w:val="en-US"/>
              </w:rPr>
            </w:pPr>
          </w:p>
        </w:tc>
        <w:tc>
          <w:tcPr>
            <w:tcW w:w="444" w:type="pct"/>
            <w:tcBorders>
              <w:bottom w:val="single" w:sz="4" w:space="0" w:color="auto"/>
            </w:tcBorders>
          </w:tcPr>
          <w:p w14:paraId="0512F980" w14:textId="77777777" w:rsidR="00294950" w:rsidRPr="003101A0" w:rsidRDefault="00294950" w:rsidP="001A1B45">
            <w:pPr>
              <w:rPr>
                <w:rFonts w:ascii="Times New Roman" w:hAnsi="Times New Roman" w:cs="Times New Roman"/>
                <w:iCs/>
                <w:sz w:val="20"/>
                <w:szCs w:val="20"/>
                <w:lang w:val="en-US"/>
              </w:rPr>
            </w:pPr>
          </w:p>
        </w:tc>
      </w:tr>
      <w:tr w:rsidR="00294950" w:rsidRPr="003101A0" w14:paraId="5DC14101" w14:textId="77777777" w:rsidTr="00702790">
        <w:tc>
          <w:tcPr>
            <w:tcW w:w="1719" w:type="pct"/>
            <w:tcBorders>
              <w:top w:val="single" w:sz="4" w:space="0" w:color="auto"/>
              <w:bottom w:val="nil"/>
            </w:tcBorders>
          </w:tcPr>
          <w:p w14:paraId="74077C16"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b/>
                <w:sz w:val="20"/>
                <w:szCs w:val="20"/>
                <w:lang w:val="en-US"/>
              </w:rPr>
              <w:t>Financing restrictions = (F1+F2+F3+F4+F4+F6+F7)/7</w:t>
            </w:r>
          </w:p>
        </w:tc>
        <w:tc>
          <w:tcPr>
            <w:tcW w:w="2394" w:type="pct"/>
            <w:tcBorders>
              <w:top w:val="single" w:sz="4" w:space="0" w:color="auto"/>
              <w:bottom w:val="nil"/>
            </w:tcBorders>
          </w:tcPr>
          <w:p w14:paraId="5E30556C" w14:textId="77777777" w:rsidR="00294950" w:rsidRPr="003101A0" w:rsidRDefault="00294950" w:rsidP="00493F00">
            <w:pPr>
              <w:rPr>
                <w:rFonts w:ascii="Times New Roman" w:hAnsi="Times New Roman" w:cs="Times New Roman"/>
                <w:sz w:val="20"/>
                <w:szCs w:val="20"/>
                <w:lang w:val="en-US"/>
              </w:rPr>
            </w:pPr>
          </w:p>
        </w:tc>
        <w:tc>
          <w:tcPr>
            <w:tcW w:w="443" w:type="pct"/>
            <w:tcBorders>
              <w:top w:val="single" w:sz="4" w:space="0" w:color="auto"/>
              <w:bottom w:val="nil"/>
            </w:tcBorders>
          </w:tcPr>
          <w:p w14:paraId="7F49ECC4" w14:textId="77777777" w:rsidR="00294950" w:rsidRPr="003101A0" w:rsidRDefault="00294950" w:rsidP="001A1B45">
            <w:pPr>
              <w:rPr>
                <w:rFonts w:ascii="Times New Roman" w:hAnsi="Times New Roman" w:cs="Times New Roman"/>
                <w:b/>
                <w:bCs/>
                <w:iCs/>
                <w:sz w:val="20"/>
                <w:szCs w:val="20"/>
                <w:lang w:val="en-US"/>
              </w:rPr>
            </w:pPr>
            <w:r w:rsidRPr="003101A0">
              <w:rPr>
                <w:rFonts w:ascii="Times New Roman" w:hAnsi="Times New Roman" w:cs="Times New Roman"/>
                <w:b/>
                <w:bCs/>
                <w:iCs/>
                <w:sz w:val="20"/>
                <w:szCs w:val="20"/>
                <w:lang w:val="en-US"/>
              </w:rPr>
              <w:t>0.94%</w:t>
            </w:r>
          </w:p>
        </w:tc>
        <w:tc>
          <w:tcPr>
            <w:tcW w:w="444" w:type="pct"/>
            <w:tcBorders>
              <w:top w:val="single" w:sz="4" w:space="0" w:color="auto"/>
              <w:bottom w:val="nil"/>
            </w:tcBorders>
          </w:tcPr>
          <w:p w14:paraId="520D27EB" w14:textId="77777777" w:rsidR="00294950" w:rsidRPr="003101A0" w:rsidRDefault="00294950" w:rsidP="001A1B45">
            <w:pPr>
              <w:rPr>
                <w:rFonts w:ascii="Times New Roman" w:hAnsi="Times New Roman" w:cs="Times New Roman"/>
                <w:b/>
                <w:bCs/>
                <w:iCs/>
                <w:sz w:val="20"/>
                <w:szCs w:val="20"/>
                <w:lang w:val="en-US"/>
              </w:rPr>
            </w:pPr>
            <w:r w:rsidRPr="003101A0">
              <w:rPr>
                <w:rFonts w:ascii="Times New Roman" w:hAnsi="Times New Roman" w:cs="Times New Roman"/>
                <w:b/>
                <w:bCs/>
                <w:iCs/>
                <w:sz w:val="20"/>
                <w:szCs w:val="20"/>
                <w:lang w:val="en-US"/>
              </w:rPr>
              <w:t>22.27%***</w:t>
            </w:r>
          </w:p>
        </w:tc>
      </w:tr>
      <w:tr w:rsidR="00294950" w:rsidRPr="003101A0" w14:paraId="4DBD1502" w14:textId="77777777" w:rsidTr="00702790">
        <w:tc>
          <w:tcPr>
            <w:tcW w:w="1719" w:type="pct"/>
            <w:tcBorders>
              <w:top w:val="nil"/>
            </w:tcBorders>
          </w:tcPr>
          <w:p w14:paraId="59E7AD03" w14:textId="77777777" w:rsidR="00294950" w:rsidRPr="003101A0" w:rsidRDefault="00294950" w:rsidP="00493F00">
            <w:pPr>
              <w:rPr>
                <w:rFonts w:ascii="Times New Roman" w:hAnsi="Times New Roman" w:cs="Times New Roman"/>
                <w:i/>
                <w:sz w:val="20"/>
                <w:szCs w:val="20"/>
                <w:u w:val="single"/>
                <w:lang w:val="en-US"/>
              </w:rPr>
            </w:pPr>
            <w:r w:rsidRPr="003101A0">
              <w:rPr>
                <w:rFonts w:ascii="Times New Roman" w:hAnsi="Times New Roman" w:cs="Times New Roman"/>
                <w:sz w:val="20"/>
                <w:szCs w:val="20"/>
                <w:u w:val="single"/>
                <w:lang w:val="en-US"/>
              </w:rPr>
              <w:t>F1 Funded debt restrictions</w:t>
            </w:r>
          </w:p>
        </w:tc>
        <w:tc>
          <w:tcPr>
            <w:tcW w:w="2394" w:type="pct"/>
            <w:tcBorders>
              <w:top w:val="nil"/>
            </w:tcBorders>
          </w:tcPr>
          <w:p w14:paraId="27E52A47" w14:textId="77777777" w:rsidR="00294950" w:rsidRPr="003101A0" w:rsidRDefault="00294950" w:rsidP="00493F00">
            <w:pPr>
              <w:rPr>
                <w:rFonts w:ascii="Times New Roman" w:hAnsi="Times New Roman" w:cs="Times New Roman"/>
                <w:sz w:val="20"/>
                <w:szCs w:val="20"/>
                <w:lang w:val="en-US"/>
              </w:rPr>
            </w:pPr>
          </w:p>
        </w:tc>
        <w:tc>
          <w:tcPr>
            <w:tcW w:w="443" w:type="pct"/>
            <w:tcBorders>
              <w:top w:val="nil"/>
            </w:tcBorders>
          </w:tcPr>
          <w:p w14:paraId="1D93A5A2"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iCs/>
                <w:sz w:val="20"/>
                <w:szCs w:val="20"/>
                <w:lang w:val="en-US"/>
              </w:rPr>
              <w:t>0.04%</w:t>
            </w:r>
          </w:p>
        </w:tc>
        <w:tc>
          <w:tcPr>
            <w:tcW w:w="444" w:type="pct"/>
            <w:tcBorders>
              <w:top w:val="nil"/>
            </w:tcBorders>
          </w:tcPr>
          <w:p w14:paraId="44460866" w14:textId="77777777" w:rsidR="00294950" w:rsidRPr="003101A0" w:rsidRDefault="00294950" w:rsidP="001A1B45">
            <w:pPr>
              <w:rPr>
                <w:rFonts w:ascii="Times New Roman" w:hAnsi="Times New Roman" w:cs="Times New Roman"/>
                <w:iCs/>
                <w:sz w:val="20"/>
                <w:szCs w:val="20"/>
                <w:lang w:val="en-US"/>
              </w:rPr>
            </w:pPr>
            <w:r w:rsidRPr="003101A0">
              <w:rPr>
                <w:rFonts w:ascii="Times New Roman" w:hAnsi="Times New Roman" w:cs="Times New Roman"/>
                <w:iCs/>
                <w:sz w:val="20"/>
                <w:szCs w:val="20"/>
                <w:lang w:val="en-US"/>
              </w:rPr>
              <w:t>1.74%***</w:t>
            </w:r>
          </w:p>
        </w:tc>
      </w:tr>
      <w:tr w:rsidR="00294950" w:rsidRPr="003101A0" w14:paraId="63F27F87" w14:textId="77777777" w:rsidTr="00702790">
        <w:tc>
          <w:tcPr>
            <w:tcW w:w="1719" w:type="pct"/>
          </w:tcPr>
          <w:p w14:paraId="69DBD367"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Funded_debt</w:t>
            </w:r>
            <w:proofErr w:type="spellEnd"/>
            <w:r w:rsidRPr="003101A0">
              <w:rPr>
                <w:rFonts w:ascii="Times New Roman" w:hAnsi="Times New Roman" w:cs="Times New Roman"/>
                <w:i/>
                <w:sz w:val="20"/>
                <w:szCs w:val="20"/>
                <w:lang w:val="en-US"/>
              </w:rPr>
              <w:t xml:space="preserve"> (issuer)</w:t>
            </w:r>
          </w:p>
        </w:tc>
        <w:tc>
          <w:tcPr>
            <w:tcW w:w="2394" w:type="pct"/>
          </w:tcPr>
          <w:p w14:paraId="314A02EA"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Restricts issuer from issuing additional funded debt. Funded debt is any debt with an initial maturity of one year or longer.</w:t>
            </w:r>
          </w:p>
        </w:tc>
        <w:tc>
          <w:tcPr>
            <w:tcW w:w="443" w:type="pct"/>
          </w:tcPr>
          <w:p w14:paraId="7F5EA571" w14:textId="77777777" w:rsidR="00294950" w:rsidRPr="003101A0" w:rsidRDefault="00294950" w:rsidP="001A1B45">
            <w:pPr>
              <w:rPr>
                <w:rFonts w:ascii="Times New Roman" w:hAnsi="Times New Roman" w:cs="Times New Roman"/>
                <w:iCs/>
                <w:sz w:val="20"/>
                <w:szCs w:val="20"/>
                <w:lang w:val="en-US"/>
              </w:rPr>
            </w:pPr>
          </w:p>
        </w:tc>
        <w:tc>
          <w:tcPr>
            <w:tcW w:w="444" w:type="pct"/>
          </w:tcPr>
          <w:p w14:paraId="6CFDE978" w14:textId="77777777" w:rsidR="00294950" w:rsidRPr="003101A0" w:rsidRDefault="00294950" w:rsidP="001A1B45">
            <w:pPr>
              <w:rPr>
                <w:rFonts w:ascii="Times New Roman" w:hAnsi="Times New Roman" w:cs="Times New Roman"/>
                <w:iCs/>
                <w:sz w:val="20"/>
                <w:szCs w:val="20"/>
                <w:lang w:val="en-US"/>
              </w:rPr>
            </w:pPr>
          </w:p>
        </w:tc>
      </w:tr>
      <w:tr w:rsidR="00294950" w:rsidRPr="003101A0" w14:paraId="1EFD6EC7" w14:textId="77777777" w:rsidTr="00702790">
        <w:tc>
          <w:tcPr>
            <w:tcW w:w="1719" w:type="pct"/>
          </w:tcPr>
          <w:p w14:paraId="69133D46"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Funded_debt</w:t>
            </w:r>
            <w:proofErr w:type="spellEnd"/>
            <w:r w:rsidRPr="003101A0">
              <w:rPr>
                <w:rFonts w:ascii="Times New Roman" w:hAnsi="Times New Roman" w:cs="Times New Roman"/>
                <w:i/>
                <w:sz w:val="20"/>
                <w:szCs w:val="20"/>
                <w:lang w:val="en-US"/>
              </w:rPr>
              <w:t xml:space="preserve"> (subsidiary)</w:t>
            </w:r>
          </w:p>
        </w:tc>
        <w:tc>
          <w:tcPr>
            <w:tcW w:w="2394" w:type="pct"/>
          </w:tcPr>
          <w:p w14:paraId="2222A177"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Restricts issuer’s subsidiaries from issuing additional funded debt. </w:t>
            </w:r>
          </w:p>
        </w:tc>
        <w:tc>
          <w:tcPr>
            <w:tcW w:w="443" w:type="pct"/>
          </w:tcPr>
          <w:p w14:paraId="25990F73" w14:textId="77777777" w:rsidR="00294950" w:rsidRPr="003101A0" w:rsidRDefault="00294950" w:rsidP="001A1B45">
            <w:pPr>
              <w:rPr>
                <w:rFonts w:ascii="Times New Roman" w:hAnsi="Times New Roman" w:cs="Times New Roman"/>
                <w:iCs/>
                <w:sz w:val="20"/>
                <w:szCs w:val="20"/>
                <w:lang w:val="en-US"/>
              </w:rPr>
            </w:pPr>
          </w:p>
        </w:tc>
        <w:tc>
          <w:tcPr>
            <w:tcW w:w="444" w:type="pct"/>
          </w:tcPr>
          <w:p w14:paraId="7BF2719C" w14:textId="77777777" w:rsidR="00294950" w:rsidRPr="003101A0" w:rsidRDefault="00294950" w:rsidP="001A1B45">
            <w:pPr>
              <w:rPr>
                <w:rFonts w:ascii="Times New Roman" w:hAnsi="Times New Roman" w:cs="Times New Roman"/>
                <w:iCs/>
                <w:sz w:val="20"/>
                <w:szCs w:val="20"/>
                <w:lang w:val="en-US"/>
              </w:rPr>
            </w:pPr>
          </w:p>
        </w:tc>
      </w:tr>
      <w:tr w:rsidR="00702790" w:rsidRPr="003101A0" w14:paraId="752E4D31" w14:textId="77777777" w:rsidTr="00702790">
        <w:tc>
          <w:tcPr>
            <w:tcW w:w="1719" w:type="pct"/>
          </w:tcPr>
          <w:p w14:paraId="121E23C2" w14:textId="5DA81B78" w:rsidR="00702790" w:rsidRPr="003101A0" w:rsidRDefault="00702790" w:rsidP="00702790">
            <w:pPr>
              <w:rPr>
                <w:rFonts w:ascii="Times New Roman" w:hAnsi="Times New Roman" w:cs="Times New Roman"/>
                <w:i/>
                <w:sz w:val="20"/>
                <w:szCs w:val="20"/>
                <w:lang w:val="en-US"/>
              </w:rPr>
            </w:pPr>
            <w:r w:rsidRPr="003101A0">
              <w:rPr>
                <w:rFonts w:ascii="Times New Roman" w:hAnsi="Times New Roman" w:cs="Times New Roman"/>
                <w:sz w:val="20"/>
                <w:szCs w:val="20"/>
                <w:u w:val="single"/>
                <w:lang w:val="en-US"/>
              </w:rPr>
              <w:t>F2 Subordinated debt restrictions</w:t>
            </w:r>
          </w:p>
        </w:tc>
        <w:tc>
          <w:tcPr>
            <w:tcW w:w="2394" w:type="pct"/>
          </w:tcPr>
          <w:p w14:paraId="294E832C" w14:textId="77777777" w:rsidR="00702790" w:rsidRPr="003101A0" w:rsidRDefault="00702790" w:rsidP="00702790">
            <w:pPr>
              <w:rPr>
                <w:rFonts w:ascii="Times New Roman" w:hAnsi="Times New Roman" w:cs="Times New Roman"/>
                <w:sz w:val="20"/>
                <w:szCs w:val="20"/>
                <w:lang w:val="en-US"/>
              </w:rPr>
            </w:pPr>
          </w:p>
        </w:tc>
        <w:tc>
          <w:tcPr>
            <w:tcW w:w="443" w:type="pct"/>
          </w:tcPr>
          <w:p w14:paraId="440B0394" w14:textId="1532BE70" w:rsidR="00702790" w:rsidRPr="003101A0" w:rsidRDefault="00702790" w:rsidP="00702790">
            <w:pPr>
              <w:rPr>
                <w:rFonts w:ascii="Times New Roman" w:hAnsi="Times New Roman" w:cs="Times New Roman"/>
                <w:iCs/>
                <w:sz w:val="20"/>
                <w:szCs w:val="20"/>
                <w:lang w:val="en-US"/>
              </w:rPr>
            </w:pPr>
            <w:r w:rsidRPr="003101A0">
              <w:rPr>
                <w:rFonts w:ascii="Times New Roman" w:hAnsi="Times New Roman" w:cs="Times New Roman"/>
                <w:sz w:val="20"/>
                <w:szCs w:val="20"/>
                <w:lang w:val="en-US"/>
              </w:rPr>
              <w:t>0.24%</w:t>
            </w:r>
          </w:p>
        </w:tc>
        <w:tc>
          <w:tcPr>
            <w:tcW w:w="444" w:type="pct"/>
          </w:tcPr>
          <w:p w14:paraId="75952160" w14:textId="56C07B1E" w:rsidR="00702790" w:rsidRPr="003101A0" w:rsidRDefault="00702790" w:rsidP="00702790">
            <w:pPr>
              <w:rPr>
                <w:rFonts w:ascii="Times New Roman" w:hAnsi="Times New Roman" w:cs="Times New Roman"/>
                <w:iCs/>
                <w:sz w:val="20"/>
                <w:szCs w:val="20"/>
                <w:lang w:val="en-US"/>
              </w:rPr>
            </w:pPr>
            <w:r w:rsidRPr="003101A0">
              <w:rPr>
                <w:rFonts w:ascii="Times New Roman" w:hAnsi="Times New Roman" w:cs="Times New Roman"/>
                <w:sz w:val="20"/>
                <w:szCs w:val="20"/>
                <w:lang w:val="en-US"/>
              </w:rPr>
              <w:t>3.10%***</w:t>
            </w:r>
          </w:p>
        </w:tc>
      </w:tr>
      <w:tr w:rsidR="00702790" w:rsidRPr="003101A0" w14:paraId="0EB4E2AC" w14:textId="77777777" w:rsidTr="00702790">
        <w:tc>
          <w:tcPr>
            <w:tcW w:w="1719" w:type="pct"/>
          </w:tcPr>
          <w:p w14:paraId="0C54519B" w14:textId="025E3388" w:rsidR="00702790" w:rsidRPr="00702790" w:rsidRDefault="00702790" w:rsidP="00702790">
            <w:pPr>
              <w:rPr>
                <w:rFonts w:ascii="Times New Roman" w:hAnsi="Times New Roman" w:cs="Times New Roman"/>
                <w:i/>
                <w:sz w:val="20"/>
                <w:szCs w:val="20"/>
                <w:u w:val="single"/>
                <w:lang w:val="en-US"/>
              </w:rPr>
            </w:pPr>
            <w:proofErr w:type="spellStart"/>
            <w:r w:rsidRPr="003101A0">
              <w:rPr>
                <w:rFonts w:ascii="Times New Roman" w:hAnsi="Times New Roman" w:cs="Times New Roman"/>
                <w:i/>
                <w:sz w:val="20"/>
                <w:szCs w:val="20"/>
                <w:lang w:val="en-US"/>
              </w:rPr>
              <w:t>Subordinated_debt_issuance</w:t>
            </w:r>
            <w:proofErr w:type="spellEnd"/>
          </w:p>
        </w:tc>
        <w:tc>
          <w:tcPr>
            <w:tcW w:w="2394" w:type="pct"/>
          </w:tcPr>
          <w:p w14:paraId="19CB6414" w14:textId="048EE022" w:rsidR="00702790" w:rsidRPr="003101A0" w:rsidRDefault="00702790" w:rsidP="00702790">
            <w:pPr>
              <w:rPr>
                <w:rFonts w:ascii="Times New Roman" w:hAnsi="Times New Roman" w:cs="Times New Roman"/>
                <w:sz w:val="20"/>
                <w:szCs w:val="20"/>
                <w:lang w:val="en-US"/>
              </w:rPr>
            </w:pPr>
            <w:r w:rsidRPr="003101A0">
              <w:rPr>
                <w:rFonts w:ascii="Times New Roman" w:hAnsi="Times New Roman" w:cs="Times New Roman"/>
                <w:sz w:val="20"/>
                <w:szCs w:val="20"/>
                <w:lang w:val="en-US"/>
              </w:rPr>
              <w:t>Restricts issuance of junior or subordinated debt.</w:t>
            </w:r>
          </w:p>
        </w:tc>
        <w:tc>
          <w:tcPr>
            <w:tcW w:w="443" w:type="pct"/>
          </w:tcPr>
          <w:p w14:paraId="2ACB12A8" w14:textId="77777777" w:rsidR="00702790" w:rsidRPr="003101A0" w:rsidRDefault="00702790" w:rsidP="00702790">
            <w:pPr>
              <w:rPr>
                <w:rFonts w:ascii="Times New Roman" w:hAnsi="Times New Roman" w:cs="Times New Roman"/>
                <w:iCs/>
                <w:sz w:val="20"/>
                <w:szCs w:val="20"/>
                <w:lang w:val="en-US"/>
              </w:rPr>
            </w:pPr>
          </w:p>
        </w:tc>
        <w:tc>
          <w:tcPr>
            <w:tcW w:w="444" w:type="pct"/>
          </w:tcPr>
          <w:p w14:paraId="4B978422" w14:textId="77777777" w:rsidR="00702790" w:rsidRPr="003101A0" w:rsidRDefault="00702790" w:rsidP="00702790">
            <w:pPr>
              <w:rPr>
                <w:rFonts w:ascii="Times New Roman" w:hAnsi="Times New Roman" w:cs="Times New Roman"/>
                <w:iCs/>
                <w:sz w:val="20"/>
                <w:szCs w:val="20"/>
                <w:lang w:val="en-US"/>
              </w:rPr>
            </w:pPr>
          </w:p>
        </w:tc>
      </w:tr>
    </w:tbl>
    <w:p w14:paraId="4A5E084F" w14:textId="77777777" w:rsidR="00294950" w:rsidRPr="003101A0" w:rsidRDefault="00294950" w:rsidP="00493F00">
      <w:pPr>
        <w:spacing w:after="0" w:line="240" w:lineRule="auto"/>
        <w:rPr>
          <w:rFonts w:ascii="Times New Roman" w:hAnsi="Times New Roman" w:cs="Times New Roman"/>
          <w:b/>
          <w:sz w:val="20"/>
          <w:szCs w:val="20"/>
          <w:lang w:val="en-US"/>
        </w:rPr>
      </w:pPr>
      <w:r w:rsidRPr="003101A0">
        <w:rPr>
          <w:rFonts w:ascii="Times New Roman" w:hAnsi="Times New Roman" w:cs="Times New Roman"/>
          <w:b/>
          <w:sz w:val="20"/>
          <w:szCs w:val="20"/>
          <w:lang w:val="en-US"/>
        </w:rPr>
        <w:lastRenderedPageBreak/>
        <w:t>Table 2: continued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6853"/>
        <w:gridCol w:w="1251"/>
        <w:gridCol w:w="1251"/>
      </w:tblGrid>
      <w:tr w:rsidR="00294950" w:rsidRPr="003101A0" w14:paraId="4530A849" w14:textId="77777777" w:rsidTr="00702790">
        <w:tc>
          <w:tcPr>
            <w:tcW w:w="1649" w:type="pct"/>
            <w:tcBorders>
              <w:top w:val="single" w:sz="4" w:space="0" w:color="auto"/>
              <w:bottom w:val="nil"/>
            </w:tcBorders>
            <w:vAlign w:val="center"/>
          </w:tcPr>
          <w:p w14:paraId="14718D74"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Classification</w:t>
            </w:r>
          </w:p>
        </w:tc>
        <w:tc>
          <w:tcPr>
            <w:tcW w:w="2455" w:type="pct"/>
            <w:tcBorders>
              <w:top w:val="single" w:sz="4" w:space="0" w:color="auto"/>
              <w:bottom w:val="nil"/>
            </w:tcBorders>
          </w:tcPr>
          <w:p w14:paraId="634C4AF1" w14:textId="567CAA0A" w:rsidR="00294950" w:rsidRPr="003101A0" w:rsidRDefault="00F17857" w:rsidP="001A1B45">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 covenant description</w:t>
            </w:r>
          </w:p>
        </w:tc>
        <w:tc>
          <w:tcPr>
            <w:tcW w:w="896" w:type="pct"/>
            <w:gridSpan w:val="2"/>
            <w:tcBorders>
              <w:top w:val="single" w:sz="4" w:space="0" w:color="auto"/>
              <w:bottom w:val="nil"/>
            </w:tcBorders>
          </w:tcPr>
          <w:p w14:paraId="00E3FB69"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Covenant intensity</w:t>
            </w:r>
          </w:p>
        </w:tc>
      </w:tr>
      <w:tr w:rsidR="00294950" w:rsidRPr="003101A0" w14:paraId="3157A20D" w14:textId="77777777" w:rsidTr="00702790">
        <w:tc>
          <w:tcPr>
            <w:tcW w:w="1649" w:type="pct"/>
            <w:tcBorders>
              <w:top w:val="nil"/>
              <w:bottom w:val="single" w:sz="4" w:space="0" w:color="auto"/>
            </w:tcBorders>
            <w:vAlign w:val="center"/>
          </w:tcPr>
          <w:p w14:paraId="76B4DAC0" w14:textId="77777777" w:rsidR="00294950" w:rsidRPr="003101A0" w:rsidRDefault="00294950" w:rsidP="00493F00">
            <w:pPr>
              <w:rPr>
                <w:rFonts w:ascii="Times New Roman" w:hAnsi="Times New Roman" w:cs="Times New Roman"/>
                <w:sz w:val="20"/>
                <w:szCs w:val="20"/>
                <w:u w:val="single"/>
                <w:lang w:val="en-US"/>
              </w:rPr>
            </w:pPr>
          </w:p>
        </w:tc>
        <w:tc>
          <w:tcPr>
            <w:tcW w:w="2455" w:type="pct"/>
            <w:tcBorders>
              <w:top w:val="nil"/>
              <w:bottom w:val="single" w:sz="4" w:space="0" w:color="auto"/>
            </w:tcBorders>
          </w:tcPr>
          <w:p w14:paraId="1338E214" w14:textId="77777777" w:rsidR="00294950" w:rsidRPr="003101A0" w:rsidRDefault="00294950" w:rsidP="001A1B45">
            <w:pPr>
              <w:rPr>
                <w:rFonts w:ascii="Times New Roman" w:hAnsi="Times New Roman" w:cs="Times New Roman"/>
                <w:sz w:val="20"/>
                <w:szCs w:val="20"/>
                <w:lang w:val="en-US"/>
              </w:rPr>
            </w:pPr>
          </w:p>
        </w:tc>
        <w:tc>
          <w:tcPr>
            <w:tcW w:w="448" w:type="pct"/>
            <w:tcBorders>
              <w:top w:val="nil"/>
              <w:bottom w:val="single" w:sz="4" w:space="0" w:color="auto"/>
            </w:tcBorders>
            <w:vAlign w:val="center"/>
          </w:tcPr>
          <w:p w14:paraId="0845C327" w14:textId="77777777" w:rsidR="00294950" w:rsidRPr="003101A0" w:rsidRDefault="00294950" w:rsidP="00702790">
            <w:pPr>
              <w:rPr>
                <w:rFonts w:ascii="Times New Roman" w:hAnsi="Times New Roman" w:cs="Times New Roman"/>
                <w:sz w:val="20"/>
                <w:szCs w:val="20"/>
                <w:lang w:val="en-US"/>
              </w:rPr>
            </w:pPr>
            <w:r w:rsidRPr="003101A0">
              <w:rPr>
                <w:rFonts w:ascii="Times New Roman" w:hAnsi="Times New Roman" w:cs="Times New Roman"/>
                <w:sz w:val="20"/>
                <w:szCs w:val="20"/>
                <w:lang w:val="en-US"/>
              </w:rPr>
              <w:t>Convertible</w:t>
            </w:r>
          </w:p>
        </w:tc>
        <w:tc>
          <w:tcPr>
            <w:tcW w:w="448" w:type="pct"/>
            <w:tcBorders>
              <w:top w:val="nil"/>
              <w:bottom w:val="single" w:sz="4" w:space="0" w:color="auto"/>
            </w:tcBorders>
            <w:vAlign w:val="center"/>
          </w:tcPr>
          <w:p w14:paraId="775C773F" w14:textId="77777777" w:rsidR="00294950" w:rsidRPr="003101A0" w:rsidRDefault="00294950" w:rsidP="00702790">
            <w:pPr>
              <w:rPr>
                <w:rFonts w:ascii="Times New Roman" w:hAnsi="Times New Roman" w:cs="Times New Roman"/>
                <w:sz w:val="20"/>
                <w:szCs w:val="20"/>
                <w:lang w:val="en-US"/>
              </w:rPr>
            </w:pPr>
            <w:r w:rsidRPr="003101A0">
              <w:rPr>
                <w:rFonts w:ascii="Times New Roman" w:hAnsi="Times New Roman" w:cs="Times New Roman"/>
                <w:sz w:val="20"/>
                <w:szCs w:val="20"/>
                <w:lang w:val="en-US"/>
              </w:rPr>
              <w:t>Straight</w:t>
            </w:r>
          </w:p>
        </w:tc>
      </w:tr>
      <w:tr w:rsidR="00294950" w:rsidRPr="003101A0" w14:paraId="421AC0C5" w14:textId="77777777" w:rsidTr="003101A0">
        <w:tc>
          <w:tcPr>
            <w:tcW w:w="1649" w:type="pct"/>
          </w:tcPr>
          <w:p w14:paraId="33CAE8CD" w14:textId="77777777" w:rsidR="00294950" w:rsidRPr="003101A0" w:rsidRDefault="00294950" w:rsidP="00493F00">
            <w:pPr>
              <w:rPr>
                <w:rFonts w:ascii="Times New Roman" w:hAnsi="Times New Roman" w:cs="Times New Roman"/>
                <w:sz w:val="20"/>
                <w:szCs w:val="20"/>
                <w:u w:val="single"/>
                <w:lang w:val="en-US"/>
              </w:rPr>
            </w:pPr>
            <w:r w:rsidRPr="003101A0">
              <w:rPr>
                <w:rFonts w:ascii="Times New Roman" w:hAnsi="Times New Roman" w:cs="Times New Roman"/>
                <w:sz w:val="20"/>
                <w:szCs w:val="20"/>
                <w:u w:val="single"/>
                <w:lang w:val="en-US"/>
              </w:rPr>
              <w:t>F3 Senior debt restrictions</w:t>
            </w:r>
          </w:p>
        </w:tc>
        <w:tc>
          <w:tcPr>
            <w:tcW w:w="2455" w:type="pct"/>
          </w:tcPr>
          <w:p w14:paraId="0A51D4FF" w14:textId="77777777" w:rsidR="00294950" w:rsidRPr="003101A0" w:rsidRDefault="00294950" w:rsidP="00493F00">
            <w:pPr>
              <w:rPr>
                <w:rFonts w:ascii="Times New Roman" w:hAnsi="Times New Roman" w:cs="Times New Roman"/>
                <w:sz w:val="20"/>
                <w:szCs w:val="20"/>
                <w:lang w:val="en-US"/>
              </w:rPr>
            </w:pPr>
          </w:p>
        </w:tc>
        <w:tc>
          <w:tcPr>
            <w:tcW w:w="448" w:type="pct"/>
          </w:tcPr>
          <w:p w14:paraId="0064E9EC"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0.10%</w:t>
            </w:r>
          </w:p>
        </w:tc>
        <w:tc>
          <w:tcPr>
            <w:tcW w:w="448" w:type="pct"/>
          </w:tcPr>
          <w:p w14:paraId="3A6EA773"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0.57%***</w:t>
            </w:r>
          </w:p>
        </w:tc>
      </w:tr>
      <w:tr w:rsidR="00294950" w:rsidRPr="003101A0" w14:paraId="48665C03" w14:textId="77777777" w:rsidTr="003101A0">
        <w:tc>
          <w:tcPr>
            <w:tcW w:w="1649" w:type="pct"/>
          </w:tcPr>
          <w:p w14:paraId="17620D33" w14:textId="77777777" w:rsidR="00294950" w:rsidRPr="003101A0" w:rsidRDefault="00294950" w:rsidP="00493F00">
            <w:pPr>
              <w:rPr>
                <w:rFonts w:ascii="Times New Roman" w:hAnsi="Times New Roman" w:cs="Times New Roman"/>
                <w:i/>
                <w:sz w:val="20"/>
                <w:szCs w:val="20"/>
                <w:u w:val="single"/>
                <w:lang w:val="en-US"/>
              </w:rPr>
            </w:pPr>
            <w:proofErr w:type="spellStart"/>
            <w:r w:rsidRPr="003101A0">
              <w:rPr>
                <w:rFonts w:ascii="Times New Roman" w:hAnsi="Times New Roman" w:cs="Times New Roman"/>
                <w:i/>
                <w:sz w:val="20"/>
                <w:szCs w:val="20"/>
                <w:lang w:val="en-US"/>
              </w:rPr>
              <w:t>Senior_debt_issuance</w:t>
            </w:r>
            <w:proofErr w:type="spellEnd"/>
          </w:p>
        </w:tc>
        <w:tc>
          <w:tcPr>
            <w:tcW w:w="2455" w:type="pct"/>
          </w:tcPr>
          <w:p w14:paraId="27A129E2"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Restricts issuer to the amount of senior debt it may issue in the future.</w:t>
            </w:r>
          </w:p>
        </w:tc>
        <w:tc>
          <w:tcPr>
            <w:tcW w:w="448" w:type="pct"/>
          </w:tcPr>
          <w:p w14:paraId="6CD07A19" w14:textId="77777777" w:rsidR="00294950" w:rsidRPr="003101A0" w:rsidRDefault="00294950" w:rsidP="001A1B45">
            <w:pPr>
              <w:rPr>
                <w:rFonts w:ascii="Times New Roman" w:hAnsi="Times New Roman" w:cs="Times New Roman"/>
                <w:sz w:val="20"/>
                <w:szCs w:val="20"/>
                <w:lang w:val="en-US"/>
              </w:rPr>
            </w:pPr>
          </w:p>
        </w:tc>
        <w:tc>
          <w:tcPr>
            <w:tcW w:w="448" w:type="pct"/>
          </w:tcPr>
          <w:p w14:paraId="14E8F75D" w14:textId="77777777" w:rsidR="00294950" w:rsidRPr="003101A0" w:rsidRDefault="00294950" w:rsidP="001A1B45">
            <w:pPr>
              <w:rPr>
                <w:rFonts w:ascii="Times New Roman" w:hAnsi="Times New Roman" w:cs="Times New Roman"/>
                <w:sz w:val="20"/>
                <w:szCs w:val="20"/>
                <w:lang w:val="en-US"/>
              </w:rPr>
            </w:pPr>
          </w:p>
        </w:tc>
      </w:tr>
      <w:tr w:rsidR="00294950" w:rsidRPr="003101A0" w14:paraId="29EE5595" w14:textId="77777777" w:rsidTr="003101A0">
        <w:tc>
          <w:tcPr>
            <w:tcW w:w="1649" w:type="pct"/>
          </w:tcPr>
          <w:p w14:paraId="19E4C5E5" w14:textId="77777777" w:rsidR="00294950" w:rsidRPr="003101A0" w:rsidRDefault="00294950" w:rsidP="00493F00">
            <w:pPr>
              <w:rPr>
                <w:rFonts w:ascii="Times New Roman" w:hAnsi="Times New Roman" w:cs="Times New Roman"/>
                <w:i/>
                <w:sz w:val="20"/>
                <w:szCs w:val="20"/>
                <w:lang w:val="en-US"/>
              </w:rPr>
            </w:pPr>
          </w:p>
        </w:tc>
        <w:tc>
          <w:tcPr>
            <w:tcW w:w="2455" w:type="pct"/>
          </w:tcPr>
          <w:p w14:paraId="78889DC2" w14:textId="77777777" w:rsidR="00294950" w:rsidRPr="003101A0" w:rsidRDefault="00294950" w:rsidP="00493F00">
            <w:pPr>
              <w:rPr>
                <w:rFonts w:ascii="Times New Roman" w:hAnsi="Times New Roman" w:cs="Times New Roman"/>
                <w:sz w:val="20"/>
                <w:szCs w:val="20"/>
                <w:lang w:val="en-US"/>
              </w:rPr>
            </w:pPr>
          </w:p>
        </w:tc>
        <w:tc>
          <w:tcPr>
            <w:tcW w:w="448" w:type="pct"/>
          </w:tcPr>
          <w:p w14:paraId="2C1904D4" w14:textId="77777777" w:rsidR="00294950" w:rsidRPr="003101A0" w:rsidRDefault="00294950" w:rsidP="001A1B45">
            <w:pPr>
              <w:rPr>
                <w:rFonts w:ascii="Times New Roman" w:hAnsi="Times New Roman" w:cs="Times New Roman"/>
                <w:sz w:val="20"/>
                <w:szCs w:val="20"/>
                <w:lang w:val="en-US"/>
              </w:rPr>
            </w:pPr>
          </w:p>
        </w:tc>
        <w:tc>
          <w:tcPr>
            <w:tcW w:w="448" w:type="pct"/>
          </w:tcPr>
          <w:p w14:paraId="56DAFB7A" w14:textId="77777777" w:rsidR="00294950" w:rsidRPr="003101A0" w:rsidRDefault="00294950" w:rsidP="001A1B45">
            <w:pPr>
              <w:rPr>
                <w:rFonts w:ascii="Times New Roman" w:hAnsi="Times New Roman" w:cs="Times New Roman"/>
                <w:sz w:val="20"/>
                <w:szCs w:val="20"/>
                <w:lang w:val="en-US"/>
              </w:rPr>
            </w:pPr>
          </w:p>
        </w:tc>
      </w:tr>
      <w:tr w:rsidR="00294950" w:rsidRPr="003101A0" w14:paraId="75097F4F" w14:textId="77777777" w:rsidTr="003101A0">
        <w:tc>
          <w:tcPr>
            <w:tcW w:w="1649" w:type="pct"/>
          </w:tcPr>
          <w:p w14:paraId="3755FBF0" w14:textId="77777777" w:rsidR="00294950" w:rsidRPr="003101A0" w:rsidRDefault="00294950" w:rsidP="00493F00">
            <w:pPr>
              <w:rPr>
                <w:rFonts w:ascii="Times New Roman" w:hAnsi="Times New Roman" w:cs="Times New Roman"/>
                <w:i/>
                <w:sz w:val="20"/>
                <w:szCs w:val="20"/>
                <w:u w:val="single"/>
                <w:lang w:val="en-US"/>
              </w:rPr>
            </w:pPr>
            <w:r w:rsidRPr="003101A0">
              <w:rPr>
                <w:rFonts w:ascii="Times New Roman" w:hAnsi="Times New Roman" w:cs="Times New Roman"/>
                <w:sz w:val="20"/>
                <w:szCs w:val="20"/>
                <w:u w:val="single"/>
                <w:lang w:val="en-US"/>
              </w:rPr>
              <w:t>F4 Secured debt restrictions</w:t>
            </w:r>
          </w:p>
        </w:tc>
        <w:tc>
          <w:tcPr>
            <w:tcW w:w="2455" w:type="pct"/>
          </w:tcPr>
          <w:p w14:paraId="78AEF29C" w14:textId="77777777" w:rsidR="00294950" w:rsidRPr="003101A0" w:rsidRDefault="00294950" w:rsidP="00493F00">
            <w:pPr>
              <w:rPr>
                <w:rFonts w:ascii="Times New Roman" w:hAnsi="Times New Roman" w:cs="Times New Roman"/>
                <w:sz w:val="20"/>
                <w:szCs w:val="20"/>
                <w:lang w:val="en-US"/>
              </w:rPr>
            </w:pPr>
          </w:p>
        </w:tc>
        <w:tc>
          <w:tcPr>
            <w:tcW w:w="448" w:type="pct"/>
          </w:tcPr>
          <w:p w14:paraId="6A9E555D"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3.20%</w:t>
            </w:r>
          </w:p>
        </w:tc>
        <w:tc>
          <w:tcPr>
            <w:tcW w:w="448" w:type="pct"/>
          </w:tcPr>
          <w:p w14:paraId="573DB304"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66.20%***</w:t>
            </w:r>
          </w:p>
        </w:tc>
      </w:tr>
      <w:tr w:rsidR="00294950" w:rsidRPr="003101A0" w14:paraId="4CFB135F" w14:textId="77777777" w:rsidTr="003101A0">
        <w:tc>
          <w:tcPr>
            <w:tcW w:w="1649" w:type="pct"/>
          </w:tcPr>
          <w:p w14:paraId="0865F842"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Negative_pledge_covenant</w:t>
            </w:r>
            <w:proofErr w:type="spellEnd"/>
          </w:p>
        </w:tc>
        <w:tc>
          <w:tcPr>
            <w:tcW w:w="2455" w:type="pct"/>
          </w:tcPr>
          <w:p w14:paraId="4AF1A782"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Issuer cannot issue secured debt unless it secures the current issue on a </w:t>
            </w:r>
            <w:proofErr w:type="spellStart"/>
            <w:r w:rsidRPr="003101A0">
              <w:rPr>
                <w:rFonts w:ascii="Times New Roman" w:hAnsi="Times New Roman" w:cs="Times New Roman"/>
                <w:sz w:val="20"/>
                <w:szCs w:val="20"/>
                <w:lang w:val="en-US"/>
              </w:rPr>
              <w:t>pari</w:t>
            </w:r>
            <w:proofErr w:type="spellEnd"/>
            <w:r w:rsidRPr="003101A0">
              <w:rPr>
                <w:rFonts w:ascii="Times New Roman" w:hAnsi="Times New Roman" w:cs="Times New Roman"/>
                <w:sz w:val="20"/>
                <w:szCs w:val="20"/>
                <w:lang w:val="en-US"/>
              </w:rPr>
              <w:t xml:space="preserve"> passu basis.</w:t>
            </w:r>
          </w:p>
        </w:tc>
        <w:tc>
          <w:tcPr>
            <w:tcW w:w="448" w:type="pct"/>
          </w:tcPr>
          <w:p w14:paraId="33B41486" w14:textId="77777777" w:rsidR="00294950" w:rsidRPr="003101A0" w:rsidRDefault="00294950" w:rsidP="001A1B45">
            <w:pPr>
              <w:rPr>
                <w:rFonts w:ascii="Times New Roman" w:hAnsi="Times New Roman" w:cs="Times New Roman"/>
                <w:sz w:val="20"/>
                <w:szCs w:val="20"/>
                <w:lang w:val="en-US"/>
              </w:rPr>
            </w:pPr>
          </w:p>
        </w:tc>
        <w:tc>
          <w:tcPr>
            <w:tcW w:w="448" w:type="pct"/>
          </w:tcPr>
          <w:p w14:paraId="1E841A8B" w14:textId="77777777" w:rsidR="00294950" w:rsidRPr="003101A0" w:rsidRDefault="00294950" w:rsidP="001A1B45">
            <w:pPr>
              <w:rPr>
                <w:rFonts w:ascii="Times New Roman" w:hAnsi="Times New Roman" w:cs="Times New Roman"/>
                <w:sz w:val="20"/>
                <w:szCs w:val="20"/>
                <w:lang w:val="en-US"/>
              </w:rPr>
            </w:pPr>
          </w:p>
        </w:tc>
      </w:tr>
      <w:tr w:rsidR="00294950" w:rsidRPr="003101A0" w14:paraId="70F3B5C0" w14:textId="77777777" w:rsidTr="003101A0">
        <w:tc>
          <w:tcPr>
            <w:tcW w:w="1649" w:type="pct"/>
          </w:tcPr>
          <w:p w14:paraId="57230B49"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sz w:val="20"/>
                <w:szCs w:val="20"/>
                <w:u w:val="single"/>
                <w:lang w:val="en-US"/>
              </w:rPr>
              <w:t>F5 Total leverage tests</w:t>
            </w:r>
          </w:p>
        </w:tc>
        <w:tc>
          <w:tcPr>
            <w:tcW w:w="2455" w:type="pct"/>
          </w:tcPr>
          <w:p w14:paraId="7674DF4F" w14:textId="77777777" w:rsidR="00294950" w:rsidRPr="003101A0" w:rsidRDefault="00294950" w:rsidP="00493F00">
            <w:pPr>
              <w:rPr>
                <w:rFonts w:ascii="Times New Roman" w:hAnsi="Times New Roman" w:cs="Times New Roman"/>
                <w:sz w:val="20"/>
                <w:szCs w:val="20"/>
                <w:lang w:val="en-US"/>
              </w:rPr>
            </w:pPr>
          </w:p>
        </w:tc>
        <w:tc>
          <w:tcPr>
            <w:tcW w:w="448" w:type="pct"/>
          </w:tcPr>
          <w:p w14:paraId="7CA7DA33"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0.57%</w:t>
            </w:r>
          </w:p>
        </w:tc>
        <w:tc>
          <w:tcPr>
            <w:tcW w:w="448" w:type="pct"/>
          </w:tcPr>
          <w:p w14:paraId="4E6AC426"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13.85%***</w:t>
            </w:r>
          </w:p>
        </w:tc>
      </w:tr>
      <w:tr w:rsidR="00294950" w:rsidRPr="003101A0" w14:paraId="48C5AD97" w14:textId="77777777" w:rsidTr="003101A0">
        <w:tc>
          <w:tcPr>
            <w:tcW w:w="1649" w:type="pct"/>
          </w:tcPr>
          <w:p w14:paraId="50907FAF"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Leverage_test</w:t>
            </w:r>
            <w:proofErr w:type="spellEnd"/>
            <w:r w:rsidRPr="003101A0">
              <w:rPr>
                <w:rFonts w:ascii="Times New Roman" w:hAnsi="Times New Roman" w:cs="Times New Roman"/>
                <w:i/>
                <w:sz w:val="20"/>
                <w:szCs w:val="20"/>
                <w:lang w:val="en-US"/>
              </w:rPr>
              <w:t xml:space="preserve"> (issuer)</w:t>
            </w:r>
          </w:p>
        </w:tc>
        <w:tc>
          <w:tcPr>
            <w:tcW w:w="2455" w:type="pct"/>
          </w:tcPr>
          <w:p w14:paraId="527F3D02"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Restricts issuer’s total indebtedness.</w:t>
            </w:r>
          </w:p>
        </w:tc>
        <w:tc>
          <w:tcPr>
            <w:tcW w:w="448" w:type="pct"/>
          </w:tcPr>
          <w:p w14:paraId="765446CC" w14:textId="77777777" w:rsidR="00294950" w:rsidRPr="003101A0" w:rsidRDefault="00294950" w:rsidP="001A1B45">
            <w:pPr>
              <w:rPr>
                <w:rFonts w:ascii="Times New Roman" w:hAnsi="Times New Roman" w:cs="Times New Roman"/>
                <w:sz w:val="20"/>
                <w:szCs w:val="20"/>
                <w:lang w:val="en-US"/>
              </w:rPr>
            </w:pPr>
          </w:p>
        </w:tc>
        <w:tc>
          <w:tcPr>
            <w:tcW w:w="448" w:type="pct"/>
          </w:tcPr>
          <w:p w14:paraId="1A2CEE7B" w14:textId="77777777" w:rsidR="00294950" w:rsidRPr="003101A0" w:rsidRDefault="00294950" w:rsidP="001A1B45">
            <w:pPr>
              <w:rPr>
                <w:rFonts w:ascii="Times New Roman" w:hAnsi="Times New Roman" w:cs="Times New Roman"/>
                <w:sz w:val="20"/>
                <w:szCs w:val="20"/>
                <w:lang w:val="en-US"/>
              </w:rPr>
            </w:pPr>
          </w:p>
        </w:tc>
      </w:tr>
      <w:tr w:rsidR="00294950" w:rsidRPr="003101A0" w14:paraId="0F24AE35" w14:textId="77777777" w:rsidTr="003101A0">
        <w:tc>
          <w:tcPr>
            <w:tcW w:w="1649" w:type="pct"/>
          </w:tcPr>
          <w:p w14:paraId="62A14994"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Leverage_test</w:t>
            </w:r>
            <w:proofErr w:type="spellEnd"/>
            <w:r w:rsidRPr="003101A0">
              <w:rPr>
                <w:rFonts w:ascii="Times New Roman" w:hAnsi="Times New Roman" w:cs="Times New Roman"/>
                <w:i/>
                <w:sz w:val="20"/>
                <w:szCs w:val="20"/>
                <w:lang w:val="en-US"/>
              </w:rPr>
              <w:t xml:space="preserve"> (subsidiary)</w:t>
            </w:r>
          </w:p>
        </w:tc>
        <w:tc>
          <w:tcPr>
            <w:tcW w:w="2455" w:type="pct"/>
          </w:tcPr>
          <w:p w14:paraId="609096CB"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Restricts issuer’s subsidiaries’ total indebtedness. </w:t>
            </w:r>
          </w:p>
        </w:tc>
        <w:tc>
          <w:tcPr>
            <w:tcW w:w="448" w:type="pct"/>
          </w:tcPr>
          <w:p w14:paraId="25F5D665" w14:textId="77777777" w:rsidR="00294950" w:rsidRPr="003101A0" w:rsidRDefault="00294950" w:rsidP="001A1B45">
            <w:pPr>
              <w:rPr>
                <w:rFonts w:ascii="Times New Roman" w:hAnsi="Times New Roman" w:cs="Times New Roman"/>
                <w:sz w:val="20"/>
                <w:szCs w:val="20"/>
                <w:lang w:val="en-US"/>
              </w:rPr>
            </w:pPr>
          </w:p>
        </w:tc>
        <w:tc>
          <w:tcPr>
            <w:tcW w:w="448" w:type="pct"/>
          </w:tcPr>
          <w:p w14:paraId="632EA2B4" w14:textId="77777777" w:rsidR="00294950" w:rsidRPr="003101A0" w:rsidRDefault="00294950" w:rsidP="001A1B45">
            <w:pPr>
              <w:rPr>
                <w:rFonts w:ascii="Times New Roman" w:hAnsi="Times New Roman" w:cs="Times New Roman"/>
                <w:sz w:val="20"/>
                <w:szCs w:val="20"/>
                <w:lang w:val="en-US"/>
              </w:rPr>
            </w:pPr>
          </w:p>
        </w:tc>
      </w:tr>
      <w:tr w:rsidR="00294950" w:rsidRPr="003101A0" w14:paraId="37D30E69" w14:textId="77777777" w:rsidTr="003101A0">
        <w:tc>
          <w:tcPr>
            <w:tcW w:w="1649" w:type="pct"/>
          </w:tcPr>
          <w:p w14:paraId="0D3BE06D"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Net_earnings_test_issuance</w:t>
            </w:r>
            <w:proofErr w:type="spellEnd"/>
          </w:p>
        </w:tc>
        <w:tc>
          <w:tcPr>
            <w:tcW w:w="2455" w:type="pct"/>
          </w:tcPr>
          <w:p w14:paraId="4D1D7FC7" w14:textId="30B51419"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Requires issuer to have achieved or maintained certain profitability levels to raise additional debt. This test is a variation of the (more common) fixed coverage tests.</w:t>
            </w:r>
          </w:p>
        </w:tc>
        <w:tc>
          <w:tcPr>
            <w:tcW w:w="448" w:type="pct"/>
          </w:tcPr>
          <w:p w14:paraId="7FBBC863" w14:textId="77777777" w:rsidR="00294950" w:rsidRPr="003101A0" w:rsidRDefault="00294950" w:rsidP="001A1B45">
            <w:pPr>
              <w:rPr>
                <w:rFonts w:ascii="Times New Roman" w:hAnsi="Times New Roman" w:cs="Times New Roman"/>
                <w:sz w:val="20"/>
                <w:szCs w:val="20"/>
                <w:lang w:val="en-US"/>
              </w:rPr>
            </w:pPr>
          </w:p>
        </w:tc>
        <w:tc>
          <w:tcPr>
            <w:tcW w:w="448" w:type="pct"/>
          </w:tcPr>
          <w:p w14:paraId="620368A9" w14:textId="77777777" w:rsidR="00294950" w:rsidRPr="003101A0" w:rsidRDefault="00294950" w:rsidP="001A1B45">
            <w:pPr>
              <w:rPr>
                <w:rFonts w:ascii="Times New Roman" w:hAnsi="Times New Roman" w:cs="Times New Roman"/>
                <w:sz w:val="20"/>
                <w:szCs w:val="20"/>
                <w:lang w:val="en-US"/>
              </w:rPr>
            </w:pPr>
          </w:p>
        </w:tc>
      </w:tr>
      <w:tr w:rsidR="00294950" w:rsidRPr="003101A0" w14:paraId="68C0DE1D" w14:textId="77777777" w:rsidTr="003101A0">
        <w:tc>
          <w:tcPr>
            <w:tcW w:w="1649" w:type="pct"/>
          </w:tcPr>
          <w:p w14:paraId="36DCA504"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Maintenance_net_worth</w:t>
            </w:r>
            <w:proofErr w:type="spellEnd"/>
          </w:p>
        </w:tc>
        <w:tc>
          <w:tcPr>
            <w:tcW w:w="2455" w:type="pct"/>
          </w:tcPr>
          <w:p w14:paraId="49B3603F"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Requires issuer to maintain a minimum specified net worth.</w:t>
            </w:r>
          </w:p>
        </w:tc>
        <w:tc>
          <w:tcPr>
            <w:tcW w:w="448" w:type="pct"/>
          </w:tcPr>
          <w:p w14:paraId="018029E8" w14:textId="77777777" w:rsidR="00294950" w:rsidRPr="003101A0" w:rsidRDefault="00294950" w:rsidP="001A1B45">
            <w:pPr>
              <w:rPr>
                <w:rFonts w:ascii="Times New Roman" w:hAnsi="Times New Roman" w:cs="Times New Roman"/>
                <w:sz w:val="20"/>
                <w:szCs w:val="20"/>
                <w:lang w:val="en-US"/>
              </w:rPr>
            </w:pPr>
          </w:p>
        </w:tc>
        <w:tc>
          <w:tcPr>
            <w:tcW w:w="448" w:type="pct"/>
          </w:tcPr>
          <w:p w14:paraId="2CD454AB" w14:textId="77777777" w:rsidR="00294950" w:rsidRPr="003101A0" w:rsidRDefault="00294950" w:rsidP="001A1B45">
            <w:pPr>
              <w:rPr>
                <w:rFonts w:ascii="Times New Roman" w:hAnsi="Times New Roman" w:cs="Times New Roman"/>
                <w:sz w:val="20"/>
                <w:szCs w:val="20"/>
                <w:lang w:val="en-US"/>
              </w:rPr>
            </w:pPr>
          </w:p>
        </w:tc>
      </w:tr>
      <w:tr w:rsidR="00294950" w:rsidRPr="003101A0" w14:paraId="2F0DF1C1" w14:textId="77777777" w:rsidTr="003101A0">
        <w:tc>
          <w:tcPr>
            <w:tcW w:w="1649" w:type="pct"/>
          </w:tcPr>
          <w:p w14:paraId="4A15FA81"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Fixed_charge_coverage</w:t>
            </w:r>
            <w:proofErr w:type="spellEnd"/>
            <w:r w:rsidRPr="003101A0">
              <w:rPr>
                <w:rFonts w:ascii="Times New Roman" w:hAnsi="Times New Roman" w:cs="Times New Roman"/>
                <w:i/>
                <w:sz w:val="20"/>
                <w:szCs w:val="20"/>
                <w:lang w:val="en-US"/>
              </w:rPr>
              <w:t xml:space="preserve"> (issuer)</w:t>
            </w:r>
          </w:p>
        </w:tc>
        <w:tc>
          <w:tcPr>
            <w:tcW w:w="2455" w:type="pct"/>
          </w:tcPr>
          <w:p w14:paraId="483801AD"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Requires issuer to have a ratio of earnings available for fixed charges, of at least a minimum specified level of earnings.</w:t>
            </w:r>
          </w:p>
        </w:tc>
        <w:tc>
          <w:tcPr>
            <w:tcW w:w="448" w:type="pct"/>
          </w:tcPr>
          <w:p w14:paraId="27A52962" w14:textId="77777777" w:rsidR="00294950" w:rsidRPr="003101A0" w:rsidRDefault="00294950" w:rsidP="001A1B45">
            <w:pPr>
              <w:rPr>
                <w:rFonts w:ascii="Times New Roman" w:hAnsi="Times New Roman" w:cs="Times New Roman"/>
                <w:sz w:val="20"/>
                <w:szCs w:val="20"/>
                <w:lang w:val="en-US"/>
              </w:rPr>
            </w:pPr>
          </w:p>
        </w:tc>
        <w:tc>
          <w:tcPr>
            <w:tcW w:w="448" w:type="pct"/>
          </w:tcPr>
          <w:p w14:paraId="06315EC9" w14:textId="77777777" w:rsidR="00294950" w:rsidRPr="003101A0" w:rsidRDefault="00294950" w:rsidP="001A1B45">
            <w:pPr>
              <w:rPr>
                <w:rFonts w:ascii="Times New Roman" w:hAnsi="Times New Roman" w:cs="Times New Roman"/>
                <w:sz w:val="20"/>
                <w:szCs w:val="20"/>
                <w:lang w:val="en-US"/>
              </w:rPr>
            </w:pPr>
          </w:p>
        </w:tc>
      </w:tr>
      <w:tr w:rsidR="00294950" w:rsidRPr="003101A0" w14:paraId="6126C0FF" w14:textId="77777777" w:rsidTr="003101A0">
        <w:tc>
          <w:tcPr>
            <w:tcW w:w="1649" w:type="pct"/>
          </w:tcPr>
          <w:p w14:paraId="45003D73"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Fixed_charge_coverage</w:t>
            </w:r>
            <w:proofErr w:type="spellEnd"/>
            <w:r w:rsidRPr="003101A0">
              <w:rPr>
                <w:rFonts w:ascii="Times New Roman" w:hAnsi="Times New Roman" w:cs="Times New Roman"/>
                <w:i/>
                <w:sz w:val="20"/>
                <w:szCs w:val="20"/>
                <w:lang w:val="en-US"/>
              </w:rPr>
              <w:t xml:space="preserve"> (subsidiary)</w:t>
            </w:r>
          </w:p>
        </w:tc>
        <w:tc>
          <w:tcPr>
            <w:tcW w:w="2455" w:type="pct"/>
          </w:tcPr>
          <w:p w14:paraId="3542316E" w14:textId="2DD0C924"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Requires issuer’s subsidiaries to maintain a minimum net income to fixed charges</w:t>
            </w:r>
            <w:r w:rsidR="00871C61" w:rsidRPr="003101A0">
              <w:rPr>
                <w:rFonts w:ascii="Times New Roman" w:hAnsi="Times New Roman" w:cs="Times New Roman"/>
                <w:sz w:val="20"/>
                <w:szCs w:val="20"/>
                <w:lang w:val="en-US"/>
              </w:rPr>
              <w:t xml:space="preserve"> ratio</w:t>
            </w:r>
            <w:r w:rsidRPr="003101A0">
              <w:rPr>
                <w:rFonts w:ascii="Times New Roman" w:hAnsi="Times New Roman" w:cs="Times New Roman"/>
                <w:sz w:val="20"/>
                <w:szCs w:val="20"/>
                <w:lang w:val="en-US"/>
              </w:rPr>
              <w:t>.</w:t>
            </w:r>
          </w:p>
        </w:tc>
        <w:tc>
          <w:tcPr>
            <w:tcW w:w="448" w:type="pct"/>
          </w:tcPr>
          <w:p w14:paraId="476F1BD5" w14:textId="77777777" w:rsidR="00294950" w:rsidRPr="003101A0" w:rsidRDefault="00294950" w:rsidP="001A1B45">
            <w:pPr>
              <w:rPr>
                <w:rFonts w:ascii="Times New Roman" w:hAnsi="Times New Roman" w:cs="Times New Roman"/>
                <w:sz w:val="20"/>
                <w:szCs w:val="20"/>
                <w:lang w:val="en-US"/>
              </w:rPr>
            </w:pPr>
          </w:p>
        </w:tc>
        <w:tc>
          <w:tcPr>
            <w:tcW w:w="448" w:type="pct"/>
          </w:tcPr>
          <w:p w14:paraId="0C8B902D" w14:textId="77777777" w:rsidR="00294950" w:rsidRPr="003101A0" w:rsidRDefault="00294950" w:rsidP="001A1B45">
            <w:pPr>
              <w:rPr>
                <w:rFonts w:ascii="Times New Roman" w:hAnsi="Times New Roman" w:cs="Times New Roman"/>
                <w:sz w:val="20"/>
                <w:szCs w:val="20"/>
                <w:lang w:val="en-US"/>
              </w:rPr>
            </w:pPr>
          </w:p>
        </w:tc>
      </w:tr>
      <w:tr w:rsidR="00294950" w:rsidRPr="003101A0" w14:paraId="7899795F" w14:textId="77777777" w:rsidTr="003101A0">
        <w:tc>
          <w:tcPr>
            <w:tcW w:w="1649" w:type="pct"/>
          </w:tcPr>
          <w:p w14:paraId="26C6EEC0" w14:textId="77777777" w:rsidR="00294950" w:rsidRPr="003101A0" w:rsidRDefault="00294950" w:rsidP="00493F00">
            <w:pPr>
              <w:rPr>
                <w:rFonts w:ascii="Times New Roman" w:hAnsi="Times New Roman" w:cs="Times New Roman"/>
                <w:sz w:val="20"/>
                <w:szCs w:val="20"/>
                <w:lang w:val="en-US"/>
              </w:rPr>
            </w:pPr>
          </w:p>
        </w:tc>
        <w:tc>
          <w:tcPr>
            <w:tcW w:w="2455" w:type="pct"/>
          </w:tcPr>
          <w:p w14:paraId="38C1F5BF" w14:textId="77777777" w:rsidR="00294950" w:rsidRPr="003101A0" w:rsidRDefault="00294950" w:rsidP="00493F00">
            <w:pPr>
              <w:rPr>
                <w:rFonts w:ascii="Times New Roman" w:hAnsi="Times New Roman" w:cs="Times New Roman"/>
                <w:sz w:val="20"/>
                <w:szCs w:val="20"/>
                <w:lang w:val="en-US"/>
              </w:rPr>
            </w:pPr>
          </w:p>
        </w:tc>
        <w:tc>
          <w:tcPr>
            <w:tcW w:w="448" w:type="pct"/>
          </w:tcPr>
          <w:p w14:paraId="03FD6A7F" w14:textId="77777777" w:rsidR="00294950" w:rsidRPr="003101A0" w:rsidRDefault="00294950" w:rsidP="001A1B45">
            <w:pPr>
              <w:rPr>
                <w:rFonts w:ascii="Times New Roman" w:hAnsi="Times New Roman" w:cs="Times New Roman"/>
                <w:sz w:val="20"/>
                <w:szCs w:val="20"/>
                <w:lang w:val="en-US"/>
              </w:rPr>
            </w:pPr>
          </w:p>
        </w:tc>
        <w:tc>
          <w:tcPr>
            <w:tcW w:w="448" w:type="pct"/>
          </w:tcPr>
          <w:p w14:paraId="2BEB2FE7" w14:textId="77777777" w:rsidR="00294950" w:rsidRPr="003101A0" w:rsidRDefault="00294950" w:rsidP="001A1B45">
            <w:pPr>
              <w:rPr>
                <w:rFonts w:ascii="Times New Roman" w:hAnsi="Times New Roman" w:cs="Times New Roman"/>
                <w:sz w:val="20"/>
                <w:szCs w:val="20"/>
                <w:lang w:val="en-US"/>
              </w:rPr>
            </w:pPr>
          </w:p>
        </w:tc>
      </w:tr>
      <w:tr w:rsidR="00294950" w:rsidRPr="003101A0" w14:paraId="412FE0B8" w14:textId="77777777" w:rsidTr="003101A0">
        <w:tc>
          <w:tcPr>
            <w:tcW w:w="1649" w:type="pct"/>
          </w:tcPr>
          <w:p w14:paraId="32D22427" w14:textId="77777777" w:rsidR="00294950" w:rsidRPr="003101A0" w:rsidRDefault="00294950" w:rsidP="00493F00">
            <w:pPr>
              <w:rPr>
                <w:rFonts w:ascii="Times New Roman" w:hAnsi="Times New Roman" w:cs="Times New Roman"/>
                <w:sz w:val="20"/>
                <w:szCs w:val="20"/>
                <w:u w:val="single"/>
                <w:lang w:val="en-US"/>
              </w:rPr>
            </w:pPr>
            <w:r w:rsidRPr="003101A0">
              <w:rPr>
                <w:rFonts w:ascii="Times New Roman" w:hAnsi="Times New Roman" w:cs="Times New Roman"/>
                <w:sz w:val="20"/>
                <w:szCs w:val="20"/>
                <w:u w:val="single"/>
                <w:lang w:val="en-US"/>
              </w:rPr>
              <w:t>F6 Sale-leaseback</w:t>
            </w:r>
          </w:p>
        </w:tc>
        <w:tc>
          <w:tcPr>
            <w:tcW w:w="2455" w:type="pct"/>
          </w:tcPr>
          <w:p w14:paraId="42C1C2B6" w14:textId="77777777" w:rsidR="00294950" w:rsidRPr="003101A0" w:rsidRDefault="00294950" w:rsidP="00493F00">
            <w:pPr>
              <w:rPr>
                <w:rFonts w:ascii="Times New Roman" w:hAnsi="Times New Roman" w:cs="Times New Roman"/>
                <w:sz w:val="20"/>
                <w:szCs w:val="20"/>
                <w:lang w:val="en-US"/>
              </w:rPr>
            </w:pPr>
          </w:p>
        </w:tc>
        <w:tc>
          <w:tcPr>
            <w:tcW w:w="448" w:type="pct"/>
          </w:tcPr>
          <w:p w14:paraId="1E579217"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1.72%</w:t>
            </w:r>
          </w:p>
        </w:tc>
        <w:tc>
          <w:tcPr>
            <w:tcW w:w="448" w:type="pct"/>
          </w:tcPr>
          <w:p w14:paraId="208C4B42"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58.27%***</w:t>
            </w:r>
          </w:p>
        </w:tc>
      </w:tr>
      <w:tr w:rsidR="00294950" w:rsidRPr="003101A0" w14:paraId="4DB47C94" w14:textId="77777777" w:rsidTr="003101A0">
        <w:tc>
          <w:tcPr>
            <w:tcW w:w="1649" w:type="pct"/>
          </w:tcPr>
          <w:p w14:paraId="64CCC018"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Sales_leaseback</w:t>
            </w:r>
            <w:proofErr w:type="spellEnd"/>
            <w:r w:rsidRPr="003101A0">
              <w:rPr>
                <w:rFonts w:ascii="Times New Roman" w:hAnsi="Times New Roman" w:cs="Times New Roman"/>
                <w:i/>
                <w:sz w:val="20"/>
                <w:szCs w:val="20"/>
                <w:lang w:val="en-US"/>
              </w:rPr>
              <w:t xml:space="preserve"> (issuer)</w:t>
            </w:r>
          </w:p>
        </w:tc>
        <w:tc>
          <w:tcPr>
            <w:tcW w:w="2455" w:type="pct"/>
          </w:tcPr>
          <w:p w14:paraId="1DF23CFA"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Restricts issuer to the type or amount of property used in a sale leaseback transaction and may restrict its use of the proceeds of the sale. </w:t>
            </w:r>
          </w:p>
        </w:tc>
        <w:tc>
          <w:tcPr>
            <w:tcW w:w="448" w:type="pct"/>
          </w:tcPr>
          <w:p w14:paraId="7119F7A4" w14:textId="77777777" w:rsidR="00294950" w:rsidRPr="003101A0" w:rsidRDefault="00294950" w:rsidP="001A1B45">
            <w:pPr>
              <w:rPr>
                <w:rFonts w:ascii="Times New Roman" w:hAnsi="Times New Roman" w:cs="Times New Roman"/>
                <w:sz w:val="20"/>
                <w:szCs w:val="20"/>
                <w:lang w:val="en-US"/>
              </w:rPr>
            </w:pPr>
          </w:p>
        </w:tc>
        <w:tc>
          <w:tcPr>
            <w:tcW w:w="448" w:type="pct"/>
          </w:tcPr>
          <w:p w14:paraId="0C3E50F5" w14:textId="77777777" w:rsidR="00294950" w:rsidRPr="003101A0" w:rsidRDefault="00294950" w:rsidP="001A1B45">
            <w:pPr>
              <w:rPr>
                <w:rFonts w:ascii="Times New Roman" w:hAnsi="Times New Roman" w:cs="Times New Roman"/>
                <w:sz w:val="20"/>
                <w:szCs w:val="20"/>
                <w:lang w:val="en-US"/>
              </w:rPr>
            </w:pPr>
          </w:p>
        </w:tc>
      </w:tr>
      <w:tr w:rsidR="00294950" w:rsidRPr="003101A0" w14:paraId="3D2CFE55" w14:textId="77777777" w:rsidTr="003101A0">
        <w:tc>
          <w:tcPr>
            <w:tcW w:w="1649" w:type="pct"/>
          </w:tcPr>
          <w:p w14:paraId="201C0EBD"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Sales_leaseback</w:t>
            </w:r>
            <w:proofErr w:type="spellEnd"/>
            <w:r w:rsidRPr="003101A0">
              <w:rPr>
                <w:rFonts w:ascii="Times New Roman" w:hAnsi="Times New Roman" w:cs="Times New Roman"/>
                <w:i/>
                <w:sz w:val="20"/>
                <w:szCs w:val="20"/>
                <w:lang w:val="en-US"/>
              </w:rPr>
              <w:t xml:space="preserve"> (subsidiary</w:t>
            </w:r>
          </w:p>
        </w:tc>
        <w:tc>
          <w:tcPr>
            <w:tcW w:w="2455" w:type="pct"/>
          </w:tcPr>
          <w:p w14:paraId="6F6E1B62"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Restricts issuer’s subsidiaries from selling then leasing back assets that provide security for the debtholder. </w:t>
            </w:r>
          </w:p>
        </w:tc>
        <w:tc>
          <w:tcPr>
            <w:tcW w:w="448" w:type="pct"/>
          </w:tcPr>
          <w:p w14:paraId="6E1D7DAD" w14:textId="77777777" w:rsidR="00294950" w:rsidRPr="003101A0" w:rsidRDefault="00294950" w:rsidP="001A1B45">
            <w:pPr>
              <w:rPr>
                <w:rFonts w:ascii="Times New Roman" w:hAnsi="Times New Roman" w:cs="Times New Roman"/>
                <w:sz w:val="20"/>
                <w:szCs w:val="20"/>
                <w:lang w:val="en-US"/>
              </w:rPr>
            </w:pPr>
          </w:p>
        </w:tc>
        <w:tc>
          <w:tcPr>
            <w:tcW w:w="448" w:type="pct"/>
          </w:tcPr>
          <w:p w14:paraId="7C6B5872" w14:textId="77777777" w:rsidR="00294950" w:rsidRPr="003101A0" w:rsidRDefault="00294950" w:rsidP="001A1B45">
            <w:pPr>
              <w:rPr>
                <w:rFonts w:ascii="Times New Roman" w:hAnsi="Times New Roman" w:cs="Times New Roman"/>
                <w:sz w:val="20"/>
                <w:szCs w:val="20"/>
                <w:lang w:val="en-US"/>
              </w:rPr>
            </w:pPr>
          </w:p>
        </w:tc>
      </w:tr>
      <w:tr w:rsidR="00294950" w:rsidRPr="003101A0" w14:paraId="4E0B5FB2" w14:textId="77777777" w:rsidTr="003101A0">
        <w:tc>
          <w:tcPr>
            <w:tcW w:w="1649" w:type="pct"/>
          </w:tcPr>
          <w:p w14:paraId="0225D288" w14:textId="77777777" w:rsidR="00294950" w:rsidRPr="003101A0" w:rsidRDefault="00294950" w:rsidP="00493F00">
            <w:pPr>
              <w:rPr>
                <w:rFonts w:ascii="Times New Roman" w:hAnsi="Times New Roman" w:cs="Times New Roman"/>
                <w:i/>
                <w:sz w:val="20"/>
                <w:szCs w:val="20"/>
                <w:lang w:val="en-US"/>
              </w:rPr>
            </w:pPr>
          </w:p>
        </w:tc>
        <w:tc>
          <w:tcPr>
            <w:tcW w:w="2455" w:type="pct"/>
          </w:tcPr>
          <w:p w14:paraId="000A621C" w14:textId="77777777" w:rsidR="00294950" w:rsidRPr="003101A0" w:rsidRDefault="00294950" w:rsidP="00493F00">
            <w:pPr>
              <w:rPr>
                <w:rFonts w:ascii="Times New Roman" w:hAnsi="Times New Roman" w:cs="Times New Roman"/>
                <w:sz w:val="20"/>
                <w:szCs w:val="20"/>
                <w:lang w:val="en-US"/>
              </w:rPr>
            </w:pPr>
          </w:p>
        </w:tc>
        <w:tc>
          <w:tcPr>
            <w:tcW w:w="448" w:type="pct"/>
          </w:tcPr>
          <w:p w14:paraId="29627037" w14:textId="77777777" w:rsidR="00294950" w:rsidRPr="003101A0" w:rsidRDefault="00294950" w:rsidP="001A1B45">
            <w:pPr>
              <w:rPr>
                <w:rFonts w:ascii="Times New Roman" w:hAnsi="Times New Roman" w:cs="Times New Roman"/>
                <w:sz w:val="20"/>
                <w:szCs w:val="20"/>
                <w:lang w:val="en-US"/>
              </w:rPr>
            </w:pPr>
          </w:p>
        </w:tc>
        <w:tc>
          <w:tcPr>
            <w:tcW w:w="448" w:type="pct"/>
          </w:tcPr>
          <w:p w14:paraId="4077C69E" w14:textId="77777777" w:rsidR="00294950" w:rsidRPr="003101A0" w:rsidRDefault="00294950" w:rsidP="001A1B45">
            <w:pPr>
              <w:rPr>
                <w:rFonts w:ascii="Times New Roman" w:hAnsi="Times New Roman" w:cs="Times New Roman"/>
                <w:sz w:val="20"/>
                <w:szCs w:val="20"/>
                <w:lang w:val="en-US"/>
              </w:rPr>
            </w:pPr>
          </w:p>
        </w:tc>
      </w:tr>
      <w:tr w:rsidR="00294950" w:rsidRPr="003101A0" w14:paraId="625DBB30" w14:textId="77777777" w:rsidTr="003101A0">
        <w:tc>
          <w:tcPr>
            <w:tcW w:w="1649" w:type="pct"/>
          </w:tcPr>
          <w:p w14:paraId="25630BFA" w14:textId="77777777" w:rsidR="00294950" w:rsidRPr="003101A0" w:rsidRDefault="00294950" w:rsidP="00493F00">
            <w:pPr>
              <w:rPr>
                <w:rFonts w:ascii="Times New Roman" w:hAnsi="Times New Roman" w:cs="Times New Roman"/>
                <w:sz w:val="20"/>
                <w:szCs w:val="20"/>
                <w:u w:val="single"/>
                <w:lang w:val="en-US"/>
              </w:rPr>
            </w:pPr>
            <w:r w:rsidRPr="003101A0">
              <w:rPr>
                <w:rFonts w:ascii="Times New Roman" w:hAnsi="Times New Roman" w:cs="Times New Roman"/>
                <w:sz w:val="20"/>
                <w:szCs w:val="20"/>
                <w:u w:val="single"/>
                <w:lang w:val="en-US"/>
              </w:rPr>
              <w:t>F7 Stock issue restrictions</w:t>
            </w:r>
          </w:p>
        </w:tc>
        <w:tc>
          <w:tcPr>
            <w:tcW w:w="2455" w:type="pct"/>
          </w:tcPr>
          <w:p w14:paraId="63CF4744" w14:textId="77777777" w:rsidR="00294950" w:rsidRPr="003101A0" w:rsidRDefault="00294950" w:rsidP="00493F00">
            <w:pPr>
              <w:rPr>
                <w:rFonts w:ascii="Times New Roman" w:hAnsi="Times New Roman" w:cs="Times New Roman"/>
                <w:sz w:val="20"/>
                <w:szCs w:val="20"/>
                <w:lang w:val="en-US"/>
              </w:rPr>
            </w:pPr>
          </w:p>
        </w:tc>
        <w:tc>
          <w:tcPr>
            <w:tcW w:w="448" w:type="pct"/>
          </w:tcPr>
          <w:p w14:paraId="21EDE68E"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0.76%</w:t>
            </w:r>
          </w:p>
        </w:tc>
        <w:tc>
          <w:tcPr>
            <w:tcW w:w="448" w:type="pct"/>
          </w:tcPr>
          <w:p w14:paraId="3EB289D0"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12.19%***</w:t>
            </w:r>
          </w:p>
        </w:tc>
      </w:tr>
      <w:tr w:rsidR="00294950" w:rsidRPr="003101A0" w14:paraId="1EBEEC5B" w14:textId="77777777" w:rsidTr="003101A0">
        <w:tc>
          <w:tcPr>
            <w:tcW w:w="1649" w:type="pct"/>
          </w:tcPr>
          <w:p w14:paraId="40E31D58"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Stock_issuance_issuer</w:t>
            </w:r>
            <w:proofErr w:type="spellEnd"/>
          </w:p>
        </w:tc>
        <w:tc>
          <w:tcPr>
            <w:tcW w:w="2455" w:type="pct"/>
          </w:tcPr>
          <w:p w14:paraId="63E98AF0"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Restricts issuer from issuing additional common stock.</w:t>
            </w:r>
          </w:p>
        </w:tc>
        <w:tc>
          <w:tcPr>
            <w:tcW w:w="448" w:type="pct"/>
          </w:tcPr>
          <w:p w14:paraId="11840E74" w14:textId="77777777" w:rsidR="00294950" w:rsidRPr="003101A0" w:rsidRDefault="00294950" w:rsidP="001A1B45">
            <w:pPr>
              <w:rPr>
                <w:rFonts w:ascii="Times New Roman" w:hAnsi="Times New Roman" w:cs="Times New Roman"/>
                <w:sz w:val="20"/>
                <w:szCs w:val="20"/>
                <w:lang w:val="en-US"/>
              </w:rPr>
            </w:pPr>
          </w:p>
        </w:tc>
        <w:tc>
          <w:tcPr>
            <w:tcW w:w="448" w:type="pct"/>
          </w:tcPr>
          <w:p w14:paraId="122B35E2" w14:textId="77777777" w:rsidR="00294950" w:rsidRPr="003101A0" w:rsidRDefault="00294950" w:rsidP="001A1B45">
            <w:pPr>
              <w:rPr>
                <w:rFonts w:ascii="Times New Roman" w:hAnsi="Times New Roman" w:cs="Times New Roman"/>
                <w:sz w:val="20"/>
                <w:szCs w:val="20"/>
                <w:lang w:val="en-US"/>
              </w:rPr>
            </w:pPr>
          </w:p>
        </w:tc>
      </w:tr>
      <w:tr w:rsidR="00294950" w:rsidRPr="003101A0" w14:paraId="74AB7FE8" w14:textId="77777777" w:rsidTr="003101A0">
        <w:tc>
          <w:tcPr>
            <w:tcW w:w="1649" w:type="pct"/>
          </w:tcPr>
          <w:p w14:paraId="1D7E1CF4"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lang w:val="en-US"/>
              </w:rPr>
              <w:t>Stock_issuance</w:t>
            </w:r>
            <w:proofErr w:type="spellEnd"/>
            <w:r w:rsidRPr="003101A0">
              <w:rPr>
                <w:rFonts w:ascii="Times New Roman" w:hAnsi="Times New Roman" w:cs="Times New Roman"/>
                <w:i/>
                <w:sz w:val="20"/>
                <w:lang w:val="en-US"/>
              </w:rPr>
              <w:t xml:space="preserve"> </w:t>
            </w:r>
          </w:p>
        </w:tc>
        <w:tc>
          <w:tcPr>
            <w:tcW w:w="2455" w:type="pct"/>
          </w:tcPr>
          <w:p w14:paraId="0A297178" w14:textId="3DC13D8C"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Restricts issuer from issuing additional common stock in restricted subsidiaries. Restricted subsidiaries are those which </w:t>
            </w:r>
            <w:r w:rsidR="00F82B1D" w:rsidRPr="003101A0">
              <w:rPr>
                <w:rFonts w:ascii="Times New Roman" w:hAnsi="Times New Roman" w:cs="Times New Roman"/>
                <w:sz w:val="20"/>
                <w:szCs w:val="20"/>
                <w:lang w:val="en-US"/>
              </w:rPr>
              <w:t>are</w:t>
            </w:r>
            <w:r w:rsidRPr="003101A0">
              <w:rPr>
                <w:rFonts w:ascii="Times New Roman" w:hAnsi="Times New Roman" w:cs="Times New Roman"/>
                <w:sz w:val="20"/>
                <w:szCs w:val="20"/>
                <w:lang w:val="en-US"/>
              </w:rPr>
              <w:t xml:space="preserve"> consolidated for financial test purposes.</w:t>
            </w:r>
          </w:p>
        </w:tc>
        <w:tc>
          <w:tcPr>
            <w:tcW w:w="448" w:type="pct"/>
          </w:tcPr>
          <w:p w14:paraId="72F2BE3D" w14:textId="77777777" w:rsidR="00294950" w:rsidRPr="003101A0" w:rsidRDefault="00294950" w:rsidP="001A1B45">
            <w:pPr>
              <w:rPr>
                <w:rFonts w:ascii="Times New Roman" w:hAnsi="Times New Roman" w:cs="Times New Roman"/>
                <w:sz w:val="20"/>
                <w:szCs w:val="20"/>
                <w:lang w:val="en-US"/>
              </w:rPr>
            </w:pPr>
          </w:p>
        </w:tc>
        <w:tc>
          <w:tcPr>
            <w:tcW w:w="448" w:type="pct"/>
          </w:tcPr>
          <w:p w14:paraId="65792C75" w14:textId="77777777" w:rsidR="00294950" w:rsidRPr="003101A0" w:rsidRDefault="00294950" w:rsidP="001A1B45">
            <w:pPr>
              <w:rPr>
                <w:rFonts w:ascii="Times New Roman" w:hAnsi="Times New Roman" w:cs="Times New Roman"/>
                <w:sz w:val="20"/>
                <w:szCs w:val="20"/>
                <w:lang w:val="en-US"/>
              </w:rPr>
            </w:pPr>
          </w:p>
        </w:tc>
      </w:tr>
      <w:tr w:rsidR="00294950" w:rsidRPr="003101A0" w14:paraId="58EF0CDB" w14:textId="77777777" w:rsidTr="003101A0">
        <w:tc>
          <w:tcPr>
            <w:tcW w:w="1649" w:type="pct"/>
          </w:tcPr>
          <w:p w14:paraId="7256EDB3" w14:textId="77777777" w:rsidR="00294950" w:rsidRPr="003101A0" w:rsidRDefault="00294950" w:rsidP="00493F00">
            <w:pPr>
              <w:rPr>
                <w:rFonts w:ascii="Times New Roman" w:hAnsi="Times New Roman" w:cs="Times New Roman"/>
                <w:i/>
                <w:sz w:val="20"/>
                <w:szCs w:val="20"/>
                <w:highlight w:val="yellow"/>
                <w:lang w:val="en-US"/>
              </w:rPr>
            </w:pPr>
            <w:proofErr w:type="spellStart"/>
            <w:r w:rsidRPr="003101A0">
              <w:rPr>
                <w:rFonts w:ascii="Times New Roman" w:hAnsi="Times New Roman" w:cs="Times New Roman"/>
                <w:i/>
                <w:sz w:val="20"/>
                <w:szCs w:val="20"/>
                <w:lang w:val="en-US"/>
              </w:rPr>
              <w:t>Preferred_stock_issuance</w:t>
            </w:r>
            <w:proofErr w:type="spellEnd"/>
          </w:p>
        </w:tc>
        <w:tc>
          <w:tcPr>
            <w:tcW w:w="2455" w:type="pct"/>
          </w:tcPr>
          <w:p w14:paraId="0BE9E723"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Restricts issuer’s subsidiaries’ ability to issue preferred stock.</w:t>
            </w:r>
          </w:p>
        </w:tc>
        <w:tc>
          <w:tcPr>
            <w:tcW w:w="448" w:type="pct"/>
          </w:tcPr>
          <w:p w14:paraId="2754EDFA" w14:textId="77777777" w:rsidR="00294950" w:rsidRPr="003101A0" w:rsidRDefault="00294950" w:rsidP="001A1B45">
            <w:pPr>
              <w:rPr>
                <w:rFonts w:ascii="Times New Roman" w:hAnsi="Times New Roman" w:cs="Times New Roman"/>
                <w:sz w:val="20"/>
                <w:szCs w:val="20"/>
                <w:lang w:val="en-US"/>
              </w:rPr>
            </w:pPr>
          </w:p>
        </w:tc>
        <w:tc>
          <w:tcPr>
            <w:tcW w:w="448" w:type="pct"/>
          </w:tcPr>
          <w:p w14:paraId="003A5582" w14:textId="77777777" w:rsidR="00294950" w:rsidRPr="003101A0" w:rsidRDefault="00294950" w:rsidP="001A1B45">
            <w:pPr>
              <w:rPr>
                <w:rFonts w:ascii="Times New Roman" w:hAnsi="Times New Roman" w:cs="Times New Roman"/>
                <w:sz w:val="20"/>
                <w:szCs w:val="20"/>
                <w:lang w:val="en-US"/>
              </w:rPr>
            </w:pPr>
          </w:p>
        </w:tc>
      </w:tr>
      <w:tr w:rsidR="00702790" w:rsidRPr="003101A0" w14:paraId="131665B1" w14:textId="77777777" w:rsidTr="00702790">
        <w:tc>
          <w:tcPr>
            <w:tcW w:w="1649" w:type="pct"/>
            <w:tcBorders>
              <w:bottom w:val="single" w:sz="4" w:space="0" w:color="auto"/>
            </w:tcBorders>
          </w:tcPr>
          <w:p w14:paraId="2482FDE1" w14:textId="77777777" w:rsidR="00702790" w:rsidRPr="003101A0" w:rsidRDefault="00702790" w:rsidP="00493F00">
            <w:pPr>
              <w:rPr>
                <w:rFonts w:ascii="Times New Roman" w:hAnsi="Times New Roman" w:cs="Times New Roman"/>
                <w:i/>
                <w:sz w:val="20"/>
                <w:szCs w:val="20"/>
                <w:lang w:val="en-US"/>
              </w:rPr>
            </w:pPr>
          </w:p>
        </w:tc>
        <w:tc>
          <w:tcPr>
            <w:tcW w:w="2455" w:type="pct"/>
            <w:tcBorders>
              <w:bottom w:val="single" w:sz="4" w:space="0" w:color="auto"/>
            </w:tcBorders>
          </w:tcPr>
          <w:p w14:paraId="505264D9" w14:textId="77777777" w:rsidR="00702790" w:rsidRPr="003101A0" w:rsidRDefault="00702790" w:rsidP="00493F00">
            <w:pPr>
              <w:rPr>
                <w:rFonts w:ascii="Times New Roman" w:hAnsi="Times New Roman" w:cs="Times New Roman"/>
                <w:sz w:val="20"/>
                <w:szCs w:val="20"/>
                <w:lang w:val="en-US"/>
              </w:rPr>
            </w:pPr>
          </w:p>
        </w:tc>
        <w:tc>
          <w:tcPr>
            <w:tcW w:w="448" w:type="pct"/>
            <w:tcBorders>
              <w:bottom w:val="single" w:sz="4" w:space="0" w:color="auto"/>
            </w:tcBorders>
          </w:tcPr>
          <w:p w14:paraId="03F3B6F2" w14:textId="77777777" w:rsidR="00702790" w:rsidRPr="003101A0" w:rsidRDefault="00702790" w:rsidP="001A1B45">
            <w:pPr>
              <w:rPr>
                <w:rFonts w:ascii="Times New Roman" w:hAnsi="Times New Roman" w:cs="Times New Roman"/>
                <w:sz w:val="20"/>
                <w:szCs w:val="20"/>
                <w:lang w:val="en-US"/>
              </w:rPr>
            </w:pPr>
          </w:p>
        </w:tc>
        <w:tc>
          <w:tcPr>
            <w:tcW w:w="448" w:type="pct"/>
            <w:tcBorders>
              <w:bottom w:val="single" w:sz="4" w:space="0" w:color="auto"/>
            </w:tcBorders>
          </w:tcPr>
          <w:p w14:paraId="37BE1AC9" w14:textId="77777777" w:rsidR="00702790" w:rsidRPr="003101A0" w:rsidRDefault="00702790" w:rsidP="001A1B45">
            <w:pPr>
              <w:rPr>
                <w:rFonts w:ascii="Times New Roman" w:hAnsi="Times New Roman" w:cs="Times New Roman"/>
                <w:sz w:val="20"/>
                <w:szCs w:val="20"/>
                <w:lang w:val="en-US"/>
              </w:rPr>
            </w:pPr>
          </w:p>
        </w:tc>
      </w:tr>
      <w:tr w:rsidR="00702790" w:rsidRPr="003101A0" w14:paraId="798E6A21" w14:textId="77777777" w:rsidTr="00702790">
        <w:tc>
          <w:tcPr>
            <w:tcW w:w="1649" w:type="pct"/>
            <w:tcBorders>
              <w:top w:val="single" w:sz="4" w:space="0" w:color="auto"/>
              <w:bottom w:val="nil"/>
            </w:tcBorders>
          </w:tcPr>
          <w:p w14:paraId="5D47F484" w14:textId="63B12535" w:rsidR="00702790" w:rsidRPr="003101A0" w:rsidRDefault="00702790" w:rsidP="00702790">
            <w:pPr>
              <w:rPr>
                <w:rFonts w:ascii="Times New Roman" w:hAnsi="Times New Roman" w:cs="Times New Roman"/>
                <w:i/>
                <w:sz w:val="20"/>
                <w:szCs w:val="20"/>
                <w:lang w:val="en-US"/>
              </w:rPr>
            </w:pPr>
            <w:r w:rsidRPr="003101A0">
              <w:rPr>
                <w:rFonts w:ascii="Times New Roman" w:hAnsi="Times New Roman" w:cs="Times New Roman"/>
                <w:b/>
                <w:sz w:val="20"/>
                <w:szCs w:val="20"/>
                <w:lang w:val="en-US"/>
              </w:rPr>
              <w:t>Event-driven restrictions = (E1+E2+E3)/3</w:t>
            </w:r>
          </w:p>
        </w:tc>
        <w:tc>
          <w:tcPr>
            <w:tcW w:w="2455" w:type="pct"/>
            <w:tcBorders>
              <w:top w:val="single" w:sz="4" w:space="0" w:color="auto"/>
              <w:bottom w:val="nil"/>
            </w:tcBorders>
          </w:tcPr>
          <w:p w14:paraId="2C7C5527" w14:textId="77777777" w:rsidR="00702790" w:rsidRPr="003101A0" w:rsidRDefault="00702790" w:rsidP="00702790">
            <w:pPr>
              <w:rPr>
                <w:rFonts w:ascii="Times New Roman" w:hAnsi="Times New Roman" w:cs="Times New Roman"/>
                <w:sz w:val="20"/>
                <w:szCs w:val="20"/>
                <w:lang w:val="en-US"/>
              </w:rPr>
            </w:pPr>
          </w:p>
        </w:tc>
        <w:tc>
          <w:tcPr>
            <w:tcW w:w="448" w:type="pct"/>
            <w:tcBorders>
              <w:top w:val="single" w:sz="4" w:space="0" w:color="auto"/>
              <w:bottom w:val="nil"/>
            </w:tcBorders>
          </w:tcPr>
          <w:p w14:paraId="38DB93E8" w14:textId="1DED544C" w:rsidR="00702790" w:rsidRPr="003101A0" w:rsidRDefault="00702790" w:rsidP="00702790">
            <w:pPr>
              <w:rPr>
                <w:rFonts w:ascii="Times New Roman" w:hAnsi="Times New Roman" w:cs="Times New Roman"/>
                <w:sz w:val="20"/>
                <w:szCs w:val="20"/>
                <w:lang w:val="en-US"/>
              </w:rPr>
            </w:pPr>
            <w:r w:rsidRPr="003101A0">
              <w:rPr>
                <w:rFonts w:ascii="Times New Roman" w:hAnsi="Times New Roman" w:cs="Times New Roman"/>
                <w:b/>
                <w:bCs/>
                <w:sz w:val="20"/>
                <w:szCs w:val="20"/>
                <w:lang w:val="en-US"/>
              </w:rPr>
              <w:t>42.12%</w:t>
            </w:r>
          </w:p>
        </w:tc>
        <w:tc>
          <w:tcPr>
            <w:tcW w:w="448" w:type="pct"/>
            <w:tcBorders>
              <w:top w:val="single" w:sz="4" w:space="0" w:color="auto"/>
              <w:bottom w:val="nil"/>
            </w:tcBorders>
          </w:tcPr>
          <w:p w14:paraId="5AC603D8" w14:textId="34C7AC9F" w:rsidR="00702790" w:rsidRPr="003101A0" w:rsidRDefault="00702790" w:rsidP="00702790">
            <w:pPr>
              <w:rPr>
                <w:rFonts w:ascii="Times New Roman" w:hAnsi="Times New Roman" w:cs="Times New Roman"/>
                <w:sz w:val="20"/>
                <w:szCs w:val="20"/>
                <w:lang w:val="en-US"/>
              </w:rPr>
            </w:pPr>
            <w:r w:rsidRPr="003101A0">
              <w:rPr>
                <w:rFonts w:ascii="Times New Roman" w:hAnsi="Times New Roman" w:cs="Times New Roman"/>
                <w:b/>
                <w:sz w:val="20"/>
                <w:szCs w:val="20"/>
                <w:lang w:val="en-US"/>
              </w:rPr>
              <w:t>37.76%***</w:t>
            </w:r>
          </w:p>
        </w:tc>
      </w:tr>
      <w:tr w:rsidR="00702790" w:rsidRPr="003101A0" w14:paraId="1E0CF5A6" w14:textId="77777777" w:rsidTr="00702790">
        <w:tc>
          <w:tcPr>
            <w:tcW w:w="1649" w:type="pct"/>
            <w:tcBorders>
              <w:top w:val="nil"/>
            </w:tcBorders>
          </w:tcPr>
          <w:p w14:paraId="678A6D12" w14:textId="6B360E66" w:rsidR="00702790" w:rsidRPr="003101A0" w:rsidRDefault="00702790" w:rsidP="00702790">
            <w:pPr>
              <w:rPr>
                <w:rFonts w:ascii="Times New Roman" w:hAnsi="Times New Roman" w:cs="Times New Roman"/>
                <w:i/>
                <w:sz w:val="20"/>
                <w:szCs w:val="20"/>
                <w:lang w:val="en-US"/>
              </w:rPr>
            </w:pPr>
            <w:r w:rsidRPr="003101A0">
              <w:rPr>
                <w:rFonts w:ascii="Times New Roman" w:hAnsi="Times New Roman" w:cs="Times New Roman"/>
                <w:sz w:val="20"/>
                <w:szCs w:val="20"/>
                <w:u w:val="single"/>
                <w:lang w:val="en-US"/>
              </w:rPr>
              <w:t>E1 Rating and net worth triggers</w:t>
            </w:r>
          </w:p>
        </w:tc>
        <w:tc>
          <w:tcPr>
            <w:tcW w:w="2455" w:type="pct"/>
            <w:tcBorders>
              <w:top w:val="nil"/>
            </w:tcBorders>
          </w:tcPr>
          <w:p w14:paraId="448739C2" w14:textId="77777777" w:rsidR="00702790" w:rsidRPr="003101A0" w:rsidRDefault="00702790" w:rsidP="00702790">
            <w:pPr>
              <w:rPr>
                <w:rFonts w:ascii="Times New Roman" w:hAnsi="Times New Roman" w:cs="Times New Roman"/>
                <w:sz w:val="20"/>
                <w:szCs w:val="20"/>
                <w:lang w:val="en-US"/>
              </w:rPr>
            </w:pPr>
          </w:p>
        </w:tc>
        <w:tc>
          <w:tcPr>
            <w:tcW w:w="448" w:type="pct"/>
            <w:tcBorders>
              <w:top w:val="nil"/>
            </w:tcBorders>
          </w:tcPr>
          <w:p w14:paraId="12BFA8BD" w14:textId="13D35991" w:rsidR="00702790" w:rsidRPr="003101A0" w:rsidRDefault="00702790" w:rsidP="00702790">
            <w:pPr>
              <w:rPr>
                <w:rFonts w:ascii="Times New Roman" w:hAnsi="Times New Roman" w:cs="Times New Roman"/>
                <w:sz w:val="20"/>
                <w:szCs w:val="20"/>
                <w:lang w:val="en-US"/>
              </w:rPr>
            </w:pPr>
            <w:r w:rsidRPr="003101A0">
              <w:rPr>
                <w:rFonts w:ascii="Times New Roman" w:hAnsi="Times New Roman" w:cs="Times New Roman"/>
                <w:sz w:val="20"/>
                <w:szCs w:val="20"/>
                <w:lang w:val="en-US"/>
              </w:rPr>
              <w:t>0.72%</w:t>
            </w:r>
          </w:p>
        </w:tc>
        <w:tc>
          <w:tcPr>
            <w:tcW w:w="448" w:type="pct"/>
            <w:tcBorders>
              <w:top w:val="nil"/>
            </w:tcBorders>
          </w:tcPr>
          <w:p w14:paraId="5DB9054B" w14:textId="2E1FC28E" w:rsidR="00702790" w:rsidRPr="003101A0" w:rsidRDefault="00702790" w:rsidP="00702790">
            <w:pPr>
              <w:rPr>
                <w:rFonts w:ascii="Times New Roman" w:hAnsi="Times New Roman" w:cs="Times New Roman"/>
                <w:sz w:val="20"/>
                <w:szCs w:val="20"/>
                <w:lang w:val="en-US"/>
              </w:rPr>
            </w:pPr>
            <w:r w:rsidRPr="003101A0">
              <w:rPr>
                <w:rFonts w:ascii="Times New Roman" w:hAnsi="Times New Roman" w:cs="Times New Roman"/>
                <w:bCs/>
                <w:sz w:val="20"/>
                <w:szCs w:val="20"/>
                <w:lang w:val="en-US"/>
              </w:rPr>
              <w:t>1.48%*</w:t>
            </w:r>
          </w:p>
        </w:tc>
      </w:tr>
      <w:tr w:rsidR="00702790" w:rsidRPr="003101A0" w14:paraId="0B8D1B39" w14:textId="77777777" w:rsidTr="00974A7D">
        <w:tc>
          <w:tcPr>
            <w:tcW w:w="1649" w:type="pct"/>
          </w:tcPr>
          <w:p w14:paraId="7238AE41" w14:textId="137781E1" w:rsidR="00702790" w:rsidRPr="003101A0" w:rsidRDefault="00702790" w:rsidP="0070279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Rating_decline_trigger_put</w:t>
            </w:r>
            <w:proofErr w:type="spellEnd"/>
          </w:p>
        </w:tc>
        <w:tc>
          <w:tcPr>
            <w:tcW w:w="2455" w:type="pct"/>
            <w:vAlign w:val="center"/>
          </w:tcPr>
          <w:p w14:paraId="0381E25C" w14:textId="6ABE425E" w:rsidR="00702790" w:rsidRPr="003101A0" w:rsidRDefault="00702790" w:rsidP="00702790">
            <w:pPr>
              <w:rPr>
                <w:rFonts w:ascii="Times New Roman" w:hAnsi="Times New Roman" w:cs="Times New Roman"/>
                <w:sz w:val="20"/>
                <w:szCs w:val="20"/>
                <w:lang w:val="en-US"/>
              </w:rPr>
            </w:pPr>
            <w:r w:rsidRPr="003101A0">
              <w:rPr>
                <w:rFonts w:ascii="Times New Roman" w:hAnsi="Times New Roman" w:cs="Times New Roman"/>
                <w:sz w:val="20"/>
                <w:szCs w:val="20"/>
                <w:lang w:val="en-US"/>
              </w:rPr>
              <w:t>A decline in the issuer's credit rating (or issue) triggers a bondholder put provision.</w:t>
            </w:r>
          </w:p>
        </w:tc>
        <w:tc>
          <w:tcPr>
            <w:tcW w:w="448" w:type="pct"/>
          </w:tcPr>
          <w:p w14:paraId="28D5A8E2" w14:textId="77777777" w:rsidR="00702790" w:rsidRPr="003101A0" w:rsidRDefault="00702790" w:rsidP="00702790">
            <w:pPr>
              <w:rPr>
                <w:rFonts w:ascii="Times New Roman" w:hAnsi="Times New Roman" w:cs="Times New Roman"/>
                <w:sz w:val="20"/>
                <w:szCs w:val="20"/>
                <w:lang w:val="en-US"/>
              </w:rPr>
            </w:pPr>
          </w:p>
        </w:tc>
        <w:tc>
          <w:tcPr>
            <w:tcW w:w="448" w:type="pct"/>
          </w:tcPr>
          <w:p w14:paraId="27BCA831" w14:textId="77777777" w:rsidR="00702790" w:rsidRPr="003101A0" w:rsidRDefault="00702790" w:rsidP="00702790">
            <w:pPr>
              <w:rPr>
                <w:rFonts w:ascii="Times New Roman" w:hAnsi="Times New Roman" w:cs="Times New Roman"/>
                <w:sz w:val="20"/>
                <w:szCs w:val="20"/>
                <w:lang w:val="en-US"/>
              </w:rPr>
            </w:pPr>
          </w:p>
        </w:tc>
      </w:tr>
      <w:tr w:rsidR="00702790" w:rsidRPr="003101A0" w14:paraId="44BE658F" w14:textId="77777777" w:rsidTr="00974A7D">
        <w:tc>
          <w:tcPr>
            <w:tcW w:w="1649" w:type="pct"/>
          </w:tcPr>
          <w:p w14:paraId="3F5A0EC2" w14:textId="200501BE" w:rsidR="00702790" w:rsidRPr="003101A0" w:rsidRDefault="00702790" w:rsidP="0070279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Declining_net_worth</w:t>
            </w:r>
            <w:proofErr w:type="spellEnd"/>
          </w:p>
        </w:tc>
        <w:tc>
          <w:tcPr>
            <w:tcW w:w="2455" w:type="pct"/>
            <w:vAlign w:val="center"/>
          </w:tcPr>
          <w:p w14:paraId="7CF4F307" w14:textId="7B209795" w:rsidR="00702790" w:rsidRPr="003101A0" w:rsidRDefault="00702790" w:rsidP="00702790">
            <w:pPr>
              <w:rPr>
                <w:rFonts w:ascii="Times New Roman" w:hAnsi="Times New Roman" w:cs="Times New Roman"/>
                <w:sz w:val="20"/>
                <w:szCs w:val="20"/>
                <w:lang w:val="en-US"/>
              </w:rPr>
            </w:pPr>
            <w:r w:rsidRPr="003101A0">
              <w:rPr>
                <w:rFonts w:ascii="Times New Roman" w:hAnsi="Times New Roman" w:cs="Times New Roman"/>
                <w:sz w:val="20"/>
                <w:szCs w:val="20"/>
                <w:lang w:val="en-US"/>
              </w:rPr>
              <w:t>Certain bond provisions are triggered if the issuer's net worth (as defined) falls below a minimum level.</w:t>
            </w:r>
          </w:p>
        </w:tc>
        <w:tc>
          <w:tcPr>
            <w:tcW w:w="448" w:type="pct"/>
          </w:tcPr>
          <w:p w14:paraId="5C1C497B" w14:textId="77777777" w:rsidR="00702790" w:rsidRPr="003101A0" w:rsidRDefault="00702790" w:rsidP="00702790">
            <w:pPr>
              <w:rPr>
                <w:rFonts w:ascii="Times New Roman" w:hAnsi="Times New Roman" w:cs="Times New Roman"/>
                <w:sz w:val="20"/>
                <w:szCs w:val="20"/>
                <w:lang w:val="en-US"/>
              </w:rPr>
            </w:pPr>
          </w:p>
        </w:tc>
        <w:tc>
          <w:tcPr>
            <w:tcW w:w="448" w:type="pct"/>
          </w:tcPr>
          <w:p w14:paraId="443BC9ED" w14:textId="77777777" w:rsidR="00702790" w:rsidRPr="003101A0" w:rsidRDefault="00702790" w:rsidP="00702790">
            <w:pPr>
              <w:rPr>
                <w:rFonts w:ascii="Times New Roman" w:hAnsi="Times New Roman" w:cs="Times New Roman"/>
                <w:sz w:val="20"/>
                <w:szCs w:val="20"/>
                <w:lang w:val="en-US"/>
              </w:rPr>
            </w:pPr>
          </w:p>
        </w:tc>
      </w:tr>
    </w:tbl>
    <w:p w14:paraId="65CD02FA" w14:textId="77777777" w:rsidR="00294950" w:rsidRPr="003101A0" w:rsidRDefault="00294950" w:rsidP="00493F00">
      <w:pPr>
        <w:spacing w:after="0" w:line="240" w:lineRule="auto"/>
        <w:rPr>
          <w:rFonts w:ascii="Times New Roman" w:hAnsi="Times New Roman" w:cs="Times New Roman"/>
          <w:i/>
          <w:sz w:val="20"/>
          <w:szCs w:val="20"/>
          <w:lang w:val="en-US"/>
        </w:rPr>
        <w:sectPr w:rsidR="00294950" w:rsidRPr="003101A0" w:rsidSect="003101A0">
          <w:pgSz w:w="16838" w:h="11906" w:orient="landscape" w:code="9"/>
          <w:pgMar w:top="1440" w:right="1440" w:bottom="1440" w:left="1440" w:header="709" w:footer="709" w:gutter="0"/>
          <w:cols w:space="708"/>
          <w:docGrid w:linePitch="360"/>
        </w:sectPr>
      </w:pPr>
    </w:p>
    <w:p w14:paraId="04F81BBF" w14:textId="77777777" w:rsidR="00294950" w:rsidRPr="003101A0" w:rsidRDefault="00294950" w:rsidP="00493F00">
      <w:pPr>
        <w:spacing w:after="0" w:line="240" w:lineRule="auto"/>
        <w:rPr>
          <w:rFonts w:ascii="Times New Roman" w:hAnsi="Times New Roman" w:cs="Times New Roman"/>
          <w:b/>
          <w:sz w:val="20"/>
          <w:szCs w:val="20"/>
          <w:lang w:val="en-US"/>
        </w:rPr>
      </w:pPr>
      <w:r w:rsidRPr="003101A0">
        <w:rPr>
          <w:rFonts w:ascii="Times New Roman" w:hAnsi="Times New Roman" w:cs="Times New Roman"/>
          <w:b/>
          <w:sz w:val="20"/>
          <w:szCs w:val="20"/>
          <w:lang w:val="en-US"/>
        </w:rPr>
        <w:lastRenderedPageBreak/>
        <w:t>Table 2: continued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6764"/>
        <w:gridCol w:w="1315"/>
        <w:gridCol w:w="1318"/>
      </w:tblGrid>
      <w:tr w:rsidR="00294950" w:rsidRPr="003101A0" w14:paraId="63FED1CD" w14:textId="77777777" w:rsidTr="003101A0">
        <w:tc>
          <w:tcPr>
            <w:tcW w:w="1634" w:type="pct"/>
            <w:tcBorders>
              <w:top w:val="single" w:sz="4" w:space="0" w:color="auto"/>
              <w:bottom w:val="nil"/>
            </w:tcBorders>
            <w:vAlign w:val="center"/>
          </w:tcPr>
          <w:p w14:paraId="3D4D2995"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Classification</w:t>
            </w:r>
          </w:p>
        </w:tc>
        <w:tc>
          <w:tcPr>
            <w:tcW w:w="2423" w:type="pct"/>
            <w:tcBorders>
              <w:top w:val="single" w:sz="4" w:space="0" w:color="auto"/>
              <w:bottom w:val="nil"/>
            </w:tcBorders>
          </w:tcPr>
          <w:p w14:paraId="5440FFA3" w14:textId="5B4FECED" w:rsidR="00294950" w:rsidRPr="003101A0" w:rsidRDefault="00F17857"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 covenant description</w:t>
            </w:r>
          </w:p>
        </w:tc>
        <w:tc>
          <w:tcPr>
            <w:tcW w:w="943" w:type="pct"/>
            <w:gridSpan w:val="2"/>
            <w:tcBorders>
              <w:top w:val="single" w:sz="4" w:space="0" w:color="auto"/>
              <w:bottom w:val="nil"/>
            </w:tcBorders>
          </w:tcPr>
          <w:p w14:paraId="5C9BE721"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Covenant intensity</w:t>
            </w:r>
          </w:p>
        </w:tc>
      </w:tr>
      <w:tr w:rsidR="00294950" w:rsidRPr="003101A0" w14:paraId="6654FD96" w14:textId="77777777" w:rsidTr="00702790">
        <w:trPr>
          <w:trHeight w:val="106"/>
        </w:trPr>
        <w:tc>
          <w:tcPr>
            <w:tcW w:w="1634" w:type="pct"/>
            <w:tcBorders>
              <w:top w:val="nil"/>
              <w:bottom w:val="single" w:sz="4" w:space="0" w:color="auto"/>
            </w:tcBorders>
            <w:vAlign w:val="center"/>
          </w:tcPr>
          <w:p w14:paraId="41C38621" w14:textId="77777777" w:rsidR="00294950" w:rsidRPr="003101A0" w:rsidRDefault="00294950" w:rsidP="00493F00">
            <w:pPr>
              <w:rPr>
                <w:rFonts w:ascii="Times New Roman" w:hAnsi="Times New Roman" w:cs="Times New Roman"/>
                <w:sz w:val="20"/>
                <w:szCs w:val="20"/>
                <w:u w:val="single"/>
                <w:lang w:val="en-US"/>
              </w:rPr>
            </w:pPr>
          </w:p>
        </w:tc>
        <w:tc>
          <w:tcPr>
            <w:tcW w:w="2423" w:type="pct"/>
            <w:tcBorders>
              <w:top w:val="nil"/>
              <w:bottom w:val="single" w:sz="4" w:space="0" w:color="auto"/>
            </w:tcBorders>
          </w:tcPr>
          <w:p w14:paraId="04FD85F8" w14:textId="77777777" w:rsidR="00294950" w:rsidRPr="003101A0" w:rsidRDefault="00294950" w:rsidP="00493F00">
            <w:pPr>
              <w:rPr>
                <w:rFonts w:ascii="Times New Roman" w:hAnsi="Times New Roman" w:cs="Times New Roman"/>
                <w:sz w:val="20"/>
                <w:szCs w:val="20"/>
                <w:lang w:val="en-US"/>
              </w:rPr>
            </w:pPr>
          </w:p>
        </w:tc>
        <w:tc>
          <w:tcPr>
            <w:tcW w:w="471" w:type="pct"/>
            <w:tcBorders>
              <w:top w:val="nil"/>
              <w:bottom w:val="single" w:sz="4" w:space="0" w:color="auto"/>
            </w:tcBorders>
          </w:tcPr>
          <w:p w14:paraId="0D0936BD"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Convertible</w:t>
            </w:r>
          </w:p>
        </w:tc>
        <w:tc>
          <w:tcPr>
            <w:tcW w:w="472" w:type="pct"/>
            <w:tcBorders>
              <w:top w:val="nil"/>
              <w:bottom w:val="single" w:sz="4" w:space="0" w:color="auto"/>
            </w:tcBorders>
          </w:tcPr>
          <w:p w14:paraId="3585BA9E"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Straight</w:t>
            </w:r>
          </w:p>
        </w:tc>
      </w:tr>
      <w:tr w:rsidR="00294950" w:rsidRPr="003101A0" w14:paraId="500150E4" w14:textId="77777777" w:rsidTr="00B00EB6">
        <w:tc>
          <w:tcPr>
            <w:tcW w:w="1634" w:type="pct"/>
          </w:tcPr>
          <w:p w14:paraId="275E265A"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sz w:val="20"/>
                <w:szCs w:val="20"/>
                <w:u w:val="single"/>
                <w:lang w:val="en-US"/>
              </w:rPr>
              <w:t>E2 Cross-default provisions</w:t>
            </w:r>
          </w:p>
        </w:tc>
        <w:tc>
          <w:tcPr>
            <w:tcW w:w="2423" w:type="pct"/>
          </w:tcPr>
          <w:p w14:paraId="61F20F54" w14:textId="77777777" w:rsidR="00294950" w:rsidRPr="003101A0" w:rsidRDefault="00294950" w:rsidP="00493F00">
            <w:pPr>
              <w:rPr>
                <w:rFonts w:ascii="Times New Roman" w:hAnsi="Times New Roman" w:cs="Times New Roman"/>
                <w:sz w:val="20"/>
                <w:szCs w:val="20"/>
                <w:lang w:val="en-US"/>
              </w:rPr>
            </w:pPr>
          </w:p>
        </w:tc>
        <w:tc>
          <w:tcPr>
            <w:tcW w:w="471" w:type="pct"/>
          </w:tcPr>
          <w:p w14:paraId="1E42F20B"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58.27%</w:t>
            </w:r>
          </w:p>
        </w:tc>
        <w:tc>
          <w:tcPr>
            <w:tcW w:w="472" w:type="pct"/>
          </w:tcPr>
          <w:p w14:paraId="094C5263"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64.87%***</w:t>
            </w:r>
          </w:p>
        </w:tc>
      </w:tr>
      <w:tr w:rsidR="00294950" w:rsidRPr="003101A0" w14:paraId="321C0D8B" w14:textId="77777777" w:rsidTr="00B00EB6">
        <w:tc>
          <w:tcPr>
            <w:tcW w:w="1634" w:type="pct"/>
          </w:tcPr>
          <w:p w14:paraId="5D892C1E"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Cross_default</w:t>
            </w:r>
            <w:proofErr w:type="spellEnd"/>
          </w:p>
        </w:tc>
        <w:tc>
          <w:tcPr>
            <w:tcW w:w="2423" w:type="pct"/>
            <w:vAlign w:val="center"/>
          </w:tcPr>
          <w:p w14:paraId="726E6D50"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Activates an event of default </w:t>
            </w:r>
            <w:r w:rsidRPr="003101A0">
              <w:rPr>
                <w:rFonts w:ascii="Times New Roman" w:hAnsi="Times New Roman" w:cs="Times New Roman"/>
                <w:sz w:val="20"/>
                <w:lang w:val="en-US"/>
              </w:rPr>
              <w:t>in their issue</w:t>
            </w:r>
            <w:r w:rsidRPr="003101A0">
              <w:rPr>
                <w:rFonts w:ascii="Times New Roman" w:hAnsi="Times New Roman" w:cs="Times New Roman"/>
                <w:sz w:val="20"/>
                <w:szCs w:val="20"/>
                <w:lang w:val="en-US"/>
              </w:rPr>
              <w:t xml:space="preserve"> if an event of default has occurred under any other debt of the company.</w:t>
            </w:r>
          </w:p>
        </w:tc>
        <w:tc>
          <w:tcPr>
            <w:tcW w:w="471" w:type="pct"/>
          </w:tcPr>
          <w:p w14:paraId="11647DEB" w14:textId="77777777" w:rsidR="00294950" w:rsidRPr="003101A0" w:rsidRDefault="00294950" w:rsidP="001A1B45">
            <w:pPr>
              <w:rPr>
                <w:rFonts w:ascii="Times New Roman" w:hAnsi="Times New Roman" w:cs="Times New Roman"/>
                <w:sz w:val="20"/>
                <w:szCs w:val="20"/>
                <w:lang w:val="en-US"/>
              </w:rPr>
            </w:pPr>
          </w:p>
        </w:tc>
        <w:tc>
          <w:tcPr>
            <w:tcW w:w="472" w:type="pct"/>
          </w:tcPr>
          <w:p w14:paraId="573F4A8E" w14:textId="77777777" w:rsidR="00294950" w:rsidRPr="003101A0" w:rsidRDefault="00294950" w:rsidP="001A1B45">
            <w:pPr>
              <w:rPr>
                <w:rFonts w:ascii="Times New Roman" w:hAnsi="Times New Roman" w:cs="Times New Roman"/>
                <w:b/>
                <w:sz w:val="20"/>
                <w:szCs w:val="20"/>
                <w:lang w:val="en-US"/>
              </w:rPr>
            </w:pPr>
          </w:p>
        </w:tc>
      </w:tr>
      <w:tr w:rsidR="00294950" w:rsidRPr="003101A0" w14:paraId="02D2754A" w14:textId="77777777" w:rsidTr="00B00EB6">
        <w:tc>
          <w:tcPr>
            <w:tcW w:w="1634" w:type="pct"/>
          </w:tcPr>
          <w:p w14:paraId="79404CCF"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Cross_acceleration</w:t>
            </w:r>
            <w:proofErr w:type="spellEnd"/>
          </w:p>
        </w:tc>
        <w:tc>
          <w:tcPr>
            <w:tcW w:w="2423" w:type="pct"/>
            <w:vAlign w:val="center"/>
          </w:tcPr>
          <w:p w14:paraId="32CF8DB2" w14:textId="2896C2A5"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Allows the bondholder to accelerate their debt if any other debt of the organization has been accelerated due to an event of default.</w:t>
            </w:r>
          </w:p>
        </w:tc>
        <w:tc>
          <w:tcPr>
            <w:tcW w:w="471" w:type="pct"/>
          </w:tcPr>
          <w:p w14:paraId="5F7BC01A" w14:textId="77777777" w:rsidR="00294950" w:rsidRPr="003101A0" w:rsidRDefault="00294950" w:rsidP="001A1B45">
            <w:pPr>
              <w:rPr>
                <w:rFonts w:ascii="Times New Roman" w:hAnsi="Times New Roman" w:cs="Times New Roman"/>
                <w:sz w:val="20"/>
                <w:szCs w:val="20"/>
                <w:lang w:val="en-US"/>
              </w:rPr>
            </w:pPr>
          </w:p>
        </w:tc>
        <w:tc>
          <w:tcPr>
            <w:tcW w:w="472" w:type="pct"/>
          </w:tcPr>
          <w:p w14:paraId="29858881" w14:textId="77777777" w:rsidR="00294950" w:rsidRPr="003101A0" w:rsidRDefault="00294950" w:rsidP="001A1B45">
            <w:pPr>
              <w:rPr>
                <w:rFonts w:ascii="Times New Roman" w:hAnsi="Times New Roman" w:cs="Times New Roman"/>
                <w:b/>
                <w:sz w:val="20"/>
                <w:szCs w:val="20"/>
                <w:lang w:val="en-US"/>
              </w:rPr>
            </w:pPr>
          </w:p>
        </w:tc>
      </w:tr>
      <w:tr w:rsidR="00294950" w:rsidRPr="003101A0" w14:paraId="5F9E15CE" w14:textId="77777777" w:rsidTr="00B00EB6">
        <w:tc>
          <w:tcPr>
            <w:tcW w:w="1634" w:type="pct"/>
            <w:tcBorders>
              <w:bottom w:val="nil"/>
            </w:tcBorders>
          </w:tcPr>
          <w:p w14:paraId="5EEA42BE" w14:textId="77777777" w:rsidR="00294950" w:rsidRPr="003101A0" w:rsidRDefault="00294950" w:rsidP="00493F00">
            <w:pPr>
              <w:rPr>
                <w:rFonts w:ascii="Times New Roman" w:hAnsi="Times New Roman" w:cs="Times New Roman"/>
                <w:i/>
                <w:sz w:val="20"/>
                <w:szCs w:val="20"/>
                <w:lang w:val="en-US"/>
              </w:rPr>
            </w:pPr>
          </w:p>
        </w:tc>
        <w:tc>
          <w:tcPr>
            <w:tcW w:w="2423" w:type="pct"/>
            <w:tcBorders>
              <w:bottom w:val="nil"/>
            </w:tcBorders>
            <w:vAlign w:val="center"/>
          </w:tcPr>
          <w:p w14:paraId="5C0F48F8" w14:textId="77777777" w:rsidR="00294950" w:rsidRPr="003101A0" w:rsidRDefault="00294950" w:rsidP="00493F00">
            <w:pPr>
              <w:rPr>
                <w:rFonts w:ascii="Times New Roman" w:hAnsi="Times New Roman" w:cs="Times New Roman"/>
                <w:sz w:val="20"/>
                <w:szCs w:val="20"/>
                <w:lang w:val="en-US"/>
              </w:rPr>
            </w:pPr>
          </w:p>
        </w:tc>
        <w:tc>
          <w:tcPr>
            <w:tcW w:w="471" w:type="pct"/>
            <w:tcBorders>
              <w:bottom w:val="nil"/>
            </w:tcBorders>
          </w:tcPr>
          <w:p w14:paraId="516F29AF" w14:textId="77777777" w:rsidR="00294950" w:rsidRPr="003101A0" w:rsidRDefault="00294950" w:rsidP="001A1B45">
            <w:pPr>
              <w:rPr>
                <w:rFonts w:ascii="Times New Roman" w:hAnsi="Times New Roman" w:cs="Times New Roman"/>
                <w:sz w:val="20"/>
                <w:szCs w:val="20"/>
                <w:lang w:val="en-US"/>
              </w:rPr>
            </w:pPr>
          </w:p>
        </w:tc>
        <w:tc>
          <w:tcPr>
            <w:tcW w:w="472" w:type="pct"/>
            <w:tcBorders>
              <w:bottom w:val="nil"/>
            </w:tcBorders>
          </w:tcPr>
          <w:p w14:paraId="309F0561" w14:textId="77777777" w:rsidR="00294950" w:rsidRPr="003101A0" w:rsidRDefault="00294950" w:rsidP="001A1B45">
            <w:pPr>
              <w:rPr>
                <w:rFonts w:ascii="Times New Roman" w:hAnsi="Times New Roman" w:cs="Times New Roman"/>
                <w:b/>
                <w:sz w:val="20"/>
                <w:szCs w:val="20"/>
                <w:lang w:val="en-US"/>
              </w:rPr>
            </w:pPr>
          </w:p>
        </w:tc>
      </w:tr>
      <w:tr w:rsidR="00294950" w:rsidRPr="003101A0" w14:paraId="49474565" w14:textId="77777777" w:rsidTr="00B00EB6">
        <w:tc>
          <w:tcPr>
            <w:tcW w:w="1634" w:type="pct"/>
            <w:tcBorders>
              <w:top w:val="nil"/>
              <w:bottom w:val="nil"/>
            </w:tcBorders>
          </w:tcPr>
          <w:p w14:paraId="4EB7692F"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sz w:val="20"/>
                <w:szCs w:val="20"/>
                <w:u w:val="single"/>
                <w:lang w:val="en-US"/>
              </w:rPr>
              <w:t>E3 Poison put</w:t>
            </w:r>
          </w:p>
        </w:tc>
        <w:tc>
          <w:tcPr>
            <w:tcW w:w="2423" w:type="pct"/>
            <w:tcBorders>
              <w:top w:val="nil"/>
              <w:bottom w:val="nil"/>
            </w:tcBorders>
            <w:vAlign w:val="center"/>
          </w:tcPr>
          <w:p w14:paraId="6D4B18BF" w14:textId="77777777" w:rsidR="00294950" w:rsidRPr="003101A0" w:rsidRDefault="00294950" w:rsidP="00493F00">
            <w:pPr>
              <w:rPr>
                <w:rFonts w:ascii="Times New Roman" w:hAnsi="Times New Roman" w:cs="Times New Roman"/>
                <w:sz w:val="20"/>
                <w:szCs w:val="20"/>
                <w:lang w:val="en-US"/>
              </w:rPr>
            </w:pPr>
          </w:p>
        </w:tc>
        <w:tc>
          <w:tcPr>
            <w:tcW w:w="471" w:type="pct"/>
            <w:tcBorders>
              <w:top w:val="nil"/>
              <w:bottom w:val="nil"/>
            </w:tcBorders>
          </w:tcPr>
          <w:p w14:paraId="75014E12"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67.38%</w:t>
            </w:r>
          </w:p>
        </w:tc>
        <w:tc>
          <w:tcPr>
            <w:tcW w:w="472" w:type="pct"/>
            <w:tcBorders>
              <w:top w:val="nil"/>
              <w:bottom w:val="nil"/>
            </w:tcBorders>
          </w:tcPr>
          <w:p w14:paraId="4E1CFDF3"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46.94%***</w:t>
            </w:r>
          </w:p>
        </w:tc>
      </w:tr>
      <w:tr w:rsidR="00294950" w:rsidRPr="003101A0" w14:paraId="63336F77" w14:textId="77777777" w:rsidTr="00B00EB6">
        <w:tc>
          <w:tcPr>
            <w:tcW w:w="1634" w:type="pct"/>
            <w:tcBorders>
              <w:top w:val="nil"/>
              <w:bottom w:val="nil"/>
            </w:tcBorders>
          </w:tcPr>
          <w:p w14:paraId="4E3DFFAB"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Change_control_put_provisions</w:t>
            </w:r>
            <w:proofErr w:type="spellEnd"/>
          </w:p>
        </w:tc>
        <w:tc>
          <w:tcPr>
            <w:tcW w:w="2423" w:type="pct"/>
            <w:tcBorders>
              <w:top w:val="nil"/>
              <w:bottom w:val="nil"/>
            </w:tcBorders>
            <w:vAlign w:val="center"/>
          </w:tcPr>
          <w:p w14:paraId="3B862401" w14:textId="3AB5EC5D" w:rsidR="00294950" w:rsidRPr="003101A0" w:rsidRDefault="00871C61"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With a change of control in the issuer, bondholders can sell</w:t>
            </w:r>
            <w:r w:rsidR="00294950" w:rsidRPr="003101A0">
              <w:rPr>
                <w:rFonts w:ascii="Times New Roman" w:hAnsi="Times New Roman" w:cs="Times New Roman"/>
                <w:sz w:val="20"/>
                <w:szCs w:val="20"/>
                <w:lang w:val="en-US"/>
              </w:rPr>
              <w:t xml:space="preserve"> the issue back to the issuer. </w:t>
            </w:r>
          </w:p>
        </w:tc>
        <w:tc>
          <w:tcPr>
            <w:tcW w:w="471" w:type="pct"/>
            <w:tcBorders>
              <w:top w:val="nil"/>
              <w:bottom w:val="nil"/>
            </w:tcBorders>
          </w:tcPr>
          <w:p w14:paraId="24200EE2" w14:textId="77777777" w:rsidR="00294950" w:rsidRPr="003101A0" w:rsidRDefault="00294950" w:rsidP="001A1B45">
            <w:pPr>
              <w:rPr>
                <w:rFonts w:ascii="Times New Roman" w:hAnsi="Times New Roman" w:cs="Times New Roman"/>
                <w:sz w:val="20"/>
                <w:szCs w:val="20"/>
                <w:lang w:val="en-US"/>
              </w:rPr>
            </w:pPr>
          </w:p>
        </w:tc>
        <w:tc>
          <w:tcPr>
            <w:tcW w:w="472" w:type="pct"/>
            <w:tcBorders>
              <w:top w:val="nil"/>
              <w:bottom w:val="nil"/>
            </w:tcBorders>
          </w:tcPr>
          <w:p w14:paraId="7CE7C9BE" w14:textId="77777777" w:rsidR="00294950" w:rsidRPr="003101A0" w:rsidRDefault="00294950" w:rsidP="001A1B45">
            <w:pPr>
              <w:rPr>
                <w:rFonts w:ascii="Times New Roman" w:hAnsi="Times New Roman" w:cs="Times New Roman"/>
                <w:b/>
                <w:sz w:val="20"/>
                <w:szCs w:val="20"/>
                <w:lang w:val="en-US"/>
              </w:rPr>
            </w:pPr>
          </w:p>
        </w:tc>
      </w:tr>
      <w:tr w:rsidR="00294950" w:rsidRPr="003101A0" w14:paraId="60B69ADE" w14:textId="77777777" w:rsidTr="00B00EB6">
        <w:tc>
          <w:tcPr>
            <w:tcW w:w="1634" w:type="pct"/>
            <w:tcBorders>
              <w:bottom w:val="nil"/>
            </w:tcBorders>
          </w:tcPr>
          <w:p w14:paraId="4748025E" w14:textId="77777777" w:rsidR="00294950" w:rsidRPr="003101A0" w:rsidRDefault="00294950" w:rsidP="00493F00">
            <w:pPr>
              <w:rPr>
                <w:rFonts w:ascii="Times New Roman" w:hAnsi="Times New Roman" w:cs="Times New Roman"/>
                <w:i/>
                <w:sz w:val="20"/>
                <w:szCs w:val="20"/>
                <w:lang w:val="en-US"/>
              </w:rPr>
            </w:pPr>
          </w:p>
        </w:tc>
        <w:tc>
          <w:tcPr>
            <w:tcW w:w="2423" w:type="pct"/>
            <w:tcBorders>
              <w:bottom w:val="nil"/>
            </w:tcBorders>
            <w:vAlign w:val="center"/>
          </w:tcPr>
          <w:p w14:paraId="308FBDB2" w14:textId="77777777" w:rsidR="00294950" w:rsidRPr="003101A0" w:rsidRDefault="00294950" w:rsidP="00493F00">
            <w:pPr>
              <w:rPr>
                <w:rFonts w:ascii="Times New Roman" w:hAnsi="Times New Roman" w:cs="Times New Roman"/>
                <w:sz w:val="20"/>
                <w:szCs w:val="20"/>
                <w:lang w:val="en-US"/>
              </w:rPr>
            </w:pPr>
          </w:p>
        </w:tc>
        <w:tc>
          <w:tcPr>
            <w:tcW w:w="471" w:type="pct"/>
            <w:tcBorders>
              <w:top w:val="nil"/>
              <w:bottom w:val="nil"/>
            </w:tcBorders>
          </w:tcPr>
          <w:p w14:paraId="156D1E92" w14:textId="77777777" w:rsidR="00294950" w:rsidRPr="003101A0" w:rsidRDefault="00294950" w:rsidP="001A1B45">
            <w:pPr>
              <w:rPr>
                <w:rFonts w:ascii="Times New Roman" w:hAnsi="Times New Roman" w:cs="Times New Roman"/>
                <w:sz w:val="20"/>
                <w:szCs w:val="20"/>
                <w:lang w:val="en-US"/>
              </w:rPr>
            </w:pPr>
          </w:p>
        </w:tc>
        <w:tc>
          <w:tcPr>
            <w:tcW w:w="472" w:type="pct"/>
            <w:tcBorders>
              <w:top w:val="nil"/>
              <w:bottom w:val="nil"/>
            </w:tcBorders>
          </w:tcPr>
          <w:p w14:paraId="163A96C4" w14:textId="77777777" w:rsidR="00294950" w:rsidRPr="003101A0" w:rsidRDefault="00294950" w:rsidP="001A1B45">
            <w:pPr>
              <w:rPr>
                <w:rFonts w:ascii="Times New Roman" w:hAnsi="Times New Roman" w:cs="Times New Roman"/>
                <w:b/>
                <w:sz w:val="20"/>
                <w:szCs w:val="20"/>
                <w:lang w:val="en-US"/>
              </w:rPr>
            </w:pPr>
          </w:p>
        </w:tc>
      </w:tr>
      <w:tr w:rsidR="00294950" w:rsidRPr="003101A0" w14:paraId="4BC8D8EF" w14:textId="77777777" w:rsidTr="00B00EB6">
        <w:tc>
          <w:tcPr>
            <w:tcW w:w="4057" w:type="pct"/>
            <w:gridSpan w:val="2"/>
            <w:tcBorders>
              <w:top w:val="nil"/>
              <w:bottom w:val="single" w:sz="4" w:space="0" w:color="auto"/>
            </w:tcBorders>
          </w:tcPr>
          <w:p w14:paraId="5860234B"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b/>
                <w:sz w:val="20"/>
                <w:szCs w:val="20"/>
                <w:lang w:val="en-US"/>
              </w:rPr>
              <w:t xml:space="preserve">CI index = (I1+I2+I3+P1+P2+F1+F2+F3+F4+F4+F6+F7+E1+E2+E3)/15    </w:t>
            </w:r>
          </w:p>
        </w:tc>
        <w:tc>
          <w:tcPr>
            <w:tcW w:w="471" w:type="pct"/>
            <w:tcBorders>
              <w:top w:val="nil"/>
              <w:bottom w:val="single" w:sz="4" w:space="0" w:color="auto"/>
            </w:tcBorders>
          </w:tcPr>
          <w:p w14:paraId="7B36DC9E" w14:textId="77777777" w:rsidR="00294950" w:rsidRPr="003101A0" w:rsidRDefault="00294950" w:rsidP="001A1B45">
            <w:pPr>
              <w:rPr>
                <w:rFonts w:ascii="Times New Roman" w:hAnsi="Times New Roman" w:cs="Times New Roman"/>
                <w:b/>
                <w:bCs/>
                <w:sz w:val="20"/>
                <w:szCs w:val="20"/>
                <w:lang w:val="en-US"/>
              </w:rPr>
            </w:pPr>
            <w:r w:rsidRPr="003101A0">
              <w:rPr>
                <w:rFonts w:ascii="Times New Roman" w:hAnsi="Times New Roman" w:cs="Times New Roman"/>
                <w:b/>
                <w:bCs/>
                <w:sz w:val="20"/>
                <w:szCs w:val="20"/>
                <w:lang w:val="en-US"/>
              </w:rPr>
              <w:t>16.45%</w:t>
            </w:r>
          </w:p>
        </w:tc>
        <w:tc>
          <w:tcPr>
            <w:tcW w:w="472" w:type="pct"/>
            <w:tcBorders>
              <w:top w:val="nil"/>
              <w:bottom w:val="single" w:sz="4" w:space="0" w:color="auto"/>
            </w:tcBorders>
          </w:tcPr>
          <w:p w14:paraId="02BA9A94" w14:textId="77777777" w:rsidR="00294950" w:rsidRPr="003101A0" w:rsidRDefault="00294950" w:rsidP="001A1B45">
            <w:pPr>
              <w:rPr>
                <w:rFonts w:ascii="Times New Roman" w:hAnsi="Times New Roman" w:cs="Times New Roman"/>
                <w:b/>
                <w:bCs/>
                <w:sz w:val="20"/>
                <w:szCs w:val="20"/>
                <w:lang w:val="en-US"/>
              </w:rPr>
            </w:pPr>
            <w:r w:rsidRPr="003101A0">
              <w:rPr>
                <w:rFonts w:ascii="Times New Roman" w:hAnsi="Times New Roman" w:cs="Times New Roman"/>
                <w:b/>
                <w:bCs/>
                <w:sz w:val="20"/>
                <w:szCs w:val="20"/>
                <w:lang w:val="en-US"/>
              </w:rPr>
              <w:t>30.58%***</w:t>
            </w:r>
          </w:p>
        </w:tc>
      </w:tr>
    </w:tbl>
    <w:p w14:paraId="466D188B" w14:textId="77777777" w:rsidR="00294950" w:rsidRPr="003101A0" w:rsidRDefault="00294950" w:rsidP="00493F00">
      <w:pPr>
        <w:spacing w:after="0" w:line="240" w:lineRule="auto"/>
        <w:rPr>
          <w:rFonts w:ascii="Times New Roman" w:hAnsi="Times New Roman" w:cs="Times New Roman"/>
          <w:b/>
          <w:sz w:val="20"/>
          <w:szCs w:val="20"/>
          <w:lang w:val="en-US"/>
        </w:rPr>
      </w:pPr>
    </w:p>
    <w:p w14:paraId="62535B52" w14:textId="77777777" w:rsidR="00294950" w:rsidRPr="003101A0" w:rsidRDefault="00294950" w:rsidP="00493F00">
      <w:pPr>
        <w:spacing w:after="0" w:line="240" w:lineRule="auto"/>
        <w:rPr>
          <w:rFonts w:ascii="Times New Roman" w:hAnsi="Times New Roman" w:cs="Times New Roman"/>
          <w:i/>
          <w:sz w:val="20"/>
          <w:szCs w:val="20"/>
          <w:lang w:val="en-US"/>
        </w:rPr>
        <w:sectPr w:rsidR="00294950" w:rsidRPr="003101A0" w:rsidSect="003101A0">
          <w:pgSz w:w="16838" w:h="11906" w:orient="landscape" w:code="9"/>
          <w:pgMar w:top="1440" w:right="1440" w:bottom="1440" w:left="1440" w:header="709" w:footer="709" w:gutter="0"/>
          <w:cols w:space="708"/>
          <w:docGrid w:linePitch="360"/>
        </w:sectPr>
      </w:pPr>
    </w:p>
    <w:tbl>
      <w:tblPr>
        <w:tblStyle w:val="TableGrid"/>
        <w:tblW w:w="5000" w:type="pct"/>
        <w:tblLook w:val="04A0" w:firstRow="1" w:lastRow="0" w:firstColumn="1" w:lastColumn="0" w:noHBand="0" w:noVBand="1"/>
      </w:tblPr>
      <w:tblGrid>
        <w:gridCol w:w="3290"/>
        <w:gridCol w:w="2666"/>
        <w:gridCol w:w="2666"/>
        <w:gridCol w:w="2666"/>
        <w:gridCol w:w="2672"/>
      </w:tblGrid>
      <w:tr w:rsidR="00294950" w:rsidRPr="003101A0" w14:paraId="65D15D79" w14:textId="77777777" w:rsidTr="003101A0">
        <w:tc>
          <w:tcPr>
            <w:tcW w:w="5000" w:type="pct"/>
            <w:gridSpan w:val="5"/>
            <w:tcBorders>
              <w:top w:val="nil"/>
              <w:left w:val="nil"/>
              <w:bottom w:val="single" w:sz="4" w:space="0" w:color="auto"/>
              <w:right w:val="nil"/>
            </w:tcBorders>
            <w:vAlign w:val="bottom"/>
          </w:tcPr>
          <w:p w14:paraId="32E335ED" w14:textId="77777777" w:rsidR="00294950" w:rsidRPr="003101A0" w:rsidRDefault="00294950" w:rsidP="00493F00">
            <w:pPr>
              <w:rPr>
                <w:rFonts w:ascii="Times New Roman" w:hAnsi="Times New Roman" w:cs="Times New Roman"/>
                <w:b/>
                <w:sz w:val="20"/>
                <w:szCs w:val="20"/>
                <w:lang w:val="en-US"/>
              </w:rPr>
            </w:pPr>
            <w:r w:rsidRPr="003101A0">
              <w:rPr>
                <w:rFonts w:ascii="Times New Roman" w:hAnsi="Times New Roman" w:cs="Times New Roman"/>
                <w:b/>
                <w:sz w:val="20"/>
                <w:szCs w:val="20"/>
                <w:lang w:val="en-US"/>
              </w:rPr>
              <w:lastRenderedPageBreak/>
              <w:t>Table 2: continued</w:t>
            </w:r>
          </w:p>
          <w:p w14:paraId="51989678" w14:textId="2F8993BA" w:rsidR="00294950" w:rsidRPr="00F36282" w:rsidRDefault="00294950" w:rsidP="00493F00">
            <w:pPr>
              <w:rPr>
                <w:rFonts w:ascii="Times New Roman" w:hAnsi="Times New Roman" w:cs="Times New Roman"/>
                <w:iCs/>
                <w:color w:val="000000"/>
                <w:sz w:val="20"/>
                <w:szCs w:val="20"/>
                <w:lang w:val="en-US"/>
              </w:rPr>
            </w:pPr>
            <w:r w:rsidRPr="00B16F67">
              <w:rPr>
                <w:rFonts w:ascii="Times New Roman" w:hAnsi="Times New Roman" w:cs="Times New Roman"/>
                <w:iCs/>
                <w:sz w:val="20"/>
                <w:szCs w:val="20"/>
                <w:lang w:val="en-US"/>
              </w:rPr>
              <w:t xml:space="preserve">Panel B: Correlation matrix of </w:t>
            </w:r>
            <w:r w:rsidR="00B10D5C">
              <w:rPr>
                <w:rFonts w:ascii="Times New Roman" w:hAnsi="Times New Roman" w:cs="Times New Roman"/>
                <w:iCs/>
                <w:sz w:val="20"/>
                <w:szCs w:val="20"/>
                <w:lang w:val="en-US"/>
              </w:rPr>
              <w:t xml:space="preserve">covenant </w:t>
            </w:r>
            <w:r w:rsidR="00677DDF">
              <w:rPr>
                <w:rFonts w:ascii="Times New Roman" w:hAnsi="Times New Roman" w:cs="Times New Roman"/>
                <w:iCs/>
                <w:sz w:val="20"/>
                <w:szCs w:val="20"/>
                <w:lang w:val="en-US"/>
              </w:rPr>
              <w:t>groups</w:t>
            </w:r>
          </w:p>
        </w:tc>
      </w:tr>
      <w:tr w:rsidR="00294950" w:rsidRPr="003101A0" w14:paraId="4722C6B7" w14:textId="77777777" w:rsidTr="003101A0">
        <w:tc>
          <w:tcPr>
            <w:tcW w:w="1178" w:type="pct"/>
            <w:tcBorders>
              <w:left w:val="nil"/>
              <w:bottom w:val="single" w:sz="4" w:space="0" w:color="auto"/>
              <w:right w:val="nil"/>
            </w:tcBorders>
            <w:vAlign w:val="bottom"/>
          </w:tcPr>
          <w:p w14:paraId="2BFBC9AB" w14:textId="77777777" w:rsidR="00294950" w:rsidRPr="003101A0" w:rsidRDefault="00294950" w:rsidP="001A1B45">
            <w:pPr>
              <w:rPr>
                <w:rFonts w:ascii="Times New Roman" w:hAnsi="Times New Roman" w:cs="Times New Roman"/>
                <w:sz w:val="20"/>
                <w:szCs w:val="20"/>
                <w:lang w:val="en-US"/>
              </w:rPr>
            </w:pPr>
          </w:p>
        </w:tc>
        <w:tc>
          <w:tcPr>
            <w:tcW w:w="955" w:type="pct"/>
            <w:tcBorders>
              <w:left w:val="nil"/>
              <w:bottom w:val="single" w:sz="4" w:space="0" w:color="auto"/>
              <w:right w:val="nil"/>
            </w:tcBorders>
          </w:tcPr>
          <w:p w14:paraId="75746F5F" w14:textId="6F99C361" w:rsidR="00294950" w:rsidRPr="003101A0" w:rsidRDefault="00294950" w:rsidP="001A1B45">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Investment</w:t>
            </w:r>
            <w:r w:rsidR="00D349FA" w:rsidRPr="003101A0">
              <w:rPr>
                <w:rFonts w:ascii="Times New Roman" w:hAnsi="Times New Roman" w:cs="Times New Roman"/>
                <w:sz w:val="20"/>
                <w:szCs w:val="20"/>
                <w:lang w:val="en-US"/>
              </w:rPr>
              <w:t>-restricting</w:t>
            </w:r>
          </w:p>
        </w:tc>
        <w:tc>
          <w:tcPr>
            <w:tcW w:w="955" w:type="pct"/>
            <w:tcBorders>
              <w:left w:val="nil"/>
              <w:bottom w:val="single" w:sz="4" w:space="0" w:color="auto"/>
              <w:right w:val="nil"/>
            </w:tcBorders>
          </w:tcPr>
          <w:p w14:paraId="0EE18FF1" w14:textId="1DF2503D" w:rsidR="00294950" w:rsidRPr="003101A0" w:rsidRDefault="00294950" w:rsidP="001A1B45">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Payout</w:t>
            </w:r>
            <w:r w:rsidR="00D349FA" w:rsidRPr="003101A0">
              <w:rPr>
                <w:rFonts w:ascii="Times New Roman" w:hAnsi="Times New Roman" w:cs="Times New Roman"/>
                <w:sz w:val="20"/>
                <w:szCs w:val="20"/>
                <w:lang w:val="en-US"/>
              </w:rPr>
              <w:t>-restricting</w:t>
            </w:r>
          </w:p>
        </w:tc>
        <w:tc>
          <w:tcPr>
            <w:tcW w:w="955" w:type="pct"/>
            <w:tcBorders>
              <w:left w:val="nil"/>
              <w:bottom w:val="single" w:sz="4" w:space="0" w:color="auto"/>
              <w:right w:val="nil"/>
            </w:tcBorders>
          </w:tcPr>
          <w:p w14:paraId="7E5BD0E9" w14:textId="4ADBFFFE" w:rsidR="00294950" w:rsidRPr="003101A0" w:rsidRDefault="00294950" w:rsidP="001A1B45">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Financing</w:t>
            </w:r>
            <w:r w:rsidR="00D349FA" w:rsidRPr="003101A0">
              <w:rPr>
                <w:rFonts w:ascii="Times New Roman" w:hAnsi="Times New Roman" w:cs="Times New Roman"/>
                <w:sz w:val="20"/>
                <w:szCs w:val="20"/>
                <w:lang w:val="en-US"/>
              </w:rPr>
              <w:t>-restricting</w:t>
            </w:r>
          </w:p>
        </w:tc>
        <w:tc>
          <w:tcPr>
            <w:tcW w:w="956" w:type="pct"/>
            <w:tcBorders>
              <w:left w:val="nil"/>
              <w:bottom w:val="single" w:sz="4" w:space="0" w:color="auto"/>
              <w:right w:val="nil"/>
            </w:tcBorders>
            <w:vAlign w:val="bottom"/>
          </w:tcPr>
          <w:p w14:paraId="236A7BF9"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sz w:val="20"/>
                <w:szCs w:val="20"/>
                <w:lang w:val="en-US"/>
              </w:rPr>
              <w:t>Event-driven</w:t>
            </w:r>
          </w:p>
        </w:tc>
      </w:tr>
      <w:tr w:rsidR="00294950" w:rsidRPr="003101A0" w14:paraId="272CBA3C" w14:textId="77777777" w:rsidTr="003101A0">
        <w:tc>
          <w:tcPr>
            <w:tcW w:w="1178" w:type="pct"/>
            <w:tcBorders>
              <w:top w:val="single" w:sz="4" w:space="0" w:color="auto"/>
              <w:left w:val="nil"/>
              <w:bottom w:val="nil"/>
              <w:right w:val="nil"/>
            </w:tcBorders>
            <w:vAlign w:val="center"/>
          </w:tcPr>
          <w:p w14:paraId="1C2E2A5B" w14:textId="28CC571A"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Investment</w:t>
            </w:r>
            <w:r w:rsidR="00D349FA" w:rsidRPr="003101A0">
              <w:rPr>
                <w:rFonts w:ascii="Times New Roman" w:hAnsi="Times New Roman" w:cs="Times New Roman"/>
                <w:sz w:val="20"/>
                <w:szCs w:val="20"/>
                <w:lang w:val="en-US"/>
              </w:rPr>
              <w:t>-restricting covenants</w:t>
            </w:r>
          </w:p>
        </w:tc>
        <w:tc>
          <w:tcPr>
            <w:tcW w:w="955" w:type="pct"/>
            <w:tcBorders>
              <w:top w:val="single" w:sz="4" w:space="0" w:color="auto"/>
              <w:left w:val="nil"/>
              <w:bottom w:val="nil"/>
              <w:right w:val="nil"/>
            </w:tcBorders>
          </w:tcPr>
          <w:p w14:paraId="321BB0AA" w14:textId="77777777" w:rsidR="00294950" w:rsidRPr="003101A0" w:rsidRDefault="00294950" w:rsidP="001A1B45">
            <w:pPr>
              <w:rPr>
                <w:rFonts w:ascii="Times New Roman" w:hAnsi="Times New Roman" w:cs="Times New Roman"/>
                <w:sz w:val="20"/>
                <w:szCs w:val="20"/>
                <w:lang w:val="en-US"/>
              </w:rPr>
            </w:pPr>
          </w:p>
        </w:tc>
        <w:tc>
          <w:tcPr>
            <w:tcW w:w="955" w:type="pct"/>
            <w:tcBorders>
              <w:top w:val="single" w:sz="4" w:space="0" w:color="auto"/>
              <w:left w:val="nil"/>
              <w:bottom w:val="nil"/>
              <w:right w:val="nil"/>
            </w:tcBorders>
          </w:tcPr>
          <w:p w14:paraId="6B5527CC"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color w:val="000000"/>
                <w:sz w:val="20"/>
                <w:szCs w:val="20"/>
                <w:lang w:val="en-US"/>
              </w:rPr>
              <w:t>0.1005</w:t>
            </w:r>
            <w:r w:rsidRPr="0014059B">
              <w:rPr>
                <w:rFonts w:ascii="Times New Roman" w:hAnsi="Times New Roman" w:cs="Times New Roman"/>
                <w:color w:val="000000"/>
                <w:sz w:val="20"/>
                <w:szCs w:val="20"/>
                <w:lang w:val="en-US"/>
              </w:rPr>
              <w:t>***</w:t>
            </w:r>
          </w:p>
        </w:tc>
        <w:tc>
          <w:tcPr>
            <w:tcW w:w="955" w:type="pct"/>
            <w:tcBorders>
              <w:top w:val="single" w:sz="4" w:space="0" w:color="auto"/>
              <w:left w:val="nil"/>
              <w:bottom w:val="nil"/>
              <w:right w:val="nil"/>
            </w:tcBorders>
          </w:tcPr>
          <w:p w14:paraId="3CE4A63C"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color w:val="000000"/>
                <w:sz w:val="20"/>
                <w:szCs w:val="20"/>
                <w:lang w:val="en-US"/>
              </w:rPr>
              <w:t>0.1410***</w:t>
            </w:r>
          </w:p>
        </w:tc>
        <w:tc>
          <w:tcPr>
            <w:tcW w:w="956" w:type="pct"/>
            <w:tcBorders>
              <w:top w:val="single" w:sz="4" w:space="0" w:color="auto"/>
              <w:left w:val="nil"/>
              <w:bottom w:val="nil"/>
              <w:right w:val="nil"/>
            </w:tcBorders>
            <w:vAlign w:val="center"/>
          </w:tcPr>
          <w:p w14:paraId="2ACA1FA5"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color w:val="000000"/>
                <w:sz w:val="20"/>
                <w:szCs w:val="20"/>
                <w:lang w:val="en-US"/>
              </w:rPr>
              <w:t>0.4777***</w:t>
            </w:r>
          </w:p>
        </w:tc>
      </w:tr>
      <w:tr w:rsidR="00294950" w:rsidRPr="003101A0" w14:paraId="35BC86EE" w14:textId="77777777" w:rsidTr="003101A0">
        <w:tc>
          <w:tcPr>
            <w:tcW w:w="1178" w:type="pct"/>
            <w:tcBorders>
              <w:top w:val="nil"/>
              <w:left w:val="nil"/>
              <w:bottom w:val="nil"/>
              <w:right w:val="nil"/>
            </w:tcBorders>
            <w:vAlign w:val="center"/>
          </w:tcPr>
          <w:p w14:paraId="79F15999" w14:textId="09E00DB7" w:rsidR="00294950" w:rsidRPr="003101A0" w:rsidRDefault="00294950" w:rsidP="00493F00">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Payout</w:t>
            </w:r>
            <w:r w:rsidR="00D349FA" w:rsidRPr="003101A0">
              <w:rPr>
                <w:rFonts w:ascii="Times New Roman" w:hAnsi="Times New Roman" w:cs="Times New Roman"/>
                <w:sz w:val="20"/>
                <w:szCs w:val="20"/>
                <w:lang w:val="en-US"/>
              </w:rPr>
              <w:t>-restricting covenants</w:t>
            </w:r>
          </w:p>
        </w:tc>
        <w:tc>
          <w:tcPr>
            <w:tcW w:w="955" w:type="pct"/>
            <w:tcBorders>
              <w:top w:val="nil"/>
              <w:left w:val="nil"/>
              <w:bottom w:val="nil"/>
              <w:right w:val="nil"/>
            </w:tcBorders>
            <w:vAlign w:val="bottom"/>
          </w:tcPr>
          <w:p w14:paraId="3B073F90"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color w:val="000000"/>
                <w:sz w:val="20"/>
                <w:szCs w:val="20"/>
                <w:lang w:val="en-US"/>
              </w:rPr>
              <w:t>0.2682</w:t>
            </w:r>
            <w:r w:rsidRPr="0014059B">
              <w:rPr>
                <w:rFonts w:ascii="Times New Roman" w:hAnsi="Times New Roman" w:cs="Times New Roman"/>
                <w:color w:val="000000"/>
                <w:sz w:val="20"/>
                <w:szCs w:val="20"/>
                <w:lang w:val="en-US"/>
              </w:rPr>
              <w:t>***</w:t>
            </w:r>
          </w:p>
        </w:tc>
        <w:tc>
          <w:tcPr>
            <w:tcW w:w="955" w:type="pct"/>
            <w:tcBorders>
              <w:top w:val="nil"/>
              <w:left w:val="nil"/>
              <w:bottom w:val="nil"/>
              <w:right w:val="nil"/>
            </w:tcBorders>
            <w:vAlign w:val="bottom"/>
          </w:tcPr>
          <w:p w14:paraId="201E5041" w14:textId="77777777" w:rsidR="00294950" w:rsidRPr="003101A0" w:rsidRDefault="00294950" w:rsidP="001A1B45">
            <w:pPr>
              <w:rPr>
                <w:rFonts w:ascii="Times New Roman" w:hAnsi="Times New Roman" w:cs="Times New Roman"/>
                <w:sz w:val="20"/>
                <w:szCs w:val="20"/>
                <w:lang w:val="en-US"/>
              </w:rPr>
            </w:pPr>
          </w:p>
        </w:tc>
        <w:tc>
          <w:tcPr>
            <w:tcW w:w="955" w:type="pct"/>
            <w:tcBorders>
              <w:top w:val="nil"/>
              <w:left w:val="nil"/>
              <w:bottom w:val="nil"/>
              <w:right w:val="nil"/>
            </w:tcBorders>
            <w:vAlign w:val="bottom"/>
          </w:tcPr>
          <w:p w14:paraId="45F99864"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color w:val="000000"/>
                <w:sz w:val="20"/>
                <w:szCs w:val="20"/>
                <w:lang w:val="en-US"/>
              </w:rPr>
              <w:t>0.3861***</w:t>
            </w:r>
          </w:p>
        </w:tc>
        <w:tc>
          <w:tcPr>
            <w:tcW w:w="956" w:type="pct"/>
            <w:tcBorders>
              <w:top w:val="nil"/>
              <w:left w:val="nil"/>
              <w:bottom w:val="nil"/>
              <w:right w:val="nil"/>
            </w:tcBorders>
            <w:vAlign w:val="bottom"/>
          </w:tcPr>
          <w:p w14:paraId="135818CF" w14:textId="77777777" w:rsidR="00294950" w:rsidRPr="003101A0" w:rsidRDefault="00294950" w:rsidP="001A1B45">
            <w:pPr>
              <w:rPr>
                <w:rFonts w:ascii="Times New Roman" w:hAnsi="Times New Roman" w:cs="Times New Roman"/>
                <w:sz w:val="20"/>
                <w:szCs w:val="20"/>
                <w:lang w:val="en-US"/>
              </w:rPr>
            </w:pPr>
            <w:r w:rsidRPr="003101A0">
              <w:rPr>
                <w:rFonts w:ascii="Times New Roman" w:hAnsi="Times New Roman" w:cs="Times New Roman"/>
                <w:color w:val="000000"/>
                <w:sz w:val="20"/>
                <w:szCs w:val="20"/>
                <w:lang w:val="en-US"/>
              </w:rPr>
              <w:t>0.0715***</w:t>
            </w:r>
          </w:p>
        </w:tc>
      </w:tr>
      <w:tr w:rsidR="00294950" w:rsidRPr="003101A0" w14:paraId="37BA8704" w14:textId="77777777" w:rsidTr="003101A0">
        <w:tc>
          <w:tcPr>
            <w:tcW w:w="1178" w:type="pct"/>
            <w:tcBorders>
              <w:top w:val="nil"/>
              <w:left w:val="nil"/>
              <w:bottom w:val="nil"/>
              <w:right w:val="nil"/>
            </w:tcBorders>
            <w:vAlign w:val="center"/>
          </w:tcPr>
          <w:p w14:paraId="1C91281D" w14:textId="2213BE0C"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Financing</w:t>
            </w:r>
            <w:r w:rsidR="00D349FA" w:rsidRPr="003101A0">
              <w:rPr>
                <w:rFonts w:ascii="Times New Roman" w:hAnsi="Times New Roman" w:cs="Times New Roman"/>
                <w:sz w:val="20"/>
                <w:szCs w:val="20"/>
                <w:lang w:val="en-US"/>
              </w:rPr>
              <w:t>-restricting covenants</w:t>
            </w:r>
          </w:p>
        </w:tc>
        <w:tc>
          <w:tcPr>
            <w:tcW w:w="955" w:type="pct"/>
            <w:tcBorders>
              <w:top w:val="nil"/>
              <w:left w:val="nil"/>
              <w:bottom w:val="nil"/>
              <w:right w:val="nil"/>
            </w:tcBorders>
            <w:vAlign w:val="bottom"/>
          </w:tcPr>
          <w:p w14:paraId="07BC973D" w14:textId="77777777" w:rsidR="00294950" w:rsidRPr="0014059B" w:rsidRDefault="00294950" w:rsidP="001A1B45">
            <w:pPr>
              <w:rPr>
                <w:rFonts w:ascii="Times New Roman" w:hAnsi="Times New Roman" w:cs="Times New Roman"/>
                <w:color w:val="000000"/>
                <w:sz w:val="20"/>
                <w:szCs w:val="20"/>
                <w:lang w:val="en-US"/>
              </w:rPr>
            </w:pPr>
            <w:r w:rsidRPr="0014059B">
              <w:rPr>
                <w:rFonts w:ascii="Times New Roman" w:hAnsi="Times New Roman" w:cs="Times New Roman"/>
                <w:color w:val="000000"/>
                <w:sz w:val="20"/>
                <w:szCs w:val="20"/>
                <w:lang w:val="en-US"/>
              </w:rPr>
              <w:t>0.5814***</w:t>
            </w:r>
          </w:p>
        </w:tc>
        <w:tc>
          <w:tcPr>
            <w:tcW w:w="955" w:type="pct"/>
            <w:tcBorders>
              <w:top w:val="nil"/>
              <w:left w:val="nil"/>
              <w:bottom w:val="nil"/>
              <w:right w:val="nil"/>
            </w:tcBorders>
            <w:vAlign w:val="bottom"/>
          </w:tcPr>
          <w:p w14:paraId="6902A333" w14:textId="77777777" w:rsidR="00294950" w:rsidRPr="003101A0" w:rsidRDefault="00294950" w:rsidP="001A1B45">
            <w:pPr>
              <w:rPr>
                <w:rFonts w:ascii="Times New Roman" w:hAnsi="Times New Roman" w:cs="Times New Roman"/>
                <w:color w:val="000000"/>
                <w:sz w:val="20"/>
                <w:szCs w:val="20"/>
                <w:lang w:val="en-US"/>
              </w:rPr>
            </w:pPr>
            <w:r w:rsidRPr="003101A0">
              <w:rPr>
                <w:rFonts w:ascii="Times New Roman" w:hAnsi="Times New Roman" w:cs="Times New Roman"/>
                <w:color w:val="000000"/>
                <w:sz w:val="20"/>
                <w:szCs w:val="20"/>
                <w:lang w:val="en-US"/>
              </w:rPr>
              <w:t>0.3032***</w:t>
            </w:r>
          </w:p>
        </w:tc>
        <w:tc>
          <w:tcPr>
            <w:tcW w:w="955" w:type="pct"/>
            <w:tcBorders>
              <w:top w:val="nil"/>
              <w:left w:val="nil"/>
              <w:bottom w:val="nil"/>
              <w:right w:val="nil"/>
            </w:tcBorders>
            <w:vAlign w:val="bottom"/>
          </w:tcPr>
          <w:p w14:paraId="253BC388" w14:textId="77777777" w:rsidR="00294950" w:rsidRPr="003101A0" w:rsidRDefault="00294950" w:rsidP="001A1B45">
            <w:pPr>
              <w:rPr>
                <w:rFonts w:ascii="Times New Roman" w:hAnsi="Times New Roman" w:cs="Times New Roman"/>
                <w:color w:val="000000"/>
                <w:sz w:val="20"/>
                <w:szCs w:val="20"/>
                <w:lang w:val="en-US"/>
              </w:rPr>
            </w:pPr>
          </w:p>
        </w:tc>
        <w:tc>
          <w:tcPr>
            <w:tcW w:w="956" w:type="pct"/>
            <w:tcBorders>
              <w:top w:val="nil"/>
              <w:left w:val="nil"/>
              <w:bottom w:val="nil"/>
              <w:right w:val="nil"/>
            </w:tcBorders>
            <w:vAlign w:val="bottom"/>
          </w:tcPr>
          <w:p w14:paraId="00C8F062" w14:textId="77777777" w:rsidR="00294950" w:rsidRPr="003101A0" w:rsidRDefault="00294950" w:rsidP="001A1B45">
            <w:pPr>
              <w:rPr>
                <w:rFonts w:ascii="Times New Roman" w:hAnsi="Times New Roman" w:cs="Times New Roman"/>
                <w:color w:val="000000"/>
                <w:sz w:val="20"/>
                <w:szCs w:val="20"/>
                <w:lang w:val="en-US"/>
              </w:rPr>
            </w:pPr>
            <w:r w:rsidRPr="003101A0">
              <w:rPr>
                <w:rFonts w:ascii="Times New Roman" w:hAnsi="Times New Roman" w:cs="Times New Roman"/>
                <w:color w:val="000000"/>
                <w:sz w:val="20"/>
                <w:szCs w:val="20"/>
                <w:lang w:val="en-US"/>
              </w:rPr>
              <w:t>0.1222***</w:t>
            </w:r>
          </w:p>
        </w:tc>
      </w:tr>
      <w:tr w:rsidR="00294950" w:rsidRPr="003101A0" w14:paraId="1C0383CA" w14:textId="77777777" w:rsidTr="003101A0">
        <w:tc>
          <w:tcPr>
            <w:tcW w:w="1178" w:type="pct"/>
            <w:tcBorders>
              <w:top w:val="nil"/>
              <w:left w:val="nil"/>
              <w:bottom w:val="single" w:sz="4" w:space="0" w:color="auto"/>
              <w:right w:val="nil"/>
            </w:tcBorders>
            <w:vAlign w:val="center"/>
          </w:tcPr>
          <w:p w14:paraId="09DA6CC4" w14:textId="3A3FDD8A"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Event-driven </w:t>
            </w:r>
            <w:r w:rsidR="00D349FA" w:rsidRPr="003101A0">
              <w:rPr>
                <w:rFonts w:ascii="Times New Roman" w:hAnsi="Times New Roman" w:cs="Times New Roman"/>
                <w:sz w:val="20"/>
                <w:szCs w:val="20"/>
                <w:lang w:val="en-US"/>
              </w:rPr>
              <w:t>covenants</w:t>
            </w:r>
          </w:p>
        </w:tc>
        <w:tc>
          <w:tcPr>
            <w:tcW w:w="955" w:type="pct"/>
            <w:tcBorders>
              <w:top w:val="nil"/>
              <w:left w:val="nil"/>
              <w:bottom w:val="single" w:sz="4" w:space="0" w:color="auto"/>
              <w:right w:val="nil"/>
            </w:tcBorders>
            <w:vAlign w:val="bottom"/>
          </w:tcPr>
          <w:p w14:paraId="1B8B3EA6" w14:textId="77777777" w:rsidR="00294950" w:rsidRPr="0014059B" w:rsidRDefault="00294950" w:rsidP="001A1B45">
            <w:pPr>
              <w:rPr>
                <w:rFonts w:ascii="Times New Roman" w:hAnsi="Times New Roman" w:cs="Times New Roman"/>
                <w:color w:val="000000"/>
                <w:sz w:val="20"/>
                <w:szCs w:val="20"/>
                <w:lang w:val="en-US"/>
              </w:rPr>
            </w:pPr>
            <w:r w:rsidRPr="0014059B">
              <w:rPr>
                <w:rFonts w:ascii="Times New Roman" w:hAnsi="Times New Roman" w:cs="Times New Roman"/>
                <w:color w:val="000000"/>
                <w:sz w:val="20"/>
                <w:szCs w:val="20"/>
                <w:lang w:val="en-US"/>
              </w:rPr>
              <w:t>0.4019***</w:t>
            </w:r>
          </w:p>
        </w:tc>
        <w:tc>
          <w:tcPr>
            <w:tcW w:w="955" w:type="pct"/>
            <w:tcBorders>
              <w:top w:val="nil"/>
              <w:left w:val="nil"/>
              <w:bottom w:val="single" w:sz="4" w:space="0" w:color="auto"/>
              <w:right w:val="nil"/>
            </w:tcBorders>
            <w:vAlign w:val="bottom"/>
          </w:tcPr>
          <w:p w14:paraId="47EF168F" w14:textId="77777777" w:rsidR="00294950" w:rsidRPr="003101A0" w:rsidRDefault="00294950" w:rsidP="001A1B45">
            <w:pPr>
              <w:rPr>
                <w:rFonts w:ascii="Times New Roman" w:hAnsi="Times New Roman" w:cs="Times New Roman"/>
                <w:color w:val="000000"/>
                <w:sz w:val="20"/>
                <w:szCs w:val="20"/>
                <w:lang w:val="en-US"/>
              </w:rPr>
            </w:pPr>
            <w:r w:rsidRPr="003101A0">
              <w:rPr>
                <w:rFonts w:ascii="Times New Roman" w:hAnsi="Times New Roman" w:cs="Times New Roman"/>
                <w:color w:val="000000"/>
                <w:sz w:val="20"/>
                <w:szCs w:val="20"/>
                <w:lang w:val="en-US"/>
              </w:rPr>
              <w:t>0.4561***</w:t>
            </w:r>
          </w:p>
        </w:tc>
        <w:tc>
          <w:tcPr>
            <w:tcW w:w="955" w:type="pct"/>
            <w:tcBorders>
              <w:top w:val="nil"/>
              <w:left w:val="nil"/>
              <w:bottom w:val="single" w:sz="4" w:space="0" w:color="auto"/>
              <w:right w:val="nil"/>
            </w:tcBorders>
            <w:vAlign w:val="bottom"/>
          </w:tcPr>
          <w:p w14:paraId="3A4144E4" w14:textId="77777777" w:rsidR="00294950" w:rsidRPr="003101A0" w:rsidRDefault="00294950" w:rsidP="001A1B45">
            <w:pPr>
              <w:rPr>
                <w:rFonts w:ascii="Times New Roman" w:hAnsi="Times New Roman" w:cs="Times New Roman"/>
                <w:color w:val="000000"/>
                <w:sz w:val="20"/>
                <w:szCs w:val="20"/>
                <w:lang w:val="en-US"/>
              </w:rPr>
            </w:pPr>
            <w:r w:rsidRPr="003101A0">
              <w:rPr>
                <w:rFonts w:ascii="Times New Roman" w:hAnsi="Times New Roman" w:cs="Times New Roman"/>
                <w:color w:val="000000"/>
                <w:sz w:val="20"/>
                <w:szCs w:val="20"/>
                <w:lang w:val="en-US"/>
              </w:rPr>
              <w:t>0.4144***</w:t>
            </w:r>
          </w:p>
        </w:tc>
        <w:tc>
          <w:tcPr>
            <w:tcW w:w="956" w:type="pct"/>
            <w:tcBorders>
              <w:top w:val="nil"/>
              <w:left w:val="nil"/>
              <w:bottom w:val="single" w:sz="4" w:space="0" w:color="auto"/>
              <w:right w:val="nil"/>
            </w:tcBorders>
            <w:vAlign w:val="bottom"/>
          </w:tcPr>
          <w:p w14:paraId="74FCA99B" w14:textId="77777777" w:rsidR="00294950" w:rsidRPr="003101A0" w:rsidRDefault="00294950" w:rsidP="001A1B45">
            <w:pPr>
              <w:rPr>
                <w:rFonts w:ascii="Times New Roman" w:hAnsi="Times New Roman" w:cs="Times New Roman"/>
                <w:color w:val="000000"/>
                <w:sz w:val="20"/>
                <w:szCs w:val="20"/>
                <w:lang w:val="en-US"/>
              </w:rPr>
            </w:pPr>
          </w:p>
        </w:tc>
      </w:tr>
    </w:tbl>
    <w:p w14:paraId="4DE3A630" w14:textId="5E8F1222" w:rsidR="00294950" w:rsidRPr="003101A0" w:rsidRDefault="00294950" w:rsidP="00D215BD">
      <w:pPr>
        <w:spacing w:after="0" w:line="240" w:lineRule="auto"/>
        <w:jc w:val="both"/>
        <w:rPr>
          <w:rFonts w:ascii="Times New Roman" w:hAnsi="Times New Roman" w:cs="Times New Roman"/>
          <w:sz w:val="18"/>
          <w:szCs w:val="18"/>
          <w:lang w:val="en-US" w:eastAsia="zh-CN"/>
        </w:rPr>
      </w:pPr>
      <w:r w:rsidRPr="003101A0">
        <w:rPr>
          <w:rFonts w:ascii="Times New Roman" w:hAnsi="Times New Roman" w:cs="Times New Roman"/>
          <w:sz w:val="18"/>
          <w:szCs w:val="18"/>
          <w:lang w:val="en-US"/>
        </w:rPr>
        <w:t>Notes: Panel A presents univariate tests for differences in covenant</w:t>
      </w:r>
      <w:r w:rsidR="00B10D5C">
        <w:rPr>
          <w:rFonts w:ascii="Times New Roman" w:hAnsi="Times New Roman" w:cs="Times New Roman"/>
          <w:sz w:val="18"/>
          <w:szCs w:val="18"/>
          <w:lang w:val="en-US"/>
        </w:rPr>
        <w:t xml:space="preserve"> </w:t>
      </w:r>
      <w:r w:rsidR="00E956AE">
        <w:rPr>
          <w:rFonts w:ascii="Times New Roman" w:hAnsi="Times New Roman" w:cs="Times New Roman"/>
          <w:sz w:val="18"/>
          <w:szCs w:val="18"/>
          <w:lang w:val="en-US"/>
        </w:rPr>
        <w:t>frequencies</w:t>
      </w:r>
      <w:r w:rsidR="00E956AE" w:rsidRPr="003101A0">
        <w:rPr>
          <w:rFonts w:ascii="Times New Roman" w:hAnsi="Times New Roman" w:cs="Times New Roman"/>
          <w:sz w:val="18"/>
          <w:szCs w:val="18"/>
          <w:lang w:val="en-US"/>
        </w:rPr>
        <w:t xml:space="preserve"> </w:t>
      </w:r>
      <w:r w:rsidRPr="003101A0">
        <w:rPr>
          <w:rFonts w:ascii="Times New Roman" w:hAnsi="Times New Roman" w:cs="Times New Roman"/>
          <w:sz w:val="18"/>
          <w:szCs w:val="18"/>
          <w:lang w:val="en-US"/>
        </w:rPr>
        <w:t xml:space="preserve">between convertible and straight bonds. The names in italics are the covenant names obtained from </w:t>
      </w:r>
      <w:proofErr w:type="spellStart"/>
      <w:r w:rsidR="00F17857">
        <w:rPr>
          <w:rFonts w:ascii="Times New Roman" w:hAnsi="Times New Roman" w:cs="Times New Roman"/>
          <w:sz w:val="18"/>
          <w:szCs w:val="18"/>
          <w:lang w:val="en-US"/>
        </w:rPr>
        <w:t>Mergent</w:t>
      </w:r>
      <w:proofErr w:type="spellEnd"/>
      <w:r w:rsidR="00F17857">
        <w:rPr>
          <w:rFonts w:ascii="Times New Roman" w:hAnsi="Times New Roman" w:cs="Times New Roman"/>
          <w:sz w:val="18"/>
          <w:szCs w:val="18"/>
          <w:lang w:val="en-US"/>
        </w:rPr>
        <w:t xml:space="preserve"> </w:t>
      </w:r>
      <w:r w:rsidRPr="003101A0">
        <w:rPr>
          <w:rFonts w:ascii="Times New Roman" w:hAnsi="Times New Roman" w:cs="Times New Roman"/>
          <w:sz w:val="18"/>
          <w:szCs w:val="18"/>
          <w:lang w:val="en-US"/>
        </w:rPr>
        <w:t xml:space="preserve">FISD. </w:t>
      </w:r>
      <w:r w:rsidRPr="00CD063E">
        <w:rPr>
          <w:rFonts w:ascii="Times New Roman" w:hAnsi="Times New Roman" w:cs="Times New Roman"/>
          <w:sz w:val="18"/>
          <w:szCs w:val="18"/>
          <w:lang w:val="en-US"/>
        </w:rPr>
        <w:t>*, **, ***</w:t>
      </w:r>
      <w:r w:rsidRPr="003101A0">
        <w:rPr>
          <w:rFonts w:ascii="Times New Roman" w:hAnsi="Times New Roman" w:cs="Times New Roman"/>
          <w:sz w:val="18"/>
          <w:szCs w:val="18"/>
          <w:vertAlign w:val="superscript"/>
          <w:lang w:val="en-US"/>
        </w:rPr>
        <w:t xml:space="preserve"> </w:t>
      </w:r>
      <w:r w:rsidRPr="003101A0">
        <w:rPr>
          <w:rFonts w:ascii="Times New Roman" w:hAnsi="Times New Roman" w:cs="Times New Roman"/>
          <w:sz w:val="18"/>
          <w:szCs w:val="18"/>
          <w:lang w:val="en-US"/>
        </w:rPr>
        <w:t xml:space="preserve">denote that the covenant frequencies for the two samples are significantly different </w:t>
      </w:r>
      <w:r w:rsidRPr="003101A0">
        <w:rPr>
          <w:rFonts w:ascii="Times New Roman" w:hAnsi="Times New Roman" w:cs="Times New Roman"/>
          <w:sz w:val="18"/>
          <w:szCs w:val="20"/>
          <w:lang w:val="en-US"/>
        </w:rPr>
        <w:t>at the 10</w:t>
      </w:r>
      <w:r w:rsidR="003F4F48">
        <w:rPr>
          <w:rFonts w:ascii="Times New Roman" w:hAnsi="Times New Roman" w:cs="Times New Roman"/>
          <w:sz w:val="18"/>
          <w:szCs w:val="20"/>
          <w:lang w:val="en-US"/>
        </w:rPr>
        <w:t>%</w:t>
      </w:r>
      <w:r w:rsidRPr="003101A0">
        <w:rPr>
          <w:rFonts w:ascii="Times New Roman" w:hAnsi="Times New Roman" w:cs="Times New Roman"/>
          <w:sz w:val="18"/>
          <w:szCs w:val="20"/>
          <w:lang w:val="en-US"/>
        </w:rPr>
        <w:t>, 5</w:t>
      </w:r>
      <w:r w:rsidR="003F4F48">
        <w:rPr>
          <w:rFonts w:ascii="Times New Roman" w:hAnsi="Times New Roman" w:cs="Times New Roman"/>
          <w:sz w:val="18"/>
          <w:szCs w:val="20"/>
          <w:lang w:val="en-US"/>
        </w:rPr>
        <w:t xml:space="preserve">% </w:t>
      </w:r>
      <w:r w:rsidRPr="003101A0">
        <w:rPr>
          <w:rFonts w:ascii="Times New Roman" w:hAnsi="Times New Roman" w:cs="Times New Roman"/>
          <w:sz w:val="18"/>
          <w:szCs w:val="20"/>
          <w:lang w:val="en-US"/>
        </w:rPr>
        <w:t>and 1</w:t>
      </w:r>
      <w:r w:rsidR="003F4F48">
        <w:rPr>
          <w:rFonts w:ascii="Times New Roman" w:hAnsi="Times New Roman" w:cs="Times New Roman"/>
          <w:sz w:val="18"/>
          <w:szCs w:val="20"/>
          <w:lang w:val="en-US"/>
        </w:rPr>
        <w:t xml:space="preserve">% </w:t>
      </w:r>
      <w:r w:rsidRPr="003101A0">
        <w:rPr>
          <w:rFonts w:ascii="Times New Roman" w:hAnsi="Times New Roman" w:cs="Times New Roman"/>
          <w:sz w:val="18"/>
          <w:szCs w:val="20"/>
          <w:lang w:val="en-US"/>
        </w:rPr>
        <w:t>levels, respectively</w:t>
      </w:r>
      <w:r w:rsidR="000053B5">
        <w:rPr>
          <w:rFonts w:ascii="Times New Roman" w:hAnsi="Times New Roman" w:cs="Times New Roman"/>
          <w:sz w:val="18"/>
          <w:szCs w:val="20"/>
          <w:lang w:val="en-US"/>
        </w:rPr>
        <w:t xml:space="preserve"> </w:t>
      </w:r>
      <w:r w:rsidR="000053B5" w:rsidRPr="003101A0">
        <w:rPr>
          <w:rFonts w:ascii="Times New Roman" w:hAnsi="Times New Roman" w:cs="Times New Roman"/>
          <w:sz w:val="18"/>
          <w:szCs w:val="18"/>
          <w:lang w:val="en-US"/>
        </w:rPr>
        <w:t>(two-tailed)</w:t>
      </w:r>
      <w:r w:rsidRPr="003101A0">
        <w:rPr>
          <w:rFonts w:ascii="Times New Roman" w:hAnsi="Times New Roman" w:cs="Times New Roman"/>
          <w:sz w:val="18"/>
          <w:szCs w:val="18"/>
          <w:lang w:val="en-US"/>
        </w:rPr>
        <w:t xml:space="preserve">, </w:t>
      </w:r>
      <w:r w:rsidR="00E956AE">
        <w:rPr>
          <w:rFonts w:ascii="Times New Roman" w:hAnsi="Times New Roman" w:cs="Times New Roman"/>
          <w:sz w:val="18"/>
          <w:szCs w:val="18"/>
          <w:lang w:val="en-US"/>
        </w:rPr>
        <w:t>based on</w:t>
      </w:r>
      <w:r w:rsidR="00E956AE" w:rsidRPr="003101A0">
        <w:rPr>
          <w:rFonts w:ascii="Times New Roman" w:hAnsi="Times New Roman" w:cs="Times New Roman"/>
          <w:sz w:val="18"/>
          <w:szCs w:val="18"/>
          <w:lang w:val="en-US"/>
        </w:rPr>
        <w:t xml:space="preserve"> </w:t>
      </w:r>
      <w:r w:rsidRPr="003101A0">
        <w:rPr>
          <w:rFonts w:ascii="Times New Roman" w:hAnsi="Times New Roman" w:cs="Times New Roman"/>
          <w:sz w:val="18"/>
          <w:szCs w:val="18"/>
          <w:lang w:val="en-US"/>
        </w:rPr>
        <w:t xml:space="preserve">a </w:t>
      </w:r>
      <w:r w:rsidR="00BD2E53" w:rsidRPr="00BD2E53">
        <w:rPr>
          <w:rFonts w:ascii="Times New Roman" w:hAnsi="Times New Roman" w:cs="Times New Roman"/>
          <w:i/>
          <w:iCs/>
          <w:sz w:val="18"/>
          <w:szCs w:val="18"/>
          <w:lang w:val="en-US"/>
        </w:rPr>
        <w:t>Chi</w:t>
      </w:r>
      <w:r w:rsidR="0014059B" w:rsidRPr="00097346">
        <w:rPr>
          <w:rFonts w:ascii="Times New Roman" w:hAnsi="Times New Roman" w:cs="Times New Roman"/>
          <w:sz w:val="20"/>
          <w:szCs w:val="20"/>
          <w:vertAlign w:val="superscript"/>
          <w:lang w:val="en-US"/>
        </w:rPr>
        <w:t>2</w:t>
      </w:r>
      <w:r w:rsidRPr="003101A0">
        <w:rPr>
          <w:rFonts w:ascii="Times New Roman" w:hAnsi="Times New Roman" w:cs="Times New Roman"/>
          <w:sz w:val="18"/>
          <w:szCs w:val="18"/>
          <w:lang w:val="en-US"/>
        </w:rPr>
        <w:t xml:space="preserve">-test. Panel B presents Pearson correlations between </w:t>
      </w:r>
      <w:r w:rsidR="00A06136">
        <w:rPr>
          <w:rFonts w:ascii="Times New Roman" w:hAnsi="Times New Roman" w:cs="Times New Roman"/>
          <w:sz w:val="18"/>
          <w:szCs w:val="18"/>
          <w:lang w:val="en-US"/>
        </w:rPr>
        <w:t xml:space="preserve">the intensities of covenants for individual </w:t>
      </w:r>
      <w:r w:rsidRPr="003101A0">
        <w:rPr>
          <w:rFonts w:ascii="Times New Roman" w:hAnsi="Times New Roman" w:cs="Times New Roman"/>
          <w:sz w:val="18"/>
          <w:szCs w:val="18"/>
          <w:lang w:val="en-US"/>
        </w:rPr>
        <w:t>covenant</w:t>
      </w:r>
      <w:r w:rsidR="00B10D5C">
        <w:rPr>
          <w:rFonts w:ascii="Times New Roman" w:hAnsi="Times New Roman" w:cs="Times New Roman"/>
          <w:sz w:val="18"/>
          <w:szCs w:val="18"/>
          <w:lang w:val="en-US"/>
        </w:rPr>
        <w:t xml:space="preserve"> </w:t>
      </w:r>
      <w:r w:rsidR="00677DDF">
        <w:rPr>
          <w:rFonts w:ascii="Times New Roman" w:hAnsi="Times New Roman" w:cs="Times New Roman"/>
          <w:sz w:val="18"/>
          <w:szCs w:val="18"/>
          <w:lang w:val="en-US"/>
        </w:rPr>
        <w:t>group</w:t>
      </w:r>
      <w:r w:rsidR="00A06136">
        <w:rPr>
          <w:rFonts w:ascii="Times New Roman" w:hAnsi="Times New Roman" w:cs="Times New Roman"/>
          <w:sz w:val="18"/>
          <w:szCs w:val="18"/>
          <w:lang w:val="en-US"/>
        </w:rPr>
        <w:t>s</w:t>
      </w:r>
      <w:r w:rsidRPr="003101A0">
        <w:rPr>
          <w:rFonts w:ascii="Times New Roman" w:hAnsi="Times New Roman" w:cs="Times New Roman"/>
          <w:sz w:val="18"/>
          <w:szCs w:val="18"/>
          <w:lang w:val="en-US"/>
        </w:rPr>
        <w:t xml:space="preserve">. Correlations for the convertible (straight) bond sample are reported above (below) the diagonal. </w:t>
      </w:r>
      <w:r w:rsidRPr="00CD063E">
        <w:rPr>
          <w:rFonts w:ascii="Times New Roman" w:hAnsi="Times New Roman" w:cs="Times New Roman"/>
          <w:sz w:val="18"/>
          <w:szCs w:val="18"/>
          <w:lang w:val="en-US"/>
        </w:rPr>
        <w:t>*, **, ***</w:t>
      </w:r>
      <w:r w:rsidRPr="003101A0">
        <w:rPr>
          <w:rFonts w:ascii="Times New Roman" w:hAnsi="Times New Roman" w:cs="Times New Roman"/>
          <w:sz w:val="18"/>
          <w:szCs w:val="18"/>
          <w:vertAlign w:val="superscript"/>
          <w:lang w:val="en-US"/>
        </w:rPr>
        <w:t xml:space="preserve"> </w:t>
      </w:r>
      <w:r w:rsidRPr="003101A0">
        <w:rPr>
          <w:rFonts w:ascii="Times New Roman" w:hAnsi="Times New Roman" w:cs="Times New Roman"/>
          <w:sz w:val="18"/>
          <w:szCs w:val="20"/>
          <w:lang w:val="en-US"/>
        </w:rPr>
        <w:t>denote significance at the 10</w:t>
      </w:r>
      <w:r w:rsidR="003F4F48">
        <w:rPr>
          <w:rFonts w:ascii="Times New Roman" w:hAnsi="Times New Roman" w:cs="Times New Roman"/>
          <w:sz w:val="18"/>
          <w:szCs w:val="20"/>
          <w:lang w:val="en-US"/>
        </w:rPr>
        <w:t>%</w:t>
      </w:r>
      <w:r w:rsidRPr="003101A0">
        <w:rPr>
          <w:rFonts w:ascii="Times New Roman" w:hAnsi="Times New Roman" w:cs="Times New Roman"/>
          <w:sz w:val="18"/>
          <w:szCs w:val="20"/>
          <w:lang w:val="en-US"/>
        </w:rPr>
        <w:t>, 5</w:t>
      </w:r>
      <w:r w:rsidR="003F4F48">
        <w:rPr>
          <w:rFonts w:ascii="Times New Roman" w:hAnsi="Times New Roman" w:cs="Times New Roman"/>
          <w:sz w:val="18"/>
          <w:szCs w:val="20"/>
          <w:lang w:val="en-US"/>
        </w:rPr>
        <w:t>%</w:t>
      </w:r>
      <w:r w:rsidRPr="003101A0">
        <w:rPr>
          <w:rFonts w:ascii="Times New Roman" w:hAnsi="Times New Roman" w:cs="Times New Roman"/>
          <w:sz w:val="18"/>
          <w:szCs w:val="20"/>
          <w:lang w:val="en-US"/>
        </w:rPr>
        <w:t xml:space="preserve"> percent and </w:t>
      </w:r>
      <w:r w:rsidR="003F4F48">
        <w:rPr>
          <w:rFonts w:ascii="Times New Roman" w:hAnsi="Times New Roman" w:cs="Times New Roman"/>
          <w:sz w:val="18"/>
          <w:szCs w:val="20"/>
          <w:lang w:val="en-US"/>
        </w:rPr>
        <w:t xml:space="preserve">1% </w:t>
      </w:r>
      <w:r w:rsidRPr="003101A0">
        <w:rPr>
          <w:rFonts w:ascii="Times New Roman" w:hAnsi="Times New Roman" w:cs="Times New Roman"/>
          <w:sz w:val="18"/>
          <w:szCs w:val="20"/>
          <w:lang w:val="en-US"/>
        </w:rPr>
        <w:t>levels, respectively</w:t>
      </w:r>
      <w:r w:rsidR="001B3472">
        <w:rPr>
          <w:rFonts w:ascii="Times New Roman" w:hAnsi="Times New Roman" w:cs="Times New Roman"/>
          <w:sz w:val="18"/>
          <w:szCs w:val="20"/>
          <w:lang w:val="en-US"/>
        </w:rPr>
        <w:t xml:space="preserve"> </w:t>
      </w:r>
      <w:r w:rsidR="001B3472" w:rsidRPr="003101A0">
        <w:rPr>
          <w:rFonts w:ascii="Times New Roman" w:hAnsi="Times New Roman" w:cs="Times New Roman"/>
          <w:sz w:val="18"/>
          <w:szCs w:val="18"/>
          <w:lang w:val="en-US"/>
        </w:rPr>
        <w:t>(two-tailed)</w:t>
      </w:r>
      <w:r w:rsidRPr="003101A0">
        <w:rPr>
          <w:rFonts w:ascii="Times New Roman" w:hAnsi="Times New Roman" w:cs="Times New Roman"/>
          <w:sz w:val="18"/>
          <w:szCs w:val="20"/>
          <w:lang w:val="en-US"/>
        </w:rPr>
        <w:t>.</w:t>
      </w:r>
    </w:p>
    <w:p w14:paraId="316B560E" w14:textId="77777777" w:rsidR="00294950" w:rsidRPr="003101A0" w:rsidRDefault="00294950" w:rsidP="001A1B45">
      <w:pPr>
        <w:spacing w:after="0" w:line="240" w:lineRule="auto"/>
        <w:rPr>
          <w:rFonts w:ascii="Times New Roman" w:hAnsi="Times New Roman" w:cs="Times New Roman"/>
          <w:sz w:val="18"/>
          <w:szCs w:val="18"/>
          <w:lang w:val="en-US"/>
        </w:rPr>
      </w:pPr>
    </w:p>
    <w:p w14:paraId="7DD13006" w14:textId="77777777" w:rsidR="00294950" w:rsidRPr="003101A0" w:rsidRDefault="00294950" w:rsidP="001A1B45">
      <w:pPr>
        <w:spacing w:after="0" w:line="240" w:lineRule="auto"/>
        <w:rPr>
          <w:rFonts w:ascii="Times New Roman" w:hAnsi="Times New Roman" w:cs="Times New Roman"/>
          <w:sz w:val="18"/>
          <w:szCs w:val="18"/>
          <w:lang w:val="en-US"/>
        </w:rPr>
      </w:pPr>
      <w:r w:rsidRPr="003101A0">
        <w:rPr>
          <w:rFonts w:ascii="Times New Roman" w:hAnsi="Times New Roman" w:cs="Times New Roman"/>
          <w:sz w:val="18"/>
          <w:szCs w:val="18"/>
          <w:lang w:val="en-US"/>
        </w:rPr>
        <w:t xml:space="preserve"> </w:t>
      </w:r>
    </w:p>
    <w:p w14:paraId="5D2C4752" w14:textId="77777777" w:rsidR="00294950" w:rsidRPr="003101A0" w:rsidRDefault="00294950" w:rsidP="00493F00">
      <w:pPr>
        <w:spacing w:after="0" w:line="240" w:lineRule="auto"/>
        <w:rPr>
          <w:rFonts w:ascii="Times New Roman" w:hAnsi="Times New Roman" w:cs="Times New Roman"/>
          <w:lang w:val="en-US"/>
        </w:rPr>
        <w:sectPr w:rsidR="00294950" w:rsidRPr="003101A0" w:rsidSect="003101A0">
          <w:pgSz w:w="16840" w:h="11900" w:orient="landscape"/>
          <w:pgMar w:top="1440" w:right="1440" w:bottom="1440" w:left="1440" w:header="708" w:footer="708" w:gutter="0"/>
          <w:cols w:space="708"/>
          <w:docGrid w:linePitch="360"/>
        </w:sect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6"/>
        <w:gridCol w:w="992"/>
        <w:gridCol w:w="992"/>
        <w:gridCol w:w="992"/>
        <w:gridCol w:w="426"/>
        <w:gridCol w:w="1134"/>
        <w:gridCol w:w="1061"/>
        <w:gridCol w:w="1031"/>
      </w:tblGrid>
      <w:tr w:rsidR="00294950" w:rsidRPr="003101A0" w14:paraId="0145558B" w14:textId="77777777" w:rsidTr="003101A0">
        <w:tc>
          <w:tcPr>
            <w:tcW w:w="9214" w:type="dxa"/>
            <w:gridSpan w:val="8"/>
            <w:tcBorders>
              <w:bottom w:val="single" w:sz="4" w:space="0" w:color="auto"/>
            </w:tcBorders>
          </w:tcPr>
          <w:p w14:paraId="06B8F96C"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b/>
                <w:sz w:val="20"/>
                <w:szCs w:val="20"/>
                <w:lang w:val="en-US"/>
              </w:rPr>
              <w:lastRenderedPageBreak/>
              <w:t>Table 3: Summary statistics</w:t>
            </w:r>
          </w:p>
        </w:tc>
      </w:tr>
      <w:tr w:rsidR="00294950" w:rsidRPr="003101A0" w14:paraId="7F2B858E" w14:textId="77777777" w:rsidTr="003101A0">
        <w:tc>
          <w:tcPr>
            <w:tcW w:w="2586" w:type="dxa"/>
            <w:tcBorders>
              <w:top w:val="single" w:sz="4" w:space="0" w:color="auto"/>
            </w:tcBorders>
          </w:tcPr>
          <w:p w14:paraId="5BEF568A" w14:textId="77777777" w:rsidR="00294950" w:rsidRPr="003101A0" w:rsidRDefault="00294950" w:rsidP="003C1477">
            <w:pPr>
              <w:rPr>
                <w:rFonts w:ascii="Times New Roman" w:hAnsi="Times New Roman" w:cs="Times New Roman"/>
                <w:sz w:val="20"/>
                <w:szCs w:val="20"/>
                <w:lang w:val="en-US"/>
              </w:rPr>
            </w:pPr>
          </w:p>
        </w:tc>
        <w:tc>
          <w:tcPr>
            <w:tcW w:w="2976" w:type="dxa"/>
            <w:gridSpan w:val="3"/>
            <w:tcBorders>
              <w:top w:val="single" w:sz="4" w:space="0" w:color="auto"/>
            </w:tcBorders>
            <w:vAlign w:val="center"/>
          </w:tcPr>
          <w:p w14:paraId="07D7C9F3"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Convertible (</w:t>
            </w:r>
            <w:r w:rsidRPr="003101A0">
              <w:rPr>
                <w:rFonts w:ascii="Times New Roman" w:hAnsi="Times New Roman" w:cs="Times New Roman"/>
                <w:i/>
                <w:iCs/>
                <w:sz w:val="20"/>
                <w:szCs w:val="20"/>
                <w:lang w:val="en-US"/>
              </w:rPr>
              <w:t xml:space="preserve">N </w:t>
            </w:r>
            <w:r w:rsidRPr="003101A0">
              <w:rPr>
                <w:rFonts w:ascii="Times New Roman" w:hAnsi="Times New Roman" w:cs="Times New Roman"/>
                <w:sz w:val="20"/>
                <w:szCs w:val="20"/>
                <w:lang w:val="en-US"/>
              </w:rPr>
              <w:t>= 2,097)</w:t>
            </w:r>
          </w:p>
        </w:tc>
        <w:tc>
          <w:tcPr>
            <w:tcW w:w="426" w:type="dxa"/>
            <w:tcBorders>
              <w:top w:val="single" w:sz="4" w:space="0" w:color="auto"/>
            </w:tcBorders>
            <w:vAlign w:val="center"/>
          </w:tcPr>
          <w:p w14:paraId="7C6B17BC" w14:textId="77777777" w:rsidR="00294950" w:rsidRPr="003101A0" w:rsidRDefault="00294950" w:rsidP="003C1477">
            <w:pPr>
              <w:rPr>
                <w:rFonts w:ascii="Times New Roman" w:hAnsi="Times New Roman" w:cs="Times New Roman"/>
                <w:sz w:val="20"/>
                <w:szCs w:val="20"/>
                <w:lang w:val="en-US"/>
              </w:rPr>
            </w:pPr>
          </w:p>
        </w:tc>
        <w:tc>
          <w:tcPr>
            <w:tcW w:w="3226" w:type="dxa"/>
            <w:gridSpan w:val="3"/>
            <w:tcBorders>
              <w:top w:val="single" w:sz="4" w:space="0" w:color="auto"/>
            </w:tcBorders>
            <w:vAlign w:val="center"/>
          </w:tcPr>
          <w:p w14:paraId="337A8ACC"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color w:val="000000"/>
                <w:sz w:val="20"/>
                <w:szCs w:val="20"/>
                <w:lang w:val="en-US"/>
              </w:rPr>
              <w:t>Straight (</w:t>
            </w:r>
            <w:r w:rsidRPr="003101A0">
              <w:rPr>
                <w:rFonts w:ascii="Times New Roman" w:hAnsi="Times New Roman" w:cs="Times New Roman"/>
                <w:i/>
                <w:iCs/>
                <w:color w:val="000000"/>
                <w:sz w:val="20"/>
                <w:szCs w:val="20"/>
                <w:lang w:val="en-US"/>
              </w:rPr>
              <w:t>N</w:t>
            </w:r>
            <w:r w:rsidRPr="003101A0">
              <w:rPr>
                <w:rFonts w:ascii="Times New Roman" w:hAnsi="Times New Roman" w:cs="Times New Roman"/>
                <w:color w:val="000000"/>
                <w:sz w:val="20"/>
                <w:szCs w:val="20"/>
                <w:lang w:val="en-US"/>
              </w:rPr>
              <w:t xml:space="preserve"> = 9,011)</w:t>
            </w:r>
          </w:p>
        </w:tc>
      </w:tr>
      <w:tr w:rsidR="00294950" w:rsidRPr="003101A0" w14:paraId="3351D0EE" w14:textId="77777777" w:rsidTr="003101A0">
        <w:tc>
          <w:tcPr>
            <w:tcW w:w="2586" w:type="dxa"/>
            <w:tcBorders>
              <w:bottom w:val="single" w:sz="4" w:space="0" w:color="auto"/>
            </w:tcBorders>
            <w:vAlign w:val="center"/>
          </w:tcPr>
          <w:p w14:paraId="43AF836F" w14:textId="77777777" w:rsidR="00294950" w:rsidRPr="003101A0" w:rsidRDefault="00294950" w:rsidP="003C1477">
            <w:pPr>
              <w:rPr>
                <w:rFonts w:ascii="Times New Roman" w:hAnsi="Times New Roman" w:cs="Times New Roman"/>
                <w:sz w:val="20"/>
                <w:szCs w:val="20"/>
                <w:lang w:val="en-US"/>
              </w:rPr>
            </w:pPr>
          </w:p>
        </w:tc>
        <w:tc>
          <w:tcPr>
            <w:tcW w:w="992" w:type="dxa"/>
            <w:tcBorders>
              <w:bottom w:val="single" w:sz="4" w:space="0" w:color="auto"/>
            </w:tcBorders>
            <w:vAlign w:val="center"/>
          </w:tcPr>
          <w:p w14:paraId="3F521410"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Mean</w:t>
            </w:r>
          </w:p>
        </w:tc>
        <w:tc>
          <w:tcPr>
            <w:tcW w:w="992" w:type="dxa"/>
            <w:tcBorders>
              <w:bottom w:val="single" w:sz="4" w:space="0" w:color="auto"/>
            </w:tcBorders>
            <w:vAlign w:val="center"/>
          </w:tcPr>
          <w:p w14:paraId="4AD88261"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Median</w:t>
            </w:r>
          </w:p>
        </w:tc>
        <w:tc>
          <w:tcPr>
            <w:tcW w:w="992" w:type="dxa"/>
            <w:tcBorders>
              <w:bottom w:val="single" w:sz="4" w:space="0" w:color="auto"/>
            </w:tcBorders>
            <w:vAlign w:val="center"/>
          </w:tcPr>
          <w:p w14:paraId="6F0E9189"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Std. Dev.</w:t>
            </w:r>
          </w:p>
        </w:tc>
        <w:tc>
          <w:tcPr>
            <w:tcW w:w="426" w:type="dxa"/>
            <w:tcBorders>
              <w:bottom w:val="single" w:sz="4" w:space="0" w:color="auto"/>
            </w:tcBorders>
            <w:vAlign w:val="center"/>
          </w:tcPr>
          <w:p w14:paraId="1CF22DDB" w14:textId="77777777" w:rsidR="00294950" w:rsidRPr="003101A0" w:rsidRDefault="00294950" w:rsidP="003C1477">
            <w:pPr>
              <w:rPr>
                <w:rFonts w:ascii="Times New Roman" w:hAnsi="Times New Roman" w:cs="Times New Roman"/>
                <w:sz w:val="20"/>
                <w:szCs w:val="20"/>
                <w:lang w:val="en-US"/>
              </w:rPr>
            </w:pPr>
          </w:p>
        </w:tc>
        <w:tc>
          <w:tcPr>
            <w:tcW w:w="1134" w:type="dxa"/>
            <w:tcBorders>
              <w:bottom w:val="single" w:sz="4" w:space="0" w:color="auto"/>
            </w:tcBorders>
            <w:vAlign w:val="center"/>
          </w:tcPr>
          <w:p w14:paraId="11D5F26B"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Mean</w:t>
            </w:r>
          </w:p>
        </w:tc>
        <w:tc>
          <w:tcPr>
            <w:tcW w:w="1061" w:type="dxa"/>
            <w:tcBorders>
              <w:bottom w:val="single" w:sz="4" w:space="0" w:color="auto"/>
            </w:tcBorders>
            <w:vAlign w:val="center"/>
          </w:tcPr>
          <w:p w14:paraId="57C1ADC3"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Median</w:t>
            </w:r>
          </w:p>
        </w:tc>
        <w:tc>
          <w:tcPr>
            <w:tcW w:w="1031" w:type="dxa"/>
            <w:tcBorders>
              <w:bottom w:val="single" w:sz="4" w:space="0" w:color="auto"/>
            </w:tcBorders>
            <w:vAlign w:val="center"/>
          </w:tcPr>
          <w:p w14:paraId="3C340933"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Std. Dev.</w:t>
            </w:r>
          </w:p>
        </w:tc>
      </w:tr>
      <w:tr w:rsidR="00294950" w:rsidRPr="003101A0" w14:paraId="0F2E35E4" w14:textId="77777777" w:rsidTr="003101A0">
        <w:tc>
          <w:tcPr>
            <w:tcW w:w="9214" w:type="dxa"/>
            <w:gridSpan w:val="8"/>
            <w:tcBorders>
              <w:top w:val="single" w:sz="4" w:space="0" w:color="auto"/>
              <w:bottom w:val="single" w:sz="4" w:space="0" w:color="auto"/>
            </w:tcBorders>
            <w:vAlign w:val="center"/>
          </w:tcPr>
          <w:p w14:paraId="64C90769" w14:textId="77777777" w:rsidR="00294950" w:rsidRPr="00F36282" w:rsidRDefault="00294950" w:rsidP="003C1477">
            <w:pPr>
              <w:rPr>
                <w:rFonts w:ascii="Times New Roman" w:hAnsi="Times New Roman" w:cs="Times New Roman"/>
                <w:iCs/>
                <w:sz w:val="20"/>
                <w:szCs w:val="20"/>
                <w:lang w:val="en-US"/>
              </w:rPr>
            </w:pPr>
            <w:r w:rsidRPr="00B16F67">
              <w:rPr>
                <w:rFonts w:ascii="Times New Roman" w:hAnsi="Times New Roman" w:cs="Times New Roman"/>
                <w:iCs/>
                <w:sz w:val="20"/>
                <w:szCs w:val="20"/>
                <w:lang w:val="en-US"/>
              </w:rPr>
              <w:t>Panel A: Issuer characteristics</w:t>
            </w:r>
          </w:p>
        </w:tc>
      </w:tr>
      <w:tr w:rsidR="00294950" w:rsidRPr="003101A0" w14:paraId="5399E883" w14:textId="77777777" w:rsidTr="003101A0">
        <w:tc>
          <w:tcPr>
            <w:tcW w:w="2586" w:type="dxa"/>
            <w:tcBorders>
              <w:top w:val="single" w:sz="4" w:space="0" w:color="auto"/>
            </w:tcBorders>
            <w:vAlign w:val="center"/>
          </w:tcPr>
          <w:p w14:paraId="7AD63122"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Leverage</w:t>
            </w:r>
          </w:p>
        </w:tc>
        <w:tc>
          <w:tcPr>
            <w:tcW w:w="992" w:type="dxa"/>
            <w:tcBorders>
              <w:top w:val="single" w:sz="4" w:space="0" w:color="auto"/>
            </w:tcBorders>
          </w:tcPr>
          <w:p w14:paraId="0627E63B"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0.251</w:t>
            </w:r>
          </w:p>
        </w:tc>
        <w:tc>
          <w:tcPr>
            <w:tcW w:w="992" w:type="dxa"/>
            <w:tcBorders>
              <w:top w:val="single" w:sz="4" w:space="0" w:color="auto"/>
            </w:tcBorders>
          </w:tcPr>
          <w:p w14:paraId="43B82918"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0.231</w:t>
            </w:r>
          </w:p>
        </w:tc>
        <w:tc>
          <w:tcPr>
            <w:tcW w:w="992" w:type="dxa"/>
            <w:tcBorders>
              <w:top w:val="single" w:sz="4" w:space="0" w:color="auto"/>
            </w:tcBorders>
          </w:tcPr>
          <w:p w14:paraId="0B0D5863"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0.215</w:t>
            </w:r>
          </w:p>
        </w:tc>
        <w:tc>
          <w:tcPr>
            <w:tcW w:w="426" w:type="dxa"/>
            <w:tcBorders>
              <w:top w:val="single" w:sz="4" w:space="0" w:color="auto"/>
            </w:tcBorders>
            <w:vAlign w:val="center"/>
          </w:tcPr>
          <w:p w14:paraId="1A047933" w14:textId="77777777" w:rsidR="00294950" w:rsidRPr="003101A0" w:rsidRDefault="00294950" w:rsidP="003C1477">
            <w:pPr>
              <w:rPr>
                <w:rFonts w:ascii="Times New Roman" w:hAnsi="Times New Roman" w:cs="Times New Roman"/>
                <w:sz w:val="20"/>
                <w:szCs w:val="20"/>
                <w:lang w:val="en-US"/>
              </w:rPr>
            </w:pPr>
          </w:p>
        </w:tc>
        <w:tc>
          <w:tcPr>
            <w:tcW w:w="1134" w:type="dxa"/>
            <w:tcBorders>
              <w:top w:val="single" w:sz="4" w:space="0" w:color="auto"/>
            </w:tcBorders>
          </w:tcPr>
          <w:p w14:paraId="38AA6BF3"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0.293</w:t>
            </w:r>
            <w:r w:rsidRPr="00CD063E">
              <w:rPr>
                <w:rFonts w:ascii="Times New Roman" w:hAnsi="Times New Roman" w:cs="Times New Roman"/>
                <w:color w:val="000000"/>
                <w:sz w:val="20"/>
                <w:szCs w:val="20"/>
                <w:lang w:val="en-US"/>
              </w:rPr>
              <w:t>***</w:t>
            </w:r>
          </w:p>
        </w:tc>
        <w:tc>
          <w:tcPr>
            <w:tcW w:w="1061" w:type="dxa"/>
            <w:tcBorders>
              <w:top w:val="single" w:sz="4" w:space="0" w:color="auto"/>
            </w:tcBorders>
          </w:tcPr>
          <w:p w14:paraId="7CFC1B9F"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0.269</w:t>
            </w:r>
            <w:r w:rsidRPr="00CD063E">
              <w:rPr>
                <w:rFonts w:ascii="Times New Roman" w:hAnsi="Times New Roman" w:cs="Times New Roman"/>
                <w:color w:val="000000"/>
                <w:sz w:val="20"/>
                <w:szCs w:val="20"/>
                <w:lang w:val="en-US"/>
              </w:rPr>
              <w:t>***</w:t>
            </w:r>
          </w:p>
        </w:tc>
        <w:tc>
          <w:tcPr>
            <w:tcW w:w="1031" w:type="dxa"/>
            <w:tcBorders>
              <w:top w:val="single" w:sz="4" w:space="0" w:color="auto"/>
            </w:tcBorders>
          </w:tcPr>
          <w:p w14:paraId="6EBC9480"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0.169</w:t>
            </w:r>
          </w:p>
        </w:tc>
      </w:tr>
      <w:tr w:rsidR="00294950" w:rsidRPr="003101A0" w14:paraId="7CB8FBB5" w14:textId="77777777" w:rsidTr="003101A0">
        <w:tc>
          <w:tcPr>
            <w:tcW w:w="2586" w:type="dxa"/>
            <w:vAlign w:val="center"/>
          </w:tcPr>
          <w:p w14:paraId="5279C6BA"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Volatility</w:t>
            </w:r>
          </w:p>
        </w:tc>
        <w:tc>
          <w:tcPr>
            <w:tcW w:w="992" w:type="dxa"/>
          </w:tcPr>
          <w:p w14:paraId="24C99EF2"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0.034</w:t>
            </w:r>
          </w:p>
        </w:tc>
        <w:tc>
          <w:tcPr>
            <w:tcW w:w="992" w:type="dxa"/>
          </w:tcPr>
          <w:p w14:paraId="65E3676E"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0.030</w:t>
            </w:r>
          </w:p>
        </w:tc>
        <w:tc>
          <w:tcPr>
            <w:tcW w:w="992" w:type="dxa"/>
          </w:tcPr>
          <w:p w14:paraId="6003C5AB"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0.016</w:t>
            </w:r>
          </w:p>
        </w:tc>
        <w:tc>
          <w:tcPr>
            <w:tcW w:w="426" w:type="dxa"/>
            <w:vAlign w:val="center"/>
          </w:tcPr>
          <w:p w14:paraId="0BC321BE" w14:textId="77777777" w:rsidR="00294950" w:rsidRPr="003101A0" w:rsidRDefault="00294950" w:rsidP="003C1477">
            <w:pPr>
              <w:rPr>
                <w:rFonts w:ascii="Times New Roman" w:hAnsi="Times New Roman" w:cs="Times New Roman"/>
                <w:sz w:val="20"/>
                <w:szCs w:val="20"/>
                <w:lang w:val="en-US"/>
              </w:rPr>
            </w:pPr>
          </w:p>
        </w:tc>
        <w:tc>
          <w:tcPr>
            <w:tcW w:w="1134" w:type="dxa"/>
          </w:tcPr>
          <w:p w14:paraId="57F229B9"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0.023</w:t>
            </w:r>
            <w:r w:rsidRPr="00CD063E">
              <w:rPr>
                <w:rFonts w:ascii="Times New Roman" w:hAnsi="Times New Roman" w:cs="Times New Roman"/>
                <w:color w:val="000000"/>
                <w:sz w:val="20"/>
                <w:szCs w:val="20"/>
                <w:lang w:val="en-US"/>
              </w:rPr>
              <w:t>***</w:t>
            </w:r>
          </w:p>
        </w:tc>
        <w:tc>
          <w:tcPr>
            <w:tcW w:w="1061" w:type="dxa"/>
          </w:tcPr>
          <w:p w14:paraId="003784CA"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0.019</w:t>
            </w:r>
            <w:r w:rsidRPr="00CD063E">
              <w:rPr>
                <w:rFonts w:ascii="Times New Roman" w:hAnsi="Times New Roman" w:cs="Times New Roman"/>
                <w:color w:val="000000"/>
                <w:sz w:val="20"/>
                <w:szCs w:val="20"/>
                <w:lang w:val="en-US"/>
              </w:rPr>
              <w:t>***</w:t>
            </w:r>
          </w:p>
        </w:tc>
        <w:tc>
          <w:tcPr>
            <w:tcW w:w="1031" w:type="dxa"/>
          </w:tcPr>
          <w:p w14:paraId="6CEDE00B"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0.012</w:t>
            </w:r>
          </w:p>
        </w:tc>
      </w:tr>
      <w:tr w:rsidR="00294950" w:rsidRPr="003101A0" w14:paraId="427ABD00" w14:textId="77777777" w:rsidTr="003101A0">
        <w:tc>
          <w:tcPr>
            <w:tcW w:w="2586" w:type="dxa"/>
            <w:vAlign w:val="center"/>
          </w:tcPr>
          <w:p w14:paraId="5F9D44C4"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ROA</w:t>
            </w:r>
          </w:p>
        </w:tc>
        <w:tc>
          <w:tcPr>
            <w:tcW w:w="992" w:type="dxa"/>
          </w:tcPr>
          <w:p w14:paraId="2F63F057"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-0.040</w:t>
            </w:r>
          </w:p>
        </w:tc>
        <w:tc>
          <w:tcPr>
            <w:tcW w:w="992" w:type="dxa"/>
          </w:tcPr>
          <w:p w14:paraId="28080AFB"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0.018</w:t>
            </w:r>
          </w:p>
        </w:tc>
        <w:tc>
          <w:tcPr>
            <w:tcW w:w="992" w:type="dxa"/>
          </w:tcPr>
          <w:p w14:paraId="5799FCB3"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0.169</w:t>
            </w:r>
          </w:p>
        </w:tc>
        <w:tc>
          <w:tcPr>
            <w:tcW w:w="426" w:type="dxa"/>
            <w:vAlign w:val="center"/>
          </w:tcPr>
          <w:p w14:paraId="49803DBD" w14:textId="77777777" w:rsidR="00294950" w:rsidRPr="003101A0" w:rsidRDefault="00294950" w:rsidP="003C1477">
            <w:pPr>
              <w:rPr>
                <w:rFonts w:ascii="Times New Roman" w:hAnsi="Times New Roman" w:cs="Times New Roman"/>
                <w:sz w:val="20"/>
                <w:szCs w:val="20"/>
                <w:lang w:val="en-US"/>
              </w:rPr>
            </w:pPr>
          </w:p>
        </w:tc>
        <w:tc>
          <w:tcPr>
            <w:tcW w:w="1134" w:type="dxa"/>
          </w:tcPr>
          <w:p w14:paraId="57CD45EA"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0.048</w:t>
            </w:r>
            <w:r w:rsidRPr="00CD063E">
              <w:rPr>
                <w:rFonts w:ascii="Times New Roman" w:hAnsi="Times New Roman" w:cs="Times New Roman"/>
                <w:color w:val="000000"/>
                <w:sz w:val="20"/>
                <w:szCs w:val="20"/>
                <w:lang w:val="en-US"/>
              </w:rPr>
              <w:t>***</w:t>
            </w:r>
          </w:p>
        </w:tc>
        <w:tc>
          <w:tcPr>
            <w:tcW w:w="1061" w:type="dxa"/>
          </w:tcPr>
          <w:p w14:paraId="78FFFC12"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0.053</w:t>
            </w:r>
            <w:r w:rsidRPr="00CD063E">
              <w:rPr>
                <w:rFonts w:ascii="Times New Roman" w:hAnsi="Times New Roman" w:cs="Times New Roman"/>
                <w:color w:val="000000"/>
                <w:sz w:val="20"/>
                <w:szCs w:val="20"/>
                <w:lang w:val="en-US"/>
              </w:rPr>
              <w:t>***</w:t>
            </w:r>
          </w:p>
        </w:tc>
        <w:tc>
          <w:tcPr>
            <w:tcW w:w="1031" w:type="dxa"/>
          </w:tcPr>
          <w:p w14:paraId="0F76251F"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0.079</w:t>
            </w:r>
          </w:p>
        </w:tc>
      </w:tr>
      <w:tr w:rsidR="00294950" w:rsidRPr="003101A0" w14:paraId="395D338C" w14:textId="77777777" w:rsidTr="003101A0">
        <w:tc>
          <w:tcPr>
            <w:tcW w:w="2586" w:type="dxa"/>
            <w:vAlign w:val="center"/>
          </w:tcPr>
          <w:p w14:paraId="79B17F50"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PPE</w:t>
            </w:r>
          </w:p>
        </w:tc>
        <w:tc>
          <w:tcPr>
            <w:tcW w:w="992" w:type="dxa"/>
          </w:tcPr>
          <w:p w14:paraId="296E29DB"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0.227</w:t>
            </w:r>
          </w:p>
        </w:tc>
        <w:tc>
          <w:tcPr>
            <w:tcW w:w="992" w:type="dxa"/>
          </w:tcPr>
          <w:p w14:paraId="024891E6"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0.147</w:t>
            </w:r>
          </w:p>
        </w:tc>
        <w:tc>
          <w:tcPr>
            <w:tcW w:w="992" w:type="dxa"/>
          </w:tcPr>
          <w:p w14:paraId="3511E824"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0.219</w:t>
            </w:r>
          </w:p>
        </w:tc>
        <w:tc>
          <w:tcPr>
            <w:tcW w:w="426" w:type="dxa"/>
            <w:vAlign w:val="center"/>
          </w:tcPr>
          <w:p w14:paraId="0B0380C7" w14:textId="77777777" w:rsidR="00294950" w:rsidRPr="003101A0" w:rsidRDefault="00294950" w:rsidP="003C1477">
            <w:pPr>
              <w:rPr>
                <w:rFonts w:ascii="Times New Roman" w:hAnsi="Times New Roman" w:cs="Times New Roman"/>
                <w:sz w:val="20"/>
                <w:szCs w:val="20"/>
                <w:lang w:val="en-US"/>
              </w:rPr>
            </w:pPr>
          </w:p>
        </w:tc>
        <w:tc>
          <w:tcPr>
            <w:tcW w:w="1134" w:type="dxa"/>
          </w:tcPr>
          <w:p w14:paraId="207018A7"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0.363</w:t>
            </w:r>
            <w:r w:rsidRPr="00CD063E">
              <w:rPr>
                <w:rFonts w:ascii="Times New Roman" w:hAnsi="Times New Roman" w:cs="Times New Roman"/>
                <w:color w:val="000000"/>
                <w:sz w:val="20"/>
                <w:szCs w:val="20"/>
                <w:lang w:val="en-US"/>
              </w:rPr>
              <w:t>***</w:t>
            </w:r>
          </w:p>
        </w:tc>
        <w:tc>
          <w:tcPr>
            <w:tcW w:w="1061" w:type="dxa"/>
          </w:tcPr>
          <w:p w14:paraId="076E87A7"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0.296</w:t>
            </w:r>
            <w:r w:rsidRPr="00CD063E">
              <w:rPr>
                <w:rFonts w:ascii="Times New Roman" w:hAnsi="Times New Roman" w:cs="Times New Roman"/>
                <w:color w:val="000000"/>
                <w:sz w:val="20"/>
                <w:szCs w:val="20"/>
                <w:lang w:val="en-US"/>
              </w:rPr>
              <w:t>***</w:t>
            </w:r>
          </w:p>
        </w:tc>
        <w:tc>
          <w:tcPr>
            <w:tcW w:w="1031" w:type="dxa"/>
          </w:tcPr>
          <w:p w14:paraId="3656C1FF"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0.261</w:t>
            </w:r>
          </w:p>
        </w:tc>
      </w:tr>
      <w:tr w:rsidR="00294950" w:rsidRPr="003101A0" w14:paraId="15E7ABC2" w14:textId="77777777" w:rsidTr="003101A0">
        <w:tc>
          <w:tcPr>
            <w:tcW w:w="2586" w:type="dxa"/>
            <w:vAlign w:val="center"/>
          </w:tcPr>
          <w:p w14:paraId="478F4884"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Interest coverage</w:t>
            </w:r>
          </w:p>
        </w:tc>
        <w:tc>
          <w:tcPr>
            <w:tcW w:w="992" w:type="dxa"/>
          </w:tcPr>
          <w:p w14:paraId="5EDDD4CE"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15.545</w:t>
            </w:r>
          </w:p>
        </w:tc>
        <w:tc>
          <w:tcPr>
            <w:tcW w:w="992" w:type="dxa"/>
          </w:tcPr>
          <w:p w14:paraId="7F39CF67"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4.250</w:t>
            </w:r>
          </w:p>
        </w:tc>
        <w:tc>
          <w:tcPr>
            <w:tcW w:w="992" w:type="dxa"/>
          </w:tcPr>
          <w:p w14:paraId="67D6AA30"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37.394</w:t>
            </w:r>
          </w:p>
        </w:tc>
        <w:tc>
          <w:tcPr>
            <w:tcW w:w="426" w:type="dxa"/>
            <w:vAlign w:val="center"/>
          </w:tcPr>
          <w:p w14:paraId="314BD25F" w14:textId="77777777" w:rsidR="00294950" w:rsidRPr="003101A0" w:rsidRDefault="00294950" w:rsidP="003C1477">
            <w:pPr>
              <w:rPr>
                <w:rFonts w:ascii="Times New Roman" w:hAnsi="Times New Roman" w:cs="Times New Roman"/>
                <w:sz w:val="20"/>
                <w:szCs w:val="20"/>
                <w:lang w:val="en-US"/>
              </w:rPr>
            </w:pPr>
          </w:p>
        </w:tc>
        <w:tc>
          <w:tcPr>
            <w:tcW w:w="1134" w:type="dxa"/>
          </w:tcPr>
          <w:p w14:paraId="44D265AC"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13.486</w:t>
            </w:r>
            <w:r w:rsidRPr="00CD063E">
              <w:rPr>
                <w:rFonts w:ascii="Times New Roman" w:hAnsi="Times New Roman" w:cs="Times New Roman"/>
                <w:color w:val="000000"/>
                <w:sz w:val="20"/>
                <w:szCs w:val="20"/>
                <w:lang w:val="en-US"/>
              </w:rPr>
              <w:t>*</w:t>
            </w:r>
          </w:p>
        </w:tc>
        <w:tc>
          <w:tcPr>
            <w:tcW w:w="1061" w:type="dxa"/>
          </w:tcPr>
          <w:p w14:paraId="5693452F"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7.839</w:t>
            </w:r>
            <w:r w:rsidRPr="00CD063E">
              <w:rPr>
                <w:rFonts w:ascii="Times New Roman" w:hAnsi="Times New Roman" w:cs="Times New Roman"/>
                <w:color w:val="000000"/>
                <w:sz w:val="20"/>
                <w:szCs w:val="20"/>
                <w:lang w:val="en-US"/>
              </w:rPr>
              <w:t>***</w:t>
            </w:r>
          </w:p>
        </w:tc>
        <w:tc>
          <w:tcPr>
            <w:tcW w:w="1031" w:type="dxa"/>
          </w:tcPr>
          <w:p w14:paraId="6AD203C6"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22.459</w:t>
            </w:r>
          </w:p>
        </w:tc>
      </w:tr>
      <w:tr w:rsidR="00294950" w:rsidRPr="003101A0" w14:paraId="6D2640F6" w14:textId="77777777" w:rsidTr="003101A0">
        <w:tc>
          <w:tcPr>
            <w:tcW w:w="2586" w:type="dxa"/>
            <w:vAlign w:val="center"/>
          </w:tcPr>
          <w:p w14:paraId="73B4E972"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Total assets ($million)</w:t>
            </w:r>
          </w:p>
        </w:tc>
        <w:tc>
          <w:tcPr>
            <w:tcW w:w="992" w:type="dxa"/>
          </w:tcPr>
          <w:p w14:paraId="7E6CAE8D"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2,739</w:t>
            </w:r>
          </w:p>
        </w:tc>
        <w:tc>
          <w:tcPr>
            <w:tcW w:w="992" w:type="dxa"/>
          </w:tcPr>
          <w:p w14:paraId="2A71460B"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785</w:t>
            </w:r>
          </w:p>
        </w:tc>
        <w:tc>
          <w:tcPr>
            <w:tcW w:w="992" w:type="dxa"/>
          </w:tcPr>
          <w:p w14:paraId="5698E059"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8,444</w:t>
            </w:r>
          </w:p>
        </w:tc>
        <w:tc>
          <w:tcPr>
            <w:tcW w:w="426" w:type="dxa"/>
            <w:vAlign w:val="center"/>
          </w:tcPr>
          <w:p w14:paraId="41E393B1" w14:textId="77777777" w:rsidR="00294950" w:rsidRPr="003101A0" w:rsidRDefault="00294950" w:rsidP="003C1477">
            <w:pPr>
              <w:rPr>
                <w:rFonts w:ascii="Times New Roman" w:hAnsi="Times New Roman" w:cs="Times New Roman"/>
                <w:sz w:val="20"/>
                <w:szCs w:val="20"/>
                <w:lang w:val="en-US"/>
              </w:rPr>
            </w:pPr>
          </w:p>
        </w:tc>
        <w:tc>
          <w:tcPr>
            <w:tcW w:w="1134" w:type="dxa"/>
          </w:tcPr>
          <w:p w14:paraId="52A5D394"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23,082</w:t>
            </w:r>
            <w:r w:rsidRPr="00CD063E">
              <w:rPr>
                <w:rFonts w:ascii="Times New Roman" w:hAnsi="Times New Roman" w:cs="Times New Roman"/>
                <w:color w:val="000000"/>
                <w:sz w:val="20"/>
                <w:szCs w:val="20"/>
                <w:lang w:val="en-US"/>
              </w:rPr>
              <w:t>***</w:t>
            </w:r>
          </w:p>
        </w:tc>
        <w:tc>
          <w:tcPr>
            <w:tcW w:w="1061" w:type="dxa"/>
          </w:tcPr>
          <w:p w14:paraId="3EB2AC48"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7,592</w:t>
            </w:r>
            <w:r w:rsidRPr="00CD063E">
              <w:rPr>
                <w:rFonts w:ascii="Times New Roman" w:hAnsi="Times New Roman" w:cs="Times New Roman"/>
                <w:color w:val="000000"/>
                <w:sz w:val="20"/>
                <w:szCs w:val="20"/>
                <w:lang w:val="en-US"/>
              </w:rPr>
              <w:t>***</w:t>
            </w:r>
          </w:p>
        </w:tc>
        <w:tc>
          <w:tcPr>
            <w:tcW w:w="1031" w:type="dxa"/>
          </w:tcPr>
          <w:p w14:paraId="678825FD"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41,149</w:t>
            </w:r>
          </w:p>
        </w:tc>
      </w:tr>
      <w:tr w:rsidR="00294950" w:rsidRPr="003101A0" w14:paraId="586FB4FE" w14:textId="77777777" w:rsidTr="003101A0">
        <w:tc>
          <w:tcPr>
            <w:tcW w:w="2586" w:type="dxa"/>
            <w:vAlign w:val="center"/>
          </w:tcPr>
          <w:p w14:paraId="6F970657"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Investment grade (%)</w:t>
            </w:r>
          </w:p>
        </w:tc>
        <w:tc>
          <w:tcPr>
            <w:tcW w:w="992" w:type="dxa"/>
          </w:tcPr>
          <w:p w14:paraId="0FDB23E1"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11.87</w:t>
            </w:r>
          </w:p>
        </w:tc>
        <w:tc>
          <w:tcPr>
            <w:tcW w:w="992" w:type="dxa"/>
          </w:tcPr>
          <w:p w14:paraId="64FC3458"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w:t>
            </w:r>
          </w:p>
        </w:tc>
        <w:tc>
          <w:tcPr>
            <w:tcW w:w="992" w:type="dxa"/>
          </w:tcPr>
          <w:p w14:paraId="3A710A5B"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32.36</w:t>
            </w:r>
          </w:p>
        </w:tc>
        <w:tc>
          <w:tcPr>
            <w:tcW w:w="426" w:type="dxa"/>
            <w:vAlign w:val="center"/>
          </w:tcPr>
          <w:p w14:paraId="1DA71E9A" w14:textId="77777777" w:rsidR="00294950" w:rsidRPr="003101A0" w:rsidRDefault="00294950" w:rsidP="003C1477">
            <w:pPr>
              <w:rPr>
                <w:rFonts w:ascii="Times New Roman" w:hAnsi="Times New Roman" w:cs="Times New Roman"/>
                <w:sz w:val="20"/>
                <w:szCs w:val="20"/>
                <w:lang w:val="en-US"/>
              </w:rPr>
            </w:pPr>
          </w:p>
        </w:tc>
        <w:tc>
          <w:tcPr>
            <w:tcW w:w="1134" w:type="dxa"/>
          </w:tcPr>
          <w:p w14:paraId="2F4DAFBF"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64.10</w:t>
            </w:r>
            <w:r w:rsidRPr="00CD063E">
              <w:rPr>
                <w:rFonts w:ascii="Times New Roman" w:hAnsi="Times New Roman" w:cs="Times New Roman"/>
                <w:color w:val="000000"/>
                <w:sz w:val="20"/>
                <w:szCs w:val="20"/>
                <w:lang w:val="en-US"/>
              </w:rPr>
              <w:t>***</w:t>
            </w:r>
          </w:p>
        </w:tc>
        <w:tc>
          <w:tcPr>
            <w:tcW w:w="1061" w:type="dxa"/>
          </w:tcPr>
          <w:p w14:paraId="525BF5E5"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100</w:t>
            </w:r>
            <w:r w:rsidRPr="00CD063E">
              <w:rPr>
                <w:rFonts w:ascii="Times New Roman" w:hAnsi="Times New Roman" w:cs="Times New Roman"/>
                <w:color w:val="000000"/>
                <w:sz w:val="20"/>
                <w:szCs w:val="20"/>
                <w:lang w:val="en-US"/>
              </w:rPr>
              <w:t>***</w:t>
            </w:r>
          </w:p>
        </w:tc>
        <w:tc>
          <w:tcPr>
            <w:tcW w:w="1031" w:type="dxa"/>
          </w:tcPr>
          <w:p w14:paraId="2CF54548"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47.97</w:t>
            </w:r>
          </w:p>
        </w:tc>
      </w:tr>
      <w:tr w:rsidR="00294950" w:rsidRPr="003101A0" w14:paraId="03F6F48F" w14:textId="77777777" w:rsidTr="003101A0">
        <w:tc>
          <w:tcPr>
            <w:tcW w:w="2586" w:type="dxa"/>
            <w:vAlign w:val="center"/>
          </w:tcPr>
          <w:p w14:paraId="507F6C4F"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MB</w:t>
            </w:r>
          </w:p>
        </w:tc>
        <w:tc>
          <w:tcPr>
            <w:tcW w:w="992" w:type="dxa"/>
          </w:tcPr>
          <w:p w14:paraId="436AEC17"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3.813</w:t>
            </w:r>
          </w:p>
        </w:tc>
        <w:tc>
          <w:tcPr>
            <w:tcW w:w="992" w:type="dxa"/>
          </w:tcPr>
          <w:p w14:paraId="77EFFC94"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2.597</w:t>
            </w:r>
          </w:p>
        </w:tc>
        <w:tc>
          <w:tcPr>
            <w:tcW w:w="992" w:type="dxa"/>
          </w:tcPr>
          <w:p w14:paraId="4CB9ABE2"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7.281</w:t>
            </w:r>
          </w:p>
        </w:tc>
        <w:tc>
          <w:tcPr>
            <w:tcW w:w="426" w:type="dxa"/>
            <w:vAlign w:val="center"/>
          </w:tcPr>
          <w:p w14:paraId="0A03C928" w14:textId="77777777" w:rsidR="00294950" w:rsidRPr="003101A0" w:rsidRDefault="00294950" w:rsidP="003C1477">
            <w:pPr>
              <w:rPr>
                <w:rFonts w:ascii="Times New Roman" w:hAnsi="Times New Roman" w:cs="Times New Roman"/>
                <w:sz w:val="20"/>
                <w:szCs w:val="20"/>
                <w:lang w:val="en-US"/>
              </w:rPr>
            </w:pPr>
          </w:p>
        </w:tc>
        <w:tc>
          <w:tcPr>
            <w:tcW w:w="1134" w:type="dxa"/>
          </w:tcPr>
          <w:p w14:paraId="4E48C505"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3.437</w:t>
            </w:r>
            <w:r w:rsidRPr="00CD063E">
              <w:rPr>
                <w:rFonts w:ascii="Times New Roman" w:hAnsi="Times New Roman" w:cs="Times New Roman"/>
                <w:color w:val="000000"/>
                <w:sz w:val="20"/>
                <w:szCs w:val="20"/>
                <w:lang w:val="en-US"/>
              </w:rPr>
              <w:t>*</w:t>
            </w:r>
          </w:p>
        </w:tc>
        <w:tc>
          <w:tcPr>
            <w:tcW w:w="1061" w:type="dxa"/>
          </w:tcPr>
          <w:p w14:paraId="58BB2137"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2.429</w:t>
            </w:r>
            <w:r w:rsidRPr="00CD063E">
              <w:rPr>
                <w:rFonts w:ascii="Times New Roman" w:hAnsi="Times New Roman" w:cs="Times New Roman"/>
                <w:color w:val="000000"/>
                <w:sz w:val="20"/>
                <w:szCs w:val="20"/>
                <w:lang w:val="en-US"/>
              </w:rPr>
              <w:t>**</w:t>
            </w:r>
          </w:p>
        </w:tc>
        <w:tc>
          <w:tcPr>
            <w:tcW w:w="1031" w:type="dxa"/>
          </w:tcPr>
          <w:p w14:paraId="1DF61100"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6.061</w:t>
            </w:r>
          </w:p>
        </w:tc>
      </w:tr>
      <w:tr w:rsidR="00294950" w:rsidRPr="003101A0" w14:paraId="6E6B4706" w14:textId="77777777" w:rsidTr="003101A0">
        <w:tc>
          <w:tcPr>
            <w:tcW w:w="2586" w:type="dxa"/>
            <w:vAlign w:val="center"/>
          </w:tcPr>
          <w:p w14:paraId="3410D755"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Capex</w:t>
            </w:r>
          </w:p>
        </w:tc>
        <w:tc>
          <w:tcPr>
            <w:tcW w:w="992" w:type="dxa"/>
          </w:tcPr>
          <w:p w14:paraId="0521B95D"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0.442</w:t>
            </w:r>
          </w:p>
        </w:tc>
        <w:tc>
          <w:tcPr>
            <w:tcW w:w="992" w:type="dxa"/>
          </w:tcPr>
          <w:p w14:paraId="79D0E452"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0.282</w:t>
            </w:r>
          </w:p>
        </w:tc>
        <w:tc>
          <w:tcPr>
            <w:tcW w:w="992" w:type="dxa"/>
          </w:tcPr>
          <w:p w14:paraId="5DD41F30"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0.464</w:t>
            </w:r>
          </w:p>
        </w:tc>
        <w:tc>
          <w:tcPr>
            <w:tcW w:w="426" w:type="dxa"/>
            <w:vAlign w:val="center"/>
          </w:tcPr>
          <w:p w14:paraId="2DBD68F4" w14:textId="77777777" w:rsidR="00294950" w:rsidRPr="003101A0" w:rsidRDefault="00294950" w:rsidP="003C1477">
            <w:pPr>
              <w:rPr>
                <w:rFonts w:ascii="Times New Roman" w:hAnsi="Times New Roman" w:cs="Times New Roman"/>
                <w:sz w:val="20"/>
                <w:szCs w:val="20"/>
                <w:lang w:val="en-US"/>
              </w:rPr>
            </w:pPr>
          </w:p>
        </w:tc>
        <w:tc>
          <w:tcPr>
            <w:tcW w:w="1134" w:type="dxa"/>
          </w:tcPr>
          <w:p w14:paraId="56701D6C"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0.258</w:t>
            </w:r>
            <w:r w:rsidRPr="00CD063E">
              <w:rPr>
                <w:rFonts w:ascii="Times New Roman" w:hAnsi="Times New Roman" w:cs="Times New Roman"/>
                <w:color w:val="000000"/>
                <w:sz w:val="20"/>
                <w:szCs w:val="20"/>
                <w:lang w:val="en-US"/>
              </w:rPr>
              <w:t>***</w:t>
            </w:r>
          </w:p>
        </w:tc>
        <w:tc>
          <w:tcPr>
            <w:tcW w:w="1061" w:type="dxa"/>
          </w:tcPr>
          <w:p w14:paraId="2625AEB3"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0.188</w:t>
            </w:r>
            <w:r w:rsidRPr="00CD063E">
              <w:rPr>
                <w:rFonts w:ascii="Times New Roman" w:hAnsi="Times New Roman" w:cs="Times New Roman"/>
                <w:color w:val="000000"/>
                <w:sz w:val="20"/>
                <w:szCs w:val="20"/>
                <w:lang w:val="en-US"/>
              </w:rPr>
              <w:t>***</w:t>
            </w:r>
          </w:p>
        </w:tc>
        <w:tc>
          <w:tcPr>
            <w:tcW w:w="1031" w:type="dxa"/>
          </w:tcPr>
          <w:p w14:paraId="0EABC32D"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0.271</w:t>
            </w:r>
          </w:p>
        </w:tc>
      </w:tr>
      <w:tr w:rsidR="00294950" w:rsidRPr="003101A0" w14:paraId="3F935A24" w14:textId="77777777" w:rsidTr="003101A0">
        <w:tc>
          <w:tcPr>
            <w:tcW w:w="2586" w:type="dxa"/>
            <w:vAlign w:val="center"/>
          </w:tcPr>
          <w:p w14:paraId="24909B6E"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RD</w:t>
            </w:r>
          </w:p>
        </w:tc>
        <w:tc>
          <w:tcPr>
            <w:tcW w:w="992" w:type="dxa"/>
          </w:tcPr>
          <w:p w14:paraId="5AA79450"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0.073</w:t>
            </w:r>
          </w:p>
        </w:tc>
        <w:tc>
          <w:tcPr>
            <w:tcW w:w="992" w:type="dxa"/>
          </w:tcPr>
          <w:p w14:paraId="69F1BA98"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0.037</w:t>
            </w:r>
          </w:p>
        </w:tc>
        <w:tc>
          <w:tcPr>
            <w:tcW w:w="992" w:type="dxa"/>
          </w:tcPr>
          <w:p w14:paraId="79904AE2"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0.093</w:t>
            </w:r>
          </w:p>
        </w:tc>
        <w:tc>
          <w:tcPr>
            <w:tcW w:w="426" w:type="dxa"/>
            <w:vAlign w:val="center"/>
          </w:tcPr>
          <w:p w14:paraId="2F95AEFF" w14:textId="77777777" w:rsidR="00294950" w:rsidRPr="003101A0" w:rsidRDefault="00294950" w:rsidP="003C1477">
            <w:pPr>
              <w:rPr>
                <w:rFonts w:ascii="Times New Roman" w:hAnsi="Times New Roman" w:cs="Times New Roman"/>
                <w:sz w:val="20"/>
                <w:szCs w:val="20"/>
                <w:lang w:val="en-US"/>
              </w:rPr>
            </w:pPr>
          </w:p>
        </w:tc>
        <w:tc>
          <w:tcPr>
            <w:tcW w:w="1134" w:type="dxa"/>
          </w:tcPr>
          <w:p w14:paraId="1C673FE2"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0.017</w:t>
            </w:r>
            <w:r w:rsidRPr="00CD063E">
              <w:rPr>
                <w:rFonts w:ascii="Times New Roman" w:hAnsi="Times New Roman" w:cs="Times New Roman"/>
                <w:color w:val="000000"/>
                <w:sz w:val="20"/>
                <w:szCs w:val="20"/>
                <w:lang w:val="en-US"/>
              </w:rPr>
              <w:t>***</w:t>
            </w:r>
          </w:p>
        </w:tc>
        <w:tc>
          <w:tcPr>
            <w:tcW w:w="1061" w:type="dxa"/>
          </w:tcPr>
          <w:p w14:paraId="400A9360"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0.000</w:t>
            </w:r>
            <w:r w:rsidRPr="00CD063E">
              <w:rPr>
                <w:rFonts w:ascii="Times New Roman" w:hAnsi="Times New Roman" w:cs="Times New Roman"/>
                <w:color w:val="000000"/>
                <w:sz w:val="20"/>
                <w:szCs w:val="20"/>
                <w:lang w:val="en-US"/>
              </w:rPr>
              <w:t>***</w:t>
            </w:r>
          </w:p>
        </w:tc>
        <w:tc>
          <w:tcPr>
            <w:tcW w:w="1031" w:type="dxa"/>
          </w:tcPr>
          <w:p w14:paraId="70C48E48"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0.034</w:t>
            </w:r>
          </w:p>
        </w:tc>
      </w:tr>
      <w:tr w:rsidR="00294950" w:rsidRPr="003101A0" w14:paraId="4761F90C" w14:textId="77777777" w:rsidTr="003101A0">
        <w:tc>
          <w:tcPr>
            <w:tcW w:w="2586" w:type="dxa"/>
            <w:vAlign w:val="center"/>
          </w:tcPr>
          <w:p w14:paraId="12F5E5D5" w14:textId="77777777" w:rsidR="00294950" w:rsidRPr="003101A0" w:rsidRDefault="00294950" w:rsidP="003C1477">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CIloans</w:t>
            </w:r>
            <w:proofErr w:type="spellEnd"/>
          </w:p>
        </w:tc>
        <w:tc>
          <w:tcPr>
            <w:tcW w:w="992" w:type="dxa"/>
          </w:tcPr>
          <w:p w14:paraId="7E7ECC2E"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0.186</w:t>
            </w:r>
          </w:p>
        </w:tc>
        <w:tc>
          <w:tcPr>
            <w:tcW w:w="992" w:type="dxa"/>
          </w:tcPr>
          <w:p w14:paraId="616BFC91"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0.077</w:t>
            </w:r>
          </w:p>
        </w:tc>
        <w:tc>
          <w:tcPr>
            <w:tcW w:w="992" w:type="dxa"/>
          </w:tcPr>
          <w:p w14:paraId="06C52A42"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0.221</w:t>
            </w:r>
          </w:p>
        </w:tc>
        <w:tc>
          <w:tcPr>
            <w:tcW w:w="426" w:type="dxa"/>
            <w:vAlign w:val="center"/>
          </w:tcPr>
          <w:p w14:paraId="54F2E8D0" w14:textId="77777777" w:rsidR="00294950" w:rsidRPr="003101A0" w:rsidRDefault="00294950" w:rsidP="003C1477">
            <w:pPr>
              <w:rPr>
                <w:rFonts w:ascii="Times New Roman" w:hAnsi="Times New Roman" w:cs="Times New Roman"/>
                <w:sz w:val="20"/>
                <w:szCs w:val="20"/>
                <w:lang w:val="en-US"/>
              </w:rPr>
            </w:pPr>
          </w:p>
        </w:tc>
        <w:tc>
          <w:tcPr>
            <w:tcW w:w="1134" w:type="dxa"/>
          </w:tcPr>
          <w:p w14:paraId="05DA4E4E"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0.222</w:t>
            </w:r>
            <w:r w:rsidRPr="00CD063E">
              <w:rPr>
                <w:rFonts w:ascii="Times New Roman" w:hAnsi="Times New Roman" w:cs="Times New Roman"/>
                <w:color w:val="000000"/>
                <w:sz w:val="20"/>
                <w:szCs w:val="20"/>
                <w:lang w:val="en-US"/>
              </w:rPr>
              <w:t>***</w:t>
            </w:r>
          </w:p>
        </w:tc>
        <w:tc>
          <w:tcPr>
            <w:tcW w:w="1061" w:type="dxa"/>
          </w:tcPr>
          <w:p w14:paraId="22FAB88A"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0.179</w:t>
            </w:r>
            <w:r w:rsidRPr="00CD063E">
              <w:rPr>
                <w:rFonts w:ascii="Times New Roman" w:hAnsi="Times New Roman" w:cs="Times New Roman"/>
                <w:color w:val="000000"/>
                <w:sz w:val="20"/>
                <w:szCs w:val="20"/>
                <w:lang w:val="en-US"/>
              </w:rPr>
              <w:t>***</w:t>
            </w:r>
          </w:p>
        </w:tc>
        <w:tc>
          <w:tcPr>
            <w:tcW w:w="1031" w:type="dxa"/>
          </w:tcPr>
          <w:p w14:paraId="07865470"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0.180</w:t>
            </w:r>
          </w:p>
        </w:tc>
      </w:tr>
      <w:tr w:rsidR="00294950" w:rsidRPr="003101A0" w14:paraId="65CE7805" w14:textId="77777777" w:rsidTr="003101A0">
        <w:tc>
          <w:tcPr>
            <w:tcW w:w="2586" w:type="dxa"/>
            <w:vAlign w:val="center"/>
          </w:tcPr>
          <w:p w14:paraId="149C0938" w14:textId="77777777" w:rsidR="00294950" w:rsidRPr="003101A0" w:rsidRDefault="00294950" w:rsidP="003C1477">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CIbonds</w:t>
            </w:r>
            <w:proofErr w:type="spellEnd"/>
          </w:p>
        </w:tc>
        <w:tc>
          <w:tcPr>
            <w:tcW w:w="992" w:type="dxa"/>
          </w:tcPr>
          <w:p w14:paraId="411A643D"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0.078</w:t>
            </w:r>
          </w:p>
        </w:tc>
        <w:tc>
          <w:tcPr>
            <w:tcW w:w="992" w:type="dxa"/>
          </w:tcPr>
          <w:p w14:paraId="2C844929"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0.000</w:t>
            </w:r>
          </w:p>
        </w:tc>
        <w:tc>
          <w:tcPr>
            <w:tcW w:w="992" w:type="dxa"/>
          </w:tcPr>
          <w:p w14:paraId="69F76AEE"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0.110</w:t>
            </w:r>
          </w:p>
        </w:tc>
        <w:tc>
          <w:tcPr>
            <w:tcW w:w="426" w:type="dxa"/>
            <w:vAlign w:val="center"/>
          </w:tcPr>
          <w:p w14:paraId="53CE1FC6" w14:textId="77777777" w:rsidR="00294950" w:rsidRPr="003101A0" w:rsidRDefault="00294950" w:rsidP="003C1477">
            <w:pPr>
              <w:rPr>
                <w:rFonts w:ascii="Times New Roman" w:hAnsi="Times New Roman" w:cs="Times New Roman"/>
                <w:sz w:val="20"/>
                <w:szCs w:val="20"/>
                <w:lang w:val="en-US"/>
              </w:rPr>
            </w:pPr>
          </w:p>
        </w:tc>
        <w:tc>
          <w:tcPr>
            <w:tcW w:w="1134" w:type="dxa"/>
          </w:tcPr>
          <w:p w14:paraId="25A5DDAD"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0.211</w:t>
            </w:r>
            <w:r w:rsidRPr="00CD063E">
              <w:rPr>
                <w:rFonts w:ascii="Times New Roman" w:hAnsi="Times New Roman" w:cs="Times New Roman"/>
                <w:color w:val="000000"/>
                <w:sz w:val="20"/>
                <w:szCs w:val="20"/>
                <w:lang w:val="en-US"/>
              </w:rPr>
              <w:t>***</w:t>
            </w:r>
          </w:p>
        </w:tc>
        <w:tc>
          <w:tcPr>
            <w:tcW w:w="1061" w:type="dxa"/>
          </w:tcPr>
          <w:p w14:paraId="6735FB27"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0.238</w:t>
            </w:r>
            <w:r w:rsidRPr="00CD063E">
              <w:rPr>
                <w:rFonts w:ascii="Times New Roman" w:hAnsi="Times New Roman" w:cs="Times New Roman"/>
                <w:color w:val="000000"/>
                <w:sz w:val="20"/>
                <w:szCs w:val="20"/>
                <w:lang w:val="en-US"/>
              </w:rPr>
              <w:t>***</w:t>
            </w:r>
          </w:p>
        </w:tc>
        <w:tc>
          <w:tcPr>
            <w:tcW w:w="1031" w:type="dxa"/>
          </w:tcPr>
          <w:p w14:paraId="1CF1080C"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0.138</w:t>
            </w:r>
          </w:p>
        </w:tc>
      </w:tr>
      <w:tr w:rsidR="00294950" w:rsidRPr="003101A0" w14:paraId="79AEB96B" w14:textId="77777777" w:rsidTr="00E118A5">
        <w:tc>
          <w:tcPr>
            <w:tcW w:w="2586" w:type="dxa"/>
            <w:tcBorders>
              <w:top w:val="single" w:sz="4" w:space="0" w:color="auto"/>
            </w:tcBorders>
            <w:vAlign w:val="center"/>
          </w:tcPr>
          <w:p w14:paraId="07A55FD9" w14:textId="77777777" w:rsidR="00294950" w:rsidRPr="003101A0" w:rsidRDefault="00294950" w:rsidP="003C1477">
            <w:pPr>
              <w:rPr>
                <w:rFonts w:ascii="Times New Roman" w:hAnsi="Times New Roman" w:cs="Times New Roman"/>
                <w:i/>
                <w:sz w:val="20"/>
                <w:szCs w:val="20"/>
                <w:lang w:val="en-US"/>
              </w:rPr>
            </w:pPr>
          </w:p>
        </w:tc>
        <w:tc>
          <w:tcPr>
            <w:tcW w:w="992" w:type="dxa"/>
            <w:tcBorders>
              <w:top w:val="single" w:sz="4" w:space="0" w:color="auto"/>
            </w:tcBorders>
            <w:vAlign w:val="center"/>
          </w:tcPr>
          <w:p w14:paraId="6E5AB3F6" w14:textId="77777777" w:rsidR="00294950" w:rsidRPr="003101A0" w:rsidRDefault="00294950" w:rsidP="003C1477">
            <w:pPr>
              <w:rPr>
                <w:rFonts w:ascii="Times New Roman" w:hAnsi="Times New Roman" w:cs="Times New Roman"/>
                <w:color w:val="000000"/>
                <w:sz w:val="20"/>
                <w:szCs w:val="20"/>
                <w:lang w:val="en-US"/>
              </w:rPr>
            </w:pPr>
          </w:p>
        </w:tc>
        <w:tc>
          <w:tcPr>
            <w:tcW w:w="992" w:type="dxa"/>
            <w:tcBorders>
              <w:top w:val="single" w:sz="4" w:space="0" w:color="auto"/>
            </w:tcBorders>
            <w:vAlign w:val="center"/>
          </w:tcPr>
          <w:p w14:paraId="28B6E40C" w14:textId="77777777" w:rsidR="00294950" w:rsidRPr="003101A0" w:rsidRDefault="00294950" w:rsidP="003C1477">
            <w:pPr>
              <w:rPr>
                <w:rFonts w:ascii="Times New Roman" w:hAnsi="Times New Roman" w:cs="Times New Roman"/>
                <w:color w:val="000000"/>
                <w:sz w:val="20"/>
                <w:szCs w:val="20"/>
                <w:lang w:val="en-US"/>
              </w:rPr>
            </w:pPr>
          </w:p>
        </w:tc>
        <w:tc>
          <w:tcPr>
            <w:tcW w:w="992" w:type="dxa"/>
            <w:tcBorders>
              <w:top w:val="single" w:sz="4" w:space="0" w:color="auto"/>
            </w:tcBorders>
            <w:vAlign w:val="center"/>
          </w:tcPr>
          <w:p w14:paraId="0B57679F" w14:textId="77777777" w:rsidR="00294950" w:rsidRPr="003101A0" w:rsidRDefault="00294950" w:rsidP="003C1477">
            <w:pPr>
              <w:rPr>
                <w:rFonts w:ascii="Times New Roman" w:hAnsi="Times New Roman" w:cs="Times New Roman"/>
                <w:color w:val="000000"/>
                <w:sz w:val="20"/>
                <w:szCs w:val="20"/>
                <w:lang w:val="en-US"/>
              </w:rPr>
            </w:pPr>
          </w:p>
        </w:tc>
        <w:tc>
          <w:tcPr>
            <w:tcW w:w="426" w:type="dxa"/>
            <w:tcBorders>
              <w:top w:val="single" w:sz="4" w:space="0" w:color="auto"/>
            </w:tcBorders>
            <w:vAlign w:val="center"/>
          </w:tcPr>
          <w:p w14:paraId="332EE846" w14:textId="77777777" w:rsidR="00294950" w:rsidRPr="003101A0" w:rsidRDefault="00294950" w:rsidP="003C1477">
            <w:pPr>
              <w:rPr>
                <w:rFonts w:ascii="Times New Roman" w:hAnsi="Times New Roman" w:cs="Times New Roman"/>
                <w:sz w:val="20"/>
                <w:szCs w:val="20"/>
                <w:lang w:val="en-US"/>
              </w:rPr>
            </w:pPr>
          </w:p>
        </w:tc>
        <w:tc>
          <w:tcPr>
            <w:tcW w:w="1134" w:type="dxa"/>
            <w:tcBorders>
              <w:top w:val="single" w:sz="4" w:space="0" w:color="auto"/>
            </w:tcBorders>
            <w:vAlign w:val="center"/>
          </w:tcPr>
          <w:p w14:paraId="29919109" w14:textId="77777777" w:rsidR="00294950" w:rsidRPr="003101A0" w:rsidRDefault="00294950" w:rsidP="003C1477">
            <w:pPr>
              <w:rPr>
                <w:rFonts w:ascii="Times New Roman" w:hAnsi="Times New Roman" w:cs="Times New Roman"/>
                <w:sz w:val="20"/>
                <w:szCs w:val="20"/>
                <w:lang w:val="en-US"/>
              </w:rPr>
            </w:pPr>
          </w:p>
        </w:tc>
        <w:tc>
          <w:tcPr>
            <w:tcW w:w="1061" w:type="dxa"/>
            <w:tcBorders>
              <w:top w:val="single" w:sz="4" w:space="0" w:color="auto"/>
            </w:tcBorders>
            <w:vAlign w:val="center"/>
          </w:tcPr>
          <w:p w14:paraId="5075C44F" w14:textId="77777777" w:rsidR="00294950" w:rsidRPr="003101A0" w:rsidRDefault="00294950" w:rsidP="003C1477">
            <w:pPr>
              <w:rPr>
                <w:rFonts w:ascii="Times New Roman" w:hAnsi="Times New Roman" w:cs="Times New Roman"/>
                <w:sz w:val="20"/>
                <w:szCs w:val="20"/>
                <w:lang w:val="en-US"/>
              </w:rPr>
            </w:pPr>
          </w:p>
        </w:tc>
        <w:tc>
          <w:tcPr>
            <w:tcW w:w="1031" w:type="dxa"/>
            <w:tcBorders>
              <w:top w:val="single" w:sz="4" w:space="0" w:color="auto"/>
            </w:tcBorders>
            <w:vAlign w:val="center"/>
          </w:tcPr>
          <w:p w14:paraId="50F8F3D3" w14:textId="77777777" w:rsidR="00294950" w:rsidRPr="003101A0" w:rsidRDefault="00294950" w:rsidP="003C1477">
            <w:pPr>
              <w:rPr>
                <w:rFonts w:ascii="Times New Roman" w:hAnsi="Times New Roman" w:cs="Times New Roman"/>
                <w:sz w:val="20"/>
                <w:szCs w:val="20"/>
                <w:lang w:val="en-US"/>
              </w:rPr>
            </w:pPr>
          </w:p>
        </w:tc>
      </w:tr>
      <w:tr w:rsidR="00E118A5" w:rsidRPr="003101A0" w14:paraId="716D7961" w14:textId="77777777" w:rsidTr="00E118A5">
        <w:tc>
          <w:tcPr>
            <w:tcW w:w="9214" w:type="dxa"/>
            <w:gridSpan w:val="8"/>
            <w:tcBorders>
              <w:bottom w:val="single" w:sz="4" w:space="0" w:color="auto"/>
            </w:tcBorders>
            <w:vAlign w:val="center"/>
          </w:tcPr>
          <w:p w14:paraId="65B1CF60" w14:textId="6C5FAC37" w:rsidR="00E118A5" w:rsidRPr="00F36282" w:rsidRDefault="00E118A5" w:rsidP="003C1477">
            <w:pPr>
              <w:rPr>
                <w:rFonts w:ascii="Times New Roman" w:hAnsi="Times New Roman" w:cs="Times New Roman"/>
                <w:sz w:val="20"/>
                <w:szCs w:val="20"/>
                <w:lang w:val="en-US"/>
              </w:rPr>
            </w:pPr>
            <w:r w:rsidRPr="00B16F67">
              <w:rPr>
                <w:rFonts w:ascii="Times New Roman" w:hAnsi="Times New Roman" w:cs="Times New Roman"/>
                <w:sz w:val="20"/>
                <w:szCs w:val="20"/>
                <w:lang w:val="en-US"/>
              </w:rPr>
              <w:t>Panel B: Macroeconomic characteristics</w:t>
            </w:r>
          </w:p>
        </w:tc>
      </w:tr>
      <w:tr w:rsidR="00E118A5" w:rsidRPr="003101A0" w14:paraId="7B423BB6" w14:textId="77777777" w:rsidTr="00E118A5">
        <w:tc>
          <w:tcPr>
            <w:tcW w:w="2586" w:type="dxa"/>
            <w:tcBorders>
              <w:top w:val="single" w:sz="4" w:space="0" w:color="auto"/>
            </w:tcBorders>
            <w:vAlign w:val="center"/>
          </w:tcPr>
          <w:p w14:paraId="0FD66079" w14:textId="323BA332" w:rsidR="00E118A5" w:rsidRPr="003101A0" w:rsidRDefault="00E118A5"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TB yield</w:t>
            </w:r>
          </w:p>
        </w:tc>
        <w:tc>
          <w:tcPr>
            <w:tcW w:w="992" w:type="dxa"/>
            <w:tcBorders>
              <w:top w:val="single" w:sz="4" w:space="0" w:color="auto"/>
            </w:tcBorders>
          </w:tcPr>
          <w:p w14:paraId="2E3FBA88" w14:textId="34F07527" w:rsidR="00E118A5" w:rsidRPr="003101A0" w:rsidRDefault="00E118A5"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0.024</w:t>
            </w:r>
          </w:p>
        </w:tc>
        <w:tc>
          <w:tcPr>
            <w:tcW w:w="992" w:type="dxa"/>
            <w:tcBorders>
              <w:top w:val="single" w:sz="4" w:space="0" w:color="auto"/>
            </w:tcBorders>
          </w:tcPr>
          <w:p w14:paraId="5DE3AC33" w14:textId="07CB37A8" w:rsidR="00E118A5" w:rsidRPr="003101A0" w:rsidRDefault="00E118A5"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0.018</w:t>
            </w:r>
          </w:p>
        </w:tc>
        <w:tc>
          <w:tcPr>
            <w:tcW w:w="992" w:type="dxa"/>
            <w:tcBorders>
              <w:top w:val="single" w:sz="4" w:space="0" w:color="auto"/>
            </w:tcBorders>
          </w:tcPr>
          <w:p w14:paraId="02521498" w14:textId="1A22DD62" w:rsidR="00E118A5" w:rsidRPr="003101A0" w:rsidRDefault="00E118A5"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0.021</w:t>
            </w:r>
          </w:p>
        </w:tc>
        <w:tc>
          <w:tcPr>
            <w:tcW w:w="426" w:type="dxa"/>
            <w:tcBorders>
              <w:top w:val="single" w:sz="4" w:space="0" w:color="auto"/>
            </w:tcBorders>
            <w:vAlign w:val="center"/>
          </w:tcPr>
          <w:p w14:paraId="21ECCC8F" w14:textId="77777777" w:rsidR="00E118A5" w:rsidRPr="003101A0" w:rsidRDefault="00E118A5" w:rsidP="003C1477">
            <w:pPr>
              <w:rPr>
                <w:rFonts w:ascii="Times New Roman" w:hAnsi="Times New Roman" w:cs="Times New Roman"/>
                <w:sz w:val="20"/>
                <w:szCs w:val="20"/>
                <w:lang w:val="en-US"/>
              </w:rPr>
            </w:pPr>
          </w:p>
        </w:tc>
        <w:tc>
          <w:tcPr>
            <w:tcW w:w="1134" w:type="dxa"/>
            <w:tcBorders>
              <w:top w:val="single" w:sz="4" w:space="0" w:color="auto"/>
            </w:tcBorders>
          </w:tcPr>
          <w:p w14:paraId="14704C6A" w14:textId="4693B8AA" w:rsidR="00E118A5" w:rsidRPr="00CD063E" w:rsidRDefault="00E118A5"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0.023</w:t>
            </w:r>
            <w:r w:rsidRPr="00CD063E">
              <w:rPr>
                <w:rFonts w:ascii="Times New Roman" w:hAnsi="Times New Roman" w:cs="Times New Roman"/>
                <w:color w:val="000000"/>
                <w:sz w:val="20"/>
                <w:szCs w:val="20"/>
                <w:lang w:val="en-US"/>
              </w:rPr>
              <w:t>**</w:t>
            </w:r>
          </w:p>
        </w:tc>
        <w:tc>
          <w:tcPr>
            <w:tcW w:w="1061" w:type="dxa"/>
            <w:tcBorders>
              <w:top w:val="single" w:sz="4" w:space="0" w:color="auto"/>
            </w:tcBorders>
          </w:tcPr>
          <w:p w14:paraId="33304D69" w14:textId="2C203736" w:rsidR="00E118A5" w:rsidRPr="00CD063E" w:rsidRDefault="00E118A5"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0.016</w:t>
            </w:r>
            <w:r w:rsidRPr="00CD063E">
              <w:rPr>
                <w:rFonts w:ascii="Times New Roman" w:hAnsi="Times New Roman" w:cs="Times New Roman"/>
                <w:color w:val="000000"/>
                <w:sz w:val="20"/>
                <w:szCs w:val="20"/>
                <w:lang w:val="en-US"/>
              </w:rPr>
              <w:t>***</w:t>
            </w:r>
          </w:p>
        </w:tc>
        <w:tc>
          <w:tcPr>
            <w:tcW w:w="1031" w:type="dxa"/>
            <w:tcBorders>
              <w:top w:val="single" w:sz="4" w:space="0" w:color="auto"/>
            </w:tcBorders>
          </w:tcPr>
          <w:p w14:paraId="5F1672E2" w14:textId="6AF2EA35" w:rsidR="00E118A5" w:rsidRPr="003101A0" w:rsidRDefault="00E118A5"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0.022</w:t>
            </w:r>
          </w:p>
        </w:tc>
      </w:tr>
      <w:tr w:rsidR="00E118A5" w:rsidRPr="003101A0" w14:paraId="7A251CBC" w14:textId="77777777" w:rsidTr="003101A0">
        <w:tc>
          <w:tcPr>
            <w:tcW w:w="2586" w:type="dxa"/>
          </w:tcPr>
          <w:p w14:paraId="36F9BFBC" w14:textId="040FDA0F" w:rsidR="00E118A5" w:rsidRPr="003101A0" w:rsidRDefault="00E118A5"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Credit spread</w:t>
            </w:r>
          </w:p>
        </w:tc>
        <w:tc>
          <w:tcPr>
            <w:tcW w:w="992" w:type="dxa"/>
          </w:tcPr>
          <w:p w14:paraId="263D6AA3" w14:textId="6F2D2D04" w:rsidR="00E118A5" w:rsidRPr="003101A0" w:rsidRDefault="00E118A5"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0.940</w:t>
            </w:r>
          </w:p>
        </w:tc>
        <w:tc>
          <w:tcPr>
            <w:tcW w:w="992" w:type="dxa"/>
          </w:tcPr>
          <w:p w14:paraId="1D30B2CD" w14:textId="3324DBCE" w:rsidR="00E118A5" w:rsidRPr="003101A0" w:rsidRDefault="00E118A5"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0.880</w:t>
            </w:r>
          </w:p>
        </w:tc>
        <w:tc>
          <w:tcPr>
            <w:tcW w:w="992" w:type="dxa"/>
          </w:tcPr>
          <w:p w14:paraId="7048362A" w14:textId="2811304D" w:rsidR="00E118A5" w:rsidRPr="003101A0" w:rsidRDefault="00E118A5"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0.325</w:t>
            </w:r>
          </w:p>
        </w:tc>
        <w:tc>
          <w:tcPr>
            <w:tcW w:w="426" w:type="dxa"/>
            <w:vAlign w:val="center"/>
          </w:tcPr>
          <w:p w14:paraId="1D52E557" w14:textId="77777777" w:rsidR="00E118A5" w:rsidRPr="003101A0" w:rsidRDefault="00E118A5" w:rsidP="003C1477">
            <w:pPr>
              <w:rPr>
                <w:rFonts w:ascii="Times New Roman" w:hAnsi="Times New Roman" w:cs="Times New Roman"/>
                <w:sz w:val="20"/>
                <w:szCs w:val="20"/>
                <w:lang w:val="en-US"/>
              </w:rPr>
            </w:pPr>
          </w:p>
        </w:tc>
        <w:tc>
          <w:tcPr>
            <w:tcW w:w="1134" w:type="dxa"/>
          </w:tcPr>
          <w:p w14:paraId="10350CA8" w14:textId="3676B1DF" w:rsidR="00E118A5" w:rsidRPr="00CD063E" w:rsidRDefault="00E118A5"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0.970</w:t>
            </w:r>
            <w:r w:rsidRPr="00CD063E">
              <w:rPr>
                <w:rFonts w:ascii="Times New Roman" w:hAnsi="Times New Roman" w:cs="Times New Roman"/>
                <w:color w:val="000000"/>
                <w:sz w:val="20"/>
                <w:szCs w:val="20"/>
                <w:lang w:val="en-US"/>
              </w:rPr>
              <w:t>***</w:t>
            </w:r>
          </w:p>
        </w:tc>
        <w:tc>
          <w:tcPr>
            <w:tcW w:w="1061" w:type="dxa"/>
          </w:tcPr>
          <w:p w14:paraId="5E333889" w14:textId="02927ED3" w:rsidR="00E118A5" w:rsidRPr="00CD063E" w:rsidRDefault="00E118A5"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0.890</w:t>
            </w:r>
            <w:r w:rsidRPr="00CD063E">
              <w:rPr>
                <w:rFonts w:ascii="Times New Roman" w:hAnsi="Times New Roman" w:cs="Times New Roman"/>
                <w:color w:val="000000"/>
                <w:sz w:val="20"/>
                <w:szCs w:val="20"/>
                <w:lang w:val="en-US"/>
              </w:rPr>
              <w:t>***</w:t>
            </w:r>
          </w:p>
        </w:tc>
        <w:tc>
          <w:tcPr>
            <w:tcW w:w="1031" w:type="dxa"/>
          </w:tcPr>
          <w:p w14:paraId="6E0CBFC0" w14:textId="49180AB7" w:rsidR="00E118A5" w:rsidRPr="003101A0" w:rsidRDefault="00E118A5"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0.384</w:t>
            </w:r>
          </w:p>
        </w:tc>
      </w:tr>
      <w:tr w:rsidR="00E118A5" w:rsidRPr="003101A0" w14:paraId="248DBF9B" w14:textId="77777777" w:rsidTr="00E118A5">
        <w:tc>
          <w:tcPr>
            <w:tcW w:w="2586" w:type="dxa"/>
            <w:vAlign w:val="center"/>
          </w:tcPr>
          <w:p w14:paraId="7CCC5F64" w14:textId="3A5FF2D0" w:rsidR="00E118A5" w:rsidRPr="003101A0" w:rsidRDefault="00E118A5"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Market runup</w:t>
            </w:r>
          </w:p>
        </w:tc>
        <w:tc>
          <w:tcPr>
            <w:tcW w:w="992" w:type="dxa"/>
          </w:tcPr>
          <w:p w14:paraId="47746C59" w14:textId="4391FB8D" w:rsidR="00E118A5" w:rsidRPr="003101A0" w:rsidRDefault="00E118A5"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w:t>
            </w:r>
            <w:r w:rsidR="007B709F">
              <w:rPr>
                <w:rFonts w:ascii="Times New Roman" w:hAnsi="Times New Roman" w:cs="Times New Roman"/>
                <w:sz w:val="20"/>
                <w:szCs w:val="20"/>
                <w:lang w:val="en-US"/>
              </w:rPr>
              <w:t>0</w:t>
            </w:r>
            <w:r w:rsidR="007C3D58">
              <w:rPr>
                <w:rFonts w:ascii="Times New Roman" w:hAnsi="Times New Roman" w:cs="Times New Roman"/>
                <w:sz w:val="20"/>
                <w:szCs w:val="20"/>
                <w:lang w:val="en-US"/>
              </w:rPr>
              <w:t>54</w:t>
            </w:r>
          </w:p>
        </w:tc>
        <w:tc>
          <w:tcPr>
            <w:tcW w:w="992" w:type="dxa"/>
          </w:tcPr>
          <w:p w14:paraId="586D7742" w14:textId="50566AEB" w:rsidR="00E118A5" w:rsidRPr="003101A0" w:rsidRDefault="007B709F" w:rsidP="003C1477">
            <w:pPr>
              <w:rPr>
                <w:rFonts w:ascii="Times New Roman" w:hAnsi="Times New Roman" w:cs="Times New Roman"/>
                <w:color w:val="000000"/>
                <w:sz w:val="20"/>
                <w:szCs w:val="20"/>
                <w:lang w:val="en-US"/>
              </w:rPr>
            </w:pPr>
            <w:r>
              <w:rPr>
                <w:rFonts w:ascii="Times New Roman" w:hAnsi="Times New Roman" w:cs="Times New Roman"/>
                <w:sz w:val="20"/>
                <w:szCs w:val="20"/>
                <w:lang w:val="en-US"/>
              </w:rPr>
              <w:t>0</w:t>
            </w:r>
            <w:r w:rsidRPr="007B709F">
              <w:rPr>
                <w:rFonts w:ascii="Times New Roman" w:hAnsi="Times New Roman" w:cs="Times New Roman"/>
                <w:sz w:val="20"/>
                <w:szCs w:val="20"/>
                <w:lang w:val="en-US"/>
              </w:rPr>
              <w:t>.0</w:t>
            </w:r>
            <w:r w:rsidR="007C3D58">
              <w:rPr>
                <w:rFonts w:ascii="Times New Roman" w:hAnsi="Times New Roman" w:cs="Times New Roman"/>
                <w:sz w:val="20"/>
                <w:szCs w:val="20"/>
                <w:lang w:val="en-US"/>
              </w:rPr>
              <w:t>39</w:t>
            </w:r>
          </w:p>
        </w:tc>
        <w:tc>
          <w:tcPr>
            <w:tcW w:w="992" w:type="dxa"/>
          </w:tcPr>
          <w:p w14:paraId="7A851283" w14:textId="5CD6A92A" w:rsidR="00E118A5" w:rsidRPr="003101A0" w:rsidRDefault="00E118A5"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w:t>
            </w:r>
            <w:r w:rsidR="007C3D58">
              <w:rPr>
                <w:rFonts w:ascii="Times New Roman" w:hAnsi="Times New Roman" w:cs="Times New Roman"/>
                <w:sz w:val="20"/>
                <w:szCs w:val="20"/>
                <w:lang w:val="en-US"/>
              </w:rPr>
              <w:t>111</w:t>
            </w:r>
          </w:p>
        </w:tc>
        <w:tc>
          <w:tcPr>
            <w:tcW w:w="426" w:type="dxa"/>
            <w:vAlign w:val="center"/>
          </w:tcPr>
          <w:p w14:paraId="5E242F3D" w14:textId="77777777" w:rsidR="00E118A5" w:rsidRPr="003101A0" w:rsidRDefault="00E118A5" w:rsidP="003C1477">
            <w:pPr>
              <w:rPr>
                <w:rFonts w:ascii="Times New Roman" w:hAnsi="Times New Roman" w:cs="Times New Roman"/>
                <w:sz w:val="20"/>
                <w:szCs w:val="20"/>
                <w:lang w:val="en-US"/>
              </w:rPr>
            </w:pPr>
          </w:p>
        </w:tc>
        <w:tc>
          <w:tcPr>
            <w:tcW w:w="1134" w:type="dxa"/>
          </w:tcPr>
          <w:p w14:paraId="2D35168C" w14:textId="593ECBD7" w:rsidR="00E118A5" w:rsidRPr="00CD063E" w:rsidRDefault="00E118A5"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0.0</w:t>
            </w:r>
            <w:r w:rsidR="007C3D58">
              <w:rPr>
                <w:rFonts w:ascii="Times New Roman" w:hAnsi="Times New Roman" w:cs="Times New Roman"/>
                <w:sz w:val="20"/>
                <w:szCs w:val="20"/>
                <w:lang w:val="en-US"/>
              </w:rPr>
              <w:t>3</w:t>
            </w:r>
            <w:r w:rsidR="00781869">
              <w:rPr>
                <w:rFonts w:ascii="Times New Roman" w:hAnsi="Times New Roman" w:cs="Times New Roman"/>
                <w:sz w:val="20"/>
                <w:szCs w:val="20"/>
                <w:lang w:val="en-US"/>
              </w:rPr>
              <w:t>9</w:t>
            </w:r>
            <w:r w:rsidRPr="00CD063E">
              <w:rPr>
                <w:rFonts w:ascii="Times New Roman" w:hAnsi="Times New Roman" w:cs="Times New Roman"/>
                <w:color w:val="000000"/>
                <w:sz w:val="20"/>
                <w:szCs w:val="20"/>
                <w:lang w:val="en-US"/>
              </w:rPr>
              <w:t>***</w:t>
            </w:r>
          </w:p>
        </w:tc>
        <w:tc>
          <w:tcPr>
            <w:tcW w:w="1061" w:type="dxa"/>
          </w:tcPr>
          <w:p w14:paraId="68AEB519" w14:textId="5DB74E1F" w:rsidR="00E118A5" w:rsidRPr="00CD063E" w:rsidRDefault="00E118A5"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0.0</w:t>
            </w:r>
            <w:r w:rsidR="007C3D58">
              <w:rPr>
                <w:rFonts w:ascii="Times New Roman" w:hAnsi="Times New Roman" w:cs="Times New Roman"/>
                <w:sz w:val="20"/>
                <w:szCs w:val="20"/>
                <w:lang w:val="en-US"/>
              </w:rPr>
              <w:t>25</w:t>
            </w:r>
            <w:r w:rsidRPr="00CD063E">
              <w:rPr>
                <w:rFonts w:ascii="Times New Roman" w:hAnsi="Times New Roman" w:cs="Times New Roman"/>
                <w:color w:val="000000"/>
                <w:sz w:val="20"/>
                <w:szCs w:val="20"/>
                <w:lang w:val="en-US"/>
              </w:rPr>
              <w:t>***</w:t>
            </w:r>
          </w:p>
        </w:tc>
        <w:tc>
          <w:tcPr>
            <w:tcW w:w="1031" w:type="dxa"/>
          </w:tcPr>
          <w:p w14:paraId="116681C9" w14:textId="3C4DE59B" w:rsidR="00E118A5" w:rsidRPr="003101A0" w:rsidRDefault="00E118A5"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w:t>
            </w:r>
            <w:r w:rsidR="007C3D58">
              <w:rPr>
                <w:rFonts w:ascii="Times New Roman" w:hAnsi="Times New Roman" w:cs="Times New Roman"/>
                <w:sz w:val="20"/>
                <w:szCs w:val="20"/>
                <w:lang w:val="en-US"/>
              </w:rPr>
              <w:t>106</w:t>
            </w:r>
          </w:p>
        </w:tc>
      </w:tr>
      <w:tr w:rsidR="00E118A5" w:rsidRPr="003101A0" w14:paraId="3C9C0C90" w14:textId="77777777" w:rsidTr="00E118A5">
        <w:tc>
          <w:tcPr>
            <w:tcW w:w="2586" w:type="dxa"/>
            <w:tcBorders>
              <w:top w:val="single" w:sz="4" w:space="0" w:color="auto"/>
            </w:tcBorders>
            <w:vAlign w:val="center"/>
          </w:tcPr>
          <w:p w14:paraId="6A98A3FF" w14:textId="77777777" w:rsidR="00E118A5" w:rsidRPr="003101A0" w:rsidRDefault="00E118A5" w:rsidP="003C1477">
            <w:pPr>
              <w:rPr>
                <w:rFonts w:ascii="Times New Roman" w:hAnsi="Times New Roman" w:cs="Times New Roman"/>
                <w:i/>
                <w:sz w:val="20"/>
                <w:szCs w:val="20"/>
                <w:lang w:val="en-US"/>
              </w:rPr>
            </w:pPr>
          </w:p>
        </w:tc>
        <w:tc>
          <w:tcPr>
            <w:tcW w:w="992" w:type="dxa"/>
            <w:tcBorders>
              <w:top w:val="single" w:sz="4" w:space="0" w:color="auto"/>
            </w:tcBorders>
          </w:tcPr>
          <w:p w14:paraId="7CD86A50" w14:textId="77777777" w:rsidR="00E118A5" w:rsidRPr="003101A0" w:rsidRDefault="00E118A5" w:rsidP="003C1477">
            <w:pPr>
              <w:rPr>
                <w:rFonts w:ascii="Times New Roman" w:hAnsi="Times New Roman" w:cs="Times New Roman"/>
                <w:sz w:val="20"/>
                <w:szCs w:val="20"/>
                <w:lang w:val="en-US"/>
              </w:rPr>
            </w:pPr>
          </w:p>
        </w:tc>
        <w:tc>
          <w:tcPr>
            <w:tcW w:w="992" w:type="dxa"/>
            <w:tcBorders>
              <w:top w:val="single" w:sz="4" w:space="0" w:color="auto"/>
            </w:tcBorders>
          </w:tcPr>
          <w:p w14:paraId="157388DC" w14:textId="77777777" w:rsidR="00E118A5" w:rsidRPr="003101A0" w:rsidRDefault="00E118A5" w:rsidP="003C1477">
            <w:pPr>
              <w:rPr>
                <w:rFonts w:ascii="Times New Roman" w:hAnsi="Times New Roman" w:cs="Times New Roman"/>
                <w:sz w:val="20"/>
                <w:szCs w:val="20"/>
                <w:lang w:val="en-US"/>
              </w:rPr>
            </w:pPr>
          </w:p>
        </w:tc>
        <w:tc>
          <w:tcPr>
            <w:tcW w:w="992" w:type="dxa"/>
            <w:tcBorders>
              <w:top w:val="single" w:sz="4" w:space="0" w:color="auto"/>
            </w:tcBorders>
          </w:tcPr>
          <w:p w14:paraId="0C5614E6" w14:textId="77777777" w:rsidR="00E118A5" w:rsidRPr="003101A0" w:rsidRDefault="00E118A5" w:rsidP="003C1477">
            <w:pPr>
              <w:rPr>
                <w:rFonts w:ascii="Times New Roman" w:hAnsi="Times New Roman" w:cs="Times New Roman"/>
                <w:sz w:val="20"/>
                <w:szCs w:val="20"/>
                <w:lang w:val="en-US"/>
              </w:rPr>
            </w:pPr>
          </w:p>
        </w:tc>
        <w:tc>
          <w:tcPr>
            <w:tcW w:w="426" w:type="dxa"/>
            <w:tcBorders>
              <w:top w:val="single" w:sz="4" w:space="0" w:color="auto"/>
            </w:tcBorders>
            <w:vAlign w:val="center"/>
          </w:tcPr>
          <w:p w14:paraId="5D6C7F23" w14:textId="77777777" w:rsidR="00E118A5" w:rsidRPr="003101A0" w:rsidRDefault="00E118A5" w:rsidP="003C1477">
            <w:pPr>
              <w:rPr>
                <w:rFonts w:ascii="Times New Roman" w:hAnsi="Times New Roman" w:cs="Times New Roman"/>
                <w:sz w:val="20"/>
                <w:szCs w:val="20"/>
                <w:lang w:val="en-US"/>
              </w:rPr>
            </w:pPr>
          </w:p>
        </w:tc>
        <w:tc>
          <w:tcPr>
            <w:tcW w:w="1134" w:type="dxa"/>
            <w:tcBorders>
              <w:top w:val="single" w:sz="4" w:space="0" w:color="auto"/>
            </w:tcBorders>
          </w:tcPr>
          <w:p w14:paraId="26565BC6" w14:textId="77777777" w:rsidR="00E118A5" w:rsidRPr="003101A0" w:rsidRDefault="00E118A5" w:rsidP="003C1477">
            <w:pPr>
              <w:rPr>
                <w:rFonts w:ascii="Times New Roman" w:hAnsi="Times New Roman" w:cs="Times New Roman"/>
                <w:sz w:val="20"/>
                <w:szCs w:val="20"/>
                <w:lang w:val="en-US"/>
              </w:rPr>
            </w:pPr>
          </w:p>
        </w:tc>
        <w:tc>
          <w:tcPr>
            <w:tcW w:w="1061" w:type="dxa"/>
            <w:tcBorders>
              <w:top w:val="single" w:sz="4" w:space="0" w:color="auto"/>
            </w:tcBorders>
          </w:tcPr>
          <w:p w14:paraId="5A0B90A5" w14:textId="77777777" w:rsidR="00E118A5" w:rsidRPr="003101A0" w:rsidRDefault="00E118A5" w:rsidP="003C1477">
            <w:pPr>
              <w:rPr>
                <w:rFonts w:ascii="Times New Roman" w:hAnsi="Times New Roman" w:cs="Times New Roman"/>
                <w:sz w:val="20"/>
                <w:szCs w:val="20"/>
                <w:lang w:val="en-US"/>
              </w:rPr>
            </w:pPr>
          </w:p>
        </w:tc>
        <w:tc>
          <w:tcPr>
            <w:tcW w:w="1031" w:type="dxa"/>
            <w:tcBorders>
              <w:top w:val="single" w:sz="4" w:space="0" w:color="auto"/>
            </w:tcBorders>
          </w:tcPr>
          <w:p w14:paraId="08B9025B" w14:textId="77777777" w:rsidR="00E118A5" w:rsidRPr="003101A0" w:rsidRDefault="00E118A5" w:rsidP="003C1477">
            <w:pPr>
              <w:rPr>
                <w:rFonts w:ascii="Times New Roman" w:hAnsi="Times New Roman" w:cs="Times New Roman"/>
                <w:sz w:val="20"/>
                <w:szCs w:val="20"/>
                <w:lang w:val="en-US"/>
              </w:rPr>
            </w:pPr>
          </w:p>
        </w:tc>
      </w:tr>
      <w:tr w:rsidR="00294950" w:rsidRPr="003101A0" w14:paraId="54236BBC" w14:textId="77777777" w:rsidTr="003101A0">
        <w:tc>
          <w:tcPr>
            <w:tcW w:w="9214" w:type="dxa"/>
            <w:gridSpan w:val="8"/>
            <w:tcBorders>
              <w:bottom w:val="single" w:sz="4" w:space="0" w:color="auto"/>
            </w:tcBorders>
            <w:vAlign w:val="center"/>
          </w:tcPr>
          <w:p w14:paraId="3F0C40EC" w14:textId="20E0A01D" w:rsidR="00294950" w:rsidRPr="00F36282" w:rsidRDefault="00294950" w:rsidP="003C1477">
            <w:pPr>
              <w:rPr>
                <w:rFonts w:ascii="Times New Roman" w:hAnsi="Times New Roman" w:cs="Times New Roman"/>
                <w:iCs/>
                <w:sz w:val="20"/>
                <w:szCs w:val="20"/>
                <w:lang w:val="en-US"/>
              </w:rPr>
            </w:pPr>
            <w:r w:rsidRPr="00B16F67">
              <w:rPr>
                <w:rFonts w:ascii="Times New Roman" w:hAnsi="Times New Roman" w:cs="Times New Roman"/>
                <w:iCs/>
                <w:sz w:val="20"/>
                <w:szCs w:val="20"/>
                <w:lang w:val="en-US"/>
              </w:rPr>
              <w:t xml:space="preserve">Panel </w:t>
            </w:r>
            <w:r w:rsidR="00E118A5" w:rsidRPr="00B16F67">
              <w:rPr>
                <w:rFonts w:ascii="Times New Roman" w:hAnsi="Times New Roman" w:cs="Times New Roman"/>
                <w:iCs/>
                <w:sz w:val="20"/>
                <w:szCs w:val="20"/>
                <w:lang w:val="en-US"/>
              </w:rPr>
              <w:t>C</w:t>
            </w:r>
            <w:r w:rsidRPr="00B16F67">
              <w:rPr>
                <w:rFonts w:ascii="Times New Roman" w:hAnsi="Times New Roman" w:cs="Times New Roman"/>
                <w:iCs/>
                <w:sz w:val="20"/>
                <w:szCs w:val="20"/>
                <w:lang w:val="en-US"/>
              </w:rPr>
              <w:t xml:space="preserve">: Security </w:t>
            </w:r>
            <w:r w:rsidR="003F4F48" w:rsidRPr="00B16F67">
              <w:rPr>
                <w:rFonts w:ascii="Times New Roman" w:hAnsi="Times New Roman" w:cs="Times New Roman"/>
                <w:iCs/>
                <w:sz w:val="20"/>
                <w:szCs w:val="20"/>
                <w:lang w:val="en-US"/>
              </w:rPr>
              <w:t xml:space="preserve">design </w:t>
            </w:r>
            <w:r w:rsidRPr="00B16F67">
              <w:rPr>
                <w:rFonts w:ascii="Times New Roman" w:hAnsi="Times New Roman" w:cs="Times New Roman"/>
                <w:iCs/>
                <w:sz w:val="20"/>
                <w:szCs w:val="20"/>
                <w:lang w:val="en-US"/>
              </w:rPr>
              <w:t>characteristics</w:t>
            </w:r>
          </w:p>
        </w:tc>
      </w:tr>
      <w:tr w:rsidR="00294950" w:rsidRPr="003101A0" w14:paraId="76DD88EC" w14:textId="77777777" w:rsidTr="003101A0">
        <w:tc>
          <w:tcPr>
            <w:tcW w:w="2586" w:type="dxa"/>
          </w:tcPr>
          <w:p w14:paraId="6DE8E881"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Proceeds</w:t>
            </w:r>
          </w:p>
        </w:tc>
        <w:tc>
          <w:tcPr>
            <w:tcW w:w="992" w:type="dxa"/>
          </w:tcPr>
          <w:p w14:paraId="1B2C9B92"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0.244</w:t>
            </w:r>
          </w:p>
        </w:tc>
        <w:tc>
          <w:tcPr>
            <w:tcW w:w="992" w:type="dxa"/>
          </w:tcPr>
          <w:p w14:paraId="1958E983"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0.170</w:t>
            </w:r>
          </w:p>
        </w:tc>
        <w:tc>
          <w:tcPr>
            <w:tcW w:w="992" w:type="dxa"/>
          </w:tcPr>
          <w:p w14:paraId="03030648"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0.742</w:t>
            </w:r>
          </w:p>
        </w:tc>
        <w:tc>
          <w:tcPr>
            <w:tcW w:w="426" w:type="dxa"/>
            <w:vAlign w:val="center"/>
          </w:tcPr>
          <w:p w14:paraId="2614BAC5" w14:textId="77777777" w:rsidR="00294950" w:rsidRPr="003101A0" w:rsidRDefault="00294950" w:rsidP="003C1477">
            <w:pPr>
              <w:rPr>
                <w:rFonts w:ascii="Times New Roman" w:hAnsi="Times New Roman" w:cs="Times New Roman"/>
                <w:sz w:val="20"/>
                <w:szCs w:val="20"/>
                <w:lang w:val="en-US"/>
              </w:rPr>
            </w:pPr>
          </w:p>
        </w:tc>
        <w:tc>
          <w:tcPr>
            <w:tcW w:w="1134" w:type="dxa"/>
          </w:tcPr>
          <w:p w14:paraId="044DDD68"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0.196</w:t>
            </w:r>
            <w:r w:rsidRPr="00CD063E">
              <w:rPr>
                <w:rFonts w:ascii="Times New Roman" w:hAnsi="Times New Roman" w:cs="Times New Roman"/>
                <w:color w:val="000000"/>
                <w:sz w:val="20"/>
                <w:szCs w:val="20"/>
                <w:lang w:val="en-US"/>
              </w:rPr>
              <w:t>**</w:t>
            </w:r>
          </w:p>
        </w:tc>
        <w:tc>
          <w:tcPr>
            <w:tcW w:w="1061" w:type="dxa"/>
          </w:tcPr>
          <w:p w14:paraId="3A338DFD"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0.052</w:t>
            </w:r>
            <w:r w:rsidRPr="00CD063E">
              <w:rPr>
                <w:rFonts w:ascii="Times New Roman" w:hAnsi="Times New Roman" w:cs="Times New Roman"/>
                <w:color w:val="000000"/>
                <w:sz w:val="20"/>
                <w:szCs w:val="20"/>
                <w:lang w:val="en-US"/>
              </w:rPr>
              <w:t>***</w:t>
            </w:r>
          </w:p>
        </w:tc>
        <w:tc>
          <w:tcPr>
            <w:tcW w:w="1031" w:type="dxa"/>
          </w:tcPr>
          <w:p w14:paraId="66DAE705"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0.562</w:t>
            </w:r>
          </w:p>
        </w:tc>
      </w:tr>
      <w:tr w:rsidR="00294950" w:rsidRPr="003101A0" w14:paraId="1F49CE79" w14:textId="77777777" w:rsidTr="003101A0">
        <w:tc>
          <w:tcPr>
            <w:tcW w:w="2586" w:type="dxa"/>
          </w:tcPr>
          <w:p w14:paraId="2BDACB55"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 xml:space="preserve">Callable (%) </w:t>
            </w:r>
          </w:p>
        </w:tc>
        <w:tc>
          <w:tcPr>
            <w:tcW w:w="992" w:type="dxa"/>
          </w:tcPr>
          <w:p w14:paraId="03B750A0"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60.70</w:t>
            </w:r>
          </w:p>
        </w:tc>
        <w:tc>
          <w:tcPr>
            <w:tcW w:w="992" w:type="dxa"/>
          </w:tcPr>
          <w:p w14:paraId="2A9CCE50"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100</w:t>
            </w:r>
          </w:p>
        </w:tc>
        <w:tc>
          <w:tcPr>
            <w:tcW w:w="992" w:type="dxa"/>
          </w:tcPr>
          <w:p w14:paraId="5CA391C7"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48.85</w:t>
            </w:r>
          </w:p>
        </w:tc>
        <w:tc>
          <w:tcPr>
            <w:tcW w:w="426" w:type="dxa"/>
            <w:vAlign w:val="center"/>
          </w:tcPr>
          <w:p w14:paraId="0A1C5A69" w14:textId="77777777" w:rsidR="00294950" w:rsidRPr="003101A0" w:rsidRDefault="00294950" w:rsidP="003C1477">
            <w:pPr>
              <w:rPr>
                <w:rFonts w:ascii="Times New Roman" w:hAnsi="Times New Roman" w:cs="Times New Roman"/>
                <w:sz w:val="20"/>
                <w:szCs w:val="20"/>
                <w:lang w:val="en-US"/>
              </w:rPr>
            </w:pPr>
          </w:p>
        </w:tc>
        <w:tc>
          <w:tcPr>
            <w:tcW w:w="1134" w:type="dxa"/>
          </w:tcPr>
          <w:p w14:paraId="7CC51CD2"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80.10</w:t>
            </w:r>
            <w:r w:rsidRPr="00CD063E">
              <w:rPr>
                <w:rFonts w:ascii="Times New Roman" w:hAnsi="Times New Roman" w:cs="Times New Roman"/>
                <w:color w:val="000000"/>
                <w:sz w:val="20"/>
                <w:szCs w:val="20"/>
                <w:lang w:val="en-US"/>
              </w:rPr>
              <w:t>***</w:t>
            </w:r>
          </w:p>
        </w:tc>
        <w:tc>
          <w:tcPr>
            <w:tcW w:w="1061" w:type="dxa"/>
          </w:tcPr>
          <w:p w14:paraId="30EFAAB6"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100</w:t>
            </w:r>
            <w:r w:rsidRPr="00CD063E">
              <w:rPr>
                <w:rFonts w:ascii="Times New Roman" w:hAnsi="Times New Roman" w:cs="Times New Roman"/>
                <w:color w:val="000000"/>
                <w:sz w:val="20"/>
                <w:szCs w:val="20"/>
                <w:lang w:val="en-US"/>
              </w:rPr>
              <w:t>***</w:t>
            </w:r>
          </w:p>
        </w:tc>
        <w:tc>
          <w:tcPr>
            <w:tcW w:w="1031" w:type="dxa"/>
          </w:tcPr>
          <w:p w14:paraId="7574DCDC"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39.90</w:t>
            </w:r>
          </w:p>
        </w:tc>
      </w:tr>
      <w:tr w:rsidR="00294950" w:rsidRPr="003101A0" w14:paraId="05CA0EB0" w14:textId="77777777" w:rsidTr="003101A0">
        <w:tc>
          <w:tcPr>
            <w:tcW w:w="2586" w:type="dxa"/>
          </w:tcPr>
          <w:p w14:paraId="6D82B6D2" w14:textId="77777777" w:rsidR="00294950" w:rsidRPr="003101A0" w:rsidRDefault="00294950" w:rsidP="003C1477">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Putable</w:t>
            </w:r>
            <w:proofErr w:type="spellEnd"/>
            <w:r w:rsidRPr="003101A0">
              <w:rPr>
                <w:rFonts w:ascii="Times New Roman" w:hAnsi="Times New Roman" w:cs="Times New Roman"/>
                <w:i/>
                <w:sz w:val="20"/>
                <w:szCs w:val="20"/>
                <w:lang w:val="en-US"/>
              </w:rPr>
              <w:t xml:space="preserve"> (%)</w:t>
            </w:r>
          </w:p>
        </w:tc>
        <w:tc>
          <w:tcPr>
            <w:tcW w:w="992" w:type="dxa"/>
          </w:tcPr>
          <w:p w14:paraId="4AAC7F57"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28.42</w:t>
            </w:r>
          </w:p>
        </w:tc>
        <w:tc>
          <w:tcPr>
            <w:tcW w:w="992" w:type="dxa"/>
          </w:tcPr>
          <w:p w14:paraId="569DF98E"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w:t>
            </w:r>
          </w:p>
        </w:tc>
        <w:tc>
          <w:tcPr>
            <w:tcW w:w="992" w:type="dxa"/>
          </w:tcPr>
          <w:p w14:paraId="057BAB55"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45.10</w:t>
            </w:r>
          </w:p>
        </w:tc>
        <w:tc>
          <w:tcPr>
            <w:tcW w:w="426" w:type="dxa"/>
            <w:vAlign w:val="center"/>
          </w:tcPr>
          <w:p w14:paraId="7468A12F" w14:textId="77777777" w:rsidR="00294950" w:rsidRPr="003101A0" w:rsidRDefault="00294950" w:rsidP="003C1477">
            <w:pPr>
              <w:rPr>
                <w:rFonts w:ascii="Times New Roman" w:hAnsi="Times New Roman" w:cs="Times New Roman"/>
                <w:sz w:val="20"/>
                <w:szCs w:val="20"/>
                <w:lang w:val="en-US"/>
              </w:rPr>
            </w:pPr>
          </w:p>
        </w:tc>
        <w:tc>
          <w:tcPr>
            <w:tcW w:w="1134" w:type="dxa"/>
          </w:tcPr>
          <w:p w14:paraId="6CFC88F3"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1.92</w:t>
            </w:r>
            <w:r w:rsidRPr="00CD063E">
              <w:rPr>
                <w:rFonts w:ascii="Times New Roman" w:hAnsi="Times New Roman" w:cs="Times New Roman"/>
                <w:color w:val="000000"/>
                <w:sz w:val="20"/>
                <w:szCs w:val="20"/>
                <w:lang w:val="en-US"/>
              </w:rPr>
              <w:t>***</w:t>
            </w:r>
          </w:p>
        </w:tc>
        <w:tc>
          <w:tcPr>
            <w:tcW w:w="1061" w:type="dxa"/>
          </w:tcPr>
          <w:p w14:paraId="2F1EBC4D"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w:t>
            </w:r>
            <w:r w:rsidRPr="00CD063E">
              <w:rPr>
                <w:rFonts w:ascii="Times New Roman" w:hAnsi="Times New Roman" w:cs="Times New Roman"/>
                <w:color w:val="000000"/>
                <w:sz w:val="20"/>
                <w:szCs w:val="20"/>
                <w:lang w:val="en-US"/>
              </w:rPr>
              <w:t>***</w:t>
            </w:r>
          </w:p>
        </w:tc>
        <w:tc>
          <w:tcPr>
            <w:tcW w:w="1031" w:type="dxa"/>
          </w:tcPr>
          <w:p w14:paraId="492AB0B6"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13.80</w:t>
            </w:r>
          </w:p>
        </w:tc>
      </w:tr>
      <w:tr w:rsidR="00294950" w:rsidRPr="003101A0" w14:paraId="16564635" w14:textId="77777777" w:rsidTr="003101A0">
        <w:tc>
          <w:tcPr>
            <w:tcW w:w="2586" w:type="dxa"/>
          </w:tcPr>
          <w:p w14:paraId="33A21DE0"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Secured (%)</w:t>
            </w:r>
          </w:p>
        </w:tc>
        <w:tc>
          <w:tcPr>
            <w:tcW w:w="992" w:type="dxa"/>
          </w:tcPr>
          <w:p w14:paraId="6D60ED18"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0.47</w:t>
            </w:r>
          </w:p>
        </w:tc>
        <w:tc>
          <w:tcPr>
            <w:tcW w:w="992" w:type="dxa"/>
          </w:tcPr>
          <w:p w14:paraId="3A749FF0"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0</w:t>
            </w:r>
          </w:p>
        </w:tc>
        <w:tc>
          <w:tcPr>
            <w:tcW w:w="992" w:type="dxa"/>
          </w:tcPr>
          <w:p w14:paraId="27289B85"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6.89</w:t>
            </w:r>
          </w:p>
        </w:tc>
        <w:tc>
          <w:tcPr>
            <w:tcW w:w="426" w:type="dxa"/>
            <w:vAlign w:val="center"/>
          </w:tcPr>
          <w:p w14:paraId="5BE31548" w14:textId="77777777" w:rsidR="00294950" w:rsidRPr="003101A0" w:rsidRDefault="00294950" w:rsidP="003C1477">
            <w:pPr>
              <w:rPr>
                <w:rFonts w:ascii="Times New Roman" w:hAnsi="Times New Roman" w:cs="Times New Roman"/>
                <w:sz w:val="20"/>
                <w:szCs w:val="20"/>
                <w:lang w:val="en-US"/>
              </w:rPr>
            </w:pPr>
          </w:p>
        </w:tc>
        <w:tc>
          <w:tcPr>
            <w:tcW w:w="1134" w:type="dxa"/>
          </w:tcPr>
          <w:p w14:paraId="31B44E70"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3.65</w:t>
            </w:r>
            <w:r w:rsidRPr="00CD063E">
              <w:rPr>
                <w:rFonts w:ascii="Times New Roman" w:hAnsi="Times New Roman" w:cs="Times New Roman"/>
                <w:color w:val="000000"/>
                <w:sz w:val="20"/>
                <w:szCs w:val="20"/>
                <w:lang w:val="en-US"/>
              </w:rPr>
              <w:t>***</w:t>
            </w:r>
          </w:p>
        </w:tc>
        <w:tc>
          <w:tcPr>
            <w:tcW w:w="1061" w:type="dxa"/>
          </w:tcPr>
          <w:p w14:paraId="6D31EC03"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0</w:t>
            </w:r>
            <w:r w:rsidRPr="00CD063E">
              <w:rPr>
                <w:rFonts w:ascii="Times New Roman" w:hAnsi="Times New Roman" w:cs="Times New Roman"/>
                <w:color w:val="000000"/>
                <w:sz w:val="20"/>
                <w:szCs w:val="20"/>
                <w:lang w:val="en-US"/>
              </w:rPr>
              <w:t>***</w:t>
            </w:r>
          </w:p>
        </w:tc>
        <w:tc>
          <w:tcPr>
            <w:tcW w:w="1031" w:type="dxa"/>
          </w:tcPr>
          <w:p w14:paraId="2F381A50"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18.76</w:t>
            </w:r>
          </w:p>
        </w:tc>
      </w:tr>
      <w:tr w:rsidR="00294950" w:rsidRPr="003101A0" w14:paraId="7313BE3E" w14:textId="77777777" w:rsidTr="003101A0">
        <w:tc>
          <w:tcPr>
            <w:tcW w:w="2586" w:type="dxa"/>
          </w:tcPr>
          <w:p w14:paraId="06D01C40"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Senior (%)</w:t>
            </w:r>
          </w:p>
        </w:tc>
        <w:tc>
          <w:tcPr>
            <w:tcW w:w="992" w:type="dxa"/>
          </w:tcPr>
          <w:p w14:paraId="78D8712E"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55.51</w:t>
            </w:r>
          </w:p>
        </w:tc>
        <w:tc>
          <w:tcPr>
            <w:tcW w:w="992" w:type="dxa"/>
          </w:tcPr>
          <w:p w14:paraId="227AD8D0"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100</w:t>
            </w:r>
          </w:p>
        </w:tc>
        <w:tc>
          <w:tcPr>
            <w:tcW w:w="992" w:type="dxa"/>
          </w:tcPr>
          <w:p w14:paraId="5DDC7B01"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49.71</w:t>
            </w:r>
          </w:p>
        </w:tc>
        <w:tc>
          <w:tcPr>
            <w:tcW w:w="426" w:type="dxa"/>
            <w:vAlign w:val="center"/>
          </w:tcPr>
          <w:p w14:paraId="6E67AE3A" w14:textId="77777777" w:rsidR="00294950" w:rsidRPr="003101A0" w:rsidRDefault="00294950" w:rsidP="003C1477">
            <w:pPr>
              <w:rPr>
                <w:rFonts w:ascii="Times New Roman" w:hAnsi="Times New Roman" w:cs="Times New Roman"/>
                <w:sz w:val="20"/>
                <w:szCs w:val="20"/>
                <w:lang w:val="en-US"/>
              </w:rPr>
            </w:pPr>
          </w:p>
        </w:tc>
        <w:tc>
          <w:tcPr>
            <w:tcW w:w="1134" w:type="dxa"/>
          </w:tcPr>
          <w:p w14:paraId="1A93D13F"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90.52</w:t>
            </w:r>
            <w:r w:rsidRPr="00CD063E">
              <w:rPr>
                <w:rFonts w:ascii="Times New Roman" w:hAnsi="Times New Roman" w:cs="Times New Roman"/>
                <w:color w:val="000000"/>
                <w:sz w:val="20"/>
                <w:szCs w:val="20"/>
                <w:lang w:val="en-US"/>
              </w:rPr>
              <w:t>***</w:t>
            </w:r>
          </w:p>
        </w:tc>
        <w:tc>
          <w:tcPr>
            <w:tcW w:w="1061" w:type="dxa"/>
          </w:tcPr>
          <w:p w14:paraId="33CF2033"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100</w:t>
            </w:r>
            <w:r w:rsidRPr="00CD063E">
              <w:rPr>
                <w:rFonts w:ascii="Times New Roman" w:hAnsi="Times New Roman" w:cs="Times New Roman"/>
                <w:color w:val="000000"/>
                <w:sz w:val="20"/>
                <w:szCs w:val="20"/>
                <w:lang w:val="en-US"/>
              </w:rPr>
              <w:t>***</w:t>
            </w:r>
          </w:p>
        </w:tc>
        <w:tc>
          <w:tcPr>
            <w:tcW w:w="1031" w:type="dxa"/>
          </w:tcPr>
          <w:p w14:paraId="2C1314DA"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29.30</w:t>
            </w:r>
          </w:p>
        </w:tc>
      </w:tr>
      <w:tr w:rsidR="00294950" w:rsidRPr="003101A0" w14:paraId="0490B146" w14:textId="77777777" w:rsidTr="003101A0">
        <w:tc>
          <w:tcPr>
            <w:tcW w:w="2586" w:type="dxa"/>
          </w:tcPr>
          <w:p w14:paraId="57764290" w14:textId="77777777" w:rsidR="00294950" w:rsidRPr="003101A0" w:rsidRDefault="00294950" w:rsidP="003C147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Maturity (months)</w:t>
            </w:r>
          </w:p>
        </w:tc>
        <w:tc>
          <w:tcPr>
            <w:tcW w:w="992" w:type="dxa"/>
          </w:tcPr>
          <w:p w14:paraId="6EE479D5"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131.40</w:t>
            </w:r>
          </w:p>
        </w:tc>
        <w:tc>
          <w:tcPr>
            <w:tcW w:w="992" w:type="dxa"/>
          </w:tcPr>
          <w:p w14:paraId="4E22D352"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84</w:t>
            </w:r>
          </w:p>
        </w:tc>
        <w:tc>
          <w:tcPr>
            <w:tcW w:w="992" w:type="dxa"/>
          </w:tcPr>
          <w:p w14:paraId="2911BCD8" w14:textId="77777777" w:rsidR="00294950" w:rsidRPr="003101A0" w:rsidRDefault="00294950" w:rsidP="003C1477">
            <w:pPr>
              <w:rPr>
                <w:rFonts w:ascii="Times New Roman" w:hAnsi="Times New Roman" w:cs="Times New Roman"/>
                <w:color w:val="000000"/>
                <w:sz w:val="20"/>
                <w:szCs w:val="20"/>
                <w:lang w:val="en-US"/>
              </w:rPr>
            </w:pPr>
            <w:r w:rsidRPr="003101A0">
              <w:rPr>
                <w:rFonts w:ascii="Times New Roman" w:hAnsi="Times New Roman" w:cs="Times New Roman"/>
                <w:sz w:val="20"/>
                <w:szCs w:val="20"/>
                <w:lang w:val="en-US"/>
              </w:rPr>
              <w:t>94</w:t>
            </w:r>
          </w:p>
        </w:tc>
        <w:tc>
          <w:tcPr>
            <w:tcW w:w="426" w:type="dxa"/>
            <w:vAlign w:val="center"/>
          </w:tcPr>
          <w:p w14:paraId="28866BF5" w14:textId="77777777" w:rsidR="00294950" w:rsidRPr="003101A0" w:rsidRDefault="00294950" w:rsidP="003C1477">
            <w:pPr>
              <w:rPr>
                <w:rFonts w:ascii="Times New Roman" w:hAnsi="Times New Roman" w:cs="Times New Roman"/>
                <w:sz w:val="20"/>
                <w:szCs w:val="20"/>
                <w:lang w:val="en-US"/>
              </w:rPr>
            </w:pPr>
          </w:p>
        </w:tc>
        <w:tc>
          <w:tcPr>
            <w:tcW w:w="1134" w:type="dxa"/>
          </w:tcPr>
          <w:p w14:paraId="47E86667"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137.22</w:t>
            </w:r>
            <w:r w:rsidRPr="00CD063E">
              <w:rPr>
                <w:rFonts w:ascii="Times New Roman" w:hAnsi="Times New Roman" w:cs="Times New Roman"/>
                <w:color w:val="000000"/>
                <w:sz w:val="20"/>
                <w:szCs w:val="20"/>
                <w:lang w:val="en-US"/>
              </w:rPr>
              <w:t>*</w:t>
            </w:r>
          </w:p>
        </w:tc>
        <w:tc>
          <w:tcPr>
            <w:tcW w:w="1061" w:type="dxa"/>
          </w:tcPr>
          <w:p w14:paraId="39AD5370" w14:textId="77777777" w:rsidR="00294950" w:rsidRPr="00CD063E" w:rsidRDefault="00294950" w:rsidP="003C1477">
            <w:pPr>
              <w:rPr>
                <w:rFonts w:ascii="Times New Roman" w:hAnsi="Times New Roman" w:cs="Times New Roman"/>
                <w:sz w:val="20"/>
                <w:szCs w:val="20"/>
                <w:lang w:val="en-US"/>
              </w:rPr>
            </w:pPr>
            <w:r w:rsidRPr="00CD063E">
              <w:rPr>
                <w:rFonts w:ascii="Times New Roman" w:hAnsi="Times New Roman" w:cs="Times New Roman"/>
                <w:sz w:val="20"/>
                <w:szCs w:val="20"/>
                <w:lang w:val="en-US"/>
              </w:rPr>
              <w:t>118</w:t>
            </w:r>
            <w:r w:rsidRPr="00CD063E">
              <w:rPr>
                <w:rFonts w:ascii="Times New Roman" w:hAnsi="Times New Roman" w:cs="Times New Roman"/>
                <w:color w:val="000000"/>
                <w:sz w:val="20"/>
                <w:szCs w:val="20"/>
                <w:lang w:val="en-US"/>
              </w:rPr>
              <w:t>***</w:t>
            </w:r>
          </w:p>
        </w:tc>
        <w:tc>
          <w:tcPr>
            <w:tcW w:w="1031" w:type="dxa"/>
          </w:tcPr>
          <w:p w14:paraId="4966B73E" w14:textId="77777777" w:rsidR="00294950" w:rsidRPr="003101A0" w:rsidRDefault="00294950" w:rsidP="003C1477">
            <w:pPr>
              <w:rPr>
                <w:rFonts w:ascii="Times New Roman" w:hAnsi="Times New Roman" w:cs="Times New Roman"/>
                <w:sz w:val="20"/>
                <w:szCs w:val="20"/>
                <w:lang w:val="en-US"/>
              </w:rPr>
            </w:pPr>
            <w:r w:rsidRPr="003101A0">
              <w:rPr>
                <w:rFonts w:ascii="Times New Roman" w:hAnsi="Times New Roman" w:cs="Times New Roman"/>
                <w:sz w:val="20"/>
                <w:szCs w:val="20"/>
                <w:lang w:val="en-US"/>
              </w:rPr>
              <w:t>119</w:t>
            </w:r>
          </w:p>
        </w:tc>
      </w:tr>
      <w:tr w:rsidR="007450E3" w:rsidRPr="003101A0" w14:paraId="55512295" w14:textId="77777777" w:rsidTr="00CB4E6D">
        <w:tc>
          <w:tcPr>
            <w:tcW w:w="2586" w:type="dxa"/>
            <w:shd w:val="clear" w:color="auto" w:fill="auto"/>
          </w:tcPr>
          <w:p w14:paraId="3DED858C" w14:textId="18CDA3E9" w:rsidR="007450E3" w:rsidRPr="00CB4E6D" w:rsidRDefault="007450E3" w:rsidP="003C1477">
            <w:pPr>
              <w:rPr>
                <w:rFonts w:ascii="Times New Roman" w:hAnsi="Times New Roman" w:cs="Times New Roman"/>
                <w:i/>
                <w:sz w:val="20"/>
                <w:szCs w:val="20"/>
                <w:lang w:val="en-US"/>
              </w:rPr>
            </w:pPr>
            <w:r w:rsidRPr="00CB4E6D">
              <w:rPr>
                <w:rFonts w:ascii="Times New Roman" w:hAnsi="Times New Roman" w:cs="Times New Roman"/>
                <w:i/>
                <w:sz w:val="20"/>
                <w:szCs w:val="20"/>
                <w:lang w:val="en-US"/>
              </w:rPr>
              <w:t>Yield (%</w:t>
            </w:r>
            <w:r w:rsidRPr="00CB4E6D">
              <w:rPr>
                <w:rFonts w:ascii="Times New Roman" w:hAnsi="Times New Roman" w:cs="Times New Roman"/>
                <w:i/>
                <w:sz w:val="20"/>
                <w:szCs w:val="20"/>
                <w:lang w:val="en-US" w:eastAsia="zh-CN"/>
              </w:rPr>
              <w:t>)</w:t>
            </w:r>
          </w:p>
        </w:tc>
        <w:tc>
          <w:tcPr>
            <w:tcW w:w="992" w:type="dxa"/>
            <w:shd w:val="clear" w:color="auto" w:fill="auto"/>
          </w:tcPr>
          <w:p w14:paraId="5C2931C3" w14:textId="133C2C03" w:rsidR="007450E3" w:rsidRPr="00CB4E6D" w:rsidRDefault="007450E3" w:rsidP="003C1477">
            <w:pPr>
              <w:rPr>
                <w:rFonts w:ascii="Times New Roman" w:hAnsi="Times New Roman" w:cs="Times New Roman"/>
                <w:sz w:val="20"/>
                <w:lang w:val="en-US"/>
              </w:rPr>
            </w:pPr>
            <w:r w:rsidRPr="00CB4E6D">
              <w:rPr>
                <w:rFonts w:ascii="Times New Roman" w:hAnsi="Times New Roman" w:cs="Times New Roman"/>
                <w:sz w:val="20"/>
                <w:lang w:val="en-US"/>
              </w:rPr>
              <w:t>0.677</w:t>
            </w:r>
          </w:p>
        </w:tc>
        <w:tc>
          <w:tcPr>
            <w:tcW w:w="992" w:type="dxa"/>
            <w:shd w:val="clear" w:color="auto" w:fill="auto"/>
          </w:tcPr>
          <w:p w14:paraId="3366E0E1" w14:textId="0671365A" w:rsidR="007450E3" w:rsidRPr="00CB4E6D" w:rsidRDefault="007450E3" w:rsidP="003C1477">
            <w:pPr>
              <w:rPr>
                <w:rFonts w:ascii="Times New Roman" w:hAnsi="Times New Roman" w:cs="Times New Roman"/>
                <w:sz w:val="20"/>
                <w:lang w:val="en-US"/>
              </w:rPr>
            </w:pPr>
            <w:r w:rsidRPr="00CB4E6D">
              <w:rPr>
                <w:rFonts w:ascii="Times New Roman" w:hAnsi="Times New Roman" w:cs="Times New Roman"/>
                <w:sz w:val="20"/>
                <w:lang w:val="en-US"/>
              </w:rPr>
              <w:t>0</w:t>
            </w:r>
          </w:p>
        </w:tc>
        <w:tc>
          <w:tcPr>
            <w:tcW w:w="992" w:type="dxa"/>
            <w:shd w:val="clear" w:color="auto" w:fill="auto"/>
          </w:tcPr>
          <w:p w14:paraId="0CCDE5D1" w14:textId="627E708B" w:rsidR="007450E3" w:rsidRPr="00CB4E6D" w:rsidRDefault="007450E3" w:rsidP="003C1477">
            <w:pPr>
              <w:rPr>
                <w:rFonts w:ascii="Times New Roman" w:hAnsi="Times New Roman" w:cs="Times New Roman"/>
                <w:sz w:val="20"/>
                <w:lang w:val="en-US"/>
              </w:rPr>
            </w:pPr>
            <w:r w:rsidRPr="00CB4E6D">
              <w:rPr>
                <w:rFonts w:ascii="Times New Roman" w:hAnsi="Times New Roman" w:cs="Times New Roman"/>
                <w:sz w:val="20"/>
                <w:lang w:val="en-US"/>
              </w:rPr>
              <w:t>1.365</w:t>
            </w:r>
          </w:p>
        </w:tc>
        <w:tc>
          <w:tcPr>
            <w:tcW w:w="426" w:type="dxa"/>
            <w:shd w:val="clear" w:color="auto" w:fill="auto"/>
            <w:vAlign w:val="center"/>
          </w:tcPr>
          <w:p w14:paraId="51F640BE" w14:textId="77777777" w:rsidR="007450E3" w:rsidRPr="00CB4E6D" w:rsidRDefault="007450E3" w:rsidP="003C1477">
            <w:pPr>
              <w:rPr>
                <w:rFonts w:ascii="Times New Roman" w:hAnsi="Times New Roman" w:cs="Times New Roman"/>
                <w:sz w:val="20"/>
                <w:szCs w:val="20"/>
                <w:lang w:val="en-US"/>
              </w:rPr>
            </w:pPr>
          </w:p>
        </w:tc>
        <w:tc>
          <w:tcPr>
            <w:tcW w:w="1134" w:type="dxa"/>
            <w:shd w:val="clear" w:color="auto" w:fill="auto"/>
          </w:tcPr>
          <w:p w14:paraId="6F1E8D3E" w14:textId="49929A75" w:rsidR="007450E3" w:rsidRPr="00CD063E" w:rsidRDefault="007450E3" w:rsidP="003C1477">
            <w:pPr>
              <w:rPr>
                <w:rFonts w:ascii="Times New Roman" w:hAnsi="Times New Roman" w:cs="Times New Roman"/>
                <w:sz w:val="20"/>
                <w:lang w:val="en-US"/>
              </w:rPr>
            </w:pPr>
            <w:r w:rsidRPr="00CD063E">
              <w:rPr>
                <w:rFonts w:ascii="Times New Roman" w:hAnsi="Times New Roman" w:cs="Times New Roman"/>
                <w:sz w:val="20"/>
                <w:lang w:val="en-US"/>
              </w:rPr>
              <w:t>2.138</w:t>
            </w:r>
            <w:r w:rsidR="000C1F13" w:rsidRPr="00CD063E">
              <w:rPr>
                <w:rFonts w:ascii="Times New Roman" w:hAnsi="Times New Roman" w:cs="Times New Roman"/>
                <w:color w:val="000000"/>
                <w:sz w:val="20"/>
                <w:szCs w:val="20"/>
                <w:lang w:val="en-US"/>
              </w:rPr>
              <w:t>***</w:t>
            </w:r>
          </w:p>
        </w:tc>
        <w:tc>
          <w:tcPr>
            <w:tcW w:w="1061" w:type="dxa"/>
            <w:shd w:val="clear" w:color="auto" w:fill="auto"/>
          </w:tcPr>
          <w:p w14:paraId="021D63A9" w14:textId="0392D3C8" w:rsidR="007450E3" w:rsidRPr="00CD063E" w:rsidRDefault="007450E3" w:rsidP="003C1477">
            <w:pPr>
              <w:rPr>
                <w:rFonts w:ascii="Times New Roman" w:hAnsi="Times New Roman" w:cs="Times New Roman"/>
                <w:sz w:val="20"/>
                <w:lang w:val="en-US"/>
              </w:rPr>
            </w:pPr>
            <w:r w:rsidRPr="00CD063E">
              <w:rPr>
                <w:rFonts w:ascii="Times New Roman" w:hAnsi="Times New Roman" w:cs="Times New Roman"/>
                <w:sz w:val="20"/>
                <w:lang w:val="en-US"/>
              </w:rPr>
              <w:t>1.495</w:t>
            </w:r>
            <w:r w:rsidR="000C1F13" w:rsidRPr="00CD063E">
              <w:rPr>
                <w:rFonts w:ascii="Times New Roman" w:hAnsi="Times New Roman" w:cs="Times New Roman"/>
                <w:color w:val="000000"/>
                <w:sz w:val="20"/>
                <w:szCs w:val="20"/>
                <w:lang w:val="en-US"/>
              </w:rPr>
              <w:t>***</w:t>
            </w:r>
          </w:p>
        </w:tc>
        <w:tc>
          <w:tcPr>
            <w:tcW w:w="1031" w:type="dxa"/>
            <w:shd w:val="clear" w:color="auto" w:fill="auto"/>
          </w:tcPr>
          <w:p w14:paraId="3C84FFAB" w14:textId="3F561365" w:rsidR="007450E3" w:rsidRPr="00CB4E6D" w:rsidRDefault="007450E3" w:rsidP="003C1477">
            <w:pPr>
              <w:rPr>
                <w:rFonts w:ascii="Times New Roman" w:hAnsi="Times New Roman" w:cs="Times New Roman"/>
                <w:sz w:val="20"/>
                <w:lang w:val="en-US"/>
              </w:rPr>
            </w:pPr>
            <w:r w:rsidRPr="00CB4E6D">
              <w:rPr>
                <w:rFonts w:ascii="Times New Roman" w:hAnsi="Times New Roman" w:cs="Times New Roman"/>
                <w:sz w:val="20"/>
                <w:lang w:val="en-US"/>
              </w:rPr>
              <w:t>1.788</w:t>
            </w:r>
          </w:p>
        </w:tc>
      </w:tr>
      <w:tr w:rsidR="007450E3" w:rsidRPr="003101A0" w14:paraId="22C0654E" w14:textId="77777777" w:rsidTr="003101A0">
        <w:tc>
          <w:tcPr>
            <w:tcW w:w="9214" w:type="dxa"/>
            <w:gridSpan w:val="8"/>
            <w:tcBorders>
              <w:top w:val="single" w:sz="4" w:space="0" w:color="auto"/>
            </w:tcBorders>
          </w:tcPr>
          <w:p w14:paraId="1AE37306" w14:textId="3790227D" w:rsidR="007450E3" w:rsidRPr="003101A0" w:rsidRDefault="007450E3" w:rsidP="003C1477">
            <w:pPr>
              <w:jc w:val="both"/>
              <w:rPr>
                <w:rFonts w:ascii="Times New Roman" w:hAnsi="Times New Roman" w:cs="Times New Roman"/>
                <w:lang w:val="en-US"/>
              </w:rPr>
            </w:pPr>
            <w:r w:rsidRPr="003101A0">
              <w:rPr>
                <w:rFonts w:ascii="Times New Roman" w:hAnsi="Times New Roman" w:cs="Times New Roman"/>
                <w:sz w:val="18"/>
                <w:szCs w:val="18"/>
                <w:lang w:val="en-US"/>
              </w:rPr>
              <w:t xml:space="preserve">Notes: Panel A presents univariate tests for differences in issuer characteristics between convertible and straight bond offerings. Panel B presents univariate tests for differences in </w:t>
            </w:r>
            <w:r w:rsidR="00E956AE">
              <w:rPr>
                <w:rFonts w:ascii="Times New Roman" w:hAnsi="Times New Roman" w:cs="Times New Roman"/>
                <w:sz w:val="18"/>
                <w:szCs w:val="18"/>
                <w:lang w:val="en-US"/>
              </w:rPr>
              <w:t>macroeconomic characteristics</w:t>
            </w:r>
            <w:r w:rsidRPr="003101A0">
              <w:rPr>
                <w:rFonts w:ascii="Times New Roman" w:hAnsi="Times New Roman" w:cs="Times New Roman"/>
                <w:sz w:val="18"/>
                <w:szCs w:val="18"/>
                <w:lang w:val="en-US"/>
              </w:rPr>
              <w:t xml:space="preserve"> between convertible and straight bond offerings. Panel C presents univariate tests for differences in </w:t>
            </w:r>
            <w:r w:rsidR="0014059B">
              <w:rPr>
                <w:rFonts w:ascii="Times New Roman" w:hAnsi="Times New Roman" w:cs="Times New Roman"/>
                <w:sz w:val="18"/>
                <w:szCs w:val="18"/>
                <w:lang w:val="en-US"/>
              </w:rPr>
              <w:t>security design</w:t>
            </w:r>
            <w:r w:rsidRPr="003101A0">
              <w:rPr>
                <w:rFonts w:ascii="Times New Roman" w:hAnsi="Times New Roman" w:cs="Times New Roman"/>
                <w:sz w:val="18"/>
                <w:szCs w:val="18"/>
                <w:lang w:val="en-US"/>
              </w:rPr>
              <w:t xml:space="preserve"> characteristics between convertible and straight bond offerings. Continuous variables are </w:t>
            </w:r>
            <w:proofErr w:type="spellStart"/>
            <w:r w:rsidRPr="003101A0">
              <w:rPr>
                <w:rFonts w:ascii="Times New Roman" w:hAnsi="Times New Roman" w:cs="Times New Roman"/>
                <w:sz w:val="18"/>
                <w:szCs w:val="18"/>
                <w:lang w:val="en-US"/>
              </w:rPr>
              <w:t>winsorized</w:t>
            </w:r>
            <w:proofErr w:type="spellEnd"/>
            <w:r w:rsidRPr="003101A0">
              <w:rPr>
                <w:rFonts w:ascii="Times New Roman" w:hAnsi="Times New Roman" w:cs="Times New Roman"/>
                <w:sz w:val="18"/>
                <w:szCs w:val="18"/>
                <w:lang w:val="en-US"/>
              </w:rPr>
              <w:t xml:space="preserve"> at the 1</w:t>
            </w:r>
            <w:r w:rsidRPr="003101A0">
              <w:rPr>
                <w:rFonts w:ascii="Times New Roman" w:hAnsi="Times New Roman" w:cs="Times New Roman"/>
                <w:sz w:val="18"/>
                <w:szCs w:val="18"/>
                <w:vertAlign w:val="superscript"/>
                <w:lang w:val="en-US"/>
              </w:rPr>
              <w:t>st</w:t>
            </w:r>
            <w:r w:rsidRPr="003101A0">
              <w:rPr>
                <w:rFonts w:ascii="Times New Roman" w:hAnsi="Times New Roman" w:cs="Times New Roman"/>
                <w:sz w:val="18"/>
                <w:szCs w:val="18"/>
                <w:lang w:val="en-US"/>
              </w:rPr>
              <w:t xml:space="preserve"> and 99</w:t>
            </w:r>
            <w:r w:rsidRPr="003101A0">
              <w:rPr>
                <w:rFonts w:ascii="Times New Roman" w:hAnsi="Times New Roman" w:cs="Times New Roman"/>
                <w:sz w:val="18"/>
                <w:szCs w:val="18"/>
                <w:vertAlign w:val="superscript"/>
                <w:lang w:val="en-US"/>
              </w:rPr>
              <w:t>th</w:t>
            </w:r>
            <w:r w:rsidRPr="003101A0">
              <w:rPr>
                <w:rFonts w:ascii="Times New Roman" w:hAnsi="Times New Roman" w:cs="Times New Roman"/>
                <w:sz w:val="18"/>
                <w:szCs w:val="18"/>
                <w:lang w:val="en-US"/>
              </w:rPr>
              <w:t xml:space="preserve"> percentiles. </w:t>
            </w:r>
            <w:r w:rsidR="0014059B">
              <w:rPr>
                <w:rFonts w:ascii="Times New Roman" w:hAnsi="Times New Roman" w:cs="Times New Roman"/>
                <w:sz w:val="18"/>
                <w:szCs w:val="18"/>
                <w:lang w:val="en-US"/>
              </w:rPr>
              <w:t>The Appendix presents the d</w:t>
            </w:r>
            <w:r w:rsidRPr="003101A0">
              <w:rPr>
                <w:rFonts w:ascii="Times New Roman" w:hAnsi="Times New Roman" w:cs="Times New Roman"/>
                <w:sz w:val="18"/>
                <w:szCs w:val="18"/>
                <w:lang w:val="en-US"/>
              </w:rPr>
              <w:t xml:space="preserve">efinition and </w:t>
            </w:r>
            <w:r w:rsidR="003A2E07">
              <w:rPr>
                <w:rFonts w:ascii="Times New Roman" w:hAnsi="Times New Roman" w:cs="Times New Roman"/>
                <w:sz w:val="18"/>
                <w:szCs w:val="18"/>
                <w:lang w:val="en-US"/>
              </w:rPr>
              <w:t xml:space="preserve">sources </w:t>
            </w:r>
            <w:r w:rsidRPr="003101A0">
              <w:rPr>
                <w:rFonts w:ascii="Times New Roman" w:hAnsi="Times New Roman" w:cs="Times New Roman"/>
                <w:sz w:val="18"/>
                <w:szCs w:val="18"/>
                <w:lang w:val="en-US"/>
              </w:rPr>
              <w:t xml:space="preserve">of </w:t>
            </w:r>
            <w:r w:rsidR="003A2E07">
              <w:rPr>
                <w:rFonts w:ascii="Times New Roman" w:hAnsi="Times New Roman" w:cs="Times New Roman"/>
                <w:sz w:val="18"/>
                <w:szCs w:val="18"/>
                <w:lang w:val="en-US"/>
              </w:rPr>
              <w:t xml:space="preserve">all </w:t>
            </w:r>
            <w:r w:rsidRPr="003101A0">
              <w:rPr>
                <w:rFonts w:ascii="Times New Roman" w:hAnsi="Times New Roman" w:cs="Times New Roman"/>
                <w:sz w:val="18"/>
                <w:szCs w:val="18"/>
                <w:lang w:val="en-US"/>
              </w:rPr>
              <w:t>variables.</w:t>
            </w:r>
            <w:r w:rsidR="00E956AE">
              <w:rPr>
                <w:rFonts w:ascii="Times New Roman" w:hAnsi="Times New Roman" w:cs="Times New Roman"/>
                <w:sz w:val="18"/>
                <w:szCs w:val="18"/>
                <w:lang w:val="en-US"/>
              </w:rPr>
              <w:t xml:space="preserve"> </w:t>
            </w:r>
            <w:r w:rsidR="00CA1CFB" w:rsidRPr="003101A0">
              <w:rPr>
                <w:rFonts w:ascii="Times New Roman" w:hAnsi="Times New Roman" w:cs="Times New Roman"/>
                <w:i/>
                <w:iCs/>
                <w:sz w:val="18"/>
                <w:szCs w:val="18"/>
                <w:lang w:val="en-US"/>
              </w:rPr>
              <w:t>N</w:t>
            </w:r>
            <w:r w:rsidR="00CA1CFB" w:rsidRPr="003101A0">
              <w:rPr>
                <w:rFonts w:ascii="Times New Roman" w:hAnsi="Times New Roman" w:cs="Times New Roman"/>
                <w:sz w:val="18"/>
                <w:szCs w:val="18"/>
                <w:lang w:val="en-US"/>
              </w:rPr>
              <w:t xml:space="preserve"> denotes the number of observations</w:t>
            </w:r>
            <w:r w:rsidR="00CA1CFB" w:rsidRPr="00CD063E">
              <w:rPr>
                <w:rFonts w:ascii="Times New Roman" w:hAnsi="Times New Roman" w:cs="Times New Roman"/>
                <w:sz w:val="18"/>
                <w:szCs w:val="18"/>
                <w:lang w:val="en-US"/>
              </w:rPr>
              <w:t xml:space="preserve">. </w:t>
            </w:r>
            <w:r w:rsidR="00E956AE" w:rsidRPr="00CD063E">
              <w:rPr>
                <w:rFonts w:ascii="Times New Roman" w:hAnsi="Times New Roman" w:cs="Times New Roman"/>
                <w:sz w:val="18"/>
                <w:szCs w:val="18"/>
                <w:lang w:val="en-US"/>
              </w:rPr>
              <w:t>*, **, ***</w:t>
            </w:r>
            <w:r w:rsidR="00E956AE" w:rsidRPr="003101A0">
              <w:rPr>
                <w:rFonts w:ascii="Times New Roman" w:hAnsi="Times New Roman" w:cs="Times New Roman"/>
                <w:sz w:val="18"/>
                <w:szCs w:val="18"/>
                <w:vertAlign w:val="superscript"/>
                <w:lang w:val="en-US"/>
              </w:rPr>
              <w:t xml:space="preserve"> </w:t>
            </w:r>
            <w:r w:rsidR="00E956AE" w:rsidRPr="003101A0">
              <w:rPr>
                <w:rFonts w:ascii="Times New Roman" w:hAnsi="Times New Roman" w:cs="Times New Roman"/>
                <w:sz w:val="18"/>
                <w:szCs w:val="18"/>
                <w:lang w:val="en-US"/>
              </w:rPr>
              <w:t>denote that the means (</w:t>
            </w:r>
            <w:r w:rsidR="00E956AE" w:rsidRPr="003101A0">
              <w:rPr>
                <w:rFonts w:ascii="Times New Roman" w:hAnsi="Times New Roman" w:cs="Times New Roman"/>
                <w:i/>
                <w:sz w:val="18"/>
                <w:szCs w:val="18"/>
                <w:lang w:val="en-US"/>
              </w:rPr>
              <w:t>t</w:t>
            </w:r>
            <w:r w:rsidR="00E956AE" w:rsidRPr="003101A0">
              <w:rPr>
                <w:rFonts w:ascii="Times New Roman" w:hAnsi="Times New Roman" w:cs="Times New Roman"/>
                <w:sz w:val="18"/>
                <w:szCs w:val="18"/>
                <w:lang w:val="en-US"/>
              </w:rPr>
              <w:t>-test) and the medians (Wilcoxon rank-sum test) for the comparing samples are significantly different at the 10%, 5% and 1% levels, respectively</w:t>
            </w:r>
            <w:r w:rsidR="001B3472">
              <w:rPr>
                <w:rFonts w:ascii="Times New Roman" w:hAnsi="Times New Roman" w:cs="Times New Roman"/>
                <w:sz w:val="18"/>
                <w:szCs w:val="18"/>
                <w:lang w:val="en-US"/>
              </w:rPr>
              <w:t xml:space="preserve"> </w:t>
            </w:r>
            <w:r w:rsidR="001B3472" w:rsidRPr="003101A0">
              <w:rPr>
                <w:rFonts w:ascii="Times New Roman" w:hAnsi="Times New Roman" w:cs="Times New Roman"/>
                <w:sz w:val="18"/>
                <w:szCs w:val="18"/>
                <w:lang w:val="en-US"/>
              </w:rPr>
              <w:t>(two-tailed)</w:t>
            </w:r>
            <w:r w:rsidR="00E956AE" w:rsidRPr="003101A0">
              <w:rPr>
                <w:rFonts w:ascii="Times New Roman" w:hAnsi="Times New Roman" w:cs="Times New Roman"/>
                <w:sz w:val="18"/>
                <w:szCs w:val="18"/>
                <w:lang w:val="en-US"/>
              </w:rPr>
              <w:t>.</w:t>
            </w:r>
          </w:p>
        </w:tc>
      </w:tr>
    </w:tbl>
    <w:p w14:paraId="49FB16AF" w14:textId="77777777" w:rsidR="00294950" w:rsidRPr="003101A0" w:rsidRDefault="00294950" w:rsidP="00493F00">
      <w:pPr>
        <w:spacing w:after="0" w:line="240" w:lineRule="auto"/>
        <w:rPr>
          <w:rFonts w:ascii="Times New Roman" w:hAnsi="Times New Roman" w:cs="Times New Roman"/>
          <w:lang w:val="en-US"/>
        </w:rPr>
        <w:sectPr w:rsidR="00294950" w:rsidRPr="003101A0" w:rsidSect="003101A0">
          <w:pgSz w:w="11900" w:h="16840"/>
          <w:pgMar w:top="1440" w:right="985" w:bottom="1440" w:left="1440" w:header="708" w:footer="708" w:gutter="0"/>
          <w:cols w:space="708"/>
          <w:docGrid w:linePitch="360"/>
        </w:sectPr>
      </w:pPr>
    </w:p>
    <w:p w14:paraId="2665CB74" w14:textId="14756D17" w:rsidR="00294950" w:rsidRPr="003101A0" w:rsidRDefault="00294950" w:rsidP="00D215BD">
      <w:pPr>
        <w:tabs>
          <w:tab w:val="left" w:pos="4850"/>
        </w:tabs>
        <w:spacing w:after="0" w:line="240" w:lineRule="auto"/>
        <w:rPr>
          <w:rFonts w:ascii="Times New Roman" w:hAnsi="Times New Roman" w:cs="Times New Roman"/>
          <w:b/>
          <w:sz w:val="20"/>
          <w:szCs w:val="20"/>
          <w:lang w:val="en-US"/>
        </w:rPr>
      </w:pPr>
      <w:r w:rsidRPr="003101A0">
        <w:rPr>
          <w:rFonts w:ascii="Times New Roman" w:hAnsi="Times New Roman" w:cs="Times New Roman"/>
          <w:b/>
          <w:sz w:val="20"/>
          <w:szCs w:val="20"/>
          <w:lang w:val="en-US"/>
        </w:rPr>
        <w:lastRenderedPageBreak/>
        <w:t>Table 4: Association between convertibility and overall covenant intensity</w:t>
      </w:r>
    </w:p>
    <w:p w14:paraId="2A3AF8BC" w14:textId="77777777" w:rsidR="00294950" w:rsidRPr="000371C9" w:rsidRDefault="00294950" w:rsidP="00D215BD">
      <w:pPr>
        <w:tabs>
          <w:tab w:val="left" w:pos="4850"/>
        </w:tabs>
        <w:spacing w:after="0" w:line="240" w:lineRule="auto"/>
        <w:rPr>
          <w:rFonts w:ascii="Times New Roman" w:hAnsi="Times New Roman" w:cs="Times New Roman"/>
          <w:iCs/>
          <w:sz w:val="20"/>
          <w:szCs w:val="20"/>
          <w:lang w:val="en-US" w:eastAsia="zh-CN"/>
        </w:rPr>
      </w:pPr>
      <w:r w:rsidRPr="000371C9">
        <w:rPr>
          <w:rFonts w:ascii="Times New Roman" w:hAnsi="Times New Roman" w:cs="Times New Roman"/>
          <w:iCs/>
          <w:sz w:val="20"/>
          <w:szCs w:val="20"/>
          <w:lang w:val="en-US"/>
        </w:rPr>
        <w:t xml:space="preserve">Panel A: </w:t>
      </w:r>
      <w:r w:rsidRPr="000371C9">
        <w:rPr>
          <w:rFonts w:ascii="Times New Roman" w:hAnsi="Times New Roman" w:cs="Times New Roman"/>
          <w:iCs/>
          <w:sz w:val="20"/>
          <w:szCs w:val="20"/>
          <w:lang w:val="en-US" w:eastAsia="zh-CN"/>
        </w:rPr>
        <w:t>Full sample results</w:t>
      </w:r>
    </w:p>
    <w:tbl>
      <w:tblPr>
        <w:tblW w:w="5344" w:type="pct"/>
        <w:tblInd w:w="-284" w:type="dxa"/>
        <w:tblLayout w:type="fixed"/>
        <w:tblCellMar>
          <w:left w:w="75" w:type="dxa"/>
          <w:right w:w="75" w:type="dxa"/>
        </w:tblCellMar>
        <w:tblLook w:val="0000" w:firstRow="0" w:lastRow="0" w:firstColumn="0" w:lastColumn="0" w:noHBand="0" w:noVBand="0"/>
      </w:tblPr>
      <w:tblGrid>
        <w:gridCol w:w="1989"/>
        <w:gridCol w:w="1276"/>
        <w:gridCol w:w="1276"/>
        <w:gridCol w:w="282"/>
        <w:gridCol w:w="1203"/>
        <w:gridCol w:w="1205"/>
        <w:gridCol w:w="1205"/>
        <w:gridCol w:w="1205"/>
      </w:tblGrid>
      <w:tr w:rsidR="00BC5F75" w:rsidRPr="003101A0" w14:paraId="1BE4CC43" w14:textId="77777777" w:rsidTr="00BC5F75">
        <w:tc>
          <w:tcPr>
            <w:tcW w:w="1031" w:type="pct"/>
            <w:tcBorders>
              <w:top w:val="single" w:sz="4" w:space="0" w:color="auto"/>
              <w:left w:val="nil"/>
              <w:right w:val="nil"/>
            </w:tcBorders>
          </w:tcPr>
          <w:p w14:paraId="336504BC" w14:textId="77777777" w:rsidR="00294950" w:rsidRPr="003101A0" w:rsidRDefault="00294950" w:rsidP="003C1477">
            <w:pPr>
              <w:widowControl w:val="0"/>
              <w:autoSpaceDE w:val="0"/>
              <w:autoSpaceDN w:val="0"/>
              <w:adjustRightInd w:val="0"/>
              <w:spacing w:after="0" w:line="240" w:lineRule="auto"/>
              <w:rPr>
                <w:rFonts w:ascii="Times New Roman" w:hAnsi="Times New Roman" w:cs="Times New Roman"/>
                <w:sz w:val="20"/>
                <w:szCs w:val="20"/>
                <w:lang w:val="en-US"/>
              </w:rPr>
            </w:pPr>
          </w:p>
        </w:tc>
        <w:tc>
          <w:tcPr>
            <w:tcW w:w="1324" w:type="pct"/>
            <w:gridSpan w:val="2"/>
            <w:tcBorders>
              <w:top w:val="single" w:sz="4" w:space="0" w:color="auto"/>
              <w:left w:val="nil"/>
              <w:bottom w:val="single" w:sz="6" w:space="0" w:color="auto"/>
              <w:right w:val="nil"/>
            </w:tcBorders>
          </w:tcPr>
          <w:p w14:paraId="4573823A" w14:textId="77777777" w:rsidR="00294950" w:rsidRPr="003101A0" w:rsidRDefault="00294950" w:rsidP="003C1477">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3101A0">
              <w:rPr>
                <w:rFonts w:ascii="Times New Roman" w:hAnsi="Times New Roman" w:cs="Times New Roman"/>
                <w:i/>
                <w:sz w:val="20"/>
                <w:szCs w:val="20"/>
                <w:lang w:val="en-US"/>
              </w:rPr>
              <w:t>OLS</w:t>
            </w:r>
          </w:p>
        </w:tc>
        <w:tc>
          <w:tcPr>
            <w:tcW w:w="146" w:type="pct"/>
            <w:tcBorders>
              <w:top w:val="single" w:sz="4" w:space="0" w:color="auto"/>
              <w:left w:val="nil"/>
              <w:right w:val="nil"/>
            </w:tcBorders>
          </w:tcPr>
          <w:p w14:paraId="7B57D46B" w14:textId="77777777" w:rsidR="00294950" w:rsidRPr="003101A0" w:rsidRDefault="00294950" w:rsidP="003C1477">
            <w:pPr>
              <w:widowControl w:val="0"/>
              <w:autoSpaceDE w:val="0"/>
              <w:autoSpaceDN w:val="0"/>
              <w:adjustRightInd w:val="0"/>
              <w:spacing w:after="0" w:line="240" w:lineRule="auto"/>
              <w:jc w:val="center"/>
              <w:rPr>
                <w:rFonts w:ascii="Times New Roman" w:hAnsi="Times New Roman" w:cs="Times New Roman"/>
                <w:i/>
                <w:sz w:val="20"/>
                <w:szCs w:val="20"/>
                <w:lang w:val="en-US"/>
              </w:rPr>
            </w:pPr>
          </w:p>
        </w:tc>
        <w:tc>
          <w:tcPr>
            <w:tcW w:w="2499" w:type="pct"/>
            <w:gridSpan w:val="4"/>
            <w:tcBorders>
              <w:top w:val="single" w:sz="4" w:space="0" w:color="auto"/>
              <w:left w:val="nil"/>
              <w:bottom w:val="single" w:sz="6" w:space="0" w:color="auto"/>
              <w:right w:val="nil"/>
            </w:tcBorders>
          </w:tcPr>
          <w:p w14:paraId="737CF58B" w14:textId="77777777" w:rsidR="00294950" w:rsidRPr="003101A0" w:rsidRDefault="00294950" w:rsidP="003C1477">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3101A0">
              <w:rPr>
                <w:rFonts w:ascii="Times New Roman" w:hAnsi="Times New Roman" w:cs="Times New Roman"/>
                <w:i/>
                <w:sz w:val="20"/>
                <w:szCs w:val="20"/>
                <w:lang w:val="en-US"/>
              </w:rPr>
              <w:t>Treatment effects</w:t>
            </w:r>
          </w:p>
        </w:tc>
      </w:tr>
      <w:tr w:rsidR="00BC5F75" w:rsidRPr="003101A0" w14:paraId="7B1DE5B5" w14:textId="77777777" w:rsidTr="00BC5F75">
        <w:tc>
          <w:tcPr>
            <w:tcW w:w="1031" w:type="pct"/>
            <w:tcBorders>
              <w:left w:val="nil"/>
              <w:right w:val="nil"/>
            </w:tcBorders>
          </w:tcPr>
          <w:p w14:paraId="337CD612" w14:textId="77777777" w:rsidR="000371C9" w:rsidRPr="003101A0" w:rsidRDefault="000371C9" w:rsidP="002B55EE">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single" w:sz="4" w:space="0" w:color="auto"/>
              <w:left w:val="nil"/>
              <w:bottom w:val="single" w:sz="6" w:space="0" w:color="auto"/>
              <w:right w:val="nil"/>
            </w:tcBorders>
          </w:tcPr>
          <w:p w14:paraId="572D3F10" w14:textId="77777777"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i/>
                <w:sz w:val="20"/>
                <w:szCs w:val="20"/>
                <w:lang w:val="en-US"/>
              </w:rPr>
              <w:t>CI index</w:t>
            </w:r>
          </w:p>
        </w:tc>
        <w:tc>
          <w:tcPr>
            <w:tcW w:w="662" w:type="pct"/>
            <w:tcBorders>
              <w:top w:val="single" w:sz="4" w:space="0" w:color="auto"/>
              <w:left w:val="nil"/>
              <w:bottom w:val="single" w:sz="6" w:space="0" w:color="auto"/>
              <w:right w:val="nil"/>
            </w:tcBorders>
          </w:tcPr>
          <w:p w14:paraId="7DD9306F" w14:textId="77777777"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i/>
                <w:sz w:val="20"/>
                <w:szCs w:val="20"/>
                <w:lang w:val="en-US"/>
              </w:rPr>
              <w:t>CI index</w:t>
            </w:r>
          </w:p>
        </w:tc>
        <w:tc>
          <w:tcPr>
            <w:tcW w:w="146" w:type="pct"/>
            <w:tcBorders>
              <w:left w:val="nil"/>
              <w:right w:val="nil"/>
            </w:tcBorders>
          </w:tcPr>
          <w:p w14:paraId="10241A8C" w14:textId="77777777"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i/>
                <w:sz w:val="20"/>
                <w:szCs w:val="20"/>
                <w:lang w:val="en-US"/>
              </w:rPr>
            </w:pPr>
          </w:p>
        </w:tc>
        <w:tc>
          <w:tcPr>
            <w:tcW w:w="624" w:type="pct"/>
            <w:tcBorders>
              <w:top w:val="single" w:sz="4" w:space="0" w:color="auto"/>
              <w:left w:val="nil"/>
              <w:bottom w:val="single" w:sz="6" w:space="0" w:color="auto"/>
              <w:right w:val="nil"/>
            </w:tcBorders>
          </w:tcPr>
          <w:p w14:paraId="541B2907" w14:textId="77777777"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i/>
                <w:sz w:val="20"/>
                <w:szCs w:val="20"/>
                <w:lang w:val="en-US"/>
              </w:rPr>
              <w:t>Convertible</w:t>
            </w:r>
          </w:p>
        </w:tc>
        <w:tc>
          <w:tcPr>
            <w:tcW w:w="625" w:type="pct"/>
            <w:tcBorders>
              <w:top w:val="single" w:sz="4" w:space="0" w:color="auto"/>
              <w:left w:val="nil"/>
              <w:bottom w:val="single" w:sz="6" w:space="0" w:color="auto"/>
              <w:right w:val="nil"/>
            </w:tcBorders>
          </w:tcPr>
          <w:p w14:paraId="591A14D4" w14:textId="77777777"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i/>
                <w:sz w:val="20"/>
                <w:szCs w:val="20"/>
                <w:lang w:val="en-US"/>
              </w:rPr>
              <w:t>CI index</w:t>
            </w:r>
          </w:p>
        </w:tc>
        <w:tc>
          <w:tcPr>
            <w:tcW w:w="625" w:type="pct"/>
            <w:tcBorders>
              <w:top w:val="single" w:sz="4" w:space="0" w:color="auto"/>
              <w:left w:val="nil"/>
              <w:bottom w:val="single" w:sz="6" w:space="0" w:color="auto"/>
              <w:right w:val="nil"/>
            </w:tcBorders>
          </w:tcPr>
          <w:p w14:paraId="2C1269B7" w14:textId="77777777"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i/>
                <w:sz w:val="20"/>
                <w:szCs w:val="20"/>
                <w:lang w:val="en-US"/>
              </w:rPr>
              <w:t>CI index</w:t>
            </w:r>
          </w:p>
        </w:tc>
        <w:tc>
          <w:tcPr>
            <w:tcW w:w="625" w:type="pct"/>
            <w:tcBorders>
              <w:top w:val="single" w:sz="4" w:space="0" w:color="auto"/>
              <w:left w:val="nil"/>
              <w:bottom w:val="single" w:sz="6" w:space="0" w:color="auto"/>
              <w:right w:val="nil"/>
            </w:tcBorders>
          </w:tcPr>
          <w:p w14:paraId="596E64CD" w14:textId="77777777"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i/>
                <w:sz w:val="20"/>
                <w:szCs w:val="20"/>
                <w:lang w:val="en-US"/>
              </w:rPr>
            </w:pPr>
            <w:r w:rsidRPr="003101A0">
              <w:rPr>
                <w:rFonts w:ascii="Times New Roman" w:hAnsi="Times New Roman" w:cs="Times New Roman"/>
                <w:i/>
                <w:sz w:val="20"/>
                <w:szCs w:val="20"/>
                <w:lang w:val="en-US"/>
              </w:rPr>
              <w:t>CI index</w:t>
            </w:r>
          </w:p>
        </w:tc>
      </w:tr>
      <w:tr w:rsidR="00BC5F75" w:rsidRPr="003101A0" w14:paraId="6A3B7E6C" w14:textId="77777777" w:rsidTr="00BC5F75">
        <w:trPr>
          <w:trHeight w:val="397"/>
        </w:trPr>
        <w:tc>
          <w:tcPr>
            <w:tcW w:w="1031" w:type="pct"/>
            <w:tcBorders>
              <w:left w:val="nil"/>
              <w:bottom w:val="single" w:sz="6" w:space="0" w:color="auto"/>
              <w:right w:val="nil"/>
            </w:tcBorders>
          </w:tcPr>
          <w:p w14:paraId="45025DC5" w14:textId="77777777" w:rsidR="000371C9" w:rsidRPr="003101A0" w:rsidRDefault="000371C9" w:rsidP="002B55EE">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single" w:sz="6" w:space="0" w:color="auto"/>
              <w:left w:val="nil"/>
              <w:bottom w:val="single" w:sz="6" w:space="0" w:color="auto"/>
              <w:right w:val="nil"/>
            </w:tcBorders>
          </w:tcPr>
          <w:p w14:paraId="06D422B7" w14:textId="77777777"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w:t>
            </w:r>
          </w:p>
        </w:tc>
        <w:tc>
          <w:tcPr>
            <w:tcW w:w="662" w:type="pct"/>
            <w:tcBorders>
              <w:left w:val="nil"/>
              <w:bottom w:val="single" w:sz="6" w:space="0" w:color="auto"/>
              <w:right w:val="nil"/>
            </w:tcBorders>
          </w:tcPr>
          <w:p w14:paraId="13447949" w14:textId="77777777"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(2)</w:t>
            </w:r>
          </w:p>
        </w:tc>
        <w:tc>
          <w:tcPr>
            <w:tcW w:w="146" w:type="pct"/>
            <w:tcBorders>
              <w:left w:val="nil"/>
              <w:bottom w:val="single" w:sz="6" w:space="0" w:color="auto"/>
              <w:right w:val="nil"/>
            </w:tcBorders>
          </w:tcPr>
          <w:p w14:paraId="44ED9ED7" w14:textId="77777777"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single" w:sz="6" w:space="0" w:color="auto"/>
              <w:left w:val="nil"/>
              <w:bottom w:val="single" w:sz="6" w:space="0" w:color="auto"/>
              <w:right w:val="nil"/>
            </w:tcBorders>
          </w:tcPr>
          <w:p w14:paraId="6AF37638" w14:textId="77777777"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(3)</w:t>
            </w:r>
          </w:p>
          <w:p w14:paraId="190B3390" w14:textId="77777777"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w:t>
            </w:r>
            <w:r w:rsidRPr="003101A0">
              <w:rPr>
                <w:rFonts w:ascii="Times New Roman" w:hAnsi="Times New Roman" w:cs="Times New Roman"/>
                <w:sz w:val="20"/>
                <w:szCs w:val="20"/>
                <w:vertAlign w:val="superscript"/>
                <w:lang w:val="en-US"/>
              </w:rPr>
              <w:t>st</w:t>
            </w:r>
            <w:r w:rsidRPr="003101A0">
              <w:rPr>
                <w:rFonts w:ascii="Times New Roman" w:hAnsi="Times New Roman" w:cs="Times New Roman"/>
                <w:sz w:val="20"/>
                <w:szCs w:val="20"/>
                <w:lang w:val="en-US"/>
              </w:rPr>
              <w:t xml:space="preserve"> stage</w:t>
            </w:r>
          </w:p>
        </w:tc>
        <w:tc>
          <w:tcPr>
            <w:tcW w:w="625" w:type="pct"/>
            <w:tcBorders>
              <w:top w:val="single" w:sz="6" w:space="0" w:color="auto"/>
              <w:left w:val="nil"/>
              <w:bottom w:val="single" w:sz="6" w:space="0" w:color="auto"/>
              <w:right w:val="nil"/>
            </w:tcBorders>
          </w:tcPr>
          <w:p w14:paraId="20C54ABC" w14:textId="77777777" w:rsidR="000371C9"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(4)</w:t>
            </w:r>
          </w:p>
          <w:p w14:paraId="01B302E1" w14:textId="4BD0D8ED"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2</w:t>
            </w:r>
            <w:r w:rsidRPr="003101A0">
              <w:rPr>
                <w:rFonts w:ascii="Times New Roman" w:hAnsi="Times New Roman" w:cs="Times New Roman"/>
                <w:sz w:val="20"/>
                <w:szCs w:val="20"/>
                <w:vertAlign w:val="superscript"/>
                <w:lang w:val="en-US"/>
              </w:rPr>
              <w:t>nd</w:t>
            </w:r>
            <w:r w:rsidRPr="003101A0">
              <w:rPr>
                <w:rFonts w:ascii="Times New Roman" w:hAnsi="Times New Roman" w:cs="Times New Roman"/>
                <w:sz w:val="20"/>
                <w:szCs w:val="20"/>
                <w:lang w:val="en-US"/>
              </w:rPr>
              <w:t xml:space="preserve"> stage</w:t>
            </w:r>
          </w:p>
        </w:tc>
        <w:tc>
          <w:tcPr>
            <w:tcW w:w="625" w:type="pct"/>
            <w:tcBorders>
              <w:top w:val="single" w:sz="6" w:space="0" w:color="auto"/>
              <w:left w:val="nil"/>
              <w:bottom w:val="single" w:sz="6" w:space="0" w:color="auto"/>
              <w:right w:val="nil"/>
            </w:tcBorders>
          </w:tcPr>
          <w:p w14:paraId="636EA9AC" w14:textId="3944BC6F"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w:t>
            </w:r>
            <w:r w:rsidR="008D65B7">
              <w:rPr>
                <w:rFonts w:ascii="Times New Roman" w:hAnsi="Times New Roman" w:cs="Times New Roman"/>
                <w:sz w:val="20"/>
                <w:szCs w:val="20"/>
                <w:lang w:val="en-US"/>
              </w:rPr>
              <w:t>5</w:t>
            </w:r>
            <w:r w:rsidRPr="003101A0">
              <w:rPr>
                <w:rFonts w:ascii="Times New Roman" w:hAnsi="Times New Roman" w:cs="Times New Roman"/>
                <w:sz w:val="20"/>
                <w:szCs w:val="20"/>
                <w:lang w:val="en-US"/>
              </w:rPr>
              <w:t>)</w:t>
            </w:r>
          </w:p>
          <w:p w14:paraId="27700566" w14:textId="77777777"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2</w:t>
            </w:r>
            <w:r w:rsidRPr="003101A0">
              <w:rPr>
                <w:rFonts w:ascii="Times New Roman" w:hAnsi="Times New Roman" w:cs="Times New Roman"/>
                <w:sz w:val="20"/>
                <w:szCs w:val="20"/>
                <w:vertAlign w:val="superscript"/>
                <w:lang w:val="en-US"/>
              </w:rPr>
              <w:t>nd</w:t>
            </w:r>
            <w:r w:rsidRPr="003101A0">
              <w:rPr>
                <w:rFonts w:ascii="Times New Roman" w:hAnsi="Times New Roman" w:cs="Times New Roman"/>
                <w:sz w:val="20"/>
                <w:szCs w:val="20"/>
                <w:lang w:val="en-US"/>
              </w:rPr>
              <w:t xml:space="preserve"> stage</w:t>
            </w:r>
          </w:p>
        </w:tc>
        <w:tc>
          <w:tcPr>
            <w:tcW w:w="625" w:type="pct"/>
            <w:tcBorders>
              <w:top w:val="single" w:sz="6" w:space="0" w:color="auto"/>
              <w:left w:val="nil"/>
              <w:bottom w:val="single" w:sz="6" w:space="0" w:color="auto"/>
              <w:right w:val="nil"/>
            </w:tcBorders>
          </w:tcPr>
          <w:p w14:paraId="0F8BF2B3" w14:textId="3C7EAFE9"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w:t>
            </w:r>
            <w:r w:rsidR="008D65B7">
              <w:rPr>
                <w:rFonts w:ascii="Times New Roman" w:hAnsi="Times New Roman" w:cs="Times New Roman"/>
                <w:sz w:val="20"/>
                <w:szCs w:val="20"/>
                <w:lang w:val="en-US"/>
              </w:rPr>
              <w:t>6</w:t>
            </w:r>
            <w:r w:rsidRPr="003101A0">
              <w:rPr>
                <w:rFonts w:ascii="Times New Roman" w:hAnsi="Times New Roman" w:cs="Times New Roman"/>
                <w:sz w:val="20"/>
                <w:szCs w:val="20"/>
                <w:lang w:val="en-US"/>
              </w:rPr>
              <w:t>)</w:t>
            </w:r>
          </w:p>
          <w:p w14:paraId="06EA6BF0" w14:textId="1E9B790A" w:rsidR="000371C9" w:rsidRPr="003101A0" w:rsidRDefault="000371C9" w:rsidP="002B55E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2</w:t>
            </w:r>
            <w:r w:rsidRPr="003101A0">
              <w:rPr>
                <w:rFonts w:ascii="Times New Roman" w:hAnsi="Times New Roman" w:cs="Times New Roman"/>
                <w:sz w:val="20"/>
                <w:szCs w:val="20"/>
                <w:vertAlign w:val="superscript"/>
                <w:lang w:val="en-US"/>
              </w:rPr>
              <w:t>nd</w:t>
            </w:r>
            <w:r w:rsidRPr="003101A0">
              <w:rPr>
                <w:rFonts w:ascii="Times New Roman" w:hAnsi="Times New Roman" w:cs="Times New Roman"/>
                <w:sz w:val="20"/>
                <w:szCs w:val="20"/>
                <w:lang w:val="en-US"/>
              </w:rPr>
              <w:t xml:space="preserve"> stage</w:t>
            </w:r>
          </w:p>
        </w:tc>
      </w:tr>
      <w:tr w:rsidR="00BC5F75" w:rsidRPr="003101A0" w14:paraId="6E9284E3" w14:textId="77777777" w:rsidTr="00BC5F75">
        <w:tc>
          <w:tcPr>
            <w:tcW w:w="1031" w:type="pct"/>
            <w:tcBorders>
              <w:top w:val="nil"/>
              <w:left w:val="nil"/>
              <w:bottom w:val="nil"/>
              <w:right w:val="nil"/>
            </w:tcBorders>
          </w:tcPr>
          <w:p w14:paraId="076DE3D5"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Convertible</w:t>
            </w:r>
          </w:p>
        </w:tc>
        <w:tc>
          <w:tcPr>
            <w:tcW w:w="662" w:type="pct"/>
            <w:tcBorders>
              <w:top w:val="nil"/>
              <w:left w:val="nil"/>
              <w:bottom w:val="nil"/>
              <w:right w:val="nil"/>
            </w:tcBorders>
          </w:tcPr>
          <w:p w14:paraId="1DCA19C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-0.141***</w:t>
            </w:r>
          </w:p>
        </w:tc>
        <w:tc>
          <w:tcPr>
            <w:tcW w:w="662" w:type="pct"/>
            <w:tcBorders>
              <w:top w:val="nil"/>
              <w:left w:val="nil"/>
              <w:bottom w:val="nil"/>
              <w:right w:val="nil"/>
            </w:tcBorders>
          </w:tcPr>
          <w:p w14:paraId="6D4ABD81" w14:textId="43431DAE"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-0.118***</w:t>
            </w:r>
          </w:p>
        </w:tc>
        <w:tc>
          <w:tcPr>
            <w:tcW w:w="146" w:type="pct"/>
            <w:tcBorders>
              <w:top w:val="nil"/>
              <w:left w:val="nil"/>
              <w:bottom w:val="nil"/>
              <w:right w:val="nil"/>
            </w:tcBorders>
          </w:tcPr>
          <w:p w14:paraId="6754E72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3F340B7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348A388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-0.214***</w:t>
            </w:r>
          </w:p>
        </w:tc>
        <w:tc>
          <w:tcPr>
            <w:tcW w:w="625" w:type="pct"/>
            <w:tcBorders>
              <w:top w:val="nil"/>
              <w:left w:val="nil"/>
              <w:bottom w:val="nil"/>
              <w:right w:val="nil"/>
            </w:tcBorders>
          </w:tcPr>
          <w:p w14:paraId="726505C6" w14:textId="2D5D8D7F"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-0.197***</w:t>
            </w:r>
          </w:p>
        </w:tc>
        <w:tc>
          <w:tcPr>
            <w:tcW w:w="625" w:type="pct"/>
            <w:tcBorders>
              <w:top w:val="nil"/>
              <w:left w:val="nil"/>
              <w:bottom w:val="nil"/>
              <w:right w:val="nil"/>
            </w:tcBorders>
          </w:tcPr>
          <w:p w14:paraId="289B72DE" w14:textId="0F52913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-0.222***</w:t>
            </w:r>
          </w:p>
        </w:tc>
      </w:tr>
      <w:tr w:rsidR="00BC5F75" w:rsidRPr="003101A0" w14:paraId="31225B08" w14:textId="77777777" w:rsidTr="00BC5F75">
        <w:tc>
          <w:tcPr>
            <w:tcW w:w="1031" w:type="pct"/>
            <w:tcBorders>
              <w:top w:val="nil"/>
              <w:left w:val="nil"/>
              <w:bottom w:val="nil"/>
              <w:right w:val="nil"/>
            </w:tcBorders>
          </w:tcPr>
          <w:p w14:paraId="0600FB4B"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nil"/>
              <w:left w:val="nil"/>
              <w:bottom w:val="nil"/>
              <w:right w:val="nil"/>
            </w:tcBorders>
          </w:tcPr>
          <w:p w14:paraId="6EB5256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(-32.17)</w:t>
            </w:r>
          </w:p>
        </w:tc>
        <w:tc>
          <w:tcPr>
            <w:tcW w:w="662" w:type="pct"/>
            <w:tcBorders>
              <w:top w:val="nil"/>
              <w:left w:val="nil"/>
              <w:bottom w:val="nil"/>
              <w:right w:val="nil"/>
            </w:tcBorders>
          </w:tcPr>
          <w:p w14:paraId="3669440D" w14:textId="1F534636"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(-25.36)</w:t>
            </w:r>
          </w:p>
        </w:tc>
        <w:tc>
          <w:tcPr>
            <w:tcW w:w="146" w:type="pct"/>
            <w:tcBorders>
              <w:top w:val="nil"/>
              <w:left w:val="nil"/>
              <w:bottom w:val="nil"/>
              <w:right w:val="nil"/>
            </w:tcBorders>
          </w:tcPr>
          <w:p w14:paraId="7F6479F7"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4CA7F15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2E3869B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(-15.59)</w:t>
            </w:r>
          </w:p>
        </w:tc>
        <w:tc>
          <w:tcPr>
            <w:tcW w:w="625" w:type="pct"/>
            <w:tcBorders>
              <w:top w:val="nil"/>
              <w:left w:val="nil"/>
              <w:bottom w:val="nil"/>
              <w:right w:val="nil"/>
            </w:tcBorders>
          </w:tcPr>
          <w:p w14:paraId="6C0E6C4F" w14:textId="4795DDFD"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(-13.88)</w:t>
            </w:r>
          </w:p>
        </w:tc>
        <w:tc>
          <w:tcPr>
            <w:tcW w:w="625" w:type="pct"/>
            <w:tcBorders>
              <w:top w:val="nil"/>
              <w:left w:val="nil"/>
              <w:bottom w:val="nil"/>
              <w:right w:val="nil"/>
            </w:tcBorders>
          </w:tcPr>
          <w:p w14:paraId="005DFF93" w14:textId="3FB0C6D2"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(-15.96)</w:t>
            </w:r>
          </w:p>
        </w:tc>
      </w:tr>
      <w:tr w:rsidR="00BC5F75" w:rsidRPr="003101A0" w14:paraId="17301AB6" w14:textId="77777777" w:rsidTr="00BC5F75">
        <w:tc>
          <w:tcPr>
            <w:tcW w:w="1031" w:type="pct"/>
            <w:tcBorders>
              <w:top w:val="nil"/>
              <w:left w:val="nil"/>
              <w:bottom w:val="nil"/>
              <w:right w:val="nil"/>
            </w:tcBorders>
          </w:tcPr>
          <w:p w14:paraId="0E0B1754"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Leverage</w:t>
            </w:r>
          </w:p>
        </w:tc>
        <w:tc>
          <w:tcPr>
            <w:tcW w:w="662" w:type="pct"/>
            <w:tcBorders>
              <w:top w:val="nil"/>
              <w:left w:val="nil"/>
              <w:bottom w:val="nil"/>
              <w:right w:val="nil"/>
            </w:tcBorders>
          </w:tcPr>
          <w:p w14:paraId="5A8AB61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1677D876" w14:textId="25CC5C5B"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-0.010</w:t>
            </w:r>
          </w:p>
        </w:tc>
        <w:tc>
          <w:tcPr>
            <w:tcW w:w="146" w:type="pct"/>
            <w:tcBorders>
              <w:top w:val="nil"/>
              <w:left w:val="nil"/>
              <w:bottom w:val="nil"/>
              <w:right w:val="nil"/>
            </w:tcBorders>
          </w:tcPr>
          <w:p w14:paraId="0EB7ED6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411A52CB" w14:textId="4CE67CEF"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-1.227***</w:t>
            </w:r>
          </w:p>
        </w:tc>
        <w:tc>
          <w:tcPr>
            <w:tcW w:w="625" w:type="pct"/>
            <w:tcBorders>
              <w:top w:val="nil"/>
              <w:left w:val="nil"/>
              <w:bottom w:val="nil"/>
              <w:right w:val="nil"/>
            </w:tcBorders>
          </w:tcPr>
          <w:p w14:paraId="56D9710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-0.039***</w:t>
            </w:r>
          </w:p>
        </w:tc>
        <w:tc>
          <w:tcPr>
            <w:tcW w:w="625" w:type="pct"/>
            <w:tcBorders>
              <w:top w:val="nil"/>
              <w:left w:val="nil"/>
              <w:bottom w:val="nil"/>
              <w:right w:val="nil"/>
            </w:tcBorders>
          </w:tcPr>
          <w:p w14:paraId="1E98D2D3" w14:textId="37A3C719"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-0.044***</w:t>
            </w:r>
          </w:p>
        </w:tc>
        <w:tc>
          <w:tcPr>
            <w:tcW w:w="625" w:type="pct"/>
            <w:tcBorders>
              <w:top w:val="nil"/>
              <w:left w:val="nil"/>
              <w:bottom w:val="nil"/>
              <w:right w:val="nil"/>
            </w:tcBorders>
          </w:tcPr>
          <w:p w14:paraId="67DCA844" w14:textId="76A344ED"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-0.031***</w:t>
            </w:r>
          </w:p>
        </w:tc>
      </w:tr>
      <w:tr w:rsidR="00BC5F75" w:rsidRPr="003101A0" w14:paraId="7768FA5D" w14:textId="77777777" w:rsidTr="00BC5F75">
        <w:tc>
          <w:tcPr>
            <w:tcW w:w="1031" w:type="pct"/>
            <w:tcBorders>
              <w:top w:val="nil"/>
              <w:left w:val="nil"/>
              <w:bottom w:val="nil"/>
              <w:right w:val="nil"/>
            </w:tcBorders>
          </w:tcPr>
          <w:p w14:paraId="2B7D8213"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nil"/>
              <w:left w:val="nil"/>
              <w:bottom w:val="nil"/>
              <w:right w:val="nil"/>
            </w:tcBorders>
          </w:tcPr>
          <w:p w14:paraId="08F3D119"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0CA9566C" w14:textId="10B0F299"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(-1.08)</w:t>
            </w:r>
          </w:p>
        </w:tc>
        <w:tc>
          <w:tcPr>
            <w:tcW w:w="146" w:type="pct"/>
            <w:tcBorders>
              <w:top w:val="nil"/>
              <w:left w:val="nil"/>
              <w:bottom w:val="nil"/>
              <w:right w:val="nil"/>
            </w:tcBorders>
          </w:tcPr>
          <w:p w14:paraId="5765126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5B7FB07D" w14:textId="16E91F6F"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(-11.44)</w:t>
            </w:r>
          </w:p>
        </w:tc>
        <w:tc>
          <w:tcPr>
            <w:tcW w:w="625" w:type="pct"/>
            <w:tcBorders>
              <w:top w:val="nil"/>
              <w:left w:val="nil"/>
              <w:bottom w:val="nil"/>
              <w:right w:val="nil"/>
            </w:tcBorders>
          </w:tcPr>
          <w:p w14:paraId="35AB84D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(-4.03)</w:t>
            </w:r>
          </w:p>
        </w:tc>
        <w:tc>
          <w:tcPr>
            <w:tcW w:w="625" w:type="pct"/>
            <w:tcBorders>
              <w:top w:val="nil"/>
              <w:left w:val="nil"/>
              <w:bottom w:val="nil"/>
              <w:right w:val="nil"/>
            </w:tcBorders>
          </w:tcPr>
          <w:p w14:paraId="14C7386E" w14:textId="27DF717D"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(-4.69)</w:t>
            </w:r>
          </w:p>
        </w:tc>
        <w:tc>
          <w:tcPr>
            <w:tcW w:w="625" w:type="pct"/>
            <w:tcBorders>
              <w:top w:val="nil"/>
              <w:left w:val="nil"/>
              <w:bottom w:val="nil"/>
              <w:right w:val="nil"/>
            </w:tcBorders>
          </w:tcPr>
          <w:p w14:paraId="39CC8DCE" w14:textId="341541C6"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(-3.34)</w:t>
            </w:r>
          </w:p>
        </w:tc>
      </w:tr>
      <w:tr w:rsidR="00BC5F75" w:rsidRPr="003101A0" w14:paraId="566702ED" w14:textId="77777777" w:rsidTr="00BC5F75">
        <w:tc>
          <w:tcPr>
            <w:tcW w:w="1031" w:type="pct"/>
            <w:tcBorders>
              <w:top w:val="nil"/>
              <w:left w:val="nil"/>
              <w:bottom w:val="nil"/>
              <w:right w:val="nil"/>
            </w:tcBorders>
          </w:tcPr>
          <w:p w14:paraId="1159BC85"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Volatility</w:t>
            </w:r>
          </w:p>
        </w:tc>
        <w:tc>
          <w:tcPr>
            <w:tcW w:w="662" w:type="pct"/>
            <w:tcBorders>
              <w:top w:val="nil"/>
              <w:left w:val="nil"/>
              <w:bottom w:val="nil"/>
              <w:right w:val="nil"/>
            </w:tcBorders>
          </w:tcPr>
          <w:p w14:paraId="3AA2022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743A333D" w14:textId="0AC9A3C8"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-0.003</w:t>
            </w:r>
          </w:p>
        </w:tc>
        <w:tc>
          <w:tcPr>
            <w:tcW w:w="146" w:type="pct"/>
            <w:tcBorders>
              <w:top w:val="nil"/>
              <w:left w:val="nil"/>
              <w:bottom w:val="nil"/>
              <w:right w:val="nil"/>
            </w:tcBorders>
          </w:tcPr>
          <w:p w14:paraId="77CCA28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0083AFCC" w14:textId="5F27244E"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0.963**</w:t>
            </w:r>
          </w:p>
        </w:tc>
        <w:tc>
          <w:tcPr>
            <w:tcW w:w="625" w:type="pct"/>
            <w:tcBorders>
              <w:top w:val="nil"/>
              <w:left w:val="nil"/>
              <w:bottom w:val="nil"/>
              <w:right w:val="nil"/>
            </w:tcBorders>
          </w:tcPr>
          <w:p w14:paraId="6E32D61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0.033</w:t>
            </w:r>
          </w:p>
        </w:tc>
        <w:tc>
          <w:tcPr>
            <w:tcW w:w="625" w:type="pct"/>
            <w:tcBorders>
              <w:top w:val="nil"/>
              <w:left w:val="nil"/>
              <w:bottom w:val="nil"/>
              <w:right w:val="nil"/>
            </w:tcBorders>
          </w:tcPr>
          <w:p w14:paraId="15D08E41" w14:textId="16B1F408"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0.029</w:t>
            </w:r>
          </w:p>
        </w:tc>
        <w:tc>
          <w:tcPr>
            <w:tcW w:w="625" w:type="pct"/>
            <w:tcBorders>
              <w:top w:val="nil"/>
              <w:left w:val="nil"/>
              <w:bottom w:val="nil"/>
              <w:right w:val="nil"/>
            </w:tcBorders>
          </w:tcPr>
          <w:p w14:paraId="7CEE20A3" w14:textId="3E8A5EE0"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0.030</w:t>
            </w:r>
          </w:p>
        </w:tc>
      </w:tr>
      <w:tr w:rsidR="00BC5F75" w:rsidRPr="003101A0" w14:paraId="04B5CD5E" w14:textId="77777777" w:rsidTr="00BC5F75">
        <w:tc>
          <w:tcPr>
            <w:tcW w:w="1031" w:type="pct"/>
            <w:tcBorders>
              <w:top w:val="nil"/>
              <w:left w:val="nil"/>
              <w:bottom w:val="nil"/>
              <w:right w:val="nil"/>
            </w:tcBorders>
          </w:tcPr>
          <w:p w14:paraId="48E825B9"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nil"/>
              <w:left w:val="nil"/>
              <w:bottom w:val="nil"/>
              <w:right w:val="nil"/>
            </w:tcBorders>
          </w:tcPr>
          <w:p w14:paraId="0CFC0C1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3C67A432" w14:textId="4399CBD0"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(-0.08)</w:t>
            </w:r>
          </w:p>
        </w:tc>
        <w:tc>
          <w:tcPr>
            <w:tcW w:w="146" w:type="pct"/>
            <w:tcBorders>
              <w:top w:val="nil"/>
              <w:left w:val="nil"/>
              <w:bottom w:val="nil"/>
              <w:right w:val="nil"/>
            </w:tcBorders>
          </w:tcPr>
          <w:p w14:paraId="6F12D89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410C3588" w14:textId="44CC2669"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(2.27)</w:t>
            </w:r>
          </w:p>
        </w:tc>
        <w:tc>
          <w:tcPr>
            <w:tcW w:w="625" w:type="pct"/>
            <w:tcBorders>
              <w:top w:val="nil"/>
              <w:left w:val="nil"/>
              <w:bottom w:val="nil"/>
              <w:right w:val="nil"/>
            </w:tcBorders>
          </w:tcPr>
          <w:p w14:paraId="7729F2F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(0.91)</w:t>
            </w:r>
          </w:p>
        </w:tc>
        <w:tc>
          <w:tcPr>
            <w:tcW w:w="625" w:type="pct"/>
            <w:tcBorders>
              <w:top w:val="nil"/>
              <w:left w:val="nil"/>
              <w:bottom w:val="nil"/>
              <w:right w:val="nil"/>
            </w:tcBorders>
          </w:tcPr>
          <w:p w14:paraId="048D5AFA" w14:textId="770BBCD4"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(0.81)</w:t>
            </w:r>
          </w:p>
        </w:tc>
        <w:tc>
          <w:tcPr>
            <w:tcW w:w="625" w:type="pct"/>
            <w:tcBorders>
              <w:top w:val="nil"/>
              <w:left w:val="nil"/>
              <w:bottom w:val="nil"/>
              <w:right w:val="nil"/>
            </w:tcBorders>
          </w:tcPr>
          <w:p w14:paraId="3DE7E7D6" w14:textId="03323EC5"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(0.82)</w:t>
            </w:r>
          </w:p>
        </w:tc>
      </w:tr>
      <w:tr w:rsidR="00BC5F75" w:rsidRPr="003101A0" w14:paraId="0CDF34E7" w14:textId="77777777" w:rsidTr="00BC5F75">
        <w:tc>
          <w:tcPr>
            <w:tcW w:w="1031" w:type="pct"/>
            <w:tcBorders>
              <w:top w:val="nil"/>
              <w:left w:val="nil"/>
              <w:bottom w:val="nil"/>
              <w:right w:val="nil"/>
            </w:tcBorders>
          </w:tcPr>
          <w:p w14:paraId="4D9453B5"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ROA</w:t>
            </w:r>
          </w:p>
        </w:tc>
        <w:tc>
          <w:tcPr>
            <w:tcW w:w="662" w:type="pct"/>
            <w:tcBorders>
              <w:top w:val="nil"/>
              <w:left w:val="nil"/>
              <w:bottom w:val="nil"/>
              <w:right w:val="nil"/>
            </w:tcBorders>
          </w:tcPr>
          <w:p w14:paraId="4E5C284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40834B92" w14:textId="189F5C43"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0.023</w:t>
            </w:r>
          </w:p>
        </w:tc>
        <w:tc>
          <w:tcPr>
            <w:tcW w:w="146" w:type="pct"/>
            <w:tcBorders>
              <w:top w:val="nil"/>
              <w:left w:val="nil"/>
              <w:bottom w:val="nil"/>
              <w:right w:val="nil"/>
            </w:tcBorders>
          </w:tcPr>
          <w:p w14:paraId="07F6F6F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286CE375" w14:textId="1AFCB033"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-0.892***</w:t>
            </w:r>
          </w:p>
        </w:tc>
        <w:tc>
          <w:tcPr>
            <w:tcW w:w="625" w:type="pct"/>
            <w:tcBorders>
              <w:top w:val="nil"/>
              <w:left w:val="nil"/>
              <w:bottom w:val="nil"/>
              <w:right w:val="nil"/>
            </w:tcBorders>
          </w:tcPr>
          <w:p w14:paraId="4D0BA677"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-0.002</w:t>
            </w:r>
          </w:p>
        </w:tc>
        <w:tc>
          <w:tcPr>
            <w:tcW w:w="625" w:type="pct"/>
            <w:tcBorders>
              <w:top w:val="nil"/>
              <w:left w:val="nil"/>
              <w:bottom w:val="nil"/>
              <w:right w:val="nil"/>
            </w:tcBorders>
          </w:tcPr>
          <w:p w14:paraId="710AAD16" w14:textId="4AF83FDC"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0.001</w:t>
            </w:r>
          </w:p>
        </w:tc>
        <w:tc>
          <w:tcPr>
            <w:tcW w:w="625" w:type="pct"/>
            <w:tcBorders>
              <w:top w:val="nil"/>
              <w:left w:val="nil"/>
              <w:bottom w:val="nil"/>
              <w:right w:val="nil"/>
            </w:tcBorders>
          </w:tcPr>
          <w:p w14:paraId="419F0713" w14:textId="6C02315B"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-0.001</w:t>
            </w:r>
          </w:p>
        </w:tc>
      </w:tr>
      <w:tr w:rsidR="00BC5F75" w:rsidRPr="003101A0" w14:paraId="40220A5A" w14:textId="77777777" w:rsidTr="00BC5F75">
        <w:tc>
          <w:tcPr>
            <w:tcW w:w="1031" w:type="pct"/>
            <w:tcBorders>
              <w:top w:val="nil"/>
              <w:left w:val="nil"/>
              <w:bottom w:val="nil"/>
              <w:right w:val="nil"/>
            </w:tcBorders>
          </w:tcPr>
          <w:p w14:paraId="69FD42F4"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nil"/>
              <w:left w:val="nil"/>
              <w:bottom w:val="nil"/>
              <w:right w:val="nil"/>
            </w:tcBorders>
          </w:tcPr>
          <w:p w14:paraId="33FE7DF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4532E862" w14:textId="74A47048"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(1.35)</w:t>
            </w:r>
          </w:p>
        </w:tc>
        <w:tc>
          <w:tcPr>
            <w:tcW w:w="146" w:type="pct"/>
            <w:tcBorders>
              <w:top w:val="nil"/>
              <w:left w:val="nil"/>
              <w:bottom w:val="nil"/>
              <w:right w:val="nil"/>
            </w:tcBorders>
          </w:tcPr>
          <w:p w14:paraId="4D09E34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0F60CEF2" w14:textId="5F213705"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(-4.60)</w:t>
            </w:r>
          </w:p>
        </w:tc>
        <w:tc>
          <w:tcPr>
            <w:tcW w:w="625" w:type="pct"/>
            <w:tcBorders>
              <w:top w:val="nil"/>
              <w:left w:val="nil"/>
              <w:bottom w:val="nil"/>
              <w:right w:val="nil"/>
            </w:tcBorders>
          </w:tcPr>
          <w:p w14:paraId="73DC3DD9"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(-0.15)</w:t>
            </w:r>
          </w:p>
        </w:tc>
        <w:tc>
          <w:tcPr>
            <w:tcW w:w="625" w:type="pct"/>
            <w:tcBorders>
              <w:top w:val="nil"/>
              <w:left w:val="nil"/>
              <w:bottom w:val="nil"/>
              <w:right w:val="nil"/>
            </w:tcBorders>
          </w:tcPr>
          <w:p w14:paraId="00142B12" w14:textId="6A7D2976"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(0.04)</w:t>
            </w:r>
          </w:p>
        </w:tc>
        <w:tc>
          <w:tcPr>
            <w:tcW w:w="625" w:type="pct"/>
            <w:tcBorders>
              <w:top w:val="nil"/>
              <w:left w:val="nil"/>
              <w:bottom w:val="nil"/>
              <w:right w:val="nil"/>
            </w:tcBorders>
          </w:tcPr>
          <w:p w14:paraId="20C4FCC6" w14:textId="1A7A8D9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(-0.06)</w:t>
            </w:r>
          </w:p>
        </w:tc>
      </w:tr>
      <w:tr w:rsidR="00BC5F75" w:rsidRPr="003101A0" w14:paraId="21904602" w14:textId="77777777" w:rsidTr="00BC5F75">
        <w:tc>
          <w:tcPr>
            <w:tcW w:w="1031" w:type="pct"/>
            <w:tcBorders>
              <w:top w:val="nil"/>
              <w:left w:val="nil"/>
              <w:bottom w:val="nil"/>
              <w:right w:val="nil"/>
            </w:tcBorders>
          </w:tcPr>
          <w:p w14:paraId="74F3FEAD"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PPE</w:t>
            </w:r>
          </w:p>
        </w:tc>
        <w:tc>
          <w:tcPr>
            <w:tcW w:w="662" w:type="pct"/>
            <w:tcBorders>
              <w:top w:val="nil"/>
              <w:left w:val="nil"/>
              <w:bottom w:val="nil"/>
              <w:right w:val="nil"/>
            </w:tcBorders>
          </w:tcPr>
          <w:p w14:paraId="4F7E26D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35A4C07A" w14:textId="05563AE2"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-0.011</w:t>
            </w:r>
          </w:p>
        </w:tc>
        <w:tc>
          <w:tcPr>
            <w:tcW w:w="146" w:type="pct"/>
            <w:tcBorders>
              <w:top w:val="nil"/>
              <w:left w:val="nil"/>
              <w:bottom w:val="nil"/>
              <w:right w:val="nil"/>
            </w:tcBorders>
          </w:tcPr>
          <w:p w14:paraId="0C78CEE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11A651CE" w14:textId="2CE9A55B"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-0.449***</w:t>
            </w:r>
          </w:p>
        </w:tc>
        <w:tc>
          <w:tcPr>
            <w:tcW w:w="625" w:type="pct"/>
            <w:tcBorders>
              <w:top w:val="nil"/>
              <w:left w:val="nil"/>
              <w:bottom w:val="nil"/>
              <w:right w:val="nil"/>
            </w:tcBorders>
          </w:tcPr>
          <w:p w14:paraId="5411124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-0.017**</w:t>
            </w:r>
          </w:p>
        </w:tc>
        <w:tc>
          <w:tcPr>
            <w:tcW w:w="625" w:type="pct"/>
            <w:tcBorders>
              <w:top w:val="nil"/>
              <w:left w:val="nil"/>
              <w:bottom w:val="nil"/>
              <w:right w:val="nil"/>
            </w:tcBorders>
          </w:tcPr>
          <w:p w14:paraId="09682A4B" w14:textId="0E17AA1C"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-0.015**</w:t>
            </w:r>
          </w:p>
        </w:tc>
        <w:tc>
          <w:tcPr>
            <w:tcW w:w="625" w:type="pct"/>
            <w:tcBorders>
              <w:top w:val="nil"/>
              <w:left w:val="nil"/>
              <w:bottom w:val="nil"/>
              <w:right w:val="nil"/>
            </w:tcBorders>
          </w:tcPr>
          <w:p w14:paraId="7C2B3B56" w14:textId="51745BF1"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-0.018**</w:t>
            </w:r>
          </w:p>
        </w:tc>
      </w:tr>
      <w:tr w:rsidR="00BC5F75" w:rsidRPr="003101A0" w14:paraId="13734205" w14:textId="77777777" w:rsidTr="00BC5F75">
        <w:tc>
          <w:tcPr>
            <w:tcW w:w="1031" w:type="pct"/>
            <w:tcBorders>
              <w:top w:val="nil"/>
              <w:left w:val="nil"/>
              <w:bottom w:val="nil"/>
              <w:right w:val="nil"/>
            </w:tcBorders>
          </w:tcPr>
          <w:p w14:paraId="36DA86A1"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nil"/>
              <w:left w:val="nil"/>
              <w:bottom w:val="nil"/>
              <w:right w:val="nil"/>
            </w:tcBorders>
          </w:tcPr>
          <w:p w14:paraId="786BA86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5528500F" w14:textId="018CB3CC"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(-1.30)</w:t>
            </w:r>
          </w:p>
        </w:tc>
        <w:tc>
          <w:tcPr>
            <w:tcW w:w="146" w:type="pct"/>
            <w:tcBorders>
              <w:top w:val="nil"/>
              <w:left w:val="nil"/>
              <w:bottom w:val="nil"/>
              <w:right w:val="nil"/>
            </w:tcBorders>
          </w:tcPr>
          <w:p w14:paraId="069424C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7C545550" w14:textId="01D7B378"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(-4.68)</w:t>
            </w:r>
          </w:p>
        </w:tc>
        <w:tc>
          <w:tcPr>
            <w:tcW w:w="625" w:type="pct"/>
            <w:tcBorders>
              <w:top w:val="nil"/>
              <w:left w:val="nil"/>
              <w:bottom w:val="nil"/>
              <w:right w:val="nil"/>
            </w:tcBorders>
          </w:tcPr>
          <w:p w14:paraId="5FF070F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(-2.32)</w:t>
            </w:r>
          </w:p>
        </w:tc>
        <w:tc>
          <w:tcPr>
            <w:tcW w:w="625" w:type="pct"/>
            <w:tcBorders>
              <w:top w:val="nil"/>
              <w:left w:val="nil"/>
              <w:bottom w:val="nil"/>
              <w:right w:val="nil"/>
            </w:tcBorders>
          </w:tcPr>
          <w:p w14:paraId="716F0DF4" w14:textId="7C7307B4"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(-2.10)</w:t>
            </w:r>
          </w:p>
        </w:tc>
        <w:tc>
          <w:tcPr>
            <w:tcW w:w="625" w:type="pct"/>
            <w:tcBorders>
              <w:top w:val="nil"/>
              <w:left w:val="nil"/>
              <w:bottom w:val="nil"/>
              <w:right w:val="nil"/>
            </w:tcBorders>
          </w:tcPr>
          <w:p w14:paraId="4C772FD8" w14:textId="3FD332BB"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(-2.44)</w:t>
            </w:r>
          </w:p>
        </w:tc>
      </w:tr>
      <w:tr w:rsidR="00BC5F75" w:rsidRPr="003101A0" w14:paraId="18EFCEAC" w14:textId="77777777" w:rsidTr="00BC5F75">
        <w:tc>
          <w:tcPr>
            <w:tcW w:w="1031" w:type="pct"/>
            <w:tcBorders>
              <w:top w:val="nil"/>
              <w:left w:val="nil"/>
              <w:bottom w:val="nil"/>
              <w:right w:val="nil"/>
            </w:tcBorders>
          </w:tcPr>
          <w:p w14:paraId="47B87768"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Interest coverage</w:t>
            </w:r>
          </w:p>
        </w:tc>
        <w:tc>
          <w:tcPr>
            <w:tcW w:w="662" w:type="pct"/>
            <w:tcBorders>
              <w:top w:val="nil"/>
              <w:left w:val="nil"/>
              <w:bottom w:val="nil"/>
              <w:right w:val="nil"/>
            </w:tcBorders>
          </w:tcPr>
          <w:p w14:paraId="0AC9B67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776992FF" w14:textId="0CDDEF78"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146" w:type="pct"/>
            <w:tcBorders>
              <w:top w:val="nil"/>
              <w:left w:val="nil"/>
              <w:bottom w:val="nil"/>
              <w:right w:val="nil"/>
            </w:tcBorders>
          </w:tcPr>
          <w:p w14:paraId="2839417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379048D2" w14:textId="5E308140"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625" w:type="pct"/>
            <w:tcBorders>
              <w:top w:val="nil"/>
              <w:left w:val="nil"/>
              <w:bottom w:val="nil"/>
              <w:right w:val="nil"/>
            </w:tcBorders>
          </w:tcPr>
          <w:p w14:paraId="42388A2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625" w:type="pct"/>
            <w:tcBorders>
              <w:top w:val="nil"/>
              <w:left w:val="nil"/>
              <w:bottom w:val="nil"/>
              <w:right w:val="nil"/>
            </w:tcBorders>
          </w:tcPr>
          <w:p w14:paraId="67D1634F" w14:textId="2CB0787C"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625" w:type="pct"/>
            <w:tcBorders>
              <w:top w:val="nil"/>
              <w:left w:val="nil"/>
              <w:bottom w:val="nil"/>
              <w:right w:val="nil"/>
            </w:tcBorders>
          </w:tcPr>
          <w:p w14:paraId="66DBCA61" w14:textId="04D7FDE0"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r>
      <w:tr w:rsidR="00BC5F75" w:rsidRPr="003101A0" w14:paraId="60F7AC4B" w14:textId="77777777" w:rsidTr="00BC5F75">
        <w:tc>
          <w:tcPr>
            <w:tcW w:w="1031" w:type="pct"/>
            <w:tcBorders>
              <w:top w:val="nil"/>
              <w:left w:val="nil"/>
              <w:bottom w:val="nil"/>
              <w:right w:val="nil"/>
            </w:tcBorders>
          </w:tcPr>
          <w:p w14:paraId="42D85162"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7FB6FF9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2A77CEF2" w14:textId="4690FD68"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(1.28)</w:t>
            </w:r>
          </w:p>
        </w:tc>
        <w:tc>
          <w:tcPr>
            <w:tcW w:w="146" w:type="pct"/>
            <w:tcBorders>
              <w:top w:val="nil"/>
              <w:left w:val="nil"/>
              <w:bottom w:val="nil"/>
              <w:right w:val="nil"/>
            </w:tcBorders>
          </w:tcPr>
          <w:p w14:paraId="514AEF4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42C98C8B" w14:textId="618C5DAE"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(-0.09)</w:t>
            </w:r>
          </w:p>
        </w:tc>
        <w:tc>
          <w:tcPr>
            <w:tcW w:w="625" w:type="pct"/>
            <w:tcBorders>
              <w:top w:val="nil"/>
              <w:left w:val="nil"/>
              <w:bottom w:val="nil"/>
              <w:right w:val="nil"/>
            </w:tcBorders>
          </w:tcPr>
          <w:p w14:paraId="7F956A5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(1.25)</w:t>
            </w:r>
          </w:p>
        </w:tc>
        <w:tc>
          <w:tcPr>
            <w:tcW w:w="625" w:type="pct"/>
            <w:tcBorders>
              <w:top w:val="nil"/>
              <w:left w:val="nil"/>
              <w:bottom w:val="nil"/>
              <w:right w:val="nil"/>
            </w:tcBorders>
          </w:tcPr>
          <w:p w14:paraId="2942FA35" w14:textId="7594AF8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(0.57)</w:t>
            </w:r>
          </w:p>
        </w:tc>
        <w:tc>
          <w:tcPr>
            <w:tcW w:w="625" w:type="pct"/>
            <w:tcBorders>
              <w:top w:val="nil"/>
              <w:left w:val="nil"/>
              <w:bottom w:val="nil"/>
              <w:right w:val="nil"/>
            </w:tcBorders>
          </w:tcPr>
          <w:p w14:paraId="09857C21" w14:textId="0E22C9E5"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(1.13)</w:t>
            </w:r>
          </w:p>
        </w:tc>
      </w:tr>
      <w:tr w:rsidR="00BC5F75" w:rsidRPr="003101A0" w14:paraId="268D86FB" w14:textId="77777777" w:rsidTr="00BC5F75">
        <w:tc>
          <w:tcPr>
            <w:tcW w:w="1031" w:type="pct"/>
            <w:tcBorders>
              <w:top w:val="nil"/>
              <w:left w:val="nil"/>
              <w:bottom w:val="nil"/>
              <w:right w:val="nil"/>
            </w:tcBorders>
          </w:tcPr>
          <w:p w14:paraId="18999CD4" w14:textId="3673492D"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roofErr w:type="gramStart"/>
            <w:r w:rsidRPr="003101A0">
              <w:rPr>
                <w:rFonts w:ascii="Times New Roman" w:hAnsi="Times New Roman" w:cs="Times New Roman"/>
                <w:i/>
                <w:sz w:val="20"/>
                <w:szCs w:val="20"/>
                <w:lang w:val="en-US"/>
              </w:rPr>
              <w:t>Ln(</w:t>
            </w:r>
            <w:proofErr w:type="gramEnd"/>
            <w:r w:rsidRPr="003101A0">
              <w:rPr>
                <w:rFonts w:ascii="Times New Roman" w:hAnsi="Times New Roman" w:cs="Times New Roman"/>
                <w:i/>
                <w:sz w:val="20"/>
                <w:szCs w:val="20"/>
                <w:lang w:val="en-US"/>
              </w:rPr>
              <w:t>Total assets)</w:t>
            </w:r>
          </w:p>
        </w:tc>
        <w:tc>
          <w:tcPr>
            <w:tcW w:w="662" w:type="pct"/>
            <w:tcBorders>
              <w:top w:val="nil"/>
              <w:left w:val="nil"/>
              <w:bottom w:val="nil"/>
              <w:right w:val="nil"/>
            </w:tcBorders>
          </w:tcPr>
          <w:p w14:paraId="582233D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332C0CEF" w14:textId="6336760F"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-0.021***</w:t>
            </w:r>
          </w:p>
        </w:tc>
        <w:tc>
          <w:tcPr>
            <w:tcW w:w="146" w:type="pct"/>
            <w:tcBorders>
              <w:top w:val="nil"/>
              <w:left w:val="nil"/>
              <w:bottom w:val="nil"/>
              <w:right w:val="nil"/>
            </w:tcBorders>
          </w:tcPr>
          <w:p w14:paraId="3BF9056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5B509BA0" w14:textId="34179BD6"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-0.287***</w:t>
            </w:r>
          </w:p>
        </w:tc>
        <w:tc>
          <w:tcPr>
            <w:tcW w:w="625" w:type="pct"/>
            <w:tcBorders>
              <w:top w:val="nil"/>
              <w:left w:val="nil"/>
              <w:bottom w:val="nil"/>
              <w:right w:val="nil"/>
            </w:tcBorders>
          </w:tcPr>
          <w:p w14:paraId="4B360F9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-0.026***</w:t>
            </w:r>
          </w:p>
        </w:tc>
        <w:tc>
          <w:tcPr>
            <w:tcW w:w="625" w:type="pct"/>
            <w:tcBorders>
              <w:top w:val="nil"/>
              <w:left w:val="nil"/>
              <w:bottom w:val="nil"/>
              <w:right w:val="nil"/>
            </w:tcBorders>
          </w:tcPr>
          <w:p w14:paraId="4D4BD979" w14:textId="30AC4AF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-0.021***</w:t>
            </w:r>
          </w:p>
        </w:tc>
        <w:tc>
          <w:tcPr>
            <w:tcW w:w="625" w:type="pct"/>
            <w:tcBorders>
              <w:top w:val="nil"/>
              <w:left w:val="nil"/>
              <w:bottom w:val="nil"/>
              <w:right w:val="nil"/>
            </w:tcBorders>
          </w:tcPr>
          <w:p w14:paraId="71E2D836" w14:textId="7ED4454D"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-0.026***</w:t>
            </w:r>
          </w:p>
        </w:tc>
      </w:tr>
      <w:tr w:rsidR="00BC5F75" w:rsidRPr="003101A0" w14:paraId="7A7692A6" w14:textId="77777777" w:rsidTr="00BC5F75">
        <w:tc>
          <w:tcPr>
            <w:tcW w:w="1031" w:type="pct"/>
            <w:tcBorders>
              <w:top w:val="nil"/>
              <w:left w:val="nil"/>
              <w:bottom w:val="nil"/>
              <w:right w:val="nil"/>
            </w:tcBorders>
          </w:tcPr>
          <w:p w14:paraId="1E800C4C"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nil"/>
              <w:left w:val="nil"/>
              <w:bottom w:val="nil"/>
              <w:right w:val="nil"/>
            </w:tcBorders>
          </w:tcPr>
          <w:p w14:paraId="3164938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7A7C8CAA" w14:textId="57240A43"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(-14.83)</w:t>
            </w:r>
          </w:p>
        </w:tc>
        <w:tc>
          <w:tcPr>
            <w:tcW w:w="146" w:type="pct"/>
            <w:tcBorders>
              <w:top w:val="nil"/>
              <w:left w:val="nil"/>
              <w:bottom w:val="nil"/>
              <w:right w:val="nil"/>
            </w:tcBorders>
          </w:tcPr>
          <w:p w14:paraId="172D41C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3E4252FA" w14:textId="5B51BEE8"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(-18.36)</w:t>
            </w:r>
          </w:p>
        </w:tc>
        <w:tc>
          <w:tcPr>
            <w:tcW w:w="625" w:type="pct"/>
            <w:tcBorders>
              <w:top w:val="nil"/>
              <w:left w:val="nil"/>
              <w:bottom w:val="nil"/>
              <w:right w:val="nil"/>
            </w:tcBorders>
          </w:tcPr>
          <w:p w14:paraId="7CD00B5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(-19.00)</w:t>
            </w:r>
          </w:p>
        </w:tc>
        <w:tc>
          <w:tcPr>
            <w:tcW w:w="625" w:type="pct"/>
            <w:tcBorders>
              <w:top w:val="nil"/>
              <w:left w:val="nil"/>
              <w:bottom w:val="nil"/>
              <w:right w:val="nil"/>
            </w:tcBorders>
          </w:tcPr>
          <w:p w14:paraId="7C56A6A3" w14:textId="784A360C"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(-15.02)</w:t>
            </w:r>
          </w:p>
        </w:tc>
        <w:tc>
          <w:tcPr>
            <w:tcW w:w="625" w:type="pct"/>
            <w:tcBorders>
              <w:top w:val="nil"/>
              <w:left w:val="nil"/>
              <w:bottom w:val="nil"/>
              <w:right w:val="nil"/>
            </w:tcBorders>
          </w:tcPr>
          <w:p w14:paraId="2343C8AE" w14:textId="25D3602C"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(-19.06)</w:t>
            </w:r>
          </w:p>
        </w:tc>
      </w:tr>
      <w:tr w:rsidR="00BC5F75" w:rsidRPr="003101A0" w14:paraId="1A1D55E6" w14:textId="77777777" w:rsidTr="00BC5F75">
        <w:tc>
          <w:tcPr>
            <w:tcW w:w="1031" w:type="pct"/>
            <w:tcBorders>
              <w:top w:val="nil"/>
              <w:left w:val="nil"/>
              <w:bottom w:val="nil"/>
              <w:right w:val="nil"/>
            </w:tcBorders>
          </w:tcPr>
          <w:p w14:paraId="31E4E989"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Investment grade</w:t>
            </w:r>
          </w:p>
        </w:tc>
        <w:tc>
          <w:tcPr>
            <w:tcW w:w="662" w:type="pct"/>
            <w:tcBorders>
              <w:top w:val="nil"/>
              <w:left w:val="nil"/>
              <w:bottom w:val="nil"/>
              <w:right w:val="nil"/>
            </w:tcBorders>
          </w:tcPr>
          <w:p w14:paraId="35DFF0B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6B23061B" w14:textId="5737A9DF"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-0.055***</w:t>
            </w:r>
          </w:p>
        </w:tc>
        <w:tc>
          <w:tcPr>
            <w:tcW w:w="146" w:type="pct"/>
            <w:tcBorders>
              <w:top w:val="nil"/>
              <w:left w:val="nil"/>
              <w:bottom w:val="nil"/>
              <w:right w:val="nil"/>
            </w:tcBorders>
          </w:tcPr>
          <w:p w14:paraId="39AE2149"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683FC183" w14:textId="2F893A7F"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-0.788***</w:t>
            </w:r>
          </w:p>
        </w:tc>
        <w:tc>
          <w:tcPr>
            <w:tcW w:w="625" w:type="pct"/>
            <w:tcBorders>
              <w:top w:val="nil"/>
              <w:left w:val="nil"/>
              <w:bottom w:val="nil"/>
              <w:right w:val="nil"/>
            </w:tcBorders>
          </w:tcPr>
          <w:p w14:paraId="7036006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-0.070***</w:t>
            </w:r>
          </w:p>
        </w:tc>
        <w:tc>
          <w:tcPr>
            <w:tcW w:w="625" w:type="pct"/>
            <w:tcBorders>
              <w:top w:val="nil"/>
              <w:left w:val="nil"/>
              <w:bottom w:val="nil"/>
              <w:right w:val="nil"/>
            </w:tcBorders>
          </w:tcPr>
          <w:p w14:paraId="3646BCA3" w14:textId="31100A99"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-0.059***</w:t>
            </w:r>
          </w:p>
        </w:tc>
        <w:tc>
          <w:tcPr>
            <w:tcW w:w="625" w:type="pct"/>
            <w:tcBorders>
              <w:top w:val="nil"/>
              <w:left w:val="nil"/>
              <w:bottom w:val="nil"/>
              <w:right w:val="nil"/>
            </w:tcBorders>
          </w:tcPr>
          <w:p w14:paraId="52BF90A8" w14:textId="1A21801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-0.070***</w:t>
            </w:r>
          </w:p>
        </w:tc>
      </w:tr>
      <w:tr w:rsidR="00BC5F75" w:rsidRPr="003101A0" w14:paraId="11B1C563" w14:textId="77777777" w:rsidTr="00BC5F75">
        <w:tc>
          <w:tcPr>
            <w:tcW w:w="1031" w:type="pct"/>
            <w:tcBorders>
              <w:top w:val="nil"/>
              <w:left w:val="nil"/>
              <w:bottom w:val="nil"/>
              <w:right w:val="nil"/>
            </w:tcBorders>
          </w:tcPr>
          <w:p w14:paraId="72751C5D"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11CE046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278B1352" w14:textId="025C0412"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(-11.13)</w:t>
            </w:r>
          </w:p>
        </w:tc>
        <w:tc>
          <w:tcPr>
            <w:tcW w:w="146" w:type="pct"/>
            <w:tcBorders>
              <w:top w:val="nil"/>
              <w:left w:val="nil"/>
              <w:bottom w:val="nil"/>
              <w:right w:val="nil"/>
            </w:tcBorders>
          </w:tcPr>
          <w:p w14:paraId="1D7103F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13B1BFAC" w14:textId="1638C3D6"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(-15.60)</w:t>
            </w:r>
          </w:p>
        </w:tc>
        <w:tc>
          <w:tcPr>
            <w:tcW w:w="625" w:type="pct"/>
            <w:tcBorders>
              <w:top w:val="nil"/>
              <w:left w:val="nil"/>
              <w:bottom w:val="nil"/>
              <w:right w:val="nil"/>
            </w:tcBorders>
          </w:tcPr>
          <w:p w14:paraId="1ACECC8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(-15.82)</w:t>
            </w:r>
          </w:p>
        </w:tc>
        <w:tc>
          <w:tcPr>
            <w:tcW w:w="625" w:type="pct"/>
            <w:tcBorders>
              <w:top w:val="nil"/>
              <w:left w:val="nil"/>
              <w:bottom w:val="nil"/>
              <w:right w:val="nil"/>
            </w:tcBorders>
          </w:tcPr>
          <w:p w14:paraId="62DB56B2" w14:textId="2FB18CF5"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(-13.19)</w:t>
            </w:r>
          </w:p>
        </w:tc>
        <w:tc>
          <w:tcPr>
            <w:tcW w:w="625" w:type="pct"/>
            <w:tcBorders>
              <w:top w:val="nil"/>
              <w:left w:val="nil"/>
              <w:bottom w:val="nil"/>
              <w:right w:val="nil"/>
            </w:tcBorders>
          </w:tcPr>
          <w:p w14:paraId="1399E34D" w14:textId="4EE4B396"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(-15.77)</w:t>
            </w:r>
          </w:p>
        </w:tc>
      </w:tr>
      <w:tr w:rsidR="00BC5F75" w:rsidRPr="003101A0" w14:paraId="1BEAB685" w14:textId="77777777" w:rsidTr="00BC5F75">
        <w:tc>
          <w:tcPr>
            <w:tcW w:w="1031" w:type="pct"/>
            <w:tcBorders>
              <w:top w:val="nil"/>
              <w:left w:val="nil"/>
              <w:bottom w:val="nil"/>
              <w:right w:val="nil"/>
            </w:tcBorders>
          </w:tcPr>
          <w:p w14:paraId="6BEE1438"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MB</w:t>
            </w:r>
          </w:p>
        </w:tc>
        <w:tc>
          <w:tcPr>
            <w:tcW w:w="662" w:type="pct"/>
            <w:tcBorders>
              <w:top w:val="nil"/>
              <w:left w:val="nil"/>
              <w:bottom w:val="nil"/>
              <w:right w:val="nil"/>
            </w:tcBorders>
          </w:tcPr>
          <w:p w14:paraId="278A9D7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0BC767C0" w14:textId="7CEB8969"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146" w:type="pct"/>
            <w:tcBorders>
              <w:top w:val="nil"/>
              <w:left w:val="nil"/>
              <w:bottom w:val="nil"/>
              <w:right w:val="nil"/>
            </w:tcBorders>
          </w:tcPr>
          <w:p w14:paraId="7BE3E6D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711BF237" w14:textId="0AB18DFB"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0.003</w:t>
            </w:r>
          </w:p>
        </w:tc>
        <w:tc>
          <w:tcPr>
            <w:tcW w:w="625" w:type="pct"/>
            <w:tcBorders>
              <w:top w:val="nil"/>
              <w:left w:val="nil"/>
              <w:bottom w:val="nil"/>
              <w:right w:val="nil"/>
            </w:tcBorders>
          </w:tcPr>
          <w:p w14:paraId="5A45980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625" w:type="pct"/>
            <w:tcBorders>
              <w:top w:val="nil"/>
              <w:left w:val="nil"/>
              <w:bottom w:val="nil"/>
              <w:right w:val="nil"/>
            </w:tcBorders>
          </w:tcPr>
          <w:p w14:paraId="132DD7C7" w14:textId="6FCFBD93"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625" w:type="pct"/>
            <w:tcBorders>
              <w:top w:val="nil"/>
              <w:left w:val="nil"/>
              <w:bottom w:val="nil"/>
              <w:right w:val="nil"/>
            </w:tcBorders>
          </w:tcPr>
          <w:p w14:paraId="60BBB3B9" w14:textId="55721D4B"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r>
      <w:tr w:rsidR="00BC5F75" w:rsidRPr="003101A0" w14:paraId="28EA3131" w14:textId="77777777" w:rsidTr="00BC5F75">
        <w:tc>
          <w:tcPr>
            <w:tcW w:w="1031" w:type="pct"/>
            <w:tcBorders>
              <w:top w:val="nil"/>
              <w:left w:val="nil"/>
              <w:bottom w:val="nil"/>
              <w:right w:val="nil"/>
            </w:tcBorders>
          </w:tcPr>
          <w:p w14:paraId="1668DEE4"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nil"/>
              <w:left w:val="nil"/>
              <w:bottom w:val="nil"/>
              <w:right w:val="nil"/>
            </w:tcBorders>
          </w:tcPr>
          <w:p w14:paraId="503B8AB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1746AAE3" w14:textId="675552C9"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(-1.88)</w:t>
            </w:r>
          </w:p>
        </w:tc>
        <w:tc>
          <w:tcPr>
            <w:tcW w:w="146" w:type="pct"/>
            <w:tcBorders>
              <w:top w:val="nil"/>
              <w:left w:val="nil"/>
              <w:bottom w:val="nil"/>
              <w:right w:val="nil"/>
            </w:tcBorders>
          </w:tcPr>
          <w:p w14:paraId="0D1696B7"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36A0B290" w14:textId="0110C89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(0.96)</w:t>
            </w:r>
          </w:p>
        </w:tc>
        <w:tc>
          <w:tcPr>
            <w:tcW w:w="625" w:type="pct"/>
            <w:tcBorders>
              <w:top w:val="nil"/>
              <w:left w:val="nil"/>
              <w:bottom w:val="nil"/>
              <w:right w:val="nil"/>
            </w:tcBorders>
          </w:tcPr>
          <w:p w14:paraId="45F6ABC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(-1.35)</w:t>
            </w:r>
          </w:p>
        </w:tc>
        <w:tc>
          <w:tcPr>
            <w:tcW w:w="625" w:type="pct"/>
            <w:tcBorders>
              <w:top w:val="nil"/>
              <w:left w:val="nil"/>
              <w:bottom w:val="nil"/>
              <w:right w:val="nil"/>
            </w:tcBorders>
          </w:tcPr>
          <w:p w14:paraId="66FD332B" w14:textId="26207714"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(-1.48)</w:t>
            </w:r>
          </w:p>
        </w:tc>
        <w:tc>
          <w:tcPr>
            <w:tcW w:w="625" w:type="pct"/>
            <w:tcBorders>
              <w:top w:val="nil"/>
              <w:left w:val="nil"/>
              <w:bottom w:val="nil"/>
              <w:right w:val="nil"/>
            </w:tcBorders>
          </w:tcPr>
          <w:p w14:paraId="1AA0E126" w14:textId="7775C31A"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(-1.47)</w:t>
            </w:r>
          </w:p>
        </w:tc>
      </w:tr>
      <w:tr w:rsidR="00BC5F75" w:rsidRPr="003101A0" w14:paraId="43BFC497" w14:textId="77777777" w:rsidTr="00BC5F75">
        <w:tc>
          <w:tcPr>
            <w:tcW w:w="1031" w:type="pct"/>
            <w:tcBorders>
              <w:top w:val="nil"/>
              <w:left w:val="nil"/>
              <w:bottom w:val="nil"/>
              <w:right w:val="nil"/>
            </w:tcBorders>
          </w:tcPr>
          <w:p w14:paraId="3B6DFC18"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Capex</w:t>
            </w:r>
          </w:p>
        </w:tc>
        <w:tc>
          <w:tcPr>
            <w:tcW w:w="662" w:type="pct"/>
            <w:tcBorders>
              <w:top w:val="nil"/>
              <w:left w:val="nil"/>
              <w:bottom w:val="nil"/>
              <w:right w:val="nil"/>
            </w:tcBorders>
          </w:tcPr>
          <w:p w14:paraId="056CEFA7"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3F327F5B" w14:textId="2B575E9C"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0.007</w:t>
            </w:r>
          </w:p>
        </w:tc>
        <w:tc>
          <w:tcPr>
            <w:tcW w:w="146" w:type="pct"/>
            <w:tcBorders>
              <w:top w:val="nil"/>
              <w:left w:val="nil"/>
              <w:bottom w:val="nil"/>
              <w:right w:val="nil"/>
            </w:tcBorders>
          </w:tcPr>
          <w:p w14:paraId="0F4CADE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0BB8940C" w14:textId="2B3B437C"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0.030</w:t>
            </w:r>
          </w:p>
        </w:tc>
        <w:tc>
          <w:tcPr>
            <w:tcW w:w="625" w:type="pct"/>
            <w:tcBorders>
              <w:top w:val="nil"/>
              <w:left w:val="nil"/>
              <w:bottom w:val="nil"/>
              <w:right w:val="nil"/>
            </w:tcBorders>
          </w:tcPr>
          <w:p w14:paraId="5EB5084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0.009**</w:t>
            </w:r>
          </w:p>
        </w:tc>
        <w:tc>
          <w:tcPr>
            <w:tcW w:w="625" w:type="pct"/>
            <w:tcBorders>
              <w:top w:val="nil"/>
              <w:left w:val="nil"/>
              <w:bottom w:val="nil"/>
              <w:right w:val="nil"/>
            </w:tcBorders>
          </w:tcPr>
          <w:p w14:paraId="7AE8A102" w14:textId="6290B02F"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0.006</w:t>
            </w:r>
          </w:p>
        </w:tc>
        <w:tc>
          <w:tcPr>
            <w:tcW w:w="625" w:type="pct"/>
            <w:tcBorders>
              <w:top w:val="nil"/>
              <w:left w:val="nil"/>
              <w:bottom w:val="nil"/>
              <w:right w:val="nil"/>
            </w:tcBorders>
          </w:tcPr>
          <w:p w14:paraId="4975B579" w14:textId="6DB18550"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0.008</w:t>
            </w:r>
          </w:p>
        </w:tc>
      </w:tr>
      <w:tr w:rsidR="00BC5F75" w:rsidRPr="003101A0" w14:paraId="311360E1" w14:textId="77777777" w:rsidTr="00BC5F75">
        <w:tc>
          <w:tcPr>
            <w:tcW w:w="1031" w:type="pct"/>
            <w:tcBorders>
              <w:top w:val="nil"/>
              <w:left w:val="nil"/>
              <w:bottom w:val="nil"/>
              <w:right w:val="nil"/>
            </w:tcBorders>
          </w:tcPr>
          <w:p w14:paraId="2EE5A255"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nil"/>
              <w:left w:val="nil"/>
              <w:bottom w:val="nil"/>
              <w:right w:val="nil"/>
            </w:tcBorders>
          </w:tcPr>
          <w:p w14:paraId="3A9169A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778FE0AB" w14:textId="7DAB83E3"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(1.50)</w:t>
            </w:r>
          </w:p>
        </w:tc>
        <w:tc>
          <w:tcPr>
            <w:tcW w:w="146" w:type="pct"/>
            <w:tcBorders>
              <w:top w:val="nil"/>
              <w:left w:val="nil"/>
              <w:bottom w:val="nil"/>
              <w:right w:val="nil"/>
            </w:tcBorders>
          </w:tcPr>
          <w:p w14:paraId="65AB039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6CB6BC35" w14:textId="0F1E0890"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(0.57)</w:t>
            </w:r>
          </w:p>
        </w:tc>
        <w:tc>
          <w:tcPr>
            <w:tcW w:w="625" w:type="pct"/>
            <w:tcBorders>
              <w:top w:val="nil"/>
              <w:left w:val="nil"/>
              <w:bottom w:val="nil"/>
              <w:right w:val="nil"/>
            </w:tcBorders>
          </w:tcPr>
          <w:p w14:paraId="67F8DE9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(1.96)</w:t>
            </w:r>
          </w:p>
        </w:tc>
        <w:tc>
          <w:tcPr>
            <w:tcW w:w="625" w:type="pct"/>
            <w:tcBorders>
              <w:top w:val="nil"/>
              <w:left w:val="nil"/>
              <w:bottom w:val="nil"/>
              <w:right w:val="nil"/>
            </w:tcBorders>
          </w:tcPr>
          <w:p w14:paraId="12924830" w14:textId="1321F822"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(1.34)</w:t>
            </w:r>
          </w:p>
        </w:tc>
        <w:tc>
          <w:tcPr>
            <w:tcW w:w="625" w:type="pct"/>
            <w:tcBorders>
              <w:top w:val="nil"/>
              <w:left w:val="nil"/>
              <w:bottom w:val="nil"/>
              <w:right w:val="nil"/>
            </w:tcBorders>
          </w:tcPr>
          <w:p w14:paraId="10E80BA5" w14:textId="394F0DBF"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(1.64)</w:t>
            </w:r>
          </w:p>
        </w:tc>
      </w:tr>
      <w:tr w:rsidR="00BC5F75" w:rsidRPr="003101A0" w14:paraId="6699CBB5" w14:textId="77777777" w:rsidTr="00BC5F75">
        <w:tc>
          <w:tcPr>
            <w:tcW w:w="1031" w:type="pct"/>
            <w:tcBorders>
              <w:top w:val="nil"/>
              <w:left w:val="nil"/>
              <w:bottom w:val="nil"/>
              <w:right w:val="nil"/>
            </w:tcBorders>
          </w:tcPr>
          <w:p w14:paraId="4F786A75"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RD</w:t>
            </w:r>
          </w:p>
        </w:tc>
        <w:tc>
          <w:tcPr>
            <w:tcW w:w="662" w:type="pct"/>
            <w:tcBorders>
              <w:top w:val="nil"/>
              <w:left w:val="nil"/>
              <w:bottom w:val="nil"/>
              <w:right w:val="nil"/>
            </w:tcBorders>
          </w:tcPr>
          <w:p w14:paraId="5998F8B9"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5C8AB276" w14:textId="7AA1A9FD"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-0.174***</w:t>
            </w:r>
          </w:p>
        </w:tc>
        <w:tc>
          <w:tcPr>
            <w:tcW w:w="146" w:type="pct"/>
            <w:tcBorders>
              <w:top w:val="nil"/>
              <w:left w:val="nil"/>
              <w:bottom w:val="nil"/>
              <w:right w:val="nil"/>
            </w:tcBorders>
          </w:tcPr>
          <w:p w14:paraId="4FED503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5E2BA878" w14:textId="2CA4B0D3"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3.793***</w:t>
            </w:r>
          </w:p>
        </w:tc>
        <w:tc>
          <w:tcPr>
            <w:tcW w:w="625" w:type="pct"/>
            <w:tcBorders>
              <w:top w:val="nil"/>
              <w:left w:val="nil"/>
              <w:bottom w:val="nil"/>
              <w:right w:val="nil"/>
            </w:tcBorders>
          </w:tcPr>
          <w:p w14:paraId="6D0B8AD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-0.070*</w:t>
            </w:r>
          </w:p>
        </w:tc>
        <w:tc>
          <w:tcPr>
            <w:tcW w:w="625" w:type="pct"/>
            <w:tcBorders>
              <w:top w:val="nil"/>
              <w:left w:val="nil"/>
              <w:bottom w:val="nil"/>
              <w:right w:val="nil"/>
            </w:tcBorders>
          </w:tcPr>
          <w:p w14:paraId="100F1107" w14:textId="440921CE"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-0.044</w:t>
            </w:r>
          </w:p>
        </w:tc>
        <w:tc>
          <w:tcPr>
            <w:tcW w:w="625" w:type="pct"/>
            <w:tcBorders>
              <w:top w:val="nil"/>
              <w:left w:val="nil"/>
              <w:bottom w:val="nil"/>
              <w:right w:val="nil"/>
            </w:tcBorders>
          </w:tcPr>
          <w:p w14:paraId="2D0CFEDA" w14:textId="3C59BC9E"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-0.084**</w:t>
            </w:r>
          </w:p>
        </w:tc>
      </w:tr>
      <w:tr w:rsidR="00BC5F75" w:rsidRPr="003101A0" w14:paraId="24074342" w14:textId="77777777" w:rsidTr="00BC5F75">
        <w:tc>
          <w:tcPr>
            <w:tcW w:w="1031" w:type="pct"/>
            <w:tcBorders>
              <w:top w:val="nil"/>
              <w:left w:val="nil"/>
              <w:bottom w:val="nil"/>
              <w:right w:val="nil"/>
            </w:tcBorders>
          </w:tcPr>
          <w:p w14:paraId="3528C8C7"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nil"/>
              <w:left w:val="nil"/>
              <w:bottom w:val="nil"/>
              <w:right w:val="nil"/>
            </w:tcBorders>
          </w:tcPr>
          <w:p w14:paraId="78AB54F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5FE70C99" w14:textId="46E4A75A"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(-4.83)</w:t>
            </w:r>
          </w:p>
        </w:tc>
        <w:tc>
          <w:tcPr>
            <w:tcW w:w="146" w:type="pct"/>
            <w:tcBorders>
              <w:top w:val="nil"/>
              <w:left w:val="nil"/>
              <w:bottom w:val="nil"/>
              <w:right w:val="nil"/>
            </w:tcBorders>
          </w:tcPr>
          <w:p w14:paraId="3DDB427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1F90C25E" w14:textId="4A8E725B"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(8.75)</w:t>
            </w:r>
          </w:p>
        </w:tc>
        <w:tc>
          <w:tcPr>
            <w:tcW w:w="625" w:type="pct"/>
            <w:tcBorders>
              <w:top w:val="nil"/>
              <w:left w:val="nil"/>
              <w:bottom w:val="nil"/>
              <w:right w:val="nil"/>
            </w:tcBorders>
          </w:tcPr>
          <w:p w14:paraId="304637C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(-1.84)</w:t>
            </w:r>
          </w:p>
        </w:tc>
        <w:tc>
          <w:tcPr>
            <w:tcW w:w="625" w:type="pct"/>
            <w:tcBorders>
              <w:top w:val="nil"/>
              <w:left w:val="nil"/>
              <w:bottom w:val="nil"/>
              <w:right w:val="nil"/>
            </w:tcBorders>
          </w:tcPr>
          <w:p w14:paraId="568F00A7" w14:textId="1BD27BE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(-1.18)</w:t>
            </w:r>
          </w:p>
        </w:tc>
        <w:tc>
          <w:tcPr>
            <w:tcW w:w="625" w:type="pct"/>
            <w:tcBorders>
              <w:top w:val="nil"/>
              <w:left w:val="nil"/>
              <w:bottom w:val="nil"/>
              <w:right w:val="nil"/>
            </w:tcBorders>
          </w:tcPr>
          <w:p w14:paraId="4718F8A2" w14:textId="04300B2F"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(-2.22)</w:t>
            </w:r>
          </w:p>
        </w:tc>
      </w:tr>
      <w:tr w:rsidR="00BC5F75" w:rsidRPr="003101A0" w14:paraId="751EFD0A" w14:textId="77777777" w:rsidTr="00BC5F75">
        <w:tc>
          <w:tcPr>
            <w:tcW w:w="1031" w:type="pct"/>
            <w:tcBorders>
              <w:top w:val="nil"/>
              <w:left w:val="nil"/>
              <w:bottom w:val="nil"/>
              <w:right w:val="nil"/>
            </w:tcBorders>
            <w:vAlign w:val="center"/>
          </w:tcPr>
          <w:p w14:paraId="45ABFDBD"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sidRPr="003101A0">
              <w:rPr>
                <w:rFonts w:ascii="Times New Roman" w:hAnsi="Times New Roman" w:cs="Times New Roman"/>
                <w:i/>
                <w:sz w:val="20"/>
                <w:szCs w:val="20"/>
                <w:lang w:val="en-US"/>
              </w:rPr>
              <w:t>CIloans</w:t>
            </w:r>
            <w:proofErr w:type="spellEnd"/>
            <w:r w:rsidRPr="003101A0">
              <w:rPr>
                <w:rFonts w:ascii="Times New Roman" w:hAnsi="Times New Roman" w:cs="Times New Roman"/>
                <w:i/>
                <w:sz w:val="20"/>
                <w:szCs w:val="20"/>
                <w:lang w:val="en-US"/>
              </w:rPr>
              <w:t xml:space="preserve"> </w:t>
            </w:r>
          </w:p>
        </w:tc>
        <w:tc>
          <w:tcPr>
            <w:tcW w:w="662" w:type="pct"/>
            <w:tcBorders>
              <w:top w:val="nil"/>
              <w:left w:val="nil"/>
              <w:bottom w:val="nil"/>
              <w:right w:val="nil"/>
            </w:tcBorders>
          </w:tcPr>
          <w:p w14:paraId="72320F6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0586CBA7" w14:textId="6D54616E"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-0.009</w:t>
            </w:r>
          </w:p>
        </w:tc>
        <w:tc>
          <w:tcPr>
            <w:tcW w:w="146" w:type="pct"/>
            <w:tcBorders>
              <w:top w:val="nil"/>
              <w:left w:val="nil"/>
              <w:bottom w:val="nil"/>
              <w:right w:val="nil"/>
            </w:tcBorders>
          </w:tcPr>
          <w:p w14:paraId="1F3F6D4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5F51268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7A0EE5E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-0.016**</w:t>
            </w:r>
          </w:p>
        </w:tc>
        <w:tc>
          <w:tcPr>
            <w:tcW w:w="625" w:type="pct"/>
            <w:tcBorders>
              <w:top w:val="nil"/>
              <w:left w:val="nil"/>
              <w:bottom w:val="nil"/>
              <w:right w:val="nil"/>
            </w:tcBorders>
          </w:tcPr>
          <w:p w14:paraId="1575014A" w14:textId="79BD5D11"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-0.040***</w:t>
            </w:r>
          </w:p>
        </w:tc>
        <w:tc>
          <w:tcPr>
            <w:tcW w:w="625" w:type="pct"/>
            <w:tcBorders>
              <w:top w:val="nil"/>
              <w:left w:val="nil"/>
              <w:bottom w:val="nil"/>
              <w:right w:val="nil"/>
            </w:tcBorders>
          </w:tcPr>
          <w:p w14:paraId="44BF2C9B" w14:textId="0256993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-0.031***</w:t>
            </w:r>
          </w:p>
        </w:tc>
      </w:tr>
      <w:tr w:rsidR="00BC5F75" w:rsidRPr="003101A0" w14:paraId="272686AB" w14:textId="77777777" w:rsidTr="00BC5F75">
        <w:tc>
          <w:tcPr>
            <w:tcW w:w="1031" w:type="pct"/>
            <w:tcBorders>
              <w:top w:val="nil"/>
              <w:left w:val="nil"/>
              <w:bottom w:val="nil"/>
              <w:right w:val="nil"/>
            </w:tcBorders>
            <w:vAlign w:val="center"/>
          </w:tcPr>
          <w:p w14:paraId="40DE5474"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nil"/>
              <w:left w:val="nil"/>
              <w:bottom w:val="nil"/>
              <w:right w:val="nil"/>
            </w:tcBorders>
          </w:tcPr>
          <w:p w14:paraId="2C5ACEA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32B73882" w14:textId="57BDAA0A"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(-1.09)</w:t>
            </w:r>
          </w:p>
        </w:tc>
        <w:tc>
          <w:tcPr>
            <w:tcW w:w="146" w:type="pct"/>
            <w:tcBorders>
              <w:top w:val="nil"/>
              <w:left w:val="nil"/>
              <w:bottom w:val="nil"/>
              <w:right w:val="nil"/>
            </w:tcBorders>
          </w:tcPr>
          <w:p w14:paraId="39FFAA8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203D7B3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0688792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(-2.08)</w:t>
            </w:r>
          </w:p>
        </w:tc>
        <w:tc>
          <w:tcPr>
            <w:tcW w:w="625" w:type="pct"/>
            <w:tcBorders>
              <w:top w:val="nil"/>
              <w:left w:val="nil"/>
              <w:bottom w:val="nil"/>
              <w:right w:val="nil"/>
            </w:tcBorders>
          </w:tcPr>
          <w:p w14:paraId="38413E0A" w14:textId="13ECCAF9"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(-4.83)</w:t>
            </w:r>
          </w:p>
        </w:tc>
        <w:tc>
          <w:tcPr>
            <w:tcW w:w="625" w:type="pct"/>
            <w:tcBorders>
              <w:top w:val="nil"/>
              <w:left w:val="nil"/>
              <w:bottom w:val="nil"/>
              <w:right w:val="nil"/>
            </w:tcBorders>
          </w:tcPr>
          <w:p w14:paraId="39F5D62E" w14:textId="144D79D6"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(-3.73)</w:t>
            </w:r>
          </w:p>
        </w:tc>
      </w:tr>
      <w:tr w:rsidR="00BC5F75" w:rsidRPr="003101A0" w14:paraId="3B072A00" w14:textId="77777777" w:rsidTr="00BC5F75">
        <w:tc>
          <w:tcPr>
            <w:tcW w:w="1031" w:type="pct"/>
            <w:tcBorders>
              <w:top w:val="nil"/>
              <w:left w:val="nil"/>
              <w:bottom w:val="nil"/>
              <w:right w:val="nil"/>
            </w:tcBorders>
          </w:tcPr>
          <w:p w14:paraId="0C090D70"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sidRPr="003101A0">
              <w:rPr>
                <w:rFonts w:ascii="Times New Roman" w:hAnsi="Times New Roman" w:cs="Times New Roman"/>
                <w:i/>
                <w:sz w:val="20"/>
                <w:szCs w:val="20"/>
                <w:lang w:val="en-US"/>
              </w:rPr>
              <w:t>CIbonds</w:t>
            </w:r>
            <w:proofErr w:type="spellEnd"/>
          </w:p>
        </w:tc>
        <w:tc>
          <w:tcPr>
            <w:tcW w:w="662" w:type="pct"/>
            <w:tcBorders>
              <w:top w:val="nil"/>
              <w:left w:val="nil"/>
              <w:bottom w:val="nil"/>
              <w:right w:val="nil"/>
            </w:tcBorders>
          </w:tcPr>
          <w:p w14:paraId="525547D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2CB11DBB" w14:textId="5378C5CA"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0.624***</w:t>
            </w:r>
          </w:p>
        </w:tc>
        <w:tc>
          <w:tcPr>
            <w:tcW w:w="146" w:type="pct"/>
            <w:tcBorders>
              <w:top w:val="nil"/>
              <w:left w:val="nil"/>
              <w:bottom w:val="nil"/>
              <w:right w:val="nil"/>
            </w:tcBorders>
          </w:tcPr>
          <w:p w14:paraId="21CE4BA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023817E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13E04F2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0.621***</w:t>
            </w:r>
          </w:p>
        </w:tc>
        <w:tc>
          <w:tcPr>
            <w:tcW w:w="625" w:type="pct"/>
            <w:tcBorders>
              <w:top w:val="nil"/>
              <w:left w:val="nil"/>
              <w:bottom w:val="nil"/>
              <w:right w:val="nil"/>
            </w:tcBorders>
          </w:tcPr>
          <w:p w14:paraId="614C1898" w14:textId="10F8590F"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0.601***</w:t>
            </w:r>
          </w:p>
        </w:tc>
        <w:tc>
          <w:tcPr>
            <w:tcW w:w="625" w:type="pct"/>
            <w:tcBorders>
              <w:top w:val="nil"/>
              <w:left w:val="nil"/>
              <w:bottom w:val="nil"/>
              <w:right w:val="nil"/>
            </w:tcBorders>
          </w:tcPr>
          <w:p w14:paraId="3F5856CF" w14:textId="398274B0"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0.594***</w:t>
            </w:r>
          </w:p>
        </w:tc>
      </w:tr>
      <w:tr w:rsidR="00BC5F75" w:rsidRPr="003101A0" w14:paraId="12DC5476" w14:textId="77777777" w:rsidTr="00BC5F75">
        <w:tc>
          <w:tcPr>
            <w:tcW w:w="1031" w:type="pct"/>
            <w:tcBorders>
              <w:top w:val="nil"/>
              <w:left w:val="nil"/>
              <w:right w:val="nil"/>
            </w:tcBorders>
          </w:tcPr>
          <w:p w14:paraId="1CE323EF"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nil"/>
              <w:left w:val="nil"/>
              <w:right w:val="nil"/>
            </w:tcBorders>
          </w:tcPr>
          <w:p w14:paraId="50E64AC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right w:val="nil"/>
            </w:tcBorders>
          </w:tcPr>
          <w:p w14:paraId="2DD0CFE0" w14:textId="0ECE2A2F"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(36.51)</w:t>
            </w:r>
          </w:p>
        </w:tc>
        <w:tc>
          <w:tcPr>
            <w:tcW w:w="146" w:type="pct"/>
            <w:tcBorders>
              <w:top w:val="nil"/>
              <w:left w:val="nil"/>
              <w:right w:val="nil"/>
            </w:tcBorders>
          </w:tcPr>
          <w:p w14:paraId="3EC394B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right w:val="nil"/>
            </w:tcBorders>
          </w:tcPr>
          <w:p w14:paraId="702C661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right w:val="nil"/>
            </w:tcBorders>
          </w:tcPr>
          <w:p w14:paraId="01B77CA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(58.24)</w:t>
            </w:r>
          </w:p>
        </w:tc>
        <w:tc>
          <w:tcPr>
            <w:tcW w:w="625" w:type="pct"/>
            <w:tcBorders>
              <w:top w:val="nil"/>
              <w:left w:val="nil"/>
              <w:right w:val="nil"/>
            </w:tcBorders>
          </w:tcPr>
          <w:p w14:paraId="3C138113" w14:textId="4EBB57D3"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(52.19)</w:t>
            </w:r>
          </w:p>
        </w:tc>
        <w:tc>
          <w:tcPr>
            <w:tcW w:w="625" w:type="pct"/>
            <w:tcBorders>
              <w:top w:val="nil"/>
              <w:left w:val="nil"/>
              <w:right w:val="nil"/>
            </w:tcBorders>
          </w:tcPr>
          <w:p w14:paraId="534B828E" w14:textId="1B7B30B1"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(51.28)</w:t>
            </w:r>
          </w:p>
        </w:tc>
      </w:tr>
      <w:tr w:rsidR="00BC5F75" w:rsidRPr="003101A0" w14:paraId="779568AF" w14:textId="77777777" w:rsidTr="00BC5F75">
        <w:tc>
          <w:tcPr>
            <w:tcW w:w="1031" w:type="pct"/>
            <w:tcBorders>
              <w:left w:val="nil"/>
              <w:bottom w:val="nil"/>
              <w:right w:val="nil"/>
            </w:tcBorders>
          </w:tcPr>
          <w:p w14:paraId="29A0E24C"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Stock runup</w:t>
            </w:r>
          </w:p>
        </w:tc>
        <w:tc>
          <w:tcPr>
            <w:tcW w:w="662" w:type="pct"/>
            <w:tcBorders>
              <w:left w:val="nil"/>
              <w:bottom w:val="nil"/>
              <w:right w:val="nil"/>
            </w:tcBorders>
          </w:tcPr>
          <w:p w14:paraId="1C1656A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left w:val="nil"/>
              <w:bottom w:val="nil"/>
              <w:right w:val="nil"/>
            </w:tcBorders>
          </w:tcPr>
          <w:p w14:paraId="200609E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left w:val="nil"/>
              <w:bottom w:val="nil"/>
              <w:right w:val="nil"/>
            </w:tcBorders>
          </w:tcPr>
          <w:p w14:paraId="22B5905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left w:val="nil"/>
              <w:bottom w:val="nil"/>
              <w:right w:val="nil"/>
            </w:tcBorders>
          </w:tcPr>
          <w:p w14:paraId="2A70569E" w14:textId="65382641"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w:t>
            </w:r>
            <w:r>
              <w:rPr>
                <w:rFonts w:ascii="Times New Roman" w:hAnsi="Times New Roman"/>
                <w:sz w:val="20"/>
                <w:szCs w:val="20"/>
                <w:lang w:val="en-US"/>
              </w:rPr>
              <w:t>003</w:t>
            </w:r>
            <w:r w:rsidRPr="003101A0">
              <w:rPr>
                <w:rFonts w:ascii="Times New Roman" w:hAnsi="Times New Roman"/>
                <w:sz w:val="20"/>
                <w:szCs w:val="20"/>
                <w:lang w:val="en-US"/>
              </w:rPr>
              <w:t>***</w:t>
            </w:r>
          </w:p>
        </w:tc>
        <w:tc>
          <w:tcPr>
            <w:tcW w:w="625" w:type="pct"/>
            <w:tcBorders>
              <w:left w:val="nil"/>
              <w:bottom w:val="nil"/>
              <w:right w:val="nil"/>
            </w:tcBorders>
          </w:tcPr>
          <w:p w14:paraId="70DBADB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left w:val="nil"/>
              <w:bottom w:val="nil"/>
              <w:right w:val="nil"/>
            </w:tcBorders>
          </w:tcPr>
          <w:p w14:paraId="4D087E8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left w:val="nil"/>
              <w:bottom w:val="nil"/>
              <w:right w:val="nil"/>
            </w:tcBorders>
          </w:tcPr>
          <w:p w14:paraId="59E9C0C7"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1805FD4D" w14:textId="77777777" w:rsidTr="00BC5F75">
        <w:tc>
          <w:tcPr>
            <w:tcW w:w="1031" w:type="pct"/>
            <w:tcBorders>
              <w:top w:val="nil"/>
              <w:left w:val="nil"/>
              <w:bottom w:val="nil"/>
              <w:right w:val="nil"/>
            </w:tcBorders>
          </w:tcPr>
          <w:p w14:paraId="39DDEBF9"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nil"/>
              <w:left w:val="nil"/>
              <w:bottom w:val="nil"/>
              <w:right w:val="nil"/>
            </w:tcBorders>
          </w:tcPr>
          <w:p w14:paraId="11B2869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08E27EF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742C917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6CD602C8" w14:textId="5B1F454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(2.85)</w:t>
            </w:r>
          </w:p>
        </w:tc>
        <w:tc>
          <w:tcPr>
            <w:tcW w:w="625" w:type="pct"/>
            <w:tcBorders>
              <w:top w:val="nil"/>
              <w:left w:val="nil"/>
              <w:bottom w:val="nil"/>
              <w:right w:val="nil"/>
            </w:tcBorders>
          </w:tcPr>
          <w:p w14:paraId="2FD104D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4BBF77C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0B640AF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0E797B45" w14:textId="77777777" w:rsidTr="00BC5F75">
        <w:tc>
          <w:tcPr>
            <w:tcW w:w="1031" w:type="pct"/>
            <w:tcBorders>
              <w:top w:val="nil"/>
              <w:left w:val="nil"/>
              <w:bottom w:val="nil"/>
              <w:right w:val="nil"/>
            </w:tcBorders>
          </w:tcPr>
          <w:p w14:paraId="1F6451C7"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TB yield</w:t>
            </w:r>
          </w:p>
        </w:tc>
        <w:tc>
          <w:tcPr>
            <w:tcW w:w="662" w:type="pct"/>
            <w:tcBorders>
              <w:top w:val="nil"/>
              <w:left w:val="nil"/>
              <w:bottom w:val="nil"/>
              <w:right w:val="nil"/>
            </w:tcBorders>
          </w:tcPr>
          <w:p w14:paraId="66A20E7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7212D16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0.210*</w:t>
            </w:r>
          </w:p>
        </w:tc>
        <w:tc>
          <w:tcPr>
            <w:tcW w:w="146" w:type="pct"/>
            <w:tcBorders>
              <w:top w:val="nil"/>
              <w:left w:val="nil"/>
              <w:bottom w:val="nil"/>
              <w:right w:val="nil"/>
            </w:tcBorders>
          </w:tcPr>
          <w:p w14:paraId="56F7A61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75ABCC8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5.327***</w:t>
            </w:r>
          </w:p>
        </w:tc>
        <w:tc>
          <w:tcPr>
            <w:tcW w:w="625" w:type="pct"/>
            <w:tcBorders>
              <w:top w:val="nil"/>
              <w:left w:val="nil"/>
              <w:bottom w:val="nil"/>
              <w:right w:val="nil"/>
            </w:tcBorders>
          </w:tcPr>
          <w:p w14:paraId="046A131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0.291**</w:t>
            </w:r>
          </w:p>
        </w:tc>
        <w:tc>
          <w:tcPr>
            <w:tcW w:w="625" w:type="pct"/>
            <w:tcBorders>
              <w:top w:val="nil"/>
              <w:left w:val="nil"/>
              <w:bottom w:val="nil"/>
              <w:right w:val="nil"/>
            </w:tcBorders>
          </w:tcPr>
          <w:p w14:paraId="688B7EC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0.336***</w:t>
            </w:r>
          </w:p>
        </w:tc>
        <w:tc>
          <w:tcPr>
            <w:tcW w:w="625" w:type="pct"/>
            <w:tcBorders>
              <w:top w:val="nil"/>
              <w:left w:val="nil"/>
              <w:bottom w:val="nil"/>
              <w:right w:val="nil"/>
            </w:tcBorders>
          </w:tcPr>
          <w:p w14:paraId="4A8C969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0.314**</w:t>
            </w:r>
          </w:p>
        </w:tc>
      </w:tr>
      <w:tr w:rsidR="00BC5F75" w:rsidRPr="003101A0" w14:paraId="07355FC2" w14:textId="77777777" w:rsidTr="00BC5F75">
        <w:tc>
          <w:tcPr>
            <w:tcW w:w="1031" w:type="pct"/>
            <w:tcBorders>
              <w:top w:val="nil"/>
              <w:left w:val="nil"/>
              <w:right w:val="nil"/>
            </w:tcBorders>
          </w:tcPr>
          <w:p w14:paraId="657AAED3"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right w:val="nil"/>
            </w:tcBorders>
          </w:tcPr>
          <w:p w14:paraId="2E91CDA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right w:val="nil"/>
            </w:tcBorders>
          </w:tcPr>
          <w:p w14:paraId="2A8BB3A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(1.80)</w:t>
            </w:r>
          </w:p>
        </w:tc>
        <w:tc>
          <w:tcPr>
            <w:tcW w:w="146" w:type="pct"/>
            <w:tcBorders>
              <w:top w:val="nil"/>
              <w:left w:val="nil"/>
              <w:right w:val="nil"/>
            </w:tcBorders>
          </w:tcPr>
          <w:p w14:paraId="4C77A65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right w:val="nil"/>
            </w:tcBorders>
          </w:tcPr>
          <w:p w14:paraId="2534686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(3.33)</w:t>
            </w:r>
          </w:p>
        </w:tc>
        <w:tc>
          <w:tcPr>
            <w:tcW w:w="625" w:type="pct"/>
            <w:tcBorders>
              <w:top w:val="nil"/>
              <w:left w:val="nil"/>
              <w:right w:val="nil"/>
            </w:tcBorders>
          </w:tcPr>
          <w:p w14:paraId="66BDF98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(2.31)</w:t>
            </w:r>
          </w:p>
        </w:tc>
        <w:tc>
          <w:tcPr>
            <w:tcW w:w="625" w:type="pct"/>
            <w:tcBorders>
              <w:top w:val="nil"/>
              <w:left w:val="nil"/>
              <w:right w:val="nil"/>
            </w:tcBorders>
          </w:tcPr>
          <w:p w14:paraId="342FC0B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(2.70)</w:t>
            </w:r>
          </w:p>
        </w:tc>
        <w:tc>
          <w:tcPr>
            <w:tcW w:w="625" w:type="pct"/>
            <w:tcBorders>
              <w:top w:val="nil"/>
              <w:left w:val="nil"/>
              <w:right w:val="nil"/>
            </w:tcBorders>
          </w:tcPr>
          <w:p w14:paraId="2701B2C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(2.50)</w:t>
            </w:r>
          </w:p>
        </w:tc>
      </w:tr>
      <w:tr w:rsidR="00BC5F75" w:rsidRPr="003101A0" w14:paraId="3379149C" w14:textId="77777777" w:rsidTr="00BC5F75">
        <w:tc>
          <w:tcPr>
            <w:tcW w:w="1031" w:type="pct"/>
            <w:tcBorders>
              <w:top w:val="nil"/>
              <w:left w:val="nil"/>
              <w:bottom w:val="nil"/>
              <w:right w:val="nil"/>
            </w:tcBorders>
          </w:tcPr>
          <w:p w14:paraId="25A73D91"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Credit spread</w:t>
            </w:r>
          </w:p>
        </w:tc>
        <w:tc>
          <w:tcPr>
            <w:tcW w:w="662" w:type="pct"/>
            <w:tcBorders>
              <w:top w:val="nil"/>
              <w:left w:val="nil"/>
              <w:bottom w:val="nil"/>
              <w:right w:val="nil"/>
            </w:tcBorders>
          </w:tcPr>
          <w:p w14:paraId="1BF19DF9"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1F46191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0.001</w:t>
            </w:r>
          </w:p>
        </w:tc>
        <w:tc>
          <w:tcPr>
            <w:tcW w:w="146" w:type="pct"/>
            <w:tcBorders>
              <w:top w:val="nil"/>
              <w:left w:val="nil"/>
              <w:bottom w:val="nil"/>
              <w:right w:val="nil"/>
            </w:tcBorders>
          </w:tcPr>
          <w:p w14:paraId="5F3CA98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354129D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0.144*</w:t>
            </w:r>
          </w:p>
        </w:tc>
        <w:tc>
          <w:tcPr>
            <w:tcW w:w="625" w:type="pct"/>
            <w:tcBorders>
              <w:top w:val="nil"/>
              <w:left w:val="nil"/>
              <w:bottom w:val="nil"/>
              <w:right w:val="nil"/>
            </w:tcBorders>
          </w:tcPr>
          <w:p w14:paraId="30BE983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0.002</w:t>
            </w:r>
          </w:p>
        </w:tc>
        <w:tc>
          <w:tcPr>
            <w:tcW w:w="625" w:type="pct"/>
            <w:tcBorders>
              <w:top w:val="nil"/>
              <w:left w:val="nil"/>
              <w:bottom w:val="nil"/>
              <w:right w:val="nil"/>
            </w:tcBorders>
          </w:tcPr>
          <w:p w14:paraId="06E1509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625" w:type="pct"/>
            <w:tcBorders>
              <w:top w:val="nil"/>
              <w:left w:val="nil"/>
              <w:bottom w:val="nil"/>
              <w:right w:val="nil"/>
            </w:tcBorders>
          </w:tcPr>
          <w:p w14:paraId="0CDDC91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0.003</w:t>
            </w:r>
          </w:p>
        </w:tc>
      </w:tr>
      <w:tr w:rsidR="00BC5F75" w:rsidRPr="003101A0" w14:paraId="13ECC20A" w14:textId="77777777" w:rsidTr="00BC5F75">
        <w:tc>
          <w:tcPr>
            <w:tcW w:w="1031" w:type="pct"/>
            <w:tcBorders>
              <w:top w:val="nil"/>
              <w:left w:val="nil"/>
              <w:right w:val="nil"/>
            </w:tcBorders>
          </w:tcPr>
          <w:p w14:paraId="47186B8E"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right w:val="nil"/>
            </w:tcBorders>
          </w:tcPr>
          <w:p w14:paraId="0EE2F9F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right w:val="nil"/>
            </w:tcBorders>
          </w:tcPr>
          <w:p w14:paraId="349CF26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(0.16)</w:t>
            </w:r>
          </w:p>
        </w:tc>
        <w:tc>
          <w:tcPr>
            <w:tcW w:w="146" w:type="pct"/>
            <w:tcBorders>
              <w:top w:val="nil"/>
              <w:left w:val="nil"/>
              <w:right w:val="nil"/>
            </w:tcBorders>
          </w:tcPr>
          <w:p w14:paraId="040BC8D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right w:val="nil"/>
            </w:tcBorders>
          </w:tcPr>
          <w:p w14:paraId="5325744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(1.92)</w:t>
            </w:r>
          </w:p>
        </w:tc>
        <w:tc>
          <w:tcPr>
            <w:tcW w:w="625" w:type="pct"/>
            <w:tcBorders>
              <w:top w:val="nil"/>
              <w:left w:val="nil"/>
              <w:right w:val="nil"/>
            </w:tcBorders>
          </w:tcPr>
          <w:p w14:paraId="60348B5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(0.38)</w:t>
            </w:r>
          </w:p>
        </w:tc>
        <w:tc>
          <w:tcPr>
            <w:tcW w:w="625" w:type="pct"/>
            <w:tcBorders>
              <w:top w:val="nil"/>
              <w:left w:val="nil"/>
              <w:right w:val="nil"/>
            </w:tcBorders>
          </w:tcPr>
          <w:p w14:paraId="7E8EEBF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w:t>
            </w:r>
          </w:p>
        </w:tc>
        <w:tc>
          <w:tcPr>
            <w:tcW w:w="625" w:type="pct"/>
            <w:tcBorders>
              <w:top w:val="nil"/>
              <w:left w:val="nil"/>
              <w:right w:val="nil"/>
            </w:tcBorders>
          </w:tcPr>
          <w:p w14:paraId="4BFF159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(0.57)</w:t>
            </w:r>
          </w:p>
        </w:tc>
      </w:tr>
      <w:tr w:rsidR="00BC5F75" w:rsidRPr="003101A0" w14:paraId="7EB24DEF" w14:textId="77777777" w:rsidTr="00BC5F75">
        <w:tc>
          <w:tcPr>
            <w:tcW w:w="1031" w:type="pct"/>
            <w:tcBorders>
              <w:left w:val="nil"/>
              <w:bottom w:val="nil"/>
              <w:right w:val="nil"/>
            </w:tcBorders>
          </w:tcPr>
          <w:p w14:paraId="7CDCAE3B"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Market runup</w:t>
            </w:r>
          </w:p>
        </w:tc>
        <w:tc>
          <w:tcPr>
            <w:tcW w:w="662" w:type="pct"/>
            <w:tcBorders>
              <w:left w:val="nil"/>
              <w:bottom w:val="nil"/>
              <w:right w:val="nil"/>
            </w:tcBorders>
          </w:tcPr>
          <w:p w14:paraId="3914FAE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left w:val="nil"/>
              <w:bottom w:val="nil"/>
              <w:right w:val="nil"/>
            </w:tcBorders>
          </w:tcPr>
          <w:p w14:paraId="74EA584A" w14:textId="5ADDE376"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w:t>
            </w:r>
            <w:r>
              <w:rPr>
                <w:rFonts w:ascii="Times New Roman" w:hAnsi="Times New Roman"/>
                <w:sz w:val="20"/>
                <w:szCs w:val="20"/>
                <w:lang w:val="en-US"/>
              </w:rPr>
              <w:t>0.029</w:t>
            </w:r>
            <w:r w:rsidRPr="003101A0">
              <w:rPr>
                <w:rFonts w:ascii="Times New Roman" w:hAnsi="Times New Roman"/>
                <w:sz w:val="20"/>
                <w:szCs w:val="20"/>
                <w:lang w:val="en-US"/>
              </w:rPr>
              <w:t>**</w:t>
            </w:r>
          </w:p>
        </w:tc>
        <w:tc>
          <w:tcPr>
            <w:tcW w:w="146" w:type="pct"/>
            <w:tcBorders>
              <w:left w:val="nil"/>
              <w:bottom w:val="nil"/>
              <w:right w:val="nil"/>
            </w:tcBorders>
          </w:tcPr>
          <w:p w14:paraId="5D4A100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left w:val="nil"/>
              <w:bottom w:val="nil"/>
              <w:right w:val="nil"/>
            </w:tcBorders>
          </w:tcPr>
          <w:p w14:paraId="7D56EEFB" w14:textId="7585513C"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sz w:val="20"/>
                <w:szCs w:val="20"/>
                <w:lang w:val="en-US"/>
              </w:rPr>
              <w:t>0.</w:t>
            </w:r>
            <w:r w:rsidRPr="003101A0">
              <w:rPr>
                <w:rFonts w:ascii="Times New Roman" w:hAnsi="Times New Roman"/>
                <w:sz w:val="20"/>
                <w:szCs w:val="20"/>
                <w:lang w:val="en-US"/>
              </w:rPr>
              <w:t>678***</w:t>
            </w:r>
          </w:p>
        </w:tc>
        <w:tc>
          <w:tcPr>
            <w:tcW w:w="625" w:type="pct"/>
            <w:tcBorders>
              <w:left w:val="nil"/>
              <w:bottom w:val="nil"/>
              <w:right w:val="nil"/>
            </w:tcBorders>
          </w:tcPr>
          <w:p w14:paraId="1B2216E6" w14:textId="168A5A71"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w:t>
            </w:r>
            <w:r>
              <w:rPr>
                <w:rFonts w:ascii="Times New Roman" w:hAnsi="Times New Roman"/>
                <w:sz w:val="20"/>
                <w:szCs w:val="20"/>
                <w:lang w:val="en-US"/>
              </w:rPr>
              <w:t>0.0</w:t>
            </w:r>
            <w:r w:rsidRPr="003101A0">
              <w:rPr>
                <w:rFonts w:ascii="Times New Roman" w:hAnsi="Times New Roman"/>
                <w:sz w:val="20"/>
                <w:szCs w:val="20"/>
                <w:lang w:val="en-US"/>
              </w:rPr>
              <w:t>23*</w:t>
            </w:r>
          </w:p>
        </w:tc>
        <w:tc>
          <w:tcPr>
            <w:tcW w:w="625" w:type="pct"/>
            <w:tcBorders>
              <w:left w:val="nil"/>
              <w:bottom w:val="nil"/>
              <w:right w:val="nil"/>
            </w:tcBorders>
          </w:tcPr>
          <w:p w14:paraId="266AC9D1" w14:textId="54BC6D6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w:t>
            </w:r>
            <w:r>
              <w:rPr>
                <w:rFonts w:ascii="Times New Roman" w:hAnsi="Times New Roman"/>
                <w:sz w:val="20"/>
                <w:szCs w:val="20"/>
                <w:lang w:val="en-US"/>
              </w:rPr>
              <w:t>0.0</w:t>
            </w:r>
            <w:r w:rsidRPr="003101A0">
              <w:rPr>
                <w:rFonts w:ascii="Times New Roman" w:hAnsi="Times New Roman"/>
                <w:sz w:val="20"/>
                <w:szCs w:val="20"/>
                <w:lang w:val="en-US"/>
              </w:rPr>
              <w:t>2</w:t>
            </w:r>
            <w:r>
              <w:rPr>
                <w:rFonts w:ascii="Times New Roman" w:hAnsi="Times New Roman"/>
                <w:sz w:val="20"/>
                <w:szCs w:val="20"/>
                <w:lang w:val="en-US"/>
              </w:rPr>
              <w:t>5</w:t>
            </w:r>
            <w:r w:rsidRPr="003101A0">
              <w:rPr>
                <w:rFonts w:ascii="Times New Roman" w:hAnsi="Times New Roman"/>
                <w:sz w:val="20"/>
                <w:szCs w:val="20"/>
                <w:lang w:val="en-US"/>
              </w:rPr>
              <w:t>*</w:t>
            </w:r>
          </w:p>
        </w:tc>
        <w:tc>
          <w:tcPr>
            <w:tcW w:w="625" w:type="pct"/>
            <w:tcBorders>
              <w:left w:val="nil"/>
              <w:bottom w:val="nil"/>
              <w:right w:val="nil"/>
            </w:tcBorders>
          </w:tcPr>
          <w:p w14:paraId="69CD2932" w14:textId="66215D8E"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w:t>
            </w:r>
            <w:r>
              <w:rPr>
                <w:rFonts w:ascii="Times New Roman" w:hAnsi="Times New Roman"/>
                <w:sz w:val="20"/>
                <w:szCs w:val="20"/>
                <w:lang w:val="en-US"/>
              </w:rPr>
              <w:t>0.0</w:t>
            </w:r>
            <w:r w:rsidRPr="003101A0">
              <w:rPr>
                <w:rFonts w:ascii="Times New Roman" w:hAnsi="Times New Roman"/>
                <w:sz w:val="20"/>
                <w:szCs w:val="20"/>
                <w:lang w:val="en-US"/>
              </w:rPr>
              <w:t>11</w:t>
            </w:r>
          </w:p>
        </w:tc>
      </w:tr>
      <w:tr w:rsidR="00BC5F75" w:rsidRPr="003101A0" w14:paraId="2034509D" w14:textId="77777777" w:rsidTr="00BC5F75">
        <w:tc>
          <w:tcPr>
            <w:tcW w:w="1031" w:type="pct"/>
            <w:tcBorders>
              <w:top w:val="nil"/>
              <w:left w:val="nil"/>
              <w:bottom w:val="nil"/>
              <w:right w:val="nil"/>
            </w:tcBorders>
          </w:tcPr>
          <w:p w14:paraId="1964C3CF"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49B8AAF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4C830272" w14:textId="290EF06C"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(-1.97)</w:t>
            </w:r>
          </w:p>
        </w:tc>
        <w:tc>
          <w:tcPr>
            <w:tcW w:w="146" w:type="pct"/>
            <w:tcBorders>
              <w:top w:val="nil"/>
              <w:left w:val="nil"/>
              <w:bottom w:val="nil"/>
              <w:right w:val="nil"/>
            </w:tcBorders>
          </w:tcPr>
          <w:p w14:paraId="5901A4E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2F203BCA" w14:textId="3D2A1EED"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(3.62)</w:t>
            </w:r>
          </w:p>
        </w:tc>
        <w:tc>
          <w:tcPr>
            <w:tcW w:w="625" w:type="pct"/>
            <w:tcBorders>
              <w:top w:val="nil"/>
              <w:left w:val="nil"/>
              <w:bottom w:val="nil"/>
              <w:right w:val="nil"/>
            </w:tcBorders>
          </w:tcPr>
          <w:p w14:paraId="33AACD07" w14:textId="13F12CB6"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(-1.69)</w:t>
            </w:r>
          </w:p>
        </w:tc>
        <w:tc>
          <w:tcPr>
            <w:tcW w:w="625" w:type="pct"/>
            <w:tcBorders>
              <w:top w:val="nil"/>
              <w:left w:val="nil"/>
              <w:bottom w:val="nil"/>
              <w:right w:val="nil"/>
            </w:tcBorders>
          </w:tcPr>
          <w:p w14:paraId="2CB9261C" w14:textId="264D07F4"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(-1.78)</w:t>
            </w:r>
          </w:p>
        </w:tc>
        <w:tc>
          <w:tcPr>
            <w:tcW w:w="625" w:type="pct"/>
            <w:tcBorders>
              <w:top w:val="nil"/>
              <w:left w:val="nil"/>
              <w:bottom w:val="nil"/>
              <w:right w:val="nil"/>
            </w:tcBorders>
          </w:tcPr>
          <w:p w14:paraId="55F7D85D" w14:textId="7A936601"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(-0.77)</w:t>
            </w:r>
          </w:p>
        </w:tc>
      </w:tr>
      <w:tr w:rsidR="00BC5F75" w:rsidRPr="003101A0" w14:paraId="04393B71" w14:textId="77777777" w:rsidTr="00BC5F75">
        <w:tc>
          <w:tcPr>
            <w:tcW w:w="1031" w:type="pct"/>
            <w:tcBorders>
              <w:top w:val="nil"/>
              <w:left w:val="nil"/>
              <w:bottom w:val="nil"/>
              <w:right w:val="nil"/>
            </w:tcBorders>
          </w:tcPr>
          <w:p w14:paraId="6BAD669C" w14:textId="240BEACD"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Convertible market</w:t>
            </w:r>
          </w:p>
        </w:tc>
        <w:tc>
          <w:tcPr>
            <w:tcW w:w="662" w:type="pct"/>
            <w:tcBorders>
              <w:top w:val="nil"/>
              <w:left w:val="nil"/>
              <w:bottom w:val="nil"/>
              <w:right w:val="nil"/>
            </w:tcBorders>
          </w:tcPr>
          <w:p w14:paraId="7646506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02866DB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c>
          <w:tcPr>
            <w:tcW w:w="146" w:type="pct"/>
            <w:tcBorders>
              <w:top w:val="nil"/>
              <w:left w:val="nil"/>
              <w:bottom w:val="nil"/>
              <w:right w:val="nil"/>
            </w:tcBorders>
          </w:tcPr>
          <w:p w14:paraId="7A2AA15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507BC352" w14:textId="783B8519"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3.763***</w:t>
            </w:r>
          </w:p>
        </w:tc>
        <w:tc>
          <w:tcPr>
            <w:tcW w:w="625" w:type="pct"/>
            <w:tcBorders>
              <w:top w:val="nil"/>
              <w:left w:val="nil"/>
              <w:bottom w:val="nil"/>
              <w:right w:val="nil"/>
            </w:tcBorders>
          </w:tcPr>
          <w:p w14:paraId="3EA55A8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c>
          <w:tcPr>
            <w:tcW w:w="625" w:type="pct"/>
            <w:tcBorders>
              <w:top w:val="nil"/>
              <w:left w:val="nil"/>
              <w:bottom w:val="nil"/>
              <w:right w:val="nil"/>
            </w:tcBorders>
          </w:tcPr>
          <w:p w14:paraId="3E6A63D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c>
          <w:tcPr>
            <w:tcW w:w="625" w:type="pct"/>
            <w:tcBorders>
              <w:top w:val="nil"/>
              <w:left w:val="nil"/>
              <w:bottom w:val="nil"/>
              <w:right w:val="nil"/>
            </w:tcBorders>
          </w:tcPr>
          <w:p w14:paraId="12849AF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r>
      <w:tr w:rsidR="00BC5F75" w:rsidRPr="003101A0" w14:paraId="085589FD" w14:textId="77777777" w:rsidTr="00BC5F75">
        <w:tc>
          <w:tcPr>
            <w:tcW w:w="1031" w:type="pct"/>
            <w:tcBorders>
              <w:top w:val="nil"/>
              <w:left w:val="nil"/>
              <w:bottom w:val="nil"/>
              <w:right w:val="nil"/>
            </w:tcBorders>
          </w:tcPr>
          <w:p w14:paraId="22AA0564"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6F9D8EA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0A76F89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c>
          <w:tcPr>
            <w:tcW w:w="146" w:type="pct"/>
            <w:tcBorders>
              <w:top w:val="nil"/>
              <w:left w:val="nil"/>
              <w:bottom w:val="nil"/>
              <w:right w:val="nil"/>
            </w:tcBorders>
          </w:tcPr>
          <w:p w14:paraId="112B4A7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44D48502" w14:textId="1E6E0CFD"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(5.78)</w:t>
            </w:r>
          </w:p>
        </w:tc>
        <w:tc>
          <w:tcPr>
            <w:tcW w:w="625" w:type="pct"/>
            <w:tcBorders>
              <w:top w:val="nil"/>
              <w:left w:val="nil"/>
              <w:bottom w:val="nil"/>
              <w:right w:val="nil"/>
            </w:tcBorders>
          </w:tcPr>
          <w:p w14:paraId="4117861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c>
          <w:tcPr>
            <w:tcW w:w="625" w:type="pct"/>
            <w:tcBorders>
              <w:top w:val="nil"/>
              <w:left w:val="nil"/>
              <w:bottom w:val="nil"/>
              <w:right w:val="nil"/>
            </w:tcBorders>
          </w:tcPr>
          <w:p w14:paraId="0BFA259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c>
          <w:tcPr>
            <w:tcW w:w="625" w:type="pct"/>
            <w:tcBorders>
              <w:top w:val="nil"/>
              <w:left w:val="nil"/>
              <w:bottom w:val="nil"/>
              <w:right w:val="nil"/>
            </w:tcBorders>
          </w:tcPr>
          <w:p w14:paraId="1681B04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r>
      <w:tr w:rsidR="00BC5F75" w:rsidRPr="003101A0" w14:paraId="7E8380C3" w14:textId="77777777" w:rsidTr="00BC5F75">
        <w:tc>
          <w:tcPr>
            <w:tcW w:w="1031" w:type="pct"/>
            <w:tcBorders>
              <w:top w:val="nil"/>
              <w:left w:val="nil"/>
              <w:bottom w:val="nil"/>
              <w:right w:val="nil"/>
            </w:tcBorders>
          </w:tcPr>
          <w:p w14:paraId="72C9F3B2" w14:textId="6DFBEA8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iCs/>
                <w:sz w:val="20"/>
                <w:szCs w:val="20"/>
                <w:lang w:val="en-US"/>
              </w:rPr>
              <w:t>Arbitrage period</w:t>
            </w:r>
          </w:p>
        </w:tc>
        <w:tc>
          <w:tcPr>
            <w:tcW w:w="662" w:type="pct"/>
            <w:tcBorders>
              <w:top w:val="nil"/>
              <w:left w:val="nil"/>
              <w:bottom w:val="nil"/>
              <w:right w:val="nil"/>
            </w:tcBorders>
          </w:tcPr>
          <w:p w14:paraId="4896E63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600B34EE" w14:textId="74613C0B"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-0.029***</w:t>
            </w:r>
          </w:p>
        </w:tc>
        <w:tc>
          <w:tcPr>
            <w:tcW w:w="146" w:type="pct"/>
            <w:tcBorders>
              <w:top w:val="nil"/>
              <w:left w:val="nil"/>
              <w:bottom w:val="nil"/>
              <w:right w:val="nil"/>
            </w:tcBorders>
          </w:tcPr>
          <w:p w14:paraId="28FA83F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2DA4D3ED" w14:textId="51496DB4"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0.115</w:t>
            </w:r>
          </w:p>
        </w:tc>
        <w:tc>
          <w:tcPr>
            <w:tcW w:w="625" w:type="pct"/>
            <w:tcBorders>
              <w:top w:val="nil"/>
              <w:left w:val="nil"/>
              <w:bottom w:val="nil"/>
              <w:right w:val="nil"/>
            </w:tcBorders>
          </w:tcPr>
          <w:p w14:paraId="7E648FA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-0.018***</w:t>
            </w:r>
          </w:p>
        </w:tc>
        <w:tc>
          <w:tcPr>
            <w:tcW w:w="625" w:type="pct"/>
            <w:tcBorders>
              <w:top w:val="nil"/>
              <w:left w:val="nil"/>
              <w:bottom w:val="nil"/>
              <w:right w:val="nil"/>
            </w:tcBorders>
          </w:tcPr>
          <w:p w14:paraId="190407ED" w14:textId="3C5DEC59"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-0.024***</w:t>
            </w:r>
          </w:p>
        </w:tc>
        <w:tc>
          <w:tcPr>
            <w:tcW w:w="625" w:type="pct"/>
            <w:tcBorders>
              <w:top w:val="nil"/>
              <w:left w:val="nil"/>
              <w:bottom w:val="nil"/>
              <w:right w:val="nil"/>
            </w:tcBorders>
          </w:tcPr>
          <w:p w14:paraId="4AB0DFB8" w14:textId="7A40EC51"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-0.021***</w:t>
            </w:r>
          </w:p>
        </w:tc>
      </w:tr>
      <w:tr w:rsidR="00BC5F75" w:rsidRPr="003101A0" w14:paraId="0B47FB1C" w14:textId="77777777" w:rsidTr="00BC5F75">
        <w:tc>
          <w:tcPr>
            <w:tcW w:w="1031" w:type="pct"/>
            <w:tcBorders>
              <w:top w:val="nil"/>
              <w:left w:val="nil"/>
              <w:bottom w:val="nil"/>
              <w:right w:val="nil"/>
            </w:tcBorders>
          </w:tcPr>
          <w:p w14:paraId="15EFC0C3"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29C2BF8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2F394FFE" w14:textId="27B6E566"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(-5.49)</w:t>
            </w:r>
          </w:p>
        </w:tc>
        <w:tc>
          <w:tcPr>
            <w:tcW w:w="146" w:type="pct"/>
            <w:tcBorders>
              <w:top w:val="nil"/>
              <w:left w:val="nil"/>
              <w:bottom w:val="nil"/>
              <w:right w:val="nil"/>
            </w:tcBorders>
          </w:tcPr>
          <w:p w14:paraId="44BE897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5CAD1517" w14:textId="2E8B4B34"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(1.17)</w:t>
            </w:r>
          </w:p>
        </w:tc>
        <w:tc>
          <w:tcPr>
            <w:tcW w:w="625" w:type="pct"/>
            <w:tcBorders>
              <w:top w:val="nil"/>
              <w:left w:val="nil"/>
              <w:bottom w:val="nil"/>
              <w:right w:val="nil"/>
            </w:tcBorders>
          </w:tcPr>
          <w:p w14:paraId="24E4F31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(-3.48)</w:t>
            </w:r>
          </w:p>
        </w:tc>
        <w:tc>
          <w:tcPr>
            <w:tcW w:w="625" w:type="pct"/>
            <w:tcBorders>
              <w:top w:val="nil"/>
              <w:left w:val="nil"/>
              <w:bottom w:val="nil"/>
              <w:right w:val="nil"/>
            </w:tcBorders>
          </w:tcPr>
          <w:p w14:paraId="1371E00B" w14:textId="571C815B"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(-4.46)</w:t>
            </w:r>
          </w:p>
        </w:tc>
        <w:tc>
          <w:tcPr>
            <w:tcW w:w="625" w:type="pct"/>
            <w:tcBorders>
              <w:top w:val="nil"/>
              <w:left w:val="nil"/>
              <w:bottom w:val="nil"/>
              <w:right w:val="nil"/>
            </w:tcBorders>
          </w:tcPr>
          <w:p w14:paraId="12ACD3DA" w14:textId="7B9B6F8C"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(-4.06)</w:t>
            </w:r>
          </w:p>
        </w:tc>
      </w:tr>
      <w:tr w:rsidR="00BC5F75" w:rsidRPr="003101A0" w14:paraId="7EFBB19E" w14:textId="77777777" w:rsidTr="00BC5F75">
        <w:tc>
          <w:tcPr>
            <w:tcW w:w="1031" w:type="pct"/>
            <w:tcBorders>
              <w:top w:val="nil"/>
              <w:left w:val="nil"/>
              <w:bottom w:val="nil"/>
              <w:right w:val="nil"/>
            </w:tcBorders>
          </w:tcPr>
          <w:p w14:paraId="63791B64" w14:textId="59367ECA"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Pr>
                <w:rFonts w:ascii="Times New Roman" w:hAnsi="Times New Roman" w:cs="Times New Roman"/>
                <w:i/>
                <w:iCs/>
                <w:sz w:val="20"/>
                <w:szCs w:val="20"/>
                <w:lang w:val="en-US"/>
              </w:rPr>
              <w:t>GFC</w:t>
            </w:r>
            <w:r w:rsidRPr="003101A0">
              <w:rPr>
                <w:rFonts w:ascii="Times New Roman" w:hAnsi="Times New Roman" w:cs="Times New Roman"/>
                <w:i/>
                <w:iCs/>
                <w:sz w:val="20"/>
                <w:szCs w:val="20"/>
                <w:lang w:val="en-US"/>
              </w:rPr>
              <w:t xml:space="preserve"> period</w:t>
            </w:r>
          </w:p>
        </w:tc>
        <w:tc>
          <w:tcPr>
            <w:tcW w:w="662" w:type="pct"/>
            <w:tcBorders>
              <w:top w:val="nil"/>
              <w:left w:val="nil"/>
              <w:bottom w:val="nil"/>
              <w:right w:val="nil"/>
            </w:tcBorders>
          </w:tcPr>
          <w:p w14:paraId="381CAA57"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3EBF8B5F" w14:textId="22447AF0"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-0.036***</w:t>
            </w:r>
          </w:p>
        </w:tc>
        <w:tc>
          <w:tcPr>
            <w:tcW w:w="146" w:type="pct"/>
            <w:tcBorders>
              <w:top w:val="nil"/>
              <w:left w:val="nil"/>
              <w:bottom w:val="nil"/>
              <w:right w:val="nil"/>
            </w:tcBorders>
          </w:tcPr>
          <w:p w14:paraId="55528517"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59C8AB6E" w14:textId="382D1790"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0.161</w:t>
            </w:r>
          </w:p>
        </w:tc>
        <w:tc>
          <w:tcPr>
            <w:tcW w:w="625" w:type="pct"/>
            <w:tcBorders>
              <w:top w:val="nil"/>
              <w:left w:val="nil"/>
              <w:bottom w:val="nil"/>
              <w:right w:val="nil"/>
            </w:tcBorders>
          </w:tcPr>
          <w:p w14:paraId="65544F1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-0.030**</w:t>
            </w:r>
          </w:p>
        </w:tc>
        <w:tc>
          <w:tcPr>
            <w:tcW w:w="625" w:type="pct"/>
            <w:tcBorders>
              <w:top w:val="nil"/>
              <w:left w:val="nil"/>
              <w:bottom w:val="nil"/>
              <w:right w:val="nil"/>
            </w:tcBorders>
          </w:tcPr>
          <w:p w14:paraId="0AF67A5C" w14:textId="2144EF1A"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-0.033***</w:t>
            </w:r>
          </w:p>
        </w:tc>
        <w:tc>
          <w:tcPr>
            <w:tcW w:w="625" w:type="pct"/>
            <w:tcBorders>
              <w:top w:val="nil"/>
              <w:left w:val="nil"/>
              <w:bottom w:val="nil"/>
              <w:right w:val="nil"/>
            </w:tcBorders>
          </w:tcPr>
          <w:p w14:paraId="2CC0E41B" w14:textId="6C9573B6"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-0.016</w:t>
            </w:r>
          </w:p>
        </w:tc>
      </w:tr>
      <w:tr w:rsidR="00BC5F75" w:rsidRPr="003101A0" w14:paraId="691E0D90" w14:textId="77777777" w:rsidTr="00BC5F75">
        <w:tc>
          <w:tcPr>
            <w:tcW w:w="1031" w:type="pct"/>
            <w:tcBorders>
              <w:top w:val="nil"/>
              <w:left w:val="nil"/>
              <w:bottom w:val="nil"/>
              <w:right w:val="nil"/>
            </w:tcBorders>
          </w:tcPr>
          <w:p w14:paraId="18D9F8D8"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7D2C2AB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226EB94B" w14:textId="3C8500F5"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(-2.98)</w:t>
            </w:r>
          </w:p>
        </w:tc>
        <w:tc>
          <w:tcPr>
            <w:tcW w:w="146" w:type="pct"/>
            <w:tcBorders>
              <w:top w:val="nil"/>
              <w:left w:val="nil"/>
              <w:bottom w:val="nil"/>
              <w:right w:val="nil"/>
            </w:tcBorders>
          </w:tcPr>
          <w:p w14:paraId="0CC748C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54403F5A" w14:textId="558289F3"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(1.01)</w:t>
            </w:r>
          </w:p>
        </w:tc>
        <w:tc>
          <w:tcPr>
            <w:tcW w:w="625" w:type="pct"/>
            <w:tcBorders>
              <w:top w:val="nil"/>
              <w:left w:val="nil"/>
              <w:bottom w:val="nil"/>
              <w:right w:val="nil"/>
            </w:tcBorders>
          </w:tcPr>
          <w:p w14:paraId="48B8FFF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(-2.56)</w:t>
            </w:r>
          </w:p>
        </w:tc>
        <w:tc>
          <w:tcPr>
            <w:tcW w:w="625" w:type="pct"/>
            <w:tcBorders>
              <w:top w:val="nil"/>
              <w:left w:val="nil"/>
              <w:bottom w:val="nil"/>
              <w:right w:val="nil"/>
            </w:tcBorders>
          </w:tcPr>
          <w:p w14:paraId="76871F1B" w14:textId="0621B088"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(-2.79)</w:t>
            </w:r>
          </w:p>
        </w:tc>
        <w:tc>
          <w:tcPr>
            <w:tcW w:w="625" w:type="pct"/>
            <w:tcBorders>
              <w:top w:val="nil"/>
              <w:left w:val="nil"/>
              <w:bottom w:val="nil"/>
              <w:right w:val="nil"/>
            </w:tcBorders>
          </w:tcPr>
          <w:p w14:paraId="38C1426C" w14:textId="557DFD2A"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(-1.32)</w:t>
            </w:r>
          </w:p>
        </w:tc>
      </w:tr>
      <w:tr w:rsidR="00BC5F75" w:rsidRPr="003101A0" w14:paraId="1ADDEF83" w14:textId="77777777" w:rsidTr="00BC5F75">
        <w:tc>
          <w:tcPr>
            <w:tcW w:w="1031" w:type="pct"/>
            <w:tcBorders>
              <w:top w:val="nil"/>
              <w:left w:val="nil"/>
              <w:bottom w:val="nil"/>
              <w:right w:val="nil"/>
            </w:tcBorders>
          </w:tcPr>
          <w:p w14:paraId="40FB2F78" w14:textId="5D661118"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iCs/>
                <w:sz w:val="20"/>
                <w:szCs w:val="20"/>
                <w:lang w:val="en-US"/>
              </w:rPr>
              <w:t>Post-crisis period</w:t>
            </w:r>
          </w:p>
        </w:tc>
        <w:tc>
          <w:tcPr>
            <w:tcW w:w="662" w:type="pct"/>
            <w:tcBorders>
              <w:top w:val="nil"/>
              <w:left w:val="nil"/>
              <w:bottom w:val="nil"/>
              <w:right w:val="nil"/>
            </w:tcBorders>
          </w:tcPr>
          <w:p w14:paraId="7F58E67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108EFF5D" w14:textId="2FAAA195"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0.006</w:t>
            </w:r>
          </w:p>
        </w:tc>
        <w:tc>
          <w:tcPr>
            <w:tcW w:w="146" w:type="pct"/>
            <w:tcBorders>
              <w:top w:val="nil"/>
              <w:left w:val="nil"/>
              <w:bottom w:val="nil"/>
              <w:right w:val="nil"/>
            </w:tcBorders>
          </w:tcPr>
          <w:p w14:paraId="58E73DD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3A3D587F" w14:textId="40059F21"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0.308***</w:t>
            </w:r>
          </w:p>
        </w:tc>
        <w:tc>
          <w:tcPr>
            <w:tcW w:w="625" w:type="pct"/>
            <w:tcBorders>
              <w:top w:val="nil"/>
              <w:left w:val="nil"/>
              <w:bottom w:val="nil"/>
              <w:right w:val="nil"/>
            </w:tcBorders>
          </w:tcPr>
          <w:p w14:paraId="6A1CCD5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0.013*</w:t>
            </w:r>
          </w:p>
        </w:tc>
        <w:tc>
          <w:tcPr>
            <w:tcW w:w="625" w:type="pct"/>
            <w:tcBorders>
              <w:top w:val="nil"/>
              <w:left w:val="nil"/>
              <w:bottom w:val="nil"/>
              <w:right w:val="nil"/>
            </w:tcBorders>
          </w:tcPr>
          <w:p w14:paraId="5D6BDC33" w14:textId="211386DF"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0.009</w:t>
            </w:r>
          </w:p>
        </w:tc>
        <w:tc>
          <w:tcPr>
            <w:tcW w:w="625" w:type="pct"/>
            <w:tcBorders>
              <w:top w:val="nil"/>
              <w:left w:val="nil"/>
              <w:bottom w:val="nil"/>
              <w:right w:val="nil"/>
            </w:tcBorders>
          </w:tcPr>
          <w:p w14:paraId="0DEB6713" w14:textId="0529D269"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0.014*</w:t>
            </w:r>
          </w:p>
        </w:tc>
      </w:tr>
      <w:tr w:rsidR="00BC5F75" w:rsidRPr="003101A0" w14:paraId="2528B912" w14:textId="77777777" w:rsidTr="00BC5F75">
        <w:tc>
          <w:tcPr>
            <w:tcW w:w="1031" w:type="pct"/>
            <w:tcBorders>
              <w:top w:val="nil"/>
              <w:left w:val="nil"/>
              <w:bottom w:val="nil"/>
              <w:right w:val="nil"/>
            </w:tcBorders>
          </w:tcPr>
          <w:p w14:paraId="4F3A437D"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093BF68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5C6CF334" w14:textId="3079BEDE"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(0.86)</w:t>
            </w:r>
          </w:p>
        </w:tc>
        <w:tc>
          <w:tcPr>
            <w:tcW w:w="146" w:type="pct"/>
            <w:tcBorders>
              <w:top w:val="nil"/>
              <w:left w:val="nil"/>
              <w:bottom w:val="nil"/>
              <w:right w:val="nil"/>
            </w:tcBorders>
          </w:tcPr>
          <w:p w14:paraId="5ABAF62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5181C4A1" w14:textId="499C1161"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(3.21)</w:t>
            </w:r>
          </w:p>
        </w:tc>
        <w:tc>
          <w:tcPr>
            <w:tcW w:w="625" w:type="pct"/>
            <w:tcBorders>
              <w:top w:val="nil"/>
              <w:left w:val="nil"/>
              <w:bottom w:val="nil"/>
              <w:right w:val="nil"/>
            </w:tcBorders>
          </w:tcPr>
          <w:p w14:paraId="4B818BF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(1.85)</w:t>
            </w:r>
          </w:p>
        </w:tc>
        <w:tc>
          <w:tcPr>
            <w:tcW w:w="625" w:type="pct"/>
            <w:tcBorders>
              <w:top w:val="nil"/>
              <w:left w:val="nil"/>
              <w:bottom w:val="nil"/>
              <w:right w:val="nil"/>
            </w:tcBorders>
          </w:tcPr>
          <w:p w14:paraId="7D8E7A6F" w14:textId="3A7D01E6"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(1.23)</w:t>
            </w:r>
          </w:p>
        </w:tc>
        <w:tc>
          <w:tcPr>
            <w:tcW w:w="625" w:type="pct"/>
            <w:tcBorders>
              <w:top w:val="nil"/>
              <w:left w:val="nil"/>
              <w:bottom w:val="nil"/>
              <w:right w:val="nil"/>
            </w:tcBorders>
          </w:tcPr>
          <w:p w14:paraId="5DFBEFBB" w14:textId="68BEB656"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(1.92)</w:t>
            </w:r>
          </w:p>
        </w:tc>
      </w:tr>
      <w:tr w:rsidR="00BC5F75" w:rsidRPr="003101A0" w14:paraId="504EFE98" w14:textId="77777777" w:rsidTr="00BC5F75">
        <w:tc>
          <w:tcPr>
            <w:tcW w:w="1031" w:type="pct"/>
            <w:tcBorders>
              <w:top w:val="nil"/>
              <w:left w:val="nil"/>
              <w:bottom w:val="nil"/>
              <w:right w:val="nil"/>
            </w:tcBorders>
          </w:tcPr>
          <w:p w14:paraId="38D33CB4"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Proceeds</w:t>
            </w:r>
          </w:p>
        </w:tc>
        <w:tc>
          <w:tcPr>
            <w:tcW w:w="662" w:type="pct"/>
            <w:tcBorders>
              <w:top w:val="nil"/>
              <w:left w:val="nil"/>
              <w:bottom w:val="nil"/>
              <w:right w:val="nil"/>
            </w:tcBorders>
          </w:tcPr>
          <w:p w14:paraId="1ACC950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357E7DB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50A8E01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79A8D42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7E03E14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3081276D" w14:textId="207C39B6"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0.041***</w:t>
            </w:r>
          </w:p>
        </w:tc>
        <w:tc>
          <w:tcPr>
            <w:tcW w:w="625" w:type="pct"/>
            <w:tcBorders>
              <w:top w:val="nil"/>
              <w:left w:val="nil"/>
              <w:bottom w:val="nil"/>
              <w:right w:val="nil"/>
            </w:tcBorders>
          </w:tcPr>
          <w:p w14:paraId="65D24FD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51E2A0C5" w14:textId="77777777" w:rsidTr="00BC5F75">
        <w:tc>
          <w:tcPr>
            <w:tcW w:w="1031" w:type="pct"/>
            <w:tcBorders>
              <w:top w:val="nil"/>
              <w:left w:val="nil"/>
              <w:bottom w:val="nil"/>
              <w:right w:val="nil"/>
            </w:tcBorders>
          </w:tcPr>
          <w:p w14:paraId="0189EC3B"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sz w:val="20"/>
                <w:szCs w:val="20"/>
                <w:lang w:val="en-US"/>
              </w:rPr>
            </w:pPr>
          </w:p>
        </w:tc>
        <w:tc>
          <w:tcPr>
            <w:tcW w:w="662" w:type="pct"/>
            <w:tcBorders>
              <w:top w:val="nil"/>
              <w:left w:val="nil"/>
              <w:bottom w:val="nil"/>
              <w:right w:val="nil"/>
            </w:tcBorders>
          </w:tcPr>
          <w:p w14:paraId="2338533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42DC951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2351206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7A54439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47A5253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7ACEDF82" w14:textId="29A0E7D6"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(7.89)</w:t>
            </w:r>
          </w:p>
        </w:tc>
        <w:tc>
          <w:tcPr>
            <w:tcW w:w="625" w:type="pct"/>
            <w:tcBorders>
              <w:top w:val="nil"/>
              <w:left w:val="nil"/>
              <w:bottom w:val="nil"/>
              <w:right w:val="nil"/>
            </w:tcBorders>
          </w:tcPr>
          <w:p w14:paraId="6D61897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50ACAAEA" w14:textId="77777777" w:rsidTr="00BC5F75">
        <w:tc>
          <w:tcPr>
            <w:tcW w:w="1031" w:type="pct"/>
            <w:tcBorders>
              <w:top w:val="nil"/>
              <w:left w:val="nil"/>
              <w:bottom w:val="nil"/>
              <w:right w:val="nil"/>
            </w:tcBorders>
          </w:tcPr>
          <w:p w14:paraId="7E3E94FB"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Callable</w:t>
            </w:r>
          </w:p>
        </w:tc>
        <w:tc>
          <w:tcPr>
            <w:tcW w:w="662" w:type="pct"/>
            <w:tcBorders>
              <w:top w:val="nil"/>
              <w:left w:val="nil"/>
              <w:bottom w:val="nil"/>
              <w:right w:val="nil"/>
            </w:tcBorders>
          </w:tcPr>
          <w:p w14:paraId="41E6653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3EC57E3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3986F2C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091C48A9"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1AE2C48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5D13D49F" w14:textId="759C01CD"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0.038***</w:t>
            </w:r>
          </w:p>
        </w:tc>
        <w:tc>
          <w:tcPr>
            <w:tcW w:w="625" w:type="pct"/>
            <w:tcBorders>
              <w:top w:val="nil"/>
              <w:left w:val="nil"/>
              <w:bottom w:val="nil"/>
              <w:right w:val="nil"/>
            </w:tcBorders>
          </w:tcPr>
          <w:p w14:paraId="5CD0C89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12D50DF7" w14:textId="77777777" w:rsidTr="00BC5F75">
        <w:tc>
          <w:tcPr>
            <w:tcW w:w="1031" w:type="pct"/>
            <w:tcBorders>
              <w:top w:val="nil"/>
              <w:left w:val="nil"/>
              <w:bottom w:val="nil"/>
              <w:right w:val="nil"/>
            </w:tcBorders>
          </w:tcPr>
          <w:p w14:paraId="0B25AD3A"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3F7331D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414C89B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304BB4D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6365EFB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6A97A9C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7F15FA35" w14:textId="3A0E258B"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(10.62)</w:t>
            </w:r>
          </w:p>
        </w:tc>
        <w:tc>
          <w:tcPr>
            <w:tcW w:w="625" w:type="pct"/>
            <w:tcBorders>
              <w:top w:val="nil"/>
              <w:left w:val="nil"/>
              <w:bottom w:val="nil"/>
              <w:right w:val="nil"/>
            </w:tcBorders>
          </w:tcPr>
          <w:p w14:paraId="092CB2D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735421EF" w14:textId="77777777" w:rsidTr="00BC5F75">
        <w:tc>
          <w:tcPr>
            <w:tcW w:w="1031" w:type="pct"/>
            <w:tcBorders>
              <w:top w:val="nil"/>
              <w:left w:val="nil"/>
              <w:bottom w:val="nil"/>
              <w:right w:val="nil"/>
            </w:tcBorders>
          </w:tcPr>
          <w:p w14:paraId="128570E2"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Putable</w:t>
            </w:r>
            <w:proofErr w:type="spellEnd"/>
          </w:p>
        </w:tc>
        <w:tc>
          <w:tcPr>
            <w:tcW w:w="662" w:type="pct"/>
            <w:tcBorders>
              <w:top w:val="nil"/>
              <w:left w:val="nil"/>
              <w:bottom w:val="nil"/>
              <w:right w:val="nil"/>
            </w:tcBorders>
          </w:tcPr>
          <w:p w14:paraId="244851C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0575808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07CFA677"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4431CF4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38FAA9B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4149CED0" w14:textId="183CB06A"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-0.005</w:t>
            </w:r>
          </w:p>
        </w:tc>
        <w:tc>
          <w:tcPr>
            <w:tcW w:w="625" w:type="pct"/>
            <w:tcBorders>
              <w:top w:val="nil"/>
              <w:left w:val="nil"/>
              <w:bottom w:val="nil"/>
              <w:right w:val="nil"/>
            </w:tcBorders>
          </w:tcPr>
          <w:p w14:paraId="478FD11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4167C5AB" w14:textId="77777777" w:rsidTr="00BC5F75">
        <w:tc>
          <w:tcPr>
            <w:tcW w:w="1031" w:type="pct"/>
            <w:tcBorders>
              <w:top w:val="nil"/>
              <w:left w:val="nil"/>
              <w:bottom w:val="nil"/>
              <w:right w:val="nil"/>
            </w:tcBorders>
          </w:tcPr>
          <w:p w14:paraId="7DA6C6D4"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0226C0B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23BBA5D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70D4F00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3409611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1E69D8B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7BD5DECF" w14:textId="5CA4340A"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(-0.75)</w:t>
            </w:r>
          </w:p>
        </w:tc>
        <w:tc>
          <w:tcPr>
            <w:tcW w:w="625" w:type="pct"/>
            <w:tcBorders>
              <w:top w:val="nil"/>
              <w:left w:val="nil"/>
              <w:bottom w:val="nil"/>
              <w:right w:val="nil"/>
            </w:tcBorders>
          </w:tcPr>
          <w:p w14:paraId="56D195A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0E74BFAC" w14:textId="77777777" w:rsidTr="00BC5F75">
        <w:tc>
          <w:tcPr>
            <w:tcW w:w="1031" w:type="pct"/>
            <w:tcBorders>
              <w:top w:val="nil"/>
              <w:left w:val="nil"/>
              <w:bottom w:val="nil"/>
              <w:right w:val="nil"/>
            </w:tcBorders>
          </w:tcPr>
          <w:p w14:paraId="45171753"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Secured</w:t>
            </w:r>
          </w:p>
        </w:tc>
        <w:tc>
          <w:tcPr>
            <w:tcW w:w="662" w:type="pct"/>
            <w:tcBorders>
              <w:top w:val="nil"/>
              <w:left w:val="nil"/>
              <w:bottom w:val="nil"/>
              <w:right w:val="nil"/>
            </w:tcBorders>
          </w:tcPr>
          <w:p w14:paraId="21E69BB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26F005F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612253D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7CF80B6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77920047"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3228D3D5" w14:textId="55A807F0"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-0.044***</w:t>
            </w:r>
          </w:p>
        </w:tc>
        <w:tc>
          <w:tcPr>
            <w:tcW w:w="625" w:type="pct"/>
            <w:tcBorders>
              <w:top w:val="nil"/>
              <w:left w:val="nil"/>
              <w:bottom w:val="nil"/>
              <w:right w:val="nil"/>
            </w:tcBorders>
          </w:tcPr>
          <w:p w14:paraId="635351C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05061AA4" w14:textId="77777777" w:rsidTr="00BC5F75">
        <w:tc>
          <w:tcPr>
            <w:tcW w:w="1031" w:type="pct"/>
            <w:tcBorders>
              <w:top w:val="nil"/>
              <w:left w:val="nil"/>
              <w:bottom w:val="nil"/>
              <w:right w:val="nil"/>
            </w:tcBorders>
          </w:tcPr>
          <w:p w14:paraId="2FE9D971"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3947811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0731372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061E02E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4861233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022B1F6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18303503" w14:textId="40C31768"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(-5.50)</w:t>
            </w:r>
          </w:p>
        </w:tc>
        <w:tc>
          <w:tcPr>
            <w:tcW w:w="625" w:type="pct"/>
            <w:tcBorders>
              <w:top w:val="nil"/>
              <w:left w:val="nil"/>
              <w:bottom w:val="nil"/>
              <w:right w:val="nil"/>
            </w:tcBorders>
          </w:tcPr>
          <w:p w14:paraId="0C6E783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6925E7E0" w14:textId="77777777" w:rsidTr="00BC5F75">
        <w:tc>
          <w:tcPr>
            <w:tcW w:w="1031" w:type="pct"/>
            <w:tcBorders>
              <w:top w:val="nil"/>
              <w:left w:val="nil"/>
              <w:right w:val="nil"/>
            </w:tcBorders>
          </w:tcPr>
          <w:p w14:paraId="5638BE73"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Senior</w:t>
            </w:r>
          </w:p>
        </w:tc>
        <w:tc>
          <w:tcPr>
            <w:tcW w:w="662" w:type="pct"/>
            <w:tcBorders>
              <w:top w:val="nil"/>
              <w:left w:val="nil"/>
              <w:right w:val="nil"/>
            </w:tcBorders>
          </w:tcPr>
          <w:p w14:paraId="59EF167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right w:val="nil"/>
            </w:tcBorders>
          </w:tcPr>
          <w:p w14:paraId="443CF6F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right w:val="nil"/>
            </w:tcBorders>
          </w:tcPr>
          <w:p w14:paraId="71DC577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right w:val="nil"/>
            </w:tcBorders>
          </w:tcPr>
          <w:p w14:paraId="2D1497B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right w:val="nil"/>
            </w:tcBorders>
          </w:tcPr>
          <w:p w14:paraId="76F3222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right w:val="nil"/>
            </w:tcBorders>
          </w:tcPr>
          <w:p w14:paraId="17D7659B" w14:textId="36CA8B0E"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-0.020***</w:t>
            </w:r>
          </w:p>
        </w:tc>
        <w:tc>
          <w:tcPr>
            <w:tcW w:w="625" w:type="pct"/>
            <w:tcBorders>
              <w:top w:val="nil"/>
              <w:left w:val="nil"/>
              <w:right w:val="nil"/>
            </w:tcBorders>
          </w:tcPr>
          <w:p w14:paraId="3D61B9E9"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1BC5418D" w14:textId="77777777" w:rsidTr="00BC5F75">
        <w:tc>
          <w:tcPr>
            <w:tcW w:w="1031" w:type="pct"/>
            <w:tcBorders>
              <w:top w:val="nil"/>
              <w:left w:val="nil"/>
              <w:bottom w:val="nil"/>
              <w:right w:val="nil"/>
            </w:tcBorders>
          </w:tcPr>
          <w:p w14:paraId="6E3D5A1C"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42B6C6E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78FA5B8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3795ECF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0DB065B9"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0953AE4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4E75AE2B" w14:textId="6A2AA30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(-4.52)</w:t>
            </w:r>
          </w:p>
        </w:tc>
        <w:tc>
          <w:tcPr>
            <w:tcW w:w="625" w:type="pct"/>
            <w:tcBorders>
              <w:top w:val="nil"/>
              <w:left w:val="nil"/>
              <w:bottom w:val="nil"/>
              <w:right w:val="nil"/>
            </w:tcBorders>
          </w:tcPr>
          <w:p w14:paraId="13A77F2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6834A198" w14:textId="77777777" w:rsidTr="00BC5F75">
        <w:tc>
          <w:tcPr>
            <w:tcW w:w="1031" w:type="pct"/>
            <w:tcBorders>
              <w:top w:val="nil"/>
              <w:left w:val="nil"/>
              <w:right w:val="nil"/>
            </w:tcBorders>
          </w:tcPr>
          <w:p w14:paraId="54E6DBBE" w14:textId="28B657B9"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roofErr w:type="gramStart"/>
            <w:r w:rsidRPr="003101A0">
              <w:rPr>
                <w:rFonts w:ascii="Times New Roman" w:hAnsi="Times New Roman" w:cs="Times New Roman"/>
                <w:i/>
                <w:sz w:val="20"/>
                <w:szCs w:val="20"/>
                <w:lang w:val="en-US"/>
              </w:rPr>
              <w:t>Ln(</w:t>
            </w:r>
            <w:proofErr w:type="gramEnd"/>
            <w:r w:rsidRPr="003101A0">
              <w:rPr>
                <w:rFonts w:ascii="Times New Roman" w:hAnsi="Times New Roman" w:cs="Times New Roman"/>
                <w:i/>
                <w:sz w:val="20"/>
                <w:szCs w:val="20"/>
                <w:lang w:val="en-US"/>
              </w:rPr>
              <w:t>Maturity)</w:t>
            </w:r>
          </w:p>
        </w:tc>
        <w:tc>
          <w:tcPr>
            <w:tcW w:w="662" w:type="pct"/>
            <w:tcBorders>
              <w:top w:val="nil"/>
              <w:left w:val="nil"/>
              <w:right w:val="nil"/>
            </w:tcBorders>
          </w:tcPr>
          <w:p w14:paraId="3788F04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right w:val="nil"/>
            </w:tcBorders>
          </w:tcPr>
          <w:p w14:paraId="1B75942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right w:val="nil"/>
            </w:tcBorders>
          </w:tcPr>
          <w:p w14:paraId="08C0776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right w:val="nil"/>
            </w:tcBorders>
          </w:tcPr>
          <w:p w14:paraId="5AB173D9"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right w:val="nil"/>
            </w:tcBorders>
          </w:tcPr>
          <w:p w14:paraId="64B625F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right w:val="nil"/>
            </w:tcBorders>
          </w:tcPr>
          <w:p w14:paraId="1315C47D" w14:textId="2EA98FF3"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-0.009***</w:t>
            </w:r>
          </w:p>
        </w:tc>
        <w:tc>
          <w:tcPr>
            <w:tcW w:w="625" w:type="pct"/>
            <w:tcBorders>
              <w:top w:val="nil"/>
              <w:left w:val="nil"/>
              <w:right w:val="nil"/>
            </w:tcBorders>
          </w:tcPr>
          <w:p w14:paraId="451F98C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18FF8DCB" w14:textId="77777777" w:rsidTr="00BC5F75">
        <w:tc>
          <w:tcPr>
            <w:tcW w:w="1031" w:type="pct"/>
            <w:tcBorders>
              <w:top w:val="nil"/>
              <w:left w:val="nil"/>
              <w:bottom w:val="single" w:sz="4" w:space="0" w:color="auto"/>
              <w:right w:val="nil"/>
            </w:tcBorders>
          </w:tcPr>
          <w:p w14:paraId="462830DD"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single" w:sz="4" w:space="0" w:color="auto"/>
              <w:right w:val="nil"/>
            </w:tcBorders>
          </w:tcPr>
          <w:p w14:paraId="0EE776A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single" w:sz="4" w:space="0" w:color="auto"/>
              <w:right w:val="nil"/>
            </w:tcBorders>
          </w:tcPr>
          <w:p w14:paraId="60C00C3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single" w:sz="4" w:space="0" w:color="auto"/>
              <w:right w:val="nil"/>
            </w:tcBorders>
          </w:tcPr>
          <w:p w14:paraId="42A12CC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single" w:sz="4" w:space="0" w:color="auto"/>
              <w:right w:val="nil"/>
            </w:tcBorders>
          </w:tcPr>
          <w:p w14:paraId="3C400B9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single" w:sz="4" w:space="0" w:color="auto"/>
              <w:right w:val="nil"/>
            </w:tcBorders>
          </w:tcPr>
          <w:p w14:paraId="0008666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single" w:sz="4" w:space="0" w:color="auto"/>
              <w:right w:val="nil"/>
            </w:tcBorders>
          </w:tcPr>
          <w:p w14:paraId="035FD157" w14:textId="3A043578"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(-3.98)</w:t>
            </w:r>
          </w:p>
        </w:tc>
        <w:tc>
          <w:tcPr>
            <w:tcW w:w="625" w:type="pct"/>
            <w:tcBorders>
              <w:top w:val="nil"/>
              <w:left w:val="nil"/>
              <w:bottom w:val="single" w:sz="4" w:space="0" w:color="auto"/>
              <w:right w:val="nil"/>
            </w:tcBorders>
          </w:tcPr>
          <w:p w14:paraId="0DEEB0C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BC5F75" w14:paraId="0B1C37D9" w14:textId="77777777" w:rsidTr="00BC5F75">
        <w:trPr>
          <w:trHeight w:val="20"/>
        </w:trPr>
        <w:tc>
          <w:tcPr>
            <w:tcW w:w="1031" w:type="pct"/>
            <w:tcBorders>
              <w:top w:val="single" w:sz="4" w:space="0" w:color="auto"/>
              <w:left w:val="nil"/>
              <w:right w:val="nil"/>
            </w:tcBorders>
          </w:tcPr>
          <w:p w14:paraId="2F5F3527" w14:textId="77777777" w:rsidR="00BC5F75" w:rsidRPr="00BC5F75" w:rsidRDefault="00BC5F75" w:rsidP="00554582">
            <w:pPr>
              <w:widowControl w:val="0"/>
              <w:autoSpaceDE w:val="0"/>
              <w:autoSpaceDN w:val="0"/>
              <w:adjustRightInd w:val="0"/>
              <w:spacing w:after="0" w:line="240" w:lineRule="auto"/>
              <w:rPr>
                <w:rFonts w:ascii="Times New Roman" w:hAnsi="Times New Roman" w:cs="Times New Roman"/>
                <w:i/>
                <w:sz w:val="8"/>
                <w:szCs w:val="8"/>
                <w:lang w:val="en-US"/>
              </w:rPr>
            </w:pPr>
          </w:p>
        </w:tc>
        <w:tc>
          <w:tcPr>
            <w:tcW w:w="662" w:type="pct"/>
            <w:tcBorders>
              <w:top w:val="single" w:sz="4" w:space="0" w:color="auto"/>
              <w:left w:val="nil"/>
              <w:right w:val="nil"/>
            </w:tcBorders>
          </w:tcPr>
          <w:p w14:paraId="7286D628" w14:textId="77777777" w:rsidR="00BC5F75" w:rsidRPr="00BC5F75" w:rsidRDefault="00BC5F75" w:rsidP="00554582">
            <w:pPr>
              <w:widowControl w:val="0"/>
              <w:autoSpaceDE w:val="0"/>
              <w:autoSpaceDN w:val="0"/>
              <w:adjustRightInd w:val="0"/>
              <w:spacing w:after="0" w:line="240" w:lineRule="auto"/>
              <w:jc w:val="center"/>
              <w:rPr>
                <w:rFonts w:ascii="Times New Roman" w:hAnsi="Times New Roman" w:cs="Times New Roman"/>
                <w:sz w:val="8"/>
                <w:szCs w:val="8"/>
                <w:lang w:val="en-US"/>
              </w:rPr>
            </w:pPr>
          </w:p>
        </w:tc>
        <w:tc>
          <w:tcPr>
            <w:tcW w:w="662" w:type="pct"/>
            <w:tcBorders>
              <w:top w:val="single" w:sz="4" w:space="0" w:color="auto"/>
              <w:left w:val="nil"/>
              <w:right w:val="nil"/>
            </w:tcBorders>
          </w:tcPr>
          <w:p w14:paraId="39D2B731" w14:textId="77777777" w:rsidR="00BC5F75" w:rsidRPr="00BC5F75" w:rsidRDefault="00BC5F75" w:rsidP="00554582">
            <w:pPr>
              <w:widowControl w:val="0"/>
              <w:autoSpaceDE w:val="0"/>
              <w:autoSpaceDN w:val="0"/>
              <w:adjustRightInd w:val="0"/>
              <w:spacing w:after="0" w:line="240" w:lineRule="auto"/>
              <w:jc w:val="center"/>
              <w:rPr>
                <w:rFonts w:ascii="Times New Roman" w:hAnsi="Times New Roman" w:cs="Times New Roman"/>
                <w:sz w:val="8"/>
                <w:szCs w:val="8"/>
                <w:lang w:val="en-US"/>
              </w:rPr>
            </w:pPr>
          </w:p>
        </w:tc>
        <w:tc>
          <w:tcPr>
            <w:tcW w:w="146" w:type="pct"/>
            <w:tcBorders>
              <w:top w:val="single" w:sz="4" w:space="0" w:color="auto"/>
              <w:left w:val="nil"/>
              <w:right w:val="nil"/>
            </w:tcBorders>
          </w:tcPr>
          <w:p w14:paraId="63CA939D" w14:textId="77777777" w:rsidR="00BC5F75" w:rsidRPr="00BC5F75" w:rsidRDefault="00BC5F75" w:rsidP="00554582">
            <w:pPr>
              <w:widowControl w:val="0"/>
              <w:autoSpaceDE w:val="0"/>
              <w:autoSpaceDN w:val="0"/>
              <w:adjustRightInd w:val="0"/>
              <w:spacing w:after="0" w:line="240" w:lineRule="auto"/>
              <w:jc w:val="center"/>
              <w:rPr>
                <w:rFonts w:ascii="Times New Roman" w:hAnsi="Times New Roman" w:cs="Times New Roman"/>
                <w:sz w:val="8"/>
                <w:szCs w:val="8"/>
                <w:lang w:val="en-US"/>
              </w:rPr>
            </w:pPr>
          </w:p>
        </w:tc>
        <w:tc>
          <w:tcPr>
            <w:tcW w:w="624" w:type="pct"/>
            <w:tcBorders>
              <w:top w:val="single" w:sz="4" w:space="0" w:color="auto"/>
              <w:left w:val="nil"/>
              <w:right w:val="nil"/>
            </w:tcBorders>
          </w:tcPr>
          <w:p w14:paraId="6D8DCC71" w14:textId="77777777" w:rsidR="00BC5F75" w:rsidRPr="00BC5F75" w:rsidRDefault="00BC5F75" w:rsidP="00554582">
            <w:pPr>
              <w:widowControl w:val="0"/>
              <w:autoSpaceDE w:val="0"/>
              <w:autoSpaceDN w:val="0"/>
              <w:adjustRightInd w:val="0"/>
              <w:spacing w:after="0" w:line="240" w:lineRule="auto"/>
              <w:jc w:val="center"/>
              <w:rPr>
                <w:rFonts w:ascii="Times New Roman" w:hAnsi="Times New Roman" w:cs="Times New Roman"/>
                <w:sz w:val="8"/>
                <w:szCs w:val="8"/>
                <w:lang w:val="en-US"/>
              </w:rPr>
            </w:pPr>
          </w:p>
        </w:tc>
        <w:tc>
          <w:tcPr>
            <w:tcW w:w="625" w:type="pct"/>
            <w:tcBorders>
              <w:top w:val="single" w:sz="4" w:space="0" w:color="auto"/>
              <w:left w:val="nil"/>
              <w:right w:val="nil"/>
            </w:tcBorders>
          </w:tcPr>
          <w:p w14:paraId="73E90628" w14:textId="77777777" w:rsidR="00BC5F75" w:rsidRPr="00BC5F75" w:rsidRDefault="00BC5F75" w:rsidP="00554582">
            <w:pPr>
              <w:widowControl w:val="0"/>
              <w:autoSpaceDE w:val="0"/>
              <w:autoSpaceDN w:val="0"/>
              <w:adjustRightInd w:val="0"/>
              <w:spacing w:after="0" w:line="240" w:lineRule="auto"/>
              <w:jc w:val="center"/>
              <w:rPr>
                <w:rFonts w:ascii="Times New Roman" w:hAnsi="Times New Roman" w:cs="Times New Roman"/>
                <w:sz w:val="8"/>
                <w:szCs w:val="8"/>
                <w:lang w:val="en-US"/>
              </w:rPr>
            </w:pPr>
          </w:p>
        </w:tc>
        <w:tc>
          <w:tcPr>
            <w:tcW w:w="625" w:type="pct"/>
            <w:tcBorders>
              <w:top w:val="single" w:sz="4" w:space="0" w:color="auto"/>
              <w:left w:val="nil"/>
              <w:right w:val="nil"/>
            </w:tcBorders>
          </w:tcPr>
          <w:p w14:paraId="4D9E1727" w14:textId="77777777" w:rsidR="00BC5F75" w:rsidRPr="00BC5F75" w:rsidRDefault="00BC5F75" w:rsidP="00554582">
            <w:pPr>
              <w:widowControl w:val="0"/>
              <w:autoSpaceDE w:val="0"/>
              <w:autoSpaceDN w:val="0"/>
              <w:adjustRightInd w:val="0"/>
              <w:spacing w:after="0" w:line="240" w:lineRule="auto"/>
              <w:jc w:val="center"/>
              <w:rPr>
                <w:rFonts w:ascii="Times New Roman" w:hAnsi="Times New Roman"/>
                <w:sz w:val="8"/>
                <w:szCs w:val="8"/>
                <w:lang w:val="en-US"/>
              </w:rPr>
            </w:pPr>
          </w:p>
        </w:tc>
        <w:tc>
          <w:tcPr>
            <w:tcW w:w="625" w:type="pct"/>
            <w:tcBorders>
              <w:top w:val="single" w:sz="4" w:space="0" w:color="auto"/>
              <w:left w:val="nil"/>
              <w:right w:val="nil"/>
            </w:tcBorders>
          </w:tcPr>
          <w:p w14:paraId="44EB1F4A" w14:textId="77777777" w:rsidR="00BC5F75" w:rsidRPr="00BC5F75" w:rsidRDefault="00BC5F75" w:rsidP="00554582">
            <w:pPr>
              <w:widowControl w:val="0"/>
              <w:autoSpaceDE w:val="0"/>
              <w:autoSpaceDN w:val="0"/>
              <w:adjustRightInd w:val="0"/>
              <w:spacing w:after="0" w:line="240" w:lineRule="auto"/>
              <w:jc w:val="center"/>
              <w:rPr>
                <w:rFonts w:ascii="Times New Roman" w:hAnsi="Times New Roman" w:cs="Times New Roman"/>
                <w:sz w:val="8"/>
                <w:szCs w:val="8"/>
                <w:lang w:val="en-US"/>
              </w:rPr>
            </w:pPr>
          </w:p>
        </w:tc>
      </w:tr>
      <w:tr w:rsidR="00BC5F75" w:rsidRPr="003101A0" w14:paraId="78A29AFF" w14:textId="77777777" w:rsidTr="00BC5F75">
        <w:tc>
          <w:tcPr>
            <w:tcW w:w="5000" w:type="pct"/>
            <w:gridSpan w:val="8"/>
            <w:tcBorders>
              <w:left w:val="nil"/>
              <w:bottom w:val="single" w:sz="4" w:space="0" w:color="auto"/>
              <w:right w:val="nil"/>
            </w:tcBorders>
          </w:tcPr>
          <w:p w14:paraId="4082E547" w14:textId="7780DE73" w:rsidR="00BC5F75" w:rsidRPr="003101A0" w:rsidRDefault="00BC5F75" w:rsidP="00BC5F75">
            <w:pPr>
              <w:widowControl w:val="0"/>
              <w:autoSpaceDE w:val="0"/>
              <w:autoSpaceDN w:val="0"/>
              <w:adjustRightInd w:val="0"/>
              <w:spacing w:after="0" w:line="240" w:lineRule="auto"/>
              <w:rPr>
                <w:rFonts w:ascii="Times New Roman" w:hAnsi="Times New Roman"/>
                <w:sz w:val="20"/>
                <w:szCs w:val="20"/>
                <w:lang w:val="en-US"/>
              </w:rPr>
            </w:pPr>
            <w:r w:rsidRPr="003101A0">
              <w:rPr>
                <w:rFonts w:ascii="Times New Roman" w:hAnsi="Times New Roman" w:cs="Times New Roman"/>
                <w:b/>
                <w:sz w:val="20"/>
                <w:szCs w:val="20"/>
                <w:lang w:val="en-US"/>
              </w:rPr>
              <w:lastRenderedPageBreak/>
              <w:t>Table 4: continued</w:t>
            </w:r>
          </w:p>
        </w:tc>
      </w:tr>
      <w:tr w:rsidR="00BC5F75" w:rsidRPr="003101A0" w14:paraId="0D643C77" w14:textId="77777777" w:rsidTr="00BC5F75">
        <w:tc>
          <w:tcPr>
            <w:tcW w:w="1031" w:type="pct"/>
            <w:tcBorders>
              <w:top w:val="single" w:sz="4" w:space="0" w:color="auto"/>
              <w:left w:val="nil"/>
              <w:bottom w:val="nil"/>
              <w:right w:val="nil"/>
            </w:tcBorders>
          </w:tcPr>
          <w:p w14:paraId="11213069" w14:textId="77777777" w:rsidR="00BC5F75" w:rsidRDefault="00BC5F75"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1324" w:type="pct"/>
            <w:gridSpan w:val="2"/>
            <w:tcBorders>
              <w:top w:val="single" w:sz="4" w:space="0" w:color="auto"/>
              <w:left w:val="nil"/>
              <w:bottom w:val="single" w:sz="4" w:space="0" w:color="auto"/>
              <w:right w:val="nil"/>
            </w:tcBorders>
          </w:tcPr>
          <w:p w14:paraId="71351FA3" w14:textId="72F29C4B" w:rsidR="00BC5F75" w:rsidRPr="003101A0" w:rsidRDefault="00BC5F75"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i/>
                <w:sz w:val="20"/>
                <w:szCs w:val="20"/>
                <w:lang w:val="en-US"/>
              </w:rPr>
              <w:t>OLS</w:t>
            </w:r>
          </w:p>
        </w:tc>
        <w:tc>
          <w:tcPr>
            <w:tcW w:w="146" w:type="pct"/>
            <w:tcBorders>
              <w:top w:val="single" w:sz="4" w:space="0" w:color="auto"/>
              <w:left w:val="nil"/>
              <w:bottom w:val="nil"/>
              <w:right w:val="nil"/>
            </w:tcBorders>
          </w:tcPr>
          <w:p w14:paraId="1E0BA448" w14:textId="77777777" w:rsidR="00BC5F75" w:rsidRPr="003101A0" w:rsidRDefault="00BC5F75"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2499" w:type="pct"/>
            <w:gridSpan w:val="4"/>
            <w:tcBorders>
              <w:top w:val="single" w:sz="4" w:space="0" w:color="auto"/>
              <w:left w:val="nil"/>
              <w:bottom w:val="single" w:sz="4" w:space="0" w:color="auto"/>
              <w:right w:val="nil"/>
            </w:tcBorders>
          </w:tcPr>
          <w:p w14:paraId="783E698D" w14:textId="0C4EEDAF" w:rsidR="00BC5F75" w:rsidRPr="003101A0" w:rsidRDefault="00BC5F75"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cs="Times New Roman"/>
                <w:i/>
                <w:sz w:val="20"/>
                <w:szCs w:val="20"/>
                <w:lang w:val="en-US"/>
              </w:rPr>
              <w:t>Treatment effects</w:t>
            </w:r>
          </w:p>
        </w:tc>
      </w:tr>
      <w:tr w:rsidR="00BC5F75" w:rsidRPr="003101A0" w14:paraId="6EDD0043" w14:textId="77777777" w:rsidTr="00BC5F75">
        <w:tc>
          <w:tcPr>
            <w:tcW w:w="1031" w:type="pct"/>
            <w:tcBorders>
              <w:left w:val="nil"/>
              <w:bottom w:val="nil"/>
              <w:right w:val="nil"/>
            </w:tcBorders>
          </w:tcPr>
          <w:p w14:paraId="5970469E" w14:textId="77777777" w:rsidR="00BC5F75" w:rsidRDefault="00BC5F75" w:rsidP="00BC5F75">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single" w:sz="4" w:space="0" w:color="auto"/>
              <w:left w:val="nil"/>
              <w:bottom w:val="single" w:sz="4" w:space="0" w:color="auto"/>
              <w:right w:val="nil"/>
            </w:tcBorders>
          </w:tcPr>
          <w:p w14:paraId="43520DBD" w14:textId="035BD590" w:rsidR="00BC5F75" w:rsidRPr="003101A0"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i/>
                <w:sz w:val="20"/>
                <w:szCs w:val="20"/>
                <w:lang w:val="en-US"/>
              </w:rPr>
              <w:t>CI index</w:t>
            </w:r>
          </w:p>
        </w:tc>
        <w:tc>
          <w:tcPr>
            <w:tcW w:w="662" w:type="pct"/>
            <w:tcBorders>
              <w:top w:val="single" w:sz="4" w:space="0" w:color="auto"/>
              <w:left w:val="nil"/>
              <w:bottom w:val="single" w:sz="4" w:space="0" w:color="auto"/>
              <w:right w:val="nil"/>
            </w:tcBorders>
          </w:tcPr>
          <w:p w14:paraId="3DE5EC8B" w14:textId="751C9587" w:rsidR="00BC5F75" w:rsidRPr="003101A0"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i/>
                <w:sz w:val="20"/>
                <w:szCs w:val="20"/>
                <w:lang w:val="en-US"/>
              </w:rPr>
              <w:t>CI index</w:t>
            </w:r>
          </w:p>
        </w:tc>
        <w:tc>
          <w:tcPr>
            <w:tcW w:w="146" w:type="pct"/>
            <w:tcBorders>
              <w:left w:val="nil"/>
              <w:bottom w:val="nil"/>
              <w:right w:val="nil"/>
            </w:tcBorders>
          </w:tcPr>
          <w:p w14:paraId="38B06504" w14:textId="77777777" w:rsidR="00BC5F75" w:rsidRPr="003101A0"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single" w:sz="4" w:space="0" w:color="auto"/>
              <w:left w:val="nil"/>
              <w:bottom w:val="single" w:sz="4" w:space="0" w:color="auto"/>
              <w:right w:val="nil"/>
            </w:tcBorders>
          </w:tcPr>
          <w:p w14:paraId="62202018" w14:textId="0C211065" w:rsidR="00BC5F75" w:rsidRPr="003101A0"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i/>
                <w:sz w:val="20"/>
                <w:szCs w:val="20"/>
                <w:lang w:val="en-US"/>
              </w:rPr>
              <w:t>Convertible</w:t>
            </w:r>
          </w:p>
        </w:tc>
        <w:tc>
          <w:tcPr>
            <w:tcW w:w="625" w:type="pct"/>
            <w:tcBorders>
              <w:top w:val="single" w:sz="4" w:space="0" w:color="auto"/>
              <w:left w:val="nil"/>
              <w:bottom w:val="single" w:sz="4" w:space="0" w:color="auto"/>
              <w:right w:val="nil"/>
            </w:tcBorders>
          </w:tcPr>
          <w:p w14:paraId="057C2A2A" w14:textId="6B7EA9D6" w:rsidR="00BC5F75" w:rsidRPr="003101A0"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i/>
                <w:sz w:val="20"/>
                <w:szCs w:val="20"/>
                <w:lang w:val="en-US"/>
              </w:rPr>
              <w:t>CI index</w:t>
            </w:r>
          </w:p>
        </w:tc>
        <w:tc>
          <w:tcPr>
            <w:tcW w:w="625" w:type="pct"/>
            <w:tcBorders>
              <w:top w:val="single" w:sz="4" w:space="0" w:color="auto"/>
              <w:left w:val="nil"/>
              <w:bottom w:val="single" w:sz="4" w:space="0" w:color="auto"/>
              <w:right w:val="nil"/>
            </w:tcBorders>
          </w:tcPr>
          <w:p w14:paraId="076A40E3" w14:textId="75466AF4" w:rsidR="00BC5F75" w:rsidRPr="003101A0" w:rsidRDefault="00BC5F75" w:rsidP="00BC5F75">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cs="Times New Roman"/>
                <w:i/>
                <w:sz w:val="20"/>
                <w:szCs w:val="20"/>
                <w:lang w:val="en-US"/>
              </w:rPr>
              <w:t>CI index</w:t>
            </w:r>
          </w:p>
        </w:tc>
        <w:tc>
          <w:tcPr>
            <w:tcW w:w="625" w:type="pct"/>
            <w:tcBorders>
              <w:top w:val="single" w:sz="4" w:space="0" w:color="auto"/>
              <w:left w:val="nil"/>
              <w:bottom w:val="single" w:sz="4" w:space="0" w:color="auto"/>
              <w:right w:val="nil"/>
            </w:tcBorders>
          </w:tcPr>
          <w:p w14:paraId="1247FDB7" w14:textId="2982085B" w:rsidR="00BC5F75" w:rsidRPr="003101A0" w:rsidRDefault="00BC5F75" w:rsidP="00BC5F75">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cs="Times New Roman"/>
                <w:i/>
                <w:sz w:val="20"/>
                <w:szCs w:val="20"/>
                <w:lang w:val="en-US"/>
              </w:rPr>
              <w:t>CI index</w:t>
            </w:r>
          </w:p>
        </w:tc>
      </w:tr>
      <w:tr w:rsidR="00BC5F75" w:rsidRPr="003101A0" w14:paraId="0B2ADF15" w14:textId="77777777" w:rsidTr="00BC5F75">
        <w:tc>
          <w:tcPr>
            <w:tcW w:w="1031" w:type="pct"/>
            <w:tcBorders>
              <w:left w:val="nil"/>
              <w:bottom w:val="single" w:sz="4" w:space="0" w:color="auto"/>
              <w:right w:val="nil"/>
            </w:tcBorders>
          </w:tcPr>
          <w:p w14:paraId="2F5FFFAE" w14:textId="77777777" w:rsidR="00BC5F75" w:rsidRDefault="00BC5F75" w:rsidP="00BC5F75">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single" w:sz="4" w:space="0" w:color="auto"/>
              <w:left w:val="nil"/>
              <w:bottom w:val="single" w:sz="4" w:space="0" w:color="auto"/>
              <w:right w:val="nil"/>
            </w:tcBorders>
          </w:tcPr>
          <w:p w14:paraId="10E07B13" w14:textId="5EDAA534" w:rsidR="00BC5F75" w:rsidRPr="003101A0"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w:t>
            </w:r>
          </w:p>
        </w:tc>
        <w:tc>
          <w:tcPr>
            <w:tcW w:w="662" w:type="pct"/>
            <w:tcBorders>
              <w:top w:val="single" w:sz="4" w:space="0" w:color="auto"/>
              <w:left w:val="nil"/>
              <w:bottom w:val="single" w:sz="4" w:space="0" w:color="auto"/>
              <w:right w:val="nil"/>
            </w:tcBorders>
          </w:tcPr>
          <w:p w14:paraId="0EDE389C" w14:textId="05009B5A" w:rsidR="00BC5F75" w:rsidRPr="003101A0"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(2)</w:t>
            </w:r>
          </w:p>
        </w:tc>
        <w:tc>
          <w:tcPr>
            <w:tcW w:w="146" w:type="pct"/>
            <w:tcBorders>
              <w:top w:val="single" w:sz="4" w:space="0" w:color="auto"/>
              <w:left w:val="nil"/>
              <w:bottom w:val="single" w:sz="4" w:space="0" w:color="auto"/>
              <w:right w:val="nil"/>
            </w:tcBorders>
          </w:tcPr>
          <w:p w14:paraId="7E2E6EB1" w14:textId="77777777" w:rsidR="00BC5F75" w:rsidRPr="003101A0"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single" w:sz="4" w:space="0" w:color="auto"/>
              <w:left w:val="nil"/>
              <w:bottom w:val="single" w:sz="4" w:space="0" w:color="auto"/>
              <w:right w:val="nil"/>
            </w:tcBorders>
          </w:tcPr>
          <w:p w14:paraId="1C140928" w14:textId="77777777" w:rsidR="00BC5F75" w:rsidRPr="003101A0"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(3)</w:t>
            </w:r>
          </w:p>
          <w:p w14:paraId="56597B14" w14:textId="47B00312" w:rsidR="00BC5F75" w:rsidRPr="003101A0"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w:t>
            </w:r>
            <w:r w:rsidRPr="003101A0">
              <w:rPr>
                <w:rFonts w:ascii="Times New Roman" w:hAnsi="Times New Roman" w:cs="Times New Roman"/>
                <w:sz w:val="20"/>
                <w:szCs w:val="20"/>
                <w:vertAlign w:val="superscript"/>
                <w:lang w:val="en-US"/>
              </w:rPr>
              <w:t>st</w:t>
            </w:r>
            <w:r w:rsidRPr="003101A0">
              <w:rPr>
                <w:rFonts w:ascii="Times New Roman" w:hAnsi="Times New Roman" w:cs="Times New Roman"/>
                <w:sz w:val="20"/>
                <w:szCs w:val="20"/>
                <w:lang w:val="en-US"/>
              </w:rPr>
              <w:t xml:space="preserve"> stage</w:t>
            </w:r>
          </w:p>
        </w:tc>
        <w:tc>
          <w:tcPr>
            <w:tcW w:w="625" w:type="pct"/>
            <w:tcBorders>
              <w:top w:val="single" w:sz="4" w:space="0" w:color="auto"/>
              <w:left w:val="nil"/>
              <w:bottom w:val="single" w:sz="4" w:space="0" w:color="auto"/>
              <w:right w:val="nil"/>
            </w:tcBorders>
          </w:tcPr>
          <w:p w14:paraId="4672A494" w14:textId="77777777" w:rsidR="00BC5F75"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(4)</w:t>
            </w:r>
          </w:p>
          <w:p w14:paraId="41D394FE" w14:textId="37208FD7" w:rsidR="00BC5F75" w:rsidRPr="003101A0"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2</w:t>
            </w:r>
            <w:r w:rsidRPr="003101A0">
              <w:rPr>
                <w:rFonts w:ascii="Times New Roman" w:hAnsi="Times New Roman" w:cs="Times New Roman"/>
                <w:sz w:val="20"/>
                <w:szCs w:val="20"/>
                <w:vertAlign w:val="superscript"/>
                <w:lang w:val="en-US"/>
              </w:rPr>
              <w:t>nd</w:t>
            </w:r>
            <w:r w:rsidRPr="003101A0">
              <w:rPr>
                <w:rFonts w:ascii="Times New Roman" w:hAnsi="Times New Roman" w:cs="Times New Roman"/>
                <w:sz w:val="20"/>
                <w:szCs w:val="20"/>
                <w:lang w:val="en-US"/>
              </w:rPr>
              <w:t xml:space="preserve"> stage</w:t>
            </w:r>
          </w:p>
        </w:tc>
        <w:tc>
          <w:tcPr>
            <w:tcW w:w="625" w:type="pct"/>
            <w:tcBorders>
              <w:top w:val="single" w:sz="4" w:space="0" w:color="auto"/>
              <w:left w:val="nil"/>
              <w:bottom w:val="single" w:sz="4" w:space="0" w:color="auto"/>
              <w:right w:val="nil"/>
            </w:tcBorders>
          </w:tcPr>
          <w:p w14:paraId="773B0F48" w14:textId="7F95FA29" w:rsidR="00BC5F75" w:rsidRPr="003101A0"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w:t>
            </w:r>
            <w:r>
              <w:rPr>
                <w:rFonts w:ascii="Times New Roman" w:hAnsi="Times New Roman" w:cs="Times New Roman"/>
                <w:sz w:val="20"/>
                <w:szCs w:val="20"/>
                <w:lang w:val="en-US"/>
              </w:rPr>
              <w:t>5</w:t>
            </w:r>
            <w:r w:rsidRPr="003101A0">
              <w:rPr>
                <w:rFonts w:ascii="Times New Roman" w:hAnsi="Times New Roman" w:cs="Times New Roman"/>
                <w:sz w:val="20"/>
                <w:szCs w:val="20"/>
                <w:lang w:val="en-US"/>
              </w:rPr>
              <w:t>)</w:t>
            </w:r>
          </w:p>
          <w:p w14:paraId="6D07AF3C" w14:textId="2FC637BE" w:rsidR="00BC5F75" w:rsidRPr="003101A0" w:rsidRDefault="00BC5F75" w:rsidP="00BC5F75">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cs="Times New Roman"/>
                <w:sz w:val="20"/>
                <w:szCs w:val="20"/>
                <w:lang w:val="en-US"/>
              </w:rPr>
              <w:t>2</w:t>
            </w:r>
            <w:r w:rsidRPr="003101A0">
              <w:rPr>
                <w:rFonts w:ascii="Times New Roman" w:hAnsi="Times New Roman" w:cs="Times New Roman"/>
                <w:sz w:val="20"/>
                <w:szCs w:val="20"/>
                <w:vertAlign w:val="superscript"/>
                <w:lang w:val="en-US"/>
              </w:rPr>
              <w:t>nd</w:t>
            </w:r>
            <w:r w:rsidRPr="003101A0">
              <w:rPr>
                <w:rFonts w:ascii="Times New Roman" w:hAnsi="Times New Roman" w:cs="Times New Roman"/>
                <w:sz w:val="20"/>
                <w:szCs w:val="20"/>
                <w:lang w:val="en-US"/>
              </w:rPr>
              <w:t xml:space="preserve"> stage</w:t>
            </w:r>
          </w:p>
        </w:tc>
        <w:tc>
          <w:tcPr>
            <w:tcW w:w="625" w:type="pct"/>
            <w:tcBorders>
              <w:top w:val="single" w:sz="4" w:space="0" w:color="auto"/>
              <w:left w:val="nil"/>
              <w:bottom w:val="single" w:sz="4" w:space="0" w:color="auto"/>
              <w:right w:val="nil"/>
            </w:tcBorders>
          </w:tcPr>
          <w:p w14:paraId="62552DCB" w14:textId="7B997EB2" w:rsidR="00BC5F75" w:rsidRPr="003101A0" w:rsidRDefault="00BC5F75" w:rsidP="00BC5F7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w:t>
            </w:r>
            <w:r>
              <w:rPr>
                <w:rFonts w:ascii="Times New Roman" w:hAnsi="Times New Roman" w:cs="Times New Roman"/>
                <w:sz w:val="20"/>
                <w:szCs w:val="20"/>
                <w:lang w:val="en-US"/>
              </w:rPr>
              <w:t>6</w:t>
            </w:r>
            <w:r w:rsidRPr="003101A0">
              <w:rPr>
                <w:rFonts w:ascii="Times New Roman" w:hAnsi="Times New Roman" w:cs="Times New Roman"/>
                <w:sz w:val="20"/>
                <w:szCs w:val="20"/>
                <w:lang w:val="en-US"/>
              </w:rPr>
              <w:t>)</w:t>
            </w:r>
          </w:p>
          <w:p w14:paraId="5ADA7E44" w14:textId="78CAA04E" w:rsidR="00BC5F75" w:rsidRPr="003101A0" w:rsidRDefault="00BC5F75" w:rsidP="00BC5F75">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cs="Times New Roman"/>
                <w:sz w:val="20"/>
                <w:szCs w:val="20"/>
                <w:lang w:val="en-US"/>
              </w:rPr>
              <w:t>2</w:t>
            </w:r>
            <w:r w:rsidRPr="003101A0">
              <w:rPr>
                <w:rFonts w:ascii="Times New Roman" w:hAnsi="Times New Roman" w:cs="Times New Roman"/>
                <w:sz w:val="20"/>
                <w:szCs w:val="20"/>
                <w:vertAlign w:val="superscript"/>
                <w:lang w:val="en-US"/>
              </w:rPr>
              <w:t>nd</w:t>
            </w:r>
            <w:r w:rsidRPr="003101A0">
              <w:rPr>
                <w:rFonts w:ascii="Times New Roman" w:hAnsi="Times New Roman" w:cs="Times New Roman"/>
                <w:sz w:val="20"/>
                <w:szCs w:val="20"/>
                <w:lang w:val="en-US"/>
              </w:rPr>
              <w:t xml:space="preserve"> stage</w:t>
            </w:r>
          </w:p>
        </w:tc>
      </w:tr>
      <w:tr w:rsidR="00BC5F75" w:rsidRPr="003101A0" w14:paraId="38992CA0" w14:textId="77777777" w:rsidTr="00BC5F75">
        <w:tc>
          <w:tcPr>
            <w:tcW w:w="1031" w:type="pct"/>
            <w:tcBorders>
              <w:top w:val="single" w:sz="4" w:space="0" w:color="auto"/>
              <w:left w:val="nil"/>
              <w:bottom w:val="nil"/>
              <w:right w:val="nil"/>
            </w:tcBorders>
          </w:tcPr>
          <w:p w14:paraId="1EEF68A2" w14:textId="392D9BDD"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CA</w:t>
            </w:r>
            <w:r w:rsidRPr="003101A0">
              <w:rPr>
                <w:rFonts w:ascii="Times New Roman" w:hAnsi="Times New Roman" w:cs="Times New Roman"/>
                <w:i/>
                <w:sz w:val="20"/>
                <w:szCs w:val="20"/>
                <w:lang w:val="en-US"/>
              </w:rPr>
              <w:t xml:space="preserve"> flow</w:t>
            </w:r>
          </w:p>
        </w:tc>
        <w:tc>
          <w:tcPr>
            <w:tcW w:w="662" w:type="pct"/>
            <w:tcBorders>
              <w:top w:val="single" w:sz="4" w:space="0" w:color="auto"/>
              <w:left w:val="nil"/>
              <w:bottom w:val="nil"/>
              <w:right w:val="nil"/>
            </w:tcBorders>
          </w:tcPr>
          <w:p w14:paraId="618DD80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single" w:sz="4" w:space="0" w:color="auto"/>
              <w:left w:val="nil"/>
              <w:bottom w:val="nil"/>
              <w:right w:val="nil"/>
            </w:tcBorders>
          </w:tcPr>
          <w:p w14:paraId="19A67CB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single" w:sz="4" w:space="0" w:color="auto"/>
              <w:left w:val="nil"/>
              <w:bottom w:val="nil"/>
              <w:right w:val="nil"/>
            </w:tcBorders>
          </w:tcPr>
          <w:p w14:paraId="230A191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single" w:sz="4" w:space="0" w:color="auto"/>
              <w:left w:val="nil"/>
              <w:bottom w:val="nil"/>
              <w:right w:val="nil"/>
            </w:tcBorders>
          </w:tcPr>
          <w:p w14:paraId="5572820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single" w:sz="4" w:space="0" w:color="auto"/>
              <w:left w:val="nil"/>
              <w:bottom w:val="nil"/>
              <w:right w:val="nil"/>
            </w:tcBorders>
          </w:tcPr>
          <w:p w14:paraId="24F3BA49"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single" w:sz="4" w:space="0" w:color="auto"/>
              <w:left w:val="nil"/>
              <w:bottom w:val="nil"/>
              <w:right w:val="nil"/>
            </w:tcBorders>
          </w:tcPr>
          <w:p w14:paraId="33B4EF3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c>
          <w:tcPr>
            <w:tcW w:w="625" w:type="pct"/>
            <w:tcBorders>
              <w:top w:val="single" w:sz="4" w:space="0" w:color="auto"/>
              <w:left w:val="nil"/>
              <w:bottom w:val="nil"/>
              <w:right w:val="nil"/>
            </w:tcBorders>
          </w:tcPr>
          <w:p w14:paraId="3F4AEDFF" w14:textId="4E840E6A"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0.010***</w:t>
            </w:r>
          </w:p>
        </w:tc>
      </w:tr>
      <w:tr w:rsidR="00BC5F75" w:rsidRPr="003101A0" w14:paraId="3AB0B622" w14:textId="77777777" w:rsidTr="00BC5F75">
        <w:tc>
          <w:tcPr>
            <w:tcW w:w="1031" w:type="pct"/>
            <w:tcBorders>
              <w:top w:val="nil"/>
              <w:left w:val="nil"/>
              <w:bottom w:val="nil"/>
              <w:right w:val="nil"/>
            </w:tcBorders>
          </w:tcPr>
          <w:p w14:paraId="6751B98F"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45488F1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0BA5838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67B296C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494FED0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1A44BBA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72047DA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c>
          <w:tcPr>
            <w:tcW w:w="625" w:type="pct"/>
            <w:tcBorders>
              <w:top w:val="nil"/>
              <w:left w:val="nil"/>
              <w:bottom w:val="nil"/>
              <w:right w:val="nil"/>
            </w:tcBorders>
          </w:tcPr>
          <w:p w14:paraId="31559137" w14:textId="3B29DFD6"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(5.73)</w:t>
            </w:r>
          </w:p>
        </w:tc>
      </w:tr>
      <w:tr w:rsidR="00BC5F75" w:rsidRPr="003101A0" w14:paraId="315735C4" w14:textId="77777777" w:rsidTr="00BC5F75">
        <w:tc>
          <w:tcPr>
            <w:tcW w:w="1031" w:type="pct"/>
            <w:tcBorders>
              <w:top w:val="nil"/>
              <w:left w:val="nil"/>
              <w:bottom w:val="nil"/>
              <w:right w:val="nil"/>
            </w:tcBorders>
          </w:tcPr>
          <w:p w14:paraId="2848174F" w14:textId="09F5C264"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C</w:t>
            </w:r>
            <w:r>
              <w:rPr>
                <w:rFonts w:ascii="Times New Roman" w:hAnsi="Times New Roman" w:cs="Times New Roman"/>
                <w:i/>
                <w:sz w:val="20"/>
                <w:szCs w:val="20"/>
                <w:lang w:val="en-US"/>
              </w:rPr>
              <w:t>Aflow</w:t>
            </w:r>
            <w:proofErr w:type="spellEnd"/>
            <w:r w:rsidRPr="003101A0">
              <w:rPr>
                <w:rFonts w:ascii="Times New Roman" w:hAnsi="Times New Roman" w:cs="Times New Roman"/>
                <w:i/>
                <w:sz w:val="20"/>
                <w:szCs w:val="20"/>
                <w:lang w:val="en-US"/>
              </w:rPr>
              <w:t xml:space="preserve"> × Convertible</w:t>
            </w:r>
          </w:p>
        </w:tc>
        <w:tc>
          <w:tcPr>
            <w:tcW w:w="662" w:type="pct"/>
            <w:tcBorders>
              <w:top w:val="nil"/>
              <w:left w:val="nil"/>
              <w:bottom w:val="nil"/>
              <w:right w:val="nil"/>
            </w:tcBorders>
          </w:tcPr>
          <w:p w14:paraId="70B30D2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200DBBF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49F097D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2DFD29C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6437C27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3129CC1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c>
          <w:tcPr>
            <w:tcW w:w="625" w:type="pct"/>
            <w:tcBorders>
              <w:top w:val="nil"/>
              <w:left w:val="nil"/>
              <w:bottom w:val="nil"/>
              <w:right w:val="nil"/>
            </w:tcBorders>
          </w:tcPr>
          <w:p w14:paraId="2B889209" w14:textId="507CDAB9"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-0.014***</w:t>
            </w:r>
          </w:p>
        </w:tc>
      </w:tr>
      <w:tr w:rsidR="00BC5F75" w:rsidRPr="003101A0" w14:paraId="7E7489A3" w14:textId="77777777" w:rsidTr="00BC5F75">
        <w:tc>
          <w:tcPr>
            <w:tcW w:w="1031" w:type="pct"/>
            <w:tcBorders>
              <w:top w:val="nil"/>
              <w:left w:val="nil"/>
              <w:bottom w:val="nil"/>
              <w:right w:val="nil"/>
            </w:tcBorders>
          </w:tcPr>
          <w:p w14:paraId="79B67984"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6860AA9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5F7C9959"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4A13E44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7828E4F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53E5810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290A1DC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c>
          <w:tcPr>
            <w:tcW w:w="625" w:type="pct"/>
            <w:tcBorders>
              <w:top w:val="nil"/>
              <w:left w:val="nil"/>
              <w:bottom w:val="nil"/>
              <w:right w:val="nil"/>
            </w:tcBorders>
          </w:tcPr>
          <w:p w14:paraId="042444EA" w14:textId="60DFDE12"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(-3.76)</w:t>
            </w:r>
          </w:p>
        </w:tc>
      </w:tr>
      <w:tr w:rsidR="00BC5F75" w:rsidRPr="003101A0" w14:paraId="1FB1EDE7" w14:textId="77777777" w:rsidTr="00BC5F75">
        <w:tc>
          <w:tcPr>
            <w:tcW w:w="1031" w:type="pct"/>
            <w:tcBorders>
              <w:top w:val="nil"/>
              <w:left w:val="nil"/>
              <w:bottom w:val="nil"/>
              <w:right w:val="nil"/>
            </w:tcBorders>
          </w:tcPr>
          <w:p w14:paraId="57D1411A" w14:textId="7871551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iCs/>
                <w:sz w:val="20"/>
                <w:szCs w:val="20"/>
                <w:lang w:val="en-US"/>
              </w:rPr>
              <w:t>Lambda</w:t>
            </w:r>
          </w:p>
        </w:tc>
        <w:tc>
          <w:tcPr>
            <w:tcW w:w="662" w:type="pct"/>
            <w:tcBorders>
              <w:top w:val="nil"/>
              <w:left w:val="nil"/>
              <w:bottom w:val="nil"/>
              <w:right w:val="nil"/>
            </w:tcBorders>
          </w:tcPr>
          <w:p w14:paraId="11BB6B4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5E0F1453"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038BA15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1EB8B99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2FB44719" w14:textId="230E0003"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0.057***</w:t>
            </w:r>
          </w:p>
        </w:tc>
        <w:tc>
          <w:tcPr>
            <w:tcW w:w="625" w:type="pct"/>
            <w:tcBorders>
              <w:top w:val="nil"/>
              <w:left w:val="nil"/>
              <w:bottom w:val="nil"/>
              <w:right w:val="nil"/>
            </w:tcBorders>
          </w:tcPr>
          <w:p w14:paraId="683D7A44" w14:textId="075743D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0.053***</w:t>
            </w:r>
          </w:p>
        </w:tc>
        <w:tc>
          <w:tcPr>
            <w:tcW w:w="625" w:type="pct"/>
            <w:tcBorders>
              <w:top w:val="nil"/>
              <w:left w:val="nil"/>
              <w:bottom w:val="nil"/>
              <w:right w:val="nil"/>
            </w:tcBorders>
          </w:tcPr>
          <w:p w14:paraId="19885F04" w14:textId="39D246C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0.057***</w:t>
            </w:r>
          </w:p>
        </w:tc>
      </w:tr>
      <w:tr w:rsidR="00BC5F75" w:rsidRPr="003101A0" w14:paraId="7C7B8FE8" w14:textId="77777777" w:rsidTr="00BC5F75">
        <w:tc>
          <w:tcPr>
            <w:tcW w:w="1031" w:type="pct"/>
            <w:tcBorders>
              <w:top w:val="nil"/>
              <w:left w:val="nil"/>
              <w:bottom w:val="nil"/>
              <w:right w:val="nil"/>
            </w:tcBorders>
          </w:tcPr>
          <w:p w14:paraId="08007B68"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158AF902"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0F7F8C5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2B38559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2B38C6E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3C33F445" w14:textId="6B233B3E"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(7.39)</w:t>
            </w:r>
          </w:p>
        </w:tc>
        <w:tc>
          <w:tcPr>
            <w:tcW w:w="625" w:type="pct"/>
            <w:tcBorders>
              <w:top w:val="nil"/>
              <w:left w:val="nil"/>
              <w:bottom w:val="nil"/>
              <w:right w:val="nil"/>
            </w:tcBorders>
          </w:tcPr>
          <w:p w14:paraId="1134683D" w14:textId="52F2188F"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(6.87)</w:t>
            </w:r>
          </w:p>
        </w:tc>
        <w:tc>
          <w:tcPr>
            <w:tcW w:w="625" w:type="pct"/>
            <w:tcBorders>
              <w:top w:val="nil"/>
              <w:left w:val="nil"/>
              <w:bottom w:val="nil"/>
              <w:right w:val="nil"/>
            </w:tcBorders>
          </w:tcPr>
          <w:p w14:paraId="228FAA0E" w14:textId="2CA4FEBE"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(7.28)</w:t>
            </w:r>
          </w:p>
        </w:tc>
      </w:tr>
      <w:tr w:rsidR="00BC5F75" w:rsidRPr="003101A0" w14:paraId="0ABFB603" w14:textId="77777777" w:rsidTr="00BC5F75">
        <w:tc>
          <w:tcPr>
            <w:tcW w:w="1031" w:type="pct"/>
            <w:tcBorders>
              <w:top w:val="nil"/>
              <w:left w:val="nil"/>
              <w:bottom w:val="nil"/>
              <w:right w:val="nil"/>
            </w:tcBorders>
          </w:tcPr>
          <w:p w14:paraId="2B4CB9A8" w14:textId="2EDA58CE"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iCs/>
                <w:sz w:val="20"/>
                <w:szCs w:val="20"/>
                <w:lang w:val="en-US"/>
              </w:rPr>
              <w:t>Intercept</w:t>
            </w:r>
          </w:p>
        </w:tc>
        <w:tc>
          <w:tcPr>
            <w:tcW w:w="662" w:type="pct"/>
            <w:tcBorders>
              <w:top w:val="nil"/>
              <w:left w:val="nil"/>
              <w:bottom w:val="nil"/>
              <w:right w:val="nil"/>
            </w:tcBorders>
          </w:tcPr>
          <w:p w14:paraId="397B3DF8" w14:textId="7FE649F1"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0.306***</w:t>
            </w:r>
          </w:p>
        </w:tc>
        <w:tc>
          <w:tcPr>
            <w:tcW w:w="662" w:type="pct"/>
            <w:tcBorders>
              <w:top w:val="nil"/>
              <w:left w:val="nil"/>
              <w:bottom w:val="nil"/>
              <w:right w:val="nil"/>
            </w:tcBorders>
          </w:tcPr>
          <w:p w14:paraId="48052810" w14:textId="40AFA0F5"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0.402***</w:t>
            </w:r>
          </w:p>
        </w:tc>
        <w:tc>
          <w:tcPr>
            <w:tcW w:w="146" w:type="pct"/>
            <w:tcBorders>
              <w:top w:val="nil"/>
              <w:left w:val="nil"/>
              <w:bottom w:val="nil"/>
              <w:right w:val="nil"/>
            </w:tcBorders>
          </w:tcPr>
          <w:p w14:paraId="08DEC6E8"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658164A2" w14:textId="41A4B6A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0.526***</w:t>
            </w:r>
          </w:p>
        </w:tc>
        <w:tc>
          <w:tcPr>
            <w:tcW w:w="625" w:type="pct"/>
            <w:tcBorders>
              <w:top w:val="nil"/>
              <w:left w:val="nil"/>
              <w:bottom w:val="nil"/>
              <w:right w:val="nil"/>
            </w:tcBorders>
          </w:tcPr>
          <w:p w14:paraId="2FFE7717" w14:textId="67000BB1"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0.467***</w:t>
            </w:r>
          </w:p>
        </w:tc>
        <w:tc>
          <w:tcPr>
            <w:tcW w:w="625" w:type="pct"/>
            <w:tcBorders>
              <w:top w:val="nil"/>
              <w:left w:val="nil"/>
              <w:bottom w:val="nil"/>
              <w:right w:val="nil"/>
            </w:tcBorders>
          </w:tcPr>
          <w:p w14:paraId="2EA11559" w14:textId="50CD7BDD"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0.457***</w:t>
            </w:r>
          </w:p>
        </w:tc>
        <w:tc>
          <w:tcPr>
            <w:tcW w:w="625" w:type="pct"/>
            <w:tcBorders>
              <w:top w:val="nil"/>
              <w:left w:val="nil"/>
              <w:bottom w:val="nil"/>
              <w:right w:val="nil"/>
            </w:tcBorders>
          </w:tcPr>
          <w:p w14:paraId="74BCD18B" w14:textId="7615BA01"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0.476***</w:t>
            </w:r>
          </w:p>
        </w:tc>
      </w:tr>
      <w:tr w:rsidR="00BC5F75" w:rsidRPr="003101A0" w14:paraId="56908C0D" w14:textId="77777777" w:rsidTr="00BC5F75">
        <w:tc>
          <w:tcPr>
            <w:tcW w:w="1031" w:type="pct"/>
            <w:tcBorders>
              <w:top w:val="nil"/>
              <w:left w:val="nil"/>
              <w:bottom w:val="nil"/>
              <w:right w:val="nil"/>
            </w:tcBorders>
          </w:tcPr>
          <w:p w14:paraId="77B655F2" w14:textId="77777777"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p>
        </w:tc>
        <w:tc>
          <w:tcPr>
            <w:tcW w:w="662" w:type="pct"/>
            <w:tcBorders>
              <w:top w:val="nil"/>
              <w:left w:val="nil"/>
              <w:bottom w:val="nil"/>
              <w:right w:val="nil"/>
            </w:tcBorders>
          </w:tcPr>
          <w:p w14:paraId="290C2259" w14:textId="2CBE9AF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(86.77)</w:t>
            </w:r>
          </w:p>
        </w:tc>
        <w:tc>
          <w:tcPr>
            <w:tcW w:w="662" w:type="pct"/>
            <w:tcBorders>
              <w:top w:val="nil"/>
              <w:left w:val="nil"/>
              <w:bottom w:val="nil"/>
              <w:right w:val="nil"/>
            </w:tcBorders>
          </w:tcPr>
          <w:p w14:paraId="518E6681" w14:textId="274BC5E8"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(27.19)</w:t>
            </w:r>
          </w:p>
        </w:tc>
        <w:tc>
          <w:tcPr>
            <w:tcW w:w="146" w:type="pct"/>
            <w:tcBorders>
              <w:top w:val="nil"/>
              <w:left w:val="nil"/>
              <w:bottom w:val="nil"/>
              <w:right w:val="nil"/>
            </w:tcBorders>
          </w:tcPr>
          <w:p w14:paraId="5EFF4937"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02A8A178" w14:textId="07CD7C24"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(2.82)</w:t>
            </w:r>
          </w:p>
        </w:tc>
        <w:tc>
          <w:tcPr>
            <w:tcW w:w="625" w:type="pct"/>
            <w:tcBorders>
              <w:top w:val="nil"/>
              <w:left w:val="nil"/>
              <w:bottom w:val="nil"/>
              <w:right w:val="nil"/>
            </w:tcBorders>
          </w:tcPr>
          <w:p w14:paraId="1A472DF2" w14:textId="712027B3"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(29.12)</w:t>
            </w:r>
          </w:p>
        </w:tc>
        <w:tc>
          <w:tcPr>
            <w:tcW w:w="625" w:type="pct"/>
            <w:tcBorders>
              <w:top w:val="nil"/>
              <w:left w:val="nil"/>
              <w:bottom w:val="nil"/>
              <w:right w:val="nil"/>
            </w:tcBorders>
          </w:tcPr>
          <w:p w14:paraId="038DDF48" w14:textId="3A8DA7B5"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(22.89)</w:t>
            </w:r>
          </w:p>
        </w:tc>
        <w:tc>
          <w:tcPr>
            <w:tcW w:w="625" w:type="pct"/>
            <w:tcBorders>
              <w:top w:val="nil"/>
              <w:left w:val="nil"/>
              <w:bottom w:val="nil"/>
              <w:right w:val="nil"/>
            </w:tcBorders>
          </w:tcPr>
          <w:p w14:paraId="74BB7551" w14:textId="6767A198"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(28.90)</w:t>
            </w:r>
          </w:p>
        </w:tc>
      </w:tr>
      <w:tr w:rsidR="00BC5F75" w:rsidRPr="003101A0" w14:paraId="646C5C42" w14:textId="77777777" w:rsidTr="00BC5F75">
        <w:tc>
          <w:tcPr>
            <w:tcW w:w="1031" w:type="pct"/>
            <w:tcBorders>
              <w:top w:val="nil"/>
              <w:left w:val="nil"/>
              <w:right w:val="nil"/>
            </w:tcBorders>
          </w:tcPr>
          <w:p w14:paraId="72958190" w14:textId="098D9DA6"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iCs/>
                <w:sz w:val="20"/>
                <w:szCs w:val="20"/>
                <w:lang w:val="en-US"/>
              </w:rPr>
              <w:t xml:space="preserve">Industry </w:t>
            </w:r>
            <w:r>
              <w:rPr>
                <w:rFonts w:ascii="Times New Roman" w:hAnsi="Times New Roman" w:cs="Times New Roman"/>
                <w:i/>
                <w:iCs/>
                <w:sz w:val="20"/>
                <w:szCs w:val="20"/>
                <w:lang w:val="en-US"/>
              </w:rPr>
              <w:t>FE</w:t>
            </w:r>
          </w:p>
        </w:tc>
        <w:tc>
          <w:tcPr>
            <w:tcW w:w="662" w:type="pct"/>
            <w:tcBorders>
              <w:top w:val="nil"/>
              <w:left w:val="nil"/>
              <w:right w:val="nil"/>
            </w:tcBorders>
          </w:tcPr>
          <w:p w14:paraId="6C986BF8" w14:textId="20F41665"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No</w:t>
            </w:r>
          </w:p>
        </w:tc>
        <w:tc>
          <w:tcPr>
            <w:tcW w:w="662" w:type="pct"/>
            <w:tcBorders>
              <w:top w:val="nil"/>
              <w:left w:val="nil"/>
              <w:right w:val="nil"/>
            </w:tcBorders>
          </w:tcPr>
          <w:p w14:paraId="2E72F045" w14:textId="4F0BF49C"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146" w:type="pct"/>
            <w:tcBorders>
              <w:top w:val="nil"/>
              <w:left w:val="nil"/>
              <w:right w:val="nil"/>
            </w:tcBorders>
          </w:tcPr>
          <w:p w14:paraId="0A78658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right w:val="nil"/>
            </w:tcBorders>
          </w:tcPr>
          <w:p w14:paraId="47DCADEF" w14:textId="799FE7D3"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625" w:type="pct"/>
            <w:tcBorders>
              <w:top w:val="nil"/>
              <w:left w:val="nil"/>
              <w:right w:val="nil"/>
            </w:tcBorders>
          </w:tcPr>
          <w:p w14:paraId="78099040" w14:textId="068D75C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625" w:type="pct"/>
            <w:tcBorders>
              <w:top w:val="nil"/>
              <w:left w:val="nil"/>
              <w:right w:val="nil"/>
            </w:tcBorders>
          </w:tcPr>
          <w:p w14:paraId="078CED23" w14:textId="0DAF3211"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cs="Times New Roman"/>
                <w:sz w:val="20"/>
                <w:szCs w:val="20"/>
                <w:lang w:val="en-US"/>
              </w:rPr>
              <w:t>Yes</w:t>
            </w:r>
          </w:p>
        </w:tc>
        <w:tc>
          <w:tcPr>
            <w:tcW w:w="625" w:type="pct"/>
            <w:tcBorders>
              <w:top w:val="nil"/>
              <w:left w:val="nil"/>
              <w:right w:val="nil"/>
            </w:tcBorders>
          </w:tcPr>
          <w:p w14:paraId="4471FFBA" w14:textId="15207498"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r>
      <w:tr w:rsidR="00BC5F75" w:rsidRPr="003101A0" w14:paraId="07C10AC4" w14:textId="77777777" w:rsidTr="00BC5F75">
        <w:tc>
          <w:tcPr>
            <w:tcW w:w="1031" w:type="pct"/>
            <w:tcBorders>
              <w:top w:val="nil"/>
              <w:left w:val="nil"/>
              <w:right w:val="nil"/>
            </w:tcBorders>
          </w:tcPr>
          <w:p w14:paraId="2C1C3A14" w14:textId="18E58F5F"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iCs/>
                <w:sz w:val="20"/>
                <w:szCs w:val="20"/>
                <w:lang w:val="en-US"/>
              </w:rPr>
              <w:t>N</w:t>
            </w:r>
          </w:p>
        </w:tc>
        <w:tc>
          <w:tcPr>
            <w:tcW w:w="662" w:type="pct"/>
            <w:tcBorders>
              <w:top w:val="nil"/>
              <w:left w:val="nil"/>
              <w:right w:val="nil"/>
            </w:tcBorders>
          </w:tcPr>
          <w:p w14:paraId="51ECCC88" w14:textId="18B3EF4C"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11,108</w:t>
            </w:r>
          </w:p>
        </w:tc>
        <w:tc>
          <w:tcPr>
            <w:tcW w:w="662" w:type="pct"/>
            <w:tcBorders>
              <w:top w:val="nil"/>
              <w:left w:val="nil"/>
              <w:right w:val="nil"/>
            </w:tcBorders>
          </w:tcPr>
          <w:p w14:paraId="046F7140" w14:textId="49EFFC4B"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11,108</w:t>
            </w:r>
          </w:p>
        </w:tc>
        <w:tc>
          <w:tcPr>
            <w:tcW w:w="146" w:type="pct"/>
            <w:tcBorders>
              <w:top w:val="nil"/>
              <w:left w:val="nil"/>
              <w:right w:val="nil"/>
            </w:tcBorders>
          </w:tcPr>
          <w:p w14:paraId="425850A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right w:val="nil"/>
            </w:tcBorders>
          </w:tcPr>
          <w:p w14:paraId="511C1866" w14:textId="7BEC0AF6"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11,108</w:t>
            </w:r>
          </w:p>
        </w:tc>
        <w:tc>
          <w:tcPr>
            <w:tcW w:w="625" w:type="pct"/>
            <w:tcBorders>
              <w:top w:val="nil"/>
              <w:left w:val="nil"/>
              <w:right w:val="nil"/>
            </w:tcBorders>
          </w:tcPr>
          <w:p w14:paraId="3DE0DE31" w14:textId="296D7DFF"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11,108</w:t>
            </w:r>
          </w:p>
        </w:tc>
        <w:tc>
          <w:tcPr>
            <w:tcW w:w="625" w:type="pct"/>
            <w:tcBorders>
              <w:top w:val="nil"/>
              <w:left w:val="nil"/>
              <w:right w:val="nil"/>
            </w:tcBorders>
          </w:tcPr>
          <w:p w14:paraId="2AF0AEDE" w14:textId="1925AA76"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cs="Times New Roman"/>
                <w:sz w:val="20"/>
                <w:szCs w:val="20"/>
                <w:lang w:val="en-US"/>
              </w:rPr>
              <w:t>11,108</w:t>
            </w:r>
          </w:p>
        </w:tc>
        <w:tc>
          <w:tcPr>
            <w:tcW w:w="625" w:type="pct"/>
            <w:tcBorders>
              <w:top w:val="nil"/>
              <w:left w:val="nil"/>
              <w:right w:val="nil"/>
            </w:tcBorders>
          </w:tcPr>
          <w:p w14:paraId="6E713311" w14:textId="55093008"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11,108</w:t>
            </w:r>
          </w:p>
        </w:tc>
      </w:tr>
      <w:tr w:rsidR="00BC5F75" w:rsidRPr="003101A0" w14:paraId="0CC054EB" w14:textId="77777777" w:rsidTr="00BC5F75">
        <w:tc>
          <w:tcPr>
            <w:tcW w:w="1031" w:type="pct"/>
            <w:tcBorders>
              <w:left w:val="nil"/>
              <w:bottom w:val="nil"/>
              <w:right w:val="nil"/>
            </w:tcBorders>
          </w:tcPr>
          <w:p w14:paraId="13C6B0C9" w14:textId="39B9ED7A"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sz w:val="20"/>
                <w:szCs w:val="20"/>
                <w:lang w:val="en-US"/>
              </w:rPr>
              <w:t xml:space="preserve">Adj. </w:t>
            </w:r>
            <w:r w:rsidRPr="003101A0">
              <w:rPr>
                <w:rFonts w:ascii="Times New Roman" w:hAnsi="Times New Roman" w:cs="Times New Roman"/>
                <w:i/>
                <w:iCs/>
                <w:sz w:val="20"/>
                <w:szCs w:val="20"/>
                <w:lang w:val="en-US"/>
              </w:rPr>
              <w:t>R</w:t>
            </w:r>
            <w:r w:rsidRPr="003101A0">
              <w:rPr>
                <w:rFonts w:ascii="Times New Roman" w:hAnsi="Times New Roman" w:cs="Times New Roman"/>
                <w:sz w:val="20"/>
                <w:szCs w:val="20"/>
                <w:vertAlign w:val="superscript"/>
                <w:lang w:val="en-US"/>
              </w:rPr>
              <w:t>2</w:t>
            </w:r>
          </w:p>
        </w:tc>
        <w:tc>
          <w:tcPr>
            <w:tcW w:w="662" w:type="pct"/>
            <w:tcBorders>
              <w:left w:val="nil"/>
              <w:bottom w:val="nil"/>
              <w:right w:val="nil"/>
            </w:tcBorders>
          </w:tcPr>
          <w:p w14:paraId="4878CF9C" w14:textId="16AEA03E"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0.106</w:t>
            </w:r>
          </w:p>
        </w:tc>
        <w:tc>
          <w:tcPr>
            <w:tcW w:w="662" w:type="pct"/>
            <w:tcBorders>
              <w:left w:val="nil"/>
              <w:bottom w:val="nil"/>
              <w:right w:val="nil"/>
            </w:tcBorders>
          </w:tcPr>
          <w:p w14:paraId="5DC15D2D" w14:textId="44461994"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0.360</w:t>
            </w:r>
          </w:p>
        </w:tc>
        <w:tc>
          <w:tcPr>
            <w:tcW w:w="146" w:type="pct"/>
            <w:tcBorders>
              <w:left w:val="nil"/>
              <w:bottom w:val="nil"/>
              <w:right w:val="nil"/>
            </w:tcBorders>
          </w:tcPr>
          <w:p w14:paraId="5E20687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left w:val="nil"/>
              <w:bottom w:val="nil"/>
              <w:right w:val="nil"/>
            </w:tcBorders>
          </w:tcPr>
          <w:p w14:paraId="1C541391"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left w:val="nil"/>
              <w:bottom w:val="nil"/>
              <w:right w:val="nil"/>
            </w:tcBorders>
          </w:tcPr>
          <w:p w14:paraId="607F6AF4"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left w:val="nil"/>
              <w:bottom w:val="nil"/>
              <w:right w:val="nil"/>
            </w:tcBorders>
          </w:tcPr>
          <w:p w14:paraId="40CF91A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c>
          <w:tcPr>
            <w:tcW w:w="625" w:type="pct"/>
            <w:tcBorders>
              <w:left w:val="nil"/>
              <w:bottom w:val="nil"/>
              <w:right w:val="nil"/>
            </w:tcBorders>
          </w:tcPr>
          <w:p w14:paraId="7614885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4B5B80B6" w14:textId="77777777" w:rsidTr="00BC5F75">
        <w:tc>
          <w:tcPr>
            <w:tcW w:w="1031" w:type="pct"/>
            <w:tcBorders>
              <w:top w:val="nil"/>
              <w:left w:val="nil"/>
              <w:bottom w:val="nil"/>
              <w:right w:val="nil"/>
            </w:tcBorders>
          </w:tcPr>
          <w:p w14:paraId="49867C09" w14:textId="2CD8437A"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iCs/>
                <w:sz w:val="20"/>
                <w:szCs w:val="20"/>
                <w:lang w:val="en-US"/>
              </w:rPr>
              <w:t>F</w:t>
            </w:r>
            <w:r w:rsidRPr="003101A0">
              <w:rPr>
                <w:rFonts w:ascii="Times New Roman" w:hAnsi="Times New Roman" w:cs="Times New Roman"/>
                <w:sz w:val="20"/>
                <w:szCs w:val="20"/>
                <w:lang w:val="en-US"/>
              </w:rPr>
              <w:t>-statistic</w:t>
            </w:r>
          </w:p>
        </w:tc>
        <w:tc>
          <w:tcPr>
            <w:tcW w:w="662" w:type="pct"/>
            <w:tcBorders>
              <w:top w:val="nil"/>
              <w:left w:val="nil"/>
              <w:bottom w:val="nil"/>
              <w:right w:val="nil"/>
            </w:tcBorders>
          </w:tcPr>
          <w:p w14:paraId="475135BE" w14:textId="50501F4D"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1,035.18***</w:t>
            </w:r>
          </w:p>
        </w:tc>
        <w:tc>
          <w:tcPr>
            <w:tcW w:w="662" w:type="pct"/>
            <w:tcBorders>
              <w:top w:val="nil"/>
              <w:left w:val="nil"/>
              <w:bottom w:val="nil"/>
              <w:right w:val="nil"/>
            </w:tcBorders>
          </w:tcPr>
          <w:p w14:paraId="11879703" w14:textId="2CCDB354"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191.34***</w:t>
            </w:r>
          </w:p>
        </w:tc>
        <w:tc>
          <w:tcPr>
            <w:tcW w:w="146" w:type="pct"/>
            <w:tcBorders>
              <w:top w:val="nil"/>
              <w:left w:val="nil"/>
              <w:bottom w:val="nil"/>
              <w:right w:val="nil"/>
            </w:tcBorders>
          </w:tcPr>
          <w:p w14:paraId="19B91187"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6BE22DC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5F03EF6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2678DE6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c>
          <w:tcPr>
            <w:tcW w:w="625" w:type="pct"/>
            <w:tcBorders>
              <w:top w:val="nil"/>
              <w:left w:val="nil"/>
              <w:bottom w:val="nil"/>
              <w:right w:val="nil"/>
            </w:tcBorders>
          </w:tcPr>
          <w:p w14:paraId="05F9631A"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BC5F75" w:rsidRPr="003101A0" w14:paraId="7A9F860F" w14:textId="77777777" w:rsidTr="00BC5F75">
        <w:tc>
          <w:tcPr>
            <w:tcW w:w="1031" w:type="pct"/>
            <w:tcBorders>
              <w:top w:val="nil"/>
              <w:left w:val="nil"/>
              <w:bottom w:val="nil"/>
              <w:right w:val="nil"/>
            </w:tcBorders>
          </w:tcPr>
          <w:p w14:paraId="41717AA5" w14:textId="4CB467B1"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sz w:val="20"/>
                <w:szCs w:val="20"/>
                <w:lang w:val="en-US"/>
              </w:rPr>
              <w:t xml:space="preserve">Wald </w:t>
            </w:r>
            <w:r w:rsidR="00BD2E53" w:rsidRPr="00BD2E53">
              <w:rPr>
                <w:rFonts w:ascii="Times New Roman" w:hAnsi="Times New Roman" w:cs="Times New Roman"/>
                <w:i/>
                <w:iCs/>
                <w:sz w:val="20"/>
                <w:szCs w:val="20"/>
                <w:lang w:val="en-US"/>
              </w:rPr>
              <w:t>Chi</w:t>
            </w:r>
            <w:r w:rsidRPr="003101A0">
              <w:rPr>
                <w:rFonts w:ascii="Times New Roman" w:hAnsi="Times New Roman" w:cs="Times New Roman"/>
                <w:sz w:val="20"/>
                <w:szCs w:val="20"/>
                <w:vertAlign w:val="superscript"/>
                <w:lang w:val="en-US"/>
              </w:rPr>
              <w:t>2</w:t>
            </w:r>
          </w:p>
        </w:tc>
        <w:tc>
          <w:tcPr>
            <w:tcW w:w="662" w:type="pct"/>
            <w:tcBorders>
              <w:top w:val="nil"/>
              <w:left w:val="nil"/>
              <w:bottom w:val="nil"/>
              <w:right w:val="nil"/>
            </w:tcBorders>
          </w:tcPr>
          <w:p w14:paraId="397ADF9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nil"/>
              <w:right w:val="nil"/>
            </w:tcBorders>
          </w:tcPr>
          <w:p w14:paraId="39DF6610"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nil"/>
              <w:right w:val="nil"/>
            </w:tcBorders>
          </w:tcPr>
          <w:p w14:paraId="4A5B49F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nil"/>
              <w:right w:val="nil"/>
            </w:tcBorders>
          </w:tcPr>
          <w:p w14:paraId="2B31F7AE"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nil"/>
              <w:right w:val="nil"/>
            </w:tcBorders>
          </w:tcPr>
          <w:p w14:paraId="36F78B5A" w14:textId="68877893"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7,894</w:t>
            </w:r>
            <w:r>
              <w:rPr>
                <w:rFonts w:ascii="Times New Roman" w:hAnsi="Times New Roman"/>
                <w:sz w:val="20"/>
                <w:szCs w:val="20"/>
                <w:lang w:val="en-US"/>
              </w:rPr>
              <w:t>***</w:t>
            </w:r>
          </w:p>
        </w:tc>
        <w:tc>
          <w:tcPr>
            <w:tcW w:w="625" w:type="pct"/>
            <w:tcBorders>
              <w:top w:val="nil"/>
              <w:left w:val="nil"/>
              <w:bottom w:val="nil"/>
              <w:right w:val="nil"/>
            </w:tcBorders>
          </w:tcPr>
          <w:p w14:paraId="7CB3ABF4" w14:textId="5C8481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8,548</w:t>
            </w:r>
            <w:r>
              <w:rPr>
                <w:rFonts w:ascii="Times New Roman" w:hAnsi="Times New Roman"/>
                <w:sz w:val="20"/>
                <w:szCs w:val="20"/>
                <w:lang w:val="en-US"/>
              </w:rPr>
              <w:t>***</w:t>
            </w:r>
          </w:p>
        </w:tc>
        <w:tc>
          <w:tcPr>
            <w:tcW w:w="625" w:type="pct"/>
            <w:tcBorders>
              <w:top w:val="nil"/>
              <w:left w:val="nil"/>
              <w:bottom w:val="nil"/>
              <w:right w:val="nil"/>
            </w:tcBorders>
          </w:tcPr>
          <w:p w14:paraId="13D8AE33" w14:textId="3AC890F3"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8,178</w:t>
            </w:r>
            <w:r>
              <w:rPr>
                <w:rFonts w:ascii="Times New Roman" w:hAnsi="Times New Roman"/>
                <w:sz w:val="20"/>
                <w:szCs w:val="20"/>
                <w:lang w:val="en-US"/>
              </w:rPr>
              <w:t>***</w:t>
            </w:r>
          </w:p>
        </w:tc>
      </w:tr>
      <w:tr w:rsidR="00BC5F75" w:rsidRPr="003101A0" w14:paraId="165171CC" w14:textId="77777777" w:rsidTr="00BC5F75">
        <w:tc>
          <w:tcPr>
            <w:tcW w:w="1031" w:type="pct"/>
            <w:tcBorders>
              <w:top w:val="nil"/>
              <w:left w:val="nil"/>
              <w:bottom w:val="single" w:sz="4" w:space="0" w:color="auto"/>
              <w:right w:val="nil"/>
            </w:tcBorders>
          </w:tcPr>
          <w:p w14:paraId="28427D0D" w14:textId="70672EED" w:rsidR="000371C9" w:rsidRPr="003101A0" w:rsidRDefault="000371C9" w:rsidP="00554582">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sz w:val="20"/>
                <w:szCs w:val="20"/>
                <w:lang w:val="en-US"/>
              </w:rPr>
              <w:t>% Correctly classified</w:t>
            </w:r>
          </w:p>
        </w:tc>
        <w:tc>
          <w:tcPr>
            <w:tcW w:w="662" w:type="pct"/>
            <w:tcBorders>
              <w:top w:val="nil"/>
              <w:left w:val="nil"/>
              <w:bottom w:val="single" w:sz="4" w:space="0" w:color="auto"/>
              <w:right w:val="nil"/>
            </w:tcBorders>
          </w:tcPr>
          <w:p w14:paraId="19C412CC"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62" w:type="pct"/>
            <w:tcBorders>
              <w:top w:val="nil"/>
              <w:left w:val="nil"/>
              <w:bottom w:val="single" w:sz="4" w:space="0" w:color="auto"/>
              <w:right w:val="nil"/>
            </w:tcBorders>
          </w:tcPr>
          <w:p w14:paraId="1211E2FF"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46" w:type="pct"/>
            <w:tcBorders>
              <w:top w:val="nil"/>
              <w:left w:val="nil"/>
              <w:bottom w:val="single" w:sz="4" w:space="0" w:color="auto"/>
              <w:right w:val="nil"/>
            </w:tcBorders>
          </w:tcPr>
          <w:p w14:paraId="533DFDAB"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4" w:type="pct"/>
            <w:tcBorders>
              <w:top w:val="nil"/>
              <w:left w:val="nil"/>
              <w:bottom w:val="single" w:sz="4" w:space="0" w:color="auto"/>
              <w:right w:val="nil"/>
            </w:tcBorders>
          </w:tcPr>
          <w:p w14:paraId="0C396955" w14:textId="3029908C"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88.90%</w:t>
            </w:r>
          </w:p>
        </w:tc>
        <w:tc>
          <w:tcPr>
            <w:tcW w:w="625" w:type="pct"/>
            <w:tcBorders>
              <w:top w:val="nil"/>
              <w:left w:val="nil"/>
              <w:bottom w:val="single" w:sz="4" w:space="0" w:color="auto"/>
              <w:right w:val="nil"/>
            </w:tcBorders>
          </w:tcPr>
          <w:p w14:paraId="118A9E0D"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625" w:type="pct"/>
            <w:tcBorders>
              <w:top w:val="nil"/>
              <w:left w:val="nil"/>
              <w:bottom w:val="single" w:sz="4" w:space="0" w:color="auto"/>
              <w:right w:val="nil"/>
            </w:tcBorders>
          </w:tcPr>
          <w:p w14:paraId="19B4FBA5"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sz w:val="20"/>
                <w:szCs w:val="20"/>
                <w:lang w:val="en-US"/>
              </w:rPr>
            </w:pPr>
          </w:p>
        </w:tc>
        <w:tc>
          <w:tcPr>
            <w:tcW w:w="625" w:type="pct"/>
            <w:tcBorders>
              <w:top w:val="nil"/>
              <w:left w:val="nil"/>
              <w:bottom w:val="single" w:sz="4" w:space="0" w:color="auto"/>
              <w:right w:val="nil"/>
            </w:tcBorders>
          </w:tcPr>
          <w:p w14:paraId="4F2695E6" w14:textId="77777777" w:rsidR="000371C9" w:rsidRPr="003101A0" w:rsidRDefault="000371C9" w:rsidP="0055458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bl>
    <w:p w14:paraId="42EDEA94" w14:textId="77777777" w:rsidR="00294950" w:rsidRPr="003101A0" w:rsidRDefault="00294950" w:rsidP="00493F00">
      <w:pPr>
        <w:spacing w:after="0" w:line="240" w:lineRule="auto"/>
        <w:rPr>
          <w:rFonts w:ascii="Times New Roman" w:hAnsi="Times New Roman" w:cs="Times New Roman"/>
          <w:sz w:val="20"/>
          <w:szCs w:val="20"/>
          <w:lang w:val="en-US"/>
        </w:rPr>
      </w:pPr>
    </w:p>
    <w:p w14:paraId="3C4D0BB4" w14:textId="77777777" w:rsidR="00294950" w:rsidRPr="003101A0" w:rsidRDefault="00294950" w:rsidP="00493F00">
      <w:pPr>
        <w:spacing w:after="0" w:line="240" w:lineRule="auto"/>
        <w:rPr>
          <w:rFonts w:ascii="Times New Roman" w:hAnsi="Times New Roman" w:cs="Times New Roman"/>
          <w:sz w:val="20"/>
          <w:szCs w:val="20"/>
          <w:lang w:val="en-US"/>
        </w:rPr>
        <w:sectPr w:rsidR="00294950" w:rsidRPr="003101A0" w:rsidSect="000371C9">
          <w:pgSz w:w="11900" w:h="16840"/>
          <w:pgMar w:top="1440" w:right="1440" w:bottom="1440" w:left="1440" w:header="708" w:footer="708" w:gutter="0"/>
          <w:cols w:space="708"/>
          <w:docGrid w:linePitch="360"/>
        </w:sectPr>
      </w:pPr>
    </w:p>
    <w:p w14:paraId="72C6CD5B" w14:textId="77777777" w:rsidR="00294950" w:rsidRPr="003101A0" w:rsidRDefault="00294950" w:rsidP="00D215BD">
      <w:pPr>
        <w:tabs>
          <w:tab w:val="left" w:pos="4850"/>
        </w:tabs>
        <w:spacing w:after="0" w:line="240" w:lineRule="auto"/>
        <w:rPr>
          <w:rFonts w:ascii="Times New Roman" w:hAnsi="Times New Roman" w:cs="Times New Roman"/>
          <w:i/>
          <w:sz w:val="20"/>
          <w:szCs w:val="20"/>
          <w:lang w:val="en-US"/>
        </w:rPr>
      </w:pPr>
      <w:r w:rsidRPr="003101A0">
        <w:rPr>
          <w:rFonts w:ascii="Times New Roman" w:hAnsi="Times New Roman" w:cs="Times New Roman"/>
          <w:b/>
          <w:sz w:val="20"/>
          <w:szCs w:val="20"/>
          <w:lang w:val="en-US"/>
        </w:rPr>
        <w:lastRenderedPageBreak/>
        <w:t>Table 4: continued</w:t>
      </w:r>
    </w:p>
    <w:p w14:paraId="4FC11B83" w14:textId="47C06C38" w:rsidR="00294950" w:rsidRPr="00495BCE" w:rsidRDefault="00294950" w:rsidP="001B3472">
      <w:pPr>
        <w:tabs>
          <w:tab w:val="left" w:pos="4850"/>
        </w:tabs>
        <w:spacing w:after="0" w:line="240" w:lineRule="auto"/>
        <w:rPr>
          <w:rFonts w:ascii="Times New Roman" w:hAnsi="Times New Roman" w:cs="Times New Roman"/>
          <w:iCs/>
          <w:sz w:val="20"/>
          <w:szCs w:val="20"/>
          <w:lang w:val="en-US"/>
        </w:rPr>
      </w:pPr>
      <w:r w:rsidRPr="00495BCE">
        <w:rPr>
          <w:rFonts w:ascii="Times New Roman" w:hAnsi="Times New Roman" w:cs="Times New Roman"/>
          <w:iCs/>
          <w:sz w:val="20"/>
          <w:szCs w:val="20"/>
          <w:lang w:val="en-US"/>
        </w:rPr>
        <w:t xml:space="preserve">Panel B: </w:t>
      </w:r>
      <w:r w:rsidR="00B10D5C">
        <w:rPr>
          <w:rFonts w:ascii="Times New Roman" w:hAnsi="Times New Roman" w:cs="Times New Roman"/>
          <w:iCs/>
          <w:sz w:val="20"/>
          <w:szCs w:val="20"/>
          <w:lang w:val="en-US"/>
        </w:rPr>
        <w:t xml:space="preserve">Results for relevant subsamples </w:t>
      </w:r>
    </w:p>
    <w:tbl>
      <w:tblPr>
        <w:tblW w:w="5230" w:type="pct"/>
        <w:tblInd w:w="-284" w:type="dxa"/>
        <w:tblLayout w:type="fixed"/>
        <w:tblCellMar>
          <w:left w:w="75" w:type="dxa"/>
          <w:right w:w="75" w:type="dxa"/>
        </w:tblCellMar>
        <w:tblLook w:val="0000" w:firstRow="0" w:lastRow="0" w:firstColumn="0" w:lastColumn="0" w:noHBand="0" w:noVBand="0"/>
      </w:tblPr>
      <w:tblGrid>
        <w:gridCol w:w="3120"/>
        <w:gridCol w:w="1277"/>
        <w:gridCol w:w="1276"/>
        <w:gridCol w:w="283"/>
        <w:gridCol w:w="1276"/>
        <w:gridCol w:w="1276"/>
        <w:gridCol w:w="283"/>
        <w:gridCol w:w="1279"/>
        <w:gridCol w:w="1282"/>
        <w:gridCol w:w="283"/>
        <w:gridCol w:w="1413"/>
        <w:gridCol w:w="1554"/>
      </w:tblGrid>
      <w:tr w:rsidR="00294950" w:rsidRPr="003101A0" w14:paraId="7F8B68C5" w14:textId="77777777" w:rsidTr="00D02A00">
        <w:tc>
          <w:tcPr>
            <w:tcW w:w="1068" w:type="pct"/>
            <w:tcBorders>
              <w:top w:val="single" w:sz="4" w:space="0" w:color="auto"/>
              <w:left w:val="nil"/>
              <w:right w:val="nil"/>
            </w:tcBorders>
          </w:tcPr>
          <w:p w14:paraId="3E494961" w14:textId="77777777" w:rsidR="00294950" w:rsidRPr="003101A0" w:rsidRDefault="00294950"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3932" w:type="pct"/>
            <w:gridSpan w:val="11"/>
            <w:tcBorders>
              <w:top w:val="single" w:sz="6" w:space="0" w:color="auto"/>
              <w:left w:val="nil"/>
              <w:bottom w:val="single" w:sz="6" w:space="0" w:color="auto"/>
              <w:right w:val="nil"/>
            </w:tcBorders>
          </w:tcPr>
          <w:p w14:paraId="1C90F172" w14:textId="77777777" w:rsidR="00294950" w:rsidRPr="003101A0" w:rsidRDefault="00294950" w:rsidP="0011476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iCs/>
                <w:sz w:val="20"/>
                <w:szCs w:val="20"/>
                <w:lang w:val="en-US"/>
              </w:rPr>
              <w:t>Dependent variable =</w:t>
            </w:r>
            <w:r w:rsidRPr="003101A0">
              <w:rPr>
                <w:rFonts w:ascii="Times New Roman" w:hAnsi="Times New Roman" w:cs="Times New Roman"/>
                <w:i/>
                <w:sz w:val="20"/>
                <w:szCs w:val="20"/>
                <w:lang w:val="en-US"/>
              </w:rPr>
              <w:t xml:space="preserve"> CI index</w:t>
            </w:r>
          </w:p>
        </w:tc>
      </w:tr>
      <w:tr w:rsidR="00D02A00" w:rsidRPr="003101A0" w14:paraId="7E9B981B" w14:textId="77777777" w:rsidTr="00D02A00">
        <w:tc>
          <w:tcPr>
            <w:tcW w:w="1068" w:type="pct"/>
            <w:tcBorders>
              <w:left w:val="nil"/>
              <w:bottom w:val="single" w:sz="6" w:space="0" w:color="auto"/>
              <w:right w:val="nil"/>
            </w:tcBorders>
          </w:tcPr>
          <w:p w14:paraId="223F3CE9" w14:textId="77777777" w:rsidR="009249AE" w:rsidRPr="003101A0" w:rsidRDefault="009249AE"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437" w:type="pct"/>
            <w:tcBorders>
              <w:top w:val="single" w:sz="6" w:space="0" w:color="auto"/>
              <w:left w:val="nil"/>
              <w:bottom w:val="single" w:sz="6" w:space="0" w:color="auto"/>
              <w:right w:val="nil"/>
            </w:tcBorders>
          </w:tcPr>
          <w:p w14:paraId="6F108D7C"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w:t>
            </w:r>
          </w:p>
          <w:p w14:paraId="6910BBE4" w14:textId="4CD429F8"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Rule</w:t>
            </w:r>
            <w:r w:rsidR="00FD0676">
              <w:rPr>
                <w:rFonts w:ascii="Times New Roman" w:hAnsi="Times New Roman" w:cs="Times New Roman"/>
                <w:sz w:val="20"/>
                <w:szCs w:val="20"/>
                <w:lang w:val="en-US"/>
              </w:rPr>
              <w:t xml:space="preserve"> </w:t>
            </w:r>
            <w:r w:rsidRPr="003101A0">
              <w:rPr>
                <w:rFonts w:ascii="Times New Roman" w:hAnsi="Times New Roman" w:cs="Times New Roman"/>
                <w:sz w:val="20"/>
                <w:szCs w:val="20"/>
                <w:lang w:val="en-US"/>
              </w:rPr>
              <w:t>144a</w:t>
            </w:r>
          </w:p>
        </w:tc>
        <w:tc>
          <w:tcPr>
            <w:tcW w:w="437" w:type="pct"/>
            <w:tcBorders>
              <w:top w:val="single" w:sz="6" w:space="0" w:color="auto"/>
              <w:left w:val="nil"/>
              <w:bottom w:val="single" w:sz="6" w:space="0" w:color="auto"/>
              <w:right w:val="nil"/>
            </w:tcBorders>
          </w:tcPr>
          <w:p w14:paraId="4204FEC2"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(2)</w:t>
            </w:r>
          </w:p>
          <w:p w14:paraId="54AE25A7" w14:textId="635AFD7F" w:rsidR="009249AE" w:rsidRPr="003101A0" w:rsidRDefault="009249AE" w:rsidP="00FD067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Non-</w:t>
            </w:r>
            <w:r w:rsidR="00FD0676">
              <w:rPr>
                <w:rFonts w:ascii="Times New Roman" w:hAnsi="Times New Roman" w:cs="Times New Roman"/>
                <w:sz w:val="20"/>
                <w:szCs w:val="20"/>
                <w:lang w:val="en-US"/>
              </w:rPr>
              <w:t>R</w:t>
            </w:r>
            <w:r w:rsidRPr="003101A0">
              <w:rPr>
                <w:rFonts w:ascii="Times New Roman" w:hAnsi="Times New Roman" w:cs="Times New Roman"/>
                <w:sz w:val="20"/>
                <w:szCs w:val="20"/>
                <w:lang w:val="en-US"/>
              </w:rPr>
              <w:t>ule</w:t>
            </w:r>
            <w:r w:rsidR="00FD0676">
              <w:rPr>
                <w:rFonts w:ascii="Times New Roman" w:hAnsi="Times New Roman" w:cs="Times New Roman"/>
                <w:sz w:val="20"/>
                <w:szCs w:val="20"/>
                <w:lang w:val="en-US"/>
              </w:rPr>
              <w:t xml:space="preserve"> </w:t>
            </w:r>
            <w:r w:rsidRPr="003101A0">
              <w:rPr>
                <w:rFonts w:ascii="Times New Roman" w:hAnsi="Times New Roman" w:cs="Times New Roman"/>
                <w:sz w:val="20"/>
                <w:szCs w:val="20"/>
                <w:lang w:val="en-US"/>
              </w:rPr>
              <w:t>144a</w:t>
            </w:r>
          </w:p>
        </w:tc>
        <w:tc>
          <w:tcPr>
            <w:tcW w:w="97" w:type="pct"/>
            <w:tcBorders>
              <w:top w:val="single" w:sz="6" w:space="0" w:color="auto"/>
              <w:left w:val="nil"/>
              <w:bottom w:val="single" w:sz="6" w:space="0" w:color="auto"/>
              <w:right w:val="nil"/>
            </w:tcBorders>
          </w:tcPr>
          <w:p w14:paraId="37E754F4"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7" w:type="pct"/>
            <w:tcBorders>
              <w:top w:val="single" w:sz="6" w:space="0" w:color="auto"/>
              <w:left w:val="nil"/>
              <w:bottom w:val="single" w:sz="6" w:space="0" w:color="auto"/>
              <w:right w:val="nil"/>
            </w:tcBorders>
          </w:tcPr>
          <w:p w14:paraId="40B2F3F3"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(3)</w:t>
            </w:r>
          </w:p>
          <w:p w14:paraId="2C458CEB" w14:textId="59A724DD"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Shelf</w:t>
            </w:r>
          </w:p>
        </w:tc>
        <w:tc>
          <w:tcPr>
            <w:tcW w:w="437" w:type="pct"/>
            <w:tcBorders>
              <w:top w:val="single" w:sz="6" w:space="0" w:color="auto"/>
              <w:left w:val="nil"/>
              <w:bottom w:val="single" w:sz="6" w:space="0" w:color="auto"/>
              <w:right w:val="nil"/>
            </w:tcBorders>
          </w:tcPr>
          <w:p w14:paraId="033BCC78"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(4)</w:t>
            </w:r>
          </w:p>
          <w:p w14:paraId="281FDACE" w14:textId="7C3E07DA"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Non-shelf</w:t>
            </w:r>
          </w:p>
        </w:tc>
        <w:tc>
          <w:tcPr>
            <w:tcW w:w="97" w:type="pct"/>
            <w:tcBorders>
              <w:top w:val="single" w:sz="6" w:space="0" w:color="auto"/>
              <w:left w:val="nil"/>
              <w:bottom w:val="single" w:sz="6" w:space="0" w:color="auto"/>
              <w:right w:val="nil"/>
            </w:tcBorders>
          </w:tcPr>
          <w:p w14:paraId="6919E80D"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8" w:type="pct"/>
            <w:tcBorders>
              <w:top w:val="single" w:sz="6" w:space="0" w:color="auto"/>
              <w:left w:val="nil"/>
              <w:bottom w:val="single" w:sz="6" w:space="0" w:color="auto"/>
              <w:right w:val="nil"/>
            </w:tcBorders>
          </w:tcPr>
          <w:p w14:paraId="21E83C0D"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(5)</w:t>
            </w:r>
          </w:p>
          <w:p w14:paraId="655485D4"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Debt-like convertibles</w:t>
            </w:r>
          </w:p>
        </w:tc>
        <w:tc>
          <w:tcPr>
            <w:tcW w:w="439" w:type="pct"/>
            <w:tcBorders>
              <w:top w:val="single" w:sz="6" w:space="0" w:color="auto"/>
              <w:left w:val="nil"/>
              <w:bottom w:val="single" w:sz="6" w:space="0" w:color="auto"/>
              <w:right w:val="nil"/>
            </w:tcBorders>
          </w:tcPr>
          <w:p w14:paraId="769EFE50"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(6)</w:t>
            </w:r>
          </w:p>
          <w:p w14:paraId="4C8F3D45"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Equity-like convertibles</w:t>
            </w:r>
          </w:p>
        </w:tc>
        <w:tc>
          <w:tcPr>
            <w:tcW w:w="97" w:type="pct"/>
            <w:tcBorders>
              <w:top w:val="single" w:sz="6" w:space="0" w:color="auto"/>
              <w:left w:val="nil"/>
              <w:bottom w:val="single" w:sz="6" w:space="0" w:color="auto"/>
              <w:right w:val="nil"/>
            </w:tcBorders>
          </w:tcPr>
          <w:p w14:paraId="2E2E63CC"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84" w:type="pct"/>
            <w:tcBorders>
              <w:top w:val="single" w:sz="6" w:space="0" w:color="auto"/>
              <w:left w:val="nil"/>
              <w:bottom w:val="single" w:sz="6" w:space="0" w:color="auto"/>
              <w:right w:val="nil"/>
            </w:tcBorders>
          </w:tcPr>
          <w:p w14:paraId="44B759E2"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(7)</w:t>
            </w:r>
          </w:p>
          <w:p w14:paraId="49000599"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Investment grade issuers</w:t>
            </w:r>
          </w:p>
        </w:tc>
        <w:tc>
          <w:tcPr>
            <w:tcW w:w="533" w:type="pct"/>
            <w:tcBorders>
              <w:top w:val="single" w:sz="6" w:space="0" w:color="auto"/>
              <w:left w:val="nil"/>
              <w:bottom w:val="single" w:sz="6" w:space="0" w:color="auto"/>
              <w:right w:val="nil"/>
            </w:tcBorders>
          </w:tcPr>
          <w:p w14:paraId="20E397E6"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(8)</w:t>
            </w:r>
          </w:p>
          <w:p w14:paraId="564719CF" w14:textId="77777777" w:rsidR="009249AE" w:rsidRPr="003101A0" w:rsidRDefault="009249AE" w:rsidP="001B347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Non-investment grade issuers</w:t>
            </w:r>
          </w:p>
        </w:tc>
      </w:tr>
      <w:tr w:rsidR="00D02A00" w:rsidRPr="003101A0" w14:paraId="3342DC84" w14:textId="77777777" w:rsidTr="00D02A00">
        <w:tc>
          <w:tcPr>
            <w:tcW w:w="1068" w:type="pct"/>
            <w:tcBorders>
              <w:top w:val="nil"/>
              <w:left w:val="nil"/>
              <w:bottom w:val="nil"/>
              <w:right w:val="nil"/>
            </w:tcBorders>
          </w:tcPr>
          <w:p w14:paraId="322735ED" w14:textId="77777777" w:rsidR="009249AE" w:rsidRPr="003101A0" w:rsidRDefault="009249AE"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Convertible</w:t>
            </w:r>
          </w:p>
        </w:tc>
        <w:tc>
          <w:tcPr>
            <w:tcW w:w="437" w:type="pct"/>
            <w:tcBorders>
              <w:top w:val="nil"/>
              <w:left w:val="nil"/>
              <w:bottom w:val="nil"/>
              <w:right w:val="nil"/>
            </w:tcBorders>
          </w:tcPr>
          <w:p w14:paraId="254C9127" w14:textId="3135B6F4"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-0.070***</w:t>
            </w:r>
          </w:p>
        </w:tc>
        <w:tc>
          <w:tcPr>
            <w:tcW w:w="437" w:type="pct"/>
            <w:tcBorders>
              <w:top w:val="nil"/>
              <w:left w:val="nil"/>
              <w:bottom w:val="nil"/>
              <w:right w:val="nil"/>
            </w:tcBorders>
          </w:tcPr>
          <w:p w14:paraId="056946A9" w14:textId="627EB4B6"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-0.292***</w:t>
            </w:r>
          </w:p>
        </w:tc>
        <w:tc>
          <w:tcPr>
            <w:tcW w:w="97" w:type="pct"/>
            <w:tcBorders>
              <w:top w:val="nil"/>
              <w:left w:val="nil"/>
              <w:bottom w:val="nil"/>
              <w:right w:val="nil"/>
            </w:tcBorders>
          </w:tcPr>
          <w:p w14:paraId="32C86B6E"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7" w:type="pct"/>
            <w:tcBorders>
              <w:top w:val="nil"/>
              <w:left w:val="nil"/>
              <w:bottom w:val="nil"/>
              <w:right w:val="nil"/>
            </w:tcBorders>
          </w:tcPr>
          <w:p w14:paraId="4DCE30FA" w14:textId="3E3E687D"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-0.184***</w:t>
            </w:r>
          </w:p>
        </w:tc>
        <w:tc>
          <w:tcPr>
            <w:tcW w:w="437" w:type="pct"/>
            <w:tcBorders>
              <w:top w:val="nil"/>
              <w:left w:val="nil"/>
              <w:bottom w:val="nil"/>
              <w:right w:val="nil"/>
            </w:tcBorders>
          </w:tcPr>
          <w:p w14:paraId="7A39D4BD" w14:textId="2F1C15EF"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-0.219***</w:t>
            </w:r>
          </w:p>
        </w:tc>
        <w:tc>
          <w:tcPr>
            <w:tcW w:w="97" w:type="pct"/>
            <w:tcBorders>
              <w:top w:val="nil"/>
              <w:left w:val="nil"/>
              <w:bottom w:val="nil"/>
              <w:right w:val="nil"/>
            </w:tcBorders>
          </w:tcPr>
          <w:p w14:paraId="17A34269"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8" w:type="pct"/>
            <w:tcBorders>
              <w:top w:val="nil"/>
              <w:left w:val="nil"/>
              <w:bottom w:val="nil"/>
              <w:right w:val="nil"/>
            </w:tcBorders>
          </w:tcPr>
          <w:p w14:paraId="6D377169" w14:textId="3E0CA598"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-0.236***</w:t>
            </w:r>
          </w:p>
        </w:tc>
        <w:tc>
          <w:tcPr>
            <w:tcW w:w="439" w:type="pct"/>
            <w:tcBorders>
              <w:top w:val="nil"/>
              <w:left w:val="nil"/>
              <w:bottom w:val="nil"/>
              <w:right w:val="nil"/>
            </w:tcBorders>
          </w:tcPr>
          <w:p w14:paraId="0306BCFD" w14:textId="6B7C85E9"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-0.178***</w:t>
            </w:r>
          </w:p>
        </w:tc>
        <w:tc>
          <w:tcPr>
            <w:tcW w:w="97" w:type="pct"/>
            <w:tcBorders>
              <w:top w:val="nil"/>
              <w:left w:val="nil"/>
              <w:bottom w:val="nil"/>
              <w:right w:val="nil"/>
            </w:tcBorders>
          </w:tcPr>
          <w:p w14:paraId="348CE27E"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84" w:type="pct"/>
            <w:tcBorders>
              <w:top w:val="nil"/>
              <w:left w:val="nil"/>
              <w:bottom w:val="nil"/>
              <w:right w:val="nil"/>
            </w:tcBorders>
          </w:tcPr>
          <w:p w14:paraId="1BD9D88A" w14:textId="240BE15C"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-0.051**</w:t>
            </w:r>
          </w:p>
        </w:tc>
        <w:tc>
          <w:tcPr>
            <w:tcW w:w="533" w:type="pct"/>
            <w:tcBorders>
              <w:top w:val="nil"/>
              <w:left w:val="nil"/>
              <w:bottom w:val="nil"/>
              <w:right w:val="nil"/>
            </w:tcBorders>
          </w:tcPr>
          <w:p w14:paraId="0F54EBAB" w14:textId="5443A72D"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-0.239***</w:t>
            </w:r>
          </w:p>
        </w:tc>
      </w:tr>
      <w:tr w:rsidR="00D02A00" w:rsidRPr="003101A0" w14:paraId="783B2EDA" w14:textId="77777777" w:rsidTr="00D02A00">
        <w:tc>
          <w:tcPr>
            <w:tcW w:w="1068" w:type="pct"/>
            <w:tcBorders>
              <w:top w:val="nil"/>
              <w:left w:val="nil"/>
              <w:bottom w:val="nil"/>
              <w:right w:val="nil"/>
            </w:tcBorders>
          </w:tcPr>
          <w:p w14:paraId="27127AFD" w14:textId="77777777" w:rsidR="009249AE" w:rsidRPr="003101A0" w:rsidRDefault="009249AE"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437" w:type="pct"/>
            <w:tcBorders>
              <w:top w:val="nil"/>
              <w:left w:val="nil"/>
              <w:bottom w:val="nil"/>
              <w:right w:val="nil"/>
            </w:tcBorders>
          </w:tcPr>
          <w:p w14:paraId="0B04F6E2" w14:textId="1E8C6854"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(-2.77)</w:t>
            </w:r>
          </w:p>
        </w:tc>
        <w:tc>
          <w:tcPr>
            <w:tcW w:w="437" w:type="pct"/>
            <w:tcBorders>
              <w:top w:val="nil"/>
              <w:left w:val="nil"/>
              <w:bottom w:val="nil"/>
              <w:right w:val="nil"/>
            </w:tcBorders>
          </w:tcPr>
          <w:p w14:paraId="587FEDB4" w14:textId="714F4E2B"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(-24.71)</w:t>
            </w:r>
          </w:p>
        </w:tc>
        <w:tc>
          <w:tcPr>
            <w:tcW w:w="97" w:type="pct"/>
            <w:tcBorders>
              <w:top w:val="nil"/>
              <w:left w:val="nil"/>
              <w:bottom w:val="nil"/>
              <w:right w:val="nil"/>
            </w:tcBorders>
          </w:tcPr>
          <w:p w14:paraId="3ECEF5AC"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7" w:type="pct"/>
            <w:tcBorders>
              <w:top w:val="nil"/>
              <w:left w:val="nil"/>
              <w:bottom w:val="nil"/>
              <w:right w:val="nil"/>
            </w:tcBorders>
          </w:tcPr>
          <w:p w14:paraId="24B394D0" w14:textId="14B53770"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(-16.13)</w:t>
            </w:r>
          </w:p>
        </w:tc>
        <w:tc>
          <w:tcPr>
            <w:tcW w:w="437" w:type="pct"/>
            <w:tcBorders>
              <w:top w:val="nil"/>
              <w:left w:val="nil"/>
              <w:bottom w:val="nil"/>
              <w:right w:val="nil"/>
            </w:tcBorders>
          </w:tcPr>
          <w:p w14:paraId="1860B46D" w14:textId="6C367F5B"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(-9.12)</w:t>
            </w:r>
          </w:p>
        </w:tc>
        <w:tc>
          <w:tcPr>
            <w:tcW w:w="97" w:type="pct"/>
            <w:tcBorders>
              <w:top w:val="nil"/>
              <w:left w:val="nil"/>
              <w:bottom w:val="nil"/>
              <w:right w:val="nil"/>
            </w:tcBorders>
          </w:tcPr>
          <w:p w14:paraId="50F66A4D"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8" w:type="pct"/>
            <w:tcBorders>
              <w:top w:val="nil"/>
              <w:left w:val="nil"/>
              <w:bottom w:val="nil"/>
              <w:right w:val="nil"/>
            </w:tcBorders>
          </w:tcPr>
          <w:p w14:paraId="1858E85D" w14:textId="22A92F39"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(-15.46)</w:t>
            </w:r>
          </w:p>
        </w:tc>
        <w:tc>
          <w:tcPr>
            <w:tcW w:w="439" w:type="pct"/>
            <w:tcBorders>
              <w:top w:val="nil"/>
              <w:left w:val="nil"/>
              <w:bottom w:val="nil"/>
              <w:right w:val="nil"/>
            </w:tcBorders>
          </w:tcPr>
          <w:p w14:paraId="25D6E9D7" w14:textId="4CE67770"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(-11.28)</w:t>
            </w:r>
          </w:p>
        </w:tc>
        <w:tc>
          <w:tcPr>
            <w:tcW w:w="97" w:type="pct"/>
            <w:tcBorders>
              <w:top w:val="nil"/>
              <w:left w:val="nil"/>
              <w:bottom w:val="nil"/>
              <w:right w:val="nil"/>
            </w:tcBorders>
          </w:tcPr>
          <w:p w14:paraId="40D59D78"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84" w:type="pct"/>
            <w:tcBorders>
              <w:top w:val="nil"/>
              <w:left w:val="nil"/>
              <w:bottom w:val="nil"/>
              <w:right w:val="nil"/>
            </w:tcBorders>
          </w:tcPr>
          <w:p w14:paraId="5E06DF8E" w14:textId="11D46FF4"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(-2.38)</w:t>
            </w:r>
          </w:p>
        </w:tc>
        <w:tc>
          <w:tcPr>
            <w:tcW w:w="533" w:type="pct"/>
            <w:tcBorders>
              <w:top w:val="nil"/>
              <w:left w:val="nil"/>
              <w:bottom w:val="nil"/>
              <w:right w:val="nil"/>
            </w:tcBorders>
          </w:tcPr>
          <w:p w14:paraId="48BB380E" w14:textId="729F2DA3"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(-7.51)</w:t>
            </w:r>
          </w:p>
        </w:tc>
      </w:tr>
      <w:tr w:rsidR="00D02A00" w:rsidRPr="003101A0" w14:paraId="0B89D41B" w14:textId="77777777" w:rsidTr="00D02A00">
        <w:tc>
          <w:tcPr>
            <w:tcW w:w="1068" w:type="pct"/>
            <w:tcBorders>
              <w:top w:val="nil"/>
              <w:left w:val="nil"/>
              <w:bottom w:val="nil"/>
              <w:right w:val="nil"/>
            </w:tcBorders>
          </w:tcPr>
          <w:p w14:paraId="6E834AA5" w14:textId="27F6502E" w:rsidR="009249AE" w:rsidRPr="003101A0" w:rsidRDefault="0014059B" w:rsidP="00493F00">
            <w:pPr>
              <w:widowControl w:val="0"/>
              <w:autoSpaceDE w:val="0"/>
              <w:autoSpaceDN w:val="0"/>
              <w:adjustRightInd w:val="0"/>
              <w:spacing w:after="0" w:line="240" w:lineRule="auto"/>
              <w:rPr>
                <w:rFonts w:ascii="Times New Roman" w:hAnsi="Times New Roman" w:cs="Times New Roman"/>
                <w:sz w:val="20"/>
                <w:szCs w:val="20"/>
                <w:lang w:val="en-US"/>
              </w:rPr>
            </w:pPr>
            <w:r w:rsidRPr="001B3472">
              <w:rPr>
                <w:rFonts w:ascii="Times New Roman" w:hAnsi="Times New Roman" w:cs="Times New Roman"/>
                <w:i/>
                <w:iCs/>
                <w:sz w:val="20"/>
                <w:szCs w:val="20"/>
                <w:lang w:val="en-US"/>
              </w:rPr>
              <w:t>p</w:t>
            </w:r>
            <w:r>
              <w:rPr>
                <w:rFonts w:ascii="Times New Roman" w:hAnsi="Times New Roman" w:cs="Times New Roman"/>
                <w:sz w:val="20"/>
                <w:szCs w:val="20"/>
                <w:lang w:val="en-US"/>
              </w:rPr>
              <w:t>-value for d</w:t>
            </w:r>
            <w:r w:rsidR="009249AE" w:rsidRPr="003101A0">
              <w:rPr>
                <w:rFonts w:ascii="Times New Roman" w:hAnsi="Times New Roman" w:cs="Times New Roman"/>
                <w:sz w:val="20"/>
                <w:szCs w:val="20"/>
                <w:lang w:val="en-US"/>
              </w:rPr>
              <w:t xml:space="preserve">ifference </w:t>
            </w:r>
            <w:r w:rsidR="003A2E07">
              <w:rPr>
                <w:rFonts w:ascii="Times New Roman" w:hAnsi="Times New Roman" w:cs="Times New Roman"/>
                <w:sz w:val="20"/>
                <w:szCs w:val="20"/>
                <w:lang w:val="en-US"/>
              </w:rPr>
              <w:t>in</w:t>
            </w:r>
            <w:r w:rsidR="009249AE" w:rsidRPr="003101A0">
              <w:rPr>
                <w:rFonts w:ascii="Times New Roman" w:hAnsi="Times New Roman" w:cs="Times New Roman"/>
                <w:sz w:val="20"/>
                <w:szCs w:val="20"/>
                <w:lang w:val="en-US"/>
              </w:rPr>
              <w:t xml:space="preserve"> </w:t>
            </w:r>
            <w:r w:rsidR="009249AE" w:rsidRPr="003101A0">
              <w:rPr>
                <w:rFonts w:ascii="Times New Roman" w:hAnsi="Times New Roman" w:cs="Times New Roman"/>
                <w:i/>
                <w:iCs/>
                <w:sz w:val="20"/>
                <w:szCs w:val="20"/>
                <w:lang w:val="en-US"/>
              </w:rPr>
              <w:t>Convertible</w:t>
            </w:r>
            <w:r w:rsidR="009249AE" w:rsidRPr="003101A0">
              <w:rPr>
                <w:rFonts w:ascii="Times New Roman" w:hAnsi="Times New Roman" w:cs="Times New Roman"/>
                <w:sz w:val="20"/>
                <w:szCs w:val="20"/>
                <w:lang w:val="en-US"/>
              </w:rPr>
              <w:t xml:space="preserve"> coefficients </w:t>
            </w:r>
            <w:r w:rsidR="00CA1CFB">
              <w:rPr>
                <w:rFonts w:ascii="Times New Roman" w:hAnsi="Times New Roman" w:cs="Times New Roman"/>
                <w:sz w:val="20"/>
                <w:szCs w:val="20"/>
                <w:lang w:val="en-US"/>
              </w:rPr>
              <w:t>between subsamples</w:t>
            </w:r>
          </w:p>
        </w:tc>
        <w:tc>
          <w:tcPr>
            <w:tcW w:w="874" w:type="pct"/>
            <w:gridSpan w:val="2"/>
            <w:tcBorders>
              <w:top w:val="nil"/>
              <w:left w:val="nil"/>
              <w:bottom w:val="nil"/>
              <w:right w:val="nil"/>
            </w:tcBorders>
          </w:tcPr>
          <w:p w14:paraId="7A92C3C1" w14:textId="26906193" w:rsidR="009249AE" w:rsidRPr="003101A0" w:rsidRDefault="009249AE" w:rsidP="00DC5696">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0.025</w:t>
            </w:r>
          </w:p>
        </w:tc>
        <w:tc>
          <w:tcPr>
            <w:tcW w:w="97" w:type="pct"/>
            <w:tcBorders>
              <w:top w:val="nil"/>
              <w:left w:val="nil"/>
              <w:bottom w:val="nil"/>
              <w:right w:val="nil"/>
            </w:tcBorders>
          </w:tcPr>
          <w:p w14:paraId="6B6CB633"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74" w:type="pct"/>
            <w:gridSpan w:val="2"/>
            <w:tcBorders>
              <w:top w:val="nil"/>
              <w:left w:val="nil"/>
              <w:bottom w:val="nil"/>
              <w:right w:val="nil"/>
            </w:tcBorders>
          </w:tcPr>
          <w:p w14:paraId="66B951AE" w14:textId="337D82BD" w:rsidR="009249AE" w:rsidRPr="003101A0" w:rsidRDefault="009249AE" w:rsidP="00DC5696">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0.004</w:t>
            </w:r>
          </w:p>
        </w:tc>
        <w:tc>
          <w:tcPr>
            <w:tcW w:w="97" w:type="pct"/>
            <w:tcBorders>
              <w:top w:val="nil"/>
              <w:left w:val="nil"/>
              <w:bottom w:val="nil"/>
              <w:right w:val="nil"/>
            </w:tcBorders>
          </w:tcPr>
          <w:p w14:paraId="6E7F6091"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77" w:type="pct"/>
            <w:gridSpan w:val="2"/>
            <w:tcBorders>
              <w:top w:val="nil"/>
              <w:left w:val="nil"/>
              <w:bottom w:val="nil"/>
              <w:right w:val="nil"/>
            </w:tcBorders>
          </w:tcPr>
          <w:p w14:paraId="07EED6A6" w14:textId="379B0606" w:rsidR="009249AE" w:rsidRPr="003101A0" w:rsidRDefault="009249AE" w:rsidP="00DC5696">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0.000</w:t>
            </w:r>
          </w:p>
        </w:tc>
        <w:tc>
          <w:tcPr>
            <w:tcW w:w="97" w:type="pct"/>
            <w:tcBorders>
              <w:top w:val="nil"/>
              <w:left w:val="nil"/>
              <w:bottom w:val="nil"/>
              <w:right w:val="nil"/>
            </w:tcBorders>
          </w:tcPr>
          <w:p w14:paraId="70AD475D"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1017" w:type="pct"/>
            <w:gridSpan w:val="2"/>
            <w:tcBorders>
              <w:top w:val="nil"/>
              <w:left w:val="nil"/>
              <w:bottom w:val="nil"/>
              <w:right w:val="nil"/>
            </w:tcBorders>
          </w:tcPr>
          <w:p w14:paraId="4F46EC2D" w14:textId="2599EE47" w:rsidR="009249AE" w:rsidRPr="003101A0" w:rsidRDefault="009249AE" w:rsidP="00DC5696">
            <w:pPr>
              <w:widowControl w:val="0"/>
              <w:autoSpaceDE w:val="0"/>
              <w:autoSpaceDN w:val="0"/>
              <w:adjustRightInd w:val="0"/>
              <w:spacing w:after="0" w:line="240" w:lineRule="auto"/>
              <w:jc w:val="center"/>
              <w:rPr>
                <w:rFonts w:ascii="Times New Roman" w:hAnsi="Times New Roman"/>
                <w:sz w:val="20"/>
                <w:szCs w:val="20"/>
                <w:lang w:val="en-US"/>
              </w:rPr>
            </w:pPr>
            <w:r w:rsidRPr="003101A0">
              <w:rPr>
                <w:rFonts w:ascii="Times New Roman" w:hAnsi="Times New Roman"/>
                <w:sz w:val="20"/>
                <w:szCs w:val="20"/>
                <w:lang w:val="en-US"/>
              </w:rPr>
              <w:t>0.368</w:t>
            </w:r>
          </w:p>
        </w:tc>
      </w:tr>
      <w:tr w:rsidR="00D02A00" w:rsidRPr="003101A0" w14:paraId="4156BE42" w14:textId="77777777" w:rsidTr="00D02A00">
        <w:tc>
          <w:tcPr>
            <w:tcW w:w="1068" w:type="pct"/>
            <w:tcBorders>
              <w:top w:val="nil"/>
              <w:left w:val="nil"/>
              <w:bottom w:val="nil"/>
              <w:right w:val="nil"/>
            </w:tcBorders>
            <w:shd w:val="clear" w:color="auto" w:fill="auto"/>
          </w:tcPr>
          <w:p w14:paraId="700F0622" w14:textId="1D2723E1" w:rsidR="009249AE" w:rsidRPr="003101A0" w:rsidRDefault="009A27A7" w:rsidP="00493F00">
            <w:pPr>
              <w:widowControl w:val="0"/>
              <w:autoSpaceDE w:val="0"/>
              <w:autoSpaceDN w:val="0"/>
              <w:adjustRightInd w:val="0"/>
              <w:spacing w:after="0" w:line="240" w:lineRule="auto"/>
              <w:rPr>
                <w:rFonts w:ascii="Times New Roman" w:hAnsi="Times New Roman" w:cs="Times New Roman"/>
                <w:i/>
                <w:iCs/>
                <w:sz w:val="20"/>
                <w:szCs w:val="20"/>
                <w:lang w:val="en-US"/>
              </w:rPr>
            </w:pPr>
            <w:r w:rsidRPr="003101A0">
              <w:rPr>
                <w:rFonts w:ascii="Times New Roman" w:hAnsi="Times New Roman" w:cs="Times New Roman"/>
                <w:i/>
                <w:iCs/>
                <w:sz w:val="20"/>
                <w:szCs w:val="20"/>
                <w:lang w:val="en-US"/>
              </w:rPr>
              <w:t>Lambda</w:t>
            </w:r>
          </w:p>
        </w:tc>
        <w:tc>
          <w:tcPr>
            <w:tcW w:w="437" w:type="pct"/>
            <w:tcBorders>
              <w:top w:val="nil"/>
              <w:left w:val="nil"/>
              <w:bottom w:val="nil"/>
              <w:right w:val="nil"/>
            </w:tcBorders>
            <w:shd w:val="clear" w:color="auto" w:fill="auto"/>
          </w:tcPr>
          <w:p w14:paraId="0B6B3BB1" w14:textId="137F22D7" w:rsidR="009249AE" w:rsidRPr="003101A0" w:rsidRDefault="00872088"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Pr="00872088">
              <w:rPr>
                <w:rFonts w:ascii="Times New Roman" w:hAnsi="Times New Roman" w:cs="Times New Roman"/>
                <w:sz w:val="20"/>
                <w:szCs w:val="20"/>
                <w:lang w:val="en-US"/>
              </w:rPr>
              <w:t>.031</w:t>
            </w:r>
            <w:r>
              <w:rPr>
                <w:rFonts w:ascii="Times New Roman" w:hAnsi="Times New Roman" w:cs="Times New Roman"/>
                <w:sz w:val="20"/>
                <w:szCs w:val="20"/>
                <w:lang w:val="en-US"/>
              </w:rPr>
              <w:t>**</w:t>
            </w:r>
          </w:p>
        </w:tc>
        <w:tc>
          <w:tcPr>
            <w:tcW w:w="437" w:type="pct"/>
            <w:tcBorders>
              <w:top w:val="nil"/>
              <w:left w:val="nil"/>
              <w:bottom w:val="nil"/>
              <w:right w:val="nil"/>
            </w:tcBorders>
            <w:shd w:val="clear" w:color="auto" w:fill="auto"/>
          </w:tcPr>
          <w:p w14:paraId="2BDDBA29" w14:textId="77D217C9" w:rsidR="009249AE" w:rsidRPr="003101A0" w:rsidRDefault="0055768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Pr="00557684">
              <w:rPr>
                <w:rFonts w:ascii="Times New Roman" w:hAnsi="Times New Roman" w:cs="Times New Roman"/>
                <w:sz w:val="20"/>
                <w:szCs w:val="20"/>
                <w:lang w:val="en-US"/>
              </w:rPr>
              <w:t>.06</w:t>
            </w:r>
            <w:r>
              <w:rPr>
                <w:rFonts w:ascii="Times New Roman" w:hAnsi="Times New Roman" w:cs="Times New Roman"/>
                <w:sz w:val="20"/>
                <w:szCs w:val="20"/>
                <w:lang w:val="en-US"/>
              </w:rPr>
              <w:t>3***</w:t>
            </w:r>
          </w:p>
        </w:tc>
        <w:tc>
          <w:tcPr>
            <w:tcW w:w="97" w:type="pct"/>
            <w:tcBorders>
              <w:top w:val="nil"/>
              <w:left w:val="nil"/>
              <w:bottom w:val="nil"/>
              <w:right w:val="nil"/>
            </w:tcBorders>
          </w:tcPr>
          <w:p w14:paraId="743B8DF5"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7" w:type="pct"/>
            <w:tcBorders>
              <w:top w:val="nil"/>
              <w:left w:val="nil"/>
              <w:bottom w:val="nil"/>
              <w:right w:val="nil"/>
            </w:tcBorders>
            <w:shd w:val="clear" w:color="auto" w:fill="auto"/>
          </w:tcPr>
          <w:p w14:paraId="2BC1F2C1" w14:textId="6B0219C9" w:rsidR="009249AE" w:rsidRPr="003101A0" w:rsidRDefault="00345130"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Pr="00345130">
              <w:rPr>
                <w:rFonts w:ascii="Times New Roman" w:hAnsi="Times New Roman" w:cs="Times New Roman"/>
                <w:sz w:val="20"/>
                <w:szCs w:val="20"/>
                <w:lang w:val="en-US"/>
              </w:rPr>
              <w:t>.043</w:t>
            </w:r>
            <w:r>
              <w:rPr>
                <w:rFonts w:ascii="Times New Roman" w:hAnsi="Times New Roman" w:cs="Times New Roman"/>
                <w:sz w:val="20"/>
                <w:szCs w:val="20"/>
                <w:lang w:val="en-US"/>
              </w:rPr>
              <w:t>***</w:t>
            </w:r>
          </w:p>
        </w:tc>
        <w:tc>
          <w:tcPr>
            <w:tcW w:w="437" w:type="pct"/>
            <w:tcBorders>
              <w:top w:val="nil"/>
              <w:left w:val="nil"/>
              <w:bottom w:val="nil"/>
              <w:right w:val="nil"/>
            </w:tcBorders>
            <w:shd w:val="clear" w:color="auto" w:fill="auto"/>
          </w:tcPr>
          <w:p w14:paraId="4A8AAE9A" w14:textId="633B99EC" w:rsidR="009249AE" w:rsidRPr="003101A0" w:rsidRDefault="00EC6B22"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Pr="00EC6B22">
              <w:rPr>
                <w:rFonts w:ascii="Times New Roman" w:hAnsi="Times New Roman" w:cs="Times New Roman"/>
                <w:sz w:val="20"/>
                <w:szCs w:val="20"/>
                <w:lang w:val="en-US"/>
              </w:rPr>
              <w:t>.05</w:t>
            </w:r>
            <w:r>
              <w:rPr>
                <w:rFonts w:ascii="Times New Roman" w:hAnsi="Times New Roman" w:cs="Times New Roman"/>
                <w:sz w:val="20"/>
                <w:szCs w:val="20"/>
                <w:lang w:val="en-US"/>
              </w:rPr>
              <w:t>2***</w:t>
            </w:r>
          </w:p>
        </w:tc>
        <w:tc>
          <w:tcPr>
            <w:tcW w:w="97" w:type="pct"/>
            <w:tcBorders>
              <w:top w:val="nil"/>
              <w:left w:val="nil"/>
              <w:bottom w:val="nil"/>
              <w:right w:val="nil"/>
            </w:tcBorders>
          </w:tcPr>
          <w:p w14:paraId="455937A4"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8" w:type="pct"/>
            <w:tcBorders>
              <w:top w:val="nil"/>
              <w:left w:val="nil"/>
              <w:bottom w:val="nil"/>
              <w:right w:val="nil"/>
            </w:tcBorders>
            <w:shd w:val="clear" w:color="auto" w:fill="auto"/>
          </w:tcPr>
          <w:p w14:paraId="0AB8656C" w14:textId="5B6F5445" w:rsidR="009249AE" w:rsidRPr="003101A0" w:rsidRDefault="00933C29"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Pr="00933C29">
              <w:rPr>
                <w:rFonts w:ascii="Times New Roman" w:hAnsi="Times New Roman" w:cs="Times New Roman"/>
                <w:sz w:val="20"/>
                <w:szCs w:val="20"/>
                <w:lang w:val="en-US"/>
              </w:rPr>
              <w:t>.062</w:t>
            </w:r>
            <w:r w:rsidR="00F43AFD">
              <w:rPr>
                <w:rFonts w:ascii="Times New Roman" w:hAnsi="Times New Roman" w:cs="Times New Roman"/>
                <w:sz w:val="20"/>
                <w:szCs w:val="20"/>
                <w:lang w:val="en-US"/>
              </w:rPr>
              <w:t>***</w:t>
            </w:r>
          </w:p>
        </w:tc>
        <w:tc>
          <w:tcPr>
            <w:tcW w:w="439" w:type="pct"/>
            <w:tcBorders>
              <w:top w:val="nil"/>
              <w:left w:val="nil"/>
              <w:bottom w:val="nil"/>
              <w:right w:val="nil"/>
            </w:tcBorders>
            <w:shd w:val="clear" w:color="auto" w:fill="auto"/>
          </w:tcPr>
          <w:p w14:paraId="5F17A7B7" w14:textId="43639A1B" w:rsidR="009249AE" w:rsidRPr="003101A0" w:rsidRDefault="002D1FC5"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Pr="002D1FC5">
              <w:rPr>
                <w:rFonts w:ascii="Times New Roman" w:hAnsi="Times New Roman" w:cs="Times New Roman"/>
                <w:sz w:val="20"/>
                <w:szCs w:val="20"/>
                <w:lang w:val="en-US"/>
              </w:rPr>
              <w:t>.0</w:t>
            </w:r>
            <w:r>
              <w:rPr>
                <w:rFonts w:ascii="Times New Roman" w:hAnsi="Times New Roman" w:cs="Times New Roman"/>
                <w:sz w:val="20"/>
                <w:szCs w:val="20"/>
                <w:lang w:val="en-US"/>
              </w:rPr>
              <w:t>40***</w:t>
            </w:r>
          </w:p>
        </w:tc>
        <w:tc>
          <w:tcPr>
            <w:tcW w:w="97" w:type="pct"/>
            <w:tcBorders>
              <w:top w:val="nil"/>
              <w:left w:val="nil"/>
              <w:bottom w:val="nil"/>
              <w:right w:val="nil"/>
            </w:tcBorders>
          </w:tcPr>
          <w:p w14:paraId="2989FC43"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84" w:type="pct"/>
            <w:tcBorders>
              <w:top w:val="nil"/>
              <w:left w:val="nil"/>
              <w:bottom w:val="nil"/>
              <w:right w:val="nil"/>
            </w:tcBorders>
          </w:tcPr>
          <w:p w14:paraId="2D9F5595" w14:textId="52505031" w:rsidR="009249AE" w:rsidRPr="003101A0" w:rsidRDefault="005361C6"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00DA79E6" w:rsidRPr="00DA79E6">
              <w:rPr>
                <w:rFonts w:ascii="Times New Roman" w:hAnsi="Times New Roman" w:cs="Times New Roman"/>
                <w:sz w:val="20"/>
                <w:szCs w:val="20"/>
                <w:lang w:val="en-US"/>
              </w:rPr>
              <w:t>.001</w:t>
            </w:r>
          </w:p>
        </w:tc>
        <w:tc>
          <w:tcPr>
            <w:tcW w:w="533" w:type="pct"/>
            <w:tcBorders>
              <w:top w:val="nil"/>
              <w:left w:val="nil"/>
              <w:bottom w:val="nil"/>
              <w:right w:val="nil"/>
            </w:tcBorders>
          </w:tcPr>
          <w:p w14:paraId="54A2F44B" w14:textId="05C8F2FA" w:rsidR="009249AE" w:rsidRPr="003101A0" w:rsidRDefault="00593786"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Pr="00593786">
              <w:rPr>
                <w:rFonts w:ascii="Times New Roman" w:hAnsi="Times New Roman" w:cs="Times New Roman"/>
                <w:sz w:val="20"/>
                <w:szCs w:val="20"/>
                <w:lang w:val="en-US"/>
              </w:rPr>
              <w:t>.06</w:t>
            </w:r>
            <w:r>
              <w:rPr>
                <w:rFonts w:ascii="Times New Roman" w:hAnsi="Times New Roman" w:cs="Times New Roman"/>
                <w:sz w:val="20"/>
                <w:szCs w:val="20"/>
                <w:lang w:val="en-US"/>
              </w:rPr>
              <w:t>4***</w:t>
            </w:r>
          </w:p>
        </w:tc>
      </w:tr>
      <w:tr w:rsidR="009A27A7" w:rsidRPr="003101A0" w14:paraId="77599421" w14:textId="77777777" w:rsidTr="00D02A00">
        <w:tc>
          <w:tcPr>
            <w:tcW w:w="1068" w:type="pct"/>
            <w:tcBorders>
              <w:top w:val="nil"/>
              <w:left w:val="nil"/>
              <w:bottom w:val="nil"/>
              <w:right w:val="nil"/>
            </w:tcBorders>
            <w:shd w:val="clear" w:color="auto" w:fill="auto"/>
          </w:tcPr>
          <w:p w14:paraId="489EB629" w14:textId="77777777" w:rsidR="009A27A7" w:rsidRPr="003101A0" w:rsidRDefault="009A27A7" w:rsidP="00493F00">
            <w:pPr>
              <w:widowControl w:val="0"/>
              <w:autoSpaceDE w:val="0"/>
              <w:autoSpaceDN w:val="0"/>
              <w:adjustRightInd w:val="0"/>
              <w:spacing w:after="0" w:line="240" w:lineRule="auto"/>
              <w:rPr>
                <w:rFonts w:ascii="Times New Roman" w:hAnsi="Times New Roman" w:cs="Times New Roman"/>
                <w:i/>
                <w:iCs/>
                <w:sz w:val="20"/>
                <w:szCs w:val="20"/>
                <w:lang w:val="en-US"/>
              </w:rPr>
            </w:pPr>
          </w:p>
        </w:tc>
        <w:tc>
          <w:tcPr>
            <w:tcW w:w="437" w:type="pct"/>
            <w:tcBorders>
              <w:top w:val="nil"/>
              <w:left w:val="nil"/>
              <w:bottom w:val="nil"/>
              <w:right w:val="nil"/>
            </w:tcBorders>
            <w:shd w:val="clear" w:color="auto" w:fill="auto"/>
          </w:tcPr>
          <w:p w14:paraId="0BBF29C6" w14:textId="0E1C34ED" w:rsidR="009A27A7" w:rsidRPr="003101A0" w:rsidRDefault="00872088"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Pr="00872088">
              <w:rPr>
                <w:rFonts w:ascii="Times New Roman" w:hAnsi="Times New Roman" w:cs="Times New Roman"/>
                <w:sz w:val="20"/>
                <w:szCs w:val="20"/>
                <w:lang w:val="en-US"/>
              </w:rPr>
              <w:t>2.14</w:t>
            </w:r>
            <w:r>
              <w:rPr>
                <w:rFonts w:ascii="Times New Roman" w:hAnsi="Times New Roman" w:cs="Times New Roman"/>
                <w:sz w:val="20"/>
                <w:szCs w:val="20"/>
                <w:lang w:val="en-US"/>
              </w:rPr>
              <w:t>)</w:t>
            </w:r>
          </w:p>
        </w:tc>
        <w:tc>
          <w:tcPr>
            <w:tcW w:w="437" w:type="pct"/>
            <w:tcBorders>
              <w:top w:val="nil"/>
              <w:left w:val="nil"/>
              <w:bottom w:val="nil"/>
              <w:right w:val="nil"/>
            </w:tcBorders>
            <w:shd w:val="clear" w:color="auto" w:fill="auto"/>
          </w:tcPr>
          <w:p w14:paraId="3FB25377" w14:textId="341EF081" w:rsidR="009A27A7" w:rsidRPr="003101A0" w:rsidRDefault="0055768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(9.51)</w:t>
            </w:r>
          </w:p>
        </w:tc>
        <w:tc>
          <w:tcPr>
            <w:tcW w:w="97" w:type="pct"/>
            <w:tcBorders>
              <w:top w:val="nil"/>
              <w:left w:val="nil"/>
              <w:bottom w:val="nil"/>
              <w:right w:val="nil"/>
            </w:tcBorders>
          </w:tcPr>
          <w:p w14:paraId="3738E176"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7" w:type="pct"/>
            <w:tcBorders>
              <w:top w:val="nil"/>
              <w:left w:val="nil"/>
              <w:bottom w:val="nil"/>
              <w:right w:val="nil"/>
            </w:tcBorders>
            <w:shd w:val="clear" w:color="auto" w:fill="auto"/>
          </w:tcPr>
          <w:p w14:paraId="1C2E2E8E" w14:textId="2853181D" w:rsidR="009A27A7" w:rsidRPr="003101A0" w:rsidRDefault="00345130"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Pr="00345130">
              <w:rPr>
                <w:rFonts w:ascii="Times New Roman" w:hAnsi="Times New Roman" w:cs="Times New Roman"/>
                <w:sz w:val="20"/>
                <w:szCs w:val="20"/>
                <w:lang w:val="en-US"/>
              </w:rPr>
              <w:t>6.72</w:t>
            </w:r>
            <w:r>
              <w:rPr>
                <w:rFonts w:ascii="Times New Roman" w:hAnsi="Times New Roman" w:cs="Times New Roman"/>
                <w:sz w:val="20"/>
                <w:szCs w:val="20"/>
                <w:lang w:val="en-US"/>
              </w:rPr>
              <w:t>)</w:t>
            </w:r>
          </w:p>
        </w:tc>
        <w:tc>
          <w:tcPr>
            <w:tcW w:w="437" w:type="pct"/>
            <w:tcBorders>
              <w:top w:val="nil"/>
              <w:left w:val="nil"/>
              <w:bottom w:val="nil"/>
              <w:right w:val="nil"/>
            </w:tcBorders>
            <w:shd w:val="clear" w:color="auto" w:fill="auto"/>
          </w:tcPr>
          <w:p w14:paraId="32BCCA63" w14:textId="5788D470" w:rsidR="009A27A7" w:rsidRPr="003101A0" w:rsidRDefault="00EC6B22"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(3.80)</w:t>
            </w:r>
          </w:p>
        </w:tc>
        <w:tc>
          <w:tcPr>
            <w:tcW w:w="97" w:type="pct"/>
            <w:tcBorders>
              <w:top w:val="nil"/>
              <w:left w:val="nil"/>
              <w:bottom w:val="nil"/>
              <w:right w:val="nil"/>
            </w:tcBorders>
          </w:tcPr>
          <w:p w14:paraId="0FAD18C7"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8" w:type="pct"/>
            <w:tcBorders>
              <w:top w:val="nil"/>
              <w:left w:val="nil"/>
              <w:bottom w:val="nil"/>
              <w:right w:val="nil"/>
            </w:tcBorders>
            <w:shd w:val="clear" w:color="auto" w:fill="auto"/>
          </w:tcPr>
          <w:p w14:paraId="7E9C317A" w14:textId="30FFEAA5" w:rsidR="009A27A7" w:rsidRPr="003101A0" w:rsidRDefault="00933C29"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(7.38)</w:t>
            </w:r>
          </w:p>
        </w:tc>
        <w:tc>
          <w:tcPr>
            <w:tcW w:w="439" w:type="pct"/>
            <w:tcBorders>
              <w:top w:val="nil"/>
              <w:left w:val="nil"/>
              <w:bottom w:val="nil"/>
              <w:right w:val="nil"/>
            </w:tcBorders>
            <w:shd w:val="clear" w:color="auto" w:fill="auto"/>
          </w:tcPr>
          <w:p w14:paraId="49231573" w14:textId="232C4F92" w:rsidR="009A27A7" w:rsidRPr="003101A0" w:rsidRDefault="002D1FC5"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(4.54)</w:t>
            </w:r>
          </w:p>
        </w:tc>
        <w:tc>
          <w:tcPr>
            <w:tcW w:w="97" w:type="pct"/>
            <w:tcBorders>
              <w:top w:val="nil"/>
              <w:left w:val="nil"/>
              <w:bottom w:val="nil"/>
              <w:right w:val="nil"/>
            </w:tcBorders>
          </w:tcPr>
          <w:p w14:paraId="61FAA7A1"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84" w:type="pct"/>
            <w:tcBorders>
              <w:top w:val="nil"/>
              <w:left w:val="nil"/>
              <w:bottom w:val="nil"/>
              <w:right w:val="nil"/>
            </w:tcBorders>
          </w:tcPr>
          <w:p w14:paraId="67FDB6EF" w14:textId="41052129" w:rsidR="009A27A7" w:rsidRPr="003101A0" w:rsidRDefault="00DA79E6"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(0.09)</w:t>
            </w:r>
          </w:p>
        </w:tc>
        <w:tc>
          <w:tcPr>
            <w:tcW w:w="533" w:type="pct"/>
            <w:tcBorders>
              <w:top w:val="nil"/>
              <w:left w:val="nil"/>
              <w:bottom w:val="nil"/>
              <w:right w:val="nil"/>
            </w:tcBorders>
          </w:tcPr>
          <w:p w14:paraId="0B5FDACD" w14:textId="53AA30A6" w:rsidR="009A27A7" w:rsidRPr="003101A0" w:rsidRDefault="00593786"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(3.50)</w:t>
            </w:r>
          </w:p>
        </w:tc>
      </w:tr>
      <w:tr w:rsidR="009A27A7" w:rsidRPr="003101A0" w14:paraId="15DD73C8" w14:textId="77777777" w:rsidTr="00D02A00">
        <w:tc>
          <w:tcPr>
            <w:tcW w:w="1068" w:type="pct"/>
            <w:tcBorders>
              <w:top w:val="nil"/>
              <w:left w:val="nil"/>
              <w:bottom w:val="nil"/>
              <w:right w:val="nil"/>
            </w:tcBorders>
            <w:shd w:val="clear" w:color="auto" w:fill="auto"/>
          </w:tcPr>
          <w:p w14:paraId="7557ECAD" w14:textId="77777777" w:rsidR="009A27A7" w:rsidRPr="003101A0" w:rsidRDefault="009A27A7" w:rsidP="00493F00">
            <w:pPr>
              <w:widowControl w:val="0"/>
              <w:autoSpaceDE w:val="0"/>
              <w:autoSpaceDN w:val="0"/>
              <w:adjustRightInd w:val="0"/>
              <w:spacing w:after="0" w:line="240" w:lineRule="auto"/>
              <w:rPr>
                <w:rFonts w:ascii="Times New Roman" w:hAnsi="Times New Roman" w:cs="Times New Roman"/>
                <w:i/>
                <w:iCs/>
                <w:sz w:val="20"/>
                <w:szCs w:val="20"/>
                <w:lang w:val="en-US"/>
              </w:rPr>
            </w:pPr>
          </w:p>
        </w:tc>
        <w:tc>
          <w:tcPr>
            <w:tcW w:w="437" w:type="pct"/>
            <w:tcBorders>
              <w:top w:val="nil"/>
              <w:left w:val="nil"/>
              <w:bottom w:val="nil"/>
              <w:right w:val="nil"/>
            </w:tcBorders>
            <w:shd w:val="clear" w:color="auto" w:fill="auto"/>
          </w:tcPr>
          <w:p w14:paraId="491FA3BB"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7" w:type="pct"/>
            <w:tcBorders>
              <w:top w:val="nil"/>
              <w:left w:val="nil"/>
              <w:bottom w:val="nil"/>
              <w:right w:val="nil"/>
            </w:tcBorders>
            <w:shd w:val="clear" w:color="auto" w:fill="auto"/>
          </w:tcPr>
          <w:p w14:paraId="5DD91293"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7" w:type="pct"/>
            <w:tcBorders>
              <w:top w:val="nil"/>
              <w:left w:val="nil"/>
              <w:bottom w:val="nil"/>
              <w:right w:val="nil"/>
            </w:tcBorders>
          </w:tcPr>
          <w:p w14:paraId="6BAA82D7"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7" w:type="pct"/>
            <w:tcBorders>
              <w:top w:val="nil"/>
              <w:left w:val="nil"/>
              <w:bottom w:val="nil"/>
              <w:right w:val="nil"/>
            </w:tcBorders>
            <w:shd w:val="clear" w:color="auto" w:fill="auto"/>
          </w:tcPr>
          <w:p w14:paraId="076A7276"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7" w:type="pct"/>
            <w:tcBorders>
              <w:top w:val="nil"/>
              <w:left w:val="nil"/>
              <w:bottom w:val="nil"/>
              <w:right w:val="nil"/>
            </w:tcBorders>
            <w:shd w:val="clear" w:color="auto" w:fill="auto"/>
          </w:tcPr>
          <w:p w14:paraId="19B5D231"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7" w:type="pct"/>
            <w:tcBorders>
              <w:top w:val="nil"/>
              <w:left w:val="nil"/>
              <w:bottom w:val="nil"/>
              <w:right w:val="nil"/>
            </w:tcBorders>
          </w:tcPr>
          <w:p w14:paraId="6F4D538D"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8" w:type="pct"/>
            <w:tcBorders>
              <w:top w:val="nil"/>
              <w:left w:val="nil"/>
              <w:bottom w:val="nil"/>
              <w:right w:val="nil"/>
            </w:tcBorders>
            <w:shd w:val="clear" w:color="auto" w:fill="auto"/>
          </w:tcPr>
          <w:p w14:paraId="048B3971"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9" w:type="pct"/>
            <w:tcBorders>
              <w:top w:val="nil"/>
              <w:left w:val="nil"/>
              <w:bottom w:val="nil"/>
              <w:right w:val="nil"/>
            </w:tcBorders>
            <w:shd w:val="clear" w:color="auto" w:fill="auto"/>
          </w:tcPr>
          <w:p w14:paraId="6C276935"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7" w:type="pct"/>
            <w:tcBorders>
              <w:top w:val="nil"/>
              <w:left w:val="nil"/>
              <w:bottom w:val="nil"/>
              <w:right w:val="nil"/>
            </w:tcBorders>
          </w:tcPr>
          <w:p w14:paraId="3EFC0932"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84" w:type="pct"/>
            <w:tcBorders>
              <w:top w:val="nil"/>
              <w:left w:val="nil"/>
              <w:bottom w:val="nil"/>
              <w:right w:val="nil"/>
            </w:tcBorders>
          </w:tcPr>
          <w:p w14:paraId="65F98F37"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533" w:type="pct"/>
            <w:tcBorders>
              <w:top w:val="nil"/>
              <w:left w:val="nil"/>
              <w:bottom w:val="nil"/>
              <w:right w:val="nil"/>
            </w:tcBorders>
          </w:tcPr>
          <w:p w14:paraId="31F818D5" w14:textId="77777777" w:rsidR="009A27A7" w:rsidRPr="003101A0" w:rsidRDefault="009A27A7"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D02A00" w:rsidRPr="003101A0" w14:paraId="7000CB32" w14:textId="77777777" w:rsidTr="00D02A00">
        <w:tc>
          <w:tcPr>
            <w:tcW w:w="1068" w:type="pct"/>
            <w:tcBorders>
              <w:top w:val="nil"/>
              <w:left w:val="nil"/>
              <w:bottom w:val="nil"/>
              <w:right w:val="nil"/>
            </w:tcBorders>
            <w:shd w:val="clear" w:color="auto" w:fill="auto"/>
          </w:tcPr>
          <w:p w14:paraId="1181515E" w14:textId="1D994C8E" w:rsidR="009249AE" w:rsidRPr="003101A0" w:rsidRDefault="00093EEF" w:rsidP="00493F00">
            <w:pPr>
              <w:widowControl w:val="0"/>
              <w:autoSpaceDE w:val="0"/>
              <w:autoSpaceDN w:val="0"/>
              <w:adjustRightInd w:val="0"/>
              <w:spacing w:after="0" w:line="240" w:lineRule="auto"/>
              <w:rPr>
                <w:rFonts w:ascii="Times New Roman" w:hAnsi="Times New Roman" w:cs="Times New Roman"/>
                <w:i/>
                <w:iCs/>
                <w:sz w:val="20"/>
                <w:szCs w:val="20"/>
                <w:lang w:val="en-US"/>
              </w:rPr>
            </w:pPr>
            <w:r>
              <w:rPr>
                <w:rFonts w:ascii="Times New Roman" w:hAnsi="Times New Roman" w:cs="Times New Roman"/>
                <w:i/>
                <w:iCs/>
                <w:sz w:val="20"/>
                <w:szCs w:val="20"/>
                <w:lang w:val="en-US"/>
              </w:rPr>
              <w:t>Baseline c</w:t>
            </w:r>
            <w:r w:rsidR="009249AE" w:rsidRPr="003101A0">
              <w:rPr>
                <w:rFonts w:ascii="Times New Roman" w:hAnsi="Times New Roman" w:cs="Times New Roman"/>
                <w:i/>
                <w:iCs/>
                <w:sz w:val="20"/>
                <w:szCs w:val="20"/>
                <w:lang w:val="en-US"/>
              </w:rPr>
              <w:t>ontrol</w:t>
            </w:r>
            <w:r w:rsidR="00E956AE">
              <w:rPr>
                <w:rFonts w:ascii="Times New Roman" w:hAnsi="Times New Roman" w:cs="Times New Roman"/>
                <w:i/>
                <w:iCs/>
                <w:sz w:val="20"/>
                <w:szCs w:val="20"/>
                <w:lang w:val="en-US"/>
              </w:rPr>
              <w:t xml:space="preserve"> </w:t>
            </w:r>
            <w:r w:rsidR="009249AE" w:rsidRPr="003101A0">
              <w:rPr>
                <w:rFonts w:ascii="Times New Roman" w:hAnsi="Times New Roman" w:cs="Times New Roman"/>
                <w:i/>
                <w:iCs/>
                <w:sz w:val="20"/>
                <w:szCs w:val="20"/>
                <w:lang w:val="en-US"/>
              </w:rPr>
              <w:t>variables</w:t>
            </w:r>
          </w:p>
        </w:tc>
        <w:tc>
          <w:tcPr>
            <w:tcW w:w="437" w:type="pct"/>
            <w:tcBorders>
              <w:top w:val="nil"/>
              <w:left w:val="nil"/>
              <w:bottom w:val="nil"/>
              <w:right w:val="nil"/>
            </w:tcBorders>
            <w:shd w:val="clear" w:color="auto" w:fill="auto"/>
          </w:tcPr>
          <w:p w14:paraId="291B337B"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437" w:type="pct"/>
            <w:tcBorders>
              <w:top w:val="nil"/>
              <w:left w:val="nil"/>
              <w:bottom w:val="nil"/>
              <w:right w:val="nil"/>
            </w:tcBorders>
            <w:shd w:val="clear" w:color="auto" w:fill="auto"/>
          </w:tcPr>
          <w:p w14:paraId="1392AF3B"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97" w:type="pct"/>
            <w:tcBorders>
              <w:top w:val="nil"/>
              <w:left w:val="nil"/>
              <w:bottom w:val="nil"/>
              <w:right w:val="nil"/>
            </w:tcBorders>
          </w:tcPr>
          <w:p w14:paraId="7D593116"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7" w:type="pct"/>
            <w:tcBorders>
              <w:top w:val="nil"/>
              <w:left w:val="nil"/>
              <w:bottom w:val="nil"/>
              <w:right w:val="nil"/>
            </w:tcBorders>
            <w:shd w:val="clear" w:color="auto" w:fill="auto"/>
          </w:tcPr>
          <w:p w14:paraId="61BD2435"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437" w:type="pct"/>
            <w:tcBorders>
              <w:top w:val="nil"/>
              <w:left w:val="nil"/>
              <w:bottom w:val="nil"/>
              <w:right w:val="nil"/>
            </w:tcBorders>
            <w:shd w:val="clear" w:color="auto" w:fill="auto"/>
          </w:tcPr>
          <w:p w14:paraId="3022F1FA"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97" w:type="pct"/>
            <w:tcBorders>
              <w:top w:val="nil"/>
              <w:left w:val="nil"/>
              <w:bottom w:val="nil"/>
              <w:right w:val="nil"/>
            </w:tcBorders>
          </w:tcPr>
          <w:p w14:paraId="47A9CCCD"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8" w:type="pct"/>
            <w:tcBorders>
              <w:top w:val="nil"/>
              <w:left w:val="nil"/>
              <w:bottom w:val="nil"/>
              <w:right w:val="nil"/>
            </w:tcBorders>
            <w:shd w:val="clear" w:color="auto" w:fill="auto"/>
          </w:tcPr>
          <w:p w14:paraId="5822AB2A"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439" w:type="pct"/>
            <w:tcBorders>
              <w:top w:val="nil"/>
              <w:left w:val="nil"/>
              <w:bottom w:val="nil"/>
              <w:right w:val="nil"/>
            </w:tcBorders>
            <w:shd w:val="clear" w:color="auto" w:fill="auto"/>
          </w:tcPr>
          <w:p w14:paraId="450D4A2B"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97" w:type="pct"/>
            <w:tcBorders>
              <w:top w:val="nil"/>
              <w:left w:val="nil"/>
              <w:bottom w:val="nil"/>
              <w:right w:val="nil"/>
            </w:tcBorders>
          </w:tcPr>
          <w:p w14:paraId="29E31A48"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84" w:type="pct"/>
            <w:tcBorders>
              <w:top w:val="nil"/>
              <w:left w:val="nil"/>
              <w:bottom w:val="nil"/>
              <w:right w:val="nil"/>
            </w:tcBorders>
          </w:tcPr>
          <w:p w14:paraId="0873FAA6"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533" w:type="pct"/>
            <w:tcBorders>
              <w:top w:val="nil"/>
              <w:left w:val="nil"/>
              <w:bottom w:val="nil"/>
              <w:right w:val="nil"/>
            </w:tcBorders>
          </w:tcPr>
          <w:p w14:paraId="64637883"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r>
      <w:tr w:rsidR="00D02A00" w:rsidRPr="003101A0" w14:paraId="0A90BEAE" w14:textId="77777777" w:rsidTr="00D02A00">
        <w:tc>
          <w:tcPr>
            <w:tcW w:w="1068" w:type="pct"/>
            <w:tcBorders>
              <w:top w:val="nil"/>
              <w:left w:val="nil"/>
              <w:right w:val="nil"/>
            </w:tcBorders>
          </w:tcPr>
          <w:p w14:paraId="3A3D5119" w14:textId="0A79FDBE" w:rsidR="009249AE" w:rsidRPr="003101A0" w:rsidRDefault="00CA1CFB" w:rsidP="00493F00">
            <w:pPr>
              <w:widowControl w:val="0"/>
              <w:autoSpaceDE w:val="0"/>
              <w:autoSpaceDN w:val="0"/>
              <w:adjustRightInd w:val="0"/>
              <w:spacing w:after="0" w:line="240" w:lineRule="auto"/>
              <w:rPr>
                <w:rFonts w:ascii="Times New Roman" w:hAnsi="Times New Roman" w:cs="Times New Roman"/>
                <w:i/>
                <w:iCs/>
                <w:sz w:val="20"/>
                <w:szCs w:val="20"/>
                <w:lang w:val="en-US"/>
              </w:rPr>
            </w:pPr>
            <w:r>
              <w:rPr>
                <w:rFonts w:ascii="Times New Roman" w:hAnsi="Times New Roman" w:cs="Times New Roman"/>
                <w:i/>
                <w:iCs/>
                <w:sz w:val="20"/>
                <w:szCs w:val="20"/>
                <w:lang w:val="en-US"/>
              </w:rPr>
              <w:t>I</w:t>
            </w:r>
            <w:r w:rsidR="009249AE" w:rsidRPr="003101A0">
              <w:rPr>
                <w:rFonts w:ascii="Times New Roman" w:hAnsi="Times New Roman" w:cs="Times New Roman"/>
                <w:i/>
                <w:iCs/>
                <w:sz w:val="20"/>
                <w:szCs w:val="20"/>
                <w:lang w:val="en-US"/>
              </w:rPr>
              <w:t xml:space="preserve">ndustry </w:t>
            </w:r>
            <w:r w:rsidR="00CB2A5E">
              <w:rPr>
                <w:rFonts w:ascii="Times New Roman" w:hAnsi="Times New Roman" w:cs="Times New Roman"/>
                <w:i/>
                <w:iCs/>
                <w:sz w:val="20"/>
                <w:szCs w:val="20"/>
                <w:lang w:val="en-US"/>
              </w:rPr>
              <w:t>FE</w:t>
            </w:r>
          </w:p>
        </w:tc>
        <w:tc>
          <w:tcPr>
            <w:tcW w:w="437" w:type="pct"/>
            <w:tcBorders>
              <w:top w:val="nil"/>
              <w:left w:val="nil"/>
              <w:right w:val="nil"/>
            </w:tcBorders>
          </w:tcPr>
          <w:p w14:paraId="5D5CF6DC" w14:textId="69CD425A"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437" w:type="pct"/>
            <w:tcBorders>
              <w:top w:val="nil"/>
              <w:left w:val="nil"/>
              <w:right w:val="nil"/>
            </w:tcBorders>
          </w:tcPr>
          <w:p w14:paraId="52773A66" w14:textId="027772EE"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97" w:type="pct"/>
            <w:tcBorders>
              <w:top w:val="nil"/>
              <w:left w:val="nil"/>
              <w:right w:val="nil"/>
            </w:tcBorders>
          </w:tcPr>
          <w:p w14:paraId="43084B26"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7" w:type="pct"/>
            <w:tcBorders>
              <w:top w:val="nil"/>
              <w:left w:val="nil"/>
              <w:right w:val="nil"/>
            </w:tcBorders>
          </w:tcPr>
          <w:p w14:paraId="3037C074" w14:textId="5BA0E77B"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437" w:type="pct"/>
            <w:tcBorders>
              <w:top w:val="nil"/>
              <w:left w:val="nil"/>
              <w:right w:val="nil"/>
            </w:tcBorders>
          </w:tcPr>
          <w:p w14:paraId="65DEFF33" w14:textId="46DD4D13"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97" w:type="pct"/>
            <w:tcBorders>
              <w:top w:val="nil"/>
              <w:left w:val="nil"/>
              <w:right w:val="nil"/>
            </w:tcBorders>
          </w:tcPr>
          <w:p w14:paraId="36F1384C"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8" w:type="pct"/>
            <w:tcBorders>
              <w:top w:val="nil"/>
              <w:left w:val="nil"/>
              <w:right w:val="nil"/>
            </w:tcBorders>
          </w:tcPr>
          <w:p w14:paraId="5F097D3F" w14:textId="488D1A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439" w:type="pct"/>
            <w:tcBorders>
              <w:top w:val="nil"/>
              <w:left w:val="nil"/>
              <w:right w:val="nil"/>
            </w:tcBorders>
          </w:tcPr>
          <w:p w14:paraId="0A16B83A" w14:textId="683D2244"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97" w:type="pct"/>
            <w:tcBorders>
              <w:top w:val="nil"/>
              <w:left w:val="nil"/>
              <w:right w:val="nil"/>
            </w:tcBorders>
          </w:tcPr>
          <w:p w14:paraId="24A6307C"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84" w:type="pct"/>
            <w:tcBorders>
              <w:top w:val="nil"/>
              <w:left w:val="nil"/>
              <w:right w:val="nil"/>
            </w:tcBorders>
          </w:tcPr>
          <w:p w14:paraId="169ECD5B" w14:textId="5F1D0C8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533" w:type="pct"/>
            <w:tcBorders>
              <w:top w:val="nil"/>
              <w:left w:val="nil"/>
              <w:right w:val="nil"/>
            </w:tcBorders>
          </w:tcPr>
          <w:p w14:paraId="6538DA66" w14:textId="78768542"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r>
      <w:tr w:rsidR="00D02A00" w:rsidRPr="003101A0" w14:paraId="5A9F2C44" w14:textId="77777777" w:rsidTr="00D02A00">
        <w:tc>
          <w:tcPr>
            <w:tcW w:w="1068" w:type="pct"/>
            <w:tcBorders>
              <w:top w:val="nil"/>
              <w:left w:val="nil"/>
              <w:right w:val="nil"/>
            </w:tcBorders>
          </w:tcPr>
          <w:p w14:paraId="6980313A" w14:textId="77777777" w:rsidR="009249AE" w:rsidRPr="003101A0" w:rsidRDefault="009249AE"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iCs/>
                <w:sz w:val="20"/>
                <w:szCs w:val="20"/>
                <w:lang w:val="en-US"/>
              </w:rPr>
              <w:t>N</w:t>
            </w:r>
          </w:p>
        </w:tc>
        <w:tc>
          <w:tcPr>
            <w:tcW w:w="437" w:type="pct"/>
            <w:tcBorders>
              <w:top w:val="nil"/>
              <w:left w:val="nil"/>
              <w:right w:val="nil"/>
            </w:tcBorders>
          </w:tcPr>
          <w:p w14:paraId="75ED65D8"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2,274</w:t>
            </w:r>
          </w:p>
        </w:tc>
        <w:tc>
          <w:tcPr>
            <w:tcW w:w="437" w:type="pct"/>
            <w:tcBorders>
              <w:top w:val="nil"/>
              <w:left w:val="nil"/>
              <w:right w:val="nil"/>
            </w:tcBorders>
          </w:tcPr>
          <w:p w14:paraId="2F68FF43"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8,834</w:t>
            </w:r>
          </w:p>
        </w:tc>
        <w:tc>
          <w:tcPr>
            <w:tcW w:w="97" w:type="pct"/>
            <w:tcBorders>
              <w:top w:val="nil"/>
              <w:left w:val="nil"/>
              <w:right w:val="nil"/>
            </w:tcBorders>
          </w:tcPr>
          <w:p w14:paraId="6A15877A"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7" w:type="pct"/>
            <w:tcBorders>
              <w:top w:val="nil"/>
              <w:left w:val="nil"/>
              <w:right w:val="nil"/>
            </w:tcBorders>
          </w:tcPr>
          <w:p w14:paraId="56FB40DD"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5,155</w:t>
            </w:r>
          </w:p>
        </w:tc>
        <w:tc>
          <w:tcPr>
            <w:tcW w:w="437" w:type="pct"/>
            <w:tcBorders>
              <w:top w:val="nil"/>
              <w:left w:val="nil"/>
              <w:right w:val="nil"/>
            </w:tcBorders>
          </w:tcPr>
          <w:p w14:paraId="7FF44D8D"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5,953</w:t>
            </w:r>
          </w:p>
        </w:tc>
        <w:tc>
          <w:tcPr>
            <w:tcW w:w="97" w:type="pct"/>
            <w:tcBorders>
              <w:top w:val="nil"/>
              <w:left w:val="nil"/>
              <w:right w:val="nil"/>
            </w:tcBorders>
          </w:tcPr>
          <w:p w14:paraId="5A50104F"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8" w:type="pct"/>
            <w:tcBorders>
              <w:top w:val="nil"/>
              <w:left w:val="nil"/>
              <w:right w:val="nil"/>
            </w:tcBorders>
          </w:tcPr>
          <w:p w14:paraId="4C8E8ABA"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10,076</w:t>
            </w:r>
          </w:p>
        </w:tc>
        <w:tc>
          <w:tcPr>
            <w:tcW w:w="439" w:type="pct"/>
            <w:tcBorders>
              <w:top w:val="nil"/>
              <w:left w:val="nil"/>
              <w:right w:val="nil"/>
            </w:tcBorders>
          </w:tcPr>
          <w:p w14:paraId="136CEE38"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10,077</w:t>
            </w:r>
          </w:p>
        </w:tc>
        <w:tc>
          <w:tcPr>
            <w:tcW w:w="97" w:type="pct"/>
            <w:tcBorders>
              <w:top w:val="nil"/>
              <w:left w:val="nil"/>
              <w:right w:val="nil"/>
            </w:tcBorders>
          </w:tcPr>
          <w:p w14:paraId="54FB9C5B"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84" w:type="pct"/>
            <w:tcBorders>
              <w:top w:val="nil"/>
              <w:left w:val="nil"/>
              <w:right w:val="nil"/>
            </w:tcBorders>
          </w:tcPr>
          <w:p w14:paraId="53AA29DF"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6,025</w:t>
            </w:r>
          </w:p>
        </w:tc>
        <w:tc>
          <w:tcPr>
            <w:tcW w:w="533" w:type="pct"/>
            <w:tcBorders>
              <w:top w:val="nil"/>
              <w:left w:val="nil"/>
              <w:right w:val="nil"/>
            </w:tcBorders>
          </w:tcPr>
          <w:p w14:paraId="42152F8C"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5,083</w:t>
            </w:r>
          </w:p>
        </w:tc>
      </w:tr>
      <w:tr w:rsidR="00D02A00" w:rsidRPr="003101A0" w14:paraId="7A757761" w14:textId="77777777" w:rsidTr="00D02A00">
        <w:tblPrEx>
          <w:tblBorders>
            <w:bottom w:val="single" w:sz="6" w:space="0" w:color="auto"/>
          </w:tblBorders>
        </w:tblPrEx>
        <w:tc>
          <w:tcPr>
            <w:tcW w:w="1068" w:type="pct"/>
            <w:tcBorders>
              <w:top w:val="nil"/>
              <w:left w:val="nil"/>
              <w:bottom w:val="single" w:sz="4" w:space="0" w:color="auto"/>
              <w:right w:val="nil"/>
            </w:tcBorders>
          </w:tcPr>
          <w:p w14:paraId="27721FB8" w14:textId="15A1DA96" w:rsidR="009249AE" w:rsidRPr="003101A0" w:rsidRDefault="009249AE"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Wald </w:t>
            </w:r>
            <w:r w:rsidR="00BD2E53" w:rsidRPr="00BD2E53">
              <w:rPr>
                <w:rFonts w:ascii="Times New Roman" w:hAnsi="Times New Roman" w:cs="Times New Roman"/>
                <w:i/>
                <w:iCs/>
                <w:sz w:val="20"/>
                <w:szCs w:val="20"/>
                <w:lang w:val="en-US"/>
              </w:rPr>
              <w:t>Chi</w:t>
            </w:r>
            <w:r w:rsidRPr="003101A0">
              <w:rPr>
                <w:rFonts w:ascii="Times New Roman" w:hAnsi="Times New Roman" w:cs="Times New Roman"/>
                <w:sz w:val="20"/>
                <w:szCs w:val="20"/>
                <w:vertAlign w:val="superscript"/>
                <w:lang w:val="en-US"/>
              </w:rPr>
              <w:t>2</w:t>
            </w:r>
          </w:p>
        </w:tc>
        <w:tc>
          <w:tcPr>
            <w:tcW w:w="437" w:type="pct"/>
            <w:tcBorders>
              <w:top w:val="nil"/>
              <w:left w:val="nil"/>
              <w:bottom w:val="single" w:sz="4" w:space="0" w:color="auto"/>
              <w:right w:val="nil"/>
            </w:tcBorders>
          </w:tcPr>
          <w:p w14:paraId="6037A8B6" w14:textId="2BDF6496"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2,775</w:t>
            </w:r>
            <w:r w:rsidR="007F5226">
              <w:rPr>
                <w:rFonts w:ascii="Times New Roman" w:hAnsi="Times New Roman"/>
                <w:sz w:val="20"/>
                <w:szCs w:val="20"/>
                <w:lang w:val="en-US"/>
              </w:rPr>
              <w:t>***</w:t>
            </w:r>
          </w:p>
        </w:tc>
        <w:tc>
          <w:tcPr>
            <w:tcW w:w="437" w:type="pct"/>
            <w:tcBorders>
              <w:top w:val="nil"/>
              <w:left w:val="nil"/>
              <w:bottom w:val="single" w:sz="4" w:space="0" w:color="auto"/>
              <w:right w:val="nil"/>
            </w:tcBorders>
          </w:tcPr>
          <w:p w14:paraId="52504A46" w14:textId="2D5EFC0F"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6,922</w:t>
            </w:r>
            <w:r w:rsidR="007F5226">
              <w:rPr>
                <w:rFonts w:ascii="Times New Roman" w:hAnsi="Times New Roman"/>
                <w:sz w:val="20"/>
                <w:szCs w:val="20"/>
                <w:lang w:val="en-US"/>
              </w:rPr>
              <w:t>***</w:t>
            </w:r>
          </w:p>
        </w:tc>
        <w:tc>
          <w:tcPr>
            <w:tcW w:w="97" w:type="pct"/>
            <w:tcBorders>
              <w:top w:val="nil"/>
              <w:left w:val="nil"/>
              <w:bottom w:val="single" w:sz="4" w:space="0" w:color="auto"/>
              <w:right w:val="nil"/>
            </w:tcBorders>
          </w:tcPr>
          <w:p w14:paraId="6D3E3871"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7" w:type="pct"/>
            <w:tcBorders>
              <w:top w:val="nil"/>
              <w:left w:val="nil"/>
              <w:bottom w:val="single" w:sz="4" w:space="0" w:color="auto"/>
              <w:right w:val="nil"/>
            </w:tcBorders>
          </w:tcPr>
          <w:p w14:paraId="07083F2A" w14:textId="138E11F3"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4,593</w:t>
            </w:r>
            <w:r w:rsidR="007F5226">
              <w:rPr>
                <w:rFonts w:ascii="Times New Roman" w:hAnsi="Times New Roman"/>
                <w:sz w:val="20"/>
                <w:szCs w:val="20"/>
                <w:lang w:val="en-US"/>
              </w:rPr>
              <w:t>***</w:t>
            </w:r>
          </w:p>
        </w:tc>
        <w:tc>
          <w:tcPr>
            <w:tcW w:w="437" w:type="pct"/>
            <w:tcBorders>
              <w:top w:val="nil"/>
              <w:left w:val="nil"/>
              <w:bottom w:val="single" w:sz="4" w:space="0" w:color="auto"/>
              <w:right w:val="nil"/>
            </w:tcBorders>
          </w:tcPr>
          <w:p w14:paraId="626BE853" w14:textId="6B1BC9AE"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4,927</w:t>
            </w:r>
            <w:r w:rsidR="007F5226">
              <w:rPr>
                <w:rFonts w:ascii="Times New Roman" w:hAnsi="Times New Roman"/>
                <w:sz w:val="20"/>
                <w:szCs w:val="20"/>
                <w:lang w:val="en-US"/>
              </w:rPr>
              <w:t>***</w:t>
            </w:r>
          </w:p>
        </w:tc>
        <w:tc>
          <w:tcPr>
            <w:tcW w:w="97" w:type="pct"/>
            <w:tcBorders>
              <w:top w:val="nil"/>
              <w:left w:val="nil"/>
              <w:bottom w:val="single" w:sz="4" w:space="0" w:color="auto"/>
              <w:right w:val="nil"/>
            </w:tcBorders>
          </w:tcPr>
          <w:p w14:paraId="60BCAF96"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38" w:type="pct"/>
            <w:tcBorders>
              <w:top w:val="nil"/>
              <w:left w:val="nil"/>
              <w:bottom w:val="single" w:sz="4" w:space="0" w:color="auto"/>
              <w:right w:val="nil"/>
            </w:tcBorders>
          </w:tcPr>
          <w:p w14:paraId="41A8FBDD" w14:textId="52C3523C"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6,619</w:t>
            </w:r>
            <w:r w:rsidR="007F5226">
              <w:rPr>
                <w:rFonts w:ascii="Times New Roman" w:hAnsi="Times New Roman"/>
                <w:sz w:val="20"/>
                <w:szCs w:val="20"/>
                <w:lang w:val="en-US"/>
              </w:rPr>
              <w:t>***</w:t>
            </w:r>
          </w:p>
        </w:tc>
        <w:tc>
          <w:tcPr>
            <w:tcW w:w="439" w:type="pct"/>
            <w:tcBorders>
              <w:top w:val="nil"/>
              <w:left w:val="nil"/>
              <w:bottom w:val="single" w:sz="4" w:space="0" w:color="auto"/>
              <w:right w:val="nil"/>
            </w:tcBorders>
          </w:tcPr>
          <w:p w14:paraId="0AD3161E" w14:textId="34147D80"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6,342</w:t>
            </w:r>
            <w:r w:rsidR="007F5226">
              <w:rPr>
                <w:rFonts w:ascii="Times New Roman" w:hAnsi="Times New Roman"/>
                <w:sz w:val="20"/>
                <w:szCs w:val="20"/>
                <w:lang w:val="en-US"/>
              </w:rPr>
              <w:t>***</w:t>
            </w:r>
          </w:p>
        </w:tc>
        <w:tc>
          <w:tcPr>
            <w:tcW w:w="97" w:type="pct"/>
            <w:tcBorders>
              <w:top w:val="nil"/>
              <w:left w:val="nil"/>
              <w:bottom w:val="single" w:sz="4" w:space="0" w:color="auto"/>
              <w:right w:val="nil"/>
            </w:tcBorders>
          </w:tcPr>
          <w:p w14:paraId="5F0445A7" w14:textId="7777777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84" w:type="pct"/>
            <w:tcBorders>
              <w:top w:val="nil"/>
              <w:left w:val="nil"/>
              <w:bottom w:val="single" w:sz="4" w:space="0" w:color="auto"/>
              <w:right w:val="nil"/>
            </w:tcBorders>
          </w:tcPr>
          <w:p w14:paraId="41F0FFD2" w14:textId="7CB56F2B"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4,532</w:t>
            </w:r>
            <w:r w:rsidR="007F5226">
              <w:rPr>
                <w:rFonts w:ascii="Times New Roman" w:hAnsi="Times New Roman"/>
                <w:sz w:val="20"/>
                <w:szCs w:val="20"/>
                <w:lang w:val="en-US"/>
              </w:rPr>
              <w:t>***</w:t>
            </w:r>
          </w:p>
        </w:tc>
        <w:tc>
          <w:tcPr>
            <w:tcW w:w="533" w:type="pct"/>
            <w:tcBorders>
              <w:top w:val="nil"/>
              <w:left w:val="nil"/>
              <w:bottom w:val="single" w:sz="4" w:space="0" w:color="auto"/>
              <w:right w:val="nil"/>
            </w:tcBorders>
          </w:tcPr>
          <w:p w14:paraId="5592E132" w14:textId="17954E87" w:rsidR="009249AE" w:rsidRPr="003101A0" w:rsidRDefault="009249AE"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4,008</w:t>
            </w:r>
            <w:r w:rsidR="007F5226">
              <w:rPr>
                <w:rFonts w:ascii="Times New Roman" w:hAnsi="Times New Roman"/>
                <w:sz w:val="20"/>
                <w:szCs w:val="20"/>
                <w:lang w:val="en-US"/>
              </w:rPr>
              <w:t>***</w:t>
            </w:r>
          </w:p>
        </w:tc>
      </w:tr>
      <w:tr w:rsidR="002F1225" w:rsidRPr="003101A0" w14:paraId="33E2E548" w14:textId="77777777" w:rsidTr="00D215BD">
        <w:tblPrEx>
          <w:tblBorders>
            <w:bottom w:val="single" w:sz="6" w:space="0" w:color="auto"/>
          </w:tblBorders>
        </w:tblPrEx>
        <w:trPr>
          <w:trHeight w:val="620"/>
        </w:trPr>
        <w:tc>
          <w:tcPr>
            <w:tcW w:w="5000" w:type="pct"/>
            <w:gridSpan w:val="12"/>
            <w:tcBorders>
              <w:top w:val="single" w:sz="4" w:space="0" w:color="auto"/>
              <w:left w:val="nil"/>
              <w:bottom w:val="nil"/>
              <w:right w:val="nil"/>
            </w:tcBorders>
          </w:tcPr>
          <w:p w14:paraId="0771CD70" w14:textId="3BDD37DE" w:rsidR="002F1225" w:rsidRPr="003101A0" w:rsidRDefault="002F1225" w:rsidP="00D215BD">
            <w:pPr>
              <w:widowControl w:val="0"/>
              <w:autoSpaceDE w:val="0"/>
              <w:autoSpaceDN w:val="0"/>
              <w:adjustRightInd w:val="0"/>
              <w:spacing w:after="0" w:line="240" w:lineRule="auto"/>
              <w:jc w:val="both"/>
              <w:rPr>
                <w:rFonts w:ascii="Times New Roman" w:hAnsi="Times New Roman" w:cs="Times New Roman"/>
                <w:sz w:val="18"/>
                <w:szCs w:val="18"/>
                <w:lang w:val="en-US"/>
              </w:rPr>
            </w:pPr>
            <w:r w:rsidRPr="003101A0">
              <w:rPr>
                <w:rFonts w:ascii="Times New Roman" w:eastAsia="Times New Roman" w:hAnsi="Times New Roman" w:cs="Times New Roman"/>
                <w:color w:val="000000"/>
                <w:sz w:val="18"/>
                <w:szCs w:val="18"/>
                <w:lang w:val="en-US" w:eastAsia="en-GB"/>
              </w:rPr>
              <w:t>Notes: This table presents the results of the association of convertibility</w:t>
            </w:r>
            <w:r w:rsidR="006E1DA3">
              <w:rPr>
                <w:rFonts w:ascii="Times New Roman" w:eastAsia="Times New Roman" w:hAnsi="Times New Roman" w:cs="Times New Roman"/>
                <w:color w:val="000000"/>
                <w:sz w:val="18"/>
                <w:szCs w:val="18"/>
                <w:lang w:val="en-US" w:eastAsia="en-GB"/>
              </w:rPr>
              <w:t xml:space="preserve">, </w:t>
            </w:r>
            <w:r w:rsidR="001069D2">
              <w:rPr>
                <w:rFonts w:ascii="Times New Roman" w:eastAsia="Times New Roman" w:hAnsi="Times New Roman" w:cs="Times New Roman"/>
                <w:color w:val="000000"/>
                <w:sz w:val="18"/>
                <w:szCs w:val="18"/>
                <w:lang w:val="en-US" w:eastAsia="en-GB"/>
              </w:rPr>
              <w:t xml:space="preserve">captured </w:t>
            </w:r>
            <w:r w:rsidR="0014059B">
              <w:rPr>
                <w:rFonts w:ascii="Times New Roman" w:eastAsia="Times New Roman" w:hAnsi="Times New Roman" w:cs="Times New Roman"/>
                <w:color w:val="000000"/>
                <w:sz w:val="18"/>
                <w:szCs w:val="18"/>
                <w:lang w:val="en-US" w:eastAsia="en-GB"/>
              </w:rPr>
              <w:t xml:space="preserve">by the </w:t>
            </w:r>
            <w:r w:rsidR="001069D2" w:rsidRPr="001B3472">
              <w:rPr>
                <w:rFonts w:ascii="Times New Roman" w:eastAsia="Times New Roman" w:hAnsi="Times New Roman" w:cs="Times New Roman"/>
                <w:i/>
                <w:iCs/>
                <w:color w:val="000000"/>
                <w:sz w:val="18"/>
                <w:szCs w:val="18"/>
                <w:lang w:val="en-US" w:eastAsia="en-GB"/>
              </w:rPr>
              <w:t xml:space="preserve">Convertible </w:t>
            </w:r>
            <w:r w:rsidR="001069D2">
              <w:rPr>
                <w:rFonts w:ascii="Times New Roman" w:eastAsia="Times New Roman" w:hAnsi="Times New Roman" w:cs="Times New Roman"/>
                <w:color w:val="000000"/>
                <w:sz w:val="18"/>
                <w:szCs w:val="18"/>
                <w:lang w:val="en-US" w:eastAsia="en-GB"/>
              </w:rPr>
              <w:t>dummy</w:t>
            </w:r>
            <w:r w:rsidR="006E1DA3">
              <w:rPr>
                <w:rFonts w:ascii="Times New Roman" w:eastAsia="Times New Roman" w:hAnsi="Times New Roman" w:cs="Times New Roman"/>
                <w:color w:val="000000"/>
                <w:sz w:val="18"/>
                <w:szCs w:val="18"/>
                <w:lang w:val="en-US" w:eastAsia="en-GB"/>
              </w:rPr>
              <w:t>,</w:t>
            </w:r>
            <w:r w:rsidR="001069D2">
              <w:rPr>
                <w:rFonts w:ascii="Times New Roman" w:eastAsia="Times New Roman" w:hAnsi="Times New Roman" w:cs="Times New Roman"/>
                <w:color w:val="000000"/>
                <w:sz w:val="18"/>
                <w:szCs w:val="18"/>
                <w:lang w:val="en-US" w:eastAsia="en-GB"/>
              </w:rPr>
              <w:t xml:space="preserve"> </w:t>
            </w:r>
            <w:r w:rsidRPr="003101A0">
              <w:rPr>
                <w:rFonts w:ascii="Times New Roman" w:eastAsia="Times New Roman" w:hAnsi="Times New Roman" w:cs="Times New Roman"/>
                <w:color w:val="000000"/>
                <w:sz w:val="18"/>
                <w:szCs w:val="18"/>
                <w:lang w:val="en-US" w:eastAsia="en-GB"/>
              </w:rPr>
              <w:t>with covenant intensity for the full sample (Panel A) and relevant subsamples (Panel B). Panel B</w:t>
            </w:r>
            <w:r w:rsidR="009B2858">
              <w:rPr>
                <w:rFonts w:ascii="Times New Roman" w:eastAsia="Times New Roman" w:hAnsi="Times New Roman" w:cs="Times New Roman"/>
                <w:color w:val="000000"/>
                <w:sz w:val="18"/>
                <w:szCs w:val="18"/>
                <w:lang w:val="en-US" w:eastAsia="en-GB"/>
              </w:rPr>
              <w:t xml:space="preserve"> includes the same issuer-</w:t>
            </w:r>
            <w:r w:rsidR="00E956AE">
              <w:rPr>
                <w:rFonts w:ascii="Times New Roman" w:eastAsia="Times New Roman" w:hAnsi="Times New Roman" w:cs="Times New Roman"/>
                <w:color w:val="000000"/>
                <w:sz w:val="18"/>
                <w:szCs w:val="18"/>
                <w:lang w:val="en-US" w:eastAsia="en-GB"/>
              </w:rPr>
              <w:t>specific</w:t>
            </w:r>
            <w:r w:rsidR="009B2858">
              <w:rPr>
                <w:rFonts w:ascii="Times New Roman" w:eastAsia="Times New Roman" w:hAnsi="Times New Roman" w:cs="Times New Roman"/>
                <w:color w:val="000000"/>
                <w:sz w:val="18"/>
                <w:szCs w:val="18"/>
                <w:lang w:val="en-US" w:eastAsia="en-GB"/>
              </w:rPr>
              <w:t>, macroeconomic</w:t>
            </w:r>
            <w:r w:rsidR="00002AF8">
              <w:rPr>
                <w:rFonts w:ascii="Times New Roman" w:eastAsia="Times New Roman" w:hAnsi="Times New Roman" w:cs="Times New Roman"/>
                <w:color w:val="000000"/>
                <w:sz w:val="18"/>
                <w:szCs w:val="18"/>
                <w:lang w:val="en-US" w:eastAsia="en-GB"/>
              </w:rPr>
              <w:t>,</w:t>
            </w:r>
            <w:r w:rsidR="009B2858">
              <w:rPr>
                <w:rFonts w:ascii="Times New Roman" w:eastAsia="Times New Roman" w:hAnsi="Times New Roman" w:cs="Times New Roman"/>
                <w:color w:val="000000"/>
                <w:sz w:val="18"/>
                <w:szCs w:val="18"/>
                <w:lang w:val="en-US" w:eastAsia="en-GB"/>
              </w:rPr>
              <w:t xml:space="preserve"> </w:t>
            </w:r>
            <w:r w:rsidR="00CA1CFB">
              <w:rPr>
                <w:rFonts w:ascii="Times New Roman" w:eastAsia="Times New Roman" w:hAnsi="Times New Roman" w:cs="Times New Roman"/>
                <w:color w:val="000000"/>
                <w:sz w:val="18"/>
                <w:szCs w:val="18"/>
                <w:lang w:val="en-US" w:eastAsia="en-GB"/>
              </w:rPr>
              <w:t xml:space="preserve">and period-specific </w:t>
            </w:r>
            <w:r w:rsidR="009B2858">
              <w:rPr>
                <w:rFonts w:ascii="Times New Roman" w:eastAsia="Times New Roman" w:hAnsi="Times New Roman" w:cs="Times New Roman"/>
                <w:color w:val="000000"/>
                <w:sz w:val="18"/>
                <w:szCs w:val="18"/>
                <w:lang w:val="en-US" w:eastAsia="en-GB"/>
              </w:rPr>
              <w:t>control variables to those in Panel A, column (4)</w:t>
            </w:r>
            <w:r w:rsidRPr="003101A0">
              <w:rPr>
                <w:rFonts w:ascii="Times New Roman" w:eastAsia="Times New Roman" w:hAnsi="Times New Roman" w:cs="Times New Roman"/>
                <w:color w:val="000000"/>
                <w:sz w:val="18"/>
                <w:szCs w:val="18"/>
                <w:lang w:val="en-US" w:eastAsia="en-GB"/>
              </w:rPr>
              <w:t xml:space="preserve">. All tests in Panel B </w:t>
            </w:r>
            <w:r w:rsidR="00CA1CFB">
              <w:rPr>
                <w:rFonts w:ascii="Times New Roman" w:eastAsia="Times New Roman" w:hAnsi="Times New Roman" w:cs="Times New Roman"/>
                <w:color w:val="000000"/>
                <w:sz w:val="18"/>
                <w:szCs w:val="18"/>
                <w:lang w:val="en-US" w:eastAsia="en-GB"/>
              </w:rPr>
              <w:t>adopt</w:t>
            </w:r>
            <w:r w:rsidR="00CA1CFB" w:rsidRPr="003101A0">
              <w:rPr>
                <w:rFonts w:ascii="Times New Roman" w:eastAsia="Times New Roman" w:hAnsi="Times New Roman" w:cs="Times New Roman"/>
                <w:color w:val="000000"/>
                <w:sz w:val="18"/>
                <w:szCs w:val="18"/>
                <w:lang w:val="en-US" w:eastAsia="en-GB"/>
              </w:rPr>
              <w:t xml:space="preserve"> </w:t>
            </w:r>
            <w:r w:rsidRPr="003101A0">
              <w:rPr>
                <w:rFonts w:ascii="Times New Roman" w:eastAsia="Times New Roman" w:hAnsi="Times New Roman" w:cs="Times New Roman"/>
                <w:color w:val="000000"/>
                <w:sz w:val="18"/>
                <w:szCs w:val="18"/>
                <w:lang w:val="en-US" w:eastAsia="en-GB"/>
              </w:rPr>
              <w:t xml:space="preserve">treatment effects models. </w:t>
            </w:r>
            <w:r w:rsidR="00B10D5C">
              <w:rPr>
                <w:rFonts w:ascii="Times New Roman" w:eastAsia="Times New Roman" w:hAnsi="Times New Roman" w:cs="Times New Roman"/>
                <w:color w:val="000000"/>
                <w:sz w:val="18"/>
                <w:szCs w:val="18"/>
                <w:lang w:val="en-US" w:eastAsia="en-GB"/>
              </w:rPr>
              <w:t>R</w:t>
            </w:r>
            <w:r w:rsidRPr="003101A0">
              <w:rPr>
                <w:rFonts w:ascii="Times New Roman" w:hAnsi="Times New Roman" w:cs="Times New Roman"/>
                <w:sz w:val="18"/>
                <w:szCs w:val="18"/>
                <w:lang w:val="en-US"/>
              </w:rPr>
              <w:t>ule</w:t>
            </w:r>
            <w:r w:rsidR="00FD0676">
              <w:rPr>
                <w:rFonts w:ascii="Times New Roman" w:hAnsi="Times New Roman" w:cs="Times New Roman"/>
                <w:sz w:val="18"/>
                <w:szCs w:val="18"/>
                <w:lang w:val="en-US"/>
              </w:rPr>
              <w:t xml:space="preserve"> </w:t>
            </w:r>
            <w:r w:rsidRPr="003101A0">
              <w:rPr>
                <w:rFonts w:ascii="Times New Roman" w:hAnsi="Times New Roman" w:cs="Times New Roman"/>
                <w:sz w:val="18"/>
                <w:szCs w:val="18"/>
                <w:lang w:val="en-US"/>
              </w:rPr>
              <w:t xml:space="preserve">144a bonds are bonds issued through SEC Rule 144a. </w:t>
            </w:r>
            <w:r w:rsidR="00B10D5C">
              <w:rPr>
                <w:rFonts w:ascii="Times New Roman" w:hAnsi="Times New Roman" w:cs="Times New Roman"/>
                <w:sz w:val="18"/>
                <w:szCs w:val="18"/>
                <w:lang w:val="en-US"/>
              </w:rPr>
              <w:t>S</w:t>
            </w:r>
            <w:r w:rsidRPr="003101A0">
              <w:rPr>
                <w:rFonts w:ascii="Times New Roman" w:hAnsi="Times New Roman" w:cs="Times New Roman"/>
                <w:sz w:val="18"/>
                <w:szCs w:val="18"/>
                <w:lang w:val="en-US"/>
              </w:rPr>
              <w:t xml:space="preserve">helf bonds are bonds issued under SEC Rule 415. Debt (Equity)-like convertibles </w:t>
            </w:r>
            <w:r w:rsidR="0014059B">
              <w:rPr>
                <w:rFonts w:ascii="Times New Roman" w:hAnsi="Times New Roman" w:cs="Times New Roman"/>
                <w:sz w:val="18"/>
                <w:szCs w:val="18"/>
                <w:lang w:val="en-US"/>
              </w:rPr>
              <w:t>are</w:t>
            </w:r>
            <w:r w:rsidRPr="003101A0">
              <w:rPr>
                <w:rFonts w:ascii="Times New Roman" w:hAnsi="Times New Roman" w:cs="Times New Roman"/>
                <w:sz w:val="18"/>
                <w:szCs w:val="18"/>
                <w:lang w:val="en-US"/>
              </w:rPr>
              <w:t xml:space="preserve"> convertibles with </w:t>
            </w:r>
            <w:r w:rsidR="0014059B">
              <w:rPr>
                <w:rFonts w:ascii="Times New Roman" w:hAnsi="Times New Roman" w:cs="Times New Roman"/>
                <w:sz w:val="18"/>
                <w:szCs w:val="18"/>
                <w:lang w:val="en-US"/>
              </w:rPr>
              <w:t xml:space="preserve">a </w:t>
            </w:r>
            <w:r w:rsidR="00CA1CFB" w:rsidRPr="001B3472">
              <w:rPr>
                <w:rFonts w:ascii="Times New Roman" w:hAnsi="Times New Roman" w:cs="Times New Roman"/>
                <w:i/>
                <w:iCs/>
                <w:sz w:val="18"/>
                <w:szCs w:val="18"/>
                <w:lang w:val="en-US"/>
              </w:rPr>
              <w:t>C</w:t>
            </w:r>
            <w:r w:rsidRPr="001B3472">
              <w:rPr>
                <w:rFonts w:ascii="Times New Roman" w:hAnsi="Times New Roman" w:cs="Times New Roman"/>
                <w:i/>
                <w:iCs/>
                <w:sz w:val="18"/>
                <w:szCs w:val="18"/>
                <w:lang w:val="en-US"/>
              </w:rPr>
              <w:t>onversion premium</w:t>
            </w:r>
            <w:r w:rsidRPr="003101A0">
              <w:rPr>
                <w:rFonts w:ascii="Times New Roman" w:hAnsi="Times New Roman" w:cs="Times New Roman"/>
                <w:sz w:val="18"/>
                <w:szCs w:val="18"/>
                <w:lang w:val="en-US"/>
              </w:rPr>
              <w:t xml:space="preserve"> </w:t>
            </w:r>
            <w:r w:rsidR="0014059B">
              <w:rPr>
                <w:rFonts w:ascii="Times New Roman" w:hAnsi="Times New Roman" w:cs="Times New Roman"/>
                <w:sz w:val="18"/>
                <w:szCs w:val="18"/>
                <w:lang w:val="en-US"/>
              </w:rPr>
              <w:t>larger than (smaller than or equal</w:t>
            </w:r>
            <w:r w:rsidR="00CA1CFB">
              <w:rPr>
                <w:rFonts w:ascii="Times New Roman" w:hAnsi="Times New Roman" w:cs="Times New Roman"/>
                <w:sz w:val="18"/>
                <w:szCs w:val="18"/>
                <w:lang w:val="en-US"/>
              </w:rPr>
              <w:t xml:space="preserve"> to</w:t>
            </w:r>
            <w:r w:rsidR="0014059B">
              <w:rPr>
                <w:rFonts w:ascii="Times New Roman" w:hAnsi="Times New Roman" w:cs="Times New Roman"/>
                <w:sz w:val="18"/>
                <w:szCs w:val="18"/>
                <w:lang w:val="en-US"/>
              </w:rPr>
              <w:t xml:space="preserve">) the sample </w:t>
            </w:r>
            <w:r w:rsidRPr="003101A0">
              <w:rPr>
                <w:rFonts w:ascii="Times New Roman" w:hAnsi="Times New Roman" w:cs="Times New Roman"/>
                <w:sz w:val="18"/>
                <w:szCs w:val="18"/>
                <w:lang w:val="en-US"/>
              </w:rPr>
              <w:t xml:space="preserve">median. </w:t>
            </w:r>
            <w:r w:rsidR="00B10D5C">
              <w:rPr>
                <w:rFonts w:ascii="Times New Roman" w:hAnsi="Times New Roman" w:cs="Times New Roman"/>
                <w:sz w:val="18"/>
                <w:szCs w:val="18"/>
                <w:lang w:val="en-US"/>
              </w:rPr>
              <w:t>I</w:t>
            </w:r>
            <w:r w:rsidR="0049621F" w:rsidRPr="003101A0">
              <w:rPr>
                <w:rFonts w:ascii="Times New Roman" w:hAnsi="Times New Roman" w:cs="Times New Roman"/>
                <w:sz w:val="18"/>
                <w:szCs w:val="18"/>
                <w:lang w:val="en-US"/>
              </w:rPr>
              <w:t>nvestment-</w:t>
            </w:r>
            <w:r w:rsidRPr="003101A0">
              <w:rPr>
                <w:rFonts w:ascii="Times New Roman" w:hAnsi="Times New Roman" w:cs="Times New Roman"/>
                <w:sz w:val="18"/>
                <w:szCs w:val="18"/>
                <w:lang w:val="en-US"/>
              </w:rPr>
              <w:t xml:space="preserve">grade issuers are issuers with credit rating BBB and above. </w:t>
            </w:r>
            <w:r w:rsidR="00CA1CFB">
              <w:rPr>
                <w:rFonts w:ascii="Times New Roman" w:hAnsi="Times New Roman" w:cs="Times New Roman"/>
                <w:sz w:val="18"/>
                <w:szCs w:val="18"/>
                <w:lang w:val="en-US"/>
              </w:rPr>
              <w:t xml:space="preserve">The </w:t>
            </w:r>
            <w:r w:rsidR="00CA1CFB" w:rsidRPr="003D51FE">
              <w:rPr>
                <w:rFonts w:ascii="Times New Roman" w:hAnsi="Times New Roman" w:cs="Times New Roman"/>
                <w:i/>
                <w:iCs/>
                <w:sz w:val="18"/>
                <w:szCs w:val="18"/>
                <w:lang w:val="en-US"/>
              </w:rPr>
              <w:t>p</w:t>
            </w:r>
            <w:r w:rsidR="00CA1CFB">
              <w:rPr>
                <w:rFonts w:ascii="Times New Roman" w:hAnsi="Times New Roman" w:cs="Times New Roman"/>
                <w:sz w:val="18"/>
                <w:szCs w:val="18"/>
                <w:lang w:val="en-US"/>
              </w:rPr>
              <w:t xml:space="preserve">-value for the difference in </w:t>
            </w:r>
            <w:r w:rsidR="00CA1CFB" w:rsidRPr="003D51FE">
              <w:rPr>
                <w:rFonts w:ascii="Times New Roman" w:hAnsi="Times New Roman" w:cs="Times New Roman"/>
                <w:i/>
                <w:iCs/>
                <w:sz w:val="18"/>
                <w:szCs w:val="18"/>
                <w:lang w:val="en-US"/>
              </w:rPr>
              <w:t>Convertible</w:t>
            </w:r>
            <w:r w:rsidR="00CA1CFB">
              <w:rPr>
                <w:rFonts w:ascii="Times New Roman" w:hAnsi="Times New Roman" w:cs="Times New Roman"/>
                <w:sz w:val="18"/>
                <w:szCs w:val="18"/>
                <w:lang w:val="en-US"/>
              </w:rPr>
              <w:t xml:space="preserve"> coefficients between subsamples in Panel B is based on a Wald </w:t>
            </w:r>
            <w:r w:rsidR="00BD2E53">
              <w:rPr>
                <w:rFonts w:ascii="Times New Roman" w:hAnsi="Times New Roman" w:cs="Times New Roman"/>
                <w:i/>
                <w:iCs/>
                <w:sz w:val="20"/>
                <w:szCs w:val="20"/>
                <w:lang w:val="en-US"/>
              </w:rPr>
              <w:t>Chi</w:t>
            </w:r>
            <w:r w:rsidR="00CA1CFB" w:rsidRPr="003D51FE">
              <w:rPr>
                <w:rFonts w:ascii="Times New Roman" w:hAnsi="Times New Roman" w:cs="Times New Roman"/>
                <w:sz w:val="20"/>
                <w:szCs w:val="20"/>
                <w:vertAlign w:val="superscript"/>
                <w:lang w:val="en-US"/>
              </w:rPr>
              <w:t>2</w:t>
            </w:r>
            <w:r w:rsidR="00FD0676" w:rsidRPr="00FD0676">
              <w:rPr>
                <w:rFonts w:ascii="Times New Roman" w:hAnsi="Times New Roman" w:cs="Times New Roman"/>
                <w:sz w:val="20"/>
                <w:szCs w:val="20"/>
                <w:lang w:val="en-US"/>
              </w:rPr>
              <w:t>-</w:t>
            </w:r>
            <w:r w:rsidR="00CA1CFB">
              <w:rPr>
                <w:rFonts w:ascii="Times New Roman" w:hAnsi="Times New Roman" w:cs="Times New Roman"/>
                <w:sz w:val="18"/>
                <w:szCs w:val="18"/>
                <w:lang w:val="en-US"/>
              </w:rPr>
              <w:t xml:space="preserve">test. </w:t>
            </w:r>
            <w:r w:rsidRPr="003101A0">
              <w:rPr>
                <w:rFonts w:ascii="Times New Roman" w:hAnsi="Times New Roman" w:cs="Times New Roman"/>
                <w:i/>
                <w:sz w:val="18"/>
                <w:szCs w:val="18"/>
                <w:lang w:val="en-US"/>
              </w:rPr>
              <w:t>z</w:t>
            </w:r>
            <w:r w:rsidRPr="003101A0">
              <w:rPr>
                <w:rFonts w:ascii="Times New Roman" w:hAnsi="Times New Roman" w:cs="Times New Roman"/>
                <w:sz w:val="18"/>
                <w:szCs w:val="18"/>
                <w:lang w:val="en-US"/>
              </w:rPr>
              <w:t>-statistics reported in parentheses are based on standard errors corrected for heteroskedasticity</w:t>
            </w:r>
            <w:r w:rsidR="003A2E07">
              <w:rPr>
                <w:rFonts w:ascii="Times New Roman" w:hAnsi="Times New Roman" w:cs="Times New Roman"/>
                <w:sz w:val="18"/>
                <w:szCs w:val="18"/>
                <w:lang w:val="en-US"/>
              </w:rPr>
              <w:t>,</w:t>
            </w:r>
            <w:r w:rsidRPr="003101A0">
              <w:rPr>
                <w:rFonts w:ascii="Times New Roman" w:hAnsi="Times New Roman" w:cs="Times New Roman"/>
                <w:sz w:val="18"/>
                <w:szCs w:val="18"/>
                <w:lang w:val="en-US"/>
              </w:rPr>
              <w:t xml:space="preserve"> and clustered by firm. Continuous variables are </w:t>
            </w:r>
            <w:proofErr w:type="spellStart"/>
            <w:r w:rsidRPr="003101A0">
              <w:rPr>
                <w:rFonts w:ascii="Times New Roman" w:hAnsi="Times New Roman" w:cs="Times New Roman"/>
                <w:sz w:val="18"/>
                <w:szCs w:val="18"/>
                <w:lang w:val="en-US"/>
              </w:rPr>
              <w:t>winsorized</w:t>
            </w:r>
            <w:proofErr w:type="spellEnd"/>
            <w:r w:rsidRPr="003101A0">
              <w:rPr>
                <w:rFonts w:ascii="Times New Roman" w:hAnsi="Times New Roman" w:cs="Times New Roman"/>
                <w:sz w:val="18"/>
                <w:szCs w:val="18"/>
                <w:lang w:val="en-US"/>
              </w:rPr>
              <w:t xml:space="preserve"> at the 1</w:t>
            </w:r>
            <w:r w:rsidRPr="003101A0">
              <w:rPr>
                <w:rFonts w:ascii="Times New Roman" w:hAnsi="Times New Roman" w:cs="Times New Roman"/>
                <w:sz w:val="18"/>
                <w:szCs w:val="18"/>
                <w:vertAlign w:val="superscript"/>
                <w:lang w:val="en-US"/>
              </w:rPr>
              <w:t>st</w:t>
            </w:r>
            <w:r w:rsidRPr="003101A0">
              <w:rPr>
                <w:rFonts w:ascii="Times New Roman" w:hAnsi="Times New Roman" w:cs="Times New Roman"/>
                <w:sz w:val="18"/>
                <w:szCs w:val="18"/>
                <w:lang w:val="en-US"/>
              </w:rPr>
              <w:t xml:space="preserve"> and 99</w:t>
            </w:r>
            <w:r w:rsidRPr="003101A0">
              <w:rPr>
                <w:rFonts w:ascii="Times New Roman" w:hAnsi="Times New Roman" w:cs="Times New Roman"/>
                <w:sz w:val="18"/>
                <w:szCs w:val="18"/>
                <w:vertAlign w:val="superscript"/>
                <w:lang w:val="en-US"/>
              </w:rPr>
              <w:t>th</w:t>
            </w:r>
            <w:r w:rsidRPr="003101A0">
              <w:rPr>
                <w:rFonts w:ascii="Times New Roman" w:hAnsi="Times New Roman" w:cs="Times New Roman"/>
                <w:sz w:val="18"/>
                <w:szCs w:val="18"/>
                <w:lang w:val="en-US"/>
              </w:rPr>
              <w:t xml:space="preserve"> percentiles. </w:t>
            </w:r>
            <w:r w:rsidR="0014059B">
              <w:rPr>
                <w:rFonts w:ascii="Times New Roman" w:hAnsi="Times New Roman" w:cs="Times New Roman"/>
                <w:sz w:val="18"/>
                <w:szCs w:val="18"/>
                <w:lang w:val="en-US"/>
              </w:rPr>
              <w:t xml:space="preserve">The Appendix presents the definition and sources of </w:t>
            </w:r>
            <w:r w:rsidR="003A2E07">
              <w:rPr>
                <w:rFonts w:ascii="Times New Roman" w:hAnsi="Times New Roman" w:cs="Times New Roman"/>
                <w:sz w:val="18"/>
                <w:szCs w:val="18"/>
                <w:lang w:val="en-US"/>
              </w:rPr>
              <w:t xml:space="preserve">all </w:t>
            </w:r>
            <w:r w:rsidR="0014059B">
              <w:rPr>
                <w:rFonts w:ascii="Times New Roman" w:hAnsi="Times New Roman" w:cs="Times New Roman"/>
                <w:sz w:val="18"/>
                <w:szCs w:val="18"/>
                <w:lang w:val="en-US"/>
              </w:rPr>
              <w:t>variables.</w:t>
            </w:r>
            <w:r w:rsidRPr="003101A0">
              <w:rPr>
                <w:rFonts w:ascii="Times New Roman" w:hAnsi="Times New Roman" w:cs="Times New Roman"/>
                <w:sz w:val="18"/>
                <w:szCs w:val="18"/>
                <w:lang w:val="en-US"/>
              </w:rPr>
              <w:t xml:space="preserve"> </w:t>
            </w:r>
            <w:r w:rsidRPr="003101A0">
              <w:rPr>
                <w:rFonts w:ascii="Times New Roman" w:hAnsi="Times New Roman" w:cs="Times New Roman"/>
                <w:i/>
                <w:iCs/>
                <w:sz w:val="18"/>
                <w:szCs w:val="18"/>
                <w:lang w:val="en-US"/>
              </w:rPr>
              <w:t>N</w:t>
            </w:r>
            <w:r w:rsidRPr="003101A0">
              <w:rPr>
                <w:rFonts w:ascii="Times New Roman" w:hAnsi="Times New Roman" w:cs="Times New Roman"/>
                <w:sz w:val="18"/>
                <w:szCs w:val="18"/>
                <w:lang w:val="en-US"/>
              </w:rPr>
              <w:t xml:space="preserve"> denotes </w:t>
            </w:r>
            <w:r w:rsidR="00CA1CFB">
              <w:rPr>
                <w:rFonts w:ascii="Times New Roman" w:hAnsi="Times New Roman" w:cs="Times New Roman"/>
                <w:sz w:val="18"/>
                <w:szCs w:val="18"/>
                <w:lang w:val="en-US"/>
              </w:rPr>
              <w:t xml:space="preserve">the </w:t>
            </w:r>
            <w:r w:rsidRPr="003101A0">
              <w:rPr>
                <w:rFonts w:ascii="Times New Roman" w:hAnsi="Times New Roman" w:cs="Times New Roman"/>
                <w:sz w:val="18"/>
                <w:szCs w:val="18"/>
                <w:lang w:val="en-US"/>
              </w:rPr>
              <w:t xml:space="preserve">number of observations. </w:t>
            </w:r>
            <w:r w:rsidR="0014059B">
              <w:rPr>
                <w:rFonts w:ascii="Times New Roman" w:hAnsi="Times New Roman" w:cs="Times New Roman"/>
                <w:sz w:val="18"/>
                <w:szCs w:val="18"/>
                <w:lang w:val="en-US"/>
              </w:rPr>
              <w:t xml:space="preserve">We </w:t>
            </w:r>
            <w:r w:rsidR="0014059B" w:rsidRPr="00CD063E">
              <w:rPr>
                <w:rFonts w:ascii="Times New Roman" w:hAnsi="Times New Roman" w:cs="Times New Roman"/>
                <w:sz w:val="18"/>
                <w:szCs w:val="18"/>
                <w:lang w:val="en-US"/>
              </w:rPr>
              <w:t xml:space="preserve">use </w:t>
            </w:r>
            <w:r w:rsidRPr="00CD063E">
              <w:rPr>
                <w:rFonts w:ascii="Times New Roman" w:hAnsi="Times New Roman" w:cs="Times New Roman"/>
                <w:sz w:val="18"/>
                <w:szCs w:val="18"/>
                <w:lang w:val="en-US"/>
              </w:rPr>
              <w:t xml:space="preserve">*, **, *** </w:t>
            </w:r>
            <w:r w:rsidR="0014059B" w:rsidRPr="00CD063E">
              <w:rPr>
                <w:rFonts w:ascii="Times New Roman" w:hAnsi="Times New Roman" w:cs="Times New Roman"/>
                <w:sz w:val="18"/>
                <w:szCs w:val="18"/>
                <w:lang w:val="en-US"/>
              </w:rPr>
              <w:t>to</w:t>
            </w:r>
            <w:r w:rsidR="0014059B">
              <w:rPr>
                <w:rFonts w:ascii="Times New Roman" w:hAnsi="Times New Roman" w:cs="Times New Roman"/>
                <w:sz w:val="18"/>
                <w:szCs w:val="18"/>
                <w:lang w:val="en-US"/>
              </w:rPr>
              <w:t xml:space="preserve"> </w:t>
            </w:r>
            <w:r w:rsidRPr="003101A0">
              <w:rPr>
                <w:rFonts w:ascii="Times New Roman" w:hAnsi="Times New Roman" w:cs="Times New Roman"/>
                <w:sz w:val="18"/>
                <w:szCs w:val="18"/>
                <w:lang w:val="en-US"/>
              </w:rPr>
              <w:t>denote significance at the 10</w:t>
            </w:r>
            <w:r w:rsidR="0014059B">
              <w:rPr>
                <w:rFonts w:ascii="Times New Roman" w:hAnsi="Times New Roman" w:cs="Times New Roman"/>
                <w:sz w:val="18"/>
                <w:szCs w:val="18"/>
                <w:lang w:val="en-US"/>
              </w:rPr>
              <w:t>%</w:t>
            </w:r>
            <w:r w:rsidRPr="003101A0">
              <w:rPr>
                <w:rFonts w:ascii="Times New Roman" w:hAnsi="Times New Roman" w:cs="Times New Roman"/>
                <w:sz w:val="18"/>
                <w:szCs w:val="18"/>
                <w:lang w:val="en-US"/>
              </w:rPr>
              <w:t>, 5</w:t>
            </w:r>
            <w:r w:rsidR="0014059B">
              <w:rPr>
                <w:rFonts w:ascii="Times New Roman" w:hAnsi="Times New Roman" w:cs="Times New Roman"/>
                <w:sz w:val="18"/>
                <w:szCs w:val="18"/>
                <w:lang w:val="en-US"/>
              </w:rPr>
              <w:t>%</w:t>
            </w:r>
            <w:r w:rsidRPr="003101A0">
              <w:rPr>
                <w:rFonts w:ascii="Times New Roman" w:hAnsi="Times New Roman" w:cs="Times New Roman"/>
                <w:sz w:val="18"/>
                <w:szCs w:val="18"/>
                <w:lang w:val="en-US"/>
              </w:rPr>
              <w:t xml:space="preserve"> and 1</w:t>
            </w:r>
            <w:r w:rsidR="0014059B">
              <w:rPr>
                <w:rFonts w:ascii="Times New Roman" w:hAnsi="Times New Roman" w:cs="Times New Roman"/>
                <w:sz w:val="18"/>
                <w:szCs w:val="18"/>
                <w:lang w:val="en-US"/>
              </w:rPr>
              <w:t>%</w:t>
            </w:r>
            <w:r w:rsidRPr="003101A0">
              <w:rPr>
                <w:rFonts w:ascii="Times New Roman" w:hAnsi="Times New Roman" w:cs="Times New Roman"/>
                <w:sz w:val="18"/>
                <w:szCs w:val="18"/>
                <w:lang w:val="en-US"/>
              </w:rPr>
              <w:t xml:space="preserve"> levels, respectively (two-tailed).</w:t>
            </w:r>
          </w:p>
        </w:tc>
      </w:tr>
    </w:tbl>
    <w:p w14:paraId="2282B959" w14:textId="77777777" w:rsidR="00294950" w:rsidRPr="003101A0" w:rsidRDefault="00294950" w:rsidP="00D215BD">
      <w:pPr>
        <w:tabs>
          <w:tab w:val="left" w:pos="4850"/>
        </w:tabs>
        <w:spacing w:after="0" w:line="240" w:lineRule="auto"/>
        <w:rPr>
          <w:rFonts w:ascii="Times New Roman" w:hAnsi="Times New Roman" w:cs="Times New Roman"/>
          <w:i/>
          <w:sz w:val="20"/>
          <w:szCs w:val="20"/>
          <w:lang w:val="en-US"/>
        </w:rPr>
        <w:sectPr w:rsidR="00294950" w:rsidRPr="003101A0" w:rsidSect="003101A0">
          <w:pgSz w:w="16840" w:h="11900" w:orient="landscape"/>
          <w:pgMar w:top="1440" w:right="1440" w:bottom="1440" w:left="1440" w:header="708" w:footer="708" w:gutter="0"/>
          <w:cols w:space="708"/>
          <w:docGrid w:linePitch="360"/>
        </w:sectPr>
      </w:pPr>
    </w:p>
    <w:p w14:paraId="0C0D5C09" w14:textId="330F0D44" w:rsidR="00294950" w:rsidRPr="003101A0" w:rsidRDefault="00294950" w:rsidP="00D215BD">
      <w:pPr>
        <w:tabs>
          <w:tab w:val="left" w:pos="4850"/>
        </w:tabs>
        <w:spacing w:after="0" w:line="240" w:lineRule="auto"/>
        <w:rPr>
          <w:rFonts w:ascii="Times New Roman" w:hAnsi="Times New Roman" w:cs="Times New Roman"/>
          <w:b/>
          <w:bCs/>
          <w:iCs/>
          <w:sz w:val="20"/>
          <w:szCs w:val="20"/>
          <w:lang w:val="en-US" w:eastAsia="zh-CN"/>
        </w:rPr>
      </w:pPr>
      <w:r w:rsidRPr="003101A0">
        <w:rPr>
          <w:rFonts w:ascii="Times New Roman" w:hAnsi="Times New Roman" w:cs="Times New Roman"/>
          <w:b/>
          <w:bCs/>
          <w:iCs/>
          <w:sz w:val="20"/>
          <w:szCs w:val="20"/>
          <w:lang w:val="en-US"/>
        </w:rPr>
        <w:lastRenderedPageBreak/>
        <w:t xml:space="preserve">Table 5: Association between </w:t>
      </w:r>
      <w:r w:rsidR="00786D83">
        <w:rPr>
          <w:rFonts w:ascii="Times New Roman" w:hAnsi="Times New Roman" w:cs="Times New Roman"/>
          <w:b/>
          <w:bCs/>
          <w:iCs/>
          <w:sz w:val="20"/>
          <w:szCs w:val="20"/>
          <w:lang w:val="en-US"/>
        </w:rPr>
        <w:t>convertibility</w:t>
      </w:r>
      <w:r w:rsidR="00151EDC" w:rsidRPr="003101A0">
        <w:rPr>
          <w:rFonts w:ascii="Times New Roman" w:hAnsi="Times New Roman" w:cs="Times New Roman"/>
          <w:b/>
          <w:bCs/>
          <w:iCs/>
          <w:sz w:val="20"/>
          <w:szCs w:val="20"/>
          <w:lang w:val="en-US"/>
        </w:rPr>
        <w:t xml:space="preserve"> </w:t>
      </w:r>
      <w:r w:rsidRPr="003101A0">
        <w:rPr>
          <w:rFonts w:ascii="Times New Roman" w:hAnsi="Times New Roman" w:cs="Times New Roman"/>
          <w:b/>
          <w:bCs/>
          <w:iCs/>
          <w:sz w:val="20"/>
          <w:szCs w:val="20"/>
          <w:lang w:val="en-US"/>
        </w:rPr>
        <w:t xml:space="preserve">and </w:t>
      </w:r>
      <w:r w:rsidR="00766F4F" w:rsidRPr="003101A0">
        <w:rPr>
          <w:rFonts w:ascii="Times New Roman" w:hAnsi="Times New Roman" w:cs="Times New Roman"/>
          <w:b/>
          <w:bCs/>
          <w:iCs/>
          <w:sz w:val="20"/>
          <w:szCs w:val="20"/>
          <w:lang w:val="en-US"/>
        </w:rPr>
        <w:t>the four</w:t>
      </w:r>
      <w:r w:rsidRPr="003101A0">
        <w:rPr>
          <w:rFonts w:ascii="Times New Roman" w:hAnsi="Times New Roman" w:cs="Times New Roman"/>
          <w:b/>
          <w:bCs/>
          <w:iCs/>
          <w:sz w:val="20"/>
          <w:szCs w:val="20"/>
          <w:lang w:val="en-US"/>
        </w:rPr>
        <w:t xml:space="preserve"> covenant</w:t>
      </w:r>
      <w:r w:rsidR="00766F4F" w:rsidRPr="003101A0">
        <w:rPr>
          <w:rFonts w:ascii="Times New Roman" w:hAnsi="Times New Roman" w:cs="Times New Roman"/>
          <w:b/>
          <w:bCs/>
          <w:iCs/>
          <w:sz w:val="20"/>
          <w:szCs w:val="20"/>
          <w:lang w:val="en-US"/>
        </w:rPr>
        <w:t xml:space="preserve"> </w:t>
      </w:r>
      <w:r w:rsidR="00151EDC" w:rsidRPr="003101A0">
        <w:rPr>
          <w:rFonts w:ascii="Times New Roman" w:hAnsi="Times New Roman" w:cs="Times New Roman"/>
          <w:b/>
          <w:bCs/>
          <w:iCs/>
          <w:sz w:val="20"/>
          <w:szCs w:val="20"/>
          <w:lang w:val="en-US"/>
        </w:rPr>
        <w:t>groups</w:t>
      </w:r>
    </w:p>
    <w:tbl>
      <w:tblPr>
        <w:tblW w:w="5157" w:type="pct"/>
        <w:jc w:val="center"/>
        <w:tblCellMar>
          <w:left w:w="75" w:type="dxa"/>
          <w:right w:w="75" w:type="dxa"/>
        </w:tblCellMar>
        <w:tblLook w:val="0000" w:firstRow="0" w:lastRow="0" w:firstColumn="0" w:lastColumn="0" w:noHBand="0" w:noVBand="0"/>
      </w:tblPr>
      <w:tblGrid>
        <w:gridCol w:w="1979"/>
        <w:gridCol w:w="1935"/>
        <w:gridCol w:w="1792"/>
        <w:gridCol w:w="1792"/>
        <w:gridCol w:w="1805"/>
      </w:tblGrid>
      <w:tr w:rsidR="00294950" w:rsidRPr="003101A0" w14:paraId="24E0D0CB" w14:textId="77777777" w:rsidTr="003101A0">
        <w:trPr>
          <w:jc w:val="center"/>
        </w:trPr>
        <w:tc>
          <w:tcPr>
            <w:tcW w:w="1064" w:type="pct"/>
            <w:tcBorders>
              <w:top w:val="single" w:sz="4" w:space="0" w:color="auto"/>
              <w:left w:val="nil"/>
              <w:right w:val="nil"/>
            </w:tcBorders>
          </w:tcPr>
          <w:p w14:paraId="77906A6E" w14:textId="77777777" w:rsidR="00294950" w:rsidRPr="003101A0" w:rsidRDefault="00294950"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single" w:sz="4" w:space="0" w:color="auto"/>
              <w:left w:val="nil"/>
              <w:right w:val="nil"/>
            </w:tcBorders>
          </w:tcPr>
          <w:p w14:paraId="7A5001C2" w14:textId="77777777" w:rsidR="00294950" w:rsidRPr="003101A0" w:rsidRDefault="00294950"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w:t>
            </w:r>
          </w:p>
        </w:tc>
        <w:tc>
          <w:tcPr>
            <w:tcW w:w="963" w:type="pct"/>
            <w:tcBorders>
              <w:top w:val="single" w:sz="4" w:space="0" w:color="auto"/>
              <w:left w:val="nil"/>
              <w:right w:val="nil"/>
            </w:tcBorders>
          </w:tcPr>
          <w:p w14:paraId="6A605CCB" w14:textId="77777777" w:rsidR="00294950" w:rsidRPr="003101A0" w:rsidRDefault="00294950"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(2)</w:t>
            </w:r>
          </w:p>
        </w:tc>
        <w:tc>
          <w:tcPr>
            <w:tcW w:w="963" w:type="pct"/>
            <w:tcBorders>
              <w:top w:val="single" w:sz="4" w:space="0" w:color="auto"/>
              <w:left w:val="nil"/>
              <w:right w:val="nil"/>
            </w:tcBorders>
          </w:tcPr>
          <w:p w14:paraId="0DD4D88D" w14:textId="77777777" w:rsidR="00294950" w:rsidRPr="003101A0" w:rsidRDefault="00294950"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(3)</w:t>
            </w:r>
          </w:p>
        </w:tc>
        <w:tc>
          <w:tcPr>
            <w:tcW w:w="970" w:type="pct"/>
            <w:tcBorders>
              <w:top w:val="single" w:sz="4" w:space="0" w:color="auto"/>
              <w:left w:val="nil"/>
              <w:right w:val="nil"/>
            </w:tcBorders>
          </w:tcPr>
          <w:p w14:paraId="398455EA" w14:textId="77777777" w:rsidR="00294950" w:rsidRPr="003101A0" w:rsidRDefault="00294950"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(4)</w:t>
            </w:r>
          </w:p>
        </w:tc>
      </w:tr>
      <w:tr w:rsidR="00294950" w:rsidRPr="003101A0" w14:paraId="7DF042ED" w14:textId="77777777" w:rsidTr="003101A0">
        <w:trPr>
          <w:jc w:val="center"/>
        </w:trPr>
        <w:tc>
          <w:tcPr>
            <w:tcW w:w="1064" w:type="pct"/>
            <w:tcBorders>
              <w:top w:val="nil"/>
              <w:left w:val="nil"/>
              <w:bottom w:val="single" w:sz="6" w:space="0" w:color="auto"/>
              <w:right w:val="nil"/>
            </w:tcBorders>
          </w:tcPr>
          <w:p w14:paraId="5FB6CCF7" w14:textId="77777777" w:rsidR="00294950" w:rsidRPr="003101A0" w:rsidRDefault="00294950"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single" w:sz="6" w:space="0" w:color="auto"/>
              <w:right w:val="nil"/>
            </w:tcBorders>
          </w:tcPr>
          <w:p w14:paraId="02E21C0A" w14:textId="77777777" w:rsidR="00294950" w:rsidRPr="003101A0" w:rsidRDefault="00294950" w:rsidP="00DC5696">
            <w:pPr>
              <w:widowControl w:val="0"/>
              <w:autoSpaceDE w:val="0"/>
              <w:autoSpaceDN w:val="0"/>
              <w:adjustRightInd w:val="0"/>
              <w:spacing w:after="0" w:line="240" w:lineRule="auto"/>
              <w:jc w:val="center"/>
              <w:rPr>
                <w:rFonts w:ascii="Times New Roman" w:hAnsi="Times New Roman" w:cs="Times New Roman"/>
                <w:i/>
                <w:iCs/>
                <w:sz w:val="20"/>
                <w:szCs w:val="20"/>
                <w:lang w:val="en-US"/>
              </w:rPr>
            </w:pPr>
            <w:r w:rsidRPr="003101A0">
              <w:rPr>
                <w:rFonts w:ascii="Times New Roman" w:hAnsi="Times New Roman" w:cs="Times New Roman"/>
                <w:i/>
                <w:iCs/>
                <w:sz w:val="20"/>
                <w:szCs w:val="20"/>
                <w:lang w:val="en-US"/>
              </w:rPr>
              <w:t>Investment covenant dummy</w:t>
            </w:r>
          </w:p>
        </w:tc>
        <w:tc>
          <w:tcPr>
            <w:tcW w:w="963" w:type="pct"/>
            <w:tcBorders>
              <w:top w:val="nil"/>
              <w:left w:val="nil"/>
              <w:bottom w:val="single" w:sz="6" w:space="0" w:color="auto"/>
              <w:right w:val="nil"/>
            </w:tcBorders>
          </w:tcPr>
          <w:p w14:paraId="375A6C39" w14:textId="393F73CC" w:rsidR="00294950" w:rsidRPr="003101A0" w:rsidRDefault="00294950" w:rsidP="00DC5696">
            <w:pPr>
              <w:widowControl w:val="0"/>
              <w:autoSpaceDE w:val="0"/>
              <w:autoSpaceDN w:val="0"/>
              <w:adjustRightInd w:val="0"/>
              <w:spacing w:after="0" w:line="240" w:lineRule="auto"/>
              <w:jc w:val="center"/>
              <w:rPr>
                <w:rFonts w:ascii="Times New Roman" w:hAnsi="Times New Roman" w:cs="Times New Roman"/>
                <w:i/>
                <w:iCs/>
                <w:sz w:val="20"/>
                <w:szCs w:val="20"/>
                <w:lang w:val="en-US"/>
              </w:rPr>
            </w:pPr>
            <w:r w:rsidRPr="003101A0">
              <w:rPr>
                <w:rFonts w:ascii="Times New Roman" w:hAnsi="Times New Roman" w:cs="Times New Roman"/>
                <w:i/>
                <w:iCs/>
                <w:sz w:val="20"/>
                <w:szCs w:val="20"/>
                <w:lang w:val="en-US"/>
              </w:rPr>
              <w:t>Payout covenant dummy</w:t>
            </w:r>
          </w:p>
        </w:tc>
        <w:tc>
          <w:tcPr>
            <w:tcW w:w="963" w:type="pct"/>
            <w:tcBorders>
              <w:top w:val="nil"/>
              <w:left w:val="nil"/>
              <w:bottom w:val="single" w:sz="6" w:space="0" w:color="auto"/>
              <w:right w:val="nil"/>
            </w:tcBorders>
          </w:tcPr>
          <w:p w14:paraId="22F69037" w14:textId="77777777" w:rsidR="00294950" w:rsidRPr="003101A0" w:rsidRDefault="00294950" w:rsidP="00DC5696">
            <w:pPr>
              <w:widowControl w:val="0"/>
              <w:autoSpaceDE w:val="0"/>
              <w:autoSpaceDN w:val="0"/>
              <w:adjustRightInd w:val="0"/>
              <w:spacing w:after="0" w:line="240" w:lineRule="auto"/>
              <w:jc w:val="center"/>
              <w:rPr>
                <w:rFonts w:ascii="Times New Roman" w:hAnsi="Times New Roman" w:cs="Times New Roman"/>
                <w:i/>
                <w:iCs/>
                <w:sz w:val="20"/>
                <w:szCs w:val="20"/>
                <w:lang w:val="en-US"/>
              </w:rPr>
            </w:pPr>
            <w:r w:rsidRPr="003101A0">
              <w:rPr>
                <w:rFonts w:ascii="Times New Roman" w:hAnsi="Times New Roman" w:cs="Times New Roman"/>
                <w:i/>
                <w:iCs/>
                <w:sz w:val="20"/>
                <w:szCs w:val="20"/>
                <w:lang w:val="en-US"/>
              </w:rPr>
              <w:t>Financing covenant dummy</w:t>
            </w:r>
          </w:p>
        </w:tc>
        <w:tc>
          <w:tcPr>
            <w:tcW w:w="970" w:type="pct"/>
            <w:tcBorders>
              <w:top w:val="nil"/>
              <w:left w:val="nil"/>
              <w:bottom w:val="single" w:sz="6" w:space="0" w:color="auto"/>
              <w:right w:val="nil"/>
            </w:tcBorders>
          </w:tcPr>
          <w:p w14:paraId="68075FBA" w14:textId="77777777" w:rsidR="00294950" w:rsidRPr="003101A0" w:rsidRDefault="00294950" w:rsidP="00DC5696">
            <w:pPr>
              <w:widowControl w:val="0"/>
              <w:autoSpaceDE w:val="0"/>
              <w:autoSpaceDN w:val="0"/>
              <w:adjustRightInd w:val="0"/>
              <w:spacing w:after="0" w:line="240" w:lineRule="auto"/>
              <w:jc w:val="center"/>
              <w:rPr>
                <w:rFonts w:ascii="Times New Roman" w:hAnsi="Times New Roman" w:cs="Times New Roman"/>
                <w:i/>
                <w:iCs/>
                <w:sz w:val="20"/>
                <w:szCs w:val="20"/>
                <w:lang w:val="en-US"/>
              </w:rPr>
            </w:pPr>
            <w:r w:rsidRPr="003101A0">
              <w:rPr>
                <w:rFonts w:ascii="Times New Roman" w:hAnsi="Times New Roman" w:cs="Times New Roman"/>
                <w:i/>
                <w:iCs/>
                <w:sz w:val="20"/>
                <w:szCs w:val="20"/>
                <w:lang w:val="en-US"/>
              </w:rPr>
              <w:t>Event covenant dummy</w:t>
            </w:r>
          </w:p>
        </w:tc>
      </w:tr>
      <w:tr w:rsidR="009B0864" w:rsidRPr="003101A0" w14:paraId="1299634F" w14:textId="77777777" w:rsidTr="003101A0">
        <w:trPr>
          <w:jc w:val="center"/>
        </w:trPr>
        <w:tc>
          <w:tcPr>
            <w:tcW w:w="1064" w:type="pct"/>
            <w:tcBorders>
              <w:top w:val="nil"/>
              <w:left w:val="nil"/>
              <w:bottom w:val="nil"/>
              <w:right w:val="nil"/>
            </w:tcBorders>
          </w:tcPr>
          <w:p w14:paraId="05446E92"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Convertible</w:t>
            </w:r>
          </w:p>
        </w:tc>
        <w:tc>
          <w:tcPr>
            <w:tcW w:w="1040" w:type="pct"/>
            <w:tcBorders>
              <w:top w:val="nil"/>
              <w:left w:val="nil"/>
              <w:bottom w:val="nil"/>
              <w:right w:val="nil"/>
            </w:tcBorders>
          </w:tcPr>
          <w:p w14:paraId="2D527CE1" w14:textId="4FF95BDA"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-0.030</w:t>
            </w:r>
          </w:p>
        </w:tc>
        <w:tc>
          <w:tcPr>
            <w:tcW w:w="963" w:type="pct"/>
            <w:tcBorders>
              <w:top w:val="nil"/>
              <w:left w:val="nil"/>
              <w:bottom w:val="nil"/>
              <w:right w:val="nil"/>
            </w:tcBorders>
          </w:tcPr>
          <w:p w14:paraId="508D9329" w14:textId="07BC875F"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-0.784***</w:t>
            </w:r>
          </w:p>
        </w:tc>
        <w:tc>
          <w:tcPr>
            <w:tcW w:w="963" w:type="pct"/>
            <w:tcBorders>
              <w:top w:val="nil"/>
              <w:left w:val="nil"/>
              <w:bottom w:val="nil"/>
              <w:right w:val="nil"/>
            </w:tcBorders>
          </w:tcPr>
          <w:p w14:paraId="62537A69" w14:textId="6FD305D2"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-0.563***</w:t>
            </w:r>
          </w:p>
        </w:tc>
        <w:tc>
          <w:tcPr>
            <w:tcW w:w="970" w:type="pct"/>
            <w:tcBorders>
              <w:top w:val="nil"/>
              <w:left w:val="nil"/>
              <w:bottom w:val="nil"/>
              <w:right w:val="nil"/>
            </w:tcBorders>
          </w:tcPr>
          <w:p w14:paraId="378C0B47" w14:textId="63D696C8"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0.162***</w:t>
            </w:r>
          </w:p>
        </w:tc>
      </w:tr>
      <w:tr w:rsidR="009B0864" w:rsidRPr="003101A0" w14:paraId="08D81FDD" w14:textId="77777777" w:rsidTr="003101A0">
        <w:trPr>
          <w:jc w:val="center"/>
        </w:trPr>
        <w:tc>
          <w:tcPr>
            <w:tcW w:w="1064" w:type="pct"/>
            <w:tcBorders>
              <w:top w:val="nil"/>
              <w:left w:val="nil"/>
              <w:bottom w:val="nil"/>
              <w:right w:val="nil"/>
            </w:tcBorders>
          </w:tcPr>
          <w:p w14:paraId="2183903D"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4F413306" w14:textId="10D73582"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(-0.78)</w:t>
            </w:r>
          </w:p>
        </w:tc>
        <w:tc>
          <w:tcPr>
            <w:tcW w:w="963" w:type="pct"/>
            <w:tcBorders>
              <w:top w:val="nil"/>
              <w:left w:val="nil"/>
              <w:bottom w:val="nil"/>
              <w:right w:val="nil"/>
            </w:tcBorders>
          </w:tcPr>
          <w:p w14:paraId="134F563B" w14:textId="637B35EA"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(-26.83)</w:t>
            </w:r>
          </w:p>
        </w:tc>
        <w:tc>
          <w:tcPr>
            <w:tcW w:w="963" w:type="pct"/>
            <w:tcBorders>
              <w:top w:val="nil"/>
              <w:left w:val="nil"/>
              <w:bottom w:val="nil"/>
              <w:right w:val="nil"/>
            </w:tcBorders>
          </w:tcPr>
          <w:p w14:paraId="65ABE23C" w14:textId="3673C6E4"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(-16.85)</w:t>
            </w:r>
          </w:p>
        </w:tc>
        <w:tc>
          <w:tcPr>
            <w:tcW w:w="970" w:type="pct"/>
            <w:tcBorders>
              <w:top w:val="nil"/>
              <w:left w:val="nil"/>
              <w:bottom w:val="nil"/>
              <w:right w:val="nil"/>
            </w:tcBorders>
          </w:tcPr>
          <w:p w14:paraId="0E12F89C" w14:textId="690A05C0"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(4.30)</w:t>
            </w:r>
          </w:p>
        </w:tc>
      </w:tr>
      <w:tr w:rsidR="009B0864" w:rsidRPr="003101A0" w14:paraId="0B43FE80" w14:textId="77777777" w:rsidTr="003101A0">
        <w:trPr>
          <w:jc w:val="center"/>
        </w:trPr>
        <w:tc>
          <w:tcPr>
            <w:tcW w:w="1064" w:type="pct"/>
            <w:tcBorders>
              <w:top w:val="nil"/>
              <w:left w:val="nil"/>
              <w:bottom w:val="nil"/>
              <w:right w:val="nil"/>
            </w:tcBorders>
          </w:tcPr>
          <w:p w14:paraId="664B14AF"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Leverage</w:t>
            </w:r>
          </w:p>
        </w:tc>
        <w:tc>
          <w:tcPr>
            <w:tcW w:w="1040" w:type="pct"/>
            <w:tcBorders>
              <w:top w:val="nil"/>
              <w:left w:val="nil"/>
              <w:bottom w:val="nil"/>
              <w:right w:val="nil"/>
            </w:tcBorders>
          </w:tcPr>
          <w:p w14:paraId="69656EA4" w14:textId="41E97154"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-0.084***</w:t>
            </w:r>
          </w:p>
        </w:tc>
        <w:tc>
          <w:tcPr>
            <w:tcW w:w="963" w:type="pct"/>
            <w:tcBorders>
              <w:top w:val="nil"/>
              <w:left w:val="nil"/>
              <w:bottom w:val="nil"/>
              <w:right w:val="nil"/>
            </w:tcBorders>
          </w:tcPr>
          <w:p w14:paraId="73526716" w14:textId="1FF71185"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-0.007</w:t>
            </w:r>
          </w:p>
        </w:tc>
        <w:tc>
          <w:tcPr>
            <w:tcW w:w="963" w:type="pct"/>
            <w:tcBorders>
              <w:top w:val="nil"/>
              <w:left w:val="nil"/>
              <w:bottom w:val="nil"/>
              <w:right w:val="nil"/>
            </w:tcBorders>
          </w:tcPr>
          <w:p w14:paraId="3B49AB35" w14:textId="7FE4D75A"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-0.042*</w:t>
            </w:r>
          </w:p>
        </w:tc>
        <w:tc>
          <w:tcPr>
            <w:tcW w:w="970" w:type="pct"/>
            <w:tcBorders>
              <w:top w:val="nil"/>
              <w:left w:val="nil"/>
              <w:bottom w:val="nil"/>
              <w:right w:val="nil"/>
            </w:tcBorders>
          </w:tcPr>
          <w:p w14:paraId="1439DF9B" w14:textId="26C3D9B8"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0.029</w:t>
            </w:r>
          </w:p>
        </w:tc>
      </w:tr>
      <w:tr w:rsidR="009B0864" w:rsidRPr="003101A0" w14:paraId="395B3824" w14:textId="77777777" w:rsidTr="003101A0">
        <w:trPr>
          <w:jc w:val="center"/>
        </w:trPr>
        <w:tc>
          <w:tcPr>
            <w:tcW w:w="1064" w:type="pct"/>
            <w:tcBorders>
              <w:top w:val="nil"/>
              <w:left w:val="nil"/>
              <w:bottom w:val="nil"/>
              <w:right w:val="nil"/>
            </w:tcBorders>
          </w:tcPr>
          <w:p w14:paraId="4A872906"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3E3DB1AF" w14:textId="6189056A"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(-3.26)</w:t>
            </w:r>
          </w:p>
        </w:tc>
        <w:tc>
          <w:tcPr>
            <w:tcW w:w="963" w:type="pct"/>
            <w:tcBorders>
              <w:top w:val="nil"/>
              <w:left w:val="nil"/>
              <w:bottom w:val="nil"/>
              <w:right w:val="nil"/>
            </w:tcBorders>
          </w:tcPr>
          <w:p w14:paraId="5FD64CA1" w14:textId="35500C1C"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(-0.36)</w:t>
            </w:r>
          </w:p>
        </w:tc>
        <w:tc>
          <w:tcPr>
            <w:tcW w:w="963" w:type="pct"/>
            <w:tcBorders>
              <w:top w:val="nil"/>
              <w:left w:val="nil"/>
              <w:bottom w:val="nil"/>
              <w:right w:val="nil"/>
            </w:tcBorders>
          </w:tcPr>
          <w:p w14:paraId="3B46B653" w14:textId="6109A945"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(-1.91)</w:t>
            </w:r>
          </w:p>
        </w:tc>
        <w:tc>
          <w:tcPr>
            <w:tcW w:w="970" w:type="pct"/>
            <w:tcBorders>
              <w:top w:val="nil"/>
              <w:left w:val="nil"/>
              <w:bottom w:val="nil"/>
              <w:right w:val="nil"/>
            </w:tcBorders>
          </w:tcPr>
          <w:p w14:paraId="22CD4EF8" w14:textId="4D981122"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(1.14)</w:t>
            </w:r>
          </w:p>
        </w:tc>
      </w:tr>
      <w:tr w:rsidR="009B0864" w:rsidRPr="003101A0" w14:paraId="5D061B54" w14:textId="77777777" w:rsidTr="003101A0">
        <w:trPr>
          <w:jc w:val="center"/>
        </w:trPr>
        <w:tc>
          <w:tcPr>
            <w:tcW w:w="1064" w:type="pct"/>
            <w:tcBorders>
              <w:top w:val="nil"/>
              <w:left w:val="nil"/>
              <w:bottom w:val="nil"/>
              <w:right w:val="nil"/>
            </w:tcBorders>
          </w:tcPr>
          <w:p w14:paraId="7B8591D2"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Volatility</w:t>
            </w:r>
          </w:p>
        </w:tc>
        <w:tc>
          <w:tcPr>
            <w:tcW w:w="1040" w:type="pct"/>
            <w:tcBorders>
              <w:top w:val="nil"/>
              <w:left w:val="nil"/>
              <w:bottom w:val="nil"/>
              <w:right w:val="nil"/>
            </w:tcBorders>
          </w:tcPr>
          <w:p w14:paraId="4E380FD6" w14:textId="7B5A8241"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0.220**</w:t>
            </w:r>
          </w:p>
        </w:tc>
        <w:tc>
          <w:tcPr>
            <w:tcW w:w="963" w:type="pct"/>
            <w:tcBorders>
              <w:top w:val="nil"/>
              <w:left w:val="nil"/>
              <w:bottom w:val="nil"/>
              <w:right w:val="nil"/>
            </w:tcBorders>
          </w:tcPr>
          <w:p w14:paraId="57C469F8" w14:textId="79A9DF93"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0.029</w:t>
            </w:r>
          </w:p>
        </w:tc>
        <w:tc>
          <w:tcPr>
            <w:tcW w:w="963" w:type="pct"/>
            <w:tcBorders>
              <w:top w:val="nil"/>
              <w:left w:val="nil"/>
              <w:bottom w:val="nil"/>
              <w:right w:val="nil"/>
            </w:tcBorders>
          </w:tcPr>
          <w:p w14:paraId="25223825" w14:textId="775B7720"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0.051</w:t>
            </w:r>
          </w:p>
        </w:tc>
        <w:tc>
          <w:tcPr>
            <w:tcW w:w="970" w:type="pct"/>
            <w:tcBorders>
              <w:top w:val="nil"/>
              <w:left w:val="nil"/>
              <w:bottom w:val="nil"/>
              <w:right w:val="nil"/>
            </w:tcBorders>
          </w:tcPr>
          <w:p w14:paraId="2CD0B03F" w14:textId="18040C49"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-0.131</w:t>
            </w:r>
          </w:p>
        </w:tc>
      </w:tr>
      <w:tr w:rsidR="009B0864" w:rsidRPr="003101A0" w14:paraId="0717CD96" w14:textId="77777777" w:rsidTr="003101A0">
        <w:trPr>
          <w:jc w:val="center"/>
        </w:trPr>
        <w:tc>
          <w:tcPr>
            <w:tcW w:w="1064" w:type="pct"/>
            <w:tcBorders>
              <w:top w:val="nil"/>
              <w:left w:val="nil"/>
              <w:bottom w:val="nil"/>
              <w:right w:val="nil"/>
            </w:tcBorders>
          </w:tcPr>
          <w:p w14:paraId="4E53596E"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6E9AAAB9" w14:textId="41AE43AE"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(2.18)</w:t>
            </w:r>
          </w:p>
        </w:tc>
        <w:tc>
          <w:tcPr>
            <w:tcW w:w="963" w:type="pct"/>
            <w:tcBorders>
              <w:top w:val="nil"/>
              <w:left w:val="nil"/>
              <w:bottom w:val="nil"/>
              <w:right w:val="nil"/>
            </w:tcBorders>
          </w:tcPr>
          <w:p w14:paraId="3E946C46" w14:textId="73AACF69"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(0.36)</w:t>
            </w:r>
          </w:p>
        </w:tc>
        <w:tc>
          <w:tcPr>
            <w:tcW w:w="963" w:type="pct"/>
            <w:tcBorders>
              <w:top w:val="nil"/>
              <w:left w:val="nil"/>
              <w:bottom w:val="nil"/>
              <w:right w:val="nil"/>
            </w:tcBorders>
          </w:tcPr>
          <w:p w14:paraId="5F0A9703" w14:textId="1602F3D7"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(0.59)</w:t>
            </w:r>
          </w:p>
        </w:tc>
        <w:tc>
          <w:tcPr>
            <w:tcW w:w="970" w:type="pct"/>
            <w:tcBorders>
              <w:top w:val="nil"/>
              <w:left w:val="nil"/>
              <w:bottom w:val="nil"/>
              <w:right w:val="nil"/>
            </w:tcBorders>
          </w:tcPr>
          <w:p w14:paraId="34504946" w14:textId="68F44574"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(-1.34)</w:t>
            </w:r>
          </w:p>
        </w:tc>
      </w:tr>
      <w:tr w:rsidR="009B0864" w:rsidRPr="003101A0" w14:paraId="70157CB5" w14:textId="77777777" w:rsidTr="003101A0">
        <w:trPr>
          <w:jc w:val="center"/>
        </w:trPr>
        <w:tc>
          <w:tcPr>
            <w:tcW w:w="1064" w:type="pct"/>
            <w:tcBorders>
              <w:top w:val="nil"/>
              <w:left w:val="nil"/>
              <w:bottom w:val="nil"/>
              <w:right w:val="nil"/>
            </w:tcBorders>
          </w:tcPr>
          <w:p w14:paraId="3736AE16"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ROA</w:t>
            </w:r>
          </w:p>
        </w:tc>
        <w:tc>
          <w:tcPr>
            <w:tcW w:w="1040" w:type="pct"/>
            <w:tcBorders>
              <w:top w:val="nil"/>
              <w:left w:val="nil"/>
              <w:bottom w:val="nil"/>
              <w:right w:val="nil"/>
            </w:tcBorders>
          </w:tcPr>
          <w:p w14:paraId="47C15D7B" w14:textId="2DEFB0BC"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0.038</w:t>
            </w:r>
          </w:p>
        </w:tc>
        <w:tc>
          <w:tcPr>
            <w:tcW w:w="963" w:type="pct"/>
            <w:tcBorders>
              <w:top w:val="nil"/>
              <w:left w:val="nil"/>
              <w:bottom w:val="nil"/>
              <w:right w:val="nil"/>
            </w:tcBorders>
          </w:tcPr>
          <w:p w14:paraId="602C0934" w14:textId="61E81D76"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-0.197***</w:t>
            </w:r>
          </w:p>
        </w:tc>
        <w:tc>
          <w:tcPr>
            <w:tcW w:w="963" w:type="pct"/>
            <w:tcBorders>
              <w:top w:val="nil"/>
              <w:left w:val="nil"/>
              <w:bottom w:val="nil"/>
              <w:right w:val="nil"/>
            </w:tcBorders>
          </w:tcPr>
          <w:p w14:paraId="146A01B6" w14:textId="5D9B587A"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0.028</w:t>
            </w:r>
          </w:p>
        </w:tc>
        <w:tc>
          <w:tcPr>
            <w:tcW w:w="970" w:type="pct"/>
            <w:tcBorders>
              <w:top w:val="nil"/>
              <w:left w:val="nil"/>
              <w:bottom w:val="nil"/>
              <w:right w:val="nil"/>
            </w:tcBorders>
          </w:tcPr>
          <w:p w14:paraId="41D05339" w14:textId="6BA36576"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0.091**</w:t>
            </w:r>
          </w:p>
        </w:tc>
      </w:tr>
      <w:tr w:rsidR="009B0864" w:rsidRPr="003101A0" w14:paraId="7CFECA55" w14:textId="77777777" w:rsidTr="003101A0">
        <w:trPr>
          <w:jc w:val="center"/>
        </w:trPr>
        <w:tc>
          <w:tcPr>
            <w:tcW w:w="1064" w:type="pct"/>
            <w:tcBorders>
              <w:top w:val="nil"/>
              <w:left w:val="nil"/>
              <w:bottom w:val="nil"/>
              <w:right w:val="nil"/>
            </w:tcBorders>
          </w:tcPr>
          <w:p w14:paraId="035E2524"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4DC39372" w14:textId="7FA64B57"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(0.84)</w:t>
            </w:r>
          </w:p>
        </w:tc>
        <w:tc>
          <w:tcPr>
            <w:tcW w:w="963" w:type="pct"/>
            <w:tcBorders>
              <w:top w:val="nil"/>
              <w:left w:val="nil"/>
              <w:bottom w:val="nil"/>
              <w:right w:val="nil"/>
            </w:tcBorders>
          </w:tcPr>
          <w:p w14:paraId="62FC4D2F" w14:textId="42ADD88D"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(-5.33)</w:t>
            </w:r>
          </w:p>
        </w:tc>
        <w:tc>
          <w:tcPr>
            <w:tcW w:w="963" w:type="pct"/>
            <w:tcBorders>
              <w:top w:val="nil"/>
              <w:left w:val="nil"/>
              <w:bottom w:val="nil"/>
              <w:right w:val="nil"/>
            </w:tcBorders>
          </w:tcPr>
          <w:p w14:paraId="0429FCF0" w14:textId="5F26C162"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(0.71)</w:t>
            </w:r>
          </w:p>
        </w:tc>
        <w:tc>
          <w:tcPr>
            <w:tcW w:w="970" w:type="pct"/>
            <w:tcBorders>
              <w:top w:val="nil"/>
              <w:left w:val="nil"/>
              <w:bottom w:val="nil"/>
              <w:right w:val="nil"/>
            </w:tcBorders>
          </w:tcPr>
          <w:p w14:paraId="59D93623" w14:textId="60137889"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(2.06)</w:t>
            </w:r>
          </w:p>
        </w:tc>
      </w:tr>
      <w:tr w:rsidR="009B0864" w:rsidRPr="003101A0" w14:paraId="4F7413A0" w14:textId="77777777" w:rsidTr="003101A0">
        <w:trPr>
          <w:jc w:val="center"/>
        </w:trPr>
        <w:tc>
          <w:tcPr>
            <w:tcW w:w="1064" w:type="pct"/>
            <w:tcBorders>
              <w:top w:val="nil"/>
              <w:left w:val="nil"/>
              <w:bottom w:val="nil"/>
              <w:right w:val="nil"/>
            </w:tcBorders>
          </w:tcPr>
          <w:p w14:paraId="55A5151D"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PPE</w:t>
            </w:r>
          </w:p>
        </w:tc>
        <w:tc>
          <w:tcPr>
            <w:tcW w:w="1040" w:type="pct"/>
            <w:tcBorders>
              <w:top w:val="nil"/>
              <w:left w:val="nil"/>
              <w:bottom w:val="nil"/>
              <w:right w:val="nil"/>
            </w:tcBorders>
          </w:tcPr>
          <w:p w14:paraId="3927EBA7" w14:textId="416EE8A3"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-0.028</w:t>
            </w:r>
          </w:p>
        </w:tc>
        <w:tc>
          <w:tcPr>
            <w:tcW w:w="963" w:type="pct"/>
            <w:tcBorders>
              <w:top w:val="nil"/>
              <w:left w:val="nil"/>
              <w:bottom w:val="nil"/>
              <w:right w:val="nil"/>
            </w:tcBorders>
          </w:tcPr>
          <w:p w14:paraId="4B8831A5" w14:textId="59DBD99E"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-0.013</w:t>
            </w:r>
          </w:p>
        </w:tc>
        <w:tc>
          <w:tcPr>
            <w:tcW w:w="963" w:type="pct"/>
            <w:tcBorders>
              <w:top w:val="nil"/>
              <w:left w:val="nil"/>
              <w:bottom w:val="nil"/>
              <w:right w:val="nil"/>
            </w:tcBorders>
          </w:tcPr>
          <w:p w14:paraId="42E567D3" w14:textId="2A61FD5D"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-0.050***</w:t>
            </w:r>
          </w:p>
        </w:tc>
        <w:tc>
          <w:tcPr>
            <w:tcW w:w="970" w:type="pct"/>
            <w:tcBorders>
              <w:top w:val="nil"/>
              <w:left w:val="nil"/>
              <w:bottom w:val="nil"/>
              <w:right w:val="nil"/>
            </w:tcBorders>
          </w:tcPr>
          <w:p w14:paraId="75CCDE2B" w14:textId="4DAE09F9"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-0.007</w:t>
            </w:r>
          </w:p>
        </w:tc>
      </w:tr>
      <w:tr w:rsidR="009B0864" w:rsidRPr="003101A0" w14:paraId="2200062F" w14:textId="77777777" w:rsidTr="003101A0">
        <w:trPr>
          <w:jc w:val="center"/>
        </w:trPr>
        <w:tc>
          <w:tcPr>
            <w:tcW w:w="1064" w:type="pct"/>
            <w:tcBorders>
              <w:top w:val="nil"/>
              <w:left w:val="nil"/>
              <w:bottom w:val="nil"/>
              <w:right w:val="nil"/>
            </w:tcBorders>
          </w:tcPr>
          <w:p w14:paraId="3321D2A4"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339ABE89" w14:textId="1E61D919"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(-1.39)</w:t>
            </w:r>
          </w:p>
        </w:tc>
        <w:tc>
          <w:tcPr>
            <w:tcW w:w="963" w:type="pct"/>
            <w:tcBorders>
              <w:top w:val="nil"/>
              <w:left w:val="nil"/>
              <w:bottom w:val="nil"/>
              <w:right w:val="nil"/>
            </w:tcBorders>
          </w:tcPr>
          <w:p w14:paraId="528C6942" w14:textId="5FCB0DB9"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(-0.82)</w:t>
            </w:r>
          </w:p>
        </w:tc>
        <w:tc>
          <w:tcPr>
            <w:tcW w:w="963" w:type="pct"/>
            <w:tcBorders>
              <w:top w:val="nil"/>
              <w:left w:val="nil"/>
              <w:bottom w:val="nil"/>
              <w:right w:val="nil"/>
            </w:tcBorders>
          </w:tcPr>
          <w:p w14:paraId="6FAEDA7F" w14:textId="53E5D487"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(-2.92)</w:t>
            </w:r>
          </w:p>
        </w:tc>
        <w:tc>
          <w:tcPr>
            <w:tcW w:w="970" w:type="pct"/>
            <w:tcBorders>
              <w:top w:val="nil"/>
              <w:left w:val="nil"/>
              <w:bottom w:val="nil"/>
              <w:right w:val="nil"/>
            </w:tcBorders>
          </w:tcPr>
          <w:p w14:paraId="22012BF4" w14:textId="1730F2A4"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(-0.35)</w:t>
            </w:r>
          </w:p>
        </w:tc>
      </w:tr>
      <w:tr w:rsidR="009B0864" w:rsidRPr="003101A0" w14:paraId="522A2EAA" w14:textId="77777777" w:rsidTr="003101A0">
        <w:trPr>
          <w:jc w:val="center"/>
        </w:trPr>
        <w:tc>
          <w:tcPr>
            <w:tcW w:w="1064" w:type="pct"/>
            <w:tcBorders>
              <w:top w:val="nil"/>
              <w:left w:val="nil"/>
              <w:bottom w:val="nil"/>
              <w:right w:val="nil"/>
            </w:tcBorders>
          </w:tcPr>
          <w:p w14:paraId="75FA0B0B"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Interest coverage</w:t>
            </w:r>
          </w:p>
        </w:tc>
        <w:tc>
          <w:tcPr>
            <w:tcW w:w="1040" w:type="pct"/>
            <w:tcBorders>
              <w:top w:val="nil"/>
              <w:left w:val="nil"/>
              <w:bottom w:val="nil"/>
              <w:right w:val="nil"/>
            </w:tcBorders>
          </w:tcPr>
          <w:p w14:paraId="14869A43" w14:textId="664CF6FB"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963" w:type="pct"/>
            <w:tcBorders>
              <w:top w:val="nil"/>
              <w:left w:val="nil"/>
              <w:bottom w:val="nil"/>
              <w:right w:val="nil"/>
            </w:tcBorders>
          </w:tcPr>
          <w:p w14:paraId="0AD8BA29" w14:textId="2A120218"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963" w:type="pct"/>
            <w:tcBorders>
              <w:top w:val="nil"/>
              <w:left w:val="nil"/>
              <w:bottom w:val="nil"/>
              <w:right w:val="nil"/>
            </w:tcBorders>
          </w:tcPr>
          <w:p w14:paraId="376A64C0" w14:textId="2D5E3868"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970" w:type="pct"/>
            <w:tcBorders>
              <w:top w:val="nil"/>
              <w:left w:val="nil"/>
              <w:bottom w:val="nil"/>
              <w:right w:val="nil"/>
            </w:tcBorders>
          </w:tcPr>
          <w:p w14:paraId="07A7F9E3" w14:textId="20429318"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0.001***</w:t>
            </w:r>
          </w:p>
        </w:tc>
      </w:tr>
      <w:tr w:rsidR="009B0864" w:rsidRPr="003101A0" w14:paraId="6A877F68" w14:textId="77777777" w:rsidTr="003101A0">
        <w:trPr>
          <w:jc w:val="center"/>
        </w:trPr>
        <w:tc>
          <w:tcPr>
            <w:tcW w:w="1064" w:type="pct"/>
            <w:tcBorders>
              <w:top w:val="nil"/>
              <w:left w:val="nil"/>
              <w:bottom w:val="nil"/>
              <w:right w:val="nil"/>
            </w:tcBorders>
          </w:tcPr>
          <w:p w14:paraId="374D0840"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21424695" w14:textId="078C635E"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(0.41)</w:t>
            </w:r>
          </w:p>
        </w:tc>
        <w:tc>
          <w:tcPr>
            <w:tcW w:w="963" w:type="pct"/>
            <w:tcBorders>
              <w:top w:val="nil"/>
              <w:left w:val="nil"/>
              <w:bottom w:val="nil"/>
              <w:right w:val="nil"/>
            </w:tcBorders>
          </w:tcPr>
          <w:p w14:paraId="069A98FA" w14:textId="5E5F7C47"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(1.49)</w:t>
            </w:r>
          </w:p>
        </w:tc>
        <w:tc>
          <w:tcPr>
            <w:tcW w:w="963" w:type="pct"/>
            <w:tcBorders>
              <w:top w:val="nil"/>
              <w:left w:val="nil"/>
              <w:bottom w:val="nil"/>
              <w:right w:val="nil"/>
            </w:tcBorders>
          </w:tcPr>
          <w:p w14:paraId="73EB4FF0" w14:textId="0B4F9710"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(-0.26)</w:t>
            </w:r>
          </w:p>
        </w:tc>
        <w:tc>
          <w:tcPr>
            <w:tcW w:w="970" w:type="pct"/>
            <w:tcBorders>
              <w:top w:val="nil"/>
              <w:left w:val="nil"/>
              <w:bottom w:val="nil"/>
              <w:right w:val="nil"/>
            </w:tcBorders>
          </w:tcPr>
          <w:p w14:paraId="25668EF8" w14:textId="780F25E6"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(4.74)</w:t>
            </w:r>
          </w:p>
        </w:tc>
      </w:tr>
      <w:tr w:rsidR="009B0864" w:rsidRPr="003101A0" w14:paraId="7DE8DA1B" w14:textId="77777777" w:rsidTr="003101A0">
        <w:trPr>
          <w:jc w:val="center"/>
        </w:trPr>
        <w:tc>
          <w:tcPr>
            <w:tcW w:w="1064" w:type="pct"/>
            <w:tcBorders>
              <w:top w:val="nil"/>
              <w:left w:val="nil"/>
              <w:bottom w:val="nil"/>
              <w:right w:val="nil"/>
            </w:tcBorders>
          </w:tcPr>
          <w:p w14:paraId="6B2FA546" w14:textId="3F8F934B"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roofErr w:type="gramStart"/>
            <w:r w:rsidRPr="003101A0">
              <w:rPr>
                <w:rFonts w:ascii="Times New Roman" w:hAnsi="Times New Roman" w:cs="Times New Roman"/>
                <w:i/>
                <w:sz w:val="20"/>
                <w:szCs w:val="20"/>
                <w:lang w:val="en-US"/>
              </w:rPr>
              <w:t>L</w:t>
            </w:r>
            <w:r w:rsidR="00D97A5C" w:rsidRPr="003101A0">
              <w:rPr>
                <w:rFonts w:ascii="Times New Roman" w:hAnsi="Times New Roman" w:cs="Times New Roman"/>
                <w:i/>
                <w:sz w:val="20"/>
                <w:szCs w:val="20"/>
                <w:lang w:val="en-US"/>
              </w:rPr>
              <w:t>n</w:t>
            </w:r>
            <w:r w:rsidRPr="003101A0">
              <w:rPr>
                <w:rFonts w:ascii="Times New Roman" w:hAnsi="Times New Roman" w:cs="Times New Roman"/>
                <w:i/>
                <w:sz w:val="20"/>
                <w:szCs w:val="20"/>
                <w:lang w:val="en-US"/>
              </w:rPr>
              <w:t>(</w:t>
            </w:r>
            <w:proofErr w:type="gramEnd"/>
            <w:r w:rsidRPr="003101A0">
              <w:rPr>
                <w:rFonts w:ascii="Times New Roman" w:hAnsi="Times New Roman" w:cs="Times New Roman"/>
                <w:i/>
                <w:sz w:val="20"/>
                <w:szCs w:val="20"/>
                <w:lang w:val="en-US"/>
              </w:rPr>
              <w:t>Total assets)</w:t>
            </w:r>
          </w:p>
        </w:tc>
        <w:tc>
          <w:tcPr>
            <w:tcW w:w="1040" w:type="pct"/>
            <w:tcBorders>
              <w:top w:val="nil"/>
              <w:left w:val="nil"/>
              <w:bottom w:val="nil"/>
              <w:right w:val="nil"/>
            </w:tcBorders>
          </w:tcPr>
          <w:p w14:paraId="1DE46F3C" w14:textId="14866962"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-0.005</w:t>
            </w:r>
          </w:p>
        </w:tc>
        <w:tc>
          <w:tcPr>
            <w:tcW w:w="963" w:type="pct"/>
            <w:tcBorders>
              <w:top w:val="nil"/>
              <w:left w:val="nil"/>
              <w:bottom w:val="nil"/>
              <w:right w:val="nil"/>
            </w:tcBorders>
          </w:tcPr>
          <w:p w14:paraId="5F8C0D90" w14:textId="33A8859D"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-0.065***</w:t>
            </w:r>
          </w:p>
        </w:tc>
        <w:tc>
          <w:tcPr>
            <w:tcW w:w="963" w:type="pct"/>
            <w:tcBorders>
              <w:top w:val="nil"/>
              <w:left w:val="nil"/>
              <w:bottom w:val="nil"/>
              <w:right w:val="nil"/>
            </w:tcBorders>
          </w:tcPr>
          <w:p w14:paraId="1AF13311" w14:textId="0F5DD01F"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-0.015***</w:t>
            </w:r>
          </w:p>
        </w:tc>
        <w:tc>
          <w:tcPr>
            <w:tcW w:w="970" w:type="pct"/>
            <w:tcBorders>
              <w:top w:val="nil"/>
              <w:left w:val="nil"/>
              <w:bottom w:val="nil"/>
              <w:right w:val="nil"/>
            </w:tcBorders>
          </w:tcPr>
          <w:p w14:paraId="3240E047" w14:textId="0A5C02B1"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-0.050***</w:t>
            </w:r>
          </w:p>
        </w:tc>
      </w:tr>
      <w:tr w:rsidR="009B0864" w:rsidRPr="003101A0" w14:paraId="569FDD2D" w14:textId="77777777" w:rsidTr="003101A0">
        <w:trPr>
          <w:jc w:val="center"/>
        </w:trPr>
        <w:tc>
          <w:tcPr>
            <w:tcW w:w="1064" w:type="pct"/>
            <w:tcBorders>
              <w:top w:val="nil"/>
              <w:left w:val="nil"/>
              <w:bottom w:val="nil"/>
              <w:right w:val="nil"/>
            </w:tcBorders>
          </w:tcPr>
          <w:p w14:paraId="69044799"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643BBA48" w14:textId="5AE25095"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(-1.37)</w:t>
            </w:r>
          </w:p>
        </w:tc>
        <w:tc>
          <w:tcPr>
            <w:tcW w:w="963" w:type="pct"/>
            <w:tcBorders>
              <w:top w:val="nil"/>
              <w:left w:val="nil"/>
              <w:bottom w:val="nil"/>
              <w:right w:val="nil"/>
            </w:tcBorders>
          </w:tcPr>
          <w:p w14:paraId="6266461A" w14:textId="50D55FDA"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(-21.47)</w:t>
            </w:r>
          </w:p>
        </w:tc>
        <w:tc>
          <w:tcPr>
            <w:tcW w:w="963" w:type="pct"/>
            <w:tcBorders>
              <w:top w:val="nil"/>
              <w:left w:val="nil"/>
              <w:bottom w:val="nil"/>
              <w:right w:val="nil"/>
            </w:tcBorders>
          </w:tcPr>
          <w:p w14:paraId="089C4D82" w14:textId="1B761927"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(-4.69)</w:t>
            </w:r>
          </w:p>
        </w:tc>
        <w:tc>
          <w:tcPr>
            <w:tcW w:w="970" w:type="pct"/>
            <w:tcBorders>
              <w:top w:val="nil"/>
              <w:left w:val="nil"/>
              <w:bottom w:val="nil"/>
              <w:right w:val="nil"/>
            </w:tcBorders>
          </w:tcPr>
          <w:p w14:paraId="6F562394" w14:textId="1987620C"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(-13.57)</w:t>
            </w:r>
          </w:p>
        </w:tc>
      </w:tr>
      <w:tr w:rsidR="009B0864" w:rsidRPr="003101A0" w14:paraId="684A174E" w14:textId="77777777" w:rsidTr="003101A0">
        <w:trPr>
          <w:jc w:val="center"/>
        </w:trPr>
        <w:tc>
          <w:tcPr>
            <w:tcW w:w="1064" w:type="pct"/>
            <w:tcBorders>
              <w:top w:val="nil"/>
              <w:left w:val="nil"/>
              <w:bottom w:val="nil"/>
              <w:right w:val="nil"/>
            </w:tcBorders>
          </w:tcPr>
          <w:p w14:paraId="4DF4DD4A"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Investment grade</w:t>
            </w:r>
          </w:p>
        </w:tc>
        <w:tc>
          <w:tcPr>
            <w:tcW w:w="1040" w:type="pct"/>
            <w:tcBorders>
              <w:top w:val="nil"/>
              <w:left w:val="nil"/>
              <w:bottom w:val="nil"/>
              <w:right w:val="nil"/>
            </w:tcBorders>
          </w:tcPr>
          <w:p w14:paraId="45DA46D6" w14:textId="332A75D4"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0.004</w:t>
            </w:r>
          </w:p>
        </w:tc>
        <w:tc>
          <w:tcPr>
            <w:tcW w:w="963" w:type="pct"/>
            <w:tcBorders>
              <w:top w:val="nil"/>
              <w:left w:val="nil"/>
              <w:bottom w:val="nil"/>
              <w:right w:val="nil"/>
            </w:tcBorders>
          </w:tcPr>
          <w:p w14:paraId="61DC493F" w14:textId="68A7F093"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-0.418***</w:t>
            </w:r>
          </w:p>
        </w:tc>
        <w:tc>
          <w:tcPr>
            <w:tcW w:w="963" w:type="pct"/>
            <w:tcBorders>
              <w:top w:val="nil"/>
              <w:left w:val="nil"/>
              <w:bottom w:val="nil"/>
              <w:right w:val="nil"/>
            </w:tcBorders>
          </w:tcPr>
          <w:p w14:paraId="5AF2D6FE" w14:textId="5F91A265"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0.086***</w:t>
            </w:r>
          </w:p>
        </w:tc>
        <w:tc>
          <w:tcPr>
            <w:tcW w:w="970" w:type="pct"/>
            <w:tcBorders>
              <w:top w:val="nil"/>
              <w:left w:val="nil"/>
              <w:bottom w:val="nil"/>
              <w:right w:val="nil"/>
            </w:tcBorders>
          </w:tcPr>
          <w:p w14:paraId="312EB7B3" w14:textId="0C06FEA5"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-0.062***</w:t>
            </w:r>
          </w:p>
        </w:tc>
      </w:tr>
      <w:tr w:rsidR="009B0864" w:rsidRPr="003101A0" w14:paraId="78E16AC9" w14:textId="77777777" w:rsidTr="003101A0">
        <w:trPr>
          <w:jc w:val="center"/>
        </w:trPr>
        <w:tc>
          <w:tcPr>
            <w:tcW w:w="1064" w:type="pct"/>
            <w:tcBorders>
              <w:top w:val="nil"/>
              <w:left w:val="nil"/>
              <w:bottom w:val="nil"/>
              <w:right w:val="nil"/>
            </w:tcBorders>
          </w:tcPr>
          <w:p w14:paraId="7D6CFDE6"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59555657" w14:textId="2370DB56"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(0.35)</w:t>
            </w:r>
          </w:p>
        </w:tc>
        <w:tc>
          <w:tcPr>
            <w:tcW w:w="963" w:type="pct"/>
            <w:tcBorders>
              <w:top w:val="nil"/>
              <w:left w:val="nil"/>
              <w:bottom w:val="nil"/>
              <w:right w:val="nil"/>
            </w:tcBorders>
          </w:tcPr>
          <w:p w14:paraId="39DE3620" w14:textId="4ECB5E6C"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(-42.45)</w:t>
            </w:r>
          </w:p>
        </w:tc>
        <w:tc>
          <w:tcPr>
            <w:tcW w:w="963" w:type="pct"/>
            <w:tcBorders>
              <w:top w:val="nil"/>
              <w:left w:val="nil"/>
              <w:bottom w:val="nil"/>
              <w:right w:val="nil"/>
            </w:tcBorders>
          </w:tcPr>
          <w:p w14:paraId="1CCF4065" w14:textId="69522E92"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(8.18)</w:t>
            </w:r>
          </w:p>
        </w:tc>
        <w:tc>
          <w:tcPr>
            <w:tcW w:w="970" w:type="pct"/>
            <w:tcBorders>
              <w:top w:val="nil"/>
              <w:left w:val="nil"/>
              <w:bottom w:val="nil"/>
              <w:right w:val="nil"/>
            </w:tcBorders>
          </w:tcPr>
          <w:p w14:paraId="55E62334" w14:textId="50F2163C"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(-5.24)</w:t>
            </w:r>
          </w:p>
        </w:tc>
      </w:tr>
      <w:tr w:rsidR="009B0864" w:rsidRPr="003101A0" w14:paraId="6DBBF433" w14:textId="77777777" w:rsidTr="003101A0">
        <w:trPr>
          <w:jc w:val="center"/>
        </w:trPr>
        <w:tc>
          <w:tcPr>
            <w:tcW w:w="1064" w:type="pct"/>
            <w:tcBorders>
              <w:top w:val="nil"/>
              <w:left w:val="nil"/>
              <w:bottom w:val="nil"/>
              <w:right w:val="nil"/>
            </w:tcBorders>
          </w:tcPr>
          <w:p w14:paraId="7ACAAC9C"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MB</w:t>
            </w:r>
          </w:p>
        </w:tc>
        <w:tc>
          <w:tcPr>
            <w:tcW w:w="1040" w:type="pct"/>
            <w:tcBorders>
              <w:top w:val="nil"/>
              <w:left w:val="nil"/>
              <w:bottom w:val="nil"/>
              <w:right w:val="nil"/>
            </w:tcBorders>
          </w:tcPr>
          <w:p w14:paraId="4C4CC5CC" w14:textId="60FC6F25"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963" w:type="pct"/>
            <w:tcBorders>
              <w:top w:val="nil"/>
              <w:left w:val="nil"/>
              <w:bottom w:val="nil"/>
              <w:right w:val="nil"/>
            </w:tcBorders>
          </w:tcPr>
          <w:p w14:paraId="384CF6F4" w14:textId="04BBC7DC"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-0.001</w:t>
            </w:r>
          </w:p>
        </w:tc>
        <w:tc>
          <w:tcPr>
            <w:tcW w:w="963" w:type="pct"/>
            <w:tcBorders>
              <w:top w:val="nil"/>
              <w:left w:val="nil"/>
              <w:bottom w:val="nil"/>
              <w:right w:val="nil"/>
            </w:tcBorders>
          </w:tcPr>
          <w:p w14:paraId="7BAAD24B" w14:textId="171B99F3"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970" w:type="pct"/>
            <w:tcBorders>
              <w:top w:val="nil"/>
              <w:left w:val="nil"/>
              <w:bottom w:val="nil"/>
              <w:right w:val="nil"/>
            </w:tcBorders>
          </w:tcPr>
          <w:p w14:paraId="63527769" w14:textId="745C4BD9"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r>
      <w:tr w:rsidR="009B0864" w:rsidRPr="003101A0" w14:paraId="3488CD3B" w14:textId="77777777" w:rsidTr="003101A0">
        <w:trPr>
          <w:jc w:val="center"/>
        </w:trPr>
        <w:tc>
          <w:tcPr>
            <w:tcW w:w="1064" w:type="pct"/>
            <w:tcBorders>
              <w:top w:val="nil"/>
              <w:left w:val="nil"/>
              <w:bottom w:val="nil"/>
              <w:right w:val="nil"/>
            </w:tcBorders>
          </w:tcPr>
          <w:p w14:paraId="5E94286F"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74E01758" w14:textId="2FEF2D3E"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(0.65)</w:t>
            </w:r>
          </w:p>
        </w:tc>
        <w:tc>
          <w:tcPr>
            <w:tcW w:w="963" w:type="pct"/>
            <w:tcBorders>
              <w:top w:val="nil"/>
              <w:left w:val="nil"/>
              <w:bottom w:val="nil"/>
              <w:right w:val="nil"/>
            </w:tcBorders>
          </w:tcPr>
          <w:p w14:paraId="53EC6FD2" w14:textId="056D0B5E"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(-1.52)</w:t>
            </w:r>
          </w:p>
        </w:tc>
        <w:tc>
          <w:tcPr>
            <w:tcW w:w="963" w:type="pct"/>
            <w:tcBorders>
              <w:top w:val="nil"/>
              <w:left w:val="nil"/>
              <w:bottom w:val="nil"/>
              <w:right w:val="nil"/>
            </w:tcBorders>
          </w:tcPr>
          <w:p w14:paraId="308AB803" w14:textId="64F424FF"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(-0.73)</w:t>
            </w:r>
          </w:p>
        </w:tc>
        <w:tc>
          <w:tcPr>
            <w:tcW w:w="970" w:type="pct"/>
            <w:tcBorders>
              <w:top w:val="nil"/>
              <w:left w:val="nil"/>
              <w:bottom w:val="nil"/>
              <w:right w:val="nil"/>
            </w:tcBorders>
          </w:tcPr>
          <w:p w14:paraId="54C21412" w14:textId="70E57BC1"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(-0.55)</w:t>
            </w:r>
          </w:p>
        </w:tc>
      </w:tr>
      <w:tr w:rsidR="009B0864" w:rsidRPr="003101A0" w14:paraId="56C806E6" w14:textId="77777777" w:rsidTr="003101A0">
        <w:trPr>
          <w:jc w:val="center"/>
        </w:trPr>
        <w:tc>
          <w:tcPr>
            <w:tcW w:w="1064" w:type="pct"/>
            <w:tcBorders>
              <w:top w:val="nil"/>
              <w:left w:val="nil"/>
              <w:bottom w:val="nil"/>
              <w:right w:val="nil"/>
            </w:tcBorders>
          </w:tcPr>
          <w:p w14:paraId="7F363057"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Capex</w:t>
            </w:r>
          </w:p>
        </w:tc>
        <w:tc>
          <w:tcPr>
            <w:tcW w:w="1040" w:type="pct"/>
            <w:tcBorders>
              <w:top w:val="nil"/>
              <w:left w:val="nil"/>
              <w:bottom w:val="nil"/>
              <w:right w:val="nil"/>
            </w:tcBorders>
          </w:tcPr>
          <w:p w14:paraId="5CE966A0" w14:textId="066F6EBA"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-0.013</w:t>
            </w:r>
          </w:p>
        </w:tc>
        <w:tc>
          <w:tcPr>
            <w:tcW w:w="963" w:type="pct"/>
            <w:tcBorders>
              <w:top w:val="nil"/>
              <w:left w:val="nil"/>
              <w:bottom w:val="nil"/>
              <w:right w:val="nil"/>
            </w:tcBorders>
          </w:tcPr>
          <w:p w14:paraId="0112ED0F" w14:textId="629EFF8A"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0.023**</w:t>
            </w:r>
          </w:p>
        </w:tc>
        <w:tc>
          <w:tcPr>
            <w:tcW w:w="963" w:type="pct"/>
            <w:tcBorders>
              <w:top w:val="nil"/>
              <w:left w:val="nil"/>
              <w:bottom w:val="nil"/>
              <w:right w:val="nil"/>
            </w:tcBorders>
          </w:tcPr>
          <w:p w14:paraId="4E1CFF43" w14:textId="03079E2F"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-0.028**</w:t>
            </w:r>
          </w:p>
        </w:tc>
        <w:tc>
          <w:tcPr>
            <w:tcW w:w="970" w:type="pct"/>
            <w:tcBorders>
              <w:top w:val="nil"/>
              <w:left w:val="nil"/>
              <w:bottom w:val="nil"/>
              <w:right w:val="nil"/>
            </w:tcBorders>
          </w:tcPr>
          <w:p w14:paraId="49798AA0" w14:textId="426803CB"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0.052***</w:t>
            </w:r>
          </w:p>
        </w:tc>
      </w:tr>
      <w:tr w:rsidR="009B0864" w:rsidRPr="003101A0" w14:paraId="62DA4025" w14:textId="77777777" w:rsidTr="003101A0">
        <w:trPr>
          <w:jc w:val="center"/>
        </w:trPr>
        <w:tc>
          <w:tcPr>
            <w:tcW w:w="1064" w:type="pct"/>
            <w:tcBorders>
              <w:top w:val="nil"/>
              <w:left w:val="nil"/>
              <w:bottom w:val="nil"/>
              <w:right w:val="nil"/>
            </w:tcBorders>
          </w:tcPr>
          <w:p w14:paraId="52BD792D"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49DE8219" w14:textId="11091785"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(-1.01)</w:t>
            </w:r>
          </w:p>
        </w:tc>
        <w:tc>
          <w:tcPr>
            <w:tcW w:w="963" w:type="pct"/>
            <w:tcBorders>
              <w:top w:val="nil"/>
              <w:left w:val="nil"/>
              <w:bottom w:val="nil"/>
              <w:right w:val="nil"/>
            </w:tcBorders>
          </w:tcPr>
          <w:p w14:paraId="7831CF3F" w14:textId="0FA1CB8C"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(2.25)</w:t>
            </w:r>
          </w:p>
        </w:tc>
        <w:tc>
          <w:tcPr>
            <w:tcW w:w="963" w:type="pct"/>
            <w:tcBorders>
              <w:top w:val="nil"/>
              <w:left w:val="nil"/>
              <w:bottom w:val="nil"/>
              <w:right w:val="nil"/>
            </w:tcBorders>
          </w:tcPr>
          <w:p w14:paraId="29E89FBF" w14:textId="25112268"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(-2.56)</w:t>
            </w:r>
          </w:p>
        </w:tc>
        <w:tc>
          <w:tcPr>
            <w:tcW w:w="970" w:type="pct"/>
            <w:tcBorders>
              <w:top w:val="nil"/>
              <w:left w:val="nil"/>
              <w:bottom w:val="nil"/>
              <w:right w:val="nil"/>
            </w:tcBorders>
          </w:tcPr>
          <w:p w14:paraId="5C451F9A" w14:textId="48367053"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(4.23)</w:t>
            </w:r>
          </w:p>
        </w:tc>
      </w:tr>
      <w:tr w:rsidR="009B0864" w:rsidRPr="003101A0" w14:paraId="2ED009ED" w14:textId="77777777" w:rsidTr="003101A0">
        <w:trPr>
          <w:jc w:val="center"/>
        </w:trPr>
        <w:tc>
          <w:tcPr>
            <w:tcW w:w="1064" w:type="pct"/>
            <w:tcBorders>
              <w:top w:val="nil"/>
              <w:left w:val="nil"/>
              <w:bottom w:val="nil"/>
              <w:right w:val="nil"/>
            </w:tcBorders>
          </w:tcPr>
          <w:p w14:paraId="69DBA62D"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RD</w:t>
            </w:r>
          </w:p>
        </w:tc>
        <w:tc>
          <w:tcPr>
            <w:tcW w:w="1040" w:type="pct"/>
            <w:tcBorders>
              <w:top w:val="nil"/>
              <w:left w:val="nil"/>
              <w:bottom w:val="nil"/>
              <w:right w:val="nil"/>
            </w:tcBorders>
          </w:tcPr>
          <w:p w14:paraId="2A830B47" w14:textId="2A4F984C"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-0.214**</w:t>
            </w:r>
          </w:p>
        </w:tc>
        <w:tc>
          <w:tcPr>
            <w:tcW w:w="963" w:type="pct"/>
            <w:tcBorders>
              <w:top w:val="nil"/>
              <w:left w:val="nil"/>
              <w:bottom w:val="nil"/>
              <w:right w:val="nil"/>
            </w:tcBorders>
          </w:tcPr>
          <w:p w14:paraId="00547119" w14:textId="6CFEAD7C"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-0.146*</w:t>
            </w:r>
          </w:p>
        </w:tc>
        <w:tc>
          <w:tcPr>
            <w:tcW w:w="963" w:type="pct"/>
            <w:tcBorders>
              <w:top w:val="nil"/>
              <w:left w:val="nil"/>
              <w:bottom w:val="nil"/>
              <w:right w:val="nil"/>
            </w:tcBorders>
          </w:tcPr>
          <w:p w14:paraId="42837871" w14:textId="51092E42"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0.088</w:t>
            </w:r>
          </w:p>
        </w:tc>
        <w:tc>
          <w:tcPr>
            <w:tcW w:w="970" w:type="pct"/>
            <w:tcBorders>
              <w:top w:val="nil"/>
              <w:left w:val="nil"/>
              <w:bottom w:val="nil"/>
              <w:right w:val="nil"/>
            </w:tcBorders>
          </w:tcPr>
          <w:p w14:paraId="48B04EE9" w14:textId="0AC4E048"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-0.350***</w:t>
            </w:r>
          </w:p>
        </w:tc>
      </w:tr>
      <w:tr w:rsidR="009B0864" w:rsidRPr="003101A0" w14:paraId="252C7C39" w14:textId="77777777" w:rsidTr="003101A0">
        <w:trPr>
          <w:jc w:val="center"/>
        </w:trPr>
        <w:tc>
          <w:tcPr>
            <w:tcW w:w="1064" w:type="pct"/>
            <w:tcBorders>
              <w:top w:val="nil"/>
              <w:left w:val="nil"/>
              <w:bottom w:val="nil"/>
              <w:right w:val="nil"/>
            </w:tcBorders>
          </w:tcPr>
          <w:p w14:paraId="7E19954C"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36817A66" w14:textId="5EB64FEF"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(-2.06)</w:t>
            </w:r>
          </w:p>
        </w:tc>
        <w:tc>
          <w:tcPr>
            <w:tcW w:w="963" w:type="pct"/>
            <w:tcBorders>
              <w:top w:val="nil"/>
              <w:left w:val="nil"/>
              <w:bottom w:val="nil"/>
              <w:right w:val="nil"/>
            </w:tcBorders>
          </w:tcPr>
          <w:p w14:paraId="20416337" w14:textId="1DB4BB58"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(-1.73)</w:t>
            </w:r>
          </w:p>
        </w:tc>
        <w:tc>
          <w:tcPr>
            <w:tcW w:w="963" w:type="pct"/>
            <w:tcBorders>
              <w:top w:val="nil"/>
              <w:left w:val="nil"/>
              <w:bottom w:val="nil"/>
              <w:right w:val="nil"/>
            </w:tcBorders>
          </w:tcPr>
          <w:p w14:paraId="0787E563" w14:textId="1207A743"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(0.98)</w:t>
            </w:r>
          </w:p>
        </w:tc>
        <w:tc>
          <w:tcPr>
            <w:tcW w:w="970" w:type="pct"/>
            <w:tcBorders>
              <w:top w:val="nil"/>
              <w:left w:val="nil"/>
              <w:bottom w:val="nil"/>
              <w:right w:val="nil"/>
            </w:tcBorders>
          </w:tcPr>
          <w:p w14:paraId="0377C77B" w14:textId="38C7373D"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(-3.46)</w:t>
            </w:r>
          </w:p>
        </w:tc>
      </w:tr>
      <w:tr w:rsidR="009B0864" w:rsidRPr="003101A0" w14:paraId="6B72E04B" w14:textId="77777777" w:rsidTr="003101A0">
        <w:trPr>
          <w:jc w:val="center"/>
        </w:trPr>
        <w:tc>
          <w:tcPr>
            <w:tcW w:w="1064" w:type="pct"/>
            <w:tcBorders>
              <w:top w:val="nil"/>
              <w:left w:val="nil"/>
              <w:bottom w:val="nil"/>
              <w:right w:val="nil"/>
            </w:tcBorders>
            <w:vAlign w:val="center"/>
          </w:tcPr>
          <w:p w14:paraId="36A65593"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sidRPr="003101A0">
              <w:rPr>
                <w:rFonts w:ascii="Times New Roman" w:hAnsi="Times New Roman" w:cs="Times New Roman"/>
                <w:i/>
                <w:sz w:val="20"/>
                <w:szCs w:val="20"/>
                <w:lang w:val="en-US"/>
              </w:rPr>
              <w:t>CIloans</w:t>
            </w:r>
            <w:proofErr w:type="spellEnd"/>
            <w:r w:rsidRPr="003101A0">
              <w:rPr>
                <w:rFonts w:ascii="Times New Roman" w:hAnsi="Times New Roman" w:cs="Times New Roman"/>
                <w:i/>
                <w:sz w:val="20"/>
                <w:szCs w:val="20"/>
                <w:lang w:val="en-US"/>
              </w:rPr>
              <w:t xml:space="preserve"> </w:t>
            </w:r>
          </w:p>
        </w:tc>
        <w:tc>
          <w:tcPr>
            <w:tcW w:w="1040" w:type="pct"/>
            <w:tcBorders>
              <w:top w:val="nil"/>
              <w:left w:val="nil"/>
              <w:bottom w:val="nil"/>
              <w:right w:val="nil"/>
            </w:tcBorders>
          </w:tcPr>
          <w:p w14:paraId="262DAB17" w14:textId="64C95D6E"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-0.114***</w:t>
            </w:r>
          </w:p>
        </w:tc>
        <w:tc>
          <w:tcPr>
            <w:tcW w:w="963" w:type="pct"/>
            <w:tcBorders>
              <w:top w:val="nil"/>
              <w:left w:val="nil"/>
              <w:bottom w:val="nil"/>
              <w:right w:val="nil"/>
            </w:tcBorders>
          </w:tcPr>
          <w:p w14:paraId="41095E28" w14:textId="0358F4EB"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-0.072***</w:t>
            </w:r>
          </w:p>
        </w:tc>
        <w:tc>
          <w:tcPr>
            <w:tcW w:w="963" w:type="pct"/>
            <w:tcBorders>
              <w:top w:val="nil"/>
              <w:left w:val="nil"/>
              <w:bottom w:val="nil"/>
              <w:right w:val="nil"/>
            </w:tcBorders>
          </w:tcPr>
          <w:p w14:paraId="1F6E0557" w14:textId="70167A78"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-0.078***</w:t>
            </w:r>
          </w:p>
        </w:tc>
        <w:tc>
          <w:tcPr>
            <w:tcW w:w="970" w:type="pct"/>
            <w:tcBorders>
              <w:top w:val="nil"/>
              <w:left w:val="nil"/>
              <w:bottom w:val="nil"/>
              <w:right w:val="nil"/>
            </w:tcBorders>
          </w:tcPr>
          <w:p w14:paraId="5ACFA828" w14:textId="2C0AB804"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-0.052**</w:t>
            </w:r>
          </w:p>
        </w:tc>
      </w:tr>
      <w:tr w:rsidR="009B0864" w:rsidRPr="003101A0" w14:paraId="513F38BD" w14:textId="77777777" w:rsidTr="003101A0">
        <w:trPr>
          <w:jc w:val="center"/>
        </w:trPr>
        <w:tc>
          <w:tcPr>
            <w:tcW w:w="1064" w:type="pct"/>
            <w:tcBorders>
              <w:top w:val="nil"/>
              <w:left w:val="nil"/>
              <w:bottom w:val="nil"/>
              <w:right w:val="nil"/>
            </w:tcBorders>
            <w:vAlign w:val="center"/>
          </w:tcPr>
          <w:p w14:paraId="31138E50"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564770A6" w14:textId="32BFBFE5"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(-4.98)</w:t>
            </w:r>
          </w:p>
        </w:tc>
        <w:tc>
          <w:tcPr>
            <w:tcW w:w="963" w:type="pct"/>
            <w:tcBorders>
              <w:top w:val="nil"/>
              <w:left w:val="nil"/>
              <w:bottom w:val="nil"/>
              <w:right w:val="nil"/>
            </w:tcBorders>
          </w:tcPr>
          <w:p w14:paraId="0DB96520" w14:textId="64ACBFE1"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(-3.87)</w:t>
            </w:r>
          </w:p>
        </w:tc>
        <w:tc>
          <w:tcPr>
            <w:tcW w:w="963" w:type="pct"/>
            <w:tcBorders>
              <w:top w:val="nil"/>
              <w:left w:val="nil"/>
              <w:bottom w:val="nil"/>
              <w:right w:val="nil"/>
            </w:tcBorders>
          </w:tcPr>
          <w:p w14:paraId="1C6947C8" w14:textId="7C7A74E7"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(-3.94)</w:t>
            </w:r>
          </w:p>
        </w:tc>
        <w:tc>
          <w:tcPr>
            <w:tcW w:w="970" w:type="pct"/>
            <w:tcBorders>
              <w:top w:val="nil"/>
              <w:left w:val="nil"/>
              <w:bottom w:val="nil"/>
              <w:right w:val="nil"/>
            </w:tcBorders>
          </w:tcPr>
          <w:p w14:paraId="0DF37E41" w14:textId="3DAEE498"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(-2.33)</w:t>
            </w:r>
          </w:p>
        </w:tc>
      </w:tr>
      <w:tr w:rsidR="009B0864" w:rsidRPr="003101A0" w14:paraId="6692E629" w14:textId="77777777" w:rsidTr="003101A0">
        <w:trPr>
          <w:jc w:val="center"/>
        </w:trPr>
        <w:tc>
          <w:tcPr>
            <w:tcW w:w="1064" w:type="pct"/>
            <w:tcBorders>
              <w:top w:val="nil"/>
              <w:left w:val="nil"/>
              <w:bottom w:val="nil"/>
              <w:right w:val="nil"/>
            </w:tcBorders>
          </w:tcPr>
          <w:p w14:paraId="01707C30"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roofErr w:type="spellStart"/>
            <w:r w:rsidRPr="003101A0">
              <w:rPr>
                <w:rFonts w:ascii="Times New Roman" w:hAnsi="Times New Roman" w:cs="Times New Roman"/>
                <w:i/>
                <w:sz w:val="20"/>
                <w:szCs w:val="20"/>
                <w:lang w:val="en-US"/>
              </w:rPr>
              <w:t>CIbonds</w:t>
            </w:r>
            <w:proofErr w:type="spellEnd"/>
          </w:p>
        </w:tc>
        <w:tc>
          <w:tcPr>
            <w:tcW w:w="1040" w:type="pct"/>
            <w:tcBorders>
              <w:top w:val="nil"/>
              <w:left w:val="nil"/>
              <w:bottom w:val="nil"/>
              <w:right w:val="nil"/>
            </w:tcBorders>
          </w:tcPr>
          <w:p w14:paraId="5358E287" w14:textId="68B9C706"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1.482***</w:t>
            </w:r>
          </w:p>
        </w:tc>
        <w:tc>
          <w:tcPr>
            <w:tcW w:w="963" w:type="pct"/>
            <w:tcBorders>
              <w:top w:val="nil"/>
              <w:left w:val="nil"/>
              <w:bottom w:val="nil"/>
              <w:right w:val="nil"/>
            </w:tcBorders>
          </w:tcPr>
          <w:p w14:paraId="13F72B84" w14:textId="57EC671A"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0.365***</w:t>
            </w:r>
          </w:p>
        </w:tc>
        <w:tc>
          <w:tcPr>
            <w:tcW w:w="963" w:type="pct"/>
            <w:tcBorders>
              <w:top w:val="nil"/>
              <w:left w:val="nil"/>
              <w:bottom w:val="nil"/>
              <w:right w:val="nil"/>
            </w:tcBorders>
          </w:tcPr>
          <w:p w14:paraId="0C4D1710" w14:textId="59B59B95"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1.314***</w:t>
            </w:r>
          </w:p>
        </w:tc>
        <w:tc>
          <w:tcPr>
            <w:tcW w:w="970" w:type="pct"/>
            <w:tcBorders>
              <w:top w:val="nil"/>
              <w:left w:val="nil"/>
              <w:bottom w:val="nil"/>
              <w:right w:val="nil"/>
            </w:tcBorders>
          </w:tcPr>
          <w:p w14:paraId="047A6575" w14:textId="592876B2"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1.312***</w:t>
            </w:r>
          </w:p>
        </w:tc>
      </w:tr>
      <w:tr w:rsidR="009B0864" w:rsidRPr="003101A0" w14:paraId="72BECEB3" w14:textId="77777777" w:rsidTr="003101A0">
        <w:trPr>
          <w:jc w:val="center"/>
        </w:trPr>
        <w:tc>
          <w:tcPr>
            <w:tcW w:w="1064" w:type="pct"/>
            <w:tcBorders>
              <w:top w:val="nil"/>
              <w:left w:val="nil"/>
              <w:bottom w:val="nil"/>
              <w:right w:val="nil"/>
            </w:tcBorders>
          </w:tcPr>
          <w:p w14:paraId="2C9496A0"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5B6348E5" w14:textId="3F28C736"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(46.27)</w:t>
            </w:r>
          </w:p>
        </w:tc>
        <w:tc>
          <w:tcPr>
            <w:tcW w:w="963" w:type="pct"/>
            <w:tcBorders>
              <w:top w:val="nil"/>
              <w:left w:val="nil"/>
              <w:bottom w:val="nil"/>
              <w:right w:val="nil"/>
            </w:tcBorders>
          </w:tcPr>
          <w:p w14:paraId="0AF0720E" w14:textId="35A654A3"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(14.05)</w:t>
            </w:r>
          </w:p>
        </w:tc>
        <w:tc>
          <w:tcPr>
            <w:tcW w:w="963" w:type="pct"/>
            <w:tcBorders>
              <w:top w:val="nil"/>
              <w:left w:val="nil"/>
              <w:bottom w:val="nil"/>
              <w:right w:val="nil"/>
            </w:tcBorders>
          </w:tcPr>
          <w:p w14:paraId="4554360A" w14:textId="14E58A9C"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(47.54)</w:t>
            </w:r>
          </w:p>
        </w:tc>
        <w:tc>
          <w:tcPr>
            <w:tcW w:w="970" w:type="pct"/>
            <w:tcBorders>
              <w:top w:val="nil"/>
              <w:left w:val="nil"/>
              <w:bottom w:val="nil"/>
              <w:right w:val="nil"/>
            </w:tcBorders>
          </w:tcPr>
          <w:p w14:paraId="4AA9E4E4" w14:textId="28D38F5F"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(42.16)</w:t>
            </w:r>
          </w:p>
        </w:tc>
      </w:tr>
      <w:tr w:rsidR="009B0864" w:rsidRPr="003101A0" w14:paraId="5A3123C5" w14:textId="77777777" w:rsidTr="003101A0">
        <w:trPr>
          <w:jc w:val="center"/>
        </w:trPr>
        <w:tc>
          <w:tcPr>
            <w:tcW w:w="1064" w:type="pct"/>
            <w:tcBorders>
              <w:top w:val="nil"/>
              <w:left w:val="nil"/>
              <w:bottom w:val="nil"/>
              <w:right w:val="nil"/>
            </w:tcBorders>
          </w:tcPr>
          <w:p w14:paraId="1D0C9AFF"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TB yield</w:t>
            </w:r>
          </w:p>
        </w:tc>
        <w:tc>
          <w:tcPr>
            <w:tcW w:w="1040" w:type="pct"/>
            <w:tcBorders>
              <w:top w:val="nil"/>
              <w:left w:val="nil"/>
              <w:bottom w:val="nil"/>
              <w:right w:val="nil"/>
            </w:tcBorders>
          </w:tcPr>
          <w:p w14:paraId="07A2E6C2" w14:textId="6898D6BA"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1.390***</w:t>
            </w:r>
          </w:p>
        </w:tc>
        <w:tc>
          <w:tcPr>
            <w:tcW w:w="963" w:type="pct"/>
            <w:tcBorders>
              <w:top w:val="nil"/>
              <w:left w:val="nil"/>
              <w:bottom w:val="nil"/>
              <w:right w:val="nil"/>
            </w:tcBorders>
          </w:tcPr>
          <w:p w14:paraId="0F7B43D9" w14:textId="28D99516"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-0.014</w:t>
            </w:r>
          </w:p>
        </w:tc>
        <w:tc>
          <w:tcPr>
            <w:tcW w:w="963" w:type="pct"/>
            <w:tcBorders>
              <w:top w:val="nil"/>
              <w:left w:val="nil"/>
              <w:bottom w:val="nil"/>
              <w:right w:val="nil"/>
            </w:tcBorders>
          </w:tcPr>
          <w:p w14:paraId="06E6851F" w14:textId="367BE9C2"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-0.375</w:t>
            </w:r>
          </w:p>
        </w:tc>
        <w:tc>
          <w:tcPr>
            <w:tcW w:w="970" w:type="pct"/>
            <w:tcBorders>
              <w:top w:val="nil"/>
              <w:left w:val="nil"/>
              <w:bottom w:val="nil"/>
              <w:right w:val="nil"/>
            </w:tcBorders>
          </w:tcPr>
          <w:p w14:paraId="548DACF5" w14:textId="4B2C27CA"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3.089***</w:t>
            </w:r>
          </w:p>
        </w:tc>
      </w:tr>
      <w:tr w:rsidR="009B0864" w:rsidRPr="003101A0" w14:paraId="1C9F4C63" w14:textId="77777777" w:rsidTr="003101A0">
        <w:trPr>
          <w:jc w:val="center"/>
        </w:trPr>
        <w:tc>
          <w:tcPr>
            <w:tcW w:w="1064" w:type="pct"/>
            <w:tcBorders>
              <w:top w:val="nil"/>
              <w:left w:val="nil"/>
              <w:bottom w:val="nil"/>
              <w:right w:val="nil"/>
            </w:tcBorders>
          </w:tcPr>
          <w:p w14:paraId="2A362492"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7A25AD02" w14:textId="162B9143"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(4.01)</w:t>
            </w:r>
          </w:p>
        </w:tc>
        <w:tc>
          <w:tcPr>
            <w:tcW w:w="963" w:type="pct"/>
            <w:tcBorders>
              <w:top w:val="nil"/>
              <w:left w:val="nil"/>
              <w:bottom w:val="nil"/>
              <w:right w:val="nil"/>
            </w:tcBorders>
          </w:tcPr>
          <w:p w14:paraId="126B19DE" w14:textId="179B791D"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(-0.05)</w:t>
            </w:r>
          </w:p>
        </w:tc>
        <w:tc>
          <w:tcPr>
            <w:tcW w:w="963" w:type="pct"/>
            <w:tcBorders>
              <w:top w:val="nil"/>
              <w:left w:val="nil"/>
              <w:bottom w:val="nil"/>
              <w:right w:val="nil"/>
            </w:tcBorders>
          </w:tcPr>
          <w:p w14:paraId="31CC221B" w14:textId="10A15F70"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(-1.25)</w:t>
            </w:r>
          </w:p>
        </w:tc>
        <w:tc>
          <w:tcPr>
            <w:tcW w:w="970" w:type="pct"/>
            <w:tcBorders>
              <w:top w:val="nil"/>
              <w:left w:val="nil"/>
              <w:bottom w:val="nil"/>
              <w:right w:val="nil"/>
            </w:tcBorders>
          </w:tcPr>
          <w:p w14:paraId="7F453215" w14:textId="68583C4E"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(9.17)</w:t>
            </w:r>
          </w:p>
        </w:tc>
      </w:tr>
      <w:tr w:rsidR="009B0864" w:rsidRPr="003101A0" w14:paraId="48995F97" w14:textId="77777777" w:rsidTr="003101A0">
        <w:trPr>
          <w:jc w:val="center"/>
        </w:trPr>
        <w:tc>
          <w:tcPr>
            <w:tcW w:w="1064" w:type="pct"/>
            <w:tcBorders>
              <w:top w:val="nil"/>
              <w:left w:val="nil"/>
              <w:bottom w:val="nil"/>
              <w:right w:val="nil"/>
            </w:tcBorders>
          </w:tcPr>
          <w:p w14:paraId="26423614"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Credit spread</w:t>
            </w:r>
          </w:p>
        </w:tc>
        <w:tc>
          <w:tcPr>
            <w:tcW w:w="1040" w:type="pct"/>
            <w:tcBorders>
              <w:top w:val="nil"/>
              <w:left w:val="nil"/>
              <w:bottom w:val="nil"/>
              <w:right w:val="nil"/>
            </w:tcBorders>
          </w:tcPr>
          <w:p w14:paraId="55215503" w14:textId="72AFCD18"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0.050***</w:t>
            </w:r>
          </w:p>
        </w:tc>
        <w:tc>
          <w:tcPr>
            <w:tcW w:w="963" w:type="pct"/>
            <w:tcBorders>
              <w:top w:val="nil"/>
              <w:left w:val="nil"/>
              <w:bottom w:val="nil"/>
              <w:right w:val="nil"/>
            </w:tcBorders>
          </w:tcPr>
          <w:p w14:paraId="7AC73352" w14:textId="30845858"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-0.000</w:t>
            </w:r>
          </w:p>
        </w:tc>
        <w:tc>
          <w:tcPr>
            <w:tcW w:w="963" w:type="pct"/>
            <w:tcBorders>
              <w:top w:val="nil"/>
              <w:left w:val="nil"/>
              <w:bottom w:val="nil"/>
              <w:right w:val="nil"/>
            </w:tcBorders>
          </w:tcPr>
          <w:p w14:paraId="4708CBD2" w14:textId="444E6597"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-0.022*</w:t>
            </w:r>
          </w:p>
        </w:tc>
        <w:tc>
          <w:tcPr>
            <w:tcW w:w="970" w:type="pct"/>
            <w:tcBorders>
              <w:top w:val="nil"/>
              <w:left w:val="nil"/>
              <w:bottom w:val="nil"/>
              <w:right w:val="nil"/>
            </w:tcBorders>
          </w:tcPr>
          <w:p w14:paraId="37801B05" w14:textId="169310DE"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0.018</w:t>
            </w:r>
          </w:p>
        </w:tc>
      </w:tr>
      <w:tr w:rsidR="009B0864" w:rsidRPr="003101A0" w14:paraId="7A4FEDF6" w14:textId="77777777" w:rsidTr="003101A0">
        <w:trPr>
          <w:jc w:val="center"/>
        </w:trPr>
        <w:tc>
          <w:tcPr>
            <w:tcW w:w="1064" w:type="pct"/>
            <w:tcBorders>
              <w:top w:val="nil"/>
              <w:left w:val="nil"/>
              <w:bottom w:val="nil"/>
              <w:right w:val="nil"/>
            </w:tcBorders>
          </w:tcPr>
          <w:p w14:paraId="3EF4F65A" w14:textId="77777777" w:rsidR="009B0864" w:rsidRPr="003101A0" w:rsidRDefault="009B0864" w:rsidP="00493F00">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569BB402" w14:textId="0B0FD776"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(3.48)</w:t>
            </w:r>
          </w:p>
        </w:tc>
        <w:tc>
          <w:tcPr>
            <w:tcW w:w="963" w:type="pct"/>
            <w:tcBorders>
              <w:top w:val="nil"/>
              <w:left w:val="nil"/>
              <w:bottom w:val="nil"/>
              <w:right w:val="nil"/>
            </w:tcBorders>
          </w:tcPr>
          <w:p w14:paraId="2E559E59" w14:textId="44B1A9EC"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w:t>
            </w:r>
          </w:p>
        </w:tc>
        <w:tc>
          <w:tcPr>
            <w:tcW w:w="963" w:type="pct"/>
            <w:tcBorders>
              <w:top w:val="nil"/>
              <w:left w:val="nil"/>
              <w:bottom w:val="nil"/>
              <w:right w:val="nil"/>
            </w:tcBorders>
          </w:tcPr>
          <w:p w14:paraId="25A88C35" w14:textId="52FF917D"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(-1.76)</w:t>
            </w:r>
          </w:p>
        </w:tc>
        <w:tc>
          <w:tcPr>
            <w:tcW w:w="970" w:type="pct"/>
            <w:tcBorders>
              <w:top w:val="nil"/>
              <w:left w:val="nil"/>
              <w:bottom w:val="nil"/>
              <w:right w:val="nil"/>
            </w:tcBorders>
          </w:tcPr>
          <w:p w14:paraId="4E1798DB" w14:textId="2F23CEC0" w:rsidR="009B0864" w:rsidRPr="003101A0" w:rsidRDefault="009B0864" w:rsidP="00DC569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(1.26)</w:t>
            </w:r>
          </w:p>
        </w:tc>
      </w:tr>
      <w:tr w:rsidR="00C8397D" w:rsidRPr="003101A0" w14:paraId="436FCA5B" w14:textId="77777777" w:rsidTr="003101A0">
        <w:trPr>
          <w:jc w:val="center"/>
        </w:trPr>
        <w:tc>
          <w:tcPr>
            <w:tcW w:w="1064" w:type="pct"/>
            <w:tcBorders>
              <w:top w:val="nil"/>
              <w:left w:val="nil"/>
              <w:bottom w:val="nil"/>
              <w:right w:val="nil"/>
            </w:tcBorders>
          </w:tcPr>
          <w:p w14:paraId="6768DF7D" w14:textId="77777777" w:rsidR="00C8397D" w:rsidRPr="003101A0" w:rsidRDefault="00C8397D" w:rsidP="00C8397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Market runup</w:t>
            </w:r>
          </w:p>
        </w:tc>
        <w:tc>
          <w:tcPr>
            <w:tcW w:w="1040" w:type="pct"/>
            <w:tcBorders>
              <w:top w:val="nil"/>
              <w:left w:val="nil"/>
              <w:bottom w:val="nil"/>
              <w:right w:val="nil"/>
            </w:tcBorders>
          </w:tcPr>
          <w:p w14:paraId="3D52B89E" w14:textId="2474ED98"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w:t>
            </w:r>
            <w:r>
              <w:rPr>
                <w:rFonts w:ascii="Times New Roman" w:hAnsi="Times New Roman"/>
                <w:sz w:val="20"/>
                <w:szCs w:val="20"/>
                <w:lang w:val="en-US"/>
              </w:rPr>
              <w:t>0.</w:t>
            </w:r>
            <w:r w:rsidRPr="003101A0">
              <w:rPr>
                <w:rFonts w:ascii="Times New Roman" w:hAnsi="Times New Roman"/>
                <w:sz w:val="20"/>
                <w:szCs w:val="20"/>
                <w:lang w:val="en-US"/>
              </w:rPr>
              <w:t>115***</w:t>
            </w:r>
          </w:p>
        </w:tc>
        <w:tc>
          <w:tcPr>
            <w:tcW w:w="963" w:type="pct"/>
            <w:tcBorders>
              <w:top w:val="nil"/>
              <w:left w:val="nil"/>
              <w:bottom w:val="nil"/>
              <w:right w:val="nil"/>
            </w:tcBorders>
          </w:tcPr>
          <w:p w14:paraId="2981690E" w14:textId="20373EEE"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sz w:val="20"/>
                <w:szCs w:val="20"/>
                <w:lang w:val="en-US"/>
              </w:rPr>
              <w:t>0.0</w:t>
            </w:r>
            <w:r w:rsidRPr="003101A0">
              <w:rPr>
                <w:rFonts w:ascii="Times New Roman" w:hAnsi="Times New Roman"/>
                <w:sz w:val="20"/>
                <w:szCs w:val="20"/>
                <w:lang w:val="en-US"/>
              </w:rPr>
              <w:t>4</w:t>
            </w:r>
            <w:r>
              <w:rPr>
                <w:rFonts w:ascii="Times New Roman" w:hAnsi="Times New Roman"/>
                <w:sz w:val="20"/>
                <w:szCs w:val="20"/>
                <w:lang w:val="en-US"/>
              </w:rPr>
              <w:t>7</w:t>
            </w:r>
          </w:p>
        </w:tc>
        <w:tc>
          <w:tcPr>
            <w:tcW w:w="963" w:type="pct"/>
            <w:tcBorders>
              <w:top w:val="nil"/>
              <w:left w:val="nil"/>
              <w:bottom w:val="nil"/>
              <w:right w:val="nil"/>
            </w:tcBorders>
          </w:tcPr>
          <w:p w14:paraId="64A807E3" w14:textId="376788CE"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sz w:val="20"/>
                <w:szCs w:val="20"/>
                <w:lang w:val="en-US"/>
              </w:rPr>
              <w:t>0.0</w:t>
            </w:r>
            <w:r w:rsidRPr="003101A0">
              <w:rPr>
                <w:rFonts w:ascii="Times New Roman" w:hAnsi="Times New Roman"/>
                <w:sz w:val="20"/>
                <w:szCs w:val="20"/>
                <w:lang w:val="en-US"/>
              </w:rPr>
              <w:t>2</w:t>
            </w:r>
            <w:r>
              <w:rPr>
                <w:rFonts w:ascii="Times New Roman" w:hAnsi="Times New Roman"/>
                <w:sz w:val="20"/>
                <w:szCs w:val="20"/>
                <w:lang w:val="en-US"/>
              </w:rPr>
              <w:t>3</w:t>
            </w:r>
          </w:p>
        </w:tc>
        <w:tc>
          <w:tcPr>
            <w:tcW w:w="970" w:type="pct"/>
            <w:tcBorders>
              <w:top w:val="nil"/>
              <w:left w:val="nil"/>
              <w:bottom w:val="nil"/>
              <w:right w:val="nil"/>
            </w:tcBorders>
          </w:tcPr>
          <w:p w14:paraId="1D438C73" w14:textId="19F82301"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w:t>
            </w:r>
            <w:r>
              <w:rPr>
                <w:rFonts w:ascii="Times New Roman" w:hAnsi="Times New Roman"/>
                <w:sz w:val="20"/>
                <w:szCs w:val="20"/>
                <w:lang w:val="en-US"/>
              </w:rPr>
              <w:t>0.</w:t>
            </w:r>
            <w:r w:rsidRPr="003101A0">
              <w:rPr>
                <w:rFonts w:ascii="Times New Roman" w:hAnsi="Times New Roman"/>
                <w:sz w:val="20"/>
                <w:szCs w:val="20"/>
                <w:lang w:val="en-US"/>
              </w:rPr>
              <w:t>218***</w:t>
            </w:r>
          </w:p>
        </w:tc>
      </w:tr>
      <w:tr w:rsidR="00C8397D" w:rsidRPr="003101A0" w14:paraId="36AEAFE4" w14:textId="77777777" w:rsidTr="003101A0">
        <w:trPr>
          <w:jc w:val="center"/>
        </w:trPr>
        <w:tc>
          <w:tcPr>
            <w:tcW w:w="1064" w:type="pct"/>
            <w:tcBorders>
              <w:top w:val="nil"/>
              <w:left w:val="nil"/>
              <w:bottom w:val="nil"/>
              <w:right w:val="nil"/>
            </w:tcBorders>
          </w:tcPr>
          <w:p w14:paraId="32B2CFD7" w14:textId="77777777" w:rsidR="00C8397D" w:rsidRPr="003101A0" w:rsidRDefault="00C8397D" w:rsidP="00C8397D">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10DC2939" w14:textId="5F639183"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(-3.00)</w:t>
            </w:r>
          </w:p>
        </w:tc>
        <w:tc>
          <w:tcPr>
            <w:tcW w:w="963" w:type="pct"/>
            <w:tcBorders>
              <w:top w:val="nil"/>
              <w:left w:val="nil"/>
              <w:bottom w:val="nil"/>
              <w:right w:val="nil"/>
            </w:tcBorders>
          </w:tcPr>
          <w:p w14:paraId="6926396F" w14:textId="09D2389E"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(1.49)</w:t>
            </w:r>
          </w:p>
        </w:tc>
        <w:tc>
          <w:tcPr>
            <w:tcW w:w="963" w:type="pct"/>
            <w:tcBorders>
              <w:top w:val="nil"/>
              <w:left w:val="nil"/>
              <w:bottom w:val="nil"/>
              <w:right w:val="nil"/>
            </w:tcBorders>
          </w:tcPr>
          <w:p w14:paraId="7A764D55" w14:textId="60D2B9B2"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(0.69)</w:t>
            </w:r>
          </w:p>
        </w:tc>
        <w:tc>
          <w:tcPr>
            <w:tcW w:w="970" w:type="pct"/>
            <w:tcBorders>
              <w:top w:val="nil"/>
              <w:left w:val="nil"/>
              <w:bottom w:val="nil"/>
              <w:right w:val="nil"/>
            </w:tcBorders>
          </w:tcPr>
          <w:p w14:paraId="2781B94E" w14:textId="0F2AD9A1"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(-5.86)</w:t>
            </w:r>
          </w:p>
        </w:tc>
      </w:tr>
      <w:tr w:rsidR="00C8397D" w:rsidRPr="003101A0" w14:paraId="18130414" w14:textId="77777777" w:rsidTr="003101A0">
        <w:trPr>
          <w:jc w:val="center"/>
        </w:trPr>
        <w:tc>
          <w:tcPr>
            <w:tcW w:w="1064" w:type="pct"/>
            <w:tcBorders>
              <w:top w:val="nil"/>
              <w:left w:val="nil"/>
              <w:bottom w:val="nil"/>
              <w:right w:val="nil"/>
            </w:tcBorders>
          </w:tcPr>
          <w:p w14:paraId="669E8D66" w14:textId="77777777" w:rsidR="00C8397D" w:rsidRPr="003101A0" w:rsidRDefault="00C8397D" w:rsidP="00C8397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iCs/>
                <w:sz w:val="20"/>
                <w:szCs w:val="20"/>
                <w:lang w:val="en-US"/>
              </w:rPr>
              <w:t>Arbitrage period</w:t>
            </w:r>
          </w:p>
        </w:tc>
        <w:tc>
          <w:tcPr>
            <w:tcW w:w="1040" w:type="pct"/>
            <w:tcBorders>
              <w:top w:val="nil"/>
              <w:left w:val="nil"/>
              <w:bottom w:val="nil"/>
              <w:right w:val="nil"/>
            </w:tcBorders>
          </w:tcPr>
          <w:p w14:paraId="6BA37E82" w14:textId="7753FFA8"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-0.080***</w:t>
            </w:r>
          </w:p>
        </w:tc>
        <w:tc>
          <w:tcPr>
            <w:tcW w:w="963" w:type="pct"/>
            <w:tcBorders>
              <w:top w:val="nil"/>
              <w:left w:val="nil"/>
              <w:bottom w:val="nil"/>
              <w:right w:val="nil"/>
            </w:tcBorders>
          </w:tcPr>
          <w:p w14:paraId="7A39361D" w14:textId="1482A608"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-0.002</w:t>
            </w:r>
          </w:p>
        </w:tc>
        <w:tc>
          <w:tcPr>
            <w:tcW w:w="963" w:type="pct"/>
            <w:tcBorders>
              <w:top w:val="nil"/>
              <w:left w:val="nil"/>
              <w:bottom w:val="nil"/>
              <w:right w:val="nil"/>
            </w:tcBorders>
          </w:tcPr>
          <w:p w14:paraId="7FDDDE28" w14:textId="69E9D433"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-0.107***</w:t>
            </w:r>
          </w:p>
        </w:tc>
        <w:tc>
          <w:tcPr>
            <w:tcW w:w="970" w:type="pct"/>
            <w:tcBorders>
              <w:top w:val="nil"/>
              <w:left w:val="nil"/>
              <w:bottom w:val="nil"/>
              <w:right w:val="nil"/>
            </w:tcBorders>
          </w:tcPr>
          <w:p w14:paraId="7DA0ACD3" w14:textId="7707EC05"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0.043***</w:t>
            </w:r>
          </w:p>
        </w:tc>
      </w:tr>
      <w:tr w:rsidR="00C8397D" w:rsidRPr="003101A0" w14:paraId="230BABA9" w14:textId="77777777" w:rsidTr="003101A0">
        <w:trPr>
          <w:jc w:val="center"/>
        </w:trPr>
        <w:tc>
          <w:tcPr>
            <w:tcW w:w="1064" w:type="pct"/>
            <w:tcBorders>
              <w:top w:val="nil"/>
              <w:left w:val="nil"/>
              <w:bottom w:val="nil"/>
              <w:right w:val="nil"/>
            </w:tcBorders>
          </w:tcPr>
          <w:p w14:paraId="2C903C9F" w14:textId="77777777" w:rsidR="00C8397D" w:rsidRPr="003101A0" w:rsidRDefault="00C8397D" w:rsidP="00C8397D">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347272EF" w14:textId="57FB8BDC"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(-5.63)</w:t>
            </w:r>
          </w:p>
        </w:tc>
        <w:tc>
          <w:tcPr>
            <w:tcW w:w="963" w:type="pct"/>
            <w:tcBorders>
              <w:top w:val="nil"/>
              <w:left w:val="nil"/>
              <w:bottom w:val="nil"/>
              <w:right w:val="nil"/>
            </w:tcBorders>
          </w:tcPr>
          <w:p w14:paraId="25B00621" w14:textId="4A8ED0FF"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(-0.21)</w:t>
            </w:r>
          </w:p>
        </w:tc>
        <w:tc>
          <w:tcPr>
            <w:tcW w:w="963" w:type="pct"/>
            <w:tcBorders>
              <w:top w:val="nil"/>
              <w:left w:val="nil"/>
              <w:bottom w:val="nil"/>
              <w:right w:val="nil"/>
            </w:tcBorders>
          </w:tcPr>
          <w:p w14:paraId="6CE7E884" w14:textId="3DA5B87F"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(-8.66)</w:t>
            </w:r>
          </w:p>
        </w:tc>
        <w:tc>
          <w:tcPr>
            <w:tcW w:w="970" w:type="pct"/>
            <w:tcBorders>
              <w:top w:val="nil"/>
              <w:left w:val="nil"/>
              <w:bottom w:val="nil"/>
              <w:right w:val="nil"/>
            </w:tcBorders>
          </w:tcPr>
          <w:p w14:paraId="17D00991" w14:textId="3A16D280"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(3.08)</w:t>
            </w:r>
          </w:p>
        </w:tc>
      </w:tr>
      <w:tr w:rsidR="00C8397D" w:rsidRPr="003101A0" w14:paraId="2CAF27C3" w14:textId="77777777" w:rsidTr="003101A0">
        <w:trPr>
          <w:jc w:val="center"/>
        </w:trPr>
        <w:tc>
          <w:tcPr>
            <w:tcW w:w="1064" w:type="pct"/>
            <w:tcBorders>
              <w:top w:val="nil"/>
              <w:left w:val="nil"/>
              <w:bottom w:val="nil"/>
              <w:right w:val="nil"/>
            </w:tcBorders>
          </w:tcPr>
          <w:p w14:paraId="11C53DC7" w14:textId="69BF81D5" w:rsidR="00C8397D" w:rsidRPr="003101A0" w:rsidRDefault="00C8397D" w:rsidP="00C8397D">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i/>
                <w:iCs/>
                <w:sz w:val="20"/>
                <w:szCs w:val="20"/>
                <w:lang w:val="en-US"/>
              </w:rPr>
              <w:t>GFC</w:t>
            </w:r>
            <w:r w:rsidRPr="003101A0">
              <w:rPr>
                <w:rFonts w:ascii="Times New Roman" w:hAnsi="Times New Roman" w:cs="Times New Roman"/>
                <w:i/>
                <w:iCs/>
                <w:sz w:val="20"/>
                <w:szCs w:val="20"/>
                <w:lang w:val="en-US"/>
              </w:rPr>
              <w:t xml:space="preserve"> period</w:t>
            </w:r>
          </w:p>
        </w:tc>
        <w:tc>
          <w:tcPr>
            <w:tcW w:w="1040" w:type="pct"/>
            <w:tcBorders>
              <w:top w:val="nil"/>
              <w:left w:val="nil"/>
              <w:bottom w:val="nil"/>
              <w:right w:val="nil"/>
            </w:tcBorders>
          </w:tcPr>
          <w:p w14:paraId="56DFA46D" w14:textId="590FCEB8"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-0.247***</w:t>
            </w:r>
          </w:p>
        </w:tc>
        <w:tc>
          <w:tcPr>
            <w:tcW w:w="963" w:type="pct"/>
            <w:tcBorders>
              <w:top w:val="nil"/>
              <w:left w:val="nil"/>
              <w:bottom w:val="nil"/>
              <w:right w:val="nil"/>
            </w:tcBorders>
          </w:tcPr>
          <w:p w14:paraId="5CB3DF15" w14:textId="4262F07F"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-0.065**</w:t>
            </w:r>
          </w:p>
        </w:tc>
        <w:tc>
          <w:tcPr>
            <w:tcW w:w="963" w:type="pct"/>
            <w:tcBorders>
              <w:top w:val="nil"/>
              <w:left w:val="nil"/>
              <w:bottom w:val="nil"/>
              <w:right w:val="nil"/>
            </w:tcBorders>
          </w:tcPr>
          <w:p w14:paraId="7B8221A3" w14:textId="6DF6FF60"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-0.109***</w:t>
            </w:r>
          </w:p>
        </w:tc>
        <w:tc>
          <w:tcPr>
            <w:tcW w:w="970" w:type="pct"/>
            <w:tcBorders>
              <w:top w:val="nil"/>
              <w:left w:val="nil"/>
              <w:bottom w:val="nil"/>
              <w:right w:val="nil"/>
            </w:tcBorders>
          </w:tcPr>
          <w:p w14:paraId="4A515177" w14:textId="74B57827"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0.270***</w:t>
            </w:r>
          </w:p>
        </w:tc>
      </w:tr>
      <w:tr w:rsidR="00C8397D" w:rsidRPr="003101A0" w14:paraId="3DBA8990" w14:textId="77777777" w:rsidTr="003101A0">
        <w:trPr>
          <w:jc w:val="center"/>
        </w:trPr>
        <w:tc>
          <w:tcPr>
            <w:tcW w:w="1064" w:type="pct"/>
            <w:tcBorders>
              <w:top w:val="nil"/>
              <w:left w:val="nil"/>
              <w:bottom w:val="nil"/>
              <w:right w:val="nil"/>
            </w:tcBorders>
          </w:tcPr>
          <w:p w14:paraId="56951C09" w14:textId="77777777" w:rsidR="00C8397D" w:rsidRPr="003101A0" w:rsidRDefault="00C8397D" w:rsidP="00C8397D">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316167F4" w14:textId="60B7E299"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(-7.67)</w:t>
            </w:r>
          </w:p>
        </w:tc>
        <w:tc>
          <w:tcPr>
            <w:tcW w:w="963" w:type="pct"/>
            <w:tcBorders>
              <w:top w:val="nil"/>
              <w:left w:val="nil"/>
              <w:bottom w:val="nil"/>
              <w:right w:val="nil"/>
            </w:tcBorders>
          </w:tcPr>
          <w:p w14:paraId="00DDB796" w14:textId="1C0B026B"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(-2.46)</w:t>
            </w:r>
          </w:p>
        </w:tc>
        <w:tc>
          <w:tcPr>
            <w:tcW w:w="963" w:type="pct"/>
            <w:tcBorders>
              <w:top w:val="nil"/>
              <w:left w:val="nil"/>
              <w:bottom w:val="nil"/>
              <w:right w:val="nil"/>
            </w:tcBorders>
          </w:tcPr>
          <w:p w14:paraId="54D8B4F5" w14:textId="5EDE1FFB"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(-3.93)</w:t>
            </w:r>
          </w:p>
        </w:tc>
        <w:tc>
          <w:tcPr>
            <w:tcW w:w="970" w:type="pct"/>
            <w:tcBorders>
              <w:top w:val="nil"/>
              <w:left w:val="nil"/>
              <w:bottom w:val="nil"/>
              <w:right w:val="nil"/>
            </w:tcBorders>
          </w:tcPr>
          <w:p w14:paraId="18A2EF14" w14:textId="16AC2EF4"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(8.66)</w:t>
            </w:r>
          </w:p>
        </w:tc>
      </w:tr>
      <w:tr w:rsidR="00C8397D" w:rsidRPr="003101A0" w14:paraId="16D32992" w14:textId="77777777" w:rsidTr="003101A0">
        <w:trPr>
          <w:jc w:val="center"/>
        </w:trPr>
        <w:tc>
          <w:tcPr>
            <w:tcW w:w="1064" w:type="pct"/>
            <w:tcBorders>
              <w:top w:val="nil"/>
              <w:left w:val="nil"/>
              <w:bottom w:val="nil"/>
              <w:right w:val="nil"/>
            </w:tcBorders>
          </w:tcPr>
          <w:p w14:paraId="383C351A" w14:textId="77777777" w:rsidR="00C8397D" w:rsidRPr="003101A0" w:rsidRDefault="00C8397D" w:rsidP="00C8397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iCs/>
                <w:sz w:val="20"/>
                <w:szCs w:val="20"/>
                <w:lang w:val="en-US"/>
              </w:rPr>
              <w:t>Post-crisis period</w:t>
            </w:r>
          </w:p>
        </w:tc>
        <w:tc>
          <w:tcPr>
            <w:tcW w:w="1040" w:type="pct"/>
            <w:tcBorders>
              <w:top w:val="nil"/>
              <w:left w:val="nil"/>
              <w:bottom w:val="nil"/>
              <w:right w:val="nil"/>
            </w:tcBorders>
          </w:tcPr>
          <w:p w14:paraId="78CDED79" w14:textId="0CE9B7E5"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-0.139***</w:t>
            </w:r>
          </w:p>
        </w:tc>
        <w:tc>
          <w:tcPr>
            <w:tcW w:w="963" w:type="pct"/>
            <w:tcBorders>
              <w:top w:val="nil"/>
              <w:left w:val="nil"/>
              <w:bottom w:val="nil"/>
              <w:right w:val="nil"/>
            </w:tcBorders>
          </w:tcPr>
          <w:p w14:paraId="0F1C42A8" w14:textId="3187F11A"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-0.040**</w:t>
            </w:r>
          </w:p>
        </w:tc>
        <w:tc>
          <w:tcPr>
            <w:tcW w:w="963" w:type="pct"/>
            <w:tcBorders>
              <w:top w:val="nil"/>
              <w:left w:val="nil"/>
              <w:bottom w:val="nil"/>
              <w:right w:val="nil"/>
            </w:tcBorders>
          </w:tcPr>
          <w:p w14:paraId="4A35D8B5" w14:textId="786A89A4"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-0.100***</w:t>
            </w:r>
          </w:p>
        </w:tc>
        <w:tc>
          <w:tcPr>
            <w:tcW w:w="970" w:type="pct"/>
            <w:tcBorders>
              <w:top w:val="nil"/>
              <w:left w:val="nil"/>
              <w:bottom w:val="nil"/>
              <w:right w:val="nil"/>
            </w:tcBorders>
          </w:tcPr>
          <w:p w14:paraId="0EC78201" w14:textId="75E67CF8"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0.409***</w:t>
            </w:r>
          </w:p>
        </w:tc>
      </w:tr>
      <w:tr w:rsidR="00C8397D" w:rsidRPr="003101A0" w14:paraId="76C35508" w14:textId="77777777" w:rsidTr="003101A0">
        <w:trPr>
          <w:jc w:val="center"/>
        </w:trPr>
        <w:tc>
          <w:tcPr>
            <w:tcW w:w="1064" w:type="pct"/>
            <w:tcBorders>
              <w:top w:val="nil"/>
              <w:left w:val="nil"/>
              <w:bottom w:val="nil"/>
              <w:right w:val="nil"/>
            </w:tcBorders>
          </w:tcPr>
          <w:p w14:paraId="3DEE8B46" w14:textId="77777777" w:rsidR="00C8397D" w:rsidRPr="003101A0" w:rsidRDefault="00C8397D" w:rsidP="00C8397D">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tcPr>
          <w:p w14:paraId="0361CFFB" w14:textId="2C19C9EA"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(-6.97)</w:t>
            </w:r>
          </w:p>
        </w:tc>
        <w:tc>
          <w:tcPr>
            <w:tcW w:w="963" w:type="pct"/>
            <w:tcBorders>
              <w:top w:val="nil"/>
              <w:left w:val="nil"/>
              <w:bottom w:val="nil"/>
              <w:right w:val="nil"/>
            </w:tcBorders>
          </w:tcPr>
          <w:p w14:paraId="5A74719A" w14:textId="37BBD79A"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(-2.47)</w:t>
            </w:r>
          </w:p>
        </w:tc>
        <w:tc>
          <w:tcPr>
            <w:tcW w:w="963" w:type="pct"/>
            <w:tcBorders>
              <w:top w:val="nil"/>
              <w:left w:val="nil"/>
              <w:bottom w:val="nil"/>
              <w:right w:val="nil"/>
            </w:tcBorders>
          </w:tcPr>
          <w:p w14:paraId="4036FB3C" w14:textId="23E22C9C"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(-5.83)</w:t>
            </w:r>
          </w:p>
        </w:tc>
        <w:tc>
          <w:tcPr>
            <w:tcW w:w="970" w:type="pct"/>
            <w:tcBorders>
              <w:top w:val="nil"/>
              <w:left w:val="nil"/>
              <w:bottom w:val="nil"/>
              <w:right w:val="nil"/>
            </w:tcBorders>
          </w:tcPr>
          <w:p w14:paraId="185101EB" w14:textId="5044304D"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(21.13)</w:t>
            </w:r>
          </w:p>
        </w:tc>
      </w:tr>
      <w:tr w:rsidR="00C8397D" w:rsidRPr="003101A0" w14:paraId="5A88265C" w14:textId="77777777" w:rsidTr="003101A0">
        <w:trPr>
          <w:jc w:val="center"/>
        </w:trPr>
        <w:tc>
          <w:tcPr>
            <w:tcW w:w="1064" w:type="pct"/>
            <w:tcBorders>
              <w:top w:val="nil"/>
              <w:left w:val="nil"/>
              <w:bottom w:val="nil"/>
              <w:right w:val="nil"/>
            </w:tcBorders>
            <w:shd w:val="clear" w:color="auto" w:fill="auto"/>
          </w:tcPr>
          <w:p w14:paraId="3EA20ABE" w14:textId="2D8CFC53" w:rsidR="00C8397D" w:rsidRPr="003101A0" w:rsidRDefault="00C8397D" w:rsidP="00C8397D">
            <w:pPr>
              <w:widowControl w:val="0"/>
              <w:autoSpaceDE w:val="0"/>
              <w:autoSpaceDN w:val="0"/>
              <w:adjustRightInd w:val="0"/>
              <w:spacing w:after="0" w:line="240" w:lineRule="auto"/>
              <w:rPr>
                <w:rFonts w:ascii="Times New Roman" w:hAnsi="Times New Roman" w:cs="Times New Roman"/>
                <w:i/>
                <w:iCs/>
                <w:sz w:val="20"/>
                <w:szCs w:val="20"/>
                <w:lang w:val="en-US"/>
              </w:rPr>
            </w:pPr>
            <w:r w:rsidRPr="003101A0">
              <w:rPr>
                <w:rFonts w:ascii="Times New Roman" w:hAnsi="Times New Roman" w:cs="Times New Roman"/>
                <w:i/>
                <w:iCs/>
                <w:sz w:val="20"/>
                <w:szCs w:val="20"/>
                <w:lang w:val="en-US"/>
              </w:rPr>
              <w:t>Lambda</w:t>
            </w:r>
          </w:p>
        </w:tc>
        <w:tc>
          <w:tcPr>
            <w:tcW w:w="1040" w:type="pct"/>
            <w:tcBorders>
              <w:top w:val="nil"/>
              <w:left w:val="nil"/>
              <w:bottom w:val="nil"/>
              <w:right w:val="nil"/>
            </w:tcBorders>
            <w:shd w:val="clear" w:color="auto" w:fill="auto"/>
          </w:tcPr>
          <w:p w14:paraId="6982F828" w14:textId="3D60737F"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-0.013</w:t>
            </w:r>
          </w:p>
        </w:tc>
        <w:tc>
          <w:tcPr>
            <w:tcW w:w="963" w:type="pct"/>
            <w:tcBorders>
              <w:top w:val="nil"/>
              <w:left w:val="nil"/>
              <w:bottom w:val="nil"/>
              <w:right w:val="nil"/>
            </w:tcBorders>
            <w:shd w:val="clear" w:color="auto" w:fill="auto"/>
          </w:tcPr>
          <w:p w14:paraId="60770E44" w14:textId="61DFE6BC"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0.267***</w:t>
            </w:r>
          </w:p>
        </w:tc>
        <w:tc>
          <w:tcPr>
            <w:tcW w:w="963" w:type="pct"/>
            <w:tcBorders>
              <w:top w:val="nil"/>
              <w:left w:val="nil"/>
              <w:bottom w:val="nil"/>
              <w:right w:val="nil"/>
            </w:tcBorders>
            <w:shd w:val="clear" w:color="auto" w:fill="auto"/>
          </w:tcPr>
          <w:p w14:paraId="526B2A95" w14:textId="5222F59B"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0.028</w:t>
            </w:r>
          </w:p>
        </w:tc>
        <w:tc>
          <w:tcPr>
            <w:tcW w:w="970" w:type="pct"/>
            <w:tcBorders>
              <w:top w:val="nil"/>
              <w:left w:val="nil"/>
              <w:bottom w:val="nil"/>
              <w:right w:val="nil"/>
            </w:tcBorders>
            <w:shd w:val="clear" w:color="auto" w:fill="auto"/>
          </w:tcPr>
          <w:p w14:paraId="744D74D6" w14:textId="6BE6088A"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-0.018</w:t>
            </w:r>
          </w:p>
        </w:tc>
      </w:tr>
      <w:tr w:rsidR="00C8397D" w:rsidRPr="003101A0" w14:paraId="55390FA8" w14:textId="77777777" w:rsidTr="003101A0">
        <w:trPr>
          <w:jc w:val="center"/>
        </w:trPr>
        <w:tc>
          <w:tcPr>
            <w:tcW w:w="1064" w:type="pct"/>
            <w:tcBorders>
              <w:top w:val="nil"/>
              <w:left w:val="nil"/>
              <w:bottom w:val="nil"/>
              <w:right w:val="nil"/>
            </w:tcBorders>
            <w:shd w:val="clear" w:color="auto" w:fill="auto"/>
          </w:tcPr>
          <w:p w14:paraId="34347190" w14:textId="77777777" w:rsidR="00C8397D" w:rsidRPr="003101A0" w:rsidRDefault="00C8397D" w:rsidP="00C8397D">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shd w:val="clear" w:color="auto" w:fill="auto"/>
          </w:tcPr>
          <w:p w14:paraId="5AF5687E" w14:textId="78720136"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(-0.59)</w:t>
            </w:r>
          </w:p>
        </w:tc>
        <w:tc>
          <w:tcPr>
            <w:tcW w:w="963" w:type="pct"/>
            <w:tcBorders>
              <w:top w:val="nil"/>
              <w:left w:val="nil"/>
              <w:bottom w:val="nil"/>
              <w:right w:val="nil"/>
            </w:tcBorders>
            <w:shd w:val="clear" w:color="auto" w:fill="auto"/>
          </w:tcPr>
          <w:p w14:paraId="13B6990C" w14:textId="0E6E2ED1"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(16.53)</w:t>
            </w:r>
          </w:p>
        </w:tc>
        <w:tc>
          <w:tcPr>
            <w:tcW w:w="963" w:type="pct"/>
            <w:tcBorders>
              <w:top w:val="nil"/>
              <w:left w:val="nil"/>
              <w:bottom w:val="nil"/>
              <w:right w:val="nil"/>
            </w:tcBorders>
            <w:shd w:val="clear" w:color="auto" w:fill="auto"/>
          </w:tcPr>
          <w:p w14:paraId="5F1A0AB8" w14:textId="003F1C61"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(1.46)</w:t>
            </w:r>
          </w:p>
        </w:tc>
        <w:tc>
          <w:tcPr>
            <w:tcW w:w="970" w:type="pct"/>
            <w:tcBorders>
              <w:top w:val="nil"/>
              <w:left w:val="nil"/>
              <w:bottom w:val="nil"/>
              <w:right w:val="nil"/>
            </w:tcBorders>
            <w:shd w:val="clear" w:color="auto" w:fill="auto"/>
          </w:tcPr>
          <w:p w14:paraId="051A18E0" w14:textId="2D4A995A"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(-0.83)</w:t>
            </w:r>
          </w:p>
        </w:tc>
      </w:tr>
      <w:tr w:rsidR="00C8397D" w:rsidRPr="003101A0" w14:paraId="0E6F404F" w14:textId="77777777" w:rsidTr="003101A0">
        <w:trPr>
          <w:jc w:val="center"/>
        </w:trPr>
        <w:tc>
          <w:tcPr>
            <w:tcW w:w="1064" w:type="pct"/>
            <w:tcBorders>
              <w:top w:val="nil"/>
              <w:left w:val="nil"/>
              <w:bottom w:val="nil"/>
              <w:right w:val="nil"/>
            </w:tcBorders>
            <w:shd w:val="clear" w:color="auto" w:fill="auto"/>
          </w:tcPr>
          <w:p w14:paraId="091A8869" w14:textId="4D58373B" w:rsidR="00C8397D" w:rsidRPr="003101A0" w:rsidRDefault="00C8397D" w:rsidP="00C8397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Intercept</w:t>
            </w:r>
          </w:p>
        </w:tc>
        <w:tc>
          <w:tcPr>
            <w:tcW w:w="1040" w:type="pct"/>
            <w:tcBorders>
              <w:top w:val="nil"/>
              <w:left w:val="nil"/>
              <w:bottom w:val="nil"/>
              <w:right w:val="nil"/>
            </w:tcBorders>
            <w:shd w:val="clear" w:color="auto" w:fill="auto"/>
          </w:tcPr>
          <w:p w14:paraId="59EFD898" w14:textId="246D7279"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0.582***</w:t>
            </w:r>
          </w:p>
        </w:tc>
        <w:tc>
          <w:tcPr>
            <w:tcW w:w="963" w:type="pct"/>
            <w:tcBorders>
              <w:top w:val="nil"/>
              <w:left w:val="nil"/>
              <w:bottom w:val="nil"/>
              <w:right w:val="nil"/>
            </w:tcBorders>
            <w:shd w:val="clear" w:color="auto" w:fill="auto"/>
          </w:tcPr>
          <w:p w14:paraId="61551EC0" w14:textId="7DFBD783"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1.004***</w:t>
            </w:r>
          </w:p>
        </w:tc>
        <w:tc>
          <w:tcPr>
            <w:tcW w:w="963" w:type="pct"/>
            <w:tcBorders>
              <w:top w:val="nil"/>
              <w:left w:val="nil"/>
              <w:bottom w:val="nil"/>
              <w:right w:val="nil"/>
            </w:tcBorders>
            <w:shd w:val="clear" w:color="auto" w:fill="auto"/>
          </w:tcPr>
          <w:p w14:paraId="19899C4C" w14:textId="0C09F009"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0.765***</w:t>
            </w:r>
          </w:p>
        </w:tc>
        <w:tc>
          <w:tcPr>
            <w:tcW w:w="970" w:type="pct"/>
            <w:tcBorders>
              <w:top w:val="nil"/>
              <w:left w:val="nil"/>
              <w:bottom w:val="nil"/>
              <w:right w:val="nil"/>
            </w:tcBorders>
            <w:shd w:val="clear" w:color="auto" w:fill="auto"/>
          </w:tcPr>
          <w:p w14:paraId="4F3DBC57" w14:textId="60149108"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0.620***</w:t>
            </w:r>
          </w:p>
        </w:tc>
      </w:tr>
      <w:tr w:rsidR="00C8397D" w:rsidRPr="003101A0" w14:paraId="16B22D22" w14:textId="77777777" w:rsidTr="003101A0">
        <w:trPr>
          <w:jc w:val="center"/>
        </w:trPr>
        <w:tc>
          <w:tcPr>
            <w:tcW w:w="1064" w:type="pct"/>
            <w:tcBorders>
              <w:top w:val="nil"/>
              <w:left w:val="nil"/>
              <w:bottom w:val="nil"/>
              <w:right w:val="nil"/>
            </w:tcBorders>
            <w:shd w:val="clear" w:color="auto" w:fill="auto"/>
          </w:tcPr>
          <w:p w14:paraId="5D02BCFC" w14:textId="77777777" w:rsidR="00C8397D" w:rsidRPr="003101A0" w:rsidRDefault="00C8397D" w:rsidP="00C8397D">
            <w:pPr>
              <w:widowControl w:val="0"/>
              <w:autoSpaceDE w:val="0"/>
              <w:autoSpaceDN w:val="0"/>
              <w:adjustRightInd w:val="0"/>
              <w:spacing w:after="0" w:line="240" w:lineRule="auto"/>
              <w:rPr>
                <w:rFonts w:ascii="Times New Roman" w:hAnsi="Times New Roman" w:cs="Times New Roman"/>
                <w:sz w:val="20"/>
                <w:szCs w:val="20"/>
                <w:lang w:val="en-US"/>
              </w:rPr>
            </w:pPr>
          </w:p>
        </w:tc>
        <w:tc>
          <w:tcPr>
            <w:tcW w:w="1040" w:type="pct"/>
            <w:tcBorders>
              <w:top w:val="nil"/>
              <w:left w:val="nil"/>
              <w:bottom w:val="nil"/>
              <w:right w:val="nil"/>
            </w:tcBorders>
            <w:shd w:val="clear" w:color="auto" w:fill="auto"/>
          </w:tcPr>
          <w:p w14:paraId="4D1908C8" w14:textId="533EA60F"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(12.74)</w:t>
            </w:r>
          </w:p>
        </w:tc>
        <w:tc>
          <w:tcPr>
            <w:tcW w:w="963" w:type="pct"/>
            <w:tcBorders>
              <w:top w:val="nil"/>
              <w:left w:val="nil"/>
              <w:bottom w:val="nil"/>
              <w:right w:val="nil"/>
            </w:tcBorders>
            <w:shd w:val="clear" w:color="auto" w:fill="auto"/>
          </w:tcPr>
          <w:p w14:paraId="5472B673" w14:textId="23F71455"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(27.66)</w:t>
            </w:r>
          </w:p>
        </w:tc>
        <w:tc>
          <w:tcPr>
            <w:tcW w:w="963" w:type="pct"/>
            <w:tcBorders>
              <w:top w:val="nil"/>
              <w:left w:val="nil"/>
              <w:bottom w:val="nil"/>
              <w:right w:val="nil"/>
            </w:tcBorders>
            <w:shd w:val="clear" w:color="auto" w:fill="auto"/>
          </w:tcPr>
          <w:p w14:paraId="4FCE32CB" w14:textId="505E2ED4"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(19.43)</w:t>
            </w:r>
          </w:p>
        </w:tc>
        <w:tc>
          <w:tcPr>
            <w:tcW w:w="970" w:type="pct"/>
            <w:tcBorders>
              <w:top w:val="nil"/>
              <w:left w:val="nil"/>
              <w:bottom w:val="nil"/>
              <w:right w:val="nil"/>
            </w:tcBorders>
            <w:shd w:val="clear" w:color="auto" w:fill="auto"/>
          </w:tcPr>
          <w:p w14:paraId="347F677E" w14:textId="0ECD5B14"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(13.97)</w:t>
            </w:r>
          </w:p>
        </w:tc>
      </w:tr>
      <w:tr w:rsidR="00C8397D" w:rsidRPr="003101A0" w14:paraId="690CB6A3" w14:textId="77777777" w:rsidTr="003101A0">
        <w:trPr>
          <w:jc w:val="center"/>
        </w:trPr>
        <w:tc>
          <w:tcPr>
            <w:tcW w:w="1064" w:type="pct"/>
            <w:tcBorders>
              <w:top w:val="nil"/>
              <w:left w:val="nil"/>
              <w:right w:val="nil"/>
            </w:tcBorders>
          </w:tcPr>
          <w:p w14:paraId="58C39FA6" w14:textId="77777777" w:rsidR="00C8397D" w:rsidRPr="003101A0" w:rsidRDefault="00C8397D" w:rsidP="00C8397D">
            <w:pPr>
              <w:widowControl w:val="0"/>
              <w:autoSpaceDE w:val="0"/>
              <w:autoSpaceDN w:val="0"/>
              <w:adjustRightInd w:val="0"/>
              <w:spacing w:after="0" w:line="240" w:lineRule="auto"/>
              <w:rPr>
                <w:rFonts w:ascii="Times New Roman" w:hAnsi="Times New Roman" w:cs="Times New Roman"/>
                <w:i/>
                <w:iCs/>
                <w:sz w:val="20"/>
                <w:szCs w:val="20"/>
                <w:lang w:val="en-US"/>
              </w:rPr>
            </w:pPr>
          </w:p>
        </w:tc>
        <w:tc>
          <w:tcPr>
            <w:tcW w:w="1040" w:type="pct"/>
            <w:tcBorders>
              <w:top w:val="nil"/>
              <w:left w:val="nil"/>
              <w:right w:val="nil"/>
            </w:tcBorders>
          </w:tcPr>
          <w:p w14:paraId="63D08396" w14:textId="77777777"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63" w:type="pct"/>
            <w:tcBorders>
              <w:top w:val="nil"/>
              <w:left w:val="nil"/>
              <w:right w:val="nil"/>
            </w:tcBorders>
          </w:tcPr>
          <w:p w14:paraId="5154FAFE" w14:textId="77777777"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63" w:type="pct"/>
            <w:tcBorders>
              <w:top w:val="nil"/>
              <w:left w:val="nil"/>
              <w:right w:val="nil"/>
            </w:tcBorders>
          </w:tcPr>
          <w:p w14:paraId="442DB286" w14:textId="77777777"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70" w:type="pct"/>
            <w:tcBorders>
              <w:top w:val="nil"/>
              <w:left w:val="nil"/>
              <w:right w:val="nil"/>
            </w:tcBorders>
          </w:tcPr>
          <w:p w14:paraId="282686C3" w14:textId="77777777"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C8397D" w:rsidRPr="003101A0" w14:paraId="7B2AE452" w14:textId="77777777" w:rsidTr="003101A0">
        <w:trPr>
          <w:jc w:val="center"/>
        </w:trPr>
        <w:tc>
          <w:tcPr>
            <w:tcW w:w="1064" w:type="pct"/>
            <w:tcBorders>
              <w:top w:val="nil"/>
              <w:left w:val="nil"/>
              <w:right w:val="nil"/>
            </w:tcBorders>
          </w:tcPr>
          <w:p w14:paraId="7EFD15B4" w14:textId="506C0646" w:rsidR="00C8397D" w:rsidRPr="003101A0" w:rsidRDefault="00C8397D" w:rsidP="00C8397D">
            <w:pPr>
              <w:widowControl w:val="0"/>
              <w:autoSpaceDE w:val="0"/>
              <w:autoSpaceDN w:val="0"/>
              <w:adjustRightInd w:val="0"/>
              <w:spacing w:after="0" w:line="240" w:lineRule="auto"/>
              <w:rPr>
                <w:rFonts w:ascii="Times New Roman" w:hAnsi="Times New Roman" w:cs="Times New Roman"/>
                <w:i/>
                <w:iCs/>
                <w:sz w:val="20"/>
                <w:szCs w:val="20"/>
                <w:lang w:val="en-US"/>
              </w:rPr>
            </w:pPr>
            <w:r w:rsidRPr="003101A0">
              <w:rPr>
                <w:rFonts w:ascii="Times New Roman" w:hAnsi="Times New Roman" w:cs="Times New Roman"/>
                <w:i/>
                <w:iCs/>
                <w:sz w:val="20"/>
                <w:szCs w:val="20"/>
                <w:lang w:val="en-US"/>
              </w:rPr>
              <w:t xml:space="preserve">Industry </w:t>
            </w:r>
            <w:r>
              <w:rPr>
                <w:rFonts w:ascii="Times New Roman" w:hAnsi="Times New Roman" w:cs="Times New Roman"/>
                <w:i/>
                <w:iCs/>
                <w:sz w:val="20"/>
                <w:szCs w:val="20"/>
                <w:lang w:val="en-US"/>
              </w:rPr>
              <w:t>FE</w:t>
            </w:r>
          </w:p>
        </w:tc>
        <w:tc>
          <w:tcPr>
            <w:tcW w:w="1040" w:type="pct"/>
            <w:tcBorders>
              <w:top w:val="nil"/>
              <w:left w:val="nil"/>
              <w:right w:val="nil"/>
            </w:tcBorders>
          </w:tcPr>
          <w:p w14:paraId="4E36A801" w14:textId="404A2E64"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963" w:type="pct"/>
            <w:tcBorders>
              <w:top w:val="nil"/>
              <w:left w:val="nil"/>
              <w:right w:val="nil"/>
            </w:tcBorders>
          </w:tcPr>
          <w:p w14:paraId="21D813E5" w14:textId="5F68E80B"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963" w:type="pct"/>
            <w:tcBorders>
              <w:top w:val="nil"/>
              <w:left w:val="nil"/>
              <w:right w:val="nil"/>
            </w:tcBorders>
          </w:tcPr>
          <w:p w14:paraId="797FF062" w14:textId="569AC8E2"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970" w:type="pct"/>
            <w:tcBorders>
              <w:top w:val="nil"/>
              <w:left w:val="nil"/>
              <w:right w:val="nil"/>
            </w:tcBorders>
          </w:tcPr>
          <w:p w14:paraId="3C35E8A5" w14:textId="0B196C9B"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r>
      <w:tr w:rsidR="00C8397D" w:rsidRPr="003101A0" w14:paraId="2236AB18" w14:textId="77777777" w:rsidTr="003101A0">
        <w:trPr>
          <w:jc w:val="center"/>
        </w:trPr>
        <w:tc>
          <w:tcPr>
            <w:tcW w:w="1064" w:type="pct"/>
            <w:tcBorders>
              <w:top w:val="nil"/>
              <w:left w:val="nil"/>
              <w:right w:val="nil"/>
            </w:tcBorders>
          </w:tcPr>
          <w:p w14:paraId="4C7A3B75" w14:textId="77777777" w:rsidR="00C8397D" w:rsidRPr="003101A0" w:rsidRDefault="00C8397D" w:rsidP="00C8397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iCs/>
                <w:sz w:val="20"/>
                <w:szCs w:val="20"/>
                <w:lang w:val="en-US"/>
              </w:rPr>
              <w:t>N</w:t>
            </w:r>
          </w:p>
        </w:tc>
        <w:tc>
          <w:tcPr>
            <w:tcW w:w="1040" w:type="pct"/>
            <w:tcBorders>
              <w:top w:val="nil"/>
              <w:left w:val="nil"/>
              <w:right w:val="nil"/>
            </w:tcBorders>
          </w:tcPr>
          <w:p w14:paraId="0847C3A3" w14:textId="77777777"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11,108</w:t>
            </w:r>
          </w:p>
        </w:tc>
        <w:tc>
          <w:tcPr>
            <w:tcW w:w="963" w:type="pct"/>
            <w:tcBorders>
              <w:top w:val="nil"/>
              <w:left w:val="nil"/>
              <w:right w:val="nil"/>
            </w:tcBorders>
          </w:tcPr>
          <w:p w14:paraId="4428E64F" w14:textId="77777777"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11,108</w:t>
            </w:r>
          </w:p>
        </w:tc>
        <w:tc>
          <w:tcPr>
            <w:tcW w:w="963" w:type="pct"/>
            <w:tcBorders>
              <w:top w:val="nil"/>
              <w:left w:val="nil"/>
              <w:right w:val="nil"/>
            </w:tcBorders>
          </w:tcPr>
          <w:p w14:paraId="701830F9" w14:textId="77777777"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11,108</w:t>
            </w:r>
          </w:p>
        </w:tc>
        <w:tc>
          <w:tcPr>
            <w:tcW w:w="970" w:type="pct"/>
            <w:tcBorders>
              <w:top w:val="nil"/>
              <w:left w:val="nil"/>
              <w:right w:val="nil"/>
            </w:tcBorders>
          </w:tcPr>
          <w:p w14:paraId="6B1BBD36" w14:textId="77777777"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11,108</w:t>
            </w:r>
          </w:p>
        </w:tc>
      </w:tr>
      <w:tr w:rsidR="00C8397D" w:rsidRPr="003101A0" w14:paraId="5FD512DE" w14:textId="77777777" w:rsidTr="003101A0">
        <w:trPr>
          <w:jc w:val="center"/>
        </w:trPr>
        <w:tc>
          <w:tcPr>
            <w:tcW w:w="1064" w:type="pct"/>
            <w:tcBorders>
              <w:top w:val="nil"/>
              <w:left w:val="nil"/>
              <w:bottom w:val="single" w:sz="4" w:space="0" w:color="auto"/>
              <w:right w:val="nil"/>
            </w:tcBorders>
          </w:tcPr>
          <w:p w14:paraId="264E6F8B" w14:textId="77FBDFD5" w:rsidR="00C8397D" w:rsidRPr="003101A0" w:rsidRDefault="00C8397D" w:rsidP="00C8397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Wald </w:t>
            </w:r>
            <w:r w:rsidR="00BD2E53" w:rsidRPr="00BD2E53">
              <w:rPr>
                <w:rFonts w:ascii="Times New Roman" w:hAnsi="Times New Roman" w:cs="Times New Roman"/>
                <w:i/>
                <w:iCs/>
                <w:sz w:val="20"/>
                <w:szCs w:val="20"/>
                <w:lang w:val="en-US"/>
              </w:rPr>
              <w:t>Chi</w:t>
            </w:r>
            <w:r w:rsidRPr="003101A0">
              <w:rPr>
                <w:rFonts w:ascii="Times New Roman" w:hAnsi="Times New Roman" w:cs="Times New Roman"/>
                <w:sz w:val="20"/>
                <w:szCs w:val="20"/>
                <w:vertAlign w:val="superscript"/>
                <w:lang w:val="en-US"/>
              </w:rPr>
              <w:t>2</w:t>
            </w:r>
          </w:p>
        </w:tc>
        <w:tc>
          <w:tcPr>
            <w:tcW w:w="1040" w:type="pct"/>
            <w:tcBorders>
              <w:top w:val="nil"/>
              <w:left w:val="nil"/>
              <w:bottom w:val="single" w:sz="4" w:space="0" w:color="auto"/>
              <w:right w:val="nil"/>
            </w:tcBorders>
          </w:tcPr>
          <w:p w14:paraId="2A19E756" w14:textId="33DC8331"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6,222</w:t>
            </w:r>
            <w:r>
              <w:rPr>
                <w:rFonts w:ascii="Times New Roman" w:hAnsi="Times New Roman"/>
                <w:sz w:val="20"/>
                <w:szCs w:val="20"/>
                <w:lang w:val="en-US"/>
              </w:rPr>
              <w:t>***</w:t>
            </w:r>
          </w:p>
        </w:tc>
        <w:tc>
          <w:tcPr>
            <w:tcW w:w="963" w:type="pct"/>
            <w:tcBorders>
              <w:top w:val="nil"/>
              <w:left w:val="nil"/>
              <w:bottom w:val="single" w:sz="4" w:space="0" w:color="auto"/>
              <w:right w:val="nil"/>
            </w:tcBorders>
          </w:tcPr>
          <w:p w14:paraId="3ECC9ECA" w14:textId="71BB529D"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7,806</w:t>
            </w:r>
            <w:r>
              <w:rPr>
                <w:rFonts w:ascii="Times New Roman" w:hAnsi="Times New Roman"/>
                <w:sz w:val="20"/>
                <w:szCs w:val="20"/>
                <w:lang w:val="en-US"/>
              </w:rPr>
              <w:t>***</w:t>
            </w:r>
          </w:p>
        </w:tc>
        <w:tc>
          <w:tcPr>
            <w:tcW w:w="963" w:type="pct"/>
            <w:tcBorders>
              <w:top w:val="nil"/>
              <w:left w:val="nil"/>
              <w:bottom w:val="single" w:sz="4" w:space="0" w:color="auto"/>
              <w:right w:val="nil"/>
            </w:tcBorders>
          </w:tcPr>
          <w:p w14:paraId="4AF48F56" w14:textId="782D8EC3"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12,721</w:t>
            </w:r>
            <w:r>
              <w:rPr>
                <w:rFonts w:ascii="Times New Roman" w:hAnsi="Times New Roman"/>
                <w:sz w:val="20"/>
                <w:szCs w:val="20"/>
                <w:lang w:val="en-US"/>
              </w:rPr>
              <w:t>***</w:t>
            </w:r>
          </w:p>
        </w:tc>
        <w:tc>
          <w:tcPr>
            <w:tcW w:w="970" w:type="pct"/>
            <w:tcBorders>
              <w:top w:val="nil"/>
              <w:left w:val="nil"/>
              <w:bottom w:val="single" w:sz="4" w:space="0" w:color="auto"/>
              <w:right w:val="nil"/>
            </w:tcBorders>
          </w:tcPr>
          <w:p w14:paraId="232BBBEC" w14:textId="72408A1F" w:rsidR="00C8397D" w:rsidRPr="003101A0" w:rsidRDefault="00C8397D"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sz w:val="20"/>
                <w:szCs w:val="20"/>
                <w:lang w:val="en-US"/>
              </w:rPr>
              <w:t>7,286</w:t>
            </w:r>
            <w:r>
              <w:rPr>
                <w:rFonts w:ascii="Times New Roman" w:hAnsi="Times New Roman"/>
                <w:sz w:val="20"/>
                <w:szCs w:val="20"/>
                <w:lang w:val="en-US"/>
              </w:rPr>
              <w:t>***</w:t>
            </w:r>
          </w:p>
        </w:tc>
      </w:tr>
      <w:tr w:rsidR="00C8397D" w:rsidRPr="003101A0" w14:paraId="4E00940C" w14:textId="77777777" w:rsidTr="003101A0">
        <w:trPr>
          <w:jc w:val="center"/>
        </w:trPr>
        <w:tc>
          <w:tcPr>
            <w:tcW w:w="5000" w:type="pct"/>
            <w:gridSpan w:val="5"/>
            <w:tcBorders>
              <w:top w:val="single" w:sz="4" w:space="0" w:color="auto"/>
              <w:left w:val="nil"/>
              <w:right w:val="nil"/>
            </w:tcBorders>
          </w:tcPr>
          <w:p w14:paraId="0C41A917" w14:textId="53F7948C" w:rsidR="00C8397D" w:rsidRPr="003101A0" w:rsidRDefault="00C8397D" w:rsidP="00C8397D">
            <w:pPr>
              <w:widowControl w:val="0"/>
              <w:autoSpaceDE w:val="0"/>
              <w:autoSpaceDN w:val="0"/>
              <w:adjustRightInd w:val="0"/>
              <w:spacing w:after="0" w:line="240" w:lineRule="auto"/>
              <w:jc w:val="both"/>
              <w:rPr>
                <w:rFonts w:ascii="Times New Roman" w:hAnsi="Times New Roman" w:cs="Times New Roman"/>
                <w:sz w:val="18"/>
                <w:szCs w:val="18"/>
                <w:lang w:val="en-US"/>
              </w:rPr>
            </w:pPr>
            <w:r w:rsidRPr="003101A0">
              <w:rPr>
                <w:rFonts w:ascii="Times New Roman" w:eastAsia="Times New Roman" w:hAnsi="Times New Roman" w:cs="Times New Roman"/>
                <w:color w:val="000000"/>
                <w:sz w:val="18"/>
                <w:szCs w:val="18"/>
                <w:lang w:val="en-US" w:eastAsia="en-GB"/>
              </w:rPr>
              <w:t>Notes: This table presents results of</w:t>
            </w:r>
            <w:r>
              <w:rPr>
                <w:rFonts w:ascii="Times New Roman" w:eastAsia="Times New Roman" w:hAnsi="Times New Roman" w:cs="Times New Roman"/>
                <w:color w:val="000000"/>
                <w:sz w:val="18"/>
                <w:szCs w:val="18"/>
                <w:lang w:val="en-US" w:eastAsia="en-GB"/>
              </w:rPr>
              <w:t xml:space="preserve"> probit models examining</w:t>
            </w:r>
            <w:r w:rsidRPr="003101A0">
              <w:rPr>
                <w:rFonts w:ascii="Times New Roman" w:eastAsia="Times New Roman" w:hAnsi="Times New Roman" w:cs="Times New Roman"/>
                <w:color w:val="000000"/>
                <w:sz w:val="18"/>
                <w:szCs w:val="18"/>
                <w:lang w:val="en-US" w:eastAsia="en-GB"/>
              </w:rPr>
              <w:t xml:space="preserve"> the association between the conversion option, captured </w:t>
            </w:r>
            <w:r>
              <w:rPr>
                <w:rFonts w:ascii="Times New Roman" w:eastAsia="Times New Roman" w:hAnsi="Times New Roman" w:cs="Times New Roman"/>
                <w:color w:val="000000"/>
                <w:sz w:val="18"/>
                <w:szCs w:val="18"/>
                <w:lang w:val="en-US" w:eastAsia="en-GB"/>
              </w:rPr>
              <w:t>by</w:t>
            </w:r>
            <w:r w:rsidRPr="003101A0">
              <w:rPr>
                <w:rFonts w:ascii="Times New Roman" w:eastAsia="Times New Roman" w:hAnsi="Times New Roman" w:cs="Times New Roman"/>
                <w:color w:val="000000"/>
                <w:sz w:val="18"/>
                <w:szCs w:val="18"/>
                <w:lang w:val="en-US" w:eastAsia="en-GB"/>
              </w:rPr>
              <w:t xml:space="preserve"> the </w:t>
            </w:r>
            <w:r w:rsidRPr="003101A0">
              <w:rPr>
                <w:rFonts w:ascii="Times New Roman" w:eastAsia="Times New Roman" w:hAnsi="Times New Roman" w:cs="Times New Roman"/>
                <w:i/>
                <w:iCs/>
                <w:color w:val="000000"/>
                <w:sz w:val="18"/>
                <w:szCs w:val="18"/>
                <w:lang w:val="en-US" w:eastAsia="en-GB"/>
              </w:rPr>
              <w:t>Convertible</w:t>
            </w:r>
            <w:r w:rsidRPr="003101A0">
              <w:rPr>
                <w:rFonts w:ascii="Times New Roman" w:eastAsia="Times New Roman" w:hAnsi="Times New Roman" w:cs="Times New Roman"/>
                <w:color w:val="000000"/>
                <w:sz w:val="18"/>
                <w:szCs w:val="18"/>
                <w:lang w:val="en-US" w:eastAsia="en-GB"/>
              </w:rPr>
              <w:t xml:space="preserve"> dummy</w:t>
            </w:r>
            <w:r>
              <w:rPr>
                <w:rFonts w:ascii="Times New Roman" w:eastAsia="Times New Roman" w:hAnsi="Times New Roman" w:cs="Times New Roman"/>
                <w:color w:val="000000"/>
                <w:sz w:val="18"/>
                <w:szCs w:val="18"/>
                <w:lang w:val="en-US" w:eastAsia="en-GB"/>
              </w:rPr>
              <w:t>,</w:t>
            </w:r>
            <w:r w:rsidRPr="003101A0">
              <w:rPr>
                <w:rFonts w:ascii="Times New Roman" w:eastAsia="Times New Roman" w:hAnsi="Times New Roman" w:cs="Times New Roman"/>
                <w:color w:val="000000"/>
                <w:sz w:val="18"/>
                <w:szCs w:val="18"/>
                <w:lang w:val="en-US" w:eastAsia="en-GB"/>
              </w:rPr>
              <w:t xml:space="preserve"> and the choice of individual covenant</w:t>
            </w:r>
            <w:r>
              <w:rPr>
                <w:rFonts w:ascii="Times New Roman" w:eastAsia="Times New Roman" w:hAnsi="Times New Roman" w:cs="Times New Roman"/>
                <w:color w:val="000000"/>
                <w:sz w:val="18"/>
                <w:szCs w:val="18"/>
                <w:lang w:val="en-US" w:eastAsia="en-GB"/>
              </w:rPr>
              <w:t xml:space="preserve"> groups</w:t>
            </w:r>
            <w:r w:rsidRPr="003101A0">
              <w:rPr>
                <w:rFonts w:ascii="Times New Roman" w:eastAsia="Times New Roman" w:hAnsi="Times New Roman" w:cs="Times New Roman"/>
                <w:color w:val="000000"/>
                <w:sz w:val="18"/>
                <w:szCs w:val="18"/>
                <w:lang w:val="en-US" w:eastAsia="en-GB"/>
              </w:rPr>
              <w:t xml:space="preserve">. </w:t>
            </w:r>
            <w:r w:rsidRPr="003101A0">
              <w:rPr>
                <w:rFonts w:ascii="Times New Roman" w:hAnsi="Times New Roman" w:cs="Times New Roman"/>
                <w:i/>
                <w:sz w:val="18"/>
                <w:szCs w:val="18"/>
                <w:lang w:val="en-US"/>
              </w:rPr>
              <w:t>z</w:t>
            </w:r>
            <w:r w:rsidRPr="003101A0">
              <w:rPr>
                <w:rFonts w:ascii="Times New Roman" w:hAnsi="Times New Roman" w:cs="Times New Roman"/>
                <w:sz w:val="18"/>
                <w:szCs w:val="18"/>
                <w:lang w:val="en-US"/>
              </w:rPr>
              <w:t>-statistics reported in parentheses are based on standard errors corrected for heteroskedasticity</w:t>
            </w:r>
            <w:r>
              <w:rPr>
                <w:rFonts w:ascii="Times New Roman" w:hAnsi="Times New Roman" w:cs="Times New Roman"/>
                <w:sz w:val="18"/>
                <w:szCs w:val="18"/>
                <w:lang w:val="en-US"/>
              </w:rPr>
              <w:t>,</w:t>
            </w:r>
            <w:r w:rsidRPr="003101A0">
              <w:rPr>
                <w:rFonts w:ascii="Times New Roman" w:hAnsi="Times New Roman" w:cs="Times New Roman"/>
                <w:sz w:val="18"/>
                <w:szCs w:val="18"/>
                <w:lang w:val="en-US"/>
              </w:rPr>
              <w:t xml:space="preserve"> and clustered by firm. Continuous variables are </w:t>
            </w:r>
            <w:proofErr w:type="spellStart"/>
            <w:r w:rsidRPr="003101A0">
              <w:rPr>
                <w:rFonts w:ascii="Times New Roman" w:hAnsi="Times New Roman" w:cs="Times New Roman"/>
                <w:sz w:val="18"/>
                <w:szCs w:val="18"/>
                <w:lang w:val="en-US"/>
              </w:rPr>
              <w:t>winsorized</w:t>
            </w:r>
            <w:proofErr w:type="spellEnd"/>
            <w:r w:rsidRPr="003101A0">
              <w:rPr>
                <w:rFonts w:ascii="Times New Roman" w:hAnsi="Times New Roman" w:cs="Times New Roman"/>
                <w:sz w:val="18"/>
                <w:szCs w:val="18"/>
                <w:lang w:val="en-US"/>
              </w:rPr>
              <w:t xml:space="preserve"> at the 1</w:t>
            </w:r>
            <w:r w:rsidRPr="003101A0">
              <w:rPr>
                <w:rFonts w:ascii="Times New Roman" w:hAnsi="Times New Roman" w:cs="Times New Roman"/>
                <w:sz w:val="18"/>
                <w:szCs w:val="18"/>
                <w:vertAlign w:val="superscript"/>
                <w:lang w:val="en-US"/>
              </w:rPr>
              <w:t>st</w:t>
            </w:r>
            <w:r w:rsidRPr="003101A0">
              <w:rPr>
                <w:rFonts w:ascii="Times New Roman" w:hAnsi="Times New Roman" w:cs="Times New Roman"/>
                <w:sz w:val="18"/>
                <w:szCs w:val="18"/>
                <w:lang w:val="en-US"/>
              </w:rPr>
              <w:t xml:space="preserve"> and 99</w:t>
            </w:r>
            <w:r w:rsidRPr="003101A0">
              <w:rPr>
                <w:rFonts w:ascii="Times New Roman" w:hAnsi="Times New Roman" w:cs="Times New Roman"/>
                <w:sz w:val="18"/>
                <w:szCs w:val="18"/>
                <w:vertAlign w:val="superscript"/>
                <w:lang w:val="en-US"/>
              </w:rPr>
              <w:t>th</w:t>
            </w:r>
            <w:r w:rsidRPr="003101A0">
              <w:rPr>
                <w:rFonts w:ascii="Times New Roman" w:hAnsi="Times New Roman" w:cs="Times New Roman"/>
                <w:sz w:val="18"/>
                <w:szCs w:val="18"/>
                <w:lang w:val="en-US"/>
              </w:rPr>
              <w:t xml:space="preserve"> percentiles. </w:t>
            </w:r>
            <w:r>
              <w:rPr>
                <w:rFonts w:ascii="Times New Roman" w:hAnsi="Times New Roman" w:cs="Times New Roman"/>
                <w:sz w:val="18"/>
                <w:szCs w:val="18"/>
                <w:lang w:val="en-US"/>
              </w:rPr>
              <w:t>T</w:t>
            </w:r>
            <w:r w:rsidRPr="003101A0">
              <w:rPr>
                <w:rFonts w:ascii="Times New Roman" w:hAnsi="Times New Roman" w:cs="Times New Roman"/>
                <w:sz w:val="18"/>
                <w:szCs w:val="18"/>
                <w:lang w:val="en-US"/>
              </w:rPr>
              <w:t>he Appendix</w:t>
            </w:r>
            <w:r>
              <w:rPr>
                <w:rFonts w:ascii="Times New Roman" w:hAnsi="Times New Roman" w:cs="Times New Roman"/>
                <w:sz w:val="18"/>
                <w:szCs w:val="18"/>
                <w:lang w:val="en-US"/>
              </w:rPr>
              <w:t xml:space="preserve"> presents the definition and sources of all variables</w:t>
            </w:r>
            <w:r w:rsidRPr="003101A0">
              <w:rPr>
                <w:rFonts w:ascii="Times New Roman" w:hAnsi="Times New Roman" w:cs="Times New Roman"/>
                <w:sz w:val="18"/>
                <w:szCs w:val="18"/>
                <w:lang w:val="en-US"/>
              </w:rPr>
              <w:t xml:space="preserve">. </w:t>
            </w:r>
            <w:r w:rsidRPr="003101A0">
              <w:rPr>
                <w:rFonts w:ascii="Times New Roman" w:hAnsi="Times New Roman" w:cs="Times New Roman"/>
                <w:i/>
                <w:iCs/>
                <w:sz w:val="18"/>
                <w:szCs w:val="18"/>
                <w:lang w:val="en-US"/>
              </w:rPr>
              <w:t>N</w:t>
            </w:r>
            <w:r w:rsidRPr="003101A0">
              <w:rPr>
                <w:rFonts w:ascii="Times New Roman" w:hAnsi="Times New Roman" w:cs="Times New Roman"/>
                <w:sz w:val="18"/>
                <w:szCs w:val="18"/>
                <w:lang w:val="en-US"/>
              </w:rPr>
              <w:t xml:space="preserve"> denotes the number of observations</w:t>
            </w:r>
            <w:r w:rsidRPr="00CD063E">
              <w:rPr>
                <w:rFonts w:ascii="Times New Roman" w:hAnsi="Times New Roman" w:cs="Times New Roman"/>
                <w:sz w:val="18"/>
                <w:szCs w:val="18"/>
                <w:lang w:val="en-US"/>
              </w:rPr>
              <w:t>. *, **, *** denote</w:t>
            </w:r>
            <w:r w:rsidRPr="003101A0">
              <w:rPr>
                <w:rFonts w:ascii="Times New Roman" w:hAnsi="Times New Roman" w:cs="Times New Roman"/>
                <w:sz w:val="18"/>
                <w:szCs w:val="18"/>
                <w:lang w:val="en-US"/>
              </w:rPr>
              <w:t xml:space="preserve"> significance at the 10</w:t>
            </w:r>
            <w:r>
              <w:rPr>
                <w:rFonts w:ascii="Times New Roman" w:hAnsi="Times New Roman" w:cs="Times New Roman"/>
                <w:sz w:val="18"/>
                <w:szCs w:val="18"/>
                <w:lang w:val="en-US"/>
              </w:rPr>
              <w:t>%</w:t>
            </w:r>
            <w:r w:rsidRPr="003101A0">
              <w:rPr>
                <w:rFonts w:ascii="Times New Roman" w:hAnsi="Times New Roman" w:cs="Times New Roman"/>
                <w:sz w:val="18"/>
                <w:szCs w:val="18"/>
                <w:lang w:val="en-US"/>
              </w:rPr>
              <w:t>, 5</w:t>
            </w:r>
            <w:r>
              <w:rPr>
                <w:rFonts w:ascii="Times New Roman" w:hAnsi="Times New Roman" w:cs="Times New Roman"/>
                <w:sz w:val="18"/>
                <w:szCs w:val="18"/>
                <w:lang w:val="en-US"/>
              </w:rPr>
              <w:t>%</w:t>
            </w:r>
            <w:r w:rsidRPr="003101A0">
              <w:rPr>
                <w:rFonts w:ascii="Times New Roman" w:hAnsi="Times New Roman" w:cs="Times New Roman"/>
                <w:sz w:val="18"/>
                <w:szCs w:val="18"/>
                <w:lang w:val="en-US"/>
              </w:rPr>
              <w:t xml:space="preserve"> and </w:t>
            </w:r>
            <w:r>
              <w:rPr>
                <w:rFonts w:ascii="Times New Roman" w:hAnsi="Times New Roman" w:cs="Times New Roman"/>
                <w:sz w:val="18"/>
                <w:szCs w:val="18"/>
                <w:lang w:val="en-US"/>
              </w:rPr>
              <w:t xml:space="preserve">1% </w:t>
            </w:r>
            <w:r w:rsidRPr="003101A0">
              <w:rPr>
                <w:rFonts w:ascii="Times New Roman" w:hAnsi="Times New Roman" w:cs="Times New Roman"/>
                <w:sz w:val="18"/>
                <w:szCs w:val="18"/>
                <w:lang w:val="en-US"/>
              </w:rPr>
              <w:t>levels, respectively (two-tailed).</w:t>
            </w:r>
          </w:p>
        </w:tc>
      </w:tr>
    </w:tbl>
    <w:p w14:paraId="073C6F26" w14:textId="77777777" w:rsidR="00294950" w:rsidRPr="003101A0" w:rsidRDefault="00294950" w:rsidP="00493F00">
      <w:pPr>
        <w:spacing w:after="0" w:line="240" w:lineRule="auto"/>
        <w:rPr>
          <w:rFonts w:ascii="Times New Roman" w:hAnsi="Times New Roman" w:cs="Times New Roman"/>
          <w:b/>
          <w:sz w:val="20"/>
          <w:szCs w:val="20"/>
          <w:lang w:val="en-US"/>
        </w:rPr>
      </w:pPr>
    </w:p>
    <w:p w14:paraId="3480AFAA" w14:textId="77777777" w:rsidR="00294950" w:rsidRPr="003101A0" w:rsidRDefault="00294950" w:rsidP="00493F00">
      <w:pPr>
        <w:spacing w:after="0" w:line="240" w:lineRule="auto"/>
        <w:rPr>
          <w:rFonts w:ascii="Times New Roman" w:hAnsi="Times New Roman" w:cs="Times New Roman"/>
          <w:b/>
          <w:sz w:val="20"/>
          <w:szCs w:val="20"/>
          <w:lang w:val="en-US"/>
        </w:rPr>
      </w:pPr>
    </w:p>
    <w:p w14:paraId="4A5844F0" w14:textId="77777777" w:rsidR="00235130" w:rsidRDefault="00235130" w:rsidP="00493F00">
      <w:pPr>
        <w:spacing w:after="0" w:line="240" w:lineRule="auto"/>
        <w:rPr>
          <w:rFonts w:ascii="Times New Roman" w:hAnsi="Times New Roman" w:cs="Times New Roman"/>
          <w:b/>
          <w:sz w:val="20"/>
          <w:szCs w:val="20"/>
          <w:lang w:val="en-US"/>
        </w:rPr>
        <w:sectPr w:rsidR="00235130" w:rsidSect="003101A0">
          <w:pgSz w:w="11900" w:h="16840"/>
          <w:pgMar w:top="1440" w:right="1440" w:bottom="1440" w:left="1440" w:header="708" w:footer="708" w:gutter="0"/>
          <w:cols w:space="708"/>
          <w:docGrid w:linePitch="360"/>
        </w:sectPr>
      </w:pPr>
    </w:p>
    <w:tbl>
      <w:tblPr>
        <w:tblW w:w="5586" w:type="pct"/>
        <w:jc w:val="center"/>
        <w:tblLayout w:type="fixed"/>
        <w:tblCellMar>
          <w:left w:w="75" w:type="dxa"/>
          <w:right w:w="75" w:type="dxa"/>
        </w:tblCellMar>
        <w:tblLook w:val="0000" w:firstRow="0" w:lastRow="0" w:firstColumn="0" w:lastColumn="0" w:noHBand="0" w:noVBand="0"/>
      </w:tblPr>
      <w:tblGrid>
        <w:gridCol w:w="2834"/>
        <w:gridCol w:w="1272"/>
        <w:gridCol w:w="1276"/>
        <w:gridCol w:w="1276"/>
        <w:gridCol w:w="1279"/>
        <w:gridCol w:w="1276"/>
        <w:gridCol w:w="1279"/>
        <w:gridCol w:w="1276"/>
        <w:gridCol w:w="1279"/>
        <w:gridCol w:w="1276"/>
        <w:gridCol w:w="1273"/>
      </w:tblGrid>
      <w:tr w:rsidR="00235130" w:rsidRPr="00754072" w14:paraId="571D958B" w14:textId="77777777" w:rsidTr="00974A7D">
        <w:trPr>
          <w:trHeight w:val="57"/>
          <w:jc w:val="center"/>
        </w:trPr>
        <w:tc>
          <w:tcPr>
            <w:tcW w:w="5000" w:type="pct"/>
            <w:gridSpan w:val="11"/>
            <w:tcBorders>
              <w:left w:val="nil"/>
              <w:bottom w:val="single" w:sz="4" w:space="0" w:color="auto"/>
              <w:right w:val="nil"/>
            </w:tcBorders>
            <w:shd w:val="clear" w:color="auto" w:fill="auto"/>
          </w:tcPr>
          <w:p w14:paraId="7B35B995" w14:textId="6D4A8C39" w:rsidR="00235130" w:rsidRPr="002118F2" w:rsidRDefault="00235130" w:rsidP="00974A7D">
            <w:pPr>
              <w:pStyle w:val="NormalWeb"/>
              <w:spacing w:before="0" w:beforeAutospacing="0" w:after="0" w:afterAutospacing="0"/>
              <w:rPr>
                <w:b/>
                <w:bCs/>
                <w:i/>
                <w:iCs/>
                <w:sz w:val="20"/>
                <w:szCs w:val="20"/>
              </w:rPr>
            </w:pPr>
            <w:r w:rsidRPr="002118F2">
              <w:rPr>
                <w:b/>
                <w:bCs/>
                <w:sz w:val="20"/>
                <w:szCs w:val="20"/>
              </w:rPr>
              <w:lastRenderedPageBreak/>
              <w:t xml:space="preserve">Table </w:t>
            </w:r>
            <w:r>
              <w:rPr>
                <w:b/>
                <w:bCs/>
                <w:sz w:val="20"/>
                <w:szCs w:val="20"/>
              </w:rPr>
              <w:t>6</w:t>
            </w:r>
            <w:r w:rsidRPr="002118F2">
              <w:rPr>
                <w:b/>
                <w:bCs/>
                <w:sz w:val="20"/>
                <w:szCs w:val="20"/>
              </w:rPr>
              <w:t>: Impact of covenant intensity on bond yields</w:t>
            </w:r>
          </w:p>
        </w:tc>
      </w:tr>
      <w:tr w:rsidR="00235130" w:rsidRPr="003101A0" w14:paraId="403E3718" w14:textId="77777777" w:rsidTr="00974A7D">
        <w:trPr>
          <w:trHeight w:val="57"/>
          <w:jc w:val="center"/>
        </w:trPr>
        <w:tc>
          <w:tcPr>
            <w:tcW w:w="909" w:type="pct"/>
            <w:tcBorders>
              <w:top w:val="single" w:sz="4" w:space="0" w:color="auto"/>
              <w:left w:val="nil"/>
              <w:right w:val="nil"/>
            </w:tcBorders>
          </w:tcPr>
          <w:p w14:paraId="24FEDE9F"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sz w:val="20"/>
                <w:szCs w:val="20"/>
                <w:lang w:val="en-US"/>
              </w:rPr>
            </w:pPr>
          </w:p>
        </w:tc>
        <w:tc>
          <w:tcPr>
            <w:tcW w:w="4091" w:type="pct"/>
            <w:gridSpan w:val="10"/>
            <w:tcBorders>
              <w:top w:val="single" w:sz="4" w:space="0" w:color="auto"/>
              <w:left w:val="nil"/>
              <w:bottom w:val="single" w:sz="4" w:space="0" w:color="auto"/>
              <w:right w:val="nil"/>
            </w:tcBorders>
          </w:tcPr>
          <w:p w14:paraId="60AF4D8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 xml:space="preserve">Dependent variable = </w:t>
            </w:r>
            <w:r w:rsidRPr="002118F2">
              <w:rPr>
                <w:rFonts w:ascii="Times New Roman" w:hAnsi="Times New Roman" w:cs="Times New Roman"/>
                <w:i/>
                <w:iCs/>
                <w:sz w:val="20"/>
                <w:szCs w:val="20"/>
                <w:lang w:val="en-US"/>
              </w:rPr>
              <w:t>Yield</w:t>
            </w:r>
          </w:p>
        </w:tc>
      </w:tr>
      <w:tr w:rsidR="00235130" w:rsidRPr="003101A0" w14:paraId="2BFD92A7" w14:textId="77777777" w:rsidTr="00974A7D">
        <w:trPr>
          <w:trHeight w:val="57"/>
          <w:jc w:val="center"/>
        </w:trPr>
        <w:tc>
          <w:tcPr>
            <w:tcW w:w="909" w:type="pct"/>
            <w:tcBorders>
              <w:left w:val="nil"/>
              <w:right w:val="nil"/>
            </w:tcBorders>
          </w:tcPr>
          <w:p w14:paraId="2DD461A5"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iCs/>
                <w:sz w:val="20"/>
                <w:szCs w:val="20"/>
                <w:lang w:val="en-US"/>
              </w:rPr>
            </w:pPr>
            <w:r w:rsidRPr="002118F2">
              <w:rPr>
                <w:rFonts w:ascii="Times New Roman" w:hAnsi="Times New Roman" w:cs="Times New Roman"/>
                <w:i/>
                <w:iCs/>
                <w:sz w:val="20"/>
                <w:szCs w:val="20"/>
                <w:lang w:val="en-US"/>
              </w:rPr>
              <w:t>Covenant intensity measure:</w:t>
            </w:r>
          </w:p>
        </w:tc>
        <w:tc>
          <w:tcPr>
            <w:tcW w:w="817" w:type="pct"/>
            <w:gridSpan w:val="2"/>
            <w:tcBorders>
              <w:top w:val="single" w:sz="4" w:space="0" w:color="auto"/>
              <w:left w:val="nil"/>
              <w:right w:val="nil"/>
            </w:tcBorders>
          </w:tcPr>
          <w:p w14:paraId="47B2CD2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i/>
                <w:iCs/>
                <w:sz w:val="20"/>
                <w:szCs w:val="20"/>
                <w:lang w:val="en-US"/>
              </w:rPr>
            </w:pPr>
            <w:r w:rsidRPr="002118F2">
              <w:rPr>
                <w:rFonts w:ascii="Times New Roman" w:hAnsi="Times New Roman" w:cs="Times New Roman"/>
                <w:i/>
                <w:iCs/>
                <w:sz w:val="20"/>
                <w:szCs w:val="20"/>
                <w:lang w:val="en-US"/>
              </w:rPr>
              <w:t>CI index</w:t>
            </w:r>
          </w:p>
        </w:tc>
        <w:tc>
          <w:tcPr>
            <w:tcW w:w="819" w:type="pct"/>
            <w:gridSpan w:val="2"/>
            <w:tcBorders>
              <w:top w:val="single" w:sz="4" w:space="0" w:color="auto"/>
              <w:left w:val="nil"/>
              <w:right w:val="nil"/>
            </w:tcBorders>
          </w:tcPr>
          <w:p w14:paraId="3176608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i/>
                <w:iCs/>
                <w:sz w:val="20"/>
                <w:szCs w:val="20"/>
                <w:lang w:val="en-US"/>
              </w:rPr>
            </w:pPr>
            <w:r w:rsidRPr="002118F2">
              <w:rPr>
                <w:rFonts w:ascii="Times New Roman" w:hAnsi="Times New Roman" w:cs="Times New Roman"/>
                <w:i/>
                <w:sz w:val="20"/>
                <w:szCs w:val="20"/>
                <w:lang w:val="en-US"/>
              </w:rPr>
              <w:t>Investment covenant dummy</w:t>
            </w:r>
          </w:p>
        </w:tc>
        <w:tc>
          <w:tcPr>
            <w:tcW w:w="819" w:type="pct"/>
            <w:gridSpan w:val="2"/>
            <w:tcBorders>
              <w:top w:val="single" w:sz="4" w:space="0" w:color="auto"/>
              <w:left w:val="nil"/>
              <w:right w:val="nil"/>
            </w:tcBorders>
          </w:tcPr>
          <w:p w14:paraId="2562472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i/>
                <w:iCs/>
                <w:sz w:val="20"/>
                <w:szCs w:val="20"/>
                <w:lang w:val="en-US"/>
              </w:rPr>
            </w:pPr>
            <w:r w:rsidRPr="002118F2">
              <w:rPr>
                <w:rFonts w:ascii="Times New Roman" w:hAnsi="Times New Roman" w:cs="Times New Roman"/>
                <w:i/>
                <w:sz w:val="20"/>
                <w:szCs w:val="20"/>
                <w:lang w:val="en-US"/>
              </w:rPr>
              <w:t>Payout covenant dummy</w:t>
            </w:r>
          </w:p>
        </w:tc>
        <w:tc>
          <w:tcPr>
            <w:tcW w:w="819" w:type="pct"/>
            <w:gridSpan w:val="2"/>
            <w:tcBorders>
              <w:top w:val="single" w:sz="4" w:space="0" w:color="auto"/>
              <w:left w:val="nil"/>
              <w:right w:val="nil"/>
            </w:tcBorders>
          </w:tcPr>
          <w:p w14:paraId="465085C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i/>
                <w:iCs/>
                <w:sz w:val="20"/>
                <w:szCs w:val="20"/>
                <w:lang w:val="en-US"/>
              </w:rPr>
            </w:pPr>
            <w:r w:rsidRPr="002118F2">
              <w:rPr>
                <w:rFonts w:ascii="Times New Roman" w:hAnsi="Times New Roman" w:cs="Times New Roman"/>
                <w:i/>
                <w:sz w:val="20"/>
                <w:szCs w:val="20"/>
                <w:lang w:val="en-US"/>
              </w:rPr>
              <w:t>Financing covenant dummy</w:t>
            </w:r>
          </w:p>
        </w:tc>
        <w:tc>
          <w:tcPr>
            <w:tcW w:w="817" w:type="pct"/>
            <w:gridSpan w:val="2"/>
            <w:tcBorders>
              <w:top w:val="single" w:sz="4" w:space="0" w:color="auto"/>
              <w:left w:val="nil"/>
              <w:right w:val="nil"/>
            </w:tcBorders>
          </w:tcPr>
          <w:p w14:paraId="1A28D84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i/>
                <w:iCs/>
                <w:sz w:val="20"/>
                <w:szCs w:val="20"/>
                <w:lang w:val="en-US"/>
              </w:rPr>
            </w:pPr>
            <w:r w:rsidRPr="002118F2">
              <w:rPr>
                <w:rFonts w:ascii="Times New Roman" w:hAnsi="Times New Roman" w:cs="Times New Roman"/>
                <w:i/>
                <w:sz w:val="20"/>
                <w:szCs w:val="20"/>
                <w:lang w:val="en-US"/>
              </w:rPr>
              <w:t>Event covenant dummy</w:t>
            </w:r>
          </w:p>
        </w:tc>
      </w:tr>
      <w:tr w:rsidR="00235130" w:rsidRPr="003101A0" w14:paraId="4A52B220" w14:textId="77777777" w:rsidTr="00974A7D">
        <w:trPr>
          <w:trHeight w:val="57"/>
          <w:jc w:val="center"/>
        </w:trPr>
        <w:tc>
          <w:tcPr>
            <w:tcW w:w="909" w:type="pct"/>
            <w:tcBorders>
              <w:left w:val="nil"/>
              <w:bottom w:val="single" w:sz="4" w:space="0" w:color="auto"/>
              <w:right w:val="nil"/>
            </w:tcBorders>
          </w:tcPr>
          <w:p w14:paraId="39EFE45D"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sz w:val="20"/>
                <w:szCs w:val="20"/>
                <w:lang w:val="en-US"/>
              </w:rPr>
            </w:pPr>
          </w:p>
        </w:tc>
        <w:tc>
          <w:tcPr>
            <w:tcW w:w="408" w:type="pct"/>
            <w:tcBorders>
              <w:left w:val="nil"/>
              <w:bottom w:val="single" w:sz="4" w:space="0" w:color="auto"/>
              <w:right w:val="nil"/>
            </w:tcBorders>
          </w:tcPr>
          <w:p w14:paraId="4318998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(1)</w:t>
            </w:r>
          </w:p>
        </w:tc>
        <w:tc>
          <w:tcPr>
            <w:tcW w:w="409" w:type="pct"/>
            <w:tcBorders>
              <w:left w:val="nil"/>
              <w:bottom w:val="single" w:sz="4" w:space="0" w:color="auto"/>
              <w:right w:val="nil"/>
            </w:tcBorders>
          </w:tcPr>
          <w:p w14:paraId="21C5BBE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(2)</w:t>
            </w:r>
          </w:p>
        </w:tc>
        <w:tc>
          <w:tcPr>
            <w:tcW w:w="409" w:type="pct"/>
            <w:tcBorders>
              <w:left w:val="nil"/>
              <w:bottom w:val="single" w:sz="4" w:space="0" w:color="auto"/>
              <w:right w:val="nil"/>
            </w:tcBorders>
          </w:tcPr>
          <w:p w14:paraId="39C6AF8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(3)</w:t>
            </w:r>
          </w:p>
        </w:tc>
        <w:tc>
          <w:tcPr>
            <w:tcW w:w="410" w:type="pct"/>
            <w:tcBorders>
              <w:left w:val="nil"/>
              <w:bottom w:val="single" w:sz="4" w:space="0" w:color="auto"/>
              <w:right w:val="nil"/>
            </w:tcBorders>
          </w:tcPr>
          <w:p w14:paraId="1648149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(4)</w:t>
            </w:r>
          </w:p>
        </w:tc>
        <w:tc>
          <w:tcPr>
            <w:tcW w:w="409" w:type="pct"/>
            <w:tcBorders>
              <w:left w:val="nil"/>
              <w:bottom w:val="single" w:sz="4" w:space="0" w:color="auto"/>
              <w:right w:val="nil"/>
            </w:tcBorders>
          </w:tcPr>
          <w:p w14:paraId="664A190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(5)</w:t>
            </w:r>
          </w:p>
        </w:tc>
        <w:tc>
          <w:tcPr>
            <w:tcW w:w="410" w:type="pct"/>
            <w:tcBorders>
              <w:left w:val="nil"/>
              <w:bottom w:val="single" w:sz="4" w:space="0" w:color="auto"/>
              <w:right w:val="nil"/>
            </w:tcBorders>
          </w:tcPr>
          <w:p w14:paraId="43AF024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(6)</w:t>
            </w:r>
          </w:p>
        </w:tc>
        <w:tc>
          <w:tcPr>
            <w:tcW w:w="409" w:type="pct"/>
            <w:tcBorders>
              <w:left w:val="nil"/>
              <w:bottom w:val="single" w:sz="4" w:space="0" w:color="auto"/>
              <w:right w:val="nil"/>
            </w:tcBorders>
          </w:tcPr>
          <w:p w14:paraId="2BF7246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(7)</w:t>
            </w:r>
          </w:p>
        </w:tc>
        <w:tc>
          <w:tcPr>
            <w:tcW w:w="410" w:type="pct"/>
            <w:tcBorders>
              <w:left w:val="nil"/>
              <w:bottom w:val="single" w:sz="4" w:space="0" w:color="auto"/>
              <w:right w:val="nil"/>
            </w:tcBorders>
          </w:tcPr>
          <w:p w14:paraId="433B54C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(8)</w:t>
            </w:r>
          </w:p>
        </w:tc>
        <w:tc>
          <w:tcPr>
            <w:tcW w:w="409" w:type="pct"/>
            <w:tcBorders>
              <w:left w:val="nil"/>
              <w:bottom w:val="single" w:sz="4" w:space="0" w:color="auto"/>
              <w:right w:val="nil"/>
            </w:tcBorders>
          </w:tcPr>
          <w:p w14:paraId="562F872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(9)</w:t>
            </w:r>
          </w:p>
        </w:tc>
        <w:tc>
          <w:tcPr>
            <w:tcW w:w="408" w:type="pct"/>
            <w:tcBorders>
              <w:left w:val="nil"/>
              <w:bottom w:val="single" w:sz="4" w:space="0" w:color="auto"/>
              <w:right w:val="nil"/>
            </w:tcBorders>
          </w:tcPr>
          <w:p w14:paraId="78615DA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(10)</w:t>
            </w:r>
          </w:p>
        </w:tc>
      </w:tr>
      <w:tr w:rsidR="00235130" w:rsidRPr="00A33460" w14:paraId="5DE99C84" w14:textId="77777777" w:rsidTr="00974A7D">
        <w:trPr>
          <w:trHeight w:val="57"/>
          <w:jc w:val="center"/>
        </w:trPr>
        <w:tc>
          <w:tcPr>
            <w:tcW w:w="909" w:type="pct"/>
            <w:tcBorders>
              <w:top w:val="nil"/>
              <w:left w:val="nil"/>
              <w:bottom w:val="nil"/>
              <w:right w:val="nil"/>
            </w:tcBorders>
          </w:tcPr>
          <w:p w14:paraId="6188432D"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color w:val="000000" w:themeColor="text1"/>
                <w:sz w:val="20"/>
                <w:szCs w:val="20"/>
                <w:lang w:val="en-US"/>
              </w:rPr>
            </w:pPr>
            <w:r w:rsidRPr="002118F2">
              <w:rPr>
                <w:rFonts w:ascii="Times New Roman" w:hAnsi="Times New Roman" w:cs="Times New Roman"/>
                <w:i/>
                <w:sz w:val="20"/>
                <w:szCs w:val="20"/>
                <w:lang w:val="en-US"/>
              </w:rPr>
              <w:t xml:space="preserve">Covenant intensity </w:t>
            </w:r>
          </w:p>
        </w:tc>
        <w:tc>
          <w:tcPr>
            <w:tcW w:w="408" w:type="pct"/>
            <w:tcBorders>
              <w:top w:val="nil"/>
              <w:left w:val="nil"/>
              <w:bottom w:val="nil"/>
              <w:right w:val="nil"/>
            </w:tcBorders>
          </w:tcPr>
          <w:p w14:paraId="4385EF1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-1.261***</w:t>
            </w:r>
          </w:p>
        </w:tc>
        <w:tc>
          <w:tcPr>
            <w:tcW w:w="409" w:type="pct"/>
            <w:tcBorders>
              <w:top w:val="nil"/>
              <w:left w:val="nil"/>
              <w:bottom w:val="nil"/>
              <w:right w:val="nil"/>
            </w:tcBorders>
          </w:tcPr>
          <w:p w14:paraId="0432F63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-0.958***</w:t>
            </w:r>
          </w:p>
        </w:tc>
        <w:tc>
          <w:tcPr>
            <w:tcW w:w="409" w:type="pct"/>
            <w:tcBorders>
              <w:top w:val="nil"/>
              <w:left w:val="nil"/>
              <w:bottom w:val="nil"/>
              <w:right w:val="nil"/>
            </w:tcBorders>
          </w:tcPr>
          <w:p w14:paraId="321D5FA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-0.592***</w:t>
            </w:r>
          </w:p>
        </w:tc>
        <w:tc>
          <w:tcPr>
            <w:tcW w:w="410" w:type="pct"/>
            <w:tcBorders>
              <w:top w:val="nil"/>
              <w:left w:val="nil"/>
              <w:bottom w:val="nil"/>
              <w:right w:val="nil"/>
            </w:tcBorders>
          </w:tcPr>
          <w:p w14:paraId="2BEC175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-0.471***</w:t>
            </w:r>
          </w:p>
        </w:tc>
        <w:tc>
          <w:tcPr>
            <w:tcW w:w="409" w:type="pct"/>
            <w:tcBorders>
              <w:top w:val="nil"/>
              <w:left w:val="nil"/>
              <w:bottom w:val="nil"/>
              <w:right w:val="nil"/>
            </w:tcBorders>
          </w:tcPr>
          <w:p w14:paraId="1B480D8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-0.271</w:t>
            </w:r>
          </w:p>
        </w:tc>
        <w:tc>
          <w:tcPr>
            <w:tcW w:w="410" w:type="pct"/>
            <w:tcBorders>
              <w:top w:val="nil"/>
              <w:left w:val="nil"/>
              <w:bottom w:val="nil"/>
              <w:right w:val="nil"/>
            </w:tcBorders>
          </w:tcPr>
          <w:p w14:paraId="363B618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-0.474***</w:t>
            </w:r>
          </w:p>
        </w:tc>
        <w:tc>
          <w:tcPr>
            <w:tcW w:w="409" w:type="pct"/>
            <w:tcBorders>
              <w:top w:val="nil"/>
              <w:left w:val="nil"/>
              <w:bottom w:val="nil"/>
              <w:right w:val="nil"/>
            </w:tcBorders>
          </w:tcPr>
          <w:p w14:paraId="1F19A3C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-0.568***</w:t>
            </w:r>
          </w:p>
        </w:tc>
        <w:tc>
          <w:tcPr>
            <w:tcW w:w="410" w:type="pct"/>
            <w:tcBorders>
              <w:top w:val="nil"/>
              <w:left w:val="nil"/>
              <w:bottom w:val="nil"/>
              <w:right w:val="nil"/>
            </w:tcBorders>
          </w:tcPr>
          <w:p w14:paraId="35ACEF6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-0.457***</w:t>
            </w:r>
          </w:p>
        </w:tc>
        <w:tc>
          <w:tcPr>
            <w:tcW w:w="409" w:type="pct"/>
            <w:tcBorders>
              <w:top w:val="nil"/>
              <w:left w:val="nil"/>
              <w:bottom w:val="nil"/>
              <w:right w:val="nil"/>
            </w:tcBorders>
          </w:tcPr>
          <w:p w14:paraId="4669CBD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-0.464***</w:t>
            </w:r>
          </w:p>
        </w:tc>
        <w:tc>
          <w:tcPr>
            <w:tcW w:w="408" w:type="pct"/>
            <w:tcBorders>
              <w:top w:val="nil"/>
              <w:left w:val="nil"/>
              <w:bottom w:val="nil"/>
              <w:right w:val="nil"/>
            </w:tcBorders>
          </w:tcPr>
          <w:p w14:paraId="63BCD2A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-0.348***</w:t>
            </w:r>
          </w:p>
        </w:tc>
      </w:tr>
      <w:tr w:rsidR="00235130" w:rsidRPr="00A33460" w14:paraId="0F43789B" w14:textId="77777777" w:rsidTr="00974A7D">
        <w:trPr>
          <w:trHeight w:val="57"/>
          <w:jc w:val="center"/>
        </w:trPr>
        <w:tc>
          <w:tcPr>
            <w:tcW w:w="909" w:type="pct"/>
            <w:tcBorders>
              <w:top w:val="nil"/>
              <w:left w:val="nil"/>
              <w:bottom w:val="nil"/>
              <w:right w:val="nil"/>
            </w:tcBorders>
          </w:tcPr>
          <w:p w14:paraId="662663F8"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69D6102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(-6.21)</w:t>
            </w:r>
          </w:p>
        </w:tc>
        <w:tc>
          <w:tcPr>
            <w:tcW w:w="409" w:type="pct"/>
            <w:tcBorders>
              <w:top w:val="nil"/>
              <w:left w:val="nil"/>
              <w:bottom w:val="nil"/>
              <w:right w:val="nil"/>
            </w:tcBorders>
          </w:tcPr>
          <w:p w14:paraId="5435EFE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(-5.12)</w:t>
            </w:r>
          </w:p>
        </w:tc>
        <w:tc>
          <w:tcPr>
            <w:tcW w:w="409" w:type="pct"/>
            <w:tcBorders>
              <w:top w:val="nil"/>
              <w:left w:val="nil"/>
              <w:bottom w:val="nil"/>
              <w:right w:val="nil"/>
            </w:tcBorders>
          </w:tcPr>
          <w:p w14:paraId="3441149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(-6.96)</w:t>
            </w:r>
          </w:p>
        </w:tc>
        <w:tc>
          <w:tcPr>
            <w:tcW w:w="410" w:type="pct"/>
            <w:tcBorders>
              <w:top w:val="nil"/>
              <w:left w:val="nil"/>
              <w:bottom w:val="nil"/>
              <w:right w:val="nil"/>
            </w:tcBorders>
          </w:tcPr>
          <w:p w14:paraId="3FBF83A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(-5.83)</w:t>
            </w:r>
          </w:p>
        </w:tc>
        <w:tc>
          <w:tcPr>
            <w:tcW w:w="409" w:type="pct"/>
            <w:tcBorders>
              <w:top w:val="nil"/>
              <w:left w:val="nil"/>
              <w:bottom w:val="nil"/>
              <w:right w:val="nil"/>
            </w:tcBorders>
          </w:tcPr>
          <w:p w14:paraId="312A6A3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(-1.53)</w:t>
            </w:r>
          </w:p>
        </w:tc>
        <w:tc>
          <w:tcPr>
            <w:tcW w:w="410" w:type="pct"/>
            <w:tcBorders>
              <w:top w:val="nil"/>
              <w:left w:val="nil"/>
              <w:bottom w:val="nil"/>
              <w:right w:val="nil"/>
            </w:tcBorders>
          </w:tcPr>
          <w:p w14:paraId="433ABEC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(-2.92)</w:t>
            </w:r>
          </w:p>
        </w:tc>
        <w:tc>
          <w:tcPr>
            <w:tcW w:w="409" w:type="pct"/>
            <w:tcBorders>
              <w:top w:val="nil"/>
              <w:left w:val="nil"/>
              <w:bottom w:val="nil"/>
              <w:right w:val="nil"/>
            </w:tcBorders>
          </w:tcPr>
          <w:p w14:paraId="3FB6254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(-6.21)</w:t>
            </w:r>
          </w:p>
        </w:tc>
        <w:tc>
          <w:tcPr>
            <w:tcW w:w="410" w:type="pct"/>
            <w:tcBorders>
              <w:top w:val="nil"/>
              <w:left w:val="nil"/>
              <w:bottom w:val="nil"/>
              <w:right w:val="nil"/>
            </w:tcBorders>
          </w:tcPr>
          <w:p w14:paraId="49C1AD4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(-5.31)</w:t>
            </w:r>
          </w:p>
        </w:tc>
        <w:tc>
          <w:tcPr>
            <w:tcW w:w="409" w:type="pct"/>
            <w:tcBorders>
              <w:top w:val="nil"/>
              <w:left w:val="nil"/>
              <w:bottom w:val="nil"/>
              <w:right w:val="nil"/>
            </w:tcBorders>
          </w:tcPr>
          <w:p w14:paraId="2620458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(-5.22)</w:t>
            </w:r>
          </w:p>
        </w:tc>
        <w:tc>
          <w:tcPr>
            <w:tcW w:w="408" w:type="pct"/>
            <w:tcBorders>
              <w:top w:val="nil"/>
              <w:left w:val="nil"/>
              <w:bottom w:val="nil"/>
              <w:right w:val="nil"/>
            </w:tcBorders>
          </w:tcPr>
          <w:p w14:paraId="3F17CDE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(-4.22)</w:t>
            </w:r>
          </w:p>
        </w:tc>
      </w:tr>
      <w:tr w:rsidR="00235130" w:rsidRPr="00A33460" w14:paraId="7EF6C8A3" w14:textId="77777777" w:rsidTr="00974A7D">
        <w:trPr>
          <w:trHeight w:val="57"/>
          <w:jc w:val="center"/>
        </w:trPr>
        <w:tc>
          <w:tcPr>
            <w:tcW w:w="909" w:type="pct"/>
            <w:tcBorders>
              <w:top w:val="nil"/>
              <w:left w:val="nil"/>
              <w:bottom w:val="nil"/>
              <w:right w:val="nil"/>
            </w:tcBorders>
          </w:tcPr>
          <w:p w14:paraId="2A7689AF"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Convertible</w:t>
            </w:r>
          </w:p>
        </w:tc>
        <w:tc>
          <w:tcPr>
            <w:tcW w:w="408" w:type="pct"/>
            <w:tcBorders>
              <w:top w:val="nil"/>
              <w:left w:val="nil"/>
              <w:bottom w:val="nil"/>
              <w:right w:val="nil"/>
            </w:tcBorders>
          </w:tcPr>
          <w:p w14:paraId="208CBAF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-3.403***</w:t>
            </w:r>
          </w:p>
        </w:tc>
        <w:tc>
          <w:tcPr>
            <w:tcW w:w="409" w:type="pct"/>
            <w:tcBorders>
              <w:top w:val="nil"/>
              <w:left w:val="nil"/>
              <w:bottom w:val="nil"/>
              <w:right w:val="nil"/>
            </w:tcBorders>
          </w:tcPr>
          <w:p w14:paraId="51ED7F0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0.835</w:t>
            </w:r>
          </w:p>
        </w:tc>
        <w:tc>
          <w:tcPr>
            <w:tcW w:w="409" w:type="pct"/>
            <w:tcBorders>
              <w:top w:val="nil"/>
              <w:left w:val="nil"/>
              <w:bottom w:val="nil"/>
              <w:right w:val="nil"/>
            </w:tcBorders>
          </w:tcPr>
          <w:p w14:paraId="1F2E2B1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-3.166***</w:t>
            </w:r>
          </w:p>
        </w:tc>
        <w:tc>
          <w:tcPr>
            <w:tcW w:w="410" w:type="pct"/>
            <w:tcBorders>
              <w:top w:val="nil"/>
              <w:left w:val="nil"/>
              <w:bottom w:val="nil"/>
              <w:right w:val="nil"/>
            </w:tcBorders>
          </w:tcPr>
          <w:p w14:paraId="493725F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0.983</w:t>
            </w:r>
          </w:p>
        </w:tc>
        <w:tc>
          <w:tcPr>
            <w:tcW w:w="409" w:type="pct"/>
            <w:tcBorders>
              <w:top w:val="nil"/>
              <w:left w:val="nil"/>
              <w:bottom w:val="nil"/>
              <w:right w:val="nil"/>
            </w:tcBorders>
          </w:tcPr>
          <w:p w14:paraId="63B9033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-2.826***</w:t>
            </w:r>
          </w:p>
        </w:tc>
        <w:tc>
          <w:tcPr>
            <w:tcW w:w="410" w:type="pct"/>
            <w:tcBorders>
              <w:top w:val="nil"/>
              <w:left w:val="nil"/>
              <w:bottom w:val="nil"/>
              <w:right w:val="nil"/>
            </w:tcBorders>
          </w:tcPr>
          <w:p w14:paraId="4BBD70E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1.405**</w:t>
            </w:r>
          </w:p>
        </w:tc>
        <w:tc>
          <w:tcPr>
            <w:tcW w:w="409" w:type="pct"/>
            <w:tcBorders>
              <w:top w:val="nil"/>
              <w:left w:val="nil"/>
              <w:bottom w:val="nil"/>
              <w:right w:val="nil"/>
            </w:tcBorders>
          </w:tcPr>
          <w:p w14:paraId="3DA14DE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-3.001***</w:t>
            </w:r>
          </w:p>
        </w:tc>
        <w:tc>
          <w:tcPr>
            <w:tcW w:w="410" w:type="pct"/>
            <w:tcBorders>
              <w:top w:val="nil"/>
              <w:left w:val="nil"/>
              <w:bottom w:val="nil"/>
              <w:right w:val="nil"/>
            </w:tcBorders>
          </w:tcPr>
          <w:p w14:paraId="70362D5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1.275**</w:t>
            </w:r>
          </w:p>
        </w:tc>
        <w:tc>
          <w:tcPr>
            <w:tcW w:w="409" w:type="pct"/>
            <w:tcBorders>
              <w:top w:val="nil"/>
              <w:left w:val="nil"/>
              <w:bottom w:val="nil"/>
              <w:right w:val="nil"/>
            </w:tcBorders>
          </w:tcPr>
          <w:p w14:paraId="6975888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-3.106***</w:t>
            </w:r>
          </w:p>
        </w:tc>
        <w:tc>
          <w:tcPr>
            <w:tcW w:w="408" w:type="pct"/>
            <w:tcBorders>
              <w:top w:val="nil"/>
              <w:left w:val="nil"/>
              <w:bottom w:val="nil"/>
              <w:right w:val="nil"/>
            </w:tcBorders>
          </w:tcPr>
          <w:p w14:paraId="5D0409B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1.064*</w:t>
            </w:r>
          </w:p>
        </w:tc>
      </w:tr>
      <w:tr w:rsidR="00235130" w:rsidRPr="00A33460" w14:paraId="55DED7CF" w14:textId="77777777" w:rsidTr="00974A7D">
        <w:trPr>
          <w:trHeight w:val="57"/>
          <w:jc w:val="center"/>
        </w:trPr>
        <w:tc>
          <w:tcPr>
            <w:tcW w:w="909" w:type="pct"/>
            <w:tcBorders>
              <w:top w:val="nil"/>
              <w:left w:val="nil"/>
              <w:bottom w:val="nil"/>
              <w:right w:val="nil"/>
            </w:tcBorders>
          </w:tcPr>
          <w:p w14:paraId="5C7C16C4"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1F82394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(-8.28)</w:t>
            </w:r>
          </w:p>
        </w:tc>
        <w:tc>
          <w:tcPr>
            <w:tcW w:w="409" w:type="pct"/>
            <w:tcBorders>
              <w:top w:val="nil"/>
              <w:left w:val="nil"/>
              <w:bottom w:val="nil"/>
              <w:right w:val="nil"/>
            </w:tcBorders>
          </w:tcPr>
          <w:p w14:paraId="61DCAEC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(1.34)</w:t>
            </w:r>
          </w:p>
        </w:tc>
        <w:tc>
          <w:tcPr>
            <w:tcW w:w="409" w:type="pct"/>
            <w:tcBorders>
              <w:top w:val="nil"/>
              <w:left w:val="nil"/>
              <w:bottom w:val="nil"/>
              <w:right w:val="nil"/>
            </w:tcBorders>
          </w:tcPr>
          <w:p w14:paraId="6A2A4C3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(-8.27)</w:t>
            </w:r>
          </w:p>
        </w:tc>
        <w:tc>
          <w:tcPr>
            <w:tcW w:w="410" w:type="pct"/>
            <w:tcBorders>
              <w:top w:val="nil"/>
              <w:left w:val="nil"/>
              <w:bottom w:val="nil"/>
              <w:right w:val="nil"/>
            </w:tcBorders>
          </w:tcPr>
          <w:p w14:paraId="73BB4CE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(1.62)</w:t>
            </w:r>
          </w:p>
        </w:tc>
        <w:tc>
          <w:tcPr>
            <w:tcW w:w="409" w:type="pct"/>
            <w:tcBorders>
              <w:top w:val="nil"/>
              <w:left w:val="nil"/>
              <w:bottom w:val="nil"/>
              <w:right w:val="nil"/>
            </w:tcBorders>
          </w:tcPr>
          <w:p w14:paraId="7381E8B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(-7.43)</w:t>
            </w:r>
          </w:p>
        </w:tc>
        <w:tc>
          <w:tcPr>
            <w:tcW w:w="410" w:type="pct"/>
            <w:tcBorders>
              <w:top w:val="nil"/>
              <w:left w:val="nil"/>
              <w:bottom w:val="nil"/>
              <w:right w:val="nil"/>
            </w:tcBorders>
          </w:tcPr>
          <w:p w14:paraId="59CAD57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(2.17)</w:t>
            </w:r>
          </w:p>
        </w:tc>
        <w:tc>
          <w:tcPr>
            <w:tcW w:w="409" w:type="pct"/>
            <w:tcBorders>
              <w:top w:val="nil"/>
              <w:left w:val="nil"/>
              <w:bottom w:val="nil"/>
              <w:right w:val="nil"/>
            </w:tcBorders>
          </w:tcPr>
          <w:p w14:paraId="556BBCE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(-8.15)</w:t>
            </w:r>
          </w:p>
        </w:tc>
        <w:tc>
          <w:tcPr>
            <w:tcW w:w="410" w:type="pct"/>
            <w:tcBorders>
              <w:top w:val="nil"/>
              <w:left w:val="nil"/>
              <w:bottom w:val="nil"/>
              <w:right w:val="nil"/>
            </w:tcBorders>
          </w:tcPr>
          <w:p w14:paraId="213AA3C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(1.97)</w:t>
            </w:r>
          </w:p>
        </w:tc>
        <w:tc>
          <w:tcPr>
            <w:tcW w:w="409" w:type="pct"/>
            <w:tcBorders>
              <w:top w:val="nil"/>
              <w:left w:val="nil"/>
              <w:bottom w:val="nil"/>
              <w:right w:val="nil"/>
            </w:tcBorders>
          </w:tcPr>
          <w:p w14:paraId="61A9525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(-8.25)</w:t>
            </w:r>
          </w:p>
        </w:tc>
        <w:tc>
          <w:tcPr>
            <w:tcW w:w="408" w:type="pct"/>
            <w:tcBorders>
              <w:top w:val="nil"/>
              <w:left w:val="nil"/>
              <w:bottom w:val="nil"/>
              <w:right w:val="nil"/>
            </w:tcBorders>
          </w:tcPr>
          <w:p w14:paraId="37C9DAE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(1.77)</w:t>
            </w:r>
          </w:p>
        </w:tc>
      </w:tr>
      <w:tr w:rsidR="00235130" w:rsidRPr="00A33460" w14:paraId="6D397E68" w14:textId="77777777" w:rsidTr="00974A7D">
        <w:trPr>
          <w:trHeight w:val="57"/>
          <w:jc w:val="center"/>
        </w:trPr>
        <w:tc>
          <w:tcPr>
            <w:tcW w:w="909" w:type="pct"/>
            <w:tcBorders>
              <w:top w:val="nil"/>
              <w:left w:val="nil"/>
              <w:bottom w:val="nil"/>
              <w:right w:val="nil"/>
            </w:tcBorders>
          </w:tcPr>
          <w:p w14:paraId="6109F385"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 xml:space="preserve">Covenant intensity </w:t>
            </w:r>
            <w:r w:rsidRPr="003101A0">
              <w:rPr>
                <w:rFonts w:ascii="Times New Roman" w:hAnsi="Times New Roman" w:cs="Times New Roman"/>
                <w:i/>
                <w:sz w:val="20"/>
                <w:szCs w:val="20"/>
                <w:lang w:val="en-US"/>
              </w:rPr>
              <w:t>×</w:t>
            </w:r>
            <w:r w:rsidRPr="002118F2">
              <w:rPr>
                <w:rFonts w:ascii="Times New Roman" w:hAnsi="Times New Roman" w:cs="Times New Roman"/>
                <w:i/>
                <w:sz w:val="20"/>
                <w:szCs w:val="20"/>
                <w:lang w:val="en-US"/>
              </w:rPr>
              <w:t xml:space="preserve"> Convertible</w:t>
            </w:r>
          </w:p>
        </w:tc>
        <w:tc>
          <w:tcPr>
            <w:tcW w:w="408" w:type="pct"/>
            <w:tcBorders>
              <w:top w:val="nil"/>
              <w:left w:val="nil"/>
              <w:bottom w:val="nil"/>
              <w:right w:val="nil"/>
            </w:tcBorders>
          </w:tcPr>
          <w:p w14:paraId="55D00E8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4.051***</w:t>
            </w:r>
          </w:p>
        </w:tc>
        <w:tc>
          <w:tcPr>
            <w:tcW w:w="409" w:type="pct"/>
            <w:tcBorders>
              <w:top w:val="nil"/>
              <w:left w:val="nil"/>
              <w:bottom w:val="nil"/>
              <w:right w:val="nil"/>
            </w:tcBorders>
          </w:tcPr>
          <w:p w14:paraId="29CB443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3.057***</w:t>
            </w:r>
          </w:p>
        </w:tc>
        <w:tc>
          <w:tcPr>
            <w:tcW w:w="409" w:type="pct"/>
            <w:tcBorders>
              <w:top w:val="nil"/>
              <w:left w:val="nil"/>
              <w:bottom w:val="nil"/>
              <w:right w:val="nil"/>
            </w:tcBorders>
          </w:tcPr>
          <w:p w14:paraId="7605AC2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1.505***</w:t>
            </w:r>
          </w:p>
        </w:tc>
        <w:tc>
          <w:tcPr>
            <w:tcW w:w="410" w:type="pct"/>
            <w:tcBorders>
              <w:top w:val="nil"/>
              <w:left w:val="nil"/>
              <w:bottom w:val="nil"/>
              <w:right w:val="nil"/>
            </w:tcBorders>
          </w:tcPr>
          <w:p w14:paraId="52AA45C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1.162***</w:t>
            </w:r>
          </w:p>
        </w:tc>
        <w:tc>
          <w:tcPr>
            <w:tcW w:w="409" w:type="pct"/>
            <w:tcBorders>
              <w:top w:val="nil"/>
              <w:left w:val="nil"/>
              <w:bottom w:val="nil"/>
              <w:right w:val="nil"/>
            </w:tcBorders>
          </w:tcPr>
          <w:p w14:paraId="69430B6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0.466</w:t>
            </w:r>
          </w:p>
        </w:tc>
        <w:tc>
          <w:tcPr>
            <w:tcW w:w="410" w:type="pct"/>
            <w:tcBorders>
              <w:top w:val="nil"/>
              <w:left w:val="nil"/>
              <w:bottom w:val="nil"/>
              <w:right w:val="nil"/>
            </w:tcBorders>
          </w:tcPr>
          <w:p w14:paraId="4C1945C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0.784</w:t>
            </w:r>
          </w:p>
        </w:tc>
        <w:tc>
          <w:tcPr>
            <w:tcW w:w="409" w:type="pct"/>
            <w:tcBorders>
              <w:top w:val="nil"/>
              <w:left w:val="nil"/>
              <w:bottom w:val="nil"/>
              <w:right w:val="nil"/>
            </w:tcBorders>
          </w:tcPr>
          <w:p w14:paraId="009701E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0.227</w:t>
            </w:r>
          </w:p>
        </w:tc>
        <w:tc>
          <w:tcPr>
            <w:tcW w:w="410" w:type="pct"/>
            <w:tcBorders>
              <w:top w:val="nil"/>
              <w:left w:val="nil"/>
              <w:bottom w:val="nil"/>
              <w:right w:val="nil"/>
            </w:tcBorders>
          </w:tcPr>
          <w:p w14:paraId="3C315C4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-0.145</w:t>
            </w:r>
          </w:p>
        </w:tc>
        <w:tc>
          <w:tcPr>
            <w:tcW w:w="409" w:type="pct"/>
            <w:tcBorders>
              <w:top w:val="nil"/>
              <w:left w:val="nil"/>
              <w:bottom w:val="nil"/>
              <w:right w:val="nil"/>
            </w:tcBorders>
          </w:tcPr>
          <w:p w14:paraId="4CAEDE3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0.920***</w:t>
            </w:r>
          </w:p>
        </w:tc>
        <w:tc>
          <w:tcPr>
            <w:tcW w:w="408" w:type="pct"/>
            <w:tcBorders>
              <w:top w:val="nil"/>
              <w:left w:val="nil"/>
              <w:bottom w:val="nil"/>
              <w:right w:val="nil"/>
            </w:tcBorders>
          </w:tcPr>
          <w:p w14:paraId="6B8F22D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0.747***</w:t>
            </w:r>
          </w:p>
        </w:tc>
      </w:tr>
      <w:tr w:rsidR="00235130" w:rsidRPr="00A33460" w14:paraId="5014A82E" w14:textId="77777777" w:rsidTr="00974A7D">
        <w:trPr>
          <w:trHeight w:val="57"/>
          <w:jc w:val="center"/>
        </w:trPr>
        <w:tc>
          <w:tcPr>
            <w:tcW w:w="909" w:type="pct"/>
            <w:tcBorders>
              <w:top w:val="nil"/>
              <w:left w:val="nil"/>
              <w:bottom w:val="nil"/>
              <w:right w:val="nil"/>
            </w:tcBorders>
          </w:tcPr>
          <w:p w14:paraId="51B33B04"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63EBDD3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(3.46)</w:t>
            </w:r>
          </w:p>
        </w:tc>
        <w:tc>
          <w:tcPr>
            <w:tcW w:w="409" w:type="pct"/>
            <w:tcBorders>
              <w:top w:val="nil"/>
              <w:left w:val="nil"/>
              <w:bottom w:val="nil"/>
              <w:right w:val="nil"/>
            </w:tcBorders>
          </w:tcPr>
          <w:p w14:paraId="6A91B1B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(2.83)</w:t>
            </w:r>
          </w:p>
        </w:tc>
        <w:tc>
          <w:tcPr>
            <w:tcW w:w="409" w:type="pct"/>
            <w:tcBorders>
              <w:top w:val="nil"/>
              <w:left w:val="nil"/>
              <w:bottom w:val="nil"/>
              <w:right w:val="nil"/>
            </w:tcBorders>
          </w:tcPr>
          <w:p w14:paraId="725B783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(4.00)</w:t>
            </w:r>
          </w:p>
        </w:tc>
        <w:tc>
          <w:tcPr>
            <w:tcW w:w="410" w:type="pct"/>
            <w:tcBorders>
              <w:top w:val="nil"/>
              <w:left w:val="nil"/>
              <w:bottom w:val="nil"/>
              <w:right w:val="nil"/>
            </w:tcBorders>
          </w:tcPr>
          <w:p w14:paraId="3A1EF14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(3.35)</w:t>
            </w:r>
          </w:p>
        </w:tc>
        <w:tc>
          <w:tcPr>
            <w:tcW w:w="409" w:type="pct"/>
            <w:tcBorders>
              <w:top w:val="nil"/>
              <w:left w:val="nil"/>
              <w:bottom w:val="nil"/>
              <w:right w:val="nil"/>
            </w:tcBorders>
          </w:tcPr>
          <w:p w14:paraId="501B05D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(0.73)</w:t>
            </w:r>
          </w:p>
        </w:tc>
        <w:tc>
          <w:tcPr>
            <w:tcW w:w="410" w:type="pct"/>
            <w:tcBorders>
              <w:top w:val="nil"/>
              <w:left w:val="nil"/>
              <w:bottom w:val="nil"/>
              <w:right w:val="nil"/>
            </w:tcBorders>
          </w:tcPr>
          <w:p w14:paraId="37BBC2C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(1.35)</w:t>
            </w:r>
          </w:p>
        </w:tc>
        <w:tc>
          <w:tcPr>
            <w:tcW w:w="409" w:type="pct"/>
            <w:tcBorders>
              <w:top w:val="nil"/>
              <w:left w:val="nil"/>
              <w:bottom w:val="nil"/>
              <w:right w:val="nil"/>
            </w:tcBorders>
          </w:tcPr>
          <w:p w14:paraId="392D071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(0.28)</w:t>
            </w:r>
          </w:p>
        </w:tc>
        <w:tc>
          <w:tcPr>
            <w:tcW w:w="410" w:type="pct"/>
            <w:tcBorders>
              <w:top w:val="nil"/>
              <w:left w:val="nil"/>
              <w:bottom w:val="nil"/>
              <w:right w:val="nil"/>
            </w:tcBorders>
          </w:tcPr>
          <w:p w14:paraId="0F74F3C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(-0.18)</w:t>
            </w:r>
          </w:p>
        </w:tc>
        <w:tc>
          <w:tcPr>
            <w:tcW w:w="409" w:type="pct"/>
            <w:tcBorders>
              <w:top w:val="nil"/>
              <w:left w:val="nil"/>
              <w:bottom w:val="nil"/>
              <w:right w:val="nil"/>
            </w:tcBorders>
          </w:tcPr>
          <w:p w14:paraId="14B9535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(4.10)</w:t>
            </w:r>
          </w:p>
        </w:tc>
        <w:tc>
          <w:tcPr>
            <w:tcW w:w="408" w:type="pct"/>
            <w:tcBorders>
              <w:top w:val="nil"/>
              <w:left w:val="nil"/>
              <w:bottom w:val="nil"/>
              <w:right w:val="nil"/>
            </w:tcBorders>
          </w:tcPr>
          <w:p w14:paraId="24BF0AF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(3.62)</w:t>
            </w:r>
          </w:p>
        </w:tc>
      </w:tr>
      <w:tr w:rsidR="00235130" w:rsidRPr="00A33460" w14:paraId="70C2DC1E" w14:textId="77777777" w:rsidTr="00974A7D">
        <w:trPr>
          <w:trHeight w:val="57"/>
          <w:jc w:val="center"/>
        </w:trPr>
        <w:tc>
          <w:tcPr>
            <w:tcW w:w="909" w:type="pct"/>
            <w:tcBorders>
              <w:top w:val="nil"/>
              <w:left w:val="nil"/>
              <w:bottom w:val="nil"/>
              <w:right w:val="nil"/>
            </w:tcBorders>
          </w:tcPr>
          <w:p w14:paraId="4384CF9E"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Leverage</w:t>
            </w:r>
          </w:p>
        </w:tc>
        <w:tc>
          <w:tcPr>
            <w:tcW w:w="408" w:type="pct"/>
            <w:tcBorders>
              <w:top w:val="nil"/>
              <w:left w:val="nil"/>
              <w:bottom w:val="nil"/>
              <w:right w:val="nil"/>
            </w:tcBorders>
          </w:tcPr>
          <w:p w14:paraId="591DB13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1.094***</w:t>
            </w:r>
          </w:p>
        </w:tc>
        <w:tc>
          <w:tcPr>
            <w:tcW w:w="409" w:type="pct"/>
            <w:tcBorders>
              <w:top w:val="nil"/>
              <w:left w:val="nil"/>
              <w:bottom w:val="nil"/>
              <w:right w:val="nil"/>
            </w:tcBorders>
          </w:tcPr>
          <w:p w14:paraId="6325975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0.705***</w:t>
            </w:r>
          </w:p>
        </w:tc>
        <w:tc>
          <w:tcPr>
            <w:tcW w:w="409" w:type="pct"/>
            <w:tcBorders>
              <w:top w:val="nil"/>
              <w:left w:val="nil"/>
              <w:bottom w:val="nil"/>
              <w:right w:val="nil"/>
            </w:tcBorders>
          </w:tcPr>
          <w:p w14:paraId="342C2CE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1.047***</w:t>
            </w:r>
          </w:p>
        </w:tc>
        <w:tc>
          <w:tcPr>
            <w:tcW w:w="410" w:type="pct"/>
            <w:tcBorders>
              <w:top w:val="nil"/>
              <w:left w:val="nil"/>
              <w:bottom w:val="nil"/>
              <w:right w:val="nil"/>
            </w:tcBorders>
          </w:tcPr>
          <w:p w14:paraId="1DC2EE7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0.676***</w:t>
            </w:r>
          </w:p>
        </w:tc>
        <w:tc>
          <w:tcPr>
            <w:tcW w:w="409" w:type="pct"/>
            <w:tcBorders>
              <w:top w:val="nil"/>
              <w:left w:val="nil"/>
              <w:bottom w:val="nil"/>
              <w:right w:val="nil"/>
            </w:tcBorders>
          </w:tcPr>
          <w:p w14:paraId="5A42F13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1.097***</w:t>
            </w:r>
          </w:p>
        </w:tc>
        <w:tc>
          <w:tcPr>
            <w:tcW w:w="410" w:type="pct"/>
            <w:tcBorders>
              <w:top w:val="nil"/>
              <w:left w:val="nil"/>
              <w:bottom w:val="nil"/>
              <w:right w:val="nil"/>
            </w:tcBorders>
          </w:tcPr>
          <w:p w14:paraId="552CCEB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0.735***</w:t>
            </w:r>
          </w:p>
        </w:tc>
        <w:tc>
          <w:tcPr>
            <w:tcW w:w="409" w:type="pct"/>
            <w:tcBorders>
              <w:top w:val="nil"/>
              <w:left w:val="nil"/>
              <w:bottom w:val="nil"/>
              <w:right w:val="nil"/>
            </w:tcBorders>
          </w:tcPr>
          <w:p w14:paraId="3302B5A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1.108***</w:t>
            </w:r>
          </w:p>
        </w:tc>
        <w:tc>
          <w:tcPr>
            <w:tcW w:w="410" w:type="pct"/>
            <w:tcBorders>
              <w:top w:val="nil"/>
              <w:left w:val="nil"/>
              <w:bottom w:val="nil"/>
              <w:right w:val="nil"/>
            </w:tcBorders>
          </w:tcPr>
          <w:p w14:paraId="0A0038A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0.725***</w:t>
            </w:r>
          </w:p>
        </w:tc>
        <w:tc>
          <w:tcPr>
            <w:tcW w:w="409" w:type="pct"/>
            <w:tcBorders>
              <w:top w:val="nil"/>
              <w:left w:val="nil"/>
              <w:bottom w:val="nil"/>
              <w:right w:val="nil"/>
            </w:tcBorders>
          </w:tcPr>
          <w:p w14:paraId="4589A50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1.108***</w:t>
            </w:r>
          </w:p>
        </w:tc>
        <w:tc>
          <w:tcPr>
            <w:tcW w:w="408" w:type="pct"/>
            <w:tcBorders>
              <w:top w:val="nil"/>
              <w:left w:val="nil"/>
              <w:bottom w:val="nil"/>
              <w:right w:val="nil"/>
            </w:tcBorders>
          </w:tcPr>
          <w:p w14:paraId="4C8DA36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0.714***</w:t>
            </w:r>
          </w:p>
        </w:tc>
      </w:tr>
      <w:tr w:rsidR="00235130" w:rsidRPr="00A33460" w14:paraId="5DDA42C3" w14:textId="77777777" w:rsidTr="00974A7D">
        <w:trPr>
          <w:trHeight w:val="57"/>
          <w:jc w:val="center"/>
        </w:trPr>
        <w:tc>
          <w:tcPr>
            <w:tcW w:w="909" w:type="pct"/>
            <w:tcBorders>
              <w:top w:val="nil"/>
              <w:left w:val="nil"/>
              <w:bottom w:val="nil"/>
              <w:right w:val="nil"/>
            </w:tcBorders>
          </w:tcPr>
          <w:p w14:paraId="7E835717"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0FB118A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(5.66)</w:t>
            </w:r>
          </w:p>
        </w:tc>
        <w:tc>
          <w:tcPr>
            <w:tcW w:w="409" w:type="pct"/>
            <w:tcBorders>
              <w:top w:val="nil"/>
              <w:left w:val="nil"/>
              <w:bottom w:val="nil"/>
              <w:right w:val="nil"/>
            </w:tcBorders>
          </w:tcPr>
          <w:p w14:paraId="180B658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(3.96)</w:t>
            </w:r>
          </w:p>
        </w:tc>
        <w:tc>
          <w:tcPr>
            <w:tcW w:w="409" w:type="pct"/>
            <w:tcBorders>
              <w:top w:val="nil"/>
              <w:left w:val="nil"/>
              <w:bottom w:val="nil"/>
              <w:right w:val="nil"/>
            </w:tcBorders>
          </w:tcPr>
          <w:p w14:paraId="0843DCD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(5.46)</w:t>
            </w:r>
          </w:p>
        </w:tc>
        <w:tc>
          <w:tcPr>
            <w:tcW w:w="410" w:type="pct"/>
            <w:tcBorders>
              <w:top w:val="nil"/>
              <w:left w:val="nil"/>
              <w:bottom w:val="nil"/>
              <w:right w:val="nil"/>
            </w:tcBorders>
          </w:tcPr>
          <w:p w14:paraId="2E7BFF4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(3.82)</w:t>
            </w:r>
          </w:p>
        </w:tc>
        <w:tc>
          <w:tcPr>
            <w:tcW w:w="409" w:type="pct"/>
            <w:tcBorders>
              <w:top w:val="nil"/>
              <w:left w:val="nil"/>
              <w:bottom w:val="nil"/>
              <w:right w:val="nil"/>
            </w:tcBorders>
          </w:tcPr>
          <w:p w14:paraId="65FDBC4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(5.67)</w:t>
            </w:r>
          </w:p>
        </w:tc>
        <w:tc>
          <w:tcPr>
            <w:tcW w:w="410" w:type="pct"/>
            <w:tcBorders>
              <w:top w:val="nil"/>
              <w:left w:val="nil"/>
              <w:bottom w:val="nil"/>
              <w:right w:val="nil"/>
            </w:tcBorders>
          </w:tcPr>
          <w:p w14:paraId="522C0BE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(4.15)</w:t>
            </w:r>
          </w:p>
        </w:tc>
        <w:tc>
          <w:tcPr>
            <w:tcW w:w="409" w:type="pct"/>
            <w:tcBorders>
              <w:top w:val="nil"/>
              <w:left w:val="nil"/>
              <w:bottom w:val="nil"/>
              <w:right w:val="nil"/>
            </w:tcBorders>
          </w:tcPr>
          <w:p w14:paraId="7ED1E4F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(5.71)</w:t>
            </w:r>
          </w:p>
        </w:tc>
        <w:tc>
          <w:tcPr>
            <w:tcW w:w="410" w:type="pct"/>
            <w:tcBorders>
              <w:top w:val="nil"/>
              <w:left w:val="nil"/>
              <w:bottom w:val="nil"/>
              <w:right w:val="nil"/>
            </w:tcBorders>
          </w:tcPr>
          <w:p w14:paraId="554A23E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(4.05)</w:t>
            </w:r>
          </w:p>
        </w:tc>
        <w:tc>
          <w:tcPr>
            <w:tcW w:w="409" w:type="pct"/>
            <w:tcBorders>
              <w:top w:val="nil"/>
              <w:left w:val="nil"/>
              <w:bottom w:val="nil"/>
              <w:right w:val="nil"/>
            </w:tcBorders>
          </w:tcPr>
          <w:p w14:paraId="18507A7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(5.75)</w:t>
            </w:r>
          </w:p>
        </w:tc>
        <w:tc>
          <w:tcPr>
            <w:tcW w:w="408" w:type="pct"/>
            <w:tcBorders>
              <w:top w:val="nil"/>
              <w:left w:val="nil"/>
              <w:bottom w:val="nil"/>
              <w:right w:val="nil"/>
            </w:tcBorders>
          </w:tcPr>
          <w:p w14:paraId="6275D78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(4.02)</w:t>
            </w:r>
          </w:p>
        </w:tc>
      </w:tr>
      <w:tr w:rsidR="00235130" w:rsidRPr="00A33460" w14:paraId="7254497A" w14:textId="77777777" w:rsidTr="00974A7D">
        <w:trPr>
          <w:trHeight w:val="57"/>
          <w:jc w:val="center"/>
        </w:trPr>
        <w:tc>
          <w:tcPr>
            <w:tcW w:w="909" w:type="pct"/>
            <w:tcBorders>
              <w:top w:val="nil"/>
              <w:left w:val="nil"/>
              <w:bottom w:val="nil"/>
              <w:right w:val="nil"/>
            </w:tcBorders>
          </w:tcPr>
          <w:p w14:paraId="19402230"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Volatility</w:t>
            </w:r>
          </w:p>
        </w:tc>
        <w:tc>
          <w:tcPr>
            <w:tcW w:w="408" w:type="pct"/>
            <w:tcBorders>
              <w:top w:val="nil"/>
              <w:left w:val="nil"/>
              <w:bottom w:val="nil"/>
              <w:right w:val="nil"/>
            </w:tcBorders>
          </w:tcPr>
          <w:p w14:paraId="4C6C3BC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2.730***</w:t>
            </w:r>
          </w:p>
        </w:tc>
        <w:tc>
          <w:tcPr>
            <w:tcW w:w="409" w:type="pct"/>
            <w:tcBorders>
              <w:top w:val="nil"/>
              <w:left w:val="nil"/>
              <w:bottom w:val="nil"/>
              <w:right w:val="nil"/>
            </w:tcBorders>
          </w:tcPr>
          <w:p w14:paraId="6F3DAE1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2.242***</w:t>
            </w:r>
          </w:p>
        </w:tc>
        <w:tc>
          <w:tcPr>
            <w:tcW w:w="409" w:type="pct"/>
            <w:tcBorders>
              <w:top w:val="nil"/>
              <w:left w:val="nil"/>
              <w:bottom w:val="nil"/>
              <w:right w:val="nil"/>
            </w:tcBorders>
          </w:tcPr>
          <w:p w14:paraId="2C4D553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2.875***</w:t>
            </w:r>
          </w:p>
        </w:tc>
        <w:tc>
          <w:tcPr>
            <w:tcW w:w="410" w:type="pct"/>
            <w:tcBorders>
              <w:top w:val="nil"/>
              <w:left w:val="nil"/>
              <w:bottom w:val="nil"/>
              <w:right w:val="nil"/>
            </w:tcBorders>
          </w:tcPr>
          <w:p w14:paraId="2DCA1DB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2.352***</w:t>
            </w:r>
          </w:p>
        </w:tc>
        <w:tc>
          <w:tcPr>
            <w:tcW w:w="409" w:type="pct"/>
            <w:tcBorders>
              <w:top w:val="nil"/>
              <w:left w:val="nil"/>
              <w:bottom w:val="nil"/>
              <w:right w:val="nil"/>
            </w:tcBorders>
          </w:tcPr>
          <w:p w14:paraId="3DE35C1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2.819***</w:t>
            </w:r>
          </w:p>
        </w:tc>
        <w:tc>
          <w:tcPr>
            <w:tcW w:w="410" w:type="pct"/>
            <w:tcBorders>
              <w:top w:val="nil"/>
              <w:left w:val="nil"/>
              <w:bottom w:val="nil"/>
              <w:right w:val="nil"/>
            </w:tcBorders>
          </w:tcPr>
          <w:p w14:paraId="56517B7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2.279***</w:t>
            </w:r>
          </w:p>
        </w:tc>
        <w:tc>
          <w:tcPr>
            <w:tcW w:w="409" w:type="pct"/>
            <w:tcBorders>
              <w:top w:val="nil"/>
              <w:left w:val="nil"/>
              <w:bottom w:val="nil"/>
              <w:right w:val="nil"/>
            </w:tcBorders>
          </w:tcPr>
          <w:p w14:paraId="0EFA16D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2.559***</w:t>
            </w:r>
          </w:p>
        </w:tc>
        <w:tc>
          <w:tcPr>
            <w:tcW w:w="410" w:type="pct"/>
            <w:tcBorders>
              <w:top w:val="nil"/>
              <w:left w:val="nil"/>
              <w:bottom w:val="nil"/>
              <w:right w:val="nil"/>
            </w:tcBorders>
          </w:tcPr>
          <w:p w14:paraId="2B4A053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2.098***</w:t>
            </w:r>
          </w:p>
        </w:tc>
        <w:tc>
          <w:tcPr>
            <w:tcW w:w="409" w:type="pct"/>
            <w:tcBorders>
              <w:top w:val="nil"/>
              <w:left w:val="nil"/>
              <w:bottom w:val="nil"/>
              <w:right w:val="nil"/>
            </w:tcBorders>
          </w:tcPr>
          <w:p w14:paraId="51B654F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2.497***</w:t>
            </w:r>
          </w:p>
        </w:tc>
        <w:tc>
          <w:tcPr>
            <w:tcW w:w="408" w:type="pct"/>
            <w:tcBorders>
              <w:top w:val="nil"/>
              <w:left w:val="nil"/>
              <w:bottom w:val="nil"/>
              <w:right w:val="nil"/>
            </w:tcBorders>
          </w:tcPr>
          <w:p w14:paraId="5AE7311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2.061***</w:t>
            </w:r>
          </w:p>
        </w:tc>
      </w:tr>
      <w:tr w:rsidR="00235130" w:rsidRPr="00A33460" w14:paraId="1EF55F02" w14:textId="77777777" w:rsidTr="00974A7D">
        <w:trPr>
          <w:trHeight w:val="57"/>
          <w:jc w:val="center"/>
        </w:trPr>
        <w:tc>
          <w:tcPr>
            <w:tcW w:w="909" w:type="pct"/>
            <w:tcBorders>
              <w:top w:val="nil"/>
              <w:left w:val="nil"/>
              <w:bottom w:val="nil"/>
              <w:right w:val="nil"/>
            </w:tcBorders>
          </w:tcPr>
          <w:p w14:paraId="2693B7A5"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0BF9053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(3.45)</w:t>
            </w:r>
          </w:p>
        </w:tc>
        <w:tc>
          <w:tcPr>
            <w:tcW w:w="409" w:type="pct"/>
            <w:tcBorders>
              <w:top w:val="nil"/>
              <w:left w:val="nil"/>
              <w:bottom w:val="nil"/>
              <w:right w:val="nil"/>
            </w:tcBorders>
          </w:tcPr>
          <w:p w14:paraId="6B48F0E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(3.17)</w:t>
            </w:r>
          </w:p>
        </w:tc>
        <w:tc>
          <w:tcPr>
            <w:tcW w:w="409" w:type="pct"/>
            <w:tcBorders>
              <w:top w:val="nil"/>
              <w:left w:val="nil"/>
              <w:bottom w:val="nil"/>
              <w:right w:val="nil"/>
            </w:tcBorders>
          </w:tcPr>
          <w:p w14:paraId="684DDDE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(3.67)</w:t>
            </w:r>
          </w:p>
        </w:tc>
        <w:tc>
          <w:tcPr>
            <w:tcW w:w="410" w:type="pct"/>
            <w:tcBorders>
              <w:top w:val="nil"/>
              <w:left w:val="nil"/>
              <w:bottom w:val="nil"/>
              <w:right w:val="nil"/>
            </w:tcBorders>
          </w:tcPr>
          <w:p w14:paraId="0E46ABA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(3.33)</w:t>
            </w:r>
          </w:p>
        </w:tc>
        <w:tc>
          <w:tcPr>
            <w:tcW w:w="409" w:type="pct"/>
            <w:tcBorders>
              <w:top w:val="nil"/>
              <w:left w:val="nil"/>
              <w:bottom w:val="nil"/>
              <w:right w:val="nil"/>
            </w:tcBorders>
          </w:tcPr>
          <w:p w14:paraId="4833089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(3.56)</w:t>
            </w:r>
          </w:p>
        </w:tc>
        <w:tc>
          <w:tcPr>
            <w:tcW w:w="410" w:type="pct"/>
            <w:tcBorders>
              <w:top w:val="nil"/>
              <w:left w:val="nil"/>
              <w:bottom w:val="nil"/>
              <w:right w:val="nil"/>
            </w:tcBorders>
          </w:tcPr>
          <w:p w14:paraId="68DE7A0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(3.17)</w:t>
            </w:r>
          </w:p>
        </w:tc>
        <w:tc>
          <w:tcPr>
            <w:tcW w:w="409" w:type="pct"/>
            <w:tcBorders>
              <w:top w:val="nil"/>
              <w:left w:val="nil"/>
              <w:bottom w:val="nil"/>
              <w:right w:val="nil"/>
            </w:tcBorders>
          </w:tcPr>
          <w:p w14:paraId="39FC363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(3.26)</w:t>
            </w:r>
          </w:p>
        </w:tc>
        <w:tc>
          <w:tcPr>
            <w:tcW w:w="410" w:type="pct"/>
            <w:tcBorders>
              <w:top w:val="nil"/>
              <w:left w:val="nil"/>
              <w:bottom w:val="nil"/>
              <w:right w:val="nil"/>
            </w:tcBorders>
          </w:tcPr>
          <w:p w14:paraId="1BB87D0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(2.97)</w:t>
            </w:r>
          </w:p>
        </w:tc>
        <w:tc>
          <w:tcPr>
            <w:tcW w:w="409" w:type="pct"/>
            <w:tcBorders>
              <w:top w:val="nil"/>
              <w:left w:val="nil"/>
              <w:bottom w:val="nil"/>
              <w:right w:val="nil"/>
            </w:tcBorders>
          </w:tcPr>
          <w:p w14:paraId="0FA12CF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(3.17)</w:t>
            </w:r>
          </w:p>
        </w:tc>
        <w:tc>
          <w:tcPr>
            <w:tcW w:w="408" w:type="pct"/>
            <w:tcBorders>
              <w:top w:val="nil"/>
              <w:left w:val="nil"/>
              <w:bottom w:val="nil"/>
              <w:right w:val="nil"/>
            </w:tcBorders>
          </w:tcPr>
          <w:p w14:paraId="3547CFA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(2.90)</w:t>
            </w:r>
          </w:p>
        </w:tc>
      </w:tr>
      <w:tr w:rsidR="00235130" w:rsidRPr="00A33460" w14:paraId="5C3A96EB" w14:textId="77777777" w:rsidTr="00974A7D">
        <w:trPr>
          <w:trHeight w:val="57"/>
          <w:jc w:val="center"/>
        </w:trPr>
        <w:tc>
          <w:tcPr>
            <w:tcW w:w="909" w:type="pct"/>
            <w:tcBorders>
              <w:top w:val="nil"/>
              <w:left w:val="nil"/>
              <w:bottom w:val="nil"/>
              <w:right w:val="nil"/>
            </w:tcBorders>
          </w:tcPr>
          <w:p w14:paraId="464A8B72"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ROA</w:t>
            </w:r>
          </w:p>
        </w:tc>
        <w:tc>
          <w:tcPr>
            <w:tcW w:w="408" w:type="pct"/>
            <w:tcBorders>
              <w:top w:val="nil"/>
              <w:left w:val="nil"/>
              <w:bottom w:val="nil"/>
              <w:right w:val="nil"/>
            </w:tcBorders>
          </w:tcPr>
          <w:p w14:paraId="34D4655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-3.350***</w:t>
            </w:r>
          </w:p>
        </w:tc>
        <w:tc>
          <w:tcPr>
            <w:tcW w:w="409" w:type="pct"/>
            <w:tcBorders>
              <w:top w:val="nil"/>
              <w:left w:val="nil"/>
              <w:bottom w:val="nil"/>
              <w:right w:val="nil"/>
            </w:tcBorders>
          </w:tcPr>
          <w:p w14:paraId="534074A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-2.525***</w:t>
            </w:r>
          </w:p>
        </w:tc>
        <w:tc>
          <w:tcPr>
            <w:tcW w:w="409" w:type="pct"/>
            <w:tcBorders>
              <w:top w:val="nil"/>
              <w:left w:val="nil"/>
              <w:bottom w:val="nil"/>
              <w:right w:val="nil"/>
            </w:tcBorders>
          </w:tcPr>
          <w:p w14:paraId="6AC8E1E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-3.351***</w:t>
            </w:r>
          </w:p>
        </w:tc>
        <w:tc>
          <w:tcPr>
            <w:tcW w:w="410" w:type="pct"/>
            <w:tcBorders>
              <w:top w:val="nil"/>
              <w:left w:val="nil"/>
              <w:bottom w:val="nil"/>
              <w:right w:val="nil"/>
            </w:tcBorders>
          </w:tcPr>
          <w:p w14:paraId="378FE2B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-2.527***</w:t>
            </w:r>
          </w:p>
        </w:tc>
        <w:tc>
          <w:tcPr>
            <w:tcW w:w="409" w:type="pct"/>
            <w:tcBorders>
              <w:top w:val="nil"/>
              <w:left w:val="nil"/>
              <w:bottom w:val="nil"/>
              <w:right w:val="nil"/>
            </w:tcBorders>
          </w:tcPr>
          <w:p w14:paraId="25FA5BE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-3.481***</w:t>
            </w:r>
          </w:p>
        </w:tc>
        <w:tc>
          <w:tcPr>
            <w:tcW w:w="410" w:type="pct"/>
            <w:tcBorders>
              <w:top w:val="nil"/>
              <w:left w:val="nil"/>
              <w:bottom w:val="nil"/>
              <w:right w:val="nil"/>
            </w:tcBorders>
          </w:tcPr>
          <w:p w14:paraId="10A5893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-2.600***</w:t>
            </w:r>
          </w:p>
        </w:tc>
        <w:tc>
          <w:tcPr>
            <w:tcW w:w="409" w:type="pct"/>
            <w:tcBorders>
              <w:top w:val="nil"/>
              <w:left w:val="nil"/>
              <w:bottom w:val="nil"/>
              <w:right w:val="nil"/>
            </w:tcBorders>
          </w:tcPr>
          <w:p w14:paraId="398CB41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-3.286***</w:t>
            </w:r>
          </w:p>
        </w:tc>
        <w:tc>
          <w:tcPr>
            <w:tcW w:w="410" w:type="pct"/>
            <w:tcBorders>
              <w:top w:val="nil"/>
              <w:left w:val="nil"/>
              <w:bottom w:val="nil"/>
              <w:right w:val="nil"/>
            </w:tcBorders>
          </w:tcPr>
          <w:p w14:paraId="65E6361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-2.474***</w:t>
            </w:r>
          </w:p>
        </w:tc>
        <w:tc>
          <w:tcPr>
            <w:tcW w:w="409" w:type="pct"/>
            <w:tcBorders>
              <w:top w:val="nil"/>
              <w:left w:val="nil"/>
              <w:bottom w:val="nil"/>
              <w:right w:val="nil"/>
            </w:tcBorders>
          </w:tcPr>
          <w:p w14:paraId="4BB5F8B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-3.439***</w:t>
            </w:r>
          </w:p>
        </w:tc>
        <w:tc>
          <w:tcPr>
            <w:tcW w:w="408" w:type="pct"/>
            <w:tcBorders>
              <w:top w:val="nil"/>
              <w:left w:val="nil"/>
              <w:bottom w:val="nil"/>
              <w:right w:val="nil"/>
            </w:tcBorders>
          </w:tcPr>
          <w:p w14:paraId="1F13F8C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-2.581***</w:t>
            </w:r>
          </w:p>
        </w:tc>
      </w:tr>
      <w:tr w:rsidR="00235130" w:rsidRPr="00A33460" w14:paraId="1834274A" w14:textId="77777777" w:rsidTr="00974A7D">
        <w:trPr>
          <w:trHeight w:val="57"/>
          <w:jc w:val="center"/>
        </w:trPr>
        <w:tc>
          <w:tcPr>
            <w:tcW w:w="909" w:type="pct"/>
            <w:tcBorders>
              <w:top w:val="nil"/>
              <w:left w:val="nil"/>
              <w:bottom w:val="nil"/>
              <w:right w:val="nil"/>
            </w:tcBorders>
          </w:tcPr>
          <w:p w14:paraId="4EBCA5EA"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3635D51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(-8.04)</w:t>
            </w:r>
          </w:p>
        </w:tc>
        <w:tc>
          <w:tcPr>
            <w:tcW w:w="409" w:type="pct"/>
            <w:tcBorders>
              <w:top w:val="nil"/>
              <w:left w:val="nil"/>
              <w:bottom w:val="nil"/>
              <w:right w:val="nil"/>
            </w:tcBorders>
          </w:tcPr>
          <w:p w14:paraId="4A3D312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(-6.78)</w:t>
            </w:r>
          </w:p>
        </w:tc>
        <w:tc>
          <w:tcPr>
            <w:tcW w:w="409" w:type="pct"/>
            <w:tcBorders>
              <w:top w:val="nil"/>
              <w:left w:val="nil"/>
              <w:bottom w:val="nil"/>
              <w:right w:val="nil"/>
            </w:tcBorders>
          </w:tcPr>
          <w:p w14:paraId="2893251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(-8.18)</w:t>
            </w:r>
          </w:p>
        </w:tc>
        <w:tc>
          <w:tcPr>
            <w:tcW w:w="410" w:type="pct"/>
            <w:tcBorders>
              <w:top w:val="nil"/>
              <w:left w:val="nil"/>
              <w:bottom w:val="nil"/>
              <w:right w:val="nil"/>
            </w:tcBorders>
          </w:tcPr>
          <w:p w14:paraId="3002DC9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(-6.82)</w:t>
            </w:r>
          </w:p>
        </w:tc>
        <w:tc>
          <w:tcPr>
            <w:tcW w:w="409" w:type="pct"/>
            <w:tcBorders>
              <w:top w:val="nil"/>
              <w:left w:val="nil"/>
              <w:bottom w:val="nil"/>
              <w:right w:val="nil"/>
            </w:tcBorders>
          </w:tcPr>
          <w:p w14:paraId="78D562A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(-8.46)</w:t>
            </w:r>
          </w:p>
        </w:tc>
        <w:tc>
          <w:tcPr>
            <w:tcW w:w="410" w:type="pct"/>
            <w:tcBorders>
              <w:top w:val="nil"/>
              <w:left w:val="nil"/>
              <w:bottom w:val="nil"/>
              <w:right w:val="nil"/>
            </w:tcBorders>
          </w:tcPr>
          <w:p w14:paraId="2D36535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(-7.00)</w:t>
            </w:r>
          </w:p>
        </w:tc>
        <w:tc>
          <w:tcPr>
            <w:tcW w:w="409" w:type="pct"/>
            <w:tcBorders>
              <w:top w:val="nil"/>
              <w:left w:val="nil"/>
              <w:bottom w:val="nil"/>
              <w:right w:val="nil"/>
            </w:tcBorders>
          </w:tcPr>
          <w:p w14:paraId="1827428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(-7.98)</w:t>
            </w:r>
          </w:p>
        </w:tc>
        <w:tc>
          <w:tcPr>
            <w:tcW w:w="410" w:type="pct"/>
            <w:tcBorders>
              <w:top w:val="nil"/>
              <w:left w:val="nil"/>
              <w:bottom w:val="nil"/>
              <w:right w:val="nil"/>
            </w:tcBorders>
          </w:tcPr>
          <w:p w14:paraId="3530622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(-6.66)</w:t>
            </w:r>
          </w:p>
        </w:tc>
        <w:tc>
          <w:tcPr>
            <w:tcW w:w="409" w:type="pct"/>
            <w:tcBorders>
              <w:top w:val="nil"/>
              <w:left w:val="nil"/>
              <w:bottom w:val="nil"/>
              <w:right w:val="nil"/>
            </w:tcBorders>
          </w:tcPr>
          <w:p w14:paraId="1C31561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(-8.45)</w:t>
            </w:r>
          </w:p>
        </w:tc>
        <w:tc>
          <w:tcPr>
            <w:tcW w:w="408" w:type="pct"/>
            <w:tcBorders>
              <w:top w:val="nil"/>
              <w:left w:val="nil"/>
              <w:bottom w:val="nil"/>
              <w:right w:val="nil"/>
            </w:tcBorders>
          </w:tcPr>
          <w:p w14:paraId="2BC0A2D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(-7.04)</w:t>
            </w:r>
          </w:p>
        </w:tc>
      </w:tr>
      <w:tr w:rsidR="00235130" w:rsidRPr="00A33460" w14:paraId="00DB70B7" w14:textId="77777777" w:rsidTr="00974A7D">
        <w:trPr>
          <w:trHeight w:val="57"/>
          <w:jc w:val="center"/>
        </w:trPr>
        <w:tc>
          <w:tcPr>
            <w:tcW w:w="909" w:type="pct"/>
            <w:tcBorders>
              <w:top w:val="nil"/>
              <w:left w:val="nil"/>
              <w:bottom w:val="nil"/>
              <w:right w:val="nil"/>
            </w:tcBorders>
          </w:tcPr>
          <w:p w14:paraId="23D40E29"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PPE</w:t>
            </w:r>
          </w:p>
        </w:tc>
        <w:tc>
          <w:tcPr>
            <w:tcW w:w="408" w:type="pct"/>
            <w:tcBorders>
              <w:top w:val="nil"/>
              <w:left w:val="nil"/>
              <w:bottom w:val="nil"/>
              <w:right w:val="nil"/>
            </w:tcBorders>
          </w:tcPr>
          <w:p w14:paraId="1930114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0.162</w:t>
            </w:r>
          </w:p>
        </w:tc>
        <w:tc>
          <w:tcPr>
            <w:tcW w:w="409" w:type="pct"/>
            <w:tcBorders>
              <w:top w:val="nil"/>
              <w:left w:val="nil"/>
              <w:bottom w:val="nil"/>
              <w:right w:val="nil"/>
            </w:tcBorders>
          </w:tcPr>
          <w:p w14:paraId="641407E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0.101</w:t>
            </w:r>
          </w:p>
        </w:tc>
        <w:tc>
          <w:tcPr>
            <w:tcW w:w="409" w:type="pct"/>
            <w:tcBorders>
              <w:top w:val="nil"/>
              <w:left w:val="nil"/>
              <w:bottom w:val="nil"/>
              <w:right w:val="nil"/>
            </w:tcBorders>
          </w:tcPr>
          <w:p w14:paraId="6F80998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0.159</w:t>
            </w:r>
          </w:p>
        </w:tc>
        <w:tc>
          <w:tcPr>
            <w:tcW w:w="410" w:type="pct"/>
            <w:tcBorders>
              <w:top w:val="nil"/>
              <w:left w:val="nil"/>
              <w:bottom w:val="nil"/>
              <w:right w:val="nil"/>
            </w:tcBorders>
          </w:tcPr>
          <w:p w14:paraId="338E19F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0.095</w:t>
            </w:r>
          </w:p>
        </w:tc>
        <w:tc>
          <w:tcPr>
            <w:tcW w:w="409" w:type="pct"/>
            <w:tcBorders>
              <w:top w:val="nil"/>
              <w:left w:val="nil"/>
              <w:bottom w:val="nil"/>
              <w:right w:val="nil"/>
            </w:tcBorders>
          </w:tcPr>
          <w:p w14:paraId="6D862D5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0.216*</w:t>
            </w:r>
          </w:p>
        </w:tc>
        <w:tc>
          <w:tcPr>
            <w:tcW w:w="410" w:type="pct"/>
            <w:tcBorders>
              <w:top w:val="nil"/>
              <w:left w:val="nil"/>
              <w:bottom w:val="nil"/>
              <w:right w:val="nil"/>
            </w:tcBorders>
          </w:tcPr>
          <w:p w14:paraId="4F86F11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0.138</w:t>
            </w:r>
          </w:p>
        </w:tc>
        <w:tc>
          <w:tcPr>
            <w:tcW w:w="409" w:type="pct"/>
            <w:tcBorders>
              <w:top w:val="nil"/>
              <w:left w:val="nil"/>
              <w:bottom w:val="nil"/>
              <w:right w:val="nil"/>
            </w:tcBorders>
          </w:tcPr>
          <w:p w14:paraId="06DC1B6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0.136</w:t>
            </w:r>
          </w:p>
        </w:tc>
        <w:tc>
          <w:tcPr>
            <w:tcW w:w="410" w:type="pct"/>
            <w:tcBorders>
              <w:top w:val="nil"/>
              <w:left w:val="nil"/>
              <w:bottom w:val="nil"/>
              <w:right w:val="nil"/>
            </w:tcBorders>
          </w:tcPr>
          <w:p w14:paraId="4515328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0.077</w:t>
            </w:r>
          </w:p>
        </w:tc>
        <w:tc>
          <w:tcPr>
            <w:tcW w:w="409" w:type="pct"/>
            <w:tcBorders>
              <w:top w:val="nil"/>
              <w:left w:val="nil"/>
              <w:bottom w:val="nil"/>
              <w:right w:val="nil"/>
            </w:tcBorders>
          </w:tcPr>
          <w:p w14:paraId="593FA67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0.201*</w:t>
            </w:r>
          </w:p>
        </w:tc>
        <w:tc>
          <w:tcPr>
            <w:tcW w:w="408" w:type="pct"/>
            <w:tcBorders>
              <w:top w:val="nil"/>
              <w:left w:val="nil"/>
              <w:bottom w:val="nil"/>
              <w:right w:val="nil"/>
            </w:tcBorders>
          </w:tcPr>
          <w:p w14:paraId="79E27CD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0.128</w:t>
            </w:r>
          </w:p>
        </w:tc>
      </w:tr>
      <w:tr w:rsidR="00235130" w:rsidRPr="00A33460" w14:paraId="41E829C2" w14:textId="77777777" w:rsidTr="00974A7D">
        <w:trPr>
          <w:trHeight w:val="57"/>
          <w:jc w:val="center"/>
        </w:trPr>
        <w:tc>
          <w:tcPr>
            <w:tcW w:w="909" w:type="pct"/>
            <w:tcBorders>
              <w:top w:val="nil"/>
              <w:left w:val="nil"/>
              <w:bottom w:val="nil"/>
              <w:right w:val="nil"/>
            </w:tcBorders>
          </w:tcPr>
          <w:p w14:paraId="7D7FC9A9"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2A68468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(1.40)</w:t>
            </w:r>
          </w:p>
        </w:tc>
        <w:tc>
          <w:tcPr>
            <w:tcW w:w="409" w:type="pct"/>
            <w:tcBorders>
              <w:top w:val="nil"/>
              <w:left w:val="nil"/>
              <w:bottom w:val="nil"/>
              <w:right w:val="nil"/>
            </w:tcBorders>
          </w:tcPr>
          <w:p w14:paraId="7D6701F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(0.93)</w:t>
            </w:r>
          </w:p>
        </w:tc>
        <w:tc>
          <w:tcPr>
            <w:tcW w:w="409" w:type="pct"/>
            <w:tcBorders>
              <w:top w:val="nil"/>
              <w:left w:val="nil"/>
              <w:bottom w:val="nil"/>
              <w:right w:val="nil"/>
            </w:tcBorders>
          </w:tcPr>
          <w:p w14:paraId="73C30E6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(1.39)</w:t>
            </w:r>
          </w:p>
        </w:tc>
        <w:tc>
          <w:tcPr>
            <w:tcW w:w="410" w:type="pct"/>
            <w:tcBorders>
              <w:top w:val="nil"/>
              <w:left w:val="nil"/>
              <w:bottom w:val="nil"/>
              <w:right w:val="nil"/>
            </w:tcBorders>
          </w:tcPr>
          <w:p w14:paraId="1D0DB10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(0.88)</w:t>
            </w:r>
          </w:p>
        </w:tc>
        <w:tc>
          <w:tcPr>
            <w:tcW w:w="409" w:type="pct"/>
            <w:tcBorders>
              <w:top w:val="nil"/>
              <w:left w:val="nil"/>
              <w:bottom w:val="nil"/>
              <w:right w:val="nil"/>
            </w:tcBorders>
          </w:tcPr>
          <w:p w14:paraId="314D71B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(1.84)</w:t>
            </w:r>
          </w:p>
        </w:tc>
        <w:tc>
          <w:tcPr>
            <w:tcW w:w="410" w:type="pct"/>
            <w:tcBorders>
              <w:top w:val="nil"/>
              <w:left w:val="nil"/>
              <w:bottom w:val="nil"/>
              <w:right w:val="nil"/>
            </w:tcBorders>
          </w:tcPr>
          <w:p w14:paraId="03109CA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(1.26)</w:t>
            </w:r>
          </w:p>
        </w:tc>
        <w:tc>
          <w:tcPr>
            <w:tcW w:w="409" w:type="pct"/>
            <w:tcBorders>
              <w:top w:val="nil"/>
              <w:left w:val="nil"/>
              <w:bottom w:val="nil"/>
              <w:right w:val="nil"/>
            </w:tcBorders>
          </w:tcPr>
          <w:p w14:paraId="2F5763D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(1.21)</w:t>
            </w:r>
          </w:p>
        </w:tc>
        <w:tc>
          <w:tcPr>
            <w:tcW w:w="410" w:type="pct"/>
            <w:tcBorders>
              <w:top w:val="nil"/>
              <w:left w:val="nil"/>
              <w:bottom w:val="nil"/>
              <w:right w:val="nil"/>
            </w:tcBorders>
          </w:tcPr>
          <w:p w14:paraId="469E753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(0.72)</w:t>
            </w:r>
          </w:p>
        </w:tc>
        <w:tc>
          <w:tcPr>
            <w:tcW w:w="409" w:type="pct"/>
            <w:tcBorders>
              <w:top w:val="nil"/>
              <w:left w:val="nil"/>
              <w:bottom w:val="nil"/>
              <w:right w:val="nil"/>
            </w:tcBorders>
          </w:tcPr>
          <w:p w14:paraId="4803B9B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(1.74)</w:t>
            </w:r>
          </w:p>
        </w:tc>
        <w:tc>
          <w:tcPr>
            <w:tcW w:w="408" w:type="pct"/>
            <w:tcBorders>
              <w:top w:val="nil"/>
              <w:left w:val="nil"/>
              <w:bottom w:val="nil"/>
              <w:right w:val="nil"/>
            </w:tcBorders>
          </w:tcPr>
          <w:p w14:paraId="51F8693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(1.18)</w:t>
            </w:r>
          </w:p>
        </w:tc>
      </w:tr>
      <w:tr w:rsidR="00235130" w:rsidRPr="002A5AEB" w14:paraId="3AB470A2" w14:textId="77777777" w:rsidTr="00974A7D">
        <w:trPr>
          <w:trHeight w:val="57"/>
          <w:jc w:val="center"/>
        </w:trPr>
        <w:tc>
          <w:tcPr>
            <w:tcW w:w="909" w:type="pct"/>
            <w:tcBorders>
              <w:top w:val="nil"/>
              <w:left w:val="nil"/>
              <w:bottom w:val="nil"/>
              <w:right w:val="nil"/>
            </w:tcBorders>
          </w:tcPr>
          <w:p w14:paraId="0296D0B8"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Interest coverage</w:t>
            </w:r>
          </w:p>
        </w:tc>
        <w:tc>
          <w:tcPr>
            <w:tcW w:w="408" w:type="pct"/>
            <w:tcBorders>
              <w:top w:val="nil"/>
              <w:left w:val="nil"/>
              <w:bottom w:val="nil"/>
              <w:right w:val="nil"/>
            </w:tcBorders>
          </w:tcPr>
          <w:p w14:paraId="6ED1E32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-0.001</w:t>
            </w:r>
          </w:p>
        </w:tc>
        <w:tc>
          <w:tcPr>
            <w:tcW w:w="409" w:type="pct"/>
            <w:tcBorders>
              <w:top w:val="nil"/>
              <w:left w:val="nil"/>
              <w:bottom w:val="nil"/>
              <w:right w:val="nil"/>
            </w:tcBorders>
          </w:tcPr>
          <w:p w14:paraId="0503635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-0.002*</w:t>
            </w:r>
          </w:p>
        </w:tc>
        <w:tc>
          <w:tcPr>
            <w:tcW w:w="409" w:type="pct"/>
            <w:tcBorders>
              <w:top w:val="nil"/>
              <w:left w:val="nil"/>
              <w:bottom w:val="nil"/>
              <w:right w:val="nil"/>
            </w:tcBorders>
          </w:tcPr>
          <w:p w14:paraId="6E072F8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-0.001</w:t>
            </w:r>
          </w:p>
        </w:tc>
        <w:tc>
          <w:tcPr>
            <w:tcW w:w="410" w:type="pct"/>
            <w:tcBorders>
              <w:top w:val="nil"/>
              <w:left w:val="nil"/>
              <w:bottom w:val="nil"/>
              <w:right w:val="nil"/>
            </w:tcBorders>
          </w:tcPr>
          <w:p w14:paraId="24B8862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-0.002*</w:t>
            </w:r>
          </w:p>
        </w:tc>
        <w:tc>
          <w:tcPr>
            <w:tcW w:w="409" w:type="pct"/>
            <w:tcBorders>
              <w:top w:val="nil"/>
              <w:left w:val="nil"/>
              <w:bottom w:val="nil"/>
              <w:right w:val="nil"/>
            </w:tcBorders>
          </w:tcPr>
          <w:p w14:paraId="56001E5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-0.000</w:t>
            </w:r>
          </w:p>
        </w:tc>
        <w:tc>
          <w:tcPr>
            <w:tcW w:w="410" w:type="pct"/>
            <w:tcBorders>
              <w:top w:val="nil"/>
              <w:left w:val="nil"/>
              <w:bottom w:val="nil"/>
              <w:right w:val="nil"/>
            </w:tcBorders>
          </w:tcPr>
          <w:p w14:paraId="5D9835E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-0.001</w:t>
            </w:r>
          </w:p>
        </w:tc>
        <w:tc>
          <w:tcPr>
            <w:tcW w:w="409" w:type="pct"/>
            <w:tcBorders>
              <w:top w:val="nil"/>
              <w:left w:val="nil"/>
              <w:bottom w:val="nil"/>
              <w:right w:val="nil"/>
            </w:tcBorders>
          </w:tcPr>
          <w:p w14:paraId="33590AB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-0.001</w:t>
            </w:r>
          </w:p>
        </w:tc>
        <w:tc>
          <w:tcPr>
            <w:tcW w:w="410" w:type="pct"/>
            <w:tcBorders>
              <w:top w:val="nil"/>
              <w:left w:val="nil"/>
              <w:bottom w:val="nil"/>
              <w:right w:val="nil"/>
            </w:tcBorders>
          </w:tcPr>
          <w:p w14:paraId="79FD6EA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-0.002*</w:t>
            </w:r>
          </w:p>
        </w:tc>
        <w:tc>
          <w:tcPr>
            <w:tcW w:w="409" w:type="pct"/>
            <w:tcBorders>
              <w:top w:val="nil"/>
              <w:left w:val="nil"/>
              <w:bottom w:val="nil"/>
              <w:right w:val="nil"/>
            </w:tcBorders>
          </w:tcPr>
          <w:p w14:paraId="0A8B5B9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-0.000</w:t>
            </w:r>
          </w:p>
        </w:tc>
        <w:tc>
          <w:tcPr>
            <w:tcW w:w="408" w:type="pct"/>
            <w:tcBorders>
              <w:top w:val="nil"/>
              <w:left w:val="nil"/>
              <w:bottom w:val="nil"/>
              <w:right w:val="nil"/>
            </w:tcBorders>
          </w:tcPr>
          <w:p w14:paraId="1F45254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-0.001</w:t>
            </w:r>
          </w:p>
        </w:tc>
      </w:tr>
      <w:tr w:rsidR="00235130" w:rsidRPr="002A5AEB" w14:paraId="3F64CE9C" w14:textId="77777777" w:rsidTr="00974A7D">
        <w:trPr>
          <w:trHeight w:val="57"/>
          <w:jc w:val="center"/>
        </w:trPr>
        <w:tc>
          <w:tcPr>
            <w:tcW w:w="909" w:type="pct"/>
            <w:tcBorders>
              <w:top w:val="nil"/>
              <w:left w:val="nil"/>
              <w:bottom w:val="nil"/>
              <w:right w:val="nil"/>
            </w:tcBorders>
          </w:tcPr>
          <w:p w14:paraId="3751CE25"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585E2C5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(-0.65)</w:t>
            </w:r>
          </w:p>
        </w:tc>
        <w:tc>
          <w:tcPr>
            <w:tcW w:w="409" w:type="pct"/>
            <w:tcBorders>
              <w:top w:val="nil"/>
              <w:left w:val="nil"/>
              <w:bottom w:val="nil"/>
              <w:right w:val="nil"/>
            </w:tcBorders>
          </w:tcPr>
          <w:p w14:paraId="2FD9049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(-1.79)</w:t>
            </w:r>
          </w:p>
        </w:tc>
        <w:tc>
          <w:tcPr>
            <w:tcW w:w="409" w:type="pct"/>
            <w:tcBorders>
              <w:top w:val="nil"/>
              <w:left w:val="nil"/>
              <w:bottom w:val="nil"/>
              <w:right w:val="nil"/>
            </w:tcBorders>
          </w:tcPr>
          <w:p w14:paraId="3390F02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(-0.75)</w:t>
            </w:r>
          </w:p>
        </w:tc>
        <w:tc>
          <w:tcPr>
            <w:tcW w:w="410" w:type="pct"/>
            <w:tcBorders>
              <w:top w:val="nil"/>
              <w:left w:val="nil"/>
              <w:bottom w:val="nil"/>
              <w:right w:val="nil"/>
            </w:tcBorders>
          </w:tcPr>
          <w:p w14:paraId="5A5A4BA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(-1.84)</w:t>
            </w:r>
          </w:p>
        </w:tc>
        <w:tc>
          <w:tcPr>
            <w:tcW w:w="409" w:type="pct"/>
            <w:tcBorders>
              <w:top w:val="nil"/>
              <w:left w:val="nil"/>
              <w:bottom w:val="nil"/>
              <w:right w:val="nil"/>
            </w:tcBorders>
          </w:tcPr>
          <w:p w14:paraId="5515420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(-0.22)</w:t>
            </w:r>
          </w:p>
        </w:tc>
        <w:tc>
          <w:tcPr>
            <w:tcW w:w="410" w:type="pct"/>
            <w:tcBorders>
              <w:top w:val="nil"/>
              <w:left w:val="nil"/>
              <w:bottom w:val="nil"/>
              <w:right w:val="nil"/>
            </w:tcBorders>
          </w:tcPr>
          <w:p w14:paraId="2B93B44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(-1.48)</w:t>
            </w:r>
          </w:p>
        </w:tc>
        <w:tc>
          <w:tcPr>
            <w:tcW w:w="409" w:type="pct"/>
            <w:tcBorders>
              <w:top w:val="nil"/>
              <w:left w:val="nil"/>
              <w:bottom w:val="nil"/>
              <w:right w:val="nil"/>
            </w:tcBorders>
          </w:tcPr>
          <w:p w14:paraId="5C77F38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(-0.81)</w:t>
            </w:r>
          </w:p>
        </w:tc>
        <w:tc>
          <w:tcPr>
            <w:tcW w:w="410" w:type="pct"/>
            <w:tcBorders>
              <w:top w:val="nil"/>
              <w:left w:val="nil"/>
              <w:bottom w:val="nil"/>
              <w:right w:val="nil"/>
            </w:tcBorders>
          </w:tcPr>
          <w:p w14:paraId="00C6D69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(-1.89)</w:t>
            </w:r>
          </w:p>
        </w:tc>
        <w:tc>
          <w:tcPr>
            <w:tcW w:w="409" w:type="pct"/>
            <w:tcBorders>
              <w:top w:val="nil"/>
              <w:left w:val="nil"/>
              <w:bottom w:val="nil"/>
              <w:right w:val="nil"/>
            </w:tcBorders>
          </w:tcPr>
          <w:p w14:paraId="67242AF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(-0.14)</w:t>
            </w:r>
          </w:p>
        </w:tc>
        <w:tc>
          <w:tcPr>
            <w:tcW w:w="408" w:type="pct"/>
            <w:tcBorders>
              <w:top w:val="nil"/>
              <w:left w:val="nil"/>
              <w:bottom w:val="nil"/>
              <w:right w:val="nil"/>
            </w:tcBorders>
          </w:tcPr>
          <w:p w14:paraId="7190143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r w:rsidRPr="002118F2">
              <w:rPr>
                <w:rFonts w:ascii="Times New Roman" w:hAnsi="Times New Roman" w:cs="Times New Roman"/>
                <w:sz w:val="20"/>
                <w:szCs w:val="20"/>
              </w:rPr>
              <w:t>(-1.37)</w:t>
            </w:r>
          </w:p>
        </w:tc>
      </w:tr>
      <w:tr w:rsidR="00235130" w:rsidRPr="00A33460" w14:paraId="2638F9A6" w14:textId="77777777" w:rsidTr="00974A7D">
        <w:trPr>
          <w:trHeight w:val="57"/>
          <w:jc w:val="center"/>
        </w:trPr>
        <w:tc>
          <w:tcPr>
            <w:tcW w:w="909" w:type="pct"/>
            <w:tcBorders>
              <w:top w:val="nil"/>
              <w:left w:val="nil"/>
              <w:bottom w:val="nil"/>
              <w:right w:val="nil"/>
            </w:tcBorders>
          </w:tcPr>
          <w:p w14:paraId="195712E9"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roofErr w:type="gramStart"/>
            <w:r w:rsidRPr="002118F2">
              <w:rPr>
                <w:rFonts w:ascii="Times New Roman" w:hAnsi="Times New Roman" w:cs="Times New Roman"/>
                <w:i/>
                <w:sz w:val="20"/>
                <w:szCs w:val="20"/>
                <w:lang w:val="en-US"/>
              </w:rPr>
              <w:t>Ln(</w:t>
            </w:r>
            <w:proofErr w:type="gramEnd"/>
            <w:r w:rsidRPr="002118F2">
              <w:rPr>
                <w:rFonts w:ascii="Times New Roman" w:hAnsi="Times New Roman" w:cs="Times New Roman"/>
                <w:i/>
                <w:sz w:val="20"/>
                <w:szCs w:val="20"/>
                <w:lang w:val="en-US"/>
              </w:rPr>
              <w:t>Total assets)</w:t>
            </w:r>
          </w:p>
        </w:tc>
        <w:tc>
          <w:tcPr>
            <w:tcW w:w="408" w:type="pct"/>
            <w:tcBorders>
              <w:top w:val="nil"/>
              <w:left w:val="nil"/>
              <w:bottom w:val="nil"/>
              <w:right w:val="nil"/>
            </w:tcBorders>
          </w:tcPr>
          <w:p w14:paraId="3C7D3F2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-0.257***</w:t>
            </w:r>
          </w:p>
        </w:tc>
        <w:tc>
          <w:tcPr>
            <w:tcW w:w="409" w:type="pct"/>
            <w:tcBorders>
              <w:top w:val="nil"/>
              <w:left w:val="nil"/>
              <w:bottom w:val="nil"/>
              <w:right w:val="nil"/>
            </w:tcBorders>
          </w:tcPr>
          <w:p w14:paraId="2BEB773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-0.171***</w:t>
            </w:r>
          </w:p>
        </w:tc>
        <w:tc>
          <w:tcPr>
            <w:tcW w:w="409" w:type="pct"/>
            <w:tcBorders>
              <w:top w:val="nil"/>
              <w:left w:val="nil"/>
              <w:bottom w:val="nil"/>
              <w:right w:val="nil"/>
            </w:tcBorders>
          </w:tcPr>
          <w:p w14:paraId="0349ECA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-0.228***</w:t>
            </w:r>
          </w:p>
        </w:tc>
        <w:tc>
          <w:tcPr>
            <w:tcW w:w="410" w:type="pct"/>
            <w:tcBorders>
              <w:top w:val="nil"/>
              <w:left w:val="nil"/>
              <w:bottom w:val="nil"/>
              <w:right w:val="nil"/>
            </w:tcBorders>
          </w:tcPr>
          <w:p w14:paraId="46086A7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-0.151***</w:t>
            </w:r>
          </w:p>
        </w:tc>
        <w:tc>
          <w:tcPr>
            <w:tcW w:w="409" w:type="pct"/>
            <w:tcBorders>
              <w:top w:val="nil"/>
              <w:left w:val="nil"/>
              <w:bottom w:val="nil"/>
              <w:right w:val="nil"/>
            </w:tcBorders>
          </w:tcPr>
          <w:p w14:paraId="4BE8CF4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-0.255***</w:t>
            </w:r>
          </w:p>
        </w:tc>
        <w:tc>
          <w:tcPr>
            <w:tcW w:w="410" w:type="pct"/>
            <w:tcBorders>
              <w:top w:val="nil"/>
              <w:left w:val="nil"/>
              <w:bottom w:val="nil"/>
              <w:right w:val="nil"/>
            </w:tcBorders>
          </w:tcPr>
          <w:p w14:paraId="3D6530F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-0.171***</w:t>
            </w:r>
          </w:p>
        </w:tc>
        <w:tc>
          <w:tcPr>
            <w:tcW w:w="409" w:type="pct"/>
            <w:tcBorders>
              <w:top w:val="nil"/>
              <w:left w:val="nil"/>
              <w:bottom w:val="nil"/>
              <w:right w:val="nil"/>
            </w:tcBorders>
          </w:tcPr>
          <w:p w14:paraId="6E150AF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-0.238***</w:t>
            </w:r>
          </w:p>
        </w:tc>
        <w:tc>
          <w:tcPr>
            <w:tcW w:w="410" w:type="pct"/>
            <w:tcBorders>
              <w:top w:val="nil"/>
              <w:left w:val="nil"/>
              <w:bottom w:val="nil"/>
              <w:right w:val="nil"/>
            </w:tcBorders>
          </w:tcPr>
          <w:p w14:paraId="385364C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-0.158***</w:t>
            </w:r>
          </w:p>
        </w:tc>
        <w:tc>
          <w:tcPr>
            <w:tcW w:w="409" w:type="pct"/>
            <w:tcBorders>
              <w:top w:val="nil"/>
              <w:left w:val="nil"/>
              <w:bottom w:val="nil"/>
              <w:right w:val="nil"/>
            </w:tcBorders>
          </w:tcPr>
          <w:p w14:paraId="724DEA4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-0.262***</w:t>
            </w:r>
          </w:p>
        </w:tc>
        <w:tc>
          <w:tcPr>
            <w:tcW w:w="408" w:type="pct"/>
            <w:tcBorders>
              <w:top w:val="nil"/>
              <w:left w:val="nil"/>
              <w:bottom w:val="nil"/>
              <w:right w:val="nil"/>
            </w:tcBorders>
          </w:tcPr>
          <w:p w14:paraId="32208FC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-0.175***</w:t>
            </w:r>
          </w:p>
        </w:tc>
      </w:tr>
      <w:tr w:rsidR="00235130" w:rsidRPr="00A33460" w14:paraId="4784D10D" w14:textId="77777777" w:rsidTr="00974A7D">
        <w:trPr>
          <w:trHeight w:val="57"/>
          <w:jc w:val="center"/>
        </w:trPr>
        <w:tc>
          <w:tcPr>
            <w:tcW w:w="909" w:type="pct"/>
            <w:tcBorders>
              <w:top w:val="nil"/>
              <w:left w:val="nil"/>
              <w:bottom w:val="nil"/>
              <w:right w:val="nil"/>
            </w:tcBorders>
          </w:tcPr>
          <w:p w14:paraId="72CE10CC"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6667447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(-10.51)</w:t>
            </w:r>
          </w:p>
        </w:tc>
        <w:tc>
          <w:tcPr>
            <w:tcW w:w="409" w:type="pct"/>
            <w:tcBorders>
              <w:top w:val="nil"/>
              <w:left w:val="nil"/>
              <w:bottom w:val="nil"/>
              <w:right w:val="nil"/>
            </w:tcBorders>
          </w:tcPr>
          <w:p w14:paraId="22BB5C4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(-7.26)</w:t>
            </w:r>
          </w:p>
        </w:tc>
        <w:tc>
          <w:tcPr>
            <w:tcW w:w="409" w:type="pct"/>
            <w:tcBorders>
              <w:top w:val="nil"/>
              <w:left w:val="nil"/>
              <w:bottom w:val="nil"/>
              <w:right w:val="nil"/>
            </w:tcBorders>
          </w:tcPr>
          <w:p w14:paraId="08D00D1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(-9.86)</w:t>
            </w:r>
          </w:p>
        </w:tc>
        <w:tc>
          <w:tcPr>
            <w:tcW w:w="410" w:type="pct"/>
            <w:tcBorders>
              <w:top w:val="nil"/>
              <w:left w:val="nil"/>
              <w:bottom w:val="nil"/>
              <w:right w:val="nil"/>
            </w:tcBorders>
          </w:tcPr>
          <w:p w14:paraId="3092605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(-6.67)</w:t>
            </w:r>
          </w:p>
        </w:tc>
        <w:tc>
          <w:tcPr>
            <w:tcW w:w="409" w:type="pct"/>
            <w:tcBorders>
              <w:top w:val="nil"/>
              <w:left w:val="nil"/>
              <w:bottom w:val="nil"/>
              <w:right w:val="nil"/>
            </w:tcBorders>
          </w:tcPr>
          <w:p w14:paraId="7A873D5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(-10.74)</w:t>
            </w:r>
          </w:p>
        </w:tc>
        <w:tc>
          <w:tcPr>
            <w:tcW w:w="410" w:type="pct"/>
            <w:tcBorders>
              <w:top w:val="nil"/>
              <w:left w:val="nil"/>
              <w:bottom w:val="nil"/>
              <w:right w:val="nil"/>
            </w:tcBorders>
          </w:tcPr>
          <w:p w14:paraId="31498BA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(-7.46)</w:t>
            </w:r>
          </w:p>
        </w:tc>
        <w:tc>
          <w:tcPr>
            <w:tcW w:w="409" w:type="pct"/>
            <w:tcBorders>
              <w:top w:val="nil"/>
              <w:left w:val="nil"/>
              <w:bottom w:val="nil"/>
              <w:right w:val="nil"/>
            </w:tcBorders>
          </w:tcPr>
          <w:p w14:paraId="6D80279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(-10.06)</w:t>
            </w:r>
          </w:p>
        </w:tc>
        <w:tc>
          <w:tcPr>
            <w:tcW w:w="410" w:type="pct"/>
            <w:tcBorders>
              <w:top w:val="nil"/>
              <w:left w:val="nil"/>
              <w:bottom w:val="nil"/>
              <w:right w:val="nil"/>
            </w:tcBorders>
          </w:tcPr>
          <w:p w14:paraId="687AB69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(-6.88)</w:t>
            </w:r>
          </w:p>
        </w:tc>
        <w:tc>
          <w:tcPr>
            <w:tcW w:w="409" w:type="pct"/>
            <w:tcBorders>
              <w:top w:val="nil"/>
              <w:left w:val="nil"/>
              <w:bottom w:val="nil"/>
              <w:right w:val="nil"/>
            </w:tcBorders>
          </w:tcPr>
          <w:p w14:paraId="46BBEC0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(-10.84)</w:t>
            </w:r>
          </w:p>
        </w:tc>
        <w:tc>
          <w:tcPr>
            <w:tcW w:w="408" w:type="pct"/>
            <w:tcBorders>
              <w:top w:val="nil"/>
              <w:left w:val="nil"/>
              <w:bottom w:val="nil"/>
              <w:right w:val="nil"/>
            </w:tcBorders>
          </w:tcPr>
          <w:p w14:paraId="325A268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(-7.50)</w:t>
            </w:r>
          </w:p>
        </w:tc>
      </w:tr>
      <w:tr w:rsidR="00235130" w:rsidRPr="00A33460" w14:paraId="00F4BD0E" w14:textId="77777777" w:rsidTr="00974A7D">
        <w:trPr>
          <w:trHeight w:val="57"/>
          <w:jc w:val="center"/>
        </w:trPr>
        <w:tc>
          <w:tcPr>
            <w:tcW w:w="909" w:type="pct"/>
            <w:tcBorders>
              <w:top w:val="nil"/>
              <w:left w:val="nil"/>
              <w:bottom w:val="nil"/>
              <w:right w:val="nil"/>
            </w:tcBorders>
          </w:tcPr>
          <w:p w14:paraId="4D54A88D"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Investment grade</w:t>
            </w:r>
          </w:p>
        </w:tc>
        <w:tc>
          <w:tcPr>
            <w:tcW w:w="408" w:type="pct"/>
            <w:tcBorders>
              <w:top w:val="nil"/>
              <w:left w:val="nil"/>
              <w:bottom w:val="nil"/>
              <w:right w:val="nil"/>
            </w:tcBorders>
          </w:tcPr>
          <w:p w14:paraId="43D3185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-1.788***</w:t>
            </w:r>
          </w:p>
        </w:tc>
        <w:tc>
          <w:tcPr>
            <w:tcW w:w="409" w:type="pct"/>
            <w:tcBorders>
              <w:top w:val="nil"/>
              <w:left w:val="nil"/>
              <w:bottom w:val="nil"/>
              <w:right w:val="nil"/>
            </w:tcBorders>
          </w:tcPr>
          <w:p w14:paraId="1459A9C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-1.588***</w:t>
            </w:r>
          </w:p>
        </w:tc>
        <w:tc>
          <w:tcPr>
            <w:tcW w:w="409" w:type="pct"/>
            <w:tcBorders>
              <w:top w:val="nil"/>
              <w:left w:val="nil"/>
              <w:bottom w:val="nil"/>
              <w:right w:val="nil"/>
            </w:tcBorders>
          </w:tcPr>
          <w:p w14:paraId="4ED23D6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-1.721***</w:t>
            </w:r>
          </w:p>
        </w:tc>
        <w:tc>
          <w:tcPr>
            <w:tcW w:w="410" w:type="pct"/>
            <w:tcBorders>
              <w:top w:val="nil"/>
              <w:left w:val="nil"/>
              <w:bottom w:val="nil"/>
              <w:right w:val="nil"/>
            </w:tcBorders>
          </w:tcPr>
          <w:p w14:paraId="7289C47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-1.542***</w:t>
            </w:r>
          </w:p>
        </w:tc>
        <w:tc>
          <w:tcPr>
            <w:tcW w:w="409" w:type="pct"/>
            <w:tcBorders>
              <w:top w:val="nil"/>
              <w:left w:val="nil"/>
              <w:bottom w:val="nil"/>
              <w:right w:val="nil"/>
            </w:tcBorders>
          </w:tcPr>
          <w:p w14:paraId="2A442B8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-1.888***</w:t>
            </w:r>
          </w:p>
        </w:tc>
        <w:tc>
          <w:tcPr>
            <w:tcW w:w="410" w:type="pct"/>
            <w:tcBorders>
              <w:top w:val="nil"/>
              <w:left w:val="nil"/>
              <w:bottom w:val="nil"/>
              <w:right w:val="nil"/>
            </w:tcBorders>
          </w:tcPr>
          <w:p w14:paraId="1447C45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-1.734***</w:t>
            </w:r>
          </w:p>
        </w:tc>
        <w:tc>
          <w:tcPr>
            <w:tcW w:w="409" w:type="pct"/>
            <w:tcBorders>
              <w:top w:val="nil"/>
              <w:left w:val="nil"/>
              <w:bottom w:val="nil"/>
              <w:right w:val="nil"/>
            </w:tcBorders>
          </w:tcPr>
          <w:p w14:paraId="2043608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-1.673***</w:t>
            </w:r>
          </w:p>
        </w:tc>
        <w:tc>
          <w:tcPr>
            <w:tcW w:w="410" w:type="pct"/>
            <w:tcBorders>
              <w:top w:val="nil"/>
              <w:left w:val="nil"/>
              <w:bottom w:val="nil"/>
              <w:right w:val="nil"/>
            </w:tcBorders>
          </w:tcPr>
          <w:p w14:paraId="53DB9DC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-1.502***</w:t>
            </w:r>
          </w:p>
        </w:tc>
        <w:tc>
          <w:tcPr>
            <w:tcW w:w="409" w:type="pct"/>
            <w:tcBorders>
              <w:top w:val="nil"/>
              <w:left w:val="nil"/>
              <w:bottom w:val="nil"/>
              <w:right w:val="nil"/>
            </w:tcBorders>
          </w:tcPr>
          <w:p w14:paraId="2B40704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-1.784***</w:t>
            </w:r>
          </w:p>
        </w:tc>
        <w:tc>
          <w:tcPr>
            <w:tcW w:w="408" w:type="pct"/>
            <w:tcBorders>
              <w:top w:val="nil"/>
              <w:left w:val="nil"/>
              <w:bottom w:val="nil"/>
              <w:right w:val="nil"/>
            </w:tcBorders>
          </w:tcPr>
          <w:p w14:paraId="622001D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-1.585***</w:t>
            </w:r>
          </w:p>
        </w:tc>
      </w:tr>
      <w:tr w:rsidR="00235130" w:rsidRPr="00A33460" w14:paraId="5EC8EEA1" w14:textId="77777777" w:rsidTr="00974A7D">
        <w:trPr>
          <w:trHeight w:val="57"/>
          <w:jc w:val="center"/>
        </w:trPr>
        <w:tc>
          <w:tcPr>
            <w:tcW w:w="909" w:type="pct"/>
            <w:tcBorders>
              <w:top w:val="nil"/>
              <w:left w:val="nil"/>
              <w:bottom w:val="nil"/>
              <w:right w:val="nil"/>
            </w:tcBorders>
          </w:tcPr>
          <w:p w14:paraId="48056AEC"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12E3B95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(-17.24)</w:t>
            </w:r>
          </w:p>
        </w:tc>
        <w:tc>
          <w:tcPr>
            <w:tcW w:w="409" w:type="pct"/>
            <w:tcBorders>
              <w:top w:val="nil"/>
              <w:left w:val="nil"/>
              <w:bottom w:val="nil"/>
              <w:right w:val="nil"/>
            </w:tcBorders>
          </w:tcPr>
          <w:p w14:paraId="454A79E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(-15.17)</w:t>
            </w:r>
          </w:p>
        </w:tc>
        <w:tc>
          <w:tcPr>
            <w:tcW w:w="409" w:type="pct"/>
            <w:tcBorders>
              <w:top w:val="nil"/>
              <w:left w:val="nil"/>
              <w:bottom w:val="nil"/>
              <w:right w:val="nil"/>
            </w:tcBorders>
          </w:tcPr>
          <w:p w14:paraId="553456D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(-16.47)</w:t>
            </w:r>
          </w:p>
        </w:tc>
        <w:tc>
          <w:tcPr>
            <w:tcW w:w="410" w:type="pct"/>
            <w:tcBorders>
              <w:top w:val="nil"/>
              <w:left w:val="nil"/>
              <w:bottom w:val="nil"/>
              <w:right w:val="nil"/>
            </w:tcBorders>
          </w:tcPr>
          <w:p w14:paraId="53F40C2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(-14.67)</w:t>
            </w:r>
          </w:p>
        </w:tc>
        <w:tc>
          <w:tcPr>
            <w:tcW w:w="409" w:type="pct"/>
            <w:tcBorders>
              <w:top w:val="nil"/>
              <w:left w:val="nil"/>
              <w:bottom w:val="nil"/>
              <w:right w:val="nil"/>
            </w:tcBorders>
          </w:tcPr>
          <w:p w14:paraId="54825DA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(-15.05)</w:t>
            </w:r>
          </w:p>
        </w:tc>
        <w:tc>
          <w:tcPr>
            <w:tcW w:w="410" w:type="pct"/>
            <w:tcBorders>
              <w:top w:val="nil"/>
              <w:left w:val="nil"/>
              <w:bottom w:val="nil"/>
              <w:right w:val="nil"/>
            </w:tcBorders>
          </w:tcPr>
          <w:p w14:paraId="284EA4D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(-13.96)</w:t>
            </w:r>
          </w:p>
        </w:tc>
        <w:tc>
          <w:tcPr>
            <w:tcW w:w="409" w:type="pct"/>
            <w:tcBorders>
              <w:top w:val="nil"/>
              <w:left w:val="nil"/>
              <w:bottom w:val="nil"/>
              <w:right w:val="nil"/>
            </w:tcBorders>
          </w:tcPr>
          <w:p w14:paraId="6C1653D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(-15.52)</w:t>
            </w:r>
          </w:p>
        </w:tc>
        <w:tc>
          <w:tcPr>
            <w:tcW w:w="410" w:type="pct"/>
            <w:tcBorders>
              <w:top w:val="nil"/>
              <w:left w:val="nil"/>
              <w:bottom w:val="nil"/>
              <w:right w:val="nil"/>
            </w:tcBorders>
          </w:tcPr>
          <w:p w14:paraId="2F9A945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(-13.95)</w:t>
            </w:r>
          </w:p>
        </w:tc>
        <w:tc>
          <w:tcPr>
            <w:tcW w:w="409" w:type="pct"/>
            <w:tcBorders>
              <w:top w:val="nil"/>
              <w:left w:val="nil"/>
              <w:bottom w:val="nil"/>
              <w:right w:val="nil"/>
            </w:tcBorders>
          </w:tcPr>
          <w:p w14:paraId="583929D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(-17.32)</w:t>
            </w:r>
          </w:p>
        </w:tc>
        <w:tc>
          <w:tcPr>
            <w:tcW w:w="408" w:type="pct"/>
            <w:tcBorders>
              <w:top w:val="nil"/>
              <w:left w:val="nil"/>
              <w:bottom w:val="nil"/>
              <w:right w:val="nil"/>
            </w:tcBorders>
          </w:tcPr>
          <w:p w14:paraId="2407EAD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(-15.26)</w:t>
            </w:r>
          </w:p>
        </w:tc>
      </w:tr>
      <w:tr w:rsidR="00235130" w:rsidRPr="00A33460" w14:paraId="11223D05" w14:textId="77777777" w:rsidTr="00974A7D">
        <w:trPr>
          <w:trHeight w:val="57"/>
          <w:jc w:val="center"/>
        </w:trPr>
        <w:tc>
          <w:tcPr>
            <w:tcW w:w="909" w:type="pct"/>
            <w:tcBorders>
              <w:top w:val="nil"/>
              <w:left w:val="nil"/>
              <w:bottom w:val="nil"/>
              <w:right w:val="nil"/>
            </w:tcBorders>
          </w:tcPr>
          <w:p w14:paraId="5D777CFD"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MB</w:t>
            </w:r>
          </w:p>
        </w:tc>
        <w:tc>
          <w:tcPr>
            <w:tcW w:w="408" w:type="pct"/>
            <w:tcBorders>
              <w:top w:val="nil"/>
              <w:left w:val="nil"/>
              <w:bottom w:val="nil"/>
              <w:right w:val="nil"/>
            </w:tcBorders>
          </w:tcPr>
          <w:p w14:paraId="4C02E25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-0.014***</w:t>
            </w:r>
          </w:p>
        </w:tc>
        <w:tc>
          <w:tcPr>
            <w:tcW w:w="409" w:type="pct"/>
            <w:tcBorders>
              <w:top w:val="nil"/>
              <w:left w:val="nil"/>
              <w:bottom w:val="nil"/>
              <w:right w:val="nil"/>
            </w:tcBorders>
          </w:tcPr>
          <w:p w14:paraId="25B1AA5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-0.011***</w:t>
            </w:r>
          </w:p>
        </w:tc>
        <w:tc>
          <w:tcPr>
            <w:tcW w:w="409" w:type="pct"/>
            <w:tcBorders>
              <w:top w:val="nil"/>
              <w:left w:val="nil"/>
              <w:bottom w:val="nil"/>
              <w:right w:val="nil"/>
            </w:tcBorders>
          </w:tcPr>
          <w:p w14:paraId="2BE0FF8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-0.013***</w:t>
            </w:r>
          </w:p>
        </w:tc>
        <w:tc>
          <w:tcPr>
            <w:tcW w:w="410" w:type="pct"/>
            <w:tcBorders>
              <w:top w:val="nil"/>
              <w:left w:val="nil"/>
              <w:bottom w:val="nil"/>
              <w:right w:val="nil"/>
            </w:tcBorders>
          </w:tcPr>
          <w:p w14:paraId="71B6FCA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-0.010***</w:t>
            </w:r>
          </w:p>
        </w:tc>
        <w:tc>
          <w:tcPr>
            <w:tcW w:w="409" w:type="pct"/>
            <w:tcBorders>
              <w:top w:val="nil"/>
              <w:left w:val="nil"/>
              <w:bottom w:val="nil"/>
              <w:right w:val="nil"/>
            </w:tcBorders>
          </w:tcPr>
          <w:p w14:paraId="1406CDF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-0.014***</w:t>
            </w:r>
          </w:p>
        </w:tc>
        <w:tc>
          <w:tcPr>
            <w:tcW w:w="410" w:type="pct"/>
            <w:tcBorders>
              <w:top w:val="nil"/>
              <w:left w:val="nil"/>
              <w:bottom w:val="nil"/>
              <w:right w:val="nil"/>
            </w:tcBorders>
          </w:tcPr>
          <w:p w14:paraId="64181AA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-0.011***</w:t>
            </w:r>
          </w:p>
        </w:tc>
        <w:tc>
          <w:tcPr>
            <w:tcW w:w="409" w:type="pct"/>
            <w:tcBorders>
              <w:top w:val="nil"/>
              <w:left w:val="nil"/>
              <w:bottom w:val="nil"/>
              <w:right w:val="nil"/>
            </w:tcBorders>
          </w:tcPr>
          <w:p w14:paraId="0BC2582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-0.013***</w:t>
            </w:r>
          </w:p>
        </w:tc>
        <w:tc>
          <w:tcPr>
            <w:tcW w:w="410" w:type="pct"/>
            <w:tcBorders>
              <w:top w:val="nil"/>
              <w:left w:val="nil"/>
              <w:bottom w:val="nil"/>
              <w:right w:val="nil"/>
            </w:tcBorders>
          </w:tcPr>
          <w:p w14:paraId="39BD66F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-0.010***</w:t>
            </w:r>
          </w:p>
        </w:tc>
        <w:tc>
          <w:tcPr>
            <w:tcW w:w="409" w:type="pct"/>
            <w:tcBorders>
              <w:top w:val="nil"/>
              <w:left w:val="nil"/>
              <w:bottom w:val="nil"/>
              <w:right w:val="nil"/>
            </w:tcBorders>
          </w:tcPr>
          <w:p w14:paraId="32245A3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-0.014***</w:t>
            </w:r>
          </w:p>
        </w:tc>
        <w:tc>
          <w:tcPr>
            <w:tcW w:w="408" w:type="pct"/>
            <w:tcBorders>
              <w:top w:val="nil"/>
              <w:left w:val="nil"/>
              <w:bottom w:val="nil"/>
              <w:right w:val="nil"/>
            </w:tcBorders>
          </w:tcPr>
          <w:p w14:paraId="37A6B2B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-0.011***</w:t>
            </w:r>
          </w:p>
        </w:tc>
      </w:tr>
      <w:tr w:rsidR="00235130" w:rsidRPr="00A33460" w14:paraId="5D95C6B2" w14:textId="77777777" w:rsidTr="00974A7D">
        <w:trPr>
          <w:trHeight w:val="57"/>
          <w:jc w:val="center"/>
        </w:trPr>
        <w:tc>
          <w:tcPr>
            <w:tcW w:w="909" w:type="pct"/>
            <w:tcBorders>
              <w:top w:val="nil"/>
              <w:left w:val="nil"/>
              <w:bottom w:val="nil"/>
              <w:right w:val="nil"/>
            </w:tcBorders>
          </w:tcPr>
          <w:p w14:paraId="698BA0EF"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2CA9F2E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(-3.39)</w:t>
            </w:r>
          </w:p>
        </w:tc>
        <w:tc>
          <w:tcPr>
            <w:tcW w:w="409" w:type="pct"/>
            <w:tcBorders>
              <w:top w:val="nil"/>
              <w:left w:val="nil"/>
              <w:bottom w:val="nil"/>
              <w:right w:val="nil"/>
            </w:tcBorders>
          </w:tcPr>
          <w:p w14:paraId="0ED847F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(-3.10)</w:t>
            </w:r>
          </w:p>
        </w:tc>
        <w:tc>
          <w:tcPr>
            <w:tcW w:w="409" w:type="pct"/>
            <w:tcBorders>
              <w:top w:val="nil"/>
              <w:left w:val="nil"/>
              <w:bottom w:val="nil"/>
              <w:right w:val="nil"/>
            </w:tcBorders>
          </w:tcPr>
          <w:p w14:paraId="1A4E4DA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(-3.23)</w:t>
            </w:r>
          </w:p>
        </w:tc>
        <w:tc>
          <w:tcPr>
            <w:tcW w:w="410" w:type="pct"/>
            <w:tcBorders>
              <w:top w:val="nil"/>
              <w:left w:val="nil"/>
              <w:bottom w:val="nil"/>
              <w:right w:val="nil"/>
            </w:tcBorders>
          </w:tcPr>
          <w:p w14:paraId="49053DC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(-2.94)</w:t>
            </w:r>
          </w:p>
        </w:tc>
        <w:tc>
          <w:tcPr>
            <w:tcW w:w="409" w:type="pct"/>
            <w:tcBorders>
              <w:top w:val="nil"/>
              <w:left w:val="nil"/>
              <w:bottom w:val="nil"/>
              <w:right w:val="nil"/>
            </w:tcBorders>
          </w:tcPr>
          <w:p w14:paraId="6920EEA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(-3.40)</w:t>
            </w:r>
          </w:p>
        </w:tc>
        <w:tc>
          <w:tcPr>
            <w:tcW w:w="410" w:type="pct"/>
            <w:tcBorders>
              <w:top w:val="nil"/>
              <w:left w:val="nil"/>
              <w:bottom w:val="nil"/>
              <w:right w:val="nil"/>
            </w:tcBorders>
          </w:tcPr>
          <w:p w14:paraId="2F6FC52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(-3.16)</w:t>
            </w:r>
          </w:p>
        </w:tc>
        <w:tc>
          <w:tcPr>
            <w:tcW w:w="409" w:type="pct"/>
            <w:tcBorders>
              <w:top w:val="nil"/>
              <w:left w:val="nil"/>
              <w:bottom w:val="nil"/>
              <w:right w:val="nil"/>
            </w:tcBorders>
          </w:tcPr>
          <w:p w14:paraId="6DEB05C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(-3.24)</w:t>
            </w:r>
          </w:p>
        </w:tc>
        <w:tc>
          <w:tcPr>
            <w:tcW w:w="410" w:type="pct"/>
            <w:tcBorders>
              <w:top w:val="nil"/>
              <w:left w:val="nil"/>
              <w:bottom w:val="nil"/>
              <w:right w:val="nil"/>
            </w:tcBorders>
          </w:tcPr>
          <w:p w14:paraId="6C49FF0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(-2.96)</w:t>
            </w:r>
          </w:p>
        </w:tc>
        <w:tc>
          <w:tcPr>
            <w:tcW w:w="409" w:type="pct"/>
            <w:tcBorders>
              <w:top w:val="nil"/>
              <w:left w:val="nil"/>
              <w:bottom w:val="nil"/>
              <w:right w:val="nil"/>
            </w:tcBorders>
          </w:tcPr>
          <w:p w14:paraId="6DCAB2D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(-3.40)</w:t>
            </w:r>
          </w:p>
        </w:tc>
        <w:tc>
          <w:tcPr>
            <w:tcW w:w="408" w:type="pct"/>
            <w:tcBorders>
              <w:top w:val="nil"/>
              <w:left w:val="nil"/>
              <w:bottom w:val="nil"/>
              <w:right w:val="nil"/>
            </w:tcBorders>
          </w:tcPr>
          <w:p w14:paraId="143C04E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(-3.10)</w:t>
            </w:r>
          </w:p>
        </w:tc>
      </w:tr>
      <w:tr w:rsidR="00235130" w:rsidRPr="00A33460" w14:paraId="2C9D69E1" w14:textId="77777777" w:rsidTr="00974A7D">
        <w:trPr>
          <w:trHeight w:val="57"/>
          <w:jc w:val="center"/>
        </w:trPr>
        <w:tc>
          <w:tcPr>
            <w:tcW w:w="909" w:type="pct"/>
            <w:tcBorders>
              <w:top w:val="nil"/>
              <w:left w:val="nil"/>
              <w:bottom w:val="nil"/>
              <w:right w:val="nil"/>
            </w:tcBorders>
          </w:tcPr>
          <w:p w14:paraId="55F48942"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Capex</w:t>
            </w:r>
          </w:p>
        </w:tc>
        <w:tc>
          <w:tcPr>
            <w:tcW w:w="408" w:type="pct"/>
            <w:tcBorders>
              <w:top w:val="nil"/>
              <w:left w:val="nil"/>
              <w:bottom w:val="nil"/>
              <w:right w:val="nil"/>
            </w:tcBorders>
          </w:tcPr>
          <w:p w14:paraId="214286B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0.169</w:t>
            </w:r>
          </w:p>
        </w:tc>
        <w:tc>
          <w:tcPr>
            <w:tcW w:w="409" w:type="pct"/>
            <w:tcBorders>
              <w:top w:val="nil"/>
              <w:left w:val="nil"/>
              <w:bottom w:val="nil"/>
              <w:right w:val="nil"/>
            </w:tcBorders>
          </w:tcPr>
          <w:p w14:paraId="1036D6E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0.226**</w:t>
            </w:r>
          </w:p>
        </w:tc>
        <w:tc>
          <w:tcPr>
            <w:tcW w:w="409" w:type="pct"/>
            <w:tcBorders>
              <w:top w:val="nil"/>
              <w:left w:val="nil"/>
              <w:bottom w:val="nil"/>
              <w:right w:val="nil"/>
            </w:tcBorders>
          </w:tcPr>
          <w:p w14:paraId="22DE124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0.147</w:t>
            </w:r>
          </w:p>
        </w:tc>
        <w:tc>
          <w:tcPr>
            <w:tcW w:w="410" w:type="pct"/>
            <w:tcBorders>
              <w:top w:val="nil"/>
              <w:left w:val="nil"/>
              <w:bottom w:val="nil"/>
              <w:right w:val="nil"/>
            </w:tcBorders>
          </w:tcPr>
          <w:p w14:paraId="3C705C3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0.208**</w:t>
            </w:r>
          </w:p>
        </w:tc>
        <w:tc>
          <w:tcPr>
            <w:tcW w:w="409" w:type="pct"/>
            <w:tcBorders>
              <w:top w:val="nil"/>
              <w:left w:val="nil"/>
              <w:bottom w:val="nil"/>
              <w:right w:val="nil"/>
            </w:tcBorders>
          </w:tcPr>
          <w:p w14:paraId="3D8EF18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0.183*</w:t>
            </w:r>
          </w:p>
        </w:tc>
        <w:tc>
          <w:tcPr>
            <w:tcW w:w="410" w:type="pct"/>
            <w:tcBorders>
              <w:top w:val="nil"/>
              <w:left w:val="nil"/>
              <w:bottom w:val="nil"/>
              <w:right w:val="nil"/>
            </w:tcBorders>
          </w:tcPr>
          <w:p w14:paraId="2FD423A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0.241**</w:t>
            </w:r>
          </w:p>
        </w:tc>
        <w:tc>
          <w:tcPr>
            <w:tcW w:w="409" w:type="pct"/>
            <w:tcBorders>
              <w:top w:val="nil"/>
              <w:left w:val="nil"/>
              <w:bottom w:val="nil"/>
              <w:right w:val="nil"/>
            </w:tcBorders>
          </w:tcPr>
          <w:p w14:paraId="7867A6A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0.142</w:t>
            </w:r>
          </w:p>
        </w:tc>
        <w:tc>
          <w:tcPr>
            <w:tcW w:w="410" w:type="pct"/>
            <w:tcBorders>
              <w:top w:val="nil"/>
              <w:left w:val="nil"/>
              <w:bottom w:val="nil"/>
              <w:right w:val="nil"/>
            </w:tcBorders>
          </w:tcPr>
          <w:p w14:paraId="3B72878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0.204**</w:t>
            </w:r>
          </w:p>
        </w:tc>
        <w:tc>
          <w:tcPr>
            <w:tcW w:w="409" w:type="pct"/>
            <w:tcBorders>
              <w:top w:val="nil"/>
              <w:left w:val="nil"/>
              <w:bottom w:val="nil"/>
              <w:right w:val="nil"/>
            </w:tcBorders>
          </w:tcPr>
          <w:p w14:paraId="33C70F5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0.206*</w:t>
            </w:r>
          </w:p>
        </w:tc>
        <w:tc>
          <w:tcPr>
            <w:tcW w:w="408" w:type="pct"/>
            <w:tcBorders>
              <w:top w:val="nil"/>
              <w:left w:val="nil"/>
              <w:bottom w:val="nil"/>
              <w:right w:val="nil"/>
            </w:tcBorders>
          </w:tcPr>
          <w:p w14:paraId="76A4D57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0.255**</w:t>
            </w:r>
          </w:p>
        </w:tc>
      </w:tr>
      <w:tr w:rsidR="00235130" w:rsidRPr="00A33460" w14:paraId="177D5688" w14:textId="77777777" w:rsidTr="00974A7D">
        <w:trPr>
          <w:trHeight w:val="57"/>
          <w:jc w:val="center"/>
        </w:trPr>
        <w:tc>
          <w:tcPr>
            <w:tcW w:w="909" w:type="pct"/>
            <w:tcBorders>
              <w:top w:val="nil"/>
              <w:left w:val="nil"/>
              <w:bottom w:val="nil"/>
              <w:right w:val="nil"/>
            </w:tcBorders>
          </w:tcPr>
          <w:p w14:paraId="2DF3B322"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792BE36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(1.61)</w:t>
            </w:r>
          </w:p>
        </w:tc>
        <w:tc>
          <w:tcPr>
            <w:tcW w:w="409" w:type="pct"/>
            <w:tcBorders>
              <w:top w:val="nil"/>
              <w:left w:val="nil"/>
              <w:bottom w:val="nil"/>
              <w:right w:val="nil"/>
            </w:tcBorders>
          </w:tcPr>
          <w:p w14:paraId="23BF241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(2.26)</w:t>
            </w:r>
          </w:p>
        </w:tc>
        <w:tc>
          <w:tcPr>
            <w:tcW w:w="409" w:type="pct"/>
            <w:tcBorders>
              <w:top w:val="nil"/>
              <w:left w:val="nil"/>
              <w:bottom w:val="nil"/>
              <w:right w:val="nil"/>
            </w:tcBorders>
          </w:tcPr>
          <w:p w14:paraId="76D9033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(1.42)</w:t>
            </w:r>
          </w:p>
        </w:tc>
        <w:tc>
          <w:tcPr>
            <w:tcW w:w="410" w:type="pct"/>
            <w:tcBorders>
              <w:top w:val="nil"/>
              <w:left w:val="nil"/>
              <w:bottom w:val="nil"/>
              <w:right w:val="nil"/>
            </w:tcBorders>
          </w:tcPr>
          <w:p w14:paraId="7E5E166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(2.10)</w:t>
            </w:r>
          </w:p>
        </w:tc>
        <w:tc>
          <w:tcPr>
            <w:tcW w:w="409" w:type="pct"/>
            <w:tcBorders>
              <w:top w:val="nil"/>
              <w:left w:val="nil"/>
              <w:bottom w:val="nil"/>
              <w:right w:val="nil"/>
            </w:tcBorders>
          </w:tcPr>
          <w:p w14:paraId="7A8F105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(1.72)</w:t>
            </w:r>
          </w:p>
        </w:tc>
        <w:tc>
          <w:tcPr>
            <w:tcW w:w="410" w:type="pct"/>
            <w:tcBorders>
              <w:top w:val="nil"/>
              <w:left w:val="nil"/>
              <w:bottom w:val="nil"/>
              <w:right w:val="nil"/>
            </w:tcBorders>
          </w:tcPr>
          <w:p w14:paraId="5D73A59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(2.37)</w:t>
            </w:r>
          </w:p>
        </w:tc>
        <w:tc>
          <w:tcPr>
            <w:tcW w:w="409" w:type="pct"/>
            <w:tcBorders>
              <w:top w:val="nil"/>
              <w:left w:val="nil"/>
              <w:bottom w:val="nil"/>
              <w:right w:val="nil"/>
            </w:tcBorders>
          </w:tcPr>
          <w:p w14:paraId="38A54C2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(1.36)</w:t>
            </w:r>
          </w:p>
        </w:tc>
        <w:tc>
          <w:tcPr>
            <w:tcW w:w="410" w:type="pct"/>
            <w:tcBorders>
              <w:top w:val="nil"/>
              <w:left w:val="nil"/>
              <w:bottom w:val="nil"/>
              <w:right w:val="nil"/>
            </w:tcBorders>
          </w:tcPr>
          <w:p w14:paraId="386859E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(2.04)</w:t>
            </w:r>
          </w:p>
        </w:tc>
        <w:tc>
          <w:tcPr>
            <w:tcW w:w="409" w:type="pct"/>
            <w:tcBorders>
              <w:top w:val="nil"/>
              <w:left w:val="nil"/>
              <w:bottom w:val="nil"/>
              <w:right w:val="nil"/>
            </w:tcBorders>
          </w:tcPr>
          <w:p w14:paraId="164CC61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(1.95)</w:t>
            </w:r>
          </w:p>
        </w:tc>
        <w:tc>
          <w:tcPr>
            <w:tcW w:w="408" w:type="pct"/>
            <w:tcBorders>
              <w:top w:val="nil"/>
              <w:left w:val="nil"/>
              <w:bottom w:val="nil"/>
              <w:right w:val="nil"/>
            </w:tcBorders>
          </w:tcPr>
          <w:p w14:paraId="1A57059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(2.53)</w:t>
            </w:r>
          </w:p>
        </w:tc>
      </w:tr>
      <w:tr w:rsidR="00235130" w:rsidRPr="00A33460" w14:paraId="39CBB972" w14:textId="77777777" w:rsidTr="00974A7D">
        <w:trPr>
          <w:trHeight w:val="57"/>
          <w:jc w:val="center"/>
        </w:trPr>
        <w:tc>
          <w:tcPr>
            <w:tcW w:w="909" w:type="pct"/>
            <w:tcBorders>
              <w:top w:val="nil"/>
              <w:left w:val="nil"/>
              <w:bottom w:val="nil"/>
              <w:right w:val="nil"/>
            </w:tcBorders>
          </w:tcPr>
          <w:p w14:paraId="3E6D647E"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RD</w:t>
            </w:r>
          </w:p>
        </w:tc>
        <w:tc>
          <w:tcPr>
            <w:tcW w:w="408" w:type="pct"/>
            <w:tcBorders>
              <w:top w:val="nil"/>
              <w:left w:val="nil"/>
              <w:bottom w:val="nil"/>
              <w:right w:val="nil"/>
            </w:tcBorders>
          </w:tcPr>
          <w:p w14:paraId="05B4FB6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-2.503***</w:t>
            </w:r>
          </w:p>
        </w:tc>
        <w:tc>
          <w:tcPr>
            <w:tcW w:w="409" w:type="pct"/>
            <w:tcBorders>
              <w:top w:val="nil"/>
              <w:left w:val="nil"/>
              <w:bottom w:val="nil"/>
              <w:right w:val="nil"/>
            </w:tcBorders>
          </w:tcPr>
          <w:p w14:paraId="0B1CAEA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-2.429***</w:t>
            </w:r>
          </w:p>
        </w:tc>
        <w:tc>
          <w:tcPr>
            <w:tcW w:w="409" w:type="pct"/>
            <w:tcBorders>
              <w:top w:val="nil"/>
              <w:left w:val="nil"/>
              <w:bottom w:val="nil"/>
              <w:right w:val="nil"/>
            </w:tcBorders>
          </w:tcPr>
          <w:p w14:paraId="666409A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-2.271**</w:t>
            </w:r>
          </w:p>
        </w:tc>
        <w:tc>
          <w:tcPr>
            <w:tcW w:w="410" w:type="pct"/>
            <w:tcBorders>
              <w:top w:val="nil"/>
              <w:left w:val="nil"/>
              <w:bottom w:val="nil"/>
              <w:right w:val="nil"/>
            </w:tcBorders>
          </w:tcPr>
          <w:p w14:paraId="26D39AE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-2.274***</w:t>
            </w:r>
          </w:p>
        </w:tc>
        <w:tc>
          <w:tcPr>
            <w:tcW w:w="409" w:type="pct"/>
            <w:tcBorders>
              <w:top w:val="nil"/>
              <w:left w:val="nil"/>
              <w:bottom w:val="nil"/>
              <w:right w:val="nil"/>
            </w:tcBorders>
          </w:tcPr>
          <w:p w14:paraId="1EEB133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-2.545***</w:t>
            </w:r>
          </w:p>
        </w:tc>
        <w:tc>
          <w:tcPr>
            <w:tcW w:w="410" w:type="pct"/>
            <w:tcBorders>
              <w:top w:val="nil"/>
              <w:left w:val="nil"/>
              <w:bottom w:val="nil"/>
              <w:right w:val="nil"/>
            </w:tcBorders>
          </w:tcPr>
          <w:p w14:paraId="3B4E249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-2.527***</w:t>
            </w:r>
          </w:p>
        </w:tc>
        <w:tc>
          <w:tcPr>
            <w:tcW w:w="409" w:type="pct"/>
            <w:tcBorders>
              <w:top w:val="nil"/>
              <w:left w:val="nil"/>
              <w:bottom w:val="nil"/>
              <w:right w:val="nil"/>
            </w:tcBorders>
          </w:tcPr>
          <w:p w14:paraId="3FDF74E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-2.390**</w:t>
            </w:r>
          </w:p>
        </w:tc>
        <w:tc>
          <w:tcPr>
            <w:tcW w:w="410" w:type="pct"/>
            <w:tcBorders>
              <w:top w:val="nil"/>
              <w:left w:val="nil"/>
              <w:bottom w:val="nil"/>
              <w:right w:val="nil"/>
            </w:tcBorders>
          </w:tcPr>
          <w:p w14:paraId="7A93870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-2.364***</w:t>
            </w:r>
          </w:p>
        </w:tc>
        <w:tc>
          <w:tcPr>
            <w:tcW w:w="409" w:type="pct"/>
            <w:tcBorders>
              <w:top w:val="nil"/>
              <w:left w:val="nil"/>
              <w:bottom w:val="nil"/>
              <w:right w:val="nil"/>
            </w:tcBorders>
          </w:tcPr>
          <w:p w14:paraId="08B0B0C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-2.431**</w:t>
            </w:r>
          </w:p>
        </w:tc>
        <w:tc>
          <w:tcPr>
            <w:tcW w:w="408" w:type="pct"/>
            <w:tcBorders>
              <w:top w:val="nil"/>
              <w:left w:val="nil"/>
              <w:bottom w:val="nil"/>
              <w:right w:val="nil"/>
            </w:tcBorders>
          </w:tcPr>
          <w:p w14:paraId="7D79840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-2.392***</w:t>
            </w:r>
          </w:p>
        </w:tc>
      </w:tr>
      <w:tr w:rsidR="00235130" w:rsidRPr="00A33460" w14:paraId="0001BF2D" w14:textId="77777777" w:rsidTr="00974A7D">
        <w:trPr>
          <w:trHeight w:val="57"/>
          <w:jc w:val="center"/>
        </w:trPr>
        <w:tc>
          <w:tcPr>
            <w:tcW w:w="909" w:type="pct"/>
            <w:tcBorders>
              <w:top w:val="nil"/>
              <w:left w:val="nil"/>
              <w:bottom w:val="nil"/>
              <w:right w:val="nil"/>
            </w:tcBorders>
          </w:tcPr>
          <w:p w14:paraId="57961245"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3347C25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(-2.61)</w:t>
            </w:r>
          </w:p>
        </w:tc>
        <w:tc>
          <w:tcPr>
            <w:tcW w:w="409" w:type="pct"/>
            <w:tcBorders>
              <w:top w:val="nil"/>
              <w:left w:val="nil"/>
              <w:bottom w:val="nil"/>
              <w:right w:val="nil"/>
            </w:tcBorders>
          </w:tcPr>
          <w:p w14:paraId="62F6BB2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(-2.97)</w:t>
            </w:r>
          </w:p>
        </w:tc>
        <w:tc>
          <w:tcPr>
            <w:tcW w:w="409" w:type="pct"/>
            <w:tcBorders>
              <w:top w:val="nil"/>
              <w:left w:val="nil"/>
              <w:bottom w:val="nil"/>
              <w:right w:val="nil"/>
            </w:tcBorders>
          </w:tcPr>
          <w:p w14:paraId="2E76883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(-2.40)</w:t>
            </w:r>
          </w:p>
        </w:tc>
        <w:tc>
          <w:tcPr>
            <w:tcW w:w="410" w:type="pct"/>
            <w:tcBorders>
              <w:top w:val="nil"/>
              <w:left w:val="nil"/>
              <w:bottom w:val="nil"/>
              <w:right w:val="nil"/>
            </w:tcBorders>
          </w:tcPr>
          <w:p w14:paraId="1454263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(-2.81)</w:t>
            </w:r>
          </w:p>
        </w:tc>
        <w:tc>
          <w:tcPr>
            <w:tcW w:w="409" w:type="pct"/>
            <w:tcBorders>
              <w:top w:val="nil"/>
              <w:left w:val="nil"/>
              <w:bottom w:val="nil"/>
              <w:right w:val="nil"/>
            </w:tcBorders>
          </w:tcPr>
          <w:p w14:paraId="7B4A87A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(-2.64)</w:t>
            </w:r>
          </w:p>
        </w:tc>
        <w:tc>
          <w:tcPr>
            <w:tcW w:w="410" w:type="pct"/>
            <w:tcBorders>
              <w:top w:val="nil"/>
              <w:left w:val="nil"/>
              <w:bottom w:val="nil"/>
              <w:right w:val="nil"/>
            </w:tcBorders>
          </w:tcPr>
          <w:p w14:paraId="75423D8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(-3.06)</w:t>
            </w:r>
          </w:p>
        </w:tc>
        <w:tc>
          <w:tcPr>
            <w:tcW w:w="409" w:type="pct"/>
            <w:tcBorders>
              <w:top w:val="nil"/>
              <w:left w:val="nil"/>
              <w:bottom w:val="nil"/>
              <w:right w:val="nil"/>
            </w:tcBorders>
          </w:tcPr>
          <w:p w14:paraId="093F184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(-2.50)</w:t>
            </w:r>
          </w:p>
        </w:tc>
        <w:tc>
          <w:tcPr>
            <w:tcW w:w="410" w:type="pct"/>
            <w:tcBorders>
              <w:top w:val="nil"/>
              <w:left w:val="nil"/>
              <w:bottom w:val="nil"/>
              <w:right w:val="nil"/>
            </w:tcBorders>
          </w:tcPr>
          <w:p w14:paraId="5492D9C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(-2.89)</w:t>
            </w:r>
          </w:p>
        </w:tc>
        <w:tc>
          <w:tcPr>
            <w:tcW w:w="409" w:type="pct"/>
            <w:tcBorders>
              <w:top w:val="nil"/>
              <w:left w:val="nil"/>
              <w:bottom w:val="nil"/>
              <w:right w:val="nil"/>
            </w:tcBorders>
          </w:tcPr>
          <w:p w14:paraId="20B9381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(-2.56)</w:t>
            </w:r>
          </w:p>
        </w:tc>
        <w:tc>
          <w:tcPr>
            <w:tcW w:w="408" w:type="pct"/>
            <w:tcBorders>
              <w:top w:val="nil"/>
              <w:left w:val="nil"/>
              <w:bottom w:val="nil"/>
              <w:right w:val="nil"/>
            </w:tcBorders>
          </w:tcPr>
          <w:p w14:paraId="7CA9251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(-2.94)</w:t>
            </w:r>
          </w:p>
        </w:tc>
      </w:tr>
      <w:tr w:rsidR="00235130" w:rsidRPr="00A33460" w14:paraId="0F02C615" w14:textId="77777777" w:rsidTr="00974A7D">
        <w:trPr>
          <w:trHeight w:val="57"/>
          <w:jc w:val="center"/>
        </w:trPr>
        <w:tc>
          <w:tcPr>
            <w:tcW w:w="909" w:type="pct"/>
            <w:tcBorders>
              <w:top w:val="nil"/>
              <w:left w:val="nil"/>
              <w:bottom w:val="nil"/>
              <w:right w:val="nil"/>
            </w:tcBorders>
          </w:tcPr>
          <w:p w14:paraId="5E0FDBB7"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TB yield</w:t>
            </w:r>
          </w:p>
        </w:tc>
        <w:tc>
          <w:tcPr>
            <w:tcW w:w="408" w:type="pct"/>
            <w:tcBorders>
              <w:top w:val="nil"/>
              <w:left w:val="nil"/>
              <w:bottom w:val="nil"/>
              <w:right w:val="nil"/>
            </w:tcBorders>
          </w:tcPr>
          <w:p w14:paraId="216CE86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-0.033</w:t>
            </w:r>
          </w:p>
        </w:tc>
        <w:tc>
          <w:tcPr>
            <w:tcW w:w="409" w:type="pct"/>
            <w:tcBorders>
              <w:top w:val="nil"/>
              <w:left w:val="nil"/>
              <w:bottom w:val="nil"/>
              <w:right w:val="nil"/>
            </w:tcBorders>
          </w:tcPr>
          <w:p w14:paraId="6A1D895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0.640</w:t>
            </w:r>
          </w:p>
        </w:tc>
        <w:tc>
          <w:tcPr>
            <w:tcW w:w="409" w:type="pct"/>
            <w:tcBorders>
              <w:top w:val="nil"/>
              <w:left w:val="nil"/>
              <w:bottom w:val="nil"/>
              <w:right w:val="nil"/>
            </w:tcBorders>
          </w:tcPr>
          <w:p w14:paraId="0A2AD67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0.104</w:t>
            </w:r>
          </w:p>
        </w:tc>
        <w:tc>
          <w:tcPr>
            <w:tcW w:w="410" w:type="pct"/>
            <w:tcBorders>
              <w:top w:val="nil"/>
              <w:left w:val="nil"/>
              <w:bottom w:val="nil"/>
              <w:right w:val="nil"/>
            </w:tcBorders>
          </w:tcPr>
          <w:p w14:paraId="2871DFA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0.697</w:t>
            </w:r>
          </w:p>
        </w:tc>
        <w:tc>
          <w:tcPr>
            <w:tcW w:w="409" w:type="pct"/>
            <w:tcBorders>
              <w:top w:val="nil"/>
              <w:left w:val="nil"/>
              <w:bottom w:val="nil"/>
              <w:right w:val="nil"/>
            </w:tcBorders>
          </w:tcPr>
          <w:p w14:paraId="339EF14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0.111</w:t>
            </w:r>
          </w:p>
        </w:tc>
        <w:tc>
          <w:tcPr>
            <w:tcW w:w="410" w:type="pct"/>
            <w:tcBorders>
              <w:top w:val="nil"/>
              <w:left w:val="nil"/>
              <w:bottom w:val="nil"/>
              <w:right w:val="nil"/>
            </w:tcBorders>
          </w:tcPr>
          <w:p w14:paraId="7399F25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0.752</w:t>
            </w:r>
          </w:p>
        </w:tc>
        <w:tc>
          <w:tcPr>
            <w:tcW w:w="409" w:type="pct"/>
            <w:tcBorders>
              <w:top w:val="nil"/>
              <w:left w:val="nil"/>
              <w:bottom w:val="nil"/>
              <w:right w:val="nil"/>
            </w:tcBorders>
          </w:tcPr>
          <w:p w14:paraId="73F23E5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-0.035</w:t>
            </w:r>
          </w:p>
        </w:tc>
        <w:tc>
          <w:tcPr>
            <w:tcW w:w="410" w:type="pct"/>
            <w:tcBorders>
              <w:top w:val="nil"/>
              <w:left w:val="nil"/>
              <w:bottom w:val="nil"/>
              <w:right w:val="nil"/>
            </w:tcBorders>
          </w:tcPr>
          <w:p w14:paraId="2F4E172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0.588</w:t>
            </w:r>
          </w:p>
        </w:tc>
        <w:tc>
          <w:tcPr>
            <w:tcW w:w="409" w:type="pct"/>
            <w:tcBorders>
              <w:top w:val="nil"/>
              <w:left w:val="nil"/>
              <w:bottom w:val="nil"/>
              <w:right w:val="nil"/>
            </w:tcBorders>
          </w:tcPr>
          <w:p w14:paraId="61DBDA2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1.364</w:t>
            </w:r>
          </w:p>
        </w:tc>
        <w:tc>
          <w:tcPr>
            <w:tcW w:w="408" w:type="pct"/>
            <w:tcBorders>
              <w:top w:val="nil"/>
              <w:left w:val="nil"/>
              <w:bottom w:val="nil"/>
              <w:right w:val="nil"/>
            </w:tcBorders>
          </w:tcPr>
          <w:p w14:paraId="4A4D354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1.664</w:t>
            </w:r>
          </w:p>
        </w:tc>
      </w:tr>
      <w:tr w:rsidR="00235130" w:rsidRPr="00A33460" w14:paraId="1F5BBCE6" w14:textId="77777777" w:rsidTr="00974A7D">
        <w:trPr>
          <w:trHeight w:val="57"/>
          <w:jc w:val="center"/>
        </w:trPr>
        <w:tc>
          <w:tcPr>
            <w:tcW w:w="909" w:type="pct"/>
            <w:tcBorders>
              <w:top w:val="nil"/>
              <w:left w:val="nil"/>
              <w:bottom w:val="nil"/>
              <w:right w:val="nil"/>
            </w:tcBorders>
          </w:tcPr>
          <w:p w14:paraId="7875D7CF"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5BE52BA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(-0.02)</w:t>
            </w:r>
          </w:p>
        </w:tc>
        <w:tc>
          <w:tcPr>
            <w:tcW w:w="409" w:type="pct"/>
            <w:tcBorders>
              <w:top w:val="nil"/>
              <w:left w:val="nil"/>
              <w:bottom w:val="nil"/>
              <w:right w:val="nil"/>
            </w:tcBorders>
          </w:tcPr>
          <w:p w14:paraId="01C80DC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(0.44)</w:t>
            </w:r>
          </w:p>
        </w:tc>
        <w:tc>
          <w:tcPr>
            <w:tcW w:w="409" w:type="pct"/>
            <w:tcBorders>
              <w:top w:val="nil"/>
              <w:left w:val="nil"/>
              <w:bottom w:val="nil"/>
              <w:right w:val="nil"/>
            </w:tcBorders>
          </w:tcPr>
          <w:p w14:paraId="72C4F43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(0.07)</w:t>
            </w:r>
          </w:p>
        </w:tc>
        <w:tc>
          <w:tcPr>
            <w:tcW w:w="410" w:type="pct"/>
            <w:tcBorders>
              <w:top w:val="nil"/>
              <w:left w:val="nil"/>
              <w:bottom w:val="nil"/>
              <w:right w:val="nil"/>
            </w:tcBorders>
          </w:tcPr>
          <w:p w14:paraId="08D9BDE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(0.48)</w:t>
            </w:r>
          </w:p>
        </w:tc>
        <w:tc>
          <w:tcPr>
            <w:tcW w:w="409" w:type="pct"/>
            <w:tcBorders>
              <w:top w:val="nil"/>
              <w:left w:val="nil"/>
              <w:bottom w:val="nil"/>
              <w:right w:val="nil"/>
            </w:tcBorders>
          </w:tcPr>
          <w:p w14:paraId="2457CC5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(0.07)</w:t>
            </w:r>
          </w:p>
        </w:tc>
        <w:tc>
          <w:tcPr>
            <w:tcW w:w="410" w:type="pct"/>
            <w:tcBorders>
              <w:top w:val="nil"/>
              <w:left w:val="nil"/>
              <w:bottom w:val="nil"/>
              <w:right w:val="nil"/>
            </w:tcBorders>
          </w:tcPr>
          <w:p w14:paraId="57471BF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(0.52)</w:t>
            </w:r>
          </w:p>
        </w:tc>
        <w:tc>
          <w:tcPr>
            <w:tcW w:w="409" w:type="pct"/>
            <w:tcBorders>
              <w:top w:val="nil"/>
              <w:left w:val="nil"/>
              <w:bottom w:val="nil"/>
              <w:right w:val="nil"/>
            </w:tcBorders>
          </w:tcPr>
          <w:p w14:paraId="5E09B8D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(-0.02)</w:t>
            </w:r>
          </w:p>
        </w:tc>
        <w:tc>
          <w:tcPr>
            <w:tcW w:w="410" w:type="pct"/>
            <w:tcBorders>
              <w:top w:val="nil"/>
              <w:left w:val="nil"/>
              <w:bottom w:val="nil"/>
              <w:right w:val="nil"/>
            </w:tcBorders>
          </w:tcPr>
          <w:p w14:paraId="3603DFB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(0.41)</w:t>
            </w:r>
          </w:p>
        </w:tc>
        <w:tc>
          <w:tcPr>
            <w:tcW w:w="409" w:type="pct"/>
            <w:tcBorders>
              <w:top w:val="nil"/>
              <w:left w:val="nil"/>
              <w:bottom w:val="nil"/>
              <w:right w:val="nil"/>
            </w:tcBorders>
          </w:tcPr>
          <w:p w14:paraId="4DAAA61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(0.87)</w:t>
            </w:r>
          </w:p>
        </w:tc>
        <w:tc>
          <w:tcPr>
            <w:tcW w:w="408" w:type="pct"/>
            <w:tcBorders>
              <w:top w:val="nil"/>
              <w:left w:val="nil"/>
              <w:bottom w:val="nil"/>
              <w:right w:val="nil"/>
            </w:tcBorders>
          </w:tcPr>
          <w:p w14:paraId="26B2405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(1.14)</w:t>
            </w:r>
          </w:p>
        </w:tc>
      </w:tr>
      <w:tr w:rsidR="00235130" w:rsidRPr="00A33460" w14:paraId="23A1C23D" w14:textId="77777777" w:rsidTr="00974A7D">
        <w:trPr>
          <w:trHeight w:val="57"/>
          <w:jc w:val="center"/>
        </w:trPr>
        <w:tc>
          <w:tcPr>
            <w:tcW w:w="909" w:type="pct"/>
            <w:tcBorders>
              <w:top w:val="nil"/>
              <w:left w:val="nil"/>
              <w:bottom w:val="nil"/>
              <w:right w:val="nil"/>
            </w:tcBorders>
          </w:tcPr>
          <w:p w14:paraId="1D6A953B"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Credit spread</w:t>
            </w:r>
          </w:p>
        </w:tc>
        <w:tc>
          <w:tcPr>
            <w:tcW w:w="408" w:type="pct"/>
            <w:tcBorders>
              <w:top w:val="nil"/>
              <w:left w:val="nil"/>
              <w:bottom w:val="nil"/>
              <w:right w:val="nil"/>
            </w:tcBorders>
          </w:tcPr>
          <w:p w14:paraId="1CEBAB7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1.152***</w:t>
            </w:r>
          </w:p>
        </w:tc>
        <w:tc>
          <w:tcPr>
            <w:tcW w:w="409" w:type="pct"/>
            <w:tcBorders>
              <w:top w:val="nil"/>
              <w:left w:val="nil"/>
              <w:bottom w:val="nil"/>
              <w:right w:val="nil"/>
            </w:tcBorders>
          </w:tcPr>
          <w:p w14:paraId="181D9C1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1.161***</w:t>
            </w:r>
          </w:p>
        </w:tc>
        <w:tc>
          <w:tcPr>
            <w:tcW w:w="409" w:type="pct"/>
            <w:tcBorders>
              <w:top w:val="nil"/>
              <w:left w:val="nil"/>
              <w:bottom w:val="nil"/>
              <w:right w:val="nil"/>
            </w:tcBorders>
          </w:tcPr>
          <w:p w14:paraId="42FA107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1.187***</w:t>
            </w:r>
          </w:p>
        </w:tc>
        <w:tc>
          <w:tcPr>
            <w:tcW w:w="410" w:type="pct"/>
            <w:tcBorders>
              <w:top w:val="nil"/>
              <w:left w:val="nil"/>
              <w:bottom w:val="nil"/>
              <w:right w:val="nil"/>
            </w:tcBorders>
          </w:tcPr>
          <w:p w14:paraId="0E56BDF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1.188***</w:t>
            </w:r>
          </w:p>
        </w:tc>
        <w:tc>
          <w:tcPr>
            <w:tcW w:w="409" w:type="pct"/>
            <w:tcBorders>
              <w:top w:val="nil"/>
              <w:left w:val="nil"/>
              <w:bottom w:val="nil"/>
              <w:right w:val="nil"/>
            </w:tcBorders>
          </w:tcPr>
          <w:p w14:paraId="30C15AB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1.160***</w:t>
            </w:r>
          </w:p>
        </w:tc>
        <w:tc>
          <w:tcPr>
            <w:tcW w:w="410" w:type="pct"/>
            <w:tcBorders>
              <w:top w:val="nil"/>
              <w:left w:val="nil"/>
              <w:bottom w:val="nil"/>
              <w:right w:val="nil"/>
            </w:tcBorders>
          </w:tcPr>
          <w:p w14:paraId="04C1A64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1.166***</w:t>
            </w:r>
          </w:p>
        </w:tc>
        <w:tc>
          <w:tcPr>
            <w:tcW w:w="409" w:type="pct"/>
            <w:tcBorders>
              <w:top w:val="nil"/>
              <w:left w:val="nil"/>
              <w:bottom w:val="nil"/>
              <w:right w:val="nil"/>
            </w:tcBorders>
          </w:tcPr>
          <w:p w14:paraId="1414A11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1.143***</w:t>
            </w:r>
          </w:p>
        </w:tc>
        <w:tc>
          <w:tcPr>
            <w:tcW w:w="410" w:type="pct"/>
            <w:tcBorders>
              <w:top w:val="nil"/>
              <w:left w:val="nil"/>
              <w:bottom w:val="nil"/>
              <w:right w:val="nil"/>
            </w:tcBorders>
          </w:tcPr>
          <w:p w14:paraId="767420F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1.154***</w:t>
            </w:r>
          </w:p>
        </w:tc>
        <w:tc>
          <w:tcPr>
            <w:tcW w:w="409" w:type="pct"/>
            <w:tcBorders>
              <w:top w:val="nil"/>
              <w:left w:val="nil"/>
              <w:bottom w:val="nil"/>
              <w:right w:val="nil"/>
            </w:tcBorders>
          </w:tcPr>
          <w:p w14:paraId="6022172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1.160***</w:t>
            </w:r>
          </w:p>
        </w:tc>
        <w:tc>
          <w:tcPr>
            <w:tcW w:w="408" w:type="pct"/>
            <w:tcBorders>
              <w:top w:val="nil"/>
              <w:left w:val="nil"/>
              <w:bottom w:val="nil"/>
              <w:right w:val="nil"/>
            </w:tcBorders>
          </w:tcPr>
          <w:p w14:paraId="16DFD2A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1.167***</w:t>
            </w:r>
          </w:p>
        </w:tc>
      </w:tr>
      <w:tr w:rsidR="00235130" w:rsidRPr="00A33460" w14:paraId="15B3A3E6" w14:textId="77777777" w:rsidTr="00974A7D">
        <w:trPr>
          <w:trHeight w:val="57"/>
          <w:jc w:val="center"/>
        </w:trPr>
        <w:tc>
          <w:tcPr>
            <w:tcW w:w="909" w:type="pct"/>
            <w:tcBorders>
              <w:top w:val="nil"/>
              <w:left w:val="nil"/>
              <w:bottom w:val="nil"/>
              <w:right w:val="nil"/>
            </w:tcBorders>
          </w:tcPr>
          <w:p w14:paraId="0FA56904"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57BA838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(16.45)</w:t>
            </w:r>
          </w:p>
        </w:tc>
        <w:tc>
          <w:tcPr>
            <w:tcW w:w="409" w:type="pct"/>
            <w:tcBorders>
              <w:top w:val="nil"/>
              <w:left w:val="nil"/>
              <w:bottom w:val="nil"/>
              <w:right w:val="nil"/>
            </w:tcBorders>
          </w:tcPr>
          <w:p w14:paraId="29550AB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(17.16)</w:t>
            </w:r>
          </w:p>
        </w:tc>
        <w:tc>
          <w:tcPr>
            <w:tcW w:w="409" w:type="pct"/>
            <w:tcBorders>
              <w:top w:val="nil"/>
              <w:left w:val="nil"/>
              <w:bottom w:val="nil"/>
              <w:right w:val="nil"/>
            </w:tcBorders>
          </w:tcPr>
          <w:p w14:paraId="3E89EB0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(17.08)</w:t>
            </w:r>
          </w:p>
        </w:tc>
        <w:tc>
          <w:tcPr>
            <w:tcW w:w="410" w:type="pct"/>
            <w:tcBorders>
              <w:top w:val="nil"/>
              <w:left w:val="nil"/>
              <w:bottom w:val="nil"/>
              <w:right w:val="nil"/>
            </w:tcBorders>
          </w:tcPr>
          <w:p w14:paraId="4C0B04E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(17.67)</w:t>
            </w:r>
          </w:p>
        </w:tc>
        <w:tc>
          <w:tcPr>
            <w:tcW w:w="409" w:type="pct"/>
            <w:tcBorders>
              <w:top w:val="nil"/>
              <w:left w:val="nil"/>
              <w:bottom w:val="nil"/>
              <w:right w:val="nil"/>
            </w:tcBorders>
          </w:tcPr>
          <w:p w14:paraId="5DC7C7B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(16.70)</w:t>
            </w:r>
          </w:p>
        </w:tc>
        <w:tc>
          <w:tcPr>
            <w:tcW w:w="410" w:type="pct"/>
            <w:tcBorders>
              <w:top w:val="nil"/>
              <w:left w:val="nil"/>
              <w:bottom w:val="nil"/>
              <w:right w:val="nil"/>
            </w:tcBorders>
          </w:tcPr>
          <w:p w14:paraId="5445A15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(17.34)</w:t>
            </w:r>
          </w:p>
        </w:tc>
        <w:tc>
          <w:tcPr>
            <w:tcW w:w="409" w:type="pct"/>
            <w:tcBorders>
              <w:top w:val="nil"/>
              <w:left w:val="nil"/>
              <w:bottom w:val="nil"/>
              <w:right w:val="nil"/>
            </w:tcBorders>
          </w:tcPr>
          <w:p w14:paraId="0E4BECC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(16.24)</w:t>
            </w:r>
          </w:p>
        </w:tc>
        <w:tc>
          <w:tcPr>
            <w:tcW w:w="410" w:type="pct"/>
            <w:tcBorders>
              <w:top w:val="nil"/>
              <w:left w:val="nil"/>
              <w:bottom w:val="nil"/>
              <w:right w:val="nil"/>
            </w:tcBorders>
          </w:tcPr>
          <w:p w14:paraId="11C7B4D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(16.91)</w:t>
            </w:r>
          </w:p>
        </w:tc>
        <w:tc>
          <w:tcPr>
            <w:tcW w:w="409" w:type="pct"/>
            <w:tcBorders>
              <w:top w:val="nil"/>
              <w:left w:val="nil"/>
              <w:bottom w:val="nil"/>
              <w:right w:val="nil"/>
            </w:tcBorders>
          </w:tcPr>
          <w:p w14:paraId="35722D9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(16.46)</w:t>
            </w:r>
          </w:p>
        </w:tc>
        <w:tc>
          <w:tcPr>
            <w:tcW w:w="408" w:type="pct"/>
            <w:tcBorders>
              <w:top w:val="nil"/>
              <w:left w:val="nil"/>
              <w:bottom w:val="nil"/>
              <w:right w:val="nil"/>
            </w:tcBorders>
          </w:tcPr>
          <w:p w14:paraId="784BF99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(17.15)</w:t>
            </w:r>
          </w:p>
        </w:tc>
      </w:tr>
      <w:tr w:rsidR="00235130" w:rsidRPr="00A33460" w14:paraId="063A0161" w14:textId="77777777" w:rsidTr="00974A7D">
        <w:trPr>
          <w:trHeight w:val="225"/>
          <w:jc w:val="center"/>
        </w:trPr>
        <w:tc>
          <w:tcPr>
            <w:tcW w:w="909" w:type="pct"/>
            <w:tcBorders>
              <w:top w:val="nil"/>
              <w:left w:val="nil"/>
              <w:right w:val="nil"/>
            </w:tcBorders>
          </w:tcPr>
          <w:p w14:paraId="27A37A4F"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Market runup</w:t>
            </w:r>
          </w:p>
        </w:tc>
        <w:tc>
          <w:tcPr>
            <w:tcW w:w="408" w:type="pct"/>
            <w:tcBorders>
              <w:top w:val="nil"/>
              <w:left w:val="nil"/>
              <w:right w:val="nil"/>
            </w:tcBorders>
          </w:tcPr>
          <w:p w14:paraId="4597F4A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w:t>
            </w:r>
            <w:r>
              <w:rPr>
                <w:rFonts w:ascii="Times New Roman" w:hAnsi="Times New Roman" w:cs="Times New Roman"/>
                <w:sz w:val="20"/>
                <w:szCs w:val="20"/>
              </w:rPr>
              <w:t>.</w:t>
            </w:r>
            <w:r w:rsidRPr="002118F2">
              <w:rPr>
                <w:rFonts w:ascii="Times New Roman" w:hAnsi="Times New Roman" w:cs="Times New Roman"/>
                <w:sz w:val="20"/>
                <w:szCs w:val="20"/>
              </w:rPr>
              <w:t>093***</w:t>
            </w:r>
          </w:p>
        </w:tc>
        <w:tc>
          <w:tcPr>
            <w:tcW w:w="409" w:type="pct"/>
            <w:tcBorders>
              <w:top w:val="nil"/>
              <w:left w:val="nil"/>
              <w:right w:val="nil"/>
            </w:tcBorders>
          </w:tcPr>
          <w:p w14:paraId="719271B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w:t>
            </w:r>
            <w:r>
              <w:rPr>
                <w:rFonts w:ascii="Times New Roman" w:hAnsi="Times New Roman" w:cs="Times New Roman"/>
                <w:sz w:val="20"/>
                <w:szCs w:val="20"/>
              </w:rPr>
              <w:t>.</w:t>
            </w:r>
            <w:r w:rsidRPr="002118F2">
              <w:rPr>
                <w:rFonts w:ascii="Times New Roman" w:hAnsi="Times New Roman" w:cs="Times New Roman"/>
                <w:sz w:val="20"/>
                <w:szCs w:val="20"/>
              </w:rPr>
              <w:t>051***</w:t>
            </w:r>
          </w:p>
        </w:tc>
        <w:tc>
          <w:tcPr>
            <w:tcW w:w="409" w:type="pct"/>
            <w:tcBorders>
              <w:top w:val="nil"/>
              <w:left w:val="nil"/>
              <w:right w:val="nil"/>
            </w:tcBorders>
          </w:tcPr>
          <w:p w14:paraId="1A21E775" w14:textId="77777777" w:rsidR="00235130" w:rsidRPr="002B2AAB"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-1</w:t>
            </w:r>
            <w:r>
              <w:rPr>
                <w:rFonts w:ascii="Times New Roman" w:hAnsi="Times New Roman" w:cs="Times New Roman"/>
                <w:sz w:val="20"/>
                <w:szCs w:val="20"/>
              </w:rPr>
              <w:t>.</w:t>
            </w:r>
            <w:r w:rsidRPr="002118F2">
              <w:rPr>
                <w:rFonts w:ascii="Times New Roman" w:hAnsi="Times New Roman" w:cs="Times New Roman"/>
                <w:sz w:val="20"/>
                <w:szCs w:val="20"/>
              </w:rPr>
              <w:t>13</w:t>
            </w:r>
            <w:r>
              <w:rPr>
                <w:rFonts w:ascii="Times New Roman" w:hAnsi="Times New Roman" w:cs="Times New Roman"/>
                <w:sz w:val="20"/>
                <w:szCs w:val="20"/>
              </w:rPr>
              <w:t>1</w:t>
            </w:r>
            <w:r w:rsidRPr="002118F2">
              <w:rPr>
                <w:rFonts w:ascii="Times New Roman" w:hAnsi="Times New Roman" w:cs="Times New Roman"/>
                <w:sz w:val="20"/>
                <w:szCs w:val="20"/>
              </w:rPr>
              <w:t>***</w:t>
            </w:r>
          </w:p>
        </w:tc>
        <w:tc>
          <w:tcPr>
            <w:tcW w:w="410" w:type="pct"/>
            <w:tcBorders>
              <w:top w:val="nil"/>
              <w:left w:val="nil"/>
              <w:right w:val="nil"/>
            </w:tcBorders>
          </w:tcPr>
          <w:p w14:paraId="21B922C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w:t>
            </w:r>
            <w:r>
              <w:rPr>
                <w:rFonts w:ascii="Times New Roman" w:hAnsi="Times New Roman" w:cs="Times New Roman"/>
                <w:sz w:val="20"/>
                <w:szCs w:val="20"/>
              </w:rPr>
              <w:t>.</w:t>
            </w:r>
            <w:r w:rsidRPr="002118F2">
              <w:rPr>
                <w:rFonts w:ascii="Times New Roman" w:hAnsi="Times New Roman" w:cs="Times New Roman"/>
                <w:sz w:val="20"/>
                <w:szCs w:val="20"/>
              </w:rPr>
              <w:t>08</w:t>
            </w:r>
            <w:r>
              <w:rPr>
                <w:rFonts w:ascii="Times New Roman" w:hAnsi="Times New Roman" w:cs="Times New Roman"/>
                <w:sz w:val="20"/>
                <w:szCs w:val="20"/>
              </w:rPr>
              <w:t>5</w:t>
            </w:r>
            <w:r w:rsidRPr="002118F2">
              <w:rPr>
                <w:rFonts w:ascii="Times New Roman" w:hAnsi="Times New Roman" w:cs="Times New Roman"/>
                <w:sz w:val="20"/>
                <w:szCs w:val="20"/>
              </w:rPr>
              <w:t>***</w:t>
            </w:r>
          </w:p>
        </w:tc>
        <w:tc>
          <w:tcPr>
            <w:tcW w:w="409" w:type="pct"/>
            <w:tcBorders>
              <w:top w:val="nil"/>
              <w:left w:val="nil"/>
              <w:right w:val="nil"/>
            </w:tcBorders>
          </w:tcPr>
          <w:p w14:paraId="5678441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w:t>
            </w:r>
            <w:r>
              <w:rPr>
                <w:rFonts w:ascii="Times New Roman" w:hAnsi="Times New Roman" w:cs="Times New Roman"/>
                <w:sz w:val="20"/>
                <w:szCs w:val="20"/>
              </w:rPr>
              <w:t>.</w:t>
            </w:r>
            <w:r w:rsidRPr="002118F2">
              <w:rPr>
                <w:rFonts w:ascii="Times New Roman" w:hAnsi="Times New Roman" w:cs="Times New Roman"/>
                <w:sz w:val="20"/>
                <w:szCs w:val="20"/>
              </w:rPr>
              <w:t>07</w:t>
            </w:r>
            <w:r>
              <w:rPr>
                <w:rFonts w:ascii="Times New Roman" w:hAnsi="Times New Roman" w:cs="Times New Roman"/>
                <w:sz w:val="20"/>
                <w:szCs w:val="20"/>
              </w:rPr>
              <w:t>9</w:t>
            </w:r>
            <w:r w:rsidRPr="002118F2">
              <w:rPr>
                <w:rFonts w:ascii="Times New Roman" w:hAnsi="Times New Roman" w:cs="Times New Roman"/>
                <w:sz w:val="20"/>
                <w:szCs w:val="20"/>
              </w:rPr>
              <w:t>***</w:t>
            </w:r>
          </w:p>
        </w:tc>
        <w:tc>
          <w:tcPr>
            <w:tcW w:w="410" w:type="pct"/>
            <w:tcBorders>
              <w:top w:val="nil"/>
              <w:left w:val="nil"/>
              <w:right w:val="nil"/>
            </w:tcBorders>
          </w:tcPr>
          <w:p w14:paraId="5ED94D1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w:t>
            </w:r>
            <w:r>
              <w:rPr>
                <w:rFonts w:ascii="Times New Roman" w:hAnsi="Times New Roman" w:cs="Times New Roman"/>
                <w:sz w:val="20"/>
                <w:szCs w:val="20"/>
              </w:rPr>
              <w:t>.</w:t>
            </w:r>
            <w:r w:rsidRPr="002118F2">
              <w:rPr>
                <w:rFonts w:ascii="Times New Roman" w:hAnsi="Times New Roman" w:cs="Times New Roman"/>
                <w:sz w:val="20"/>
                <w:szCs w:val="20"/>
              </w:rPr>
              <w:t>0</w:t>
            </w:r>
            <w:r>
              <w:rPr>
                <w:rFonts w:ascii="Times New Roman" w:hAnsi="Times New Roman" w:cs="Times New Roman"/>
                <w:sz w:val="20"/>
                <w:szCs w:val="20"/>
              </w:rPr>
              <w:t>20</w:t>
            </w:r>
            <w:r w:rsidRPr="002118F2">
              <w:rPr>
                <w:rFonts w:ascii="Times New Roman" w:hAnsi="Times New Roman" w:cs="Times New Roman"/>
                <w:sz w:val="20"/>
                <w:szCs w:val="20"/>
              </w:rPr>
              <w:t>***</w:t>
            </w:r>
          </w:p>
        </w:tc>
        <w:tc>
          <w:tcPr>
            <w:tcW w:w="409" w:type="pct"/>
            <w:tcBorders>
              <w:top w:val="nil"/>
              <w:left w:val="nil"/>
              <w:right w:val="nil"/>
            </w:tcBorders>
          </w:tcPr>
          <w:p w14:paraId="516E8B2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w:t>
            </w:r>
            <w:r>
              <w:rPr>
                <w:rFonts w:ascii="Times New Roman" w:hAnsi="Times New Roman" w:cs="Times New Roman"/>
                <w:sz w:val="20"/>
                <w:szCs w:val="20"/>
              </w:rPr>
              <w:t>.</w:t>
            </w:r>
            <w:r w:rsidRPr="002118F2">
              <w:rPr>
                <w:rFonts w:ascii="Times New Roman" w:hAnsi="Times New Roman" w:cs="Times New Roman"/>
                <w:sz w:val="20"/>
                <w:szCs w:val="20"/>
              </w:rPr>
              <w:t>04</w:t>
            </w:r>
            <w:r>
              <w:rPr>
                <w:rFonts w:ascii="Times New Roman" w:hAnsi="Times New Roman" w:cs="Times New Roman"/>
                <w:sz w:val="20"/>
                <w:szCs w:val="20"/>
              </w:rPr>
              <w:t>3</w:t>
            </w:r>
            <w:r w:rsidRPr="002118F2">
              <w:rPr>
                <w:rFonts w:ascii="Times New Roman" w:hAnsi="Times New Roman" w:cs="Times New Roman"/>
                <w:sz w:val="20"/>
                <w:szCs w:val="20"/>
              </w:rPr>
              <w:t>***</w:t>
            </w:r>
          </w:p>
        </w:tc>
        <w:tc>
          <w:tcPr>
            <w:tcW w:w="410" w:type="pct"/>
            <w:tcBorders>
              <w:top w:val="nil"/>
              <w:left w:val="nil"/>
              <w:right w:val="nil"/>
            </w:tcBorders>
          </w:tcPr>
          <w:p w14:paraId="18DD01F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w:t>
            </w:r>
            <w:r>
              <w:rPr>
                <w:rFonts w:ascii="Times New Roman" w:hAnsi="Times New Roman" w:cs="Times New Roman"/>
                <w:sz w:val="20"/>
                <w:szCs w:val="20"/>
              </w:rPr>
              <w:t>.</w:t>
            </w:r>
            <w:r w:rsidRPr="002118F2">
              <w:rPr>
                <w:rFonts w:ascii="Times New Roman" w:hAnsi="Times New Roman" w:cs="Times New Roman"/>
                <w:sz w:val="20"/>
                <w:szCs w:val="20"/>
              </w:rPr>
              <w:t>01</w:t>
            </w:r>
            <w:r>
              <w:rPr>
                <w:rFonts w:ascii="Times New Roman" w:hAnsi="Times New Roman" w:cs="Times New Roman"/>
                <w:sz w:val="20"/>
                <w:szCs w:val="20"/>
              </w:rPr>
              <w:t>2</w:t>
            </w:r>
            <w:r w:rsidRPr="002118F2">
              <w:rPr>
                <w:rFonts w:ascii="Times New Roman" w:hAnsi="Times New Roman" w:cs="Times New Roman"/>
                <w:sz w:val="20"/>
                <w:szCs w:val="20"/>
              </w:rPr>
              <w:t>***</w:t>
            </w:r>
          </w:p>
        </w:tc>
        <w:tc>
          <w:tcPr>
            <w:tcW w:w="409" w:type="pct"/>
            <w:tcBorders>
              <w:top w:val="nil"/>
              <w:left w:val="nil"/>
              <w:right w:val="nil"/>
            </w:tcBorders>
          </w:tcPr>
          <w:p w14:paraId="71A0BC9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w:t>
            </w:r>
            <w:r>
              <w:rPr>
                <w:rFonts w:ascii="Times New Roman" w:hAnsi="Times New Roman" w:cs="Times New Roman"/>
                <w:sz w:val="20"/>
                <w:szCs w:val="20"/>
              </w:rPr>
              <w:t>.</w:t>
            </w:r>
            <w:r w:rsidRPr="002118F2">
              <w:rPr>
                <w:rFonts w:ascii="Times New Roman" w:hAnsi="Times New Roman" w:cs="Times New Roman"/>
                <w:sz w:val="20"/>
                <w:szCs w:val="20"/>
              </w:rPr>
              <w:t>181***</w:t>
            </w:r>
          </w:p>
        </w:tc>
        <w:tc>
          <w:tcPr>
            <w:tcW w:w="408" w:type="pct"/>
            <w:tcBorders>
              <w:top w:val="nil"/>
              <w:left w:val="nil"/>
              <w:right w:val="nil"/>
            </w:tcBorders>
          </w:tcPr>
          <w:p w14:paraId="3E70BE1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w:t>
            </w:r>
            <w:r>
              <w:rPr>
                <w:rFonts w:ascii="Times New Roman" w:hAnsi="Times New Roman" w:cs="Times New Roman"/>
                <w:sz w:val="20"/>
                <w:szCs w:val="20"/>
              </w:rPr>
              <w:t>.</w:t>
            </w:r>
            <w:r w:rsidRPr="002118F2">
              <w:rPr>
                <w:rFonts w:ascii="Times New Roman" w:hAnsi="Times New Roman" w:cs="Times New Roman"/>
                <w:sz w:val="20"/>
                <w:szCs w:val="20"/>
              </w:rPr>
              <w:t>12</w:t>
            </w:r>
            <w:r>
              <w:rPr>
                <w:rFonts w:ascii="Times New Roman" w:hAnsi="Times New Roman" w:cs="Times New Roman"/>
                <w:sz w:val="20"/>
                <w:szCs w:val="20"/>
              </w:rPr>
              <w:t>3</w:t>
            </w:r>
            <w:r w:rsidRPr="002118F2">
              <w:rPr>
                <w:rFonts w:ascii="Times New Roman" w:hAnsi="Times New Roman" w:cs="Times New Roman"/>
                <w:sz w:val="20"/>
                <w:szCs w:val="20"/>
              </w:rPr>
              <w:t>***</w:t>
            </w:r>
          </w:p>
        </w:tc>
      </w:tr>
      <w:tr w:rsidR="00235130" w:rsidRPr="00A33460" w14:paraId="0B707460" w14:textId="77777777" w:rsidTr="00974A7D">
        <w:trPr>
          <w:trHeight w:val="57"/>
          <w:jc w:val="center"/>
        </w:trPr>
        <w:tc>
          <w:tcPr>
            <w:tcW w:w="909" w:type="pct"/>
            <w:tcBorders>
              <w:top w:val="nil"/>
              <w:left w:val="nil"/>
              <w:right w:val="nil"/>
            </w:tcBorders>
          </w:tcPr>
          <w:p w14:paraId="7A53AB78"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right w:val="nil"/>
            </w:tcBorders>
          </w:tcPr>
          <w:p w14:paraId="76E6148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(-5.99)</w:t>
            </w:r>
          </w:p>
        </w:tc>
        <w:tc>
          <w:tcPr>
            <w:tcW w:w="409" w:type="pct"/>
            <w:tcBorders>
              <w:top w:val="nil"/>
              <w:left w:val="nil"/>
              <w:right w:val="nil"/>
            </w:tcBorders>
          </w:tcPr>
          <w:p w14:paraId="73AD60B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(-5.91)</w:t>
            </w:r>
          </w:p>
        </w:tc>
        <w:tc>
          <w:tcPr>
            <w:tcW w:w="409" w:type="pct"/>
            <w:tcBorders>
              <w:top w:val="nil"/>
              <w:left w:val="nil"/>
              <w:right w:val="nil"/>
            </w:tcBorders>
          </w:tcPr>
          <w:p w14:paraId="5D64542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(-6.27)</w:t>
            </w:r>
          </w:p>
        </w:tc>
        <w:tc>
          <w:tcPr>
            <w:tcW w:w="410" w:type="pct"/>
            <w:tcBorders>
              <w:top w:val="nil"/>
              <w:left w:val="nil"/>
              <w:right w:val="nil"/>
            </w:tcBorders>
          </w:tcPr>
          <w:p w14:paraId="6CFE1A6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(-6.15)</w:t>
            </w:r>
          </w:p>
        </w:tc>
        <w:tc>
          <w:tcPr>
            <w:tcW w:w="409" w:type="pct"/>
            <w:tcBorders>
              <w:top w:val="nil"/>
              <w:left w:val="nil"/>
              <w:right w:val="nil"/>
            </w:tcBorders>
          </w:tcPr>
          <w:p w14:paraId="6B47323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(-5.93)</w:t>
            </w:r>
          </w:p>
        </w:tc>
        <w:tc>
          <w:tcPr>
            <w:tcW w:w="410" w:type="pct"/>
            <w:tcBorders>
              <w:top w:val="nil"/>
              <w:left w:val="nil"/>
              <w:right w:val="nil"/>
            </w:tcBorders>
          </w:tcPr>
          <w:p w14:paraId="255E315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(-5.76)</w:t>
            </w:r>
          </w:p>
        </w:tc>
        <w:tc>
          <w:tcPr>
            <w:tcW w:w="409" w:type="pct"/>
            <w:tcBorders>
              <w:top w:val="nil"/>
              <w:left w:val="nil"/>
              <w:right w:val="nil"/>
            </w:tcBorders>
          </w:tcPr>
          <w:p w14:paraId="2997837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(-5.78)</w:t>
            </w:r>
          </w:p>
        </w:tc>
        <w:tc>
          <w:tcPr>
            <w:tcW w:w="410" w:type="pct"/>
            <w:tcBorders>
              <w:top w:val="nil"/>
              <w:left w:val="nil"/>
              <w:right w:val="nil"/>
            </w:tcBorders>
          </w:tcPr>
          <w:p w14:paraId="349C24A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(-5.74)</w:t>
            </w:r>
          </w:p>
        </w:tc>
        <w:tc>
          <w:tcPr>
            <w:tcW w:w="409" w:type="pct"/>
            <w:tcBorders>
              <w:top w:val="nil"/>
              <w:left w:val="nil"/>
              <w:right w:val="nil"/>
            </w:tcBorders>
          </w:tcPr>
          <w:p w14:paraId="653811F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(-6.55)</w:t>
            </w:r>
          </w:p>
        </w:tc>
        <w:tc>
          <w:tcPr>
            <w:tcW w:w="408" w:type="pct"/>
            <w:tcBorders>
              <w:top w:val="nil"/>
              <w:left w:val="nil"/>
              <w:right w:val="nil"/>
            </w:tcBorders>
          </w:tcPr>
          <w:p w14:paraId="3316C42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(-6.37)</w:t>
            </w:r>
          </w:p>
        </w:tc>
      </w:tr>
      <w:tr w:rsidR="00235130" w:rsidRPr="00A33460" w14:paraId="1DBA4C4B" w14:textId="77777777" w:rsidTr="00974A7D">
        <w:trPr>
          <w:trHeight w:val="57"/>
          <w:jc w:val="center"/>
        </w:trPr>
        <w:tc>
          <w:tcPr>
            <w:tcW w:w="909" w:type="pct"/>
            <w:tcBorders>
              <w:left w:val="nil"/>
              <w:right w:val="nil"/>
            </w:tcBorders>
          </w:tcPr>
          <w:p w14:paraId="742D36AD"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iCs/>
                <w:sz w:val="20"/>
                <w:szCs w:val="20"/>
                <w:lang w:val="en-US"/>
              </w:rPr>
              <w:t>Arbitrage period</w:t>
            </w:r>
          </w:p>
        </w:tc>
        <w:tc>
          <w:tcPr>
            <w:tcW w:w="408" w:type="pct"/>
            <w:tcBorders>
              <w:left w:val="nil"/>
              <w:right w:val="nil"/>
            </w:tcBorders>
          </w:tcPr>
          <w:p w14:paraId="059786B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9976BB">
              <w:rPr>
                <w:rFonts w:ascii="Times New Roman" w:hAnsi="Times New Roman" w:cs="Times New Roman"/>
                <w:sz w:val="20"/>
                <w:szCs w:val="20"/>
              </w:rPr>
              <w:t>0.291***</w:t>
            </w:r>
          </w:p>
        </w:tc>
        <w:tc>
          <w:tcPr>
            <w:tcW w:w="409" w:type="pct"/>
            <w:tcBorders>
              <w:left w:val="nil"/>
              <w:right w:val="nil"/>
            </w:tcBorders>
          </w:tcPr>
          <w:p w14:paraId="21178AF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1.001***</w:t>
            </w:r>
          </w:p>
        </w:tc>
        <w:tc>
          <w:tcPr>
            <w:tcW w:w="409" w:type="pct"/>
            <w:tcBorders>
              <w:left w:val="nil"/>
              <w:right w:val="nil"/>
            </w:tcBorders>
          </w:tcPr>
          <w:p w14:paraId="1F3B354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0.259***</w:t>
            </w:r>
          </w:p>
        </w:tc>
        <w:tc>
          <w:tcPr>
            <w:tcW w:w="410" w:type="pct"/>
            <w:tcBorders>
              <w:left w:val="nil"/>
              <w:right w:val="nil"/>
            </w:tcBorders>
          </w:tcPr>
          <w:p w14:paraId="3D7858F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0.131*</w:t>
            </w:r>
          </w:p>
        </w:tc>
        <w:tc>
          <w:tcPr>
            <w:tcW w:w="409" w:type="pct"/>
            <w:tcBorders>
              <w:left w:val="nil"/>
              <w:right w:val="nil"/>
            </w:tcBorders>
          </w:tcPr>
          <w:p w14:paraId="4CFA941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0.371***</w:t>
            </w:r>
          </w:p>
        </w:tc>
        <w:tc>
          <w:tcPr>
            <w:tcW w:w="410" w:type="pct"/>
            <w:tcBorders>
              <w:left w:val="nil"/>
              <w:right w:val="nil"/>
            </w:tcBorders>
          </w:tcPr>
          <w:p w14:paraId="4410EAD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0.190**</w:t>
            </w:r>
          </w:p>
        </w:tc>
        <w:tc>
          <w:tcPr>
            <w:tcW w:w="409" w:type="pct"/>
            <w:tcBorders>
              <w:left w:val="nil"/>
              <w:right w:val="nil"/>
            </w:tcBorders>
          </w:tcPr>
          <w:p w14:paraId="580DE67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0.251***</w:t>
            </w:r>
          </w:p>
        </w:tc>
        <w:tc>
          <w:tcPr>
            <w:tcW w:w="410" w:type="pct"/>
            <w:tcBorders>
              <w:left w:val="nil"/>
              <w:right w:val="nil"/>
            </w:tcBorders>
          </w:tcPr>
          <w:p w14:paraId="284F2B1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0.119*</w:t>
            </w:r>
          </w:p>
        </w:tc>
        <w:tc>
          <w:tcPr>
            <w:tcW w:w="409" w:type="pct"/>
            <w:tcBorders>
              <w:left w:val="nil"/>
              <w:right w:val="nil"/>
            </w:tcBorders>
          </w:tcPr>
          <w:p w14:paraId="0034CC4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0.386***</w:t>
            </w:r>
          </w:p>
        </w:tc>
        <w:tc>
          <w:tcPr>
            <w:tcW w:w="408" w:type="pct"/>
            <w:tcBorders>
              <w:left w:val="nil"/>
              <w:right w:val="nil"/>
            </w:tcBorders>
          </w:tcPr>
          <w:p w14:paraId="048C844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0.233***</w:t>
            </w:r>
          </w:p>
        </w:tc>
      </w:tr>
      <w:tr w:rsidR="00235130" w:rsidRPr="00A33460" w14:paraId="12253D63" w14:textId="77777777" w:rsidTr="00974A7D">
        <w:trPr>
          <w:trHeight w:val="57"/>
          <w:jc w:val="center"/>
        </w:trPr>
        <w:tc>
          <w:tcPr>
            <w:tcW w:w="909" w:type="pct"/>
            <w:tcBorders>
              <w:left w:val="nil"/>
              <w:bottom w:val="single" w:sz="4" w:space="0" w:color="auto"/>
              <w:right w:val="nil"/>
            </w:tcBorders>
          </w:tcPr>
          <w:p w14:paraId="0F0D8E36"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left w:val="nil"/>
              <w:bottom w:val="single" w:sz="4" w:space="0" w:color="auto"/>
              <w:right w:val="nil"/>
            </w:tcBorders>
          </w:tcPr>
          <w:p w14:paraId="16155A5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9976BB">
              <w:rPr>
                <w:rFonts w:ascii="Times New Roman" w:hAnsi="Times New Roman" w:cs="Times New Roman"/>
                <w:sz w:val="20"/>
                <w:szCs w:val="20"/>
              </w:rPr>
              <w:t>(4.38)</w:t>
            </w:r>
          </w:p>
        </w:tc>
        <w:tc>
          <w:tcPr>
            <w:tcW w:w="409" w:type="pct"/>
            <w:tcBorders>
              <w:left w:val="nil"/>
              <w:bottom w:val="single" w:sz="4" w:space="0" w:color="auto"/>
              <w:right w:val="nil"/>
            </w:tcBorders>
          </w:tcPr>
          <w:p w14:paraId="4C36831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(9.99)</w:t>
            </w:r>
          </w:p>
        </w:tc>
        <w:tc>
          <w:tcPr>
            <w:tcW w:w="409" w:type="pct"/>
            <w:tcBorders>
              <w:left w:val="nil"/>
              <w:bottom w:val="single" w:sz="4" w:space="0" w:color="auto"/>
              <w:right w:val="nil"/>
            </w:tcBorders>
          </w:tcPr>
          <w:p w14:paraId="6250119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(3.99)</w:t>
            </w:r>
          </w:p>
        </w:tc>
        <w:tc>
          <w:tcPr>
            <w:tcW w:w="410" w:type="pct"/>
            <w:tcBorders>
              <w:left w:val="nil"/>
              <w:bottom w:val="single" w:sz="4" w:space="0" w:color="auto"/>
              <w:right w:val="nil"/>
            </w:tcBorders>
          </w:tcPr>
          <w:p w14:paraId="34C086C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(1.84)</w:t>
            </w:r>
          </w:p>
        </w:tc>
        <w:tc>
          <w:tcPr>
            <w:tcW w:w="409" w:type="pct"/>
            <w:tcBorders>
              <w:left w:val="nil"/>
              <w:bottom w:val="single" w:sz="4" w:space="0" w:color="auto"/>
              <w:right w:val="nil"/>
            </w:tcBorders>
          </w:tcPr>
          <w:p w14:paraId="58FE885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(5.50)</w:t>
            </w:r>
          </w:p>
        </w:tc>
        <w:tc>
          <w:tcPr>
            <w:tcW w:w="410" w:type="pct"/>
            <w:tcBorders>
              <w:left w:val="nil"/>
              <w:bottom w:val="single" w:sz="4" w:space="0" w:color="auto"/>
              <w:right w:val="nil"/>
            </w:tcBorders>
          </w:tcPr>
          <w:p w14:paraId="37C1062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(2.55)</w:t>
            </w:r>
          </w:p>
        </w:tc>
        <w:tc>
          <w:tcPr>
            <w:tcW w:w="409" w:type="pct"/>
            <w:tcBorders>
              <w:left w:val="nil"/>
              <w:bottom w:val="single" w:sz="4" w:space="0" w:color="auto"/>
              <w:right w:val="nil"/>
            </w:tcBorders>
          </w:tcPr>
          <w:p w14:paraId="03153DB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(3.83)</w:t>
            </w:r>
          </w:p>
        </w:tc>
        <w:tc>
          <w:tcPr>
            <w:tcW w:w="410" w:type="pct"/>
            <w:tcBorders>
              <w:left w:val="nil"/>
              <w:bottom w:val="single" w:sz="4" w:space="0" w:color="auto"/>
              <w:right w:val="nil"/>
            </w:tcBorders>
          </w:tcPr>
          <w:p w14:paraId="60ED568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(1.66)</w:t>
            </w:r>
          </w:p>
        </w:tc>
        <w:tc>
          <w:tcPr>
            <w:tcW w:w="409" w:type="pct"/>
            <w:tcBorders>
              <w:left w:val="nil"/>
              <w:bottom w:val="single" w:sz="4" w:space="0" w:color="auto"/>
              <w:right w:val="nil"/>
            </w:tcBorders>
          </w:tcPr>
          <w:p w14:paraId="0C1CF94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(5.88)</w:t>
            </w:r>
          </w:p>
        </w:tc>
        <w:tc>
          <w:tcPr>
            <w:tcW w:w="408" w:type="pct"/>
            <w:tcBorders>
              <w:left w:val="nil"/>
              <w:bottom w:val="single" w:sz="4" w:space="0" w:color="auto"/>
              <w:right w:val="nil"/>
            </w:tcBorders>
          </w:tcPr>
          <w:p w14:paraId="4E93AB7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(3.28)</w:t>
            </w:r>
          </w:p>
        </w:tc>
      </w:tr>
      <w:tr w:rsidR="00235130" w:rsidRPr="00797D41" w14:paraId="52C9D0D7" w14:textId="77777777" w:rsidTr="00974A7D">
        <w:trPr>
          <w:trHeight w:val="57"/>
          <w:jc w:val="center"/>
        </w:trPr>
        <w:tc>
          <w:tcPr>
            <w:tcW w:w="909" w:type="pct"/>
            <w:tcBorders>
              <w:top w:val="single" w:sz="4" w:space="0" w:color="auto"/>
              <w:left w:val="nil"/>
              <w:right w:val="nil"/>
            </w:tcBorders>
          </w:tcPr>
          <w:p w14:paraId="39B0B3F1" w14:textId="77777777" w:rsidR="00235130" w:rsidRPr="00797D41" w:rsidRDefault="00235130" w:rsidP="00974A7D">
            <w:pPr>
              <w:widowControl w:val="0"/>
              <w:autoSpaceDE w:val="0"/>
              <w:autoSpaceDN w:val="0"/>
              <w:adjustRightInd w:val="0"/>
              <w:spacing w:after="0" w:line="240" w:lineRule="auto"/>
              <w:rPr>
                <w:rFonts w:ascii="Times New Roman" w:hAnsi="Times New Roman" w:cs="Times New Roman"/>
                <w:i/>
                <w:sz w:val="8"/>
                <w:szCs w:val="8"/>
                <w:lang w:val="en-US"/>
              </w:rPr>
            </w:pPr>
          </w:p>
        </w:tc>
        <w:tc>
          <w:tcPr>
            <w:tcW w:w="408" w:type="pct"/>
            <w:tcBorders>
              <w:top w:val="single" w:sz="4" w:space="0" w:color="auto"/>
              <w:left w:val="nil"/>
              <w:right w:val="nil"/>
            </w:tcBorders>
          </w:tcPr>
          <w:p w14:paraId="4AF3E823" w14:textId="77777777" w:rsidR="00235130" w:rsidRPr="00797D41" w:rsidRDefault="00235130" w:rsidP="00974A7D">
            <w:pPr>
              <w:widowControl w:val="0"/>
              <w:autoSpaceDE w:val="0"/>
              <w:autoSpaceDN w:val="0"/>
              <w:adjustRightInd w:val="0"/>
              <w:spacing w:after="0" w:line="240" w:lineRule="auto"/>
              <w:jc w:val="center"/>
              <w:rPr>
                <w:rFonts w:ascii="Times New Roman" w:hAnsi="Times New Roman" w:cs="Times New Roman"/>
                <w:sz w:val="8"/>
                <w:szCs w:val="8"/>
              </w:rPr>
            </w:pPr>
          </w:p>
        </w:tc>
        <w:tc>
          <w:tcPr>
            <w:tcW w:w="409" w:type="pct"/>
            <w:tcBorders>
              <w:top w:val="single" w:sz="4" w:space="0" w:color="auto"/>
              <w:left w:val="nil"/>
              <w:right w:val="nil"/>
            </w:tcBorders>
          </w:tcPr>
          <w:p w14:paraId="0A1D5A6A" w14:textId="77777777" w:rsidR="00235130" w:rsidRPr="00797D41" w:rsidRDefault="00235130" w:rsidP="00974A7D">
            <w:pPr>
              <w:widowControl w:val="0"/>
              <w:autoSpaceDE w:val="0"/>
              <w:autoSpaceDN w:val="0"/>
              <w:adjustRightInd w:val="0"/>
              <w:spacing w:after="0" w:line="240" w:lineRule="auto"/>
              <w:jc w:val="center"/>
              <w:rPr>
                <w:rFonts w:ascii="Times New Roman" w:hAnsi="Times New Roman" w:cs="Times New Roman"/>
                <w:sz w:val="8"/>
                <w:szCs w:val="8"/>
              </w:rPr>
            </w:pPr>
          </w:p>
        </w:tc>
        <w:tc>
          <w:tcPr>
            <w:tcW w:w="409" w:type="pct"/>
            <w:tcBorders>
              <w:top w:val="single" w:sz="4" w:space="0" w:color="auto"/>
              <w:left w:val="nil"/>
              <w:right w:val="nil"/>
            </w:tcBorders>
          </w:tcPr>
          <w:p w14:paraId="232243DD" w14:textId="77777777" w:rsidR="00235130" w:rsidRPr="00797D41" w:rsidRDefault="00235130" w:rsidP="00974A7D">
            <w:pPr>
              <w:widowControl w:val="0"/>
              <w:autoSpaceDE w:val="0"/>
              <w:autoSpaceDN w:val="0"/>
              <w:adjustRightInd w:val="0"/>
              <w:spacing w:after="0" w:line="240" w:lineRule="auto"/>
              <w:jc w:val="center"/>
              <w:rPr>
                <w:rFonts w:ascii="Times New Roman" w:hAnsi="Times New Roman" w:cs="Times New Roman"/>
                <w:sz w:val="8"/>
                <w:szCs w:val="8"/>
              </w:rPr>
            </w:pPr>
          </w:p>
        </w:tc>
        <w:tc>
          <w:tcPr>
            <w:tcW w:w="410" w:type="pct"/>
            <w:tcBorders>
              <w:top w:val="single" w:sz="4" w:space="0" w:color="auto"/>
              <w:left w:val="nil"/>
              <w:right w:val="nil"/>
            </w:tcBorders>
          </w:tcPr>
          <w:p w14:paraId="74924754" w14:textId="77777777" w:rsidR="00235130" w:rsidRPr="00797D41" w:rsidRDefault="00235130" w:rsidP="00974A7D">
            <w:pPr>
              <w:widowControl w:val="0"/>
              <w:autoSpaceDE w:val="0"/>
              <w:autoSpaceDN w:val="0"/>
              <w:adjustRightInd w:val="0"/>
              <w:spacing w:after="0" w:line="240" w:lineRule="auto"/>
              <w:jc w:val="center"/>
              <w:rPr>
                <w:rFonts w:ascii="Times New Roman" w:hAnsi="Times New Roman" w:cs="Times New Roman"/>
                <w:sz w:val="8"/>
                <w:szCs w:val="8"/>
              </w:rPr>
            </w:pPr>
          </w:p>
        </w:tc>
        <w:tc>
          <w:tcPr>
            <w:tcW w:w="409" w:type="pct"/>
            <w:tcBorders>
              <w:top w:val="single" w:sz="4" w:space="0" w:color="auto"/>
              <w:left w:val="nil"/>
              <w:right w:val="nil"/>
            </w:tcBorders>
          </w:tcPr>
          <w:p w14:paraId="2AC75DC0" w14:textId="77777777" w:rsidR="00235130" w:rsidRPr="00797D41" w:rsidRDefault="00235130" w:rsidP="00974A7D">
            <w:pPr>
              <w:widowControl w:val="0"/>
              <w:autoSpaceDE w:val="0"/>
              <w:autoSpaceDN w:val="0"/>
              <w:adjustRightInd w:val="0"/>
              <w:spacing w:after="0" w:line="240" w:lineRule="auto"/>
              <w:jc w:val="center"/>
              <w:rPr>
                <w:rFonts w:ascii="Times New Roman" w:hAnsi="Times New Roman" w:cs="Times New Roman"/>
                <w:sz w:val="8"/>
                <w:szCs w:val="8"/>
              </w:rPr>
            </w:pPr>
          </w:p>
        </w:tc>
        <w:tc>
          <w:tcPr>
            <w:tcW w:w="410" w:type="pct"/>
            <w:tcBorders>
              <w:top w:val="single" w:sz="4" w:space="0" w:color="auto"/>
              <w:left w:val="nil"/>
              <w:right w:val="nil"/>
            </w:tcBorders>
          </w:tcPr>
          <w:p w14:paraId="3D644885" w14:textId="77777777" w:rsidR="00235130" w:rsidRPr="00797D41" w:rsidRDefault="00235130" w:rsidP="00974A7D">
            <w:pPr>
              <w:widowControl w:val="0"/>
              <w:autoSpaceDE w:val="0"/>
              <w:autoSpaceDN w:val="0"/>
              <w:adjustRightInd w:val="0"/>
              <w:spacing w:after="0" w:line="240" w:lineRule="auto"/>
              <w:jc w:val="center"/>
              <w:rPr>
                <w:rFonts w:ascii="Times New Roman" w:hAnsi="Times New Roman" w:cs="Times New Roman"/>
                <w:sz w:val="8"/>
                <w:szCs w:val="8"/>
              </w:rPr>
            </w:pPr>
          </w:p>
        </w:tc>
        <w:tc>
          <w:tcPr>
            <w:tcW w:w="409" w:type="pct"/>
            <w:tcBorders>
              <w:top w:val="single" w:sz="4" w:space="0" w:color="auto"/>
              <w:left w:val="nil"/>
              <w:right w:val="nil"/>
            </w:tcBorders>
          </w:tcPr>
          <w:p w14:paraId="4B3EF1E1" w14:textId="77777777" w:rsidR="00235130" w:rsidRPr="00797D41" w:rsidRDefault="00235130" w:rsidP="00974A7D">
            <w:pPr>
              <w:widowControl w:val="0"/>
              <w:autoSpaceDE w:val="0"/>
              <w:autoSpaceDN w:val="0"/>
              <w:adjustRightInd w:val="0"/>
              <w:spacing w:after="0" w:line="240" w:lineRule="auto"/>
              <w:jc w:val="center"/>
              <w:rPr>
                <w:rFonts w:ascii="Times New Roman" w:hAnsi="Times New Roman" w:cs="Times New Roman"/>
                <w:sz w:val="8"/>
                <w:szCs w:val="8"/>
              </w:rPr>
            </w:pPr>
          </w:p>
        </w:tc>
        <w:tc>
          <w:tcPr>
            <w:tcW w:w="410" w:type="pct"/>
            <w:tcBorders>
              <w:top w:val="single" w:sz="4" w:space="0" w:color="auto"/>
              <w:left w:val="nil"/>
              <w:right w:val="nil"/>
            </w:tcBorders>
          </w:tcPr>
          <w:p w14:paraId="48D21D3A" w14:textId="77777777" w:rsidR="00235130" w:rsidRPr="00797D41" w:rsidRDefault="00235130" w:rsidP="00974A7D">
            <w:pPr>
              <w:widowControl w:val="0"/>
              <w:autoSpaceDE w:val="0"/>
              <w:autoSpaceDN w:val="0"/>
              <w:adjustRightInd w:val="0"/>
              <w:spacing w:after="0" w:line="240" w:lineRule="auto"/>
              <w:jc w:val="center"/>
              <w:rPr>
                <w:rFonts w:ascii="Times New Roman" w:hAnsi="Times New Roman" w:cs="Times New Roman"/>
                <w:sz w:val="8"/>
                <w:szCs w:val="8"/>
              </w:rPr>
            </w:pPr>
          </w:p>
        </w:tc>
        <w:tc>
          <w:tcPr>
            <w:tcW w:w="409" w:type="pct"/>
            <w:tcBorders>
              <w:top w:val="single" w:sz="4" w:space="0" w:color="auto"/>
              <w:left w:val="nil"/>
              <w:right w:val="nil"/>
            </w:tcBorders>
          </w:tcPr>
          <w:p w14:paraId="3FB827C4" w14:textId="77777777" w:rsidR="00235130" w:rsidRPr="00797D41" w:rsidRDefault="00235130" w:rsidP="00974A7D">
            <w:pPr>
              <w:widowControl w:val="0"/>
              <w:autoSpaceDE w:val="0"/>
              <w:autoSpaceDN w:val="0"/>
              <w:adjustRightInd w:val="0"/>
              <w:spacing w:after="0" w:line="240" w:lineRule="auto"/>
              <w:jc w:val="center"/>
              <w:rPr>
                <w:rFonts w:ascii="Times New Roman" w:hAnsi="Times New Roman" w:cs="Times New Roman"/>
                <w:sz w:val="8"/>
                <w:szCs w:val="8"/>
              </w:rPr>
            </w:pPr>
          </w:p>
        </w:tc>
        <w:tc>
          <w:tcPr>
            <w:tcW w:w="408" w:type="pct"/>
            <w:tcBorders>
              <w:top w:val="single" w:sz="4" w:space="0" w:color="auto"/>
              <w:left w:val="nil"/>
              <w:right w:val="nil"/>
            </w:tcBorders>
          </w:tcPr>
          <w:p w14:paraId="16DA610C" w14:textId="77777777" w:rsidR="00235130" w:rsidRPr="00797D41" w:rsidRDefault="00235130" w:rsidP="00974A7D">
            <w:pPr>
              <w:widowControl w:val="0"/>
              <w:autoSpaceDE w:val="0"/>
              <w:autoSpaceDN w:val="0"/>
              <w:adjustRightInd w:val="0"/>
              <w:spacing w:after="0" w:line="240" w:lineRule="auto"/>
              <w:jc w:val="center"/>
              <w:rPr>
                <w:rFonts w:ascii="Times New Roman" w:hAnsi="Times New Roman" w:cs="Times New Roman"/>
                <w:sz w:val="8"/>
                <w:szCs w:val="8"/>
              </w:rPr>
            </w:pPr>
          </w:p>
        </w:tc>
      </w:tr>
      <w:tr w:rsidR="00235130" w:rsidRPr="00A33460" w14:paraId="5BBE3FB4" w14:textId="77777777" w:rsidTr="00974A7D">
        <w:trPr>
          <w:trHeight w:val="57"/>
          <w:jc w:val="center"/>
        </w:trPr>
        <w:tc>
          <w:tcPr>
            <w:tcW w:w="5000" w:type="pct"/>
            <w:gridSpan w:val="11"/>
            <w:tcBorders>
              <w:left w:val="nil"/>
              <w:bottom w:val="single" w:sz="4" w:space="0" w:color="auto"/>
              <w:right w:val="nil"/>
            </w:tcBorders>
          </w:tcPr>
          <w:p w14:paraId="235DACE3" w14:textId="5FF2506E" w:rsidR="00235130" w:rsidRPr="002118F2" w:rsidRDefault="00235130" w:rsidP="00974A7D">
            <w:pPr>
              <w:widowControl w:val="0"/>
              <w:autoSpaceDE w:val="0"/>
              <w:autoSpaceDN w:val="0"/>
              <w:adjustRightInd w:val="0"/>
              <w:spacing w:after="0" w:line="240" w:lineRule="auto"/>
              <w:rPr>
                <w:rFonts w:ascii="Times New Roman" w:hAnsi="Times New Roman" w:cs="Times New Roman"/>
                <w:b/>
                <w:bCs/>
                <w:sz w:val="20"/>
                <w:szCs w:val="20"/>
              </w:rPr>
            </w:pPr>
            <w:r w:rsidRPr="002118F2">
              <w:rPr>
                <w:rFonts w:ascii="Times New Roman" w:hAnsi="Times New Roman" w:cs="Times New Roman"/>
                <w:b/>
                <w:bCs/>
                <w:sz w:val="20"/>
                <w:szCs w:val="20"/>
              </w:rPr>
              <w:lastRenderedPageBreak/>
              <w:t xml:space="preserve">Table </w:t>
            </w:r>
            <w:r>
              <w:rPr>
                <w:rFonts w:ascii="Times New Roman" w:hAnsi="Times New Roman" w:cs="Times New Roman"/>
                <w:b/>
                <w:bCs/>
                <w:sz w:val="20"/>
                <w:szCs w:val="20"/>
              </w:rPr>
              <w:t>6</w:t>
            </w:r>
            <w:r w:rsidRPr="002118F2">
              <w:rPr>
                <w:rFonts w:ascii="Times New Roman" w:hAnsi="Times New Roman" w:cs="Times New Roman"/>
                <w:b/>
                <w:bCs/>
                <w:sz w:val="20"/>
                <w:szCs w:val="20"/>
              </w:rPr>
              <w:t>: continued</w:t>
            </w:r>
          </w:p>
        </w:tc>
      </w:tr>
      <w:tr w:rsidR="00235130" w:rsidRPr="00A33460" w14:paraId="5AE8B724" w14:textId="77777777" w:rsidTr="00974A7D">
        <w:trPr>
          <w:trHeight w:val="57"/>
          <w:jc w:val="center"/>
        </w:trPr>
        <w:tc>
          <w:tcPr>
            <w:tcW w:w="909" w:type="pct"/>
            <w:tcBorders>
              <w:top w:val="single" w:sz="4" w:space="0" w:color="auto"/>
              <w:left w:val="nil"/>
              <w:right w:val="nil"/>
            </w:tcBorders>
          </w:tcPr>
          <w:p w14:paraId="2C9EC1EC"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iCs/>
                <w:sz w:val="20"/>
                <w:szCs w:val="20"/>
                <w:lang w:val="en-US"/>
              </w:rPr>
            </w:pPr>
          </w:p>
        </w:tc>
        <w:tc>
          <w:tcPr>
            <w:tcW w:w="4091" w:type="pct"/>
            <w:gridSpan w:val="10"/>
            <w:tcBorders>
              <w:top w:val="single" w:sz="4" w:space="0" w:color="auto"/>
              <w:left w:val="nil"/>
              <w:bottom w:val="nil"/>
              <w:right w:val="nil"/>
            </w:tcBorders>
          </w:tcPr>
          <w:p w14:paraId="618232E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lang w:val="en-US"/>
              </w:rPr>
              <w:t xml:space="preserve">Dependent variable = </w:t>
            </w:r>
            <w:r w:rsidRPr="002118F2">
              <w:rPr>
                <w:rFonts w:ascii="Times New Roman" w:hAnsi="Times New Roman" w:cs="Times New Roman"/>
                <w:i/>
                <w:iCs/>
                <w:sz w:val="20"/>
                <w:szCs w:val="20"/>
                <w:lang w:val="en-US"/>
              </w:rPr>
              <w:t>Yield</w:t>
            </w:r>
          </w:p>
        </w:tc>
      </w:tr>
      <w:tr w:rsidR="00235130" w:rsidRPr="00A33460" w14:paraId="3189F1A6" w14:textId="77777777" w:rsidTr="00974A7D">
        <w:trPr>
          <w:trHeight w:val="57"/>
          <w:jc w:val="center"/>
        </w:trPr>
        <w:tc>
          <w:tcPr>
            <w:tcW w:w="909" w:type="pct"/>
            <w:tcBorders>
              <w:left w:val="nil"/>
              <w:right w:val="nil"/>
            </w:tcBorders>
          </w:tcPr>
          <w:p w14:paraId="2CC6C263"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iCs/>
                <w:sz w:val="20"/>
                <w:szCs w:val="20"/>
                <w:lang w:val="en-US"/>
              </w:rPr>
            </w:pPr>
            <w:r w:rsidRPr="002118F2">
              <w:rPr>
                <w:rFonts w:ascii="Times New Roman" w:hAnsi="Times New Roman" w:cs="Times New Roman"/>
                <w:i/>
                <w:iCs/>
                <w:sz w:val="20"/>
                <w:szCs w:val="20"/>
                <w:lang w:val="en-US"/>
              </w:rPr>
              <w:t>Covenant intensity measure:</w:t>
            </w:r>
          </w:p>
        </w:tc>
        <w:tc>
          <w:tcPr>
            <w:tcW w:w="817" w:type="pct"/>
            <w:gridSpan w:val="2"/>
            <w:tcBorders>
              <w:top w:val="single" w:sz="4" w:space="0" w:color="auto"/>
              <w:left w:val="nil"/>
              <w:right w:val="nil"/>
            </w:tcBorders>
          </w:tcPr>
          <w:p w14:paraId="601C0F6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i/>
                <w:iCs/>
                <w:sz w:val="20"/>
                <w:szCs w:val="20"/>
                <w:lang w:val="en-US"/>
              </w:rPr>
              <w:t>CI index</w:t>
            </w:r>
          </w:p>
        </w:tc>
        <w:tc>
          <w:tcPr>
            <w:tcW w:w="819" w:type="pct"/>
            <w:gridSpan w:val="2"/>
            <w:tcBorders>
              <w:top w:val="single" w:sz="4" w:space="0" w:color="auto"/>
              <w:left w:val="nil"/>
              <w:right w:val="nil"/>
            </w:tcBorders>
          </w:tcPr>
          <w:p w14:paraId="2F88C30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i/>
                <w:sz w:val="20"/>
                <w:szCs w:val="20"/>
                <w:lang w:val="en-US"/>
              </w:rPr>
              <w:t>Investment covenant dummy</w:t>
            </w:r>
          </w:p>
        </w:tc>
        <w:tc>
          <w:tcPr>
            <w:tcW w:w="819" w:type="pct"/>
            <w:gridSpan w:val="2"/>
            <w:tcBorders>
              <w:top w:val="single" w:sz="4" w:space="0" w:color="auto"/>
              <w:left w:val="nil"/>
              <w:right w:val="nil"/>
            </w:tcBorders>
          </w:tcPr>
          <w:p w14:paraId="2CAEDC1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i/>
                <w:sz w:val="20"/>
                <w:szCs w:val="20"/>
                <w:lang w:val="en-US"/>
              </w:rPr>
              <w:t>Payout covenant dummy</w:t>
            </w:r>
          </w:p>
        </w:tc>
        <w:tc>
          <w:tcPr>
            <w:tcW w:w="819" w:type="pct"/>
            <w:gridSpan w:val="2"/>
            <w:tcBorders>
              <w:top w:val="single" w:sz="4" w:space="0" w:color="auto"/>
              <w:left w:val="nil"/>
              <w:right w:val="nil"/>
            </w:tcBorders>
          </w:tcPr>
          <w:p w14:paraId="4B3EB54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i/>
                <w:sz w:val="20"/>
                <w:szCs w:val="20"/>
                <w:lang w:val="en-US"/>
              </w:rPr>
              <w:t>Financing covenant dummy</w:t>
            </w:r>
          </w:p>
        </w:tc>
        <w:tc>
          <w:tcPr>
            <w:tcW w:w="817" w:type="pct"/>
            <w:gridSpan w:val="2"/>
            <w:tcBorders>
              <w:top w:val="single" w:sz="4" w:space="0" w:color="auto"/>
              <w:left w:val="nil"/>
              <w:right w:val="nil"/>
            </w:tcBorders>
          </w:tcPr>
          <w:p w14:paraId="3FBC2FF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i/>
                <w:sz w:val="20"/>
                <w:szCs w:val="20"/>
                <w:lang w:val="en-US"/>
              </w:rPr>
              <w:t>Event covenant dummy</w:t>
            </w:r>
          </w:p>
        </w:tc>
      </w:tr>
      <w:tr w:rsidR="00235130" w:rsidRPr="00A33460" w14:paraId="67C7D1F4" w14:textId="77777777" w:rsidTr="00974A7D">
        <w:trPr>
          <w:trHeight w:val="57"/>
          <w:jc w:val="center"/>
        </w:trPr>
        <w:tc>
          <w:tcPr>
            <w:tcW w:w="909" w:type="pct"/>
            <w:tcBorders>
              <w:left w:val="nil"/>
              <w:bottom w:val="single" w:sz="4" w:space="0" w:color="auto"/>
              <w:right w:val="nil"/>
            </w:tcBorders>
          </w:tcPr>
          <w:p w14:paraId="140846FF"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iCs/>
                <w:sz w:val="20"/>
                <w:szCs w:val="20"/>
                <w:lang w:val="en-US"/>
              </w:rPr>
            </w:pPr>
          </w:p>
        </w:tc>
        <w:tc>
          <w:tcPr>
            <w:tcW w:w="408" w:type="pct"/>
            <w:tcBorders>
              <w:left w:val="nil"/>
              <w:bottom w:val="single" w:sz="4" w:space="0" w:color="auto"/>
              <w:right w:val="nil"/>
            </w:tcBorders>
          </w:tcPr>
          <w:p w14:paraId="1C98686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lang w:val="en-US"/>
              </w:rPr>
              <w:t>(1)</w:t>
            </w:r>
          </w:p>
        </w:tc>
        <w:tc>
          <w:tcPr>
            <w:tcW w:w="409" w:type="pct"/>
            <w:tcBorders>
              <w:left w:val="nil"/>
              <w:bottom w:val="single" w:sz="4" w:space="0" w:color="auto"/>
              <w:right w:val="nil"/>
            </w:tcBorders>
          </w:tcPr>
          <w:p w14:paraId="1DE8E62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lang w:val="en-US"/>
              </w:rPr>
              <w:t>(2)</w:t>
            </w:r>
          </w:p>
        </w:tc>
        <w:tc>
          <w:tcPr>
            <w:tcW w:w="409" w:type="pct"/>
            <w:tcBorders>
              <w:left w:val="nil"/>
              <w:bottom w:val="single" w:sz="4" w:space="0" w:color="auto"/>
              <w:right w:val="nil"/>
            </w:tcBorders>
          </w:tcPr>
          <w:p w14:paraId="0AD1E6E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lang w:val="en-US"/>
              </w:rPr>
              <w:t>(3)</w:t>
            </w:r>
          </w:p>
        </w:tc>
        <w:tc>
          <w:tcPr>
            <w:tcW w:w="410" w:type="pct"/>
            <w:tcBorders>
              <w:left w:val="nil"/>
              <w:bottom w:val="single" w:sz="4" w:space="0" w:color="auto"/>
              <w:right w:val="nil"/>
            </w:tcBorders>
          </w:tcPr>
          <w:p w14:paraId="3194982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lang w:val="en-US"/>
              </w:rPr>
              <w:t>(4)</w:t>
            </w:r>
          </w:p>
        </w:tc>
        <w:tc>
          <w:tcPr>
            <w:tcW w:w="409" w:type="pct"/>
            <w:tcBorders>
              <w:left w:val="nil"/>
              <w:bottom w:val="single" w:sz="4" w:space="0" w:color="auto"/>
              <w:right w:val="nil"/>
            </w:tcBorders>
          </w:tcPr>
          <w:p w14:paraId="2C9E787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lang w:val="en-US"/>
              </w:rPr>
              <w:t>(5)</w:t>
            </w:r>
          </w:p>
        </w:tc>
        <w:tc>
          <w:tcPr>
            <w:tcW w:w="410" w:type="pct"/>
            <w:tcBorders>
              <w:left w:val="nil"/>
              <w:bottom w:val="single" w:sz="4" w:space="0" w:color="auto"/>
              <w:right w:val="nil"/>
            </w:tcBorders>
          </w:tcPr>
          <w:p w14:paraId="567F8A8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lang w:val="en-US"/>
              </w:rPr>
              <w:t>(6)</w:t>
            </w:r>
          </w:p>
        </w:tc>
        <w:tc>
          <w:tcPr>
            <w:tcW w:w="409" w:type="pct"/>
            <w:tcBorders>
              <w:left w:val="nil"/>
              <w:bottom w:val="single" w:sz="4" w:space="0" w:color="auto"/>
              <w:right w:val="nil"/>
            </w:tcBorders>
          </w:tcPr>
          <w:p w14:paraId="75F3149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lang w:val="en-US"/>
              </w:rPr>
              <w:t>(7)</w:t>
            </w:r>
          </w:p>
        </w:tc>
        <w:tc>
          <w:tcPr>
            <w:tcW w:w="410" w:type="pct"/>
            <w:tcBorders>
              <w:left w:val="nil"/>
              <w:bottom w:val="single" w:sz="4" w:space="0" w:color="auto"/>
              <w:right w:val="nil"/>
            </w:tcBorders>
          </w:tcPr>
          <w:p w14:paraId="0969EF1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lang w:val="en-US"/>
              </w:rPr>
              <w:t>(8)</w:t>
            </w:r>
          </w:p>
        </w:tc>
        <w:tc>
          <w:tcPr>
            <w:tcW w:w="409" w:type="pct"/>
            <w:tcBorders>
              <w:left w:val="nil"/>
              <w:bottom w:val="single" w:sz="4" w:space="0" w:color="auto"/>
              <w:right w:val="nil"/>
            </w:tcBorders>
          </w:tcPr>
          <w:p w14:paraId="400670D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lang w:val="en-US"/>
              </w:rPr>
              <w:t>(9)</w:t>
            </w:r>
          </w:p>
        </w:tc>
        <w:tc>
          <w:tcPr>
            <w:tcW w:w="408" w:type="pct"/>
            <w:tcBorders>
              <w:left w:val="nil"/>
              <w:bottom w:val="single" w:sz="4" w:space="0" w:color="auto"/>
              <w:right w:val="nil"/>
            </w:tcBorders>
          </w:tcPr>
          <w:p w14:paraId="5224C5D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lang w:val="en-US"/>
              </w:rPr>
              <w:t>(10)</w:t>
            </w:r>
          </w:p>
        </w:tc>
      </w:tr>
      <w:tr w:rsidR="00235130" w:rsidRPr="00A33460" w14:paraId="53C22155" w14:textId="77777777" w:rsidTr="00974A7D">
        <w:trPr>
          <w:trHeight w:val="57"/>
          <w:jc w:val="center"/>
        </w:trPr>
        <w:tc>
          <w:tcPr>
            <w:tcW w:w="909" w:type="pct"/>
            <w:tcBorders>
              <w:top w:val="nil"/>
              <w:left w:val="nil"/>
              <w:right w:val="nil"/>
            </w:tcBorders>
          </w:tcPr>
          <w:p w14:paraId="77CE6497"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iCs/>
                <w:sz w:val="20"/>
                <w:szCs w:val="20"/>
                <w:lang w:val="en-US"/>
              </w:rPr>
              <w:t>G</w:t>
            </w:r>
            <w:r>
              <w:rPr>
                <w:rFonts w:ascii="Times New Roman" w:hAnsi="Times New Roman" w:cs="Times New Roman"/>
                <w:i/>
                <w:iCs/>
                <w:sz w:val="20"/>
                <w:szCs w:val="20"/>
                <w:lang w:val="en-US"/>
              </w:rPr>
              <w:t>FC</w:t>
            </w:r>
            <w:r w:rsidRPr="002118F2">
              <w:rPr>
                <w:rFonts w:ascii="Times New Roman" w:hAnsi="Times New Roman" w:cs="Times New Roman"/>
                <w:i/>
                <w:iCs/>
                <w:sz w:val="20"/>
                <w:szCs w:val="20"/>
                <w:lang w:val="en-US"/>
              </w:rPr>
              <w:t xml:space="preserve"> period</w:t>
            </w:r>
          </w:p>
        </w:tc>
        <w:tc>
          <w:tcPr>
            <w:tcW w:w="408" w:type="pct"/>
            <w:tcBorders>
              <w:top w:val="nil"/>
              <w:left w:val="nil"/>
              <w:right w:val="nil"/>
            </w:tcBorders>
          </w:tcPr>
          <w:p w14:paraId="43F5E4B9" w14:textId="77777777" w:rsidR="00235130" w:rsidRPr="009976BB"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976BB">
              <w:rPr>
                <w:rFonts w:ascii="Times New Roman" w:hAnsi="Times New Roman" w:cs="Times New Roman"/>
                <w:sz w:val="20"/>
                <w:szCs w:val="20"/>
              </w:rPr>
              <w:t>1.024***</w:t>
            </w:r>
          </w:p>
        </w:tc>
        <w:tc>
          <w:tcPr>
            <w:tcW w:w="409" w:type="pct"/>
            <w:tcBorders>
              <w:top w:val="nil"/>
              <w:left w:val="nil"/>
              <w:right w:val="nil"/>
            </w:tcBorders>
          </w:tcPr>
          <w:p w14:paraId="4B546E6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0.365***</w:t>
            </w:r>
          </w:p>
        </w:tc>
        <w:tc>
          <w:tcPr>
            <w:tcW w:w="409" w:type="pct"/>
            <w:tcBorders>
              <w:top w:val="nil"/>
              <w:left w:val="nil"/>
              <w:right w:val="nil"/>
            </w:tcBorders>
          </w:tcPr>
          <w:p w14:paraId="011BBC5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0.886***</w:t>
            </w:r>
          </w:p>
        </w:tc>
        <w:tc>
          <w:tcPr>
            <w:tcW w:w="410" w:type="pct"/>
            <w:tcBorders>
              <w:top w:val="nil"/>
              <w:left w:val="nil"/>
              <w:right w:val="nil"/>
            </w:tcBorders>
          </w:tcPr>
          <w:p w14:paraId="2015DA9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0.636***</w:t>
            </w:r>
          </w:p>
        </w:tc>
        <w:tc>
          <w:tcPr>
            <w:tcW w:w="409" w:type="pct"/>
            <w:tcBorders>
              <w:top w:val="nil"/>
              <w:left w:val="nil"/>
              <w:right w:val="nil"/>
            </w:tcBorders>
          </w:tcPr>
          <w:p w14:paraId="016F52B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1.039***</w:t>
            </w:r>
          </w:p>
        </w:tc>
        <w:tc>
          <w:tcPr>
            <w:tcW w:w="410" w:type="pct"/>
            <w:tcBorders>
              <w:top w:val="nil"/>
              <w:left w:val="nil"/>
              <w:right w:val="nil"/>
            </w:tcBorders>
          </w:tcPr>
          <w:p w14:paraId="26C4C12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0.738***</w:t>
            </w:r>
          </w:p>
        </w:tc>
        <w:tc>
          <w:tcPr>
            <w:tcW w:w="409" w:type="pct"/>
            <w:tcBorders>
              <w:top w:val="nil"/>
              <w:left w:val="nil"/>
              <w:right w:val="nil"/>
            </w:tcBorders>
          </w:tcPr>
          <w:p w14:paraId="6533041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1.007***</w:t>
            </w:r>
          </w:p>
        </w:tc>
        <w:tc>
          <w:tcPr>
            <w:tcW w:w="410" w:type="pct"/>
            <w:tcBorders>
              <w:top w:val="nil"/>
              <w:left w:val="nil"/>
              <w:right w:val="nil"/>
            </w:tcBorders>
          </w:tcPr>
          <w:p w14:paraId="7130F14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0.726***</w:t>
            </w:r>
          </w:p>
        </w:tc>
        <w:tc>
          <w:tcPr>
            <w:tcW w:w="409" w:type="pct"/>
            <w:tcBorders>
              <w:top w:val="nil"/>
              <w:left w:val="nil"/>
              <w:right w:val="nil"/>
            </w:tcBorders>
          </w:tcPr>
          <w:p w14:paraId="7DA4DB2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1.218***</w:t>
            </w:r>
          </w:p>
        </w:tc>
        <w:tc>
          <w:tcPr>
            <w:tcW w:w="408" w:type="pct"/>
            <w:tcBorders>
              <w:top w:val="nil"/>
              <w:left w:val="nil"/>
              <w:right w:val="nil"/>
            </w:tcBorders>
          </w:tcPr>
          <w:p w14:paraId="38774C9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0.893***</w:t>
            </w:r>
          </w:p>
        </w:tc>
      </w:tr>
      <w:tr w:rsidR="00235130" w:rsidRPr="00A33460" w14:paraId="3F51246F" w14:textId="77777777" w:rsidTr="00974A7D">
        <w:trPr>
          <w:trHeight w:val="57"/>
          <w:jc w:val="center"/>
        </w:trPr>
        <w:tc>
          <w:tcPr>
            <w:tcW w:w="909" w:type="pct"/>
            <w:tcBorders>
              <w:top w:val="nil"/>
              <w:left w:val="nil"/>
              <w:bottom w:val="nil"/>
              <w:right w:val="nil"/>
            </w:tcBorders>
          </w:tcPr>
          <w:p w14:paraId="5985A9F8"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77D6851A" w14:textId="77777777" w:rsidR="00235130" w:rsidRPr="009976BB"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976BB">
              <w:rPr>
                <w:rFonts w:ascii="Times New Roman" w:hAnsi="Times New Roman" w:cs="Times New Roman"/>
                <w:sz w:val="20"/>
                <w:szCs w:val="20"/>
              </w:rPr>
              <w:t>(6.70)</w:t>
            </w:r>
          </w:p>
        </w:tc>
        <w:tc>
          <w:tcPr>
            <w:tcW w:w="409" w:type="pct"/>
            <w:tcBorders>
              <w:top w:val="nil"/>
              <w:left w:val="nil"/>
              <w:bottom w:val="nil"/>
              <w:right w:val="nil"/>
            </w:tcBorders>
          </w:tcPr>
          <w:p w14:paraId="7BBD39D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(6.04)</w:t>
            </w:r>
          </w:p>
        </w:tc>
        <w:tc>
          <w:tcPr>
            <w:tcW w:w="409" w:type="pct"/>
            <w:tcBorders>
              <w:top w:val="nil"/>
              <w:left w:val="nil"/>
              <w:bottom w:val="nil"/>
              <w:right w:val="nil"/>
            </w:tcBorders>
          </w:tcPr>
          <w:p w14:paraId="2561EA9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(5.91)</w:t>
            </w:r>
          </w:p>
        </w:tc>
        <w:tc>
          <w:tcPr>
            <w:tcW w:w="410" w:type="pct"/>
            <w:tcBorders>
              <w:top w:val="nil"/>
              <w:left w:val="nil"/>
              <w:bottom w:val="nil"/>
              <w:right w:val="nil"/>
            </w:tcBorders>
          </w:tcPr>
          <w:p w14:paraId="38708C5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(4.13)</w:t>
            </w:r>
          </w:p>
        </w:tc>
        <w:tc>
          <w:tcPr>
            <w:tcW w:w="409" w:type="pct"/>
            <w:tcBorders>
              <w:top w:val="nil"/>
              <w:left w:val="nil"/>
              <w:bottom w:val="nil"/>
              <w:right w:val="nil"/>
            </w:tcBorders>
          </w:tcPr>
          <w:p w14:paraId="50C4293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(6.92)</w:t>
            </w:r>
          </w:p>
        </w:tc>
        <w:tc>
          <w:tcPr>
            <w:tcW w:w="410" w:type="pct"/>
            <w:tcBorders>
              <w:top w:val="nil"/>
              <w:left w:val="nil"/>
              <w:bottom w:val="nil"/>
              <w:right w:val="nil"/>
            </w:tcBorders>
          </w:tcPr>
          <w:p w14:paraId="106DED6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(4.83)</w:t>
            </w:r>
          </w:p>
        </w:tc>
        <w:tc>
          <w:tcPr>
            <w:tcW w:w="409" w:type="pct"/>
            <w:tcBorders>
              <w:top w:val="nil"/>
              <w:left w:val="nil"/>
              <w:bottom w:val="nil"/>
              <w:right w:val="nil"/>
            </w:tcBorders>
          </w:tcPr>
          <w:p w14:paraId="6438B09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(6.74)</w:t>
            </w:r>
          </w:p>
        </w:tc>
        <w:tc>
          <w:tcPr>
            <w:tcW w:w="410" w:type="pct"/>
            <w:tcBorders>
              <w:top w:val="nil"/>
              <w:left w:val="nil"/>
              <w:bottom w:val="nil"/>
              <w:right w:val="nil"/>
            </w:tcBorders>
          </w:tcPr>
          <w:p w14:paraId="6DDBE24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(4.73)</w:t>
            </w:r>
          </w:p>
        </w:tc>
        <w:tc>
          <w:tcPr>
            <w:tcW w:w="409" w:type="pct"/>
            <w:tcBorders>
              <w:top w:val="nil"/>
              <w:left w:val="nil"/>
              <w:bottom w:val="nil"/>
              <w:right w:val="nil"/>
            </w:tcBorders>
          </w:tcPr>
          <w:p w14:paraId="2784B1E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(7.80)</w:t>
            </w:r>
          </w:p>
        </w:tc>
        <w:tc>
          <w:tcPr>
            <w:tcW w:w="408" w:type="pct"/>
            <w:tcBorders>
              <w:top w:val="nil"/>
              <w:left w:val="nil"/>
              <w:bottom w:val="nil"/>
              <w:right w:val="nil"/>
            </w:tcBorders>
          </w:tcPr>
          <w:p w14:paraId="28AAE64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(5.61)</w:t>
            </w:r>
          </w:p>
        </w:tc>
      </w:tr>
      <w:tr w:rsidR="00235130" w:rsidRPr="00A33460" w14:paraId="3343CAFB" w14:textId="77777777" w:rsidTr="00974A7D">
        <w:trPr>
          <w:trHeight w:val="57"/>
          <w:jc w:val="center"/>
        </w:trPr>
        <w:tc>
          <w:tcPr>
            <w:tcW w:w="909" w:type="pct"/>
            <w:tcBorders>
              <w:top w:val="nil"/>
              <w:left w:val="nil"/>
              <w:bottom w:val="nil"/>
              <w:right w:val="nil"/>
            </w:tcBorders>
          </w:tcPr>
          <w:p w14:paraId="26EF8CB8"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iCs/>
                <w:sz w:val="20"/>
                <w:szCs w:val="20"/>
                <w:lang w:val="en-US"/>
              </w:rPr>
              <w:t>Post-crisis period</w:t>
            </w:r>
          </w:p>
        </w:tc>
        <w:tc>
          <w:tcPr>
            <w:tcW w:w="408" w:type="pct"/>
            <w:tcBorders>
              <w:top w:val="nil"/>
              <w:left w:val="nil"/>
              <w:bottom w:val="nil"/>
              <w:right w:val="nil"/>
            </w:tcBorders>
          </w:tcPr>
          <w:p w14:paraId="4EF632E1" w14:textId="77777777" w:rsidR="00235130" w:rsidRPr="009976BB"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976BB">
              <w:rPr>
                <w:rFonts w:ascii="Times New Roman" w:hAnsi="Times New Roman" w:cs="Times New Roman"/>
                <w:sz w:val="20"/>
                <w:szCs w:val="20"/>
              </w:rPr>
              <w:t>0.673***</w:t>
            </w:r>
          </w:p>
        </w:tc>
        <w:tc>
          <w:tcPr>
            <w:tcW w:w="409" w:type="pct"/>
            <w:tcBorders>
              <w:top w:val="nil"/>
              <w:left w:val="nil"/>
              <w:bottom w:val="nil"/>
              <w:right w:val="nil"/>
            </w:tcBorders>
          </w:tcPr>
          <w:p w14:paraId="560AB8E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-1.192***</w:t>
            </w:r>
          </w:p>
        </w:tc>
        <w:tc>
          <w:tcPr>
            <w:tcW w:w="409" w:type="pct"/>
            <w:tcBorders>
              <w:top w:val="nil"/>
              <w:left w:val="nil"/>
              <w:bottom w:val="nil"/>
              <w:right w:val="nil"/>
            </w:tcBorders>
          </w:tcPr>
          <w:p w14:paraId="7463731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0.565***</w:t>
            </w:r>
          </w:p>
        </w:tc>
        <w:tc>
          <w:tcPr>
            <w:tcW w:w="410" w:type="pct"/>
            <w:tcBorders>
              <w:top w:val="nil"/>
              <w:left w:val="nil"/>
              <w:bottom w:val="nil"/>
              <w:right w:val="nil"/>
            </w:tcBorders>
          </w:tcPr>
          <w:p w14:paraId="2643340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0.344***</w:t>
            </w:r>
          </w:p>
        </w:tc>
        <w:tc>
          <w:tcPr>
            <w:tcW w:w="409" w:type="pct"/>
            <w:tcBorders>
              <w:top w:val="nil"/>
              <w:left w:val="nil"/>
              <w:bottom w:val="nil"/>
              <w:right w:val="nil"/>
            </w:tcBorders>
          </w:tcPr>
          <w:p w14:paraId="7B2F3E4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0.615***</w:t>
            </w:r>
          </w:p>
        </w:tc>
        <w:tc>
          <w:tcPr>
            <w:tcW w:w="410" w:type="pct"/>
            <w:tcBorders>
              <w:top w:val="nil"/>
              <w:left w:val="nil"/>
              <w:bottom w:val="nil"/>
              <w:right w:val="nil"/>
            </w:tcBorders>
          </w:tcPr>
          <w:p w14:paraId="5E74951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0.372***</w:t>
            </w:r>
          </w:p>
        </w:tc>
        <w:tc>
          <w:tcPr>
            <w:tcW w:w="409" w:type="pct"/>
            <w:tcBorders>
              <w:top w:val="nil"/>
              <w:left w:val="nil"/>
              <w:bottom w:val="nil"/>
              <w:right w:val="nil"/>
            </w:tcBorders>
          </w:tcPr>
          <w:p w14:paraId="39894E4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0.594***</w:t>
            </w:r>
          </w:p>
        </w:tc>
        <w:tc>
          <w:tcPr>
            <w:tcW w:w="410" w:type="pct"/>
            <w:tcBorders>
              <w:top w:val="nil"/>
              <w:left w:val="nil"/>
              <w:bottom w:val="nil"/>
              <w:right w:val="nil"/>
            </w:tcBorders>
          </w:tcPr>
          <w:p w14:paraId="638CE45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0.361***</w:t>
            </w:r>
          </w:p>
        </w:tc>
        <w:tc>
          <w:tcPr>
            <w:tcW w:w="409" w:type="pct"/>
            <w:tcBorders>
              <w:top w:val="nil"/>
              <w:left w:val="nil"/>
              <w:bottom w:val="nil"/>
              <w:right w:val="nil"/>
            </w:tcBorders>
          </w:tcPr>
          <w:p w14:paraId="2F20C2A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0.882***</w:t>
            </w:r>
          </w:p>
        </w:tc>
        <w:tc>
          <w:tcPr>
            <w:tcW w:w="408" w:type="pct"/>
            <w:tcBorders>
              <w:top w:val="nil"/>
              <w:left w:val="nil"/>
              <w:bottom w:val="nil"/>
              <w:right w:val="nil"/>
            </w:tcBorders>
          </w:tcPr>
          <w:p w14:paraId="16D98EB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0.586***</w:t>
            </w:r>
          </w:p>
        </w:tc>
      </w:tr>
      <w:tr w:rsidR="00235130" w:rsidRPr="00A33460" w14:paraId="2539B0C2" w14:textId="77777777" w:rsidTr="00974A7D">
        <w:trPr>
          <w:trHeight w:val="57"/>
          <w:jc w:val="center"/>
        </w:trPr>
        <w:tc>
          <w:tcPr>
            <w:tcW w:w="909" w:type="pct"/>
            <w:tcBorders>
              <w:top w:val="nil"/>
              <w:left w:val="nil"/>
              <w:bottom w:val="nil"/>
              <w:right w:val="nil"/>
            </w:tcBorders>
          </w:tcPr>
          <w:p w14:paraId="4ACEDF3E"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7D57221D" w14:textId="77777777" w:rsidR="00235130" w:rsidRPr="009976BB"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976BB">
              <w:rPr>
                <w:rFonts w:ascii="Times New Roman" w:hAnsi="Times New Roman" w:cs="Times New Roman"/>
                <w:sz w:val="20"/>
                <w:szCs w:val="20"/>
              </w:rPr>
              <w:t>(7.54)</w:t>
            </w:r>
          </w:p>
        </w:tc>
        <w:tc>
          <w:tcPr>
            <w:tcW w:w="409" w:type="pct"/>
            <w:tcBorders>
              <w:top w:val="nil"/>
              <w:left w:val="nil"/>
              <w:bottom w:val="nil"/>
              <w:right w:val="nil"/>
            </w:tcBorders>
          </w:tcPr>
          <w:p w14:paraId="12C4B58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(-8.27)</w:t>
            </w:r>
          </w:p>
        </w:tc>
        <w:tc>
          <w:tcPr>
            <w:tcW w:w="409" w:type="pct"/>
            <w:tcBorders>
              <w:top w:val="nil"/>
              <w:left w:val="nil"/>
              <w:bottom w:val="nil"/>
              <w:right w:val="nil"/>
            </w:tcBorders>
          </w:tcPr>
          <w:p w14:paraId="1F74298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(6.65)</w:t>
            </w:r>
          </w:p>
        </w:tc>
        <w:tc>
          <w:tcPr>
            <w:tcW w:w="410" w:type="pct"/>
            <w:tcBorders>
              <w:top w:val="nil"/>
              <w:left w:val="nil"/>
              <w:bottom w:val="nil"/>
              <w:right w:val="nil"/>
            </w:tcBorders>
          </w:tcPr>
          <w:p w14:paraId="466ABA3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(3.85)</w:t>
            </w:r>
          </w:p>
        </w:tc>
        <w:tc>
          <w:tcPr>
            <w:tcW w:w="409" w:type="pct"/>
            <w:tcBorders>
              <w:top w:val="nil"/>
              <w:left w:val="nil"/>
              <w:bottom w:val="nil"/>
              <w:right w:val="nil"/>
            </w:tcBorders>
          </w:tcPr>
          <w:p w14:paraId="0776F8C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(7.17)</w:t>
            </w:r>
          </w:p>
        </w:tc>
        <w:tc>
          <w:tcPr>
            <w:tcW w:w="410" w:type="pct"/>
            <w:tcBorders>
              <w:top w:val="nil"/>
              <w:left w:val="nil"/>
              <w:bottom w:val="nil"/>
              <w:right w:val="nil"/>
            </w:tcBorders>
          </w:tcPr>
          <w:p w14:paraId="7A3366A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(4.14)</w:t>
            </w:r>
          </w:p>
        </w:tc>
        <w:tc>
          <w:tcPr>
            <w:tcW w:w="409" w:type="pct"/>
            <w:tcBorders>
              <w:top w:val="nil"/>
              <w:left w:val="nil"/>
              <w:bottom w:val="nil"/>
              <w:right w:val="nil"/>
            </w:tcBorders>
          </w:tcPr>
          <w:p w14:paraId="20F5E58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(6.94)</w:t>
            </w:r>
          </w:p>
        </w:tc>
        <w:tc>
          <w:tcPr>
            <w:tcW w:w="410" w:type="pct"/>
            <w:tcBorders>
              <w:top w:val="nil"/>
              <w:left w:val="nil"/>
              <w:bottom w:val="nil"/>
              <w:right w:val="nil"/>
            </w:tcBorders>
          </w:tcPr>
          <w:p w14:paraId="1472D27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(4.02)</w:t>
            </w:r>
          </w:p>
        </w:tc>
        <w:tc>
          <w:tcPr>
            <w:tcW w:w="409" w:type="pct"/>
            <w:tcBorders>
              <w:top w:val="nil"/>
              <w:left w:val="nil"/>
              <w:bottom w:val="nil"/>
              <w:right w:val="nil"/>
            </w:tcBorders>
          </w:tcPr>
          <w:p w14:paraId="140207F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(8.28)</w:t>
            </w:r>
          </w:p>
        </w:tc>
        <w:tc>
          <w:tcPr>
            <w:tcW w:w="408" w:type="pct"/>
            <w:tcBorders>
              <w:top w:val="nil"/>
              <w:left w:val="nil"/>
              <w:bottom w:val="nil"/>
              <w:right w:val="nil"/>
            </w:tcBorders>
          </w:tcPr>
          <w:p w14:paraId="2CF745B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(5.53)</w:t>
            </w:r>
          </w:p>
        </w:tc>
      </w:tr>
      <w:tr w:rsidR="00235130" w:rsidRPr="00A33460" w14:paraId="1554FB9F" w14:textId="77777777" w:rsidTr="00974A7D">
        <w:trPr>
          <w:trHeight w:val="57"/>
          <w:jc w:val="center"/>
        </w:trPr>
        <w:tc>
          <w:tcPr>
            <w:tcW w:w="909" w:type="pct"/>
            <w:tcBorders>
              <w:top w:val="nil"/>
              <w:left w:val="nil"/>
              <w:bottom w:val="nil"/>
              <w:right w:val="nil"/>
            </w:tcBorders>
          </w:tcPr>
          <w:p w14:paraId="313EB5F4"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Proceeds</w:t>
            </w:r>
          </w:p>
        </w:tc>
        <w:tc>
          <w:tcPr>
            <w:tcW w:w="408" w:type="pct"/>
            <w:tcBorders>
              <w:top w:val="nil"/>
              <w:left w:val="nil"/>
              <w:bottom w:val="nil"/>
              <w:right w:val="nil"/>
            </w:tcBorders>
          </w:tcPr>
          <w:p w14:paraId="4DD7235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9" w:type="pct"/>
            <w:tcBorders>
              <w:top w:val="nil"/>
              <w:left w:val="nil"/>
              <w:bottom w:val="nil"/>
              <w:right w:val="nil"/>
            </w:tcBorders>
          </w:tcPr>
          <w:p w14:paraId="51728D7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1.087***</w:t>
            </w:r>
          </w:p>
        </w:tc>
        <w:tc>
          <w:tcPr>
            <w:tcW w:w="409" w:type="pct"/>
            <w:tcBorders>
              <w:top w:val="nil"/>
              <w:left w:val="nil"/>
              <w:bottom w:val="nil"/>
              <w:right w:val="nil"/>
            </w:tcBorders>
          </w:tcPr>
          <w:p w14:paraId="32A9695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283C06E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0.982***</w:t>
            </w:r>
          </w:p>
        </w:tc>
        <w:tc>
          <w:tcPr>
            <w:tcW w:w="409" w:type="pct"/>
            <w:tcBorders>
              <w:top w:val="nil"/>
              <w:left w:val="nil"/>
              <w:bottom w:val="nil"/>
              <w:right w:val="nil"/>
            </w:tcBorders>
          </w:tcPr>
          <w:p w14:paraId="21E197E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668D0D1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1.054***</w:t>
            </w:r>
          </w:p>
        </w:tc>
        <w:tc>
          <w:tcPr>
            <w:tcW w:w="409" w:type="pct"/>
            <w:tcBorders>
              <w:top w:val="nil"/>
              <w:left w:val="nil"/>
              <w:bottom w:val="nil"/>
              <w:right w:val="nil"/>
            </w:tcBorders>
          </w:tcPr>
          <w:p w14:paraId="4C3B666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1DD512E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0.980***</w:t>
            </w:r>
          </w:p>
        </w:tc>
        <w:tc>
          <w:tcPr>
            <w:tcW w:w="409" w:type="pct"/>
            <w:tcBorders>
              <w:top w:val="nil"/>
              <w:left w:val="nil"/>
              <w:bottom w:val="nil"/>
              <w:right w:val="nil"/>
            </w:tcBorders>
          </w:tcPr>
          <w:p w14:paraId="12420CD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8" w:type="pct"/>
            <w:tcBorders>
              <w:top w:val="nil"/>
              <w:left w:val="nil"/>
              <w:bottom w:val="nil"/>
              <w:right w:val="nil"/>
            </w:tcBorders>
          </w:tcPr>
          <w:p w14:paraId="0AF287E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1.005***</w:t>
            </w:r>
          </w:p>
        </w:tc>
      </w:tr>
      <w:tr w:rsidR="00235130" w:rsidRPr="00A33460" w14:paraId="0A7922BD" w14:textId="77777777" w:rsidTr="00974A7D">
        <w:trPr>
          <w:trHeight w:val="57"/>
          <w:jc w:val="center"/>
        </w:trPr>
        <w:tc>
          <w:tcPr>
            <w:tcW w:w="909" w:type="pct"/>
            <w:tcBorders>
              <w:top w:val="nil"/>
              <w:left w:val="nil"/>
              <w:bottom w:val="nil"/>
              <w:right w:val="nil"/>
            </w:tcBorders>
          </w:tcPr>
          <w:p w14:paraId="7845AD8B"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241FA2D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9" w:type="pct"/>
            <w:tcBorders>
              <w:top w:val="nil"/>
              <w:left w:val="nil"/>
              <w:bottom w:val="nil"/>
              <w:right w:val="nil"/>
            </w:tcBorders>
          </w:tcPr>
          <w:p w14:paraId="6CB6B09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(5.70)</w:t>
            </w:r>
          </w:p>
        </w:tc>
        <w:tc>
          <w:tcPr>
            <w:tcW w:w="409" w:type="pct"/>
            <w:tcBorders>
              <w:top w:val="nil"/>
              <w:left w:val="nil"/>
              <w:bottom w:val="nil"/>
              <w:right w:val="nil"/>
            </w:tcBorders>
          </w:tcPr>
          <w:p w14:paraId="37A1DB0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575BDEA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(9.83)</w:t>
            </w:r>
          </w:p>
        </w:tc>
        <w:tc>
          <w:tcPr>
            <w:tcW w:w="409" w:type="pct"/>
            <w:tcBorders>
              <w:top w:val="nil"/>
              <w:left w:val="nil"/>
              <w:bottom w:val="nil"/>
              <w:right w:val="nil"/>
            </w:tcBorders>
          </w:tcPr>
          <w:p w14:paraId="7A78867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7CCBD4C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(10.28)</w:t>
            </w:r>
          </w:p>
        </w:tc>
        <w:tc>
          <w:tcPr>
            <w:tcW w:w="409" w:type="pct"/>
            <w:tcBorders>
              <w:top w:val="nil"/>
              <w:left w:val="nil"/>
              <w:bottom w:val="nil"/>
              <w:right w:val="nil"/>
            </w:tcBorders>
          </w:tcPr>
          <w:p w14:paraId="32AFBEA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1B30C73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(9.82)</w:t>
            </w:r>
          </w:p>
        </w:tc>
        <w:tc>
          <w:tcPr>
            <w:tcW w:w="409" w:type="pct"/>
            <w:tcBorders>
              <w:top w:val="nil"/>
              <w:left w:val="nil"/>
              <w:bottom w:val="nil"/>
              <w:right w:val="nil"/>
            </w:tcBorders>
          </w:tcPr>
          <w:p w14:paraId="39580AB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8" w:type="pct"/>
            <w:tcBorders>
              <w:top w:val="nil"/>
              <w:left w:val="nil"/>
              <w:bottom w:val="nil"/>
              <w:right w:val="nil"/>
            </w:tcBorders>
          </w:tcPr>
          <w:p w14:paraId="01A0A22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(10.00)</w:t>
            </w:r>
          </w:p>
        </w:tc>
      </w:tr>
      <w:tr w:rsidR="00235130" w:rsidRPr="00A33460" w14:paraId="75C6088C" w14:textId="77777777" w:rsidTr="00974A7D">
        <w:trPr>
          <w:trHeight w:val="57"/>
          <w:jc w:val="center"/>
        </w:trPr>
        <w:tc>
          <w:tcPr>
            <w:tcW w:w="909" w:type="pct"/>
            <w:tcBorders>
              <w:top w:val="nil"/>
              <w:left w:val="nil"/>
              <w:bottom w:val="nil"/>
              <w:right w:val="nil"/>
            </w:tcBorders>
          </w:tcPr>
          <w:p w14:paraId="6436501A"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Callable</w:t>
            </w:r>
          </w:p>
        </w:tc>
        <w:tc>
          <w:tcPr>
            <w:tcW w:w="408" w:type="pct"/>
            <w:tcBorders>
              <w:top w:val="nil"/>
              <w:left w:val="nil"/>
              <w:bottom w:val="nil"/>
              <w:right w:val="nil"/>
            </w:tcBorders>
          </w:tcPr>
          <w:p w14:paraId="12ABD79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9" w:type="pct"/>
            <w:tcBorders>
              <w:top w:val="nil"/>
              <w:left w:val="nil"/>
              <w:bottom w:val="nil"/>
              <w:right w:val="nil"/>
            </w:tcBorders>
          </w:tcPr>
          <w:p w14:paraId="657996D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0.068</w:t>
            </w:r>
          </w:p>
        </w:tc>
        <w:tc>
          <w:tcPr>
            <w:tcW w:w="409" w:type="pct"/>
            <w:tcBorders>
              <w:top w:val="nil"/>
              <w:left w:val="nil"/>
              <w:bottom w:val="nil"/>
              <w:right w:val="nil"/>
            </w:tcBorders>
          </w:tcPr>
          <w:p w14:paraId="049D772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27F1B97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0.340***</w:t>
            </w:r>
          </w:p>
        </w:tc>
        <w:tc>
          <w:tcPr>
            <w:tcW w:w="409" w:type="pct"/>
            <w:tcBorders>
              <w:top w:val="nil"/>
              <w:left w:val="nil"/>
              <w:bottom w:val="nil"/>
              <w:right w:val="nil"/>
            </w:tcBorders>
          </w:tcPr>
          <w:p w14:paraId="7F65B67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7C15ED0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0.339***</w:t>
            </w:r>
          </w:p>
        </w:tc>
        <w:tc>
          <w:tcPr>
            <w:tcW w:w="409" w:type="pct"/>
            <w:tcBorders>
              <w:top w:val="nil"/>
              <w:left w:val="nil"/>
              <w:bottom w:val="nil"/>
              <w:right w:val="nil"/>
            </w:tcBorders>
          </w:tcPr>
          <w:p w14:paraId="7034662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253F392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0.349***</w:t>
            </w:r>
          </w:p>
        </w:tc>
        <w:tc>
          <w:tcPr>
            <w:tcW w:w="409" w:type="pct"/>
            <w:tcBorders>
              <w:top w:val="nil"/>
              <w:left w:val="nil"/>
              <w:bottom w:val="nil"/>
              <w:right w:val="nil"/>
            </w:tcBorders>
          </w:tcPr>
          <w:p w14:paraId="057FC74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8" w:type="pct"/>
            <w:tcBorders>
              <w:top w:val="nil"/>
              <w:left w:val="nil"/>
              <w:bottom w:val="nil"/>
              <w:right w:val="nil"/>
            </w:tcBorders>
          </w:tcPr>
          <w:p w14:paraId="120C1D2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0.341***</w:t>
            </w:r>
          </w:p>
        </w:tc>
      </w:tr>
      <w:tr w:rsidR="00235130" w:rsidRPr="00A33460" w14:paraId="456811D3" w14:textId="77777777" w:rsidTr="00974A7D">
        <w:trPr>
          <w:trHeight w:val="57"/>
          <w:jc w:val="center"/>
        </w:trPr>
        <w:tc>
          <w:tcPr>
            <w:tcW w:w="909" w:type="pct"/>
            <w:tcBorders>
              <w:top w:val="nil"/>
              <w:left w:val="nil"/>
              <w:bottom w:val="nil"/>
              <w:right w:val="nil"/>
            </w:tcBorders>
          </w:tcPr>
          <w:p w14:paraId="4942DE57"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255896A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9" w:type="pct"/>
            <w:tcBorders>
              <w:top w:val="nil"/>
              <w:left w:val="nil"/>
              <w:bottom w:val="nil"/>
              <w:right w:val="nil"/>
            </w:tcBorders>
          </w:tcPr>
          <w:p w14:paraId="5297955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(0.74)</w:t>
            </w:r>
          </w:p>
        </w:tc>
        <w:tc>
          <w:tcPr>
            <w:tcW w:w="409" w:type="pct"/>
            <w:tcBorders>
              <w:top w:val="nil"/>
              <w:left w:val="nil"/>
              <w:bottom w:val="nil"/>
              <w:right w:val="nil"/>
            </w:tcBorders>
          </w:tcPr>
          <w:p w14:paraId="1C486E2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21B61E8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(5.84)</w:t>
            </w:r>
          </w:p>
        </w:tc>
        <w:tc>
          <w:tcPr>
            <w:tcW w:w="409" w:type="pct"/>
            <w:tcBorders>
              <w:top w:val="nil"/>
              <w:left w:val="nil"/>
              <w:bottom w:val="nil"/>
              <w:right w:val="nil"/>
            </w:tcBorders>
          </w:tcPr>
          <w:p w14:paraId="62BD73B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190CEB1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(5.86)</w:t>
            </w:r>
          </w:p>
        </w:tc>
        <w:tc>
          <w:tcPr>
            <w:tcW w:w="409" w:type="pct"/>
            <w:tcBorders>
              <w:top w:val="nil"/>
              <w:left w:val="nil"/>
              <w:bottom w:val="nil"/>
              <w:right w:val="nil"/>
            </w:tcBorders>
          </w:tcPr>
          <w:p w14:paraId="1FA32F9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5264843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(5.97)</w:t>
            </w:r>
          </w:p>
        </w:tc>
        <w:tc>
          <w:tcPr>
            <w:tcW w:w="409" w:type="pct"/>
            <w:tcBorders>
              <w:top w:val="nil"/>
              <w:left w:val="nil"/>
              <w:bottom w:val="nil"/>
              <w:right w:val="nil"/>
            </w:tcBorders>
          </w:tcPr>
          <w:p w14:paraId="7531618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8" w:type="pct"/>
            <w:tcBorders>
              <w:top w:val="nil"/>
              <w:left w:val="nil"/>
              <w:bottom w:val="nil"/>
              <w:right w:val="nil"/>
            </w:tcBorders>
          </w:tcPr>
          <w:p w14:paraId="0277B50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(5.84)</w:t>
            </w:r>
          </w:p>
        </w:tc>
      </w:tr>
      <w:tr w:rsidR="00235130" w:rsidRPr="00A33460" w14:paraId="5B318233" w14:textId="77777777" w:rsidTr="00974A7D">
        <w:trPr>
          <w:trHeight w:val="57"/>
          <w:jc w:val="center"/>
        </w:trPr>
        <w:tc>
          <w:tcPr>
            <w:tcW w:w="909" w:type="pct"/>
            <w:tcBorders>
              <w:top w:val="nil"/>
              <w:left w:val="nil"/>
              <w:bottom w:val="nil"/>
              <w:right w:val="nil"/>
            </w:tcBorders>
          </w:tcPr>
          <w:p w14:paraId="4480AE69"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roofErr w:type="spellStart"/>
            <w:r w:rsidRPr="002118F2">
              <w:rPr>
                <w:rFonts w:ascii="Times New Roman" w:hAnsi="Times New Roman" w:cs="Times New Roman"/>
                <w:i/>
                <w:sz w:val="20"/>
                <w:szCs w:val="20"/>
                <w:lang w:val="en-US"/>
              </w:rPr>
              <w:t>Putable</w:t>
            </w:r>
            <w:proofErr w:type="spellEnd"/>
          </w:p>
        </w:tc>
        <w:tc>
          <w:tcPr>
            <w:tcW w:w="408" w:type="pct"/>
            <w:tcBorders>
              <w:top w:val="nil"/>
              <w:left w:val="nil"/>
              <w:bottom w:val="nil"/>
              <w:right w:val="nil"/>
            </w:tcBorders>
          </w:tcPr>
          <w:p w14:paraId="17AFCC1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9" w:type="pct"/>
            <w:tcBorders>
              <w:top w:val="nil"/>
              <w:left w:val="nil"/>
              <w:bottom w:val="nil"/>
              <w:right w:val="nil"/>
            </w:tcBorders>
          </w:tcPr>
          <w:p w14:paraId="4E34341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0.139***</w:t>
            </w:r>
          </w:p>
        </w:tc>
        <w:tc>
          <w:tcPr>
            <w:tcW w:w="409" w:type="pct"/>
            <w:tcBorders>
              <w:top w:val="nil"/>
              <w:left w:val="nil"/>
              <w:bottom w:val="nil"/>
              <w:right w:val="nil"/>
            </w:tcBorders>
          </w:tcPr>
          <w:p w14:paraId="43BF2BA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17F967B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-1.164***</w:t>
            </w:r>
          </w:p>
        </w:tc>
        <w:tc>
          <w:tcPr>
            <w:tcW w:w="409" w:type="pct"/>
            <w:tcBorders>
              <w:top w:val="nil"/>
              <w:left w:val="nil"/>
              <w:bottom w:val="nil"/>
              <w:right w:val="nil"/>
            </w:tcBorders>
          </w:tcPr>
          <w:p w14:paraId="560D12C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4E97203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-1.166***</w:t>
            </w:r>
          </w:p>
        </w:tc>
        <w:tc>
          <w:tcPr>
            <w:tcW w:w="409" w:type="pct"/>
            <w:tcBorders>
              <w:top w:val="nil"/>
              <w:left w:val="nil"/>
              <w:bottom w:val="nil"/>
              <w:right w:val="nil"/>
            </w:tcBorders>
          </w:tcPr>
          <w:p w14:paraId="16BB740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305E5A0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-1.178***</w:t>
            </w:r>
          </w:p>
        </w:tc>
        <w:tc>
          <w:tcPr>
            <w:tcW w:w="409" w:type="pct"/>
            <w:tcBorders>
              <w:top w:val="nil"/>
              <w:left w:val="nil"/>
              <w:bottom w:val="nil"/>
              <w:right w:val="nil"/>
            </w:tcBorders>
          </w:tcPr>
          <w:p w14:paraId="2EAF93B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8" w:type="pct"/>
            <w:tcBorders>
              <w:top w:val="nil"/>
              <w:left w:val="nil"/>
              <w:bottom w:val="nil"/>
              <w:right w:val="nil"/>
            </w:tcBorders>
          </w:tcPr>
          <w:p w14:paraId="20C25B3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-1.147***</w:t>
            </w:r>
          </w:p>
        </w:tc>
      </w:tr>
      <w:tr w:rsidR="00235130" w:rsidRPr="00A33460" w14:paraId="77E90437" w14:textId="77777777" w:rsidTr="00974A7D">
        <w:trPr>
          <w:trHeight w:val="57"/>
          <w:jc w:val="center"/>
        </w:trPr>
        <w:tc>
          <w:tcPr>
            <w:tcW w:w="909" w:type="pct"/>
            <w:tcBorders>
              <w:top w:val="nil"/>
              <w:left w:val="nil"/>
              <w:bottom w:val="nil"/>
              <w:right w:val="nil"/>
            </w:tcBorders>
          </w:tcPr>
          <w:p w14:paraId="155CD418"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25414FF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9" w:type="pct"/>
            <w:tcBorders>
              <w:top w:val="nil"/>
              <w:left w:val="nil"/>
              <w:bottom w:val="nil"/>
              <w:right w:val="nil"/>
            </w:tcBorders>
          </w:tcPr>
          <w:p w14:paraId="55A5C03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(6.35)</w:t>
            </w:r>
          </w:p>
        </w:tc>
        <w:tc>
          <w:tcPr>
            <w:tcW w:w="409" w:type="pct"/>
            <w:tcBorders>
              <w:top w:val="nil"/>
              <w:left w:val="nil"/>
              <w:bottom w:val="nil"/>
              <w:right w:val="nil"/>
            </w:tcBorders>
          </w:tcPr>
          <w:p w14:paraId="52CC307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7E6BEBF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(-8.18)</w:t>
            </w:r>
          </w:p>
        </w:tc>
        <w:tc>
          <w:tcPr>
            <w:tcW w:w="409" w:type="pct"/>
            <w:tcBorders>
              <w:top w:val="nil"/>
              <w:left w:val="nil"/>
              <w:bottom w:val="nil"/>
              <w:right w:val="nil"/>
            </w:tcBorders>
          </w:tcPr>
          <w:p w14:paraId="0D485F6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2C81229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(-8.21)</w:t>
            </w:r>
          </w:p>
        </w:tc>
        <w:tc>
          <w:tcPr>
            <w:tcW w:w="409" w:type="pct"/>
            <w:tcBorders>
              <w:top w:val="nil"/>
              <w:left w:val="nil"/>
              <w:bottom w:val="nil"/>
              <w:right w:val="nil"/>
            </w:tcBorders>
          </w:tcPr>
          <w:p w14:paraId="71183CA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49DC28B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(-8.11)</w:t>
            </w:r>
          </w:p>
        </w:tc>
        <w:tc>
          <w:tcPr>
            <w:tcW w:w="409" w:type="pct"/>
            <w:tcBorders>
              <w:top w:val="nil"/>
              <w:left w:val="nil"/>
              <w:bottom w:val="nil"/>
              <w:right w:val="nil"/>
            </w:tcBorders>
          </w:tcPr>
          <w:p w14:paraId="1E13B28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8" w:type="pct"/>
            <w:tcBorders>
              <w:top w:val="nil"/>
              <w:left w:val="nil"/>
              <w:bottom w:val="nil"/>
              <w:right w:val="nil"/>
            </w:tcBorders>
          </w:tcPr>
          <w:p w14:paraId="74B5A78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(-8.15)</w:t>
            </w:r>
          </w:p>
        </w:tc>
      </w:tr>
      <w:tr w:rsidR="00235130" w:rsidRPr="00A33460" w14:paraId="76CDF0F7" w14:textId="77777777" w:rsidTr="00974A7D">
        <w:trPr>
          <w:trHeight w:val="57"/>
          <w:jc w:val="center"/>
        </w:trPr>
        <w:tc>
          <w:tcPr>
            <w:tcW w:w="909" w:type="pct"/>
            <w:tcBorders>
              <w:top w:val="nil"/>
              <w:left w:val="nil"/>
              <w:bottom w:val="nil"/>
              <w:right w:val="nil"/>
            </w:tcBorders>
          </w:tcPr>
          <w:p w14:paraId="41539CE7"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Secured</w:t>
            </w:r>
          </w:p>
        </w:tc>
        <w:tc>
          <w:tcPr>
            <w:tcW w:w="408" w:type="pct"/>
            <w:tcBorders>
              <w:top w:val="nil"/>
              <w:left w:val="nil"/>
              <w:bottom w:val="nil"/>
              <w:right w:val="nil"/>
            </w:tcBorders>
          </w:tcPr>
          <w:p w14:paraId="3FB72B8D" w14:textId="77777777" w:rsidR="00235130" w:rsidRPr="004B60E7"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p>
        </w:tc>
        <w:tc>
          <w:tcPr>
            <w:tcW w:w="409" w:type="pct"/>
            <w:tcBorders>
              <w:top w:val="nil"/>
              <w:left w:val="nil"/>
              <w:bottom w:val="nil"/>
              <w:right w:val="nil"/>
            </w:tcBorders>
          </w:tcPr>
          <w:p w14:paraId="710E8DB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0.150**</w:t>
            </w:r>
          </w:p>
        </w:tc>
        <w:tc>
          <w:tcPr>
            <w:tcW w:w="409" w:type="pct"/>
            <w:tcBorders>
              <w:top w:val="nil"/>
              <w:left w:val="nil"/>
              <w:bottom w:val="nil"/>
              <w:right w:val="nil"/>
            </w:tcBorders>
          </w:tcPr>
          <w:p w14:paraId="565EDED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1097138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1.103***</w:t>
            </w:r>
          </w:p>
        </w:tc>
        <w:tc>
          <w:tcPr>
            <w:tcW w:w="409" w:type="pct"/>
            <w:tcBorders>
              <w:top w:val="nil"/>
              <w:left w:val="nil"/>
              <w:bottom w:val="nil"/>
              <w:right w:val="nil"/>
            </w:tcBorders>
          </w:tcPr>
          <w:p w14:paraId="0ED5EC5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3FD81FC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1.076***</w:t>
            </w:r>
          </w:p>
        </w:tc>
        <w:tc>
          <w:tcPr>
            <w:tcW w:w="409" w:type="pct"/>
            <w:tcBorders>
              <w:top w:val="nil"/>
              <w:left w:val="nil"/>
              <w:bottom w:val="nil"/>
              <w:right w:val="nil"/>
            </w:tcBorders>
          </w:tcPr>
          <w:p w14:paraId="6147867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0FFE11B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1.106***</w:t>
            </w:r>
          </w:p>
        </w:tc>
        <w:tc>
          <w:tcPr>
            <w:tcW w:w="409" w:type="pct"/>
            <w:tcBorders>
              <w:top w:val="nil"/>
              <w:left w:val="nil"/>
              <w:bottom w:val="nil"/>
              <w:right w:val="nil"/>
            </w:tcBorders>
          </w:tcPr>
          <w:p w14:paraId="20F98F5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8" w:type="pct"/>
            <w:tcBorders>
              <w:top w:val="nil"/>
              <w:left w:val="nil"/>
              <w:bottom w:val="nil"/>
              <w:right w:val="nil"/>
            </w:tcBorders>
          </w:tcPr>
          <w:p w14:paraId="20FBCC0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1.117***</w:t>
            </w:r>
          </w:p>
        </w:tc>
      </w:tr>
      <w:tr w:rsidR="00235130" w:rsidRPr="00A33460" w14:paraId="05BED7D6" w14:textId="77777777" w:rsidTr="00974A7D">
        <w:trPr>
          <w:trHeight w:val="57"/>
          <w:jc w:val="center"/>
        </w:trPr>
        <w:tc>
          <w:tcPr>
            <w:tcW w:w="909" w:type="pct"/>
            <w:tcBorders>
              <w:top w:val="nil"/>
              <w:left w:val="nil"/>
              <w:bottom w:val="nil"/>
              <w:right w:val="nil"/>
            </w:tcBorders>
          </w:tcPr>
          <w:p w14:paraId="55A2332F"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4A926ADD" w14:textId="77777777" w:rsidR="00235130" w:rsidRPr="004B60E7"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p>
        </w:tc>
        <w:tc>
          <w:tcPr>
            <w:tcW w:w="409" w:type="pct"/>
            <w:tcBorders>
              <w:top w:val="nil"/>
              <w:left w:val="nil"/>
              <w:bottom w:val="nil"/>
              <w:right w:val="nil"/>
            </w:tcBorders>
          </w:tcPr>
          <w:p w14:paraId="6E1A837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(2.06)</w:t>
            </w:r>
          </w:p>
        </w:tc>
        <w:tc>
          <w:tcPr>
            <w:tcW w:w="409" w:type="pct"/>
            <w:tcBorders>
              <w:top w:val="nil"/>
              <w:left w:val="nil"/>
              <w:bottom w:val="nil"/>
              <w:right w:val="nil"/>
            </w:tcBorders>
          </w:tcPr>
          <w:p w14:paraId="0A333F2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6B09C46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(5.67)</w:t>
            </w:r>
          </w:p>
        </w:tc>
        <w:tc>
          <w:tcPr>
            <w:tcW w:w="409" w:type="pct"/>
            <w:tcBorders>
              <w:top w:val="nil"/>
              <w:left w:val="nil"/>
              <w:bottom w:val="nil"/>
              <w:right w:val="nil"/>
            </w:tcBorders>
          </w:tcPr>
          <w:p w14:paraId="70C0A77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29E475F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(5.28)</w:t>
            </w:r>
          </w:p>
        </w:tc>
        <w:tc>
          <w:tcPr>
            <w:tcW w:w="409" w:type="pct"/>
            <w:tcBorders>
              <w:top w:val="nil"/>
              <w:left w:val="nil"/>
              <w:bottom w:val="nil"/>
              <w:right w:val="nil"/>
            </w:tcBorders>
          </w:tcPr>
          <w:p w14:paraId="3C8F3FF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5E9553B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(5.70)</w:t>
            </w:r>
          </w:p>
        </w:tc>
        <w:tc>
          <w:tcPr>
            <w:tcW w:w="409" w:type="pct"/>
            <w:tcBorders>
              <w:top w:val="nil"/>
              <w:left w:val="nil"/>
              <w:bottom w:val="nil"/>
              <w:right w:val="nil"/>
            </w:tcBorders>
          </w:tcPr>
          <w:p w14:paraId="21B8CEA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8" w:type="pct"/>
            <w:tcBorders>
              <w:top w:val="nil"/>
              <w:left w:val="nil"/>
              <w:bottom w:val="nil"/>
              <w:right w:val="nil"/>
            </w:tcBorders>
          </w:tcPr>
          <w:p w14:paraId="49DB865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(5.82)</w:t>
            </w:r>
          </w:p>
        </w:tc>
      </w:tr>
      <w:tr w:rsidR="00235130" w:rsidRPr="00A33460" w14:paraId="4CFAEBA8" w14:textId="77777777" w:rsidTr="00974A7D">
        <w:trPr>
          <w:trHeight w:val="57"/>
          <w:jc w:val="center"/>
        </w:trPr>
        <w:tc>
          <w:tcPr>
            <w:tcW w:w="909" w:type="pct"/>
            <w:tcBorders>
              <w:top w:val="nil"/>
              <w:left w:val="nil"/>
              <w:bottom w:val="nil"/>
              <w:right w:val="nil"/>
            </w:tcBorders>
          </w:tcPr>
          <w:p w14:paraId="056AE0BF"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Senior</w:t>
            </w:r>
          </w:p>
        </w:tc>
        <w:tc>
          <w:tcPr>
            <w:tcW w:w="408" w:type="pct"/>
            <w:tcBorders>
              <w:top w:val="nil"/>
              <w:left w:val="nil"/>
              <w:bottom w:val="nil"/>
              <w:right w:val="nil"/>
            </w:tcBorders>
          </w:tcPr>
          <w:p w14:paraId="703CB51C" w14:textId="77777777" w:rsidR="00235130" w:rsidRPr="004B60E7"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p>
        </w:tc>
        <w:tc>
          <w:tcPr>
            <w:tcW w:w="409" w:type="pct"/>
            <w:tcBorders>
              <w:top w:val="nil"/>
              <w:left w:val="nil"/>
              <w:bottom w:val="nil"/>
              <w:right w:val="nil"/>
            </w:tcBorders>
          </w:tcPr>
          <w:p w14:paraId="63FCD61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0.735***</w:t>
            </w:r>
          </w:p>
        </w:tc>
        <w:tc>
          <w:tcPr>
            <w:tcW w:w="409" w:type="pct"/>
            <w:tcBorders>
              <w:top w:val="nil"/>
              <w:left w:val="nil"/>
              <w:bottom w:val="nil"/>
              <w:right w:val="nil"/>
            </w:tcBorders>
          </w:tcPr>
          <w:p w14:paraId="75AD8E1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1E31C80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0.092</w:t>
            </w:r>
          </w:p>
        </w:tc>
        <w:tc>
          <w:tcPr>
            <w:tcW w:w="409" w:type="pct"/>
            <w:tcBorders>
              <w:top w:val="nil"/>
              <w:left w:val="nil"/>
              <w:bottom w:val="nil"/>
              <w:right w:val="nil"/>
            </w:tcBorders>
          </w:tcPr>
          <w:p w14:paraId="76D27D5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041F6E8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0.083</w:t>
            </w:r>
          </w:p>
        </w:tc>
        <w:tc>
          <w:tcPr>
            <w:tcW w:w="409" w:type="pct"/>
            <w:tcBorders>
              <w:top w:val="nil"/>
              <w:left w:val="nil"/>
              <w:bottom w:val="nil"/>
              <w:right w:val="nil"/>
            </w:tcBorders>
          </w:tcPr>
          <w:p w14:paraId="44E0686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7011B05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0.095</w:t>
            </w:r>
          </w:p>
        </w:tc>
        <w:tc>
          <w:tcPr>
            <w:tcW w:w="409" w:type="pct"/>
            <w:tcBorders>
              <w:top w:val="nil"/>
              <w:left w:val="nil"/>
              <w:bottom w:val="nil"/>
              <w:right w:val="nil"/>
            </w:tcBorders>
          </w:tcPr>
          <w:p w14:paraId="71A829D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8" w:type="pct"/>
            <w:tcBorders>
              <w:top w:val="nil"/>
              <w:left w:val="nil"/>
              <w:bottom w:val="nil"/>
              <w:right w:val="nil"/>
            </w:tcBorders>
          </w:tcPr>
          <w:p w14:paraId="5B5AFF2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0.068</w:t>
            </w:r>
          </w:p>
        </w:tc>
      </w:tr>
      <w:tr w:rsidR="00235130" w:rsidRPr="00A33460" w14:paraId="28A3C3E6" w14:textId="77777777" w:rsidTr="00974A7D">
        <w:trPr>
          <w:trHeight w:val="57"/>
          <w:jc w:val="center"/>
        </w:trPr>
        <w:tc>
          <w:tcPr>
            <w:tcW w:w="909" w:type="pct"/>
            <w:tcBorders>
              <w:top w:val="nil"/>
              <w:left w:val="nil"/>
              <w:bottom w:val="nil"/>
              <w:right w:val="nil"/>
            </w:tcBorders>
          </w:tcPr>
          <w:p w14:paraId="512F753B"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24B1332C" w14:textId="77777777" w:rsidR="00235130" w:rsidRPr="004B60E7"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p>
        </w:tc>
        <w:tc>
          <w:tcPr>
            <w:tcW w:w="409" w:type="pct"/>
            <w:tcBorders>
              <w:top w:val="nil"/>
              <w:left w:val="nil"/>
              <w:bottom w:val="nil"/>
              <w:right w:val="nil"/>
            </w:tcBorders>
          </w:tcPr>
          <w:p w14:paraId="3D04F78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(4.71)</w:t>
            </w:r>
          </w:p>
        </w:tc>
        <w:tc>
          <w:tcPr>
            <w:tcW w:w="409" w:type="pct"/>
            <w:tcBorders>
              <w:top w:val="nil"/>
              <w:left w:val="nil"/>
              <w:bottom w:val="nil"/>
              <w:right w:val="nil"/>
            </w:tcBorders>
          </w:tcPr>
          <w:p w14:paraId="0299AA8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5C2FA96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(1.00)</w:t>
            </w:r>
          </w:p>
        </w:tc>
        <w:tc>
          <w:tcPr>
            <w:tcW w:w="409" w:type="pct"/>
            <w:tcBorders>
              <w:top w:val="nil"/>
              <w:left w:val="nil"/>
              <w:bottom w:val="nil"/>
              <w:right w:val="nil"/>
            </w:tcBorders>
          </w:tcPr>
          <w:p w14:paraId="2B829C4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4CB221B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(0.89)</w:t>
            </w:r>
          </w:p>
        </w:tc>
        <w:tc>
          <w:tcPr>
            <w:tcW w:w="409" w:type="pct"/>
            <w:tcBorders>
              <w:top w:val="nil"/>
              <w:left w:val="nil"/>
              <w:bottom w:val="nil"/>
              <w:right w:val="nil"/>
            </w:tcBorders>
          </w:tcPr>
          <w:p w14:paraId="68C34B3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2729FEA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(1.03)</w:t>
            </w:r>
          </w:p>
        </w:tc>
        <w:tc>
          <w:tcPr>
            <w:tcW w:w="409" w:type="pct"/>
            <w:tcBorders>
              <w:top w:val="nil"/>
              <w:left w:val="nil"/>
              <w:bottom w:val="nil"/>
              <w:right w:val="nil"/>
            </w:tcBorders>
          </w:tcPr>
          <w:p w14:paraId="111B664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8" w:type="pct"/>
            <w:tcBorders>
              <w:top w:val="nil"/>
              <w:left w:val="nil"/>
              <w:bottom w:val="nil"/>
              <w:right w:val="nil"/>
            </w:tcBorders>
          </w:tcPr>
          <w:p w14:paraId="632F4CD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(0.74)</w:t>
            </w:r>
          </w:p>
        </w:tc>
      </w:tr>
      <w:tr w:rsidR="00235130" w:rsidRPr="00A33460" w14:paraId="3CA51E38" w14:textId="77777777" w:rsidTr="00974A7D">
        <w:trPr>
          <w:trHeight w:val="57"/>
          <w:jc w:val="center"/>
        </w:trPr>
        <w:tc>
          <w:tcPr>
            <w:tcW w:w="909" w:type="pct"/>
            <w:tcBorders>
              <w:top w:val="nil"/>
              <w:left w:val="nil"/>
              <w:bottom w:val="nil"/>
              <w:right w:val="nil"/>
            </w:tcBorders>
          </w:tcPr>
          <w:p w14:paraId="2D9F28B2"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roofErr w:type="gramStart"/>
            <w:r w:rsidRPr="002118F2">
              <w:rPr>
                <w:rFonts w:ascii="Times New Roman" w:hAnsi="Times New Roman" w:cs="Times New Roman"/>
                <w:i/>
                <w:sz w:val="20"/>
                <w:szCs w:val="20"/>
                <w:lang w:val="en-US"/>
              </w:rPr>
              <w:t>Ln(</w:t>
            </w:r>
            <w:proofErr w:type="gramEnd"/>
            <w:r w:rsidRPr="002118F2">
              <w:rPr>
                <w:rFonts w:ascii="Times New Roman" w:hAnsi="Times New Roman" w:cs="Times New Roman"/>
                <w:i/>
                <w:sz w:val="20"/>
                <w:szCs w:val="20"/>
                <w:lang w:val="en-US"/>
              </w:rPr>
              <w:t>Maturity)</w:t>
            </w:r>
          </w:p>
        </w:tc>
        <w:tc>
          <w:tcPr>
            <w:tcW w:w="408" w:type="pct"/>
            <w:tcBorders>
              <w:top w:val="nil"/>
              <w:left w:val="nil"/>
              <w:bottom w:val="nil"/>
              <w:right w:val="nil"/>
            </w:tcBorders>
          </w:tcPr>
          <w:p w14:paraId="4DE8FBD8" w14:textId="77777777" w:rsidR="00235130" w:rsidRPr="004B60E7"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p>
        </w:tc>
        <w:tc>
          <w:tcPr>
            <w:tcW w:w="409" w:type="pct"/>
            <w:tcBorders>
              <w:top w:val="nil"/>
              <w:left w:val="nil"/>
              <w:bottom w:val="nil"/>
              <w:right w:val="nil"/>
            </w:tcBorders>
          </w:tcPr>
          <w:p w14:paraId="7E127CB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0.417***</w:t>
            </w:r>
          </w:p>
        </w:tc>
        <w:tc>
          <w:tcPr>
            <w:tcW w:w="409" w:type="pct"/>
            <w:tcBorders>
              <w:top w:val="nil"/>
              <w:left w:val="nil"/>
              <w:bottom w:val="nil"/>
              <w:right w:val="nil"/>
            </w:tcBorders>
          </w:tcPr>
          <w:p w14:paraId="26482E6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3A2849A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0.144***</w:t>
            </w:r>
          </w:p>
        </w:tc>
        <w:tc>
          <w:tcPr>
            <w:tcW w:w="409" w:type="pct"/>
            <w:tcBorders>
              <w:top w:val="nil"/>
              <w:left w:val="nil"/>
              <w:bottom w:val="nil"/>
              <w:right w:val="nil"/>
            </w:tcBorders>
          </w:tcPr>
          <w:p w14:paraId="369D922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55FC0AB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0.146***</w:t>
            </w:r>
          </w:p>
        </w:tc>
        <w:tc>
          <w:tcPr>
            <w:tcW w:w="409" w:type="pct"/>
            <w:tcBorders>
              <w:top w:val="nil"/>
              <w:left w:val="nil"/>
              <w:bottom w:val="nil"/>
              <w:right w:val="nil"/>
            </w:tcBorders>
          </w:tcPr>
          <w:p w14:paraId="41345C6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10C8FB2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0.143***</w:t>
            </w:r>
          </w:p>
        </w:tc>
        <w:tc>
          <w:tcPr>
            <w:tcW w:w="409" w:type="pct"/>
            <w:tcBorders>
              <w:top w:val="nil"/>
              <w:left w:val="nil"/>
              <w:bottom w:val="nil"/>
              <w:right w:val="nil"/>
            </w:tcBorders>
          </w:tcPr>
          <w:p w14:paraId="095737E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8" w:type="pct"/>
            <w:tcBorders>
              <w:top w:val="nil"/>
              <w:left w:val="nil"/>
              <w:bottom w:val="nil"/>
              <w:right w:val="nil"/>
            </w:tcBorders>
          </w:tcPr>
          <w:p w14:paraId="72081F4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0.140***</w:t>
            </w:r>
          </w:p>
        </w:tc>
      </w:tr>
      <w:tr w:rsidR="00235130" w:rsidRPr="00A33460" w14:paraId="1DDC991B" w14:textId="77777777" w:rsidTr="00974A7D">
        <w:trPr>
          <w:trHeight w:val="57"/>
          <w:jc w:val="center"/>
        </w:trPr>
        <w:tc>
          <w:tcPr>
            <w:tcW w:w="909" w:type="pct"/>
            <w:tcBorders>
              <w:top w:val="nil"/>
              <w:left w:val="nil"/>
              <w:bottom w:val="nil"/>
              <w:right w:val="nil"/>
            </w:tcBorders>
          </w:tcPr>
          <w:p w14:paraId="258516FF"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7DD00781" w14:textId="77777777" w:rsidR="00235130" w:rsidRPr="004B60E7" w:rsidRDefault="00235130" w:rsidP="00974A7D">
            <w:pPr>
              <w:widowControl w:val="0"/>
              <w:autoSpaceDE w:val="0"/>
              <w:autoSpaceDN w:val="0"/>
              <w:adjustRightInd w:val="0"/>
              <w:spacing w:after="0" w:line="240" w:lineRule="auto"/>
              <w:jc w:val="center"/>
              <w:rPr>
                <w:rFonts w:ascii="Times New Roman" w:hAnsi="Times New Roman" w:cs="Times New Roman"/>
                <w:sz w:val="20"/>
                <w:szCs w:val="20"/>
                <w:highlight w:val="yellow"/>
                <w:lang w:val="en-US"/>
              </w:rPr>
            </w:pPr>
          </w:p>
        </w:tc>
        <w:tc>
          <w:tcPr>
            <w:tcW w:w="409" w:type="pct"/>
            <w:tcBorders>
              <w:top w:val="nil"/>
              <w:left w:val="nil"/>
              <w:bottom w:val="nil"/>
              <w:right w:val="nil"/>
            </w:tcBorders>
          </w:tcPr>
          <w:p w14:paraId="30BCDC0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(4.55)</w:t>
            </w:r>
          </w:p>
        </w:tc>
        <w:tc>
          <w:tcPr>
            <w:tcW w:w="409" w:type="pct"/>
            <w:tcBorders>
              <w:top w:val="nil"/>
              <w:left w:val="nil"/>
              <w:bottom w:val="nil"/>
              <w:right w:val="nil"/>
            </w:tcBorders>
          </w:tcPr>
          <w:p w14:paraId="585184E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4A6490F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(6.69)</w:t>
            </w:r>
          </w:p>
        </w:tc>
        <w:tc>
          <w:tcPr>
            <w:tcW w:w="409" w:type="pct"/>
            <w:tcBorders>
              <w:top w:val="nil"/>
              <w:left w:val="nil"/>
              <w:bottom w:val="nil"/>
              <w:right w:val="nil"/>
            </w:tcBorders>
          </w:tcPr>
          <w:p w14:paraId="0F1B62E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28ACF5D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(6.81)</w:t>
            </w:r>
          </w:p>
        </w:tc>
        <w:tc>
          <w:tcPr>
            <w:tcW w:w="409" w:type="pct"/>
            <w:tcBorders>
              <w:top w:val="nil"/>
              <w:left w:val="nil"/>
              <w:bottom w:val="nil"/>
              <w:right w:val="nil"/>
            </w:tcBorders>
          </w:tcPr>
          <w:p w14:paraId="0E609B2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10" w:type="pct"/>
            <w:tcBorders>
              <w:top w:val="nil"/>
              <w:left w:val="nil"/>
              <w:bottom w:val="nil"/>
              <w:right w:val="nil"/>
            </w:tcBorders>
          </w:tcPr>
          <w:p w14:paraId="2B2D747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(6.65)</w:t>
            </w:r>
          </w:p>
        </w:tc>
        <w:tc>
          <w:tcPr>
            <w:tcW w:w="409" w:type="pct"/>
            <w:tcBorders>
              <w:top w:val="nil"/>
              <w:left w:val="nil"/>
              <w:bottom w:val="nil"/>
              <w:right w:val="nil"/>
            </w:tcBorders>
          </w:tcPr>
          <w:p w14:paraId="09DA141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8" w:type="pct"/>
            <w:tcBorders>
              <w:top w:val="nil"/>
              <w:left w:val="nil"/>
              <w:bottom w:val="nil"/>
              <w:right w:val="nil"/>
            </w:tcBorders>
          </w:tcPr>
          <w:p w14:paraId="0E423AF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(6.42)</w:t>
            </w:r>
          </w:p>
        </w:tc>
      </w:tr>
      <w:tr w:rsidR="00235130" w:rsidRPr="00A33460" w14:paraId="5A43CF37" w14:textId="77777777" w:rsidTr="00974A7D">
        <w:trPr>
          <w:trHeight w:val="57"/>
          <w:jc w:val="center"/>
        </w:trPr>
        <w:tc>
          <w:tcPr>
            <w:tcW w:w="909" w:type="pct"/>
            <w:tcBorders>
              <w:top w:val="nil"/>
              <w:left w:val="nil"/>
              <w:bottom w:val="nil"/>
              <w:right w:val="nil"/>
            </w:tcBorders>
          </w:tcPr>
          <w:p w14:paraId="32EA5AF4"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iCs/>
                <w:sz w:val="20"/>
                <w:szCs w:val="20"/>
                <w:lang w:val="en-US"/>
              </w:rPr>
              <w:t>Lambda</w:t>
            </w:r>
          </w:p>
        </w:tc>
        <w:tc>
          <w:tcPr>
            <w:tcW w:w="408" w:type="pct"/>
            <w:tcBorders>
              <w:top w:val="nil"/>
              <w:left w:val="nil"/>
              <w:bottom w:val="nil"/>
              <w:right w:val="nil"/>
            </w:tcBorders>
          </w:tcPr>
          <w:p w14:paraId="63B01AA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9" w:type="pct"/>
            <w:tcBorders>
              <w:top w:val="nil"/>
              <w:left w:val="nil"/>
              <w:bottom w:val="nil"/>
              <w:right w:val="nil"/>
            </w:tcBorders>
          </w:tcPr>
          <w:p w14:paraId="75FC6F7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9" w:type="pct"/>
            <w:tcBorders>
              <w:top w:val="nil"/>
              <w:left w:val="nil"/>
              <w:bottom w:val="nil"/>
              <w:right w:val="nil"/>
            </w:tcBorders>
          </w:tcPr>
          <w:p w14:paraId="704CCB1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0.273***</w:t>
            </w:r>
          </w:p>
        </w:tc>
        <w:tc>
          <w:tcPr>
            <w:tcW w:w="410" w:type="pct"/>
            <w:tcBorders>
              <w:top w:val="nil"/>
              <w:left w:val="nil"/>
              <w:bottom w:val="nil"/>
              <w:right w:val="nil"/>
            </w:tcBorders>
          </w:tcPr>
          <w:p w14:paraId="4D175D3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0.213***</w:t>
            </w:r>
          </w:p>
        </w:tc>
        <w:tc>
          <w:tcPr>
            <w:tcW w:w="409" w:type="pct"/>
            <w:tcBorders>
              <w:top w:val="nil"/>
              <w:left w:val="nil"/>
              <w:bottom w:val="nil"/>
              <w:right w:val="nil"/>
            </w:tcBorders>
          </w:tcPr>
          <w:p w14:paraId="145FBB3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0.391***</w:t>
            </w:r>
          </w:p>
        </w:tc>
        <w:tc>
          <w:tcPr>
            <w:tcW w:w="410" w:type="pct"/>
            <w:tcBorders>
              <w:top w:val="nil"/>
              <w:left w:val="nil"/>
              <w:bottom w:val="nil"/>
              <w:right w:val="nil"/>
            </w:tcBorders>
          </w:tcPr>
          <w:p w14:paraId="379DAAE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0.462***</w:t>
            </w:r>
          </w:p>
        </w:tc>
        <w:tc>
          <w:tcPr>
            <w:tcW w:w="409" w:type="pct"/>
            <w:tcBorders>
              <w:top w:val="nil"/>
              <w:left w:val="nil"/>
              <w:bottom w:val="nil"/>
              <w:right w:val="nil"/>
            </w:tcBorders>
          </w:tcPr>
          <w:p w14:paraId="36B176A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0.275***</w:t>
            </w:r>
          </w:p>
        </w:tc>
        <w:tc>
          <w:tcPr>
            <w:tcW w:w="410" w:type="pct"/>
            <w:tcBorders>
              <w:top w:val="nil"/>
              <w:left w:val="nil"/>
              <w:bottom w:val="nil"/>
              <w:right w:val="nil"/>
            </w:tcBorders>
          </w:tcPr>
          <w:p w14:paraId="512169E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0.217***</w:t>
            </w:r>
          </w:p>
        </w:tc>
        <w:tc>
          <w:tcPr>
            <w:tcW w:w="409" w:type="pct"/>
            <w:tcBorders>
              <w:top w:val="nil"/>
              <w:left w:val="nil"/>
              <w:bottom w:val="nil"/>
              <w:right w:val="nil"/>
            </w:tcBorders>
          </w:tcPr>
          <w:p w14:paraId="09E904E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0.177***</w:t>
            </w:r>
          </w:p>
        </w:tc>
        <w:tc>
          <w:tcPr>
            <w:tcW w:w="408" w:type="pct"/>
            <w:tcBorders>
              <w:top w:val="nil"/>
              <w:left w:val="nil"/>
              <w:bottom w:val="nil"/>
              <w:right w:val="nil"/>
            </w:tcBorders>
          </w:tcPr>
          <w:p w14:paraId="4B6E1C6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0.116**</w:t>
            </w:r>
          </w:p>
        </w:tc>
      </w:tr>
      <w:tr w:rsidR="00235130" w:rsidRPr="00A33460" w14:paraId="4C4892F2" w14:textId="77777777" w:rsidTr="00974A7D">
        <w:trPr>
          <w:trHeight w:val="57"/>
          <w:jc w:val="center"/>
        </w:trPr>
        <w:tc>
          <w:tcPr>
            <w:tcW w:w="909" w:type="pct"/>
            <w:tcBorders>
              <w:top w:val="nil"/>
              <w:left w:val="nil"/>
              <w:bottom w:val="nil"/>
              <w:right w:val="nil"/>
            </w:tcBorders>
          </w:tcPr>
          <w:p w14:paraId="7671553B"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74DFB9F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9" w:type="pct"/>
            <w:tcBorders>
              <w:top w:val="nil"/>
              <w:left w:val="nil"/>
              <w:bottom w:val="nil"/>
              <w:right w:val="nil"/>
            </w:tcBorders>
          </w:tcPr>
          <w:p w14:paraId="45EED4A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409" w:type="pct"/>
            <w:tcBorders>
              <w:top w:val="nil"/>
              <w:left w:val="nil"/>
              <w:bottom w:val="nil"/>
              <w:right w:val="nil"/>
            </w:tcBorders>
          </w:tcPr>
          <w:p w14:paraId="76602DD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(5.03)</w:t>
            </w:r>
          </w:p>
        </w:tc>
        <w:tc>
          <w:tcPr>
            <w:tcW w:w="410" w:type="pct"/>
            <w:tcBorders>
              <w:top w:val="nil"/>
              <w:left w:val="nil"/>
              <w:bottom w:val="nil"/>
              <w:right w:val="nil"/>
            </w:tcBorders>
          </w:tcPr>
          <w:p w14:paraId="62CB1C3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(4.14)</w:t>
            </w:r>
          </w:p>
        </w:tc>
        <w:tc>
          <w:tcPr>
            <w:tcW w:w="409" w:type="pct"/>
            <w:tcBorders>
              <w:top w:val="nil"/>
              <w:left w:val="nil"/>
              <w:bottom w:val="nil"/>
              <w:right w:val="nil"/>
            </w:tcBorders>
          </w:tcPr>
          <w:p w14:paraId="25057F8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(3.54)</w:t>
            </w:r>
          </w:p>
        </w:tc>
        <w:tc>
          <w:tcPr>
            <w:tcW w:w="410" w:type="pct"/>
            <w:tcBorders>
              <w:top w:val="nil"/>
              <w:left w:val="nil"/>
              <w:bottom w:val="nil"/>
              <w:right w:val="nil"/>
            </w:tcBorders>
          </w:tcPr>
          <w:p w14:paraId="5EF973C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(4.47)</w:t>
            </w:r>
          </w:p>
        </w:tc>
        <w:tc>
          <w:tcPr>
            <w:tcW w:w="409" w:type="pct"/>
            <w:tcBorders>
              <w:top w:val="nil"/>
              <w:left w:val="nil"/>
              <w:bottom w:val="nil"/>
              <w:right w:val="nil"/>
            </w:tcBorders>
          </w:tcPr>
          <w:p w14:paraId="22DC1D3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(4.56)</w:t>
            </w:r>
          </w:p>
        </w:tc>
        <w:tc>
          <w:tcPr>
            <w:tcW w:w="410" w:type="pct"/>
            <w:tcBorders>
              <w:top w:val="nil"/>
              <w:left w:val="nil"/>
              <w:bottom w:val="nil"/>
              <w:right w:val="nil"/>
            </w:tcBorders>
          </w:tcPr>
          <w:p w14:paraId="7159CB7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(3.91)</w:t>
            </w:r>
          </w:p>
        </w:tc>
        <w:tc>
          <w:tcPr>
            <w:tcW w:w="409" w:type="pct"/>
            <w:tcBorders>
              <w:top w:val="nil"/>
              <w:left w:val="nil"/>
              <w:bottom w:val="nil"/>
              <w:right w:val="nil"/>
            </w:tcBorders>
          </w:tcPr>
          <w:p w14:paraId="1CDF006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(3.22)</w:t>
            </w:r>
          </w:p>
        </w:tc>
        <w:tc>
          <w:tcPr>
            <w:tcW w:w="408" w:type="pct"/>
            <w:tcBorders>
              <w:top w:val="nil"/>
              <w:left w:val="nil"/>
              <w:bottom w:val="nil"/>
              <w:right w:val="nil"/>
            </w:tcBorders>
          </w:tcPr>
          <w:p w14:paraId="321E379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(2.25)</w:t>
            </w:r>
          </w:p>
        </w:tc>
      </w:tr>
      <w:tr w:rsidR="00235130" w:rsidRPr="00A33460" w14:paraId="7873BAFD" w14:textId="77777777" w:rsidTr="00974A7D">
        <w:trPr>
          <w:trHeight w:val="57"/>
          <w:jc w:val="center"/>
        </w:trPr>
        <w:tc>
          <w:tcPr>
            <w:tcW w:w="909" w:type="pct"/>
            <w:tcBorders>
              <w:top w:val="nil"/>
              <w:left w:val="nil"/>
              <w:bottom w:val="nil"/>
              <w:right w:val="nil"/>
            </w:tcBorders>
          </w:tcPr>
          <w:p w14:paraId="173A32FF"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sz w:val="20"/>
                <w:szCs w:val="20"/>
                <w:lang w:val="en-US"/>
              </w:rPr>
              <w:t>Intercept</w:t>
            </w:r>
          </w:p>
        </w:tc>
        <w:tc>
          <w:tcPr>
            <w:tcW w:w="408" w:type="pct"/>
            <w:tcBorders>
              <w:top w:val="nil"/>
              <w:left w:val="nil"/>
              <w:bottom w:val="nil"/>
              <w:right w:val="nil"/>
            </w:tcBorders>
          </w:tcPr>
          <w:p w14:paraId="2EC3156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4.188***</w:t>
            </w:r>
          </w:p>
        </w:tc>
        <w:tc>
          <w:tcPr>
            <w:tcW w:w="409" w:type="pct"/>
            <w:tcBorders>
              <w:top w:val="nil"/>
              <w:left w:val="nil"/>
              <w:bottom w:val="nil"/>
              <w:right w:val="nil"/>
            </w:tcBorders>
          </w:tcPr>
          <w:p w14:paraId="0D184C03"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2.259***</w:t>
            </w:r>
          </w:p>
        </w:tc>
        <w:tc>
          <w:tcPr>
            <w:tcW w:w="409" w:type="pct"/>
            <w:tcBorders>
              <w:top w:val="nil"/>
              <w:left w:val="nil"/>
              <w:bottom w:val="nil"/>
              <w:right w:val="nil"/>
            </w:tcBorders>
          </w:tcPr>
          <w:p w14:paraId="7828C8C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4.023***</w:t>
            </w:r>
          </w:p>
        </w:tc>
        <w:tc>
          <w:tcPr>
            <w:tcW w:w="410" w:type="pct"/>
            <w:tcBorders>
              <w:top w:val="nil"/>
              <w:left w:val="nil"/>
              <w:bottom w:val="nil"/>
              <w:right w:val="nil"/>
            </w:tcBorders>
          </w:tcPr>
          <w:p w14:paraId="4FAB9B9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2.138***</w:t>
            </w:r>
          </w:p>
        </w:tc>
        <w:tc>
          <w:tcPr>
            <w:tcW w:w="409" w:type="pct"/>
            <w:tcBorders>
              <w:top w:val="nil"/>
              <w:left w:val="nil"/>
              <w:bottom w:val="nil"/>
              <w:right w:val="nil"/>
            </w:tcBorders>
          </w:tcPr>
          <w:p w14:paraId="057DB2B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3.893***</w:t>
            </w:r>
          </w:p>
        </w:tc>
        <w:tc>
          <w:tcPr>
            <w:tcW w:w="410" w:type="pct"/>
            <w:tcBorders>
              <w:top w:val="nil"/>
              <w:left w:val="nil"/>
              <w:bottom w:val="nil"/>
              <w:right w:val="nil"/>
            </w:tcBorders>
          </w:tcPr>
          <w:p w14:paraId="423E312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2.089***</w:t>
            </w:r>
          </w:p>
        </w:tc>
        <w:tc>
          <w:tcPr>
            <w:tcW w:w="409" w:type="pct"/>
            <w:tcBorders>
              <w:top w:val="nil"/>
              <w:left w:val="nil"/>
              <w:bottom w:val="nil"/>
              <w:right w:val="nil"/>
            </w:tcBorders>
          </w:tcPr>
          <w:p w14:paraId="66EFBB9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4.086***</w:t>
            </w:r>
          </w:p>
        </w:tc>
        <w:tc>
          <w:tcPr>
            <w:tcW w:w="410" w:type="pct"/>
            <w:tcBorders>
              <w:top w:val="nil"/>
              <w:left w:val="nil"/>
              <w:bottom w:val="nil"/>
              <w:right w:val="nil"/>
            </w:tcBorders>
          </w:tcPr>
          <w:p w14:paraId="15FC92A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2.191***</w:t>
            </w:r>
          </w:p>
        </w:tc>
        <w:tc>
          <w:tcPr>
            <w:tcW w:w="409" w:type="pct"/>
            <w:tcBorders>
              <w:top w:val="nil"/>
              <w:left w:val="nil"/>
              <w:bottom w:val="nil"/>
              <w:right w:val="nil"/>
            </w:tcBorders>
          </w:tcPr>
          <w:p w14:paraId="1593FC9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4.020***</w:t>
            </w:r>
          </w:p>
        </w:tc>
        <w:tc>
          <w:tcPr>
            <w:tcW w:w="408" w:type="pct"/>
            <w:tcBorders>
              <w:top w:val="nil"/>
              <w:left w:val="nil"/>
              <w:bottom w:val="nil"/>
              <w:right w:val="nil"/>
            </w:tcBorders>
          </w:tcPr>
          <w:p w14:paraId="694E35D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2.134***</w:t>
            </w:r>
          </w:p>
        </w:tc>
      </w:tr>
      <w:tr w:rsidR="00235130" w:rsidRPr="00A33460" w14:paraId="08E13554" w14:textId="77777777" w:rsidTr="00974A7D">
        <w:trPr>
          <w:trHeight w:val="57"/>
          <w:jc w:val="center"/>
        </w:trPr>
        <w:tc>
          <w:tcPr>
            <w:tcW w:w="909" w:type="pct"/>
            <w:tcBorders>
              <w:top w:val="nil"/>
              <w:left w:val="nil"/>
              <w:bottom w:val="nil"/>
              <w:right w:val="nil"/>
            </w:tcBorders>
          </w:tcPr>
          <w:p w14:paraId="0AD965DD"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51257CC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(18.77)</w:t>
            </w:r>
          </w:p>
        </w:tc>
        <w:tc>
          <w:tcPr>
            <w:tcW w:w="409" w:type="pct"/>
            <w:tcBorders>
              <w:top w:val="nil"/>
              <w:left w:val="nil"/>
              <w:bottom w:val="nil"/>
              <w:right w:val="nil"/>
            </w:tcBorders>
          </w:tcPr>
          <w:p w14:paraId="26304ED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(9.09)</w:t>
            </w:r>
          </w:p>
        </w:tc>
        <w:tc>
          <w:tcPr>
            <w:tcW w:w="409" w:type="pct"/>
            <w:tcBorders>
              <w:top w:val="nil"/>
              <w:left w:val="nil"/>
              <w:bottom w:val="nil"/>
              <w:right w:val="nil"/>
            </w:tcBorders>
          </w:tcPr>
          <w:p w14:paraId="264E17B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(18.85)</w:t>
            </w:r>
          </w:p>
        </w:tc>
        <w:tc>
          <w:tcPr>
            <w:tcW w:w="410" w:type="pct"/>
            <w:tcBorders>
              <w:top w:val="nil"/>
              <w:left w:val="nil"/>
              <w:bottom w:val="nil"/>
              <w:right w:val="nil"/>
            </w:tcBorders>
          </w:tcPr>
          <w:p w14:paraId="1CF1113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(8.86)</w:t>
            </w:r>
          </w:p>
        </w:tc>
        <w:tc>
          <w:tcPr>
            <w:tcW w:w="409" w:type="pct"/>
            <w:tcBorders>
              <w:top w:val="nil"/>
              <w:left w:val="nil"/>
              <w:bottom w:val="nil"/>
              <w:right w:val="nil"/>
            </w:tcBorders>
          </w:tcPr>
          <w:p w14:paraId="672D376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(17.67)</w:t>
            </w:r>
          </w:p>
        </w:tc>
        <w:tc>
          <w:tcPr>
            <w:tcW w:w="410" w:type="pct"/>
            <w:tcBorders>
              <w:top w:val="nil"/>
              <w:left w:val="nil"/>
              <w:bottom w:val="nil"/>
              <w:right w:val="nil"/>
            </w:tcBorders>
          </w:tcPr>
          <w:p w14:paraId="4CB24F0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(8.32)</w:t>
            </w:r>
          </w:p>
        </w:tc>
        <w:tc>
          <w:tcPr>
            <w:tcW w:w="409" w:type="pct"/>
            <w:tcBorders>
              <w:top w:val="nil"/>
              <w:left w:val="nil"/>
              <w:bottom w:val="nil"/>
              <w:right w:val="nil"/>
            </w:tcBorders>
          </w:tcPr>
          <w:p w14:paraId="6F8E30E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(18.67)</w:t>
            </w:r>
          </w:p>
        </w:tc>
        <w:tc>
          <w:tcPr>
            <w:tcW w:w="410" w:type="pct"/>
            <w:tcBorders>
              <w:top w:val="nil"/>
              <w:left w:val="nil"/>
              <w:bottom w:val="nil"/>
              <w:right w:val="nil"/>
            </w:tcBorders>
          </w:tcPr>
          <w:p w14:paraId="3CF80A8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(8.94)</w:t>
            </w:r>
          </w:p>
        </w:tc>
        <w:tc>
          <w:tcPr>
            <w:tcW w:w="409" w:type="pct"/>
            <w:tcBorders>
              <w:top w:val="nil"/>
              <w:left w:val="nil"/>
              <w:bottom w:val="nil"/>
              <w:right w:val="nil"/>
            </w:tcBorders>
          </w:tcPr>
          <w:p w14:paraId="12B9B93D"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(18.78)</w:t>
            </w:r>
          </w:p>
        </w:tc>
        <w:tc>
          <w:tcPr>
            <w:tcW w:w="408" w:type="pct"/>
            <w:tcBorders>
              <w:top w:val="nil"/>
              <w:left w:val="nil"/>
              <w:bottom w:val="nil"/>
              <w:right w:val="nil"/>
            </w:tcBorders>
          </w:tcPr>
          <w:p w14:paraId="7A040FD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rPr>
              <w:t>(8.79)</w:t>
            </w:r>
          </w:p>
        </w:tc>
      </w:tr>
      <w:tr w:rsidR="00235130" w:rsidRPr="003101A0" w14:paraId="50872473" w14:textId="77777777" w:rsidTr="00974A7D">
        <w:trPr>
          <w:trHeight w:val="57"/>
          <w:jc w:val="center"/>
        </w:trPr>
        <w:tc>
          <w:tcPr>
            <w:tcW w:w="909" w:type="pct"/>
            <w:tcBorders>
              <w:top w:val="nil"/>
              <w:left w:val="nil"/>
              <w:bottom w:val="nil"/>
              <w:right w:val="nil"/>
            </w:tcBorders>
          </w:tcPr>
          <w:p w14:paraId="42C7993A"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iCs/>
                <w:sz w:val="20"/>
                <w:szCs w:val="20"/>
                <w:lang w:val="en-US"/>
              </w:rPr>
            </w:pPr>
            <w:r w:rsidRPr="002118F2">
              <w:rPr>
                <w:rFonts w:ascii="Times New Roman" w:hAnsi="Times New Roman" w:cs="Times New Roman"/>
                <w:i/>
                <w:iCs/>
                <w:sz w:val="20"/>
                <w:szCs w:val="20"/>
                <w:lang w:val="en-US"/>
              </w:rPr>
              <w:t xml:space="preserve">Control variables </w:t>
            </w:r>
            <w:r w:rsidRPr="003101A0">
              <w:rPr>
                <w:rFonts w:ascii="Times New Roman" w:hAnsi="Times New Roman" w:cs="Times New Roman"/>
                <w:i/>
                <w:sz w:val="20"/>
                <w:szCs w:val="20"/>
                <w:lang w:val="en-US"/>
              </w:rPr>
              <w:t>×</w:t>
            </w:r>
            <w:r w:rsidRPr="002118F2">
              <w:rPr>
                <w:rFonts w:ascii="Times New Roman" w:hAnsi="Times New Roman" w:cs="Times New Roman"/>
                <w:i/>
                <w:iCs/>
                <w:sz w:val="20"/>
                <w:szCs w:val="20"/>
                <w:lang w:val="en-US"/>
              </w:rPr>
              <w:t xml:space="preserve"> </w:t>
            </w:r>
            <w:r w:rsidRPr="002118F2">
              <w:rPr>
                <w:rFonts w:ascii="Times New Roman" w:hAnsi="Times New Roman" w:cs="Times New Roman"/>
                <w:i/>
                <w:sz w:val="20"/>
                <w:szCs w:val="20"/>
                <w:lang w:val="en-US"/>
              </w:rPr>
              <w:t>Convertible</w:t>
            </w:r>
          </w:p>
        </w:tc>
        <w:tc>
          <w:tcPr>
            <w:tcW w:w="408" w:type="pct"/>
            <w:tcBorders>
              <w:top w:val="nil"/>
              <w:left w:val="nil"/>
              <w:bottom w:val="nil"/>
              <w:right w:val="nil"/>
            </w:tcBorders>
          </w:tcPr>
          <w:p w14:paraId="7E4E2B5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09" w:type="pct"/>
            <w:tcBorders>
              <w:top w:val="nil"/>
              <w:left w:val="nil"/>
              <w:bottom w:val="nil"/>
              <w:right w:val="nil"/>
            </w:tcBorders>
          </w:tcPr>
          <w:p w14:paraId="17E2CB8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09" w:type="pct"/>
            <w:tcBorders>
              <w:top w:val="nil"/>
              <w:left w:val="nil"/>
              <w:bottom w:val="nil"/>
              <w:right w:val="nil"/>
            </w:tcBorders>
          </w:tcPr>
          <w:p w14:paraId="72A6E92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10" w:type="pct"/>
            <w:tcBorders>
              <w:top w:val="nil"/>
              <w:left w:val="nil"/>
              <w:bottom w:val="nil"/>
              <w:right w:val="nil"/>
            </w:tcBorders>
          </w:tcPr>
          <w:p w14:paraId="084BB20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09" w:type="pct"/>
            <w:tcBorders>
              <w:top w:val="nil"/>
              <w:left w:val="nil"/>
              <w:bottom w:val="nil"/>
              <w:right w:val="nil"/>
            </w:tcBorders>
          </w:tcPr>
          <w:p w14:paraId="5AFA3C6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10" w:type="pct"/>
            <w:tcBorders>
              <w:top w:val="nil"/>
              <w:left w:val="nil"/>
              <w:bottom w:val="nil"/>
              <w:right w:val="nil"/>
            </w:tcBorders>
          </w:tcPr>
          <w:p w14:paraId="4CECA85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09" w:type="pct"/>
            <w:tcBorders>
              <w:top w:val="nil"/>
              <w:left w:val="nil"/>
              <w:bottom w:val="nil"/>
              <w:right w:val="nil"/>
            </w:tcBorders>
          </w:tcPr>
          <w:p w14:paraId="2E02F8C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10" w:type="pct"/>
            <w:tcBorders>
              <w:top w:val="nil"/>
              <w:left w:val="nil"/>
              <w:bottom w:val="nil"/>
              <w:right w:val="nil"/>
            </w:tcBorders>
          </w:tcPr>
          <w:p w14:paraId="430EEF1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09" w:type="pct"/>
            <w:tcBorders>
              <w:top w:val="nil"/>
              <w:left w:val="nil"/>
              <w:bottom w:val="nil"/>
              <w:right w:val="nil"/>
            </w:tcBorders>
          </w:tcPr>
          <w:p w14:paraId="2EF633E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08" w:type="pct"/>
            <w:tcBorders>
              <w:top w:val="nil"/>
              <w:left w:val="nil"/>
              <w:bottom w:val="nil"/>
              <w:right w:val="nil"/>
            </w:tcBorders>
          </w:tcPr>
          <w:p w14:paraId="3632A8E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r>
      <w:tr w:rsidR="00235130" w:rsidRPr="003101A0" w14:paraId="6306E435" w14:textId="77777777" w:rsidTr="00974A7D">
        <w:trPr>
          <w:trHeight w:val="57"/>
          <w:jc w:val="center"/>
        </w:trPr>
        <w:tc>
          <w:tcPr>
            <w:tcW w:w="909" w:type="pct"/>
            <w:tcBorders>
              <w:top w:val="nil"/>
              <w:left w:val="nil"/>
              <w:bottom w:val="nil"/>
              <w:right w:val="nil"/>
            </w:tcBorders>
          </w:tcPr>
          <w:p w14:paraId="6B8E2AE3"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iCs/>
                <w:sz w:val="20"/>
                <w:szCs w:val="20"/>
                <w:lang w:val="en-US"/>
              </w:rPr>
              <w:t xml:space="preserve">Industry </w:t>
            </w:r>
            <w:r>
              <w:rPr>
                <w:rFonts w:ascii="Times New Roman" w:hAnsi="Times New Roman" w:cs="Times New Roman"/>
                <w:i/>
                <w:iCs/>
                <w:sz w:val="20"/>
                <w:szCs w:val="20"/>
                <w:lang w:val="en-US"/>
              </w:rPr>
              <w:t>FE</w:t>
            </w:r>
          </w:p>
        </w:tc>
        <w:tc>
          <w:tcPr>
            <w:tcW w:w="408" w:type="pct"/>
            <w:tcBorders>
              <w:top w:val="nil"/>
              <w:left w:val="nil"/>
              <w:bottom w:val="nil"/>
              <w:right w:val="nil"/>
            </w:tcBorders>
          </w:tcPr>
          <w:p w14:paraId="481041D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09" w:type="pct"/>
            <w:tcBorders>
              <w:top w:val="nil"/>
              <w:left w:val="nil"/>
              <w:bottom w:val="nil"/>
              <w:right w:val="nil"/>
            </w:tcBorders>
          </w:tcPr>
          <w:p w14:paraId="32BBE825"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09" w:type="pct"/>
            <w:tcBorders>
              <w:top w:val="nil"/>
              <w:left w:val="nil"/>
              <w:bottom w:val="nil"/>
              <w:right w:val="nil"/>
            </w:tcBorders>
          </w:tcPr>
          <w:p w14:paraId="6DC5AF0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10" w:type="pct"/>
            <w:tcBorders>
              <w:top w:val="nil"/>
              <w:left w:val="nil"/>
              <w:bottom w:val="nil"/>
              <w:right w:val="nil"/>
            </w:tcBorders>
          </w:tcPr>
          <w:p w14:paraId="53D791D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09" w:type="pct"/>
            <w:tcBorders>
              <w:top w:val="nil"/>
              <w:left w:val="nil"/>
              <w:bottom w:val="nil"/>
              <w:right w:val="nil"/>
            </w:tcBorders>
          </w:tcPr>
          <w:p w14:paraId="100345F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10" w:type="pct"/>
            <w:tcBorders>
              <w:top w:val="nil"/>
              <w:left w:val="nil"/>
              <w:bottom w:val="nil"/>
              <w:right w:val="nil"/>
            </w:tcBorders>
          </w:tcPr>
          <w:p w14:paraId="689FF28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09" w:type="pct"/>
            <w:tcBorders>
              <w:top w:val="nil"/>
              <w:left w:val="nil"/>
              <w:bottom w:val="nil"/>
              <w:right w:val="nil"/>
            </w:tcBorders>
          </w:tcPr>
          <w:p w14:paraId="5B2881D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10" w:type="pct"/>
            <w:tcBorders>
              <w:top w:val="nil"/>
              <w:left w:val="nil"/>
              <w:bottom w:val="nil"/>
              <w:right w:val="nil"/>
            </w:tcBorders>
          </w:tcPr>
          <w:p w14:paraId="3C0A93B6"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09" w:type="pct"/>
            <w:tcBorders>
              <w:top w:val="nil"/>
              <w:left w:val="nil"/>
              <w:bottom w:val="nil"/>
              <w:right w:val="nil"/>
            </w:tcBorders>
          </w:tcPr>
          <w:p w14:paraId="7CD18F3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c>
          <w:tcPr>
            <w:tcW w:w="408" w:type="pct"/>
            <w:tcBorders>
              <w:top w:val="nil"/>
              <w:left w:val="nil"/>
              <w:bottom w:val="nil"/>
              <w:right w:val="nil"/>
            </w:tcBorders>
          </w:tcPr>
          <w:p w14:paraId="0E6F687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118F2">
              <w:rPr>
                <w:rFonts w:ascii="Times New Roman" w:hAnsi="Times New Roman" w:cs="Times New Roman"/>
                <w:sz w:val="20"/>
                <w:szCs w:val="20"/>
                <w:lang w:val="en-US"/>
              </w:rPr>
              <w:t>Yes</w:t>
            </w:r>
          </w:p>
        </w:tc>
      </w:tr>
      <w:tr w:rsidR="00235130" w:rsidRPr="00910928" w14:paraId="51304E93" w14:textId="77777777" w:rsidTr="00974A7D">
        <w:trPr>
          <w:trHeight w:val="57"/>
          <w:jc w:val="center"/>
        </w:trPr>
        <w:tc>
          <w:tcPr>
            <w:tcW w:w="909" w:type="pct"/>
            <w:tcBorders>
              <w:top w:val="nil"/>
              <w:left w:val="nil"/>
              <w:bottom w:val="nil"/>
              <w:right w:val="nil"/>
            </w:tcBorders>
          </w:tcPr>
          <w:p w14:paraId="1A6DBCB1"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i/>
                <w:iCs/>
                <w:sz w:val="20"/>
                <w:szCs w:val="20"/>
                <w:lang w:val="en-US"/>
              </w:rPr>
              <w:t>N</w:t>
            </w:r>
          </w:p>
        </w:tc>
        <w:tc>
          <w:tcPr>
            <w:tcW w:w="408" w:type="pct"/>
            <w:tcBorders>
              <w:top w:val="nil"/>
              <w:left w:val="nil"/>
              <w:bottom w:val="nil"/>
              <w:right w:val="nil"/>
            </w:tcBorders>
          </w:tcPr>
          <w:p w14:paraId="7EEC9A4E"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8,154</w:t>
            </w:r>
          </w:p>
        </w:tc>
        <w:tc>
          <w:tcPr>
            <w:tcW w:w="409" w:type="pct"/>
            <w:tcBorders>
              <w:top w:val="nil"/>
              <w:left w:val="nil"/>
              <w:bottom w:val="nil"/>
              <w:right w:val="nil"/>
            </w:tcBorders>
          </w:tcPr>
          <w:p w14:paraId="55E8918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8,154</w:t>
            </w:r>
          </w:p>
        </w:tc>
        <w:tc>
          <w:tcPr>
            <w:tcW w:w="409" w:type="pct"/>
            <w:tcBorders>
              <w:top w:val="nil"/>
              <w:left w:val="nil"/>
              <w:bottom w:val="nil"/>
              <w:right w:val="nil"/>
            </w:tcBorders>
          </w:tcPr>
          <w:p w14:paraId="5623D72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8,154</w:t>
            </w:r>
          </w:p>
        </w:tc>
        <w:tc>
          <w:tcPr>
            <w:tcW w:w="410" w:type="pct"/>
            <w:tcBorders>
              <w:top w:val="nil"/>
              <w:left w:val="nil"/>
              <w:bottom w:val="nil"/>
              <w:right w:val="nil"/>
            </w:tcBorders>
          </w:tcPr>
          <w:p w14:paraId="3802280C"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8,154</w:t>
            </w:r>
          </w:p>
        </w:tc>
        <w:tc>
          <w:tcPr>
            <w:tcW w:w="409" w:type="pct"/>
            <w:tcBorders>
              <w:top w:val="nil"/>
              <w:left w:val="nil"/>
              <w:bottom w:val="nil"/>
              <w:right w:val="nil"/>
            </w:tcBorders>
          </w:tcPr>
          <w:p w14:paraId="45C71A44"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8,154</w:t>
            </w:r>
          </w:p>
        </w:tc>
        <w:tc>
          <w:tcPr>
            <w:tcW w:w="410" w:type="pct"/>
            <w:tcBorders>
              <w:top w:val="nil"/>
              <w:left w:val="nil"/>
              <w:bottom w:val="nil"/>
              <w:right w:val="nil"/>
            </w:tcBorders>
          </w:tcPr>
          <w:p w14:paraId="02478E9B"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8,154</w:t>
            </w:r>
          </w:p>
        </w:tc>
        <w:tc>
          <w:tcPr>
            <w:tcW w:w="409" w:type="pct"/>
            <w:tcBorders>
              <w:top w:val="nil"/>
              <w:left w:val="nil"/>
              <w:bottom w:val="nil"/>
              <w:right w:val="nil"/>
            </w:tcBorders>
          </w:tcPr>
          <w:p w14:paraId="0E36730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8,154</w:t>
            </w:r>
          </w:p>
        </w:tc>
        <w:tc>
          <w:tcPr>
            <w:tcW w:w="410" w:type="pct"/>
            <w:tcBorders>
              <w:top w:val="nil"/>
              <w:left w:val="nil"/>
              <w:bottom w:val="nil"/>
              <w:right w:val="nil"/>
            </w:tcBorders>
          </w:tcPr>
          <w:p w14:paraId="59E6A4A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8,154</w:t>
            </w:r>
          </w:p>
        </w:tc>
        <w:tc>
          <w:tcPr>
            <w:tcW w:w="409" w:type="pct"/>
            <w:tcBorders>
              <w:top w:val="nil"/>
              <w:left w:val="nil"/>
              <w:bottom w:val="nil"/>
              <w:right w:val="nil"/>
            </w:tcBorders>
          </w:tcPr>
          <w:p w14:paraId="0047DA3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8,154</w:t>
            </w:r>
          </w:p>
        </w:tc>
        <w:tc>
          <w:tcPr>
            <w:tcW w:w="408" w:type="pct"/>
            <w:tcBorders>
              <w:top w:val="nil"/>
              <w:left w:val="nil"/>
              <w:bottom w:val="nil"/>
              <w:right w:val="nil"/>
            </w:tcBorders>
          </w:tcPr>
          <w:p w14:paraId="5F8A216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8,154</w:t>
            </w:r>
          </w:p>
        </w:tc>
      </w:tr>
      <w:tr w:rsidR="00235130" w:rsidRPr="00910928" w14:paraId="157ECE47" w14:textId="77777777" w:rsidTr="00974A7D">
        <w:trPr>
          <w:trHeight w:val="57"/>
          <w:jc w:val="center"/>
        </w:trPr>
        <w:tc>
          <w:tcPr>
            <w:tcW w:w="909" w:type="pct"/>
            <w:tcBorders>
              <w:top w:val="nil"/>
              <w:left w:val="nil"/>
              <w:bottom w:val="nil"/>
              <w:right w:val="nil"/>
            </w:tcBorders>
          </w:tcPr>
          <w:p w14:paraId="454343AE" w14:textId="77777777" w:rsidR="00235130" w:rsidRPr="002118F2" w:rsidRDefault="00235130" w:rsidP="00974A7D">
            <w:pPr>
              <w:widowControl w:val="0"/>
              <w:autoSpaceDE w:val="0"/>
              <w:autoSpaceDN w:val="0"/>
              <w:adjustRightInd w:val="0"/>
              <w:spacing w:after="0" w:line="240" w:lineRule="auto"/>
              <w:rPr>
                <w:rFonts w:ascii="Times New Roman" w:hAnsi="Times New Roman" w:cs="Times New Roman"/>
                <w:i/>
                <w:sz w:val="20"/>
                <w:szCs w:val="20"/>
                <w:lang w:val="en-US"/>
              </w:rPr>
            </w:pPr>
            <w:r w:rsidRPr="002118F2">
              <w:rPr>
                <w:rFonts w:ascii="Times New Roman" w:hAnsi="Times New Roman" w:cs="Times New Roman"/>
                <w:sz w:val="20"/>
                <w:szCs w:val="20"/>
                <w:lang w:val="en-US"/>
              </w:rPr>
              <w:t>Adj.</w:t>
            </w:r>
            <w:r w:rsidRPr="002118F2">
              <w:rPr>
                <w:rFonts w:ascii="Times New Roman" w:hAnsi="Times New Roman" w:cs="Times New Roman"/>
                <w:i/>
                <w:iCs/>
                <w:sz w:val="20"/>
                <w:szCs w:val="20"/>
                <w:lang w:val="en-US"/>
              </w:rPr>
              <w:t>R</w:t>
            </w:r>
            <w:r w:rsidRPr="002118F2">
              <w:rPr>
                <w:rFonts w:ascii="Times New Roman" w:hAnsi="Times New Roman" w:cs="Times New Roman"/>
                <w:sz w:val="20"/>
                <w:szCs w:val="20"/>
                <w:vertAlign w:val="superscript"/>
                <w:lang w:val="en-US"/>
              </w:rPr>
              <w:t>2</w:t>
            </w:r>
          </w:p>
        </w:tc>
        <w:tc>
          <w:tcPr>
            <w:tcW w:w="408" w:type="pct"/>
            <w:tcBorders>
              <w:top w:val="nil"/>
              <w:left w:val="nil"/>
              <w:bottom w:val="nil"/>
              <w:right w:val="nil"/>
            </w:tcBorders>
          </w:tcPr>
          <w:p w14:paraId="408841BA"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0.632</w:t>
            </w:r>
          </w:p>
        </w:tc>
        <w:tc>
          <w:tcPr>
            <w:tcW w:w="409" w:type="pct"/>
            <w:tcBorders>
              <w:top w:val="nil"/>
              <w:left w:val="nil"/>
              <w:bottom w:val="nil"/>
              <w:right w:val="nil"/>
            </w:tcBorders>
          </w:tcPr>
          <w:p w14:paraId="464E5C67"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r w:rsidRPr="002118F2">
              <w:rPr>
                <w:rFonts w:ascii="Times New Roman" w:hAnsi="Times New Roman" w:cs="Times New Roman"/>
                <w:sz w:val="20"/>
                <w:szCs w:val="20"/>
              </w:rPr>
              <w:t>0.676</w:t>
            </w:r>
          </w:p>
        </w:tc>
        <w:tc>
          <w:tcPr>
            <w:tcW w:w="409" w:type="pct"/>
            <w:tcBorders>
              <w:top w:val="nil"/>
              <w:left w:val="nil"/>
              <w:bottom w:val="nil"/>
              <w:right w:val="nil"/>
            </w:tcBorders>
          </w:tcPr>
          <w:p w14:paraId="473BC178"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p>
        </w:tc>
        <w:tc>
          <w:tcPr>
            <w:tcW w:w="410" w:type="pct"/>
            <w:tcBorders>
              <w:top w:val="nil"/>
              <w:left w:val="nil"/>
              <w:bottom w:val="nil"/>
              <w:right w:val="nil"/>
            </w:tcBorders>
          </w:tcPr>
          <w:p w14:paraId="5A7A0191"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p>
        </w:tc>
        <w:tc>
          <w:tcPr>
            <w:tcW w:w="409" w:type="pct"/>
            <w:tcBorders>
              <w:top w:val="nil"/>
              <w:left w:val="nil"/>
              <w:bottom w:val="nil"/>
              <w:right w:val="nil"/>
            </w:tcBorders>
          </w:tcPr>
          <w:p w14:paraId="159B03E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p>
        </w:tc>
        <w:tc>
          <w:tcPr>
            <w:tcW w:w="410" w:type="pct"/>
            <w:tcBorders>
              <w:top w:val="nil"/>
              <w:left w:val="nil"/>
              <w:bottom w:val="nil"/>
              <w:right w:val="nil"/>
            </w:tcBorders>
          </w:tcPr>
          <w:p w14:paraId="76F066F0"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p>
        </w:tc>
        <w:tc>
          <w:tcPr>
            <w:tcW w:w="409" w:type="pct"/>
            <w:tcBorders>
              <w:top w:val="nil"/>
              <w:left w:val="nil"/>
              <w:bottom w:val="nil"/>
              <w:right w:val="nil"/>
            </w:tcBorders>
          </w:tcPr>
          <w:p w14:paraId="7FA9F8B9"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p>
        </w:tc>
        <w:tc>
          <w:tcPr>
            <w:tcW w:w="410" w:type="pct"/>
            <w:tcBorders>
              <w:top w:val="nil"/>
              <w:left w:val="nil"/>
              <w:bottom w:val="nil"/>
              <w:right w:val="nil"/>
            </w:tcBorders>
          </w:tcPr>
          <w:p w14:paraId="36B7D502"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p>
        </w:tc>
        <w:tc>
          <w:tcPr>
            <w:tcW w:w="409" w:type="pct"/>
            <w:tcBorders>
              <w:top w:val="nil"/>
              <w:left w:val="nil"/>
              <w:bottom w:val="nil"/>
              <w:right w:val="nil"/>
            </w:tcBorders>
          </w:tcPr>
          <w:p w14:paraId="457374A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p>
        </w:tc>
        <w:tc>
          <w:tcPr>
            <w:tcW w:w="408" w:type="pct"/>
            <w:tcBorders>
              <w:top w:val="nil"/>
              <w:left w:val="nil"/>
              <w:bottom w:val="nil"/>
              <w:right w:val="nil"/>
            </w:tcBorders>
          </w:tcPr>
          <w:p w14:paraId="795037EF" w14:textId="77777777" w:rsidR="00235130" w:rsidRPr="002118F2" w:rsidRDefault="00235130" w:rsidP="00974A7D">
            <w:pPr>
              <w:widowControl w:val="0"/>
              <w:autoSpaceDE w:val="0"/>
              <w:autoSpaceDN w:val="0"/>
              <w:adjustRightInd w:val="0"/>
              <w:spacing w:after="0" w:line="240" w:lineRule="auto"/>
              <w:jc w:val="center"/>
              <w:rPr>
                <w:rFonts w:ascii="Times New Roman" w:hAnsi="Times New Roman" w:cs="Times New Roman"/>
                <w:sz w:val="20"/>
                <w:szCs w:val="20"/>
              </w:rPr>
            </w:pPr>
          </w:p>
        </w:tc>
      </w:tr>
      <w:tr w:rsidR="00496004" w:rsidRPr="00910928" w14:paraId="15BB4330" w14:textId="77777777" w:rsidTr="00974A7D">
        <w:trPr>
          <w:trHeight w:val="57"/>
          <w:jc w:val="center"/>
        </w:trPr>
        <w:tc>
          <w:tcPr>
            <w:tcW w:w="909" w:type="pct"/>
            <w:tcBorders>
              <w:top w:val="nil"/>
              <w:left w:val="nil"/>
              <w:bottom w:val="nil"/>
              <w:right w:val="nil"/>
            </w:tcBorders>
          </w:tcPr>
          <w:p w14:paraId="00AEF594" w14:textId="387BB214" w:rsidR="00496004" w:rsidRPr="002006CA" w:rsidRDefault="00496004" w:rsidP="00496004">
            <w:pPr>
              <w:widowControl w:val="0"/>
              <w:autoSpaceDE w:val="0"/>
              <w:autoSpaceDN w:val="0"/>
              <w:adjustRightInd w:val="0"/>
              <w:spacing w:after="0" w:line="240" w:lineRule="auto"/>
              <w:rPr>
                <w:rFonts w:ascii="Times New Roman" w:hAnsi="Times New Roman" w:cs="Times New Roman"/>
                <w:iCs/>
                <w:sz w:val="20"/>
                <w:szCs w:val="20"/>
                <w:lang w:val="en-US"/>
              </w:rPr>
            </w:pPr>
            <w:r w:rsidRPr="002118F2">
              <w:rPr>
                <w:rFonts w:ascii="Times New Roman" w:hAnsi="Times New Roman" w:cs="Times New Roman"/>
                <w:i/>
                <w:sz w:val="20"/>
                <w:szCs w:val="20"/>
                <w:lang w:val="en-US"/>
              </w:rPr>
              <w:t>Covenant intensity</w:t>
            </w:r>
            <w:r>
              <w:rPr>
                <w:rFonts w:ascii="Times New Roman" w:hAnsi="Times New Roman" w:cs="Times New Roman"/>
                <w:i/>
                <w:sz w:val="20"/>
                <w:szCs w:val="20"/>
                <w:lang w:val="en-US"/>
              </w:rPr>
              <w:t xml:space="preserve"> </w:t>
            </w:r>
            <w:r>
              <w:rPr>
                <w:rFonts w:ascii="Times New Roman" w:hAnsi="Times New Roman" w:cs="Times New Roman"/>
                <w:iCs/>
                <w:sz w:val="20"/>
                <w:szCs w:val="20"/>
                <w:lang w:val="en-US"/>
              </w:rPr>
              <w:t xml:space="preserve">+ </w:t>
            </w:r>
            <w:r w:rsidRPr="002118F2">
              <w:rPr>
                <w:rFonts w:ascii="Times New Roman" w:hAnsi="Times New Roman" w:cs="Times New Roman"/>
                <w:i/>
                <w:sz w:val="20"/>
                <w:szCs w:val="20"/>
                <w:lang w:val="en-US"/>
              </w:rPr>
              <w:t xml:space="preserve">Covenant intensity </w:t>
            </w:r>
            <w:r w:rsidRPr="003101A0">
              <w:rPr>
                <w:rFonts w:ascii="Times New Roman" w:hAnsi="Times New Roman" w:cs="Times New Roman"/>
                <w:i/>
                <w:sz w:val="20"/>
                <w:szCs w:val="20"/>
                <w:lang w:val="en-US"/>
              </w:rPr>
              <w:t>×</w:t>
            </w:r>
            <w:r w:rsidRPr="002118F2">
              <w:rPr>
                <w:rFonts w:ascii="Times New Roman" w:hAnsi="Times New Roman" w:cs="Times New Roman"/>
                <w:i/>
                <w:sz w:val="20"/>
                <w:szCs w:val="20"/>
                <w:lang w:val="en-US"/>
              </w:rPr>
              <w:t xml:space="preserve"> Convertible</w:t>
            </w:r>
          </w:p>
        </w:tc>
        <w:tc>
          <w:tcPr>
            <w:tcW w:w="408" w:type="pct"/>
            <w:tcBorders>
              <w:top w:val="nil"/>
              <w:left w:val="nil"/>
              <w:bottom w:val="nil"/>
              <w:right w:val="nil"/>
            </w:tcBorders>
          </w:tcPr>
          <w:p w14:paraId="530FD43B" w14:textId="7D1A52A6" w:rsidR="00496004" w:rsidRPr="00DC14E8" w:rsidRDefault="00496004" w:rsidP="00496004">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26A32">
              <w:rPr>
                <w:rFonts w:ascii="Times New Roman" w:hAnsi="Times New Roman" w:cs="Times New Roman"/>
                <w:sz w:val="20"/>
                <w:szCs w:val="20"/>
                <w:lang w:val="en-US"/>
              </w:rPr>
              <w:t>2</w:t>
            </w:r>
            <w:r w:rsidR="00820177">
              <w:rPr>
                <w:rFonts w:ascii="Times New Roman" w:hAnsi="Times New Roman" w:cs="Times New Roman"/>
                <w:sz w:val="20"/>
                <w:szCs w:val="20"/>
                <w:lang w:val="en-US"/>
              </w:rPr>
              <w:t>.</w:t>
            </w:r>
            <w:r w:rsidRPr="00326A32">
              <w:rPr>
                <w:rFonts w:ascii="Times New Roman" w:hAnsi="Times New Roman" w:cs="Times New Roman"/>
                <w:sz w:val="20"/>
                <w:szCs w:val="20"/>
                <w:lang w:val="en-US"/>
              </w:rPr>
              <w:t>79</w:t>
            </w:r>
            <w:r w:rsidR="00820177">
              <w:rPr>
                <w:rFonts w:ascii="Times New Roman" w:hAnsi="Times New Roman" w:cs="Times New Roman"/>
                <w:sz w:val="20"/>
                <w:szCs w:val="20"/>
                <w:lang w:val="en-US"/>
              </w:rPr>
              <w:t>0</w:t>
            </w:r>
            <w:r>
              <w:rPr>
                <w:rFonts w:ascii="Times New Roman" w:hAnsi="Times New Roman" w:cs="Times New Roman"/>
                <w:sz w:val="20"/>
                <w:szCs w:val="20"/>
                <w:lang w:val="en-US"/>
              </w:rPr>
              <w:t>**</w:t>
            </w:r>
          </w:p>
        </w:tc>
        <w:tc>
          <w:tcPr>
            <w:tcW w:w="409" w:type="pct"/>
            <w:tcBorders>
              <w:top w:val="nil"/>
              <w:left w:val="nil"/>
              <w:bottom w:val="nil"/>
              <w:right w:val="nil"/>
            </w:tcBorders>
          </w:tcPr>
          <w:p w14:paraId="214DAE62" w14:textId="3A8896AF" w:rsidR="00496004" w:rsidRPr="002118F2" w:rsidRDefault="00496004" w:rsidP="00496004">
            <w:pPr>
              <w:widowControl w:val="0"/>
              <w:autoSpaceDE w:val="0"/>
              <w:autoSpaceDN w:val="0"/>
              <w:adjustRightInd w:val="0"/>
              <w:spacing w:after="0" w:line="240" w:lineRule="auto"/>
              <w:jc w:val="center"/>
              <w:rPr>
                <w:rFonts w:ascii="Times New Roman" w:hAnsi="Times New Roman" w:cs="Times New Roman"/>
                <w:sz w:val="20"/>
                <w:szCs w:val="20"/>
              </w:rPr>
            </w:pPr>
            <w:r w:rsidRPr="00326A32">
              <w:rPr>
                <w:rFonts w:ascii="Times New Roman" w:hAnsi="Times New Roman" w:cs="Times New Roman"/>
                <w:sz w:val="20"/>
                <w:szCs w:val="20"/>
                <w:lang w:val="en-US"/>
              </w:rPr>
              <w:t>2</w:t>
            </w:r>
            <w:r w:rsidR="00820177">
              <w:rPr>
                <w:rFonts w:ascii="Times New Roman" w:hAnsi="Times New Roman" w:cs="Times New Roman"/>
                <w:sz w:val="20"/>
                <w:szCs w:val="20"/>
                <w:lang w:val="en-US"/>
              </w:rPr>
              <w:t>.100</w:t>
            </w:r>
            <w:r>
              <w:rPr>
                <w:rFonts w:ascii="Times New Roman" w:hAnsi="Times New Roman" w:cs="Times New Roman"/>
                <w:sz w:val="20"/>
                <w:szCs w:val="20"/>
                <w:lang w:val="en-US"/>
              </w:rPr>
              <w:t>*</w:t>
            </w:r>
          </w:p>
        </w:tc>
        <w:tc>
          <w:tcPr>
            <w:tcW w:w="409" w:type="pct"/>
            <w:tcBorders>
              <w:top w:val="nil"/>
              <w:left w:val="nil"/>
              <w:bottom w:val="nil"/>
              <w:right w:val="nil"/>
            </w:tcBorders>
          </w:tcPr>
          <w:p w14:paraId="3C27A777" w14:textId="7AD4563E" w:rsidR="00496004" w:rsidRPr="002118F2" w:rsidRDefault="00820177"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w:t>
            </w:r>
            <w:r w:rsidR="00496004" w:rsidRPr="000D01E0">
              <w:rPr>
                <w:rFonts w:ascii="Times New Roman" w:hAnsi="Times New Roman" w:cs="Times New Roman"/>
                <w:sz w:val="20"/>
                <w:szCs w:val="20"/>
                <w:lang w:val="en-US"/>
              </w:rPr>
              <w:t>91</w:t>
            </w:r>
            <w:r>
              <w:rPr>
                <w:rFonts w:ascii="Times New Roman" w:hAnsi="Times New Roman" w:cs="Times New Roman"/>
                <w:sz w:val="20"/>
                <w:szCs w:val="20"/>
                <w:lang w:val="en-US"/>
              </w:rPr>
              <w:t>3</w:t>
            </w:r>
            <w:r w:rsidR="00496004">
              <w:rPr>
                <w:rFonts w:ascii="Times New Roman" w:hAnsi="Times New Roman" w:cs="Times New Roman"/>
                <w:sz w:val="20"/>
                <w:szCs w:val="20"/>
                <w:lang w:val="en-US"/>
              </w:rPr>
              <w:t>**</w:t>
            </w:r>
          </w:p>
        </w:tc>
        <w:tc>
          <w:tcPr>
            <w:tcW w:w="410" w:type="pct"/>
            <w:tcBorders>
              <w:top w:val="nil"/>
              <w:left w:val="nil"/>
              <w:bottom w:val="nil"/>
              <w:right w:val="nil"/>
            </w:tcBorders>
          </w:tcPr>
          <w:p w14:paraId="58504D1B" w14:textId="65587AB0" w:rsidR="00496004" w:rsidRPr="002118F2" w:rsidRDefault="00820177"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w:t>
            </w:r>
            <w:r w:rsidR="00496004">
              <w:rPr>
                <w:rFonts w:ascii="Times New Roman" w:hAnsi="Times New Roman" w:cs="Times New Roman"/>
                <w:sz w:val="20"/>
                <w:szCs w:val="20"/>
                <w:lang w:val="en-US"/>
              </w:rPr>
              <w:t>691**</w:t>
            </w:r>
          </w:p>
        </w:tc>
        <w:tc>
          <w:tcPr>
            <w:tcW w:w="409" w:type="pct"/>
            <w:tcBorders>
              <w:top w:val="nil"/>
              <w:left w:val="nil"/>
              <w:bottom w:val="nil"/>
              <w:right w:val="nil"/>
            </w:tcBorders>
          </w:tcPr>
          <w:p w14:paraId="1BAAEC96" w14:textId="6CEC0AA6" w:rsidR="00496004" w:rsidRPr="002118F2" w:rsidRDefault="00820177"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w:t>
            </w:r>
            <w:r w:rsidR="00496004" w:rsidRPr="000D01E0">
              <w:rPr>
                <w:rFonts w:ascii="Times New Roman" w:hAnsi="Times New Roman" w:cs="Times New Roman"/>
                <w:sz w:val="20"/>
                <w:szCs w:val="20"/>
                <w:lang w:val="en-US"/>
              </w:rPr>
              <w:t>195</w:t>
            </w:r>
          </w:p>
        </w:tc>
        <w:tc>
          <w:tcPr>
            <w:tcW w:w="410" w:type="pct"/>
            <w:tcBorders>
              <w:top w:val="nil"/>
              <w:left w:val="nil"/>
              <w:bottom w:val="nil"/>
              <w:right w:val="nil"/>
            </w:tcBorders>
          </w:tcPr>
          <w:p w14:paraId="0742FFED" w14:textId="6F33AD09" w:rsidR="00496004" w:rsidRPr="002118F2" w:rsidRDefault="00820177"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w:t>
            </w:r>
            <w:r w:rsidR="00496004">
              <w:rPr>
                <w:rFonts w:ascii="Times New Roman" w:hAnsi="Times New Roman" w:cs="Times New Roman"/>
                <w:sz w:val="20"/>
                <w:szCs w:val="20"/>
                <w:lang w:val="en-US"/>
              </w:rPr>
              <w:t>310</w:t>
            </w:r>
          </w:p>
        </w:tc>
        <w:tc>
          <w:tcPr>
            <w:tcW w:w="409" w:type="pct"/>
            <w:tcBorders>
              <w:top w:val="nil"/>
              <w:left w:val="nil"/>
              <w:bottom w:val="nil"/>
              <w:right w:val="nil"/>
            </w:tcBorders>
          </w:tcPr>
          <w:p w14:paraId="3060DAE0" w14:textId="501FE502" w:rsidR="00496004" w:rsidRPr="002118F2" w:rsidRDefault="00496004" w:rsidP="00496004">
            <w:pPr>
              <w:widowControl w:val="0"/>
              <w:autoSpaceDE w:val="0"/>
              <w:autoSpaceDN w:val="0"/>
              <w:adjustRightInd w:val="0"/>
              <w:spacing w:after="0" w:line="240" w:lineRule="auto"/>
              <w:jc w:val="center"/>
              <w:rPr>
                <w:rFonts w:ascii="Times New Roman" w:hAnsi="Times New Roman" w:cs="Times New Roman"/>
                <w:sz w:val="20"/>
                <w:szCs w:val="20"/>
              </w:rPr>
            </w:pPr>
            <w:r w:rsidRPr="00851B2D">
              <w:rPr>
                <w:rFonts w:ascii="Times New Roman" w:hAnsi="Times New Roman" w:cs="Times New Roman"/>
                <w:sz w:val="20"/>
                <w:szCs w:val="20"/>
                <w:lang w:val="en-US"/>
              </w:rPr>
              <w:t>-</w:t>
            </w:r>
            <w:r w:rsidR="00820177">
              <w:rPr>
                <w:rFonts w:ascii="Times New Roman" w:hAnsi="Times New Roman" w:cs="Times New Roman"/>
                <w:sz w:val="20"/>
                <w:szCs w:val="20"/>
                <w:lang w:val="en-US"/>
              </w:rPr>
              <w:t>0.</w:t>
            </w:r>
            <w:r w:rsidRPr="00851B2D">
              <w:rPr>
                <w:rFonts w:ascii="Times New Roman" w:hAnsi="Times New Roman" w:cs="Times New Roman"/>
                <w:sz w:val="20"/>
                <w:szCs w:val="20"/>
                <w:lang w:val="en-US"/>
              </w:rPr>
              <w:t>340</w:t>
            </w:r>
          </w:p>
        </w:tc>
        <w:tc>
          <w:tcPr>
            <w:tcW w:w="410" w:type="pct"/>
            <w:tcBorders>
              <w:top w:val="nil"/>
              <w:left w:val="nil"/>
              <w:bottom w:val="nil"/>
              <w:right w:val="nil"/>
            </w:tcBorders>
          </w:tcPr>
          <w:p w14:paraId="0EB98A8F" w14:textId="099C3E1C" w:rsidR="00496004" w:rsidRPr="002118F2" w:rsidRDefault="00496004" w:rsidP="00496004">
            <w:pPr>
              <w:widowControl w:val="0"/>
              <w:autoSpaceDE w:val="0"/>
              <w:autoSpaceDN w:val="0"/>
              <w:adjustRightInd w:val="0"/>
              <w:spacing w:after="0" w:line="240" w:lineRule="auto"/>
              <w:jc w:val="center"/>
              <w:rPr>
                <w:rFonts w:ascii="Times New Roman" w:hAnsi="Times New Roman" w:cs="Times New Roman"/>
                <w:sz w:val="20"/>
                <w:szCs w:val="20"/>
              </w:rPr>
            </w:pPr>
            <w:r w:rsidRPr="00851B2D">
              <w:rPr>
                <w:rFonts w:ascii="Times New Roman" w:hAnsi="Times New Roman" w:cs="Times New Roman"/>
                <w:sz w:val="20"/>
                <w:szCs w:val="20"/>
                <w:lang w:val="en-US"/>
              </w:rPr>
              <w:t>-</w:t>
            </w:r>
            <w:r w:rsidR="00820177">
              <w:rPr>
                <w:rFonts w:ascii="Times New Roman" w:hAnsi="Times New Roman" w:cs="Times New Roman"/>
                <w:sz w:val="20"/>
                <w:szCs w:val="20"/>
                <w:lang w:val="en-US"/>
              </w:rPr>
              <w:t>0.</w:t>
            </w:r>
            <w:r w:rsidRPr="00851B2D">
              <w:rPr>
                <w:rFonts w:ascii="Times New Roman" w:hAnsi="Times New Roman" w:cs="Times New Roman"/>
                <w:sz w:val="20"/>
                <w:szCs w:val="20"/>
                <w:lang w:val="en-US"/>
              </w:rPr>
              <w:t>60</w:t>
            </w:r>
            <w:r w:rsidR="00820177">
              <w:rPr>
                <w:rFonts w:ascii="Times New Roman" w:hAnsi="Times New Roman" w:cs="Times New Roman"/>
                <w:sz w:val="20"/>
                <w:szCs w:val="20"/>
                <w:lang w:val="en-US"/>
              </w:rPr>
              <w:t>2</w:t>
            </w:r>
          </w:p>
        </w:tc>
        <w:tc>
          <w:tcPr>
            <w:tcW w:w="409" w:type="pct"/>
            <w:tcBorders>
              <w:top w:val="nil"/>
              <w:left w:val="nil"/>
              <w:bottom w:val="nil"/>
              <w:right w:val="nil"/>
            </w:tcBorders>
          </w:tcPr>
          <w:p w14:paraId="7F0558DA" w14:textId="4939D317" w:rsidR="00496004" w:rsidRPr="002118F2" w:rsidRDefault="00820177"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w:t>
            </w:r>
            <w:r w:rsidR="00496004" w:rsidRPr="00F04909">
              <w:rPr>
                <w:rFonts w:ascii="Times New Roman" w:hAnsi="Times New Roman" w:cs="Times New Roman"/>
                <w:sz w:val="20"/>
                <w:szCs w:val="20"/>
                <w:lang w:val="en-US"/>
              </w:rPr>
              <w:t>456</w:t>
            </w:r>
            <w:r w:rsidR="00496004">
              <w:rPr>
                <w:rFonts w:ascii="Times New Roman" w:hAnsi="Times New Roman" w:cs="Times New Roman"/>
                <w:sz w:val="20"/>
                <w:szCs w:val="20"/>
                <w:lang w:val="en-US"/>
              </w:rPr>
              <w:t>**</w:t>
            </w:r>
          </w:p>
        </w:tc>
        <w:tc>
          <w:tcPr>
            <w:tcW w:w="408" w:type="pct"/>
            <w:tcBorders>
              <w:top w:val="nil"/>
              <w:left w:val="nil"/>
              <w:bottom w:val="nil"/>
              <w:right w:val="nil"/>
            </w:tcBorders>
          </w:tcPr>
          <w:p w14:paraId="0B2E9949" w14:textId="68371E44" w:rsidR="00496004" w:rsidRPr="002118F2" w:rsidRDefault="00820177"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w:t>
            </w:r>
            <w:r w:rsidR="00496004" w:rsidRPr="0088177C">
              <w:rPr>
                <w:rFonts w:ascii="Times New Roman" w:hAnsi="Times New Roman" w:cs="Times New Roman"/>
                <w:sz w:val="20"/>
                <w:szCs w:val="20"/>
                <w:lang w:val="en-US"/>
              </w:rPr>
              <w:t>399</w:t>
            </w:r>
            <w:r w:rsidR="00496004">
              <w:rPr>
                <w:rFonts w:ascii="Times New Roman" w:hAnsi="Times New Roman" w:cs="Times New Roman"/>
                <w:sz w:val="20"/>
                <w:szCs w:val="20"/>
                <w:lang w:val="en-US"/>
              </w:rPr>
              <w:t>**</w:t>
            </w:r>
          </w:p>
        </w:tc>
      </w:tr>
      <w:tr w:rsidR="00496004" w:rsidRPr="00910928" w14:paraId="4F49C7F5" w14:textId="77777777" w:rsidTr="00974A7D">
        <w:trPr>
          <w:trHeight w:val="57"/>
          <w:jc w:val="center"/>
        </w:trPr>
        <w:tc>
          <w:tcPr>
            <w:tcW w:w="909" w:type="pct"/>
            <w:tcBorders>
              <w:top w:val="nil"/>
              <w:left w:val="nil"/>
              <w:bottom w:val="nil"/>
              <w:right w:val="nil"/>
            </w:tcBorders>
          </w:tcPr>
          <w:p w14:paraId="33143CB9" w14:textId="77777777" w:rsidR="00496004" w:rsidRPr="002118F2" w:rsidRDefault="00496004" w:rsidP="00496004">
            <w:pPr>
              <w:widowControl w:val="0"/>
              <w:autoSpaceDE w:val="0"/>
              <w:autoSpaceDN w:val="0"/>
              <w:adjustRightInd w:val="0"/>
              <w:spacing w:after="0" w:line="240" w:lineRule="auto"/>
              <w:rPr>
                <w:rFonts w:ascii="Times New Roman" w:hAnsi="Times New Roman" w:cs="Times New Roman"/>
                <w:i/>
                <w:sz w:val="20"/>
                <w:szCs w:val="20"/>
                <w:lang w:val="en-US"/>
              </w:rPr>
            </w:pPr>
          </w:p>
        </w:tc>
        <w:tc>
          <w:tcPr>
            <w:tcW w:w="408" w:type="pct"/>
            <w:tcBorders>
              <w:top w:val="nil"/>
              <w:left w:val="nil"/>
              <w:bottom w:val="nil"/>
              <w:right w:val="nil"/>
            </w:tcBorders>
          </w:tcPr>
          <w:p w14:paraId="2A6A5E26" w14:textId="18BBA68E" w:rsidR="00496004" w:rsidRPr="00496004" w:rsidRDefault="00496004" w:rsidP="00496004">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(2.40)</w:t>
            </w:r>
          </w:p>
        </w:tc>
        <w:tc>
          <w:tcPr>
            <w:tcW w:w="409" w:type="pct"/>
            <w:tcBorders>
              <w:top w:val="nil"/>
              <w:left w:val="nil"/>
              <w:bottom w:val="nil"/>
              <w:right w:val="nil"/>
            </w:tcBorders>
          </w:tcPr>
          <w:p w14:paraId="4DAAA295" w14:textId="71F1663E" w:rsidR="00496004" w:rsidRPr="002118F2" w:rsidRDefault="00496004"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(1.95)</w:t>
            </w:r>
          </w:p>
        </w:tc>
        <w:tc>
          <w:tcPr>
            <w:tcW w:w="409" w:type="pct"/>
            <w:tcBorders>
              <w:top w:val="nil"/>
              <w:left w:val="nil"/>
              <w:bottom w:val="nil"/>
              <w:right w:val="nil"/>
            </w:tcBorders>
          </w:tcPr>
          <w:p w14:paraId="262C129C" w14:textId="36B4E376" w:rsidR="00496004" w:rsidRPr="002118F2" w:rsidRDefault="00496004"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(2.47)</w:t>
            </w:r>
          </w:p>
        </w:tc>
        <w:tc>
          <w:tcPr>
            <w:tcW w:w="410" w:type="pct"/>
            <w:tcBorders>
              <w:top w:val="nil"/>
              <w:left w:val="nil"/>
              <w:bottom w:val="nil"/>
              <w:right w:val="nil"/>
            </w:tcBorders>
          </w:tcPr>
          <w:p w14:paraId="03D2B468" w14:textId="54870121" w:rsidR="00496004" w:rsidRPr="002118F2" w:rsidRDefault="00496004"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(2.02)</w:t>
            </w:r>
          </w:p>
        </w:tc>
        <w:tc>
          <w:tcPr>
            <w:tcW w:w="409" w:type="pct"/>
            <w:tcBorders>
              <w:top w:val="nil"/>
              <w:left w:val="nil"/>
              <w:bottom w:val="nil"/>
              <w:right w:val="nil"/>
            </w:tcBorders>
          </w:tcPr>
          <w:p w14:paraId="455FA311" w14:textId="5A4331F8" w:rsidR="00496004" w:rsidRPr="002118F2" w:rsidRDefault="00496004"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(0.32)</w:t>
            </w:r>
          </w:p>
        </w:tc>
        <w:tc>
          <w:tcPr>
            <w:tcW w:w="410" w:type="pct"/>
            <w:tcBorders>
              <w:top w:val="nil"/>
              <w:left w:val="nil"/>
              <w:bottom w:val="nil"/>
              <w:right w:val="nil"/>
            </w:tcBorders>
          </w:tcPr>
          <w:p w14:paraId="00FFA03E" w14:textId="5EE0CEE8" w:rsidR="00496004" w:rsidRPr="002118F2" w:rsidRDefault="00496004"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(0.56)</w:t>
            </w:r>
          </w:p>
        </w:tc>
        <w:tc>
          <w:tcPr>
            <w:tcW w:w="409" w:type="pct"/>
            <w:tcBorders>
              <w:top w:val="nil"/>
              <w:left w:val="nil"/>
              <w:bottom w:val="nil"/>
              <w:right w:val="nil"/>
            </w:tcBorders>
          </w:tcPr>
          <w:p w14:paraId="69B30E90" w14:textId="716E95FC" w:rsidR="00496004" w:rsidRPr="002118F2" w:rsidRDefault="00496004"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(-0.42)</w:t>
            </w:r>
          </w:p>
        </w:tc>
        <w:tc>
          <w:tcPr>
            <w:tcW w:w="410" w:type="pct"/>
            <w:tcBorders>
              <w:top w:val="nil"/>
              <w:left w:val="nil"/>
              <w:bottom w:val="nil"/>
              <w:right w:val="nil"/>
            </w:tcBorders>
          </w:tcPr>
          <w:p w14:paraId="15429251" w14:textId="3A7CE07B" w:rsidR="00496004" w:rsidRPr="002118F2" w:rsidRDefault="00496004"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(-075)</w:t>
            </w:r>
          </w:p>
        </w:tc>
        <w:tc>
          <w:tcPr>
            <w:tcW w:w="409" w:type="pct"/>
            <w:tcBorders>
              <w:top w:val="nil"/>
              <w:left w:val="nil"/>
              <w:bottom w:val="nil"/>
              <w:right w:val="nil"/>
            </w:tcBorders>
          </w:tcPr>
          <w:p w14:paraId="35F3F0DD" w14:textId="63BC92F1" w:rsidR="00496004" w:rsidRPr="002118F2" w:rsidRDefault="00496004"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(2.21)</w:t>
            </w:r>
          </w:p>
        </w:tc>
        <w:tc>
          <w:tcPr>
            <w:tcW w:w="408" w:type="pct"/>
            <w:tcBorders>
              <w:top w:val="nil"/>
              <w:left w:val="nil"/>
              <w:bottom w:val="nil"/>
              <w:right w:val="nil"/>
            </w:tcBorders>
          </w:tcPr>
          <w:p w14:paraId="6A6C140B" w14:textId="545E1399" w:rsidR="00496004" w:rsidRPr="002118F2" w:rsidRDefault="00496004" w:rsidP="004960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(2.08)</w:t>
            </w:r>
          </w:p>
        </w:tc>
      </w:tr>
      <w:tr w:rsidR="00496004" w:rsidRPr="00910928" w14:paraId="1B8031F7" w14:textId="77777777" w:rsidTr="00974A7D">
        <w:trPr>
          <w:trHeight w:val="57"/>
          <w:jc w:val="center"/>
        </w:trPr>
        <w:tc>
          <w:tcPr>
            <w:tcW w:w="5000" w:type="pct"/>
            <w:gridSpan w:val="11"/>
            <w:tcBorders>
              <w:top w:val="single" w:sz="4" w:space="0" w:color="auto"/>
              <w:left w:val="nil"/>
              <w:right w:val="nil"/>
            </w:tcBorders>
            <w:shd w:val="clear" w:color="auto" w:fill="auto"/>
          </w:tcPr>
          <w:p w14:paraId="3CBC3669" w14:textId="6E047130" w:rsidR="00496004" w:rsidRPr="002118F2" w:rsidRDefault="00496004" w:rsidP="00496004">
            <w:pPr>
              <w:widowControl w:val="0"/>
              <w:autoSpaceDE w:val="0"/>
              <w:autoSpaceDN w:val="0"/>
              <w:adjustRightInd w:val="0"/>
              <w:spacing w:after="0" w:line="240" w:lineRule="auto"/>
              <w:jc w:val="both"/>
              <w:rPr>
                <w:rFonts w:ascii="Times New Roman" w:hAnsi="Times New Roman" w:cs="Times New Roman"/>
                <w:sz w:val="20"/>
                <w:szCs w:val="20"/>
              </w:rPr>
            </w:pPr>
            <w:r w:rsidRPr="004B60E7">
              <w:rPr>
                <w:rFonts w:ascii="Times New Roman" w:hAnsi="Times New Roman" w:cs="Times New Roman"/>
                <w:sz w:val="18"/>
                <w:szCs w:val="18"/>
              </w:rPr>
              <w:t xml:space="preserve">Notes: </w:t>
            </w:r>
            <w:r w:rsidRPr="004B60E7">
              <w:rPr>
                <w:rFonts w:ascii="Times New Roman" w:hAnsi="Times New Roman" w:cs="Times New Roman"/>
                <w:color w:val="000000"/>
                <w:sz w:val="18"/>
                <w:szCs w:val="18"/>
                <w:lang w:val="en-US"/>
              </w:rPr>
              <w:t xml:space="preserve">This table presents the results of the impact of covenant intensity on </w:t>
            </w:r>
            <w:r>
              <w:rPr>
                <w:rFonts w:ascii="Times New Roman" w:hAnsi="Times New Roman" w:cs="Times New Roman"/>
                <w:color w:val="000000"/>
                <w:sz w:val="18"/>
                <w:szCs w:val="18"/>
                <w:lang w:val="en-US"/>
              </w:rPr>
              <w:t xml:space="preserve">at-issue </w:t>
            </w:r>
            <w:r w:rsidRPr="004B60E7">
              <w:rPr>
                <w:rFonts w:ascii="Times New Roman" w:hAnsi="Times New Roman" w:cs="Times New Roman"/>
                <w:color w:val="000000"/>
                <w:sz w:val="18"/>
                <w:szCs w:val="18"/>
                <w:lang w:val="en-US"/>
              </w:rPr>
              <w:t>yields for convertibles and straight bonds</w:t>
            </w:r>
            <w:r>
              <w:rPr>
                <w:rFonts w:ascii="Times New Roman" w:hAnsi="Times New Roman" w:cs="Times New Roman"/>
                <w:color w:val="000000"/>
                <w:sz w:val="18"/>
                <w:szCs w:val="18"/>
                <w:lang w:val="en-US"/>
              </w:rPr>
              <w:t>.</w:t>
            </w:r>
            <w:r w:rsidRPr="004B60E7">
              <w:rPr>
                <w:rFonts w:ascii="Times New Roman" w:hAnsi="Times New Roman" w:cs="Times New Roman"/>
                <w:color w:val="000000"/>
                <w:sz w:val="18"/>
                <w:szCs w:val="18"/>
                <w:lang w:val="en-US"/>
              </w:rPr>
              <w:t xml:space="preserve"> </w:t>
            </w:r>
            <w:r>
              <w:rPr>
                <w:rFonts w:ascii="Times New Roman" w:eastAsia="Times New Roman" w:hAnsi="Times New Roman" w:cs="Times New Roman"/>
                <w:color w:val="000000"/>
                <w:sz w:val="18"/>
                <w:szCs w:val="18"/>
                <w:lang w:val="en-US" w:eastAsia="en-GB"/>
              </w:rPr>
              <w:t xml:space="preserve">Regressions based on overall covenant intensity (columns (1) and (2)) adopt 2SLS and regressions based on individual covenant group dummies (columns (3)-(10)) adopt treatment effects models. </w:t>
            </w:r>
            <w:r w:rsidRPr="004B60E7">
              <w:rPr>
                <w:rFonts w:ascii="Times New Roman" w:hAnsi="Times New Roman" w:cs="Times New Roman"/>
                <w:color w:val="000000"/>
                <w:sz w:val="18"/>
                <w:szCs w:val="18"/>
                <w:lang w:val="en-US"/>
              </w:rPr>
              <w:t xml:space="preserve">For brevity, only the second-stage </w:t>
            </w:r>
            <w:r>
              <w:rPr>
                <w:rFonts w:ascii="Times New Roman" w:hAnsi="Times New Roman" w:cs="Times New Roman"/>
                <w:color w:val="000000"/>
                <w:sz w:val="18"/>
                <w:szCs w:val="18"/>
                <w:lang w:val="en-US"/>
              </w:rPr>
              <w:t xml:space="preserve">regression </w:t>
            </w:r>
            <w:r w:rsidRPr="004B60E7">
              <w:rPr>
                <w:rFonts w:ascii="Times New Roman" w:hAnsi="Times New Roman" w:cs="Times New Roman"/>
                <w:color w:val="000000"/>
                <w:sz w:val="18"/>
                <w:szCs w:val="18"/>
                <w:lang w:val="en-US"/>
              </w:rPr>
              <w:t xml:space="preserve">results are reported. </w:t>
            </w:r>
            <w:r w:rsidRPr="004B60E7">
              <w:rPr>
                <w:rFonts w:ascii="Times New Roman" w:hAnsi="Times New Roman" w:cs="Times New Roman"/>
                <w:i/>
                <w:iCs/>
                <w:color w:val="000000"/>
                <w:sz w:val="18"/>
                <w:szCs w:val="18"/>
                <w:lang w:val="en-US"/>
              </w:rPr>
              <w:t>z</w:t>
            </w:r>
            <w:r w:rsidRPr="004B60E7">
              <w:rPr>
                <w:rFonts w:ascii="Times New Roman" w:hAnsi="Times New Roman" w:cs="Times New Roman"/>
                <w:sz w:val="18"/>
                <w:szCs w:val="18"/>
                <w:lang w:val="en-US"/>
              </w:rPr>
              <w:t xml:space="preserve">-statistics reported in parentheses are based on standard errors corrected for heteroskedasticity, and clustered by firm. Continuous variables are </w:t>
            </w:r>
            <w:proofErr w:type="spellStart"/>
            <w:r w:rsidRPr="004B60E7">
              <w:rPr>
                <w:rFonts w:ascii="Times New Roman" w:hAnsi="Times New Roman" w:cs="Times New Roman"/>
                <w:sz w:val="18"/>
                <w:szCs w:val="18"/>
                <w:lang w:val="en-US"/>
              </w:rPr>
              <w:t>winsorized</w:t>
            </w:r>
            <w:proofErr w:type="spellEnd"/>
            <w:r w:rsidRPr="004B60E7">
              <w:rPr>
                <w:rFonts w:ascii="Times New Roman" w:hAnsi="Times New Roman" w:cs="Times New Roman"/>
                <w:sz w:val="18"/>
                <w:szCs w:val="18"/>
                <w:lang w:val="en-US"/>
              </w:rPr>
              <w:t xml:space="preserve"> at the 1</w:t>
            </w:r>
            <w:r w:rsidRPr="004B60E7">
              <w:rPr>
                <w:rFonts w:ascii="Times New Roman" w:hAnsi="Times New Roman" w:cs="Times New Roman"/>
                <w:sz w:val="18"/>
                <w:szCs w:val="18"/>
                <w:vertAlign w:val="superscript"/>
                <w:lang w:val="en-US"/>
              </w:rPr>
              <w:t>st</w:t>
            </w:r>
            <w:r w:rsidRPr="004B60E7">
              <w:rPr>
                <w:rFonts w:ascii="Times New Roman" w:hAnsi="Times New Roman" w:cs="Times New Roman"/>
                <w:sz w:val="18"/>
                <w:szCs w:val="18"/>
                <w:lang w:val="en-US"/>
              </w:rPr>
              <w:t xml:space="preserve"> and 99</w:t>
            </w:r>
            <w:r w:rsidRPr="004B60E7">
              <w:rPr>
                <w:rFonts w:ascii="Times New Roman" w:hAnsi="Times New Roman" w:cs="Times New Roman"/>
                <w:sz w:val="18"/>
                <w:szCs w:val="18"/>
                <w:vertAlign w:val="superscript"/>
                <w:lang w:val="en-US"/>
              </w:rPr>
              <w:t>th</w:t>
            </w:r>
            <w:r w:rsidRPr="004B60E7">
              <w:rPr>
                <w:rFonts w:ascii="Times New Roman" w:hAnsi="Times New Roman" w:cs="Times New Roman"/>
                <w:sz w:val="18"/>
                <w:szCs w:val="18"/>
                <w:lang w:val="en-US"/>
              </w:rPr>
              <w:t xml:space="preserve"> percentiles. </w:t>
            </w:r>
            <w:r>
              <w:rPr>
                <w:rFonts w:ascii="Times New Roman" w:hAnsi="Times New Roman" w:cs="Times New Roman"/>
                <w:sz w:val="18"/>
                <w:szCs w:val="20"/>
                <w:lang w:val="en-US"/>
              </w:rPr>
              <w:t>The Appendix presents the d</w:t>
            </w:r>
            <w:r w:rsidRPr="003101A0">
              <w:rPr>
                <w:rFonts w:ascii="Times New Roman" w:hAnsi="Times New Roman" w:cs="Times New Roman"/>
                <w:sz w:val="18"/>
                <w:szCs w:val="20"/>
                <w:lang w:val="en-US"/>
              </w:rPr>
              <w:t xml:space="preserve">efinition and </w:t>
            </w:r>
            <w:r>
              <w:rPr>
                <w:rFonts w:ascii="Times New Roman" w:hAnsi="Times New Roman" w:cs="Times New Roman"/>
                <w:sz w:val="18"/>
                <w:szCs w:val="20"/>
                <w:lang w:val="en-US"/>
              </w:rPr>
              <w:t>sources</w:t>
            </w:r>
            <w:r w:rsidRPr="003101A0">
              <w:rPr>
                <w:rFonts w:ascii="Times New Roman" w:hAnsi="Times New Roman" w:cs="Times New Roman"/>
                <w:sz w:val="18"/>
                <w:szCs w:val="20"/>
                <w:lang w:val="en-US"/>
              </w:rPr>
              <w:t xml:space="preserve"> of</w:t>
            </w:r>
            <w:r>
              <w:rPr>
                <w:rFonts w:ascii="Times New Roman" w:hAnsi="Times New Roman" w:cs="Times New Roman"/>
                <w:sz w:val="18"/>
                <w:szCs w:val="20"/>
                <w:lang w:val="en-US"/>
              </w:rPr>
              <w:t xml:space="preserve"> all</w:t>
            </w:r>
            <w:r w:rsidRPr="003101A0">
              <w:rPr>
                <w:rFonts w:ascii="Times New Roman" w:hAnsi="Times New Roman" w:cs="Times New Roman"/>
                <w:sz w:val="18"/>
                <w:szCs w:val="20"/>
                <w:lang w:val="en-US"/>
              </w:rPr>
              <w:t xml:space="preserve"> variables. </w:t>
            </w:r>
            <w:r w:rsidRPr="003101A0">
              <w:rPr>
                <w:rFonts w:ascii="Times New Roman" w:hAnsi="Times New Roman" w:cs="Times New Roman"/>
                <w:i/>
                <w:iCs/>
                <w:sz w:val="18"/>
                <w:szCs w:val="20"/>
                <w:lang w:val="en-US"/>
              </w:rPr>
              <w:t>N</w:t>
            </w:r>
            <w:r w:rsidRPr="003101A0">
              <w:rPr>
                <w:rFonts w:ascii="Times New Roman" w:hAnsi="Times New Roman" w:cs="Times New Roman"/>
                <w:sz w:val="18"/>
                <w:szCs w:val="20"/>
                <w:lang w:val="en-US"/>
              </w:rPr>
              <w:t xml:space="preserve"> denotes </w:t>
            </w:r>
            <w:r>
              <w:rPr>
                <w:rFonts w:ascii="Times New Roman" w:hAnsi="Times New Roman" w:cs="Times New Roman"/>
                <w:sz w:val="18"/>
                <w:szCs w:val="20"/>
                <w:lang w:val="en-US"/>
              </w:rPr>
              <w:t xml:space="preserve">the </w:t>
            </w:r>
            <w:r w:rsidRPr="003101A0">
              <w:rPr>
                <w:rFonts w:ascii="Times New Roman" w:hAnsi="Times New Roman" w:cs="Times New Roman"/>
                <w:sz w:val="18"/>
                <w:szCs w:val="20"/>
                <w:lang w:val="en-US"/>
              </w:rPr>
              <w:t xml:space="preserve">number of </w:t>
            </w:r>
            <w:r w:rsidRPr="00CD063E">
              <w:rPr>
                <w:rFonts w:ascii="Times New Roman" w:hAnsi="Times New Roman" w:cs="Times New Roman"/>
                <w:sz w:val="18"/>
                <w:szCs w:val="20"/>
                <w:lang w:val="en-US"/>
              </w:rPr>
              <w:t xml:space="preserve">observations. </w:t>
            </w:r>
            <w:r w:rsidRPr="00CD063E">
              <w:rPr>
                <w:rFonts w:ascii="Times New Roman" w:hAnsi="Times New Roman" w:cs="Times New Roman"/>
                <w:sz w:val="18"/>
                <w:szCs w:val="18"/>
                <w:lang w:val="en-US"/>
              </w:rPr>
              <w:t>*, **, ***</w:t>
            </w:r>
            <w:r>
              <w:rPr>
                <w:rFonts w:ascii="Times New Roman" w:hAnsi="Times New Roman" w:cs="Times New Roman"/>
                <w:sz w:val="18"/>
                <w:szCs w:val="18"/>
                <w:lang w:val="en-US"/>
              </w:rPr>
              <w:t xml:space="preserve"> </w:t>
            </w:r>
            <w:r w:rsidRPr="003101A0">
              <w:rPr>
                <w:rFonts w:ascii="Times New Roman" w:hAnsi="Times New Roman" w:cs="Times New Roman"/>
                <w:sz w:val="18"/>
                <w:szCs w:val="20"/>
                <w:lang w:val="en-US"/>
              </w:rPr>
              <w:t>denote significance at the 10</w:t>
            </w:r>
            <w:r>
              <w:rPr>
                <w:rFonts w:ascii="Times New Roman" w:hAnsi="Times New Roman" w:cs="Times New Roman"/>
                <w:sz w:val="18"/>
                <w:szCs w:val="20"/>
                <w:lang w:val="en-US"/>
              </w:rPr>
              <w:t>%</w:t>
            </w:r>
            <w:r w:rsidRPr="003101A0">
              <w:rPr>
                <w:rFonts w:ascii="Times New Roman" w:hAnsi="Times New Roman" w:cs="Times New Roman"/>
                <w:sz w:val="18"/>
                <w:szCs w:val="20"/>
                <w:lang w:val="en-US"/>
              </w:rPr>
              <w:t>, 5</w:t>
            </w:r>
            <w:r>
              <w:rPr>
                <w:rFonts w:ascii="Times New Roman" w:hAnsi="Times New Roman" w:cs="Times New Roman"/>
                <w:sz w:val="18"/>
                <w:szCs w:val="20"/>
                <w:lang w:val="en-US"/>
              </w:rPr>
              <w:t>%</w:t>
            </w:r>
            <w:r w:rsidRPr="003101A0">
              <w:rPr>
                <w:rFonts w:ascii="Times New Roman" w:hAnsi="Times New Roman" w:cs="Times New Roman"/>
                <w:sz w:val="18"/>
                <w:szCs w:val="20"/>
                <w:lang w:val="en-US"/>
              </w:rPr>
              <w:t>, and 1</w:t>
            </w:r>
            <w:r>
              <w:rPr>
                <w:rFonts w:ascii="Times New Roman" w:hAnsi="Times New Roman" w:cs="Times New Roman"/>
                <w:sz w:val="18"/>
                <w:szCs w:val="20"/>
                <w:lang w:val="en-US"/>
              </w:rPr>
              <w:t>%</w:t>
            </w:r>
            <w:r w:rsidRPr="003101A0">
              <w:rPr>
                <w:rFonts w:ascii="Times New Roman" w:hAnsi="Times New Roman" w:cs="Times New Roman"/>
                <w:sz w:val="18"/>
                <w:szCs w:val="20"/>
                <w:lang w:val="en-US"/>
              </w:rPr>
              <w:t xml:space="preserve"> levels, respectively</w:t>
            </w:r>
            <w:r>
              <w:rPr>
                <w:rFonts w:ascii="Times New Roman" w:hAnsi="Times New Roman" w:cs="Times New Roman"/>
                <w:sz w:val="18"/>
                <w:szCs w:val="20"/>
                <w:lang w:val="en-US"/>
              </w:rPr>
              <w:t xml:space="preserve"> </w:t>
            </w:r>
            <w:r w:rsidRPr="003101A0">
              <w:rPr>
                <w:rFonts w:ascii="Times New Roman" w:hAnsi="Times New Roman" w:cs="Times New Roman"/>
                <w:sz w:val="18"/>
                <w:szCs w:val="20"/>
                <w:lang w:val="en-US"/>
              </w:rPr>
              <w:t>(two-tailed)</w:t>
            </w:r>
            <w:r>
              <w:rPr>
                <w:rFonts w:ascii="Times New Roman" w:hAnsi="Times New Roman" w:cs="Times New Roman"/>
                <w:sz w:val="18"/>
                <w:szCs w:val="20"/>
                <w:lang w:val="en-US"/>
              </w:rPr>
              <w:t>.</w:t>
            </w:r>
          </w:p>
        </w:tc>
      </w:tr>
    </w:tbl>
    <w:p w14:paraId="47DFE2B3" w14:textId="77777777" w:rsidR="00294950" w:rsidRPr="003101A0" w:rsidRDefault="00294950" w:rsidP="00493F00">
      <w:pPr>
        <w:spacing w:after="0" w:line="240" w:lineRule="auto"/>
        <w:rPr>
          <w:rFonts w:ascii="Times New Roman" w:hAnsi="Times New Roman" w:cs="Times New Roman"/>
          <w:b/>
          <w:sz w:val="20"/>
          <w:szCs w:val="20"/>
          <w:lang w:val="en-US"/>
        </w:rPr>
        <w:sectPr w:rsidR="00294950" w:rsidRPr="003101A0" w:rsidSect="00235130">
          <w:pgSz w:w="16840" w:h="11900" w:orient="landscape"/>
          <w:pgMar w:top="1440" w:right="1440" w:bottom="1440" w:left="1440" w:header="708" w:footer="708" w:gutter="0"/>
          <w:cols w:space="708"/>
          <w:docGrid w:linePitch="360"/>
        </w:sectPr>
      </w:pPr>
    </w:p>
    <w:p w14:paraId="6A4DB4B4" w14:textId="3B77277D" w:rsidR="00FB231F" w:rsidRPr="003101A0" w:rsidRDefault="00FB231F" w:rsidP="00FB231F">
      <w:pPr>
        <w:tabs>
          <w:tab w:val="left" w:pos="4850"/>
        </w:tabs>
        <w:spacing w:after="0" w:line="240" w:lineRule="auto"/>
        <w:rPr>
          <w:rFonts w:ascii="Times New Roman" w:hAnsi="Times New Roman" w:cs="Times New Roman"/>
          <w:b/>
          <w:sz w:val="20"/>
          <w:szCs w:val="20"/>
          <w:lang w:val="en-US"/>
        </w:rPr>
      </w:pPr>
      <w:r w:rsidRPr="003101A0">
        <w:rPr>
          <w:rFonts w:ascii="Times New Roman" w:hAnsi="Times New Roman" w:cs="Times New Roman"/>
          <w:b/>
          <w:sz w:val="20"/>
          <w:szCs w:val="20"/>
          <w:lang w:val="en-US"/>
        </w:rPr>
        <w:lastRenderedPageBreak/>
        <w:t xml:space="preserve">Table </w:t>
      </w:r>
      <w:r w:rsidR="00676DEA">
        <w:rPr>
          <w:rFonts w:ascii="Times New Roman" w:hAnsi="Times New Roman" w:cs="Times New Roman"/>
          <w:b/>
          <w:sz w:val="20"/>
          <w:szCs w:val="20"/>
          <w:lang w:val="en-US"/>
        </w:rPr>
        <w:t>7</w:t>
      </w:r>
      <w:r w:rsidRPr="003101A0">
        <w:rPr>
          <w:rFonts w:ascii="Times New Roman" w:hAnsi="Times New Roman" w:cs="Times New Roman"/>
          <w:b/>
          <w:sz w:val="20"/>
          <w:szCs w:val="20"/>
          <w:lang w:val="en-US"/>
        </w:rPr>
        <w:t xml:space="preserve">: </w:t>
      </w:r>
      <w:r w:rsidR="00F5359E">
        <w:rPr>
          <w:rFonts w:ascii="Times New Roman" w:hAnsi="Times New Roman" w:cs="Times New Roman"/>
          <w:b/>
          <w:sz w:val="20"/>
          <w:szCs w:val="20"/>
          <w:lang w:val="en-US"/>
        </w:rPr>
        <w:t>Determinants of</w:t>
      </w:r>
      <w:r w:rsidRPr="003101A0">
        <w:rPr>
          <w:rFonts w:ascii="Times New Roman" w:hAnsi="Times New Roman" w:cs="Times New Roman"/>
          <w:b/>
          <w:sz w:val="20"/>
          <w:szCs w:val="20"/>
          <w:lang w:val="en-US"/>
        </w:rPr>
        <w:t xml:space="preserve"> covenant intensity</w:t>
      </w:r>
      <w:r>
        <w:rPr>
          <w:rFonts w:ascii="Times New Roman" w:hAnsi="Times New Roman" w:cs="Times New Roman"/>
          <w:b/>
          <w:sz w:val="20"/>
          <w:szCs w:val="20"/>
          <w:lang w:val="en-US"/>
        </w:rPr>
        <w:t xml:space="preserve">: </w:t>
      </w:r>
      <w:r w:rsidR="00786D83">
        <w:rPr>
          <w:rFonts w:ascii="Times New Roman" w:hAnsi="Times New Roman" w:cs="Times New Roman"/>
          <w:b/>
          <w:sz w:val="20"/>
          <w:szCs w:val="20"/>
          <w:lang w:val="en-US"/>
        </w:rPr>
        <w:t>Split-sample analysis for convertible and straight bonds</w:t>
      </w:r>
    </w:p>
    <w:tbl>
      <w:tblPr>
        <w:tblW w:w="5425" w:type="pct"/>
        <w:jc w:val="center"/>
        <w:tblLayout w:type="fixed"/>
        <w:tblCellMar>
          <w:left w:w="75" w:type="dxa"/>
          <w:right w:w="75" w:type="dxa"/>
        </w:tblCellMar>
        <w:tblLook w:val="0000" w:firstRow="0" w:lastRow="0" w:firstColumn="0" w:lastColumn="0" w:noHBand="0" w:noVBand="0"/>
      </w:tblPr>
      <w:tblGrid>
        <w:gridCol w:w="2409"/>
        <w:gridCol w:w="1844"/>
        <w:gridCol w:w="1844"/>
        <w:gridCol w:w="1844"/>
        <w:gridCol w:w="1840"/>
        <w:gridCol w:w="6"/>
      </w:tblGrid>
      <w:tr w:rsidR="00015500" w:rsidRPr="003101A0" w14:paraId="54C06E6F" w14:textId="77777777" w:rsidTr="00015500">
        <w:trPr>
          <w:trHeight w:val="227"/>
          <w:jc w:val="center"/>
        </w:trPr>
        <w:tc>
          <w:tcPr>
            <w:tcW w:w="1231" w:type="pct"/>
            <w:vMerge w:val="restart"/>
            <w:tcBorders>
              <w:top w:val="single" w:sz="4" w:space="0" w:color="auto"/>
              <w:left w:val="nil"/>
              <w:right w:val="nil"/>
            </w:tcBorders>
            <w:vAlign w:val="bottom"/>
          </w:tcPr>
          <w:p w14:paraId="655CA427" w14:textId="77777777" w:rsidR="00015500" w:rsidRDefault="00015500" w:rsidP="00974A7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sz w:val="20"/>
                <w:szCs w:val="20"/>
                <w:lang w:val="en-US"/>
              </w:rPr>
              <w:t>Variables</w:t>
            </w:r>
          </w:p>
          <w:p w14:paraId="2A751DEA" w14:textId="5ACF7F89" w:rsidR="00015500" w:rsidRPr="003101A0" w:rsidRDefault="00015500" w:rsidP="00974A7D">
            <w:pPr>
              <w:widowControl w:val="0"/>
              <w:autoSpaceDE w:val="0"/>
              <w:autoSpaceDN w:val="0"/>
              <w:adjustRightInd w:val="0"/>
              <w:spacing w:after="0" w:line="240" w:lineRule="auto"/>
              <w:rPr>
                <w:rFonts w:ascii="Times New Roman" w:hAnsi="Times New Roman" w:cs="Times New Roman"/>
                <w:sz w:val="20"/>
                <w:szCs w:val="20"/>
                <w:lang w:val="en-US"/>
              </w:rPr>
            </w:pPr>
          </w:p>
        </w:tc>
        <w:tc>
          <w:tcPr>
            <w:tcW w:w="3769" w:type="pct"/>
            <w:gridSpan w:val="5"/>
            <w:tcBorders>
              <w:top w:val="single" w:sz="4" w:space="0" w:color="auto"/>
              <w:left w:val="nil"/>
              <w:bottom w:val="nil"/>
              <w:right w:val="nil"/>
            </w:tcBorders>
          </w:tcPr>
          <w:p w14:paraId="6A09532D" w14:textId="3F222E30" w:rsidR="00015500" w:rsidRPr="003101A0" w:rsidRDefault="00015500" w:rsidP="009C1A9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Dependent variable = </w:t>
            </w:r>
            <w:r w:rsidRPr="003101A0">
              <w:rPr>
                <w:rFonts w:ascii="Times New Roman" w:hAnsi="Times New Roman" w:cs="Times New Roman"/>
                <w:i/>
                <w:iCs/>
                <w:sz w:val="20"/>
                <w:szCs w:val="20"/>
                <w:lang w:val="en-US"/>
              </w:rPr>
              <w:t>CI index</w:t>
            </w:r>
          </w:p>
        </w:tc>
      </w:tr>
      <w:tr w:rsidR="00015500" w:rsidRPr="003101A0" w14:paraId="0048FE77" w14:textId="77777777" w:rsidTr="00015500">
        <w:trPr>
          <w:trHeight w:val="227"/>
          <w:jc w:val="center"/>
        </w:trPr>
        <w:tc>
          <w:tcPr>
            <w:tcW w:w="1231" w:type="pct"/>
            <w:vMerge/>
            <w:tcBorders>
              <w:left w:val="nil"/>
              <w:right w:val="nil"/>
            </w:tcBorders>
          </w:tcPr>
          <w:p w14:paraId="75597C0D" w14:textId="77777777" w:rsidR="00015500" w:rsidRPr="003101A0" w:rsidRDefault="00015500" w:rsidP="00876655">
            <w:pPr>
              <w:widowControl w:val="0"/>
              <w:autoSpaceDE w:val="0"/>
              <w:autoSpaceDN w:val="0"/>
              <w:adjustRightInd w:val="0"/>
              <w:spacing w:after="0" w:line="240" w:lineRule="auto"/>
              <w:rPr>
                <w:rFonts w:ascii="Times New Roman" w:hAnsi="Times New Roman" w:cs="Times New Roman"/>
                <w:sz w:val="20"/>
                <w:szCs w:val="20"/>
                <w:lang w:val="en-US"/>
              </w:rPr>
            </w:pPr>
          </w:p>
        </w:tc>
        <w:tc>
          <w:tcPr>
            <w:tcW w:w="942" w:type="pct"/>
            <w:tcBorders>
              <w:top w:val="single" w:sz="6" w:space="0" w:color="auto"/>
              <w:left w:val="nil"/>
              <w:bottom w:val="nil"/>
              <w:right w:val="nil"/>
            </w:tcBorders>
          </w:tcPr>
          <w:p w14:paraId="22E37AF4" w14:textId="55E5248A" w:rsidR="00015500" w:rsidRPr="003101A0" w:rsidRDefault="00015500" w:rsidP="0087665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Convertible</w:t>
            </w:r>
          </w:p>
        </w:tc>
        <w:tc>
          <w:tcPr>
            <w:tcW w:w="942" w:type="pct"/>
            <w:tcBorders>
              <w:top w:val="single" w:sz="6" w:space="0" w:color="auto"/>
              <w:left w:val="nil"/>
              <w:bottom w:val="nil"/>
              <w:right w:val="nil"/>
            </w:tcBorders>
          </w:tcPr>
          <w:p w14:paraId="04F8F5DD" w14:textId="61044415" w:rsidR="00015500" w:rsidRPr="003101A0" w:rsidRDefault="00015500" w:rsidP="0087665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Straight</w:t>
            </w:r>
            <w:r>
              <w:rPr>
                <w:rFonts w:ascii="Times New Roman" w:hAnsi="Times New Roman" w:cs="Times New Roman"/>
                <w:sz w:val="20"/>
                <w:szCs w:val="20"/>
                <w:lang w:val="en-US"/>
              </w:rPr>
              <w:t xml:space="preserve"> </w:t>
            </w:r>
          </w:p>
        </w:tc>
        <w:tc>
          <w:tcPr>
            <w:tcW w:w="942" w:type="pct"/>
            <w:tcBorders>
              <w:top w:val="single" w:sz="6" w:space="0" w:color="auto"/>
              <w:left w:val="nil"/>
              <w:bottom w:val="nil"/>
              <w:right w:val="nil"/>
            </w:tcBorders>
          </w:tcPr>
          <w:p w14:paraId="18D8A216" w14:textId="202B723B" w:rsidR="00015500" w:rsidRPr="003101A0" w:rsidRDefault="00015500" w:rsidP="0087665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Convertible</w:t>
            </w:r>
          </w:p>
        </w:tc>
        <w:tc>
          <w:tcPr>
            <w:tcW w:w="943" w:type="pct"/>
            <w:gridSpan w:val="2"/>
            <w:tcBorders>
              <w:top w:val="single" w:sz="6" w:space="0" w:color="auto"/>
              <w:left w:val="nil"/>
              <w:bottom w:val="nil"/>
              <w:right w:val="nil"/>
            </w:tcBorders>
          </w:tcPr>
          <w:p w14:paraId="5DFCCB91" w14:textId="3DCA0E4F" w:rsidR="00015500" w:rsidRPr="003101A0" w:rsidRDefault="00015500" w:rsidP="0087665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Straight</w:t>
            </w:r>
            <w:r>
              <w:rPr>
                <w:rFonts w:ascii="Times New Roman" w:hAnsi="Times New Roman" w:cs="Times New Roman"/>
                <w:sz w:val="20"/>
                <w:szCs w:val="20"/>
                <w:lang w:val="en-US"/>
              </w:rPr>
              <w:t xml:space="preserve"> </w:t>
            </w:r>
          </w:p>
        </w:tc>
      </w:tr>
      <w:tr w:rsidR="00015500" w:rsidRPr="003101A0" w14:paraId="05BB5C76" w14:textId="77777777" w:rsidTr="00015500">
        <w:trPr>
          <w:trHeight w:val="227"/>
          <w:jc w:val="center"/>
        </w:trPr>
        <w:tc>
          <w:tcPr>
            <w:tcW w:w="1231" w:type="pct"/>
            <w:vMerge/>
            <w:tcBorders>
              <w:left w:val="nil"/>
              <w:bottom w:val="single" w:sz="6" w:space="0" w:color="auto"/>
              <w:right w:val="nil"/>
            </w:tcBorders>
          </w:tcPr>
          <w:p w14:paraId="0B56CBCA" w14:textId="77777777" w:rsidR="00015500" w:rsidRPr="003101A0" w:rsidRDefault="00015500" w:rsidP="00876655">
            <w:pPr>
              <w:widowControl w:val="0"/>
              <w:autoSpaceDE w:val="0"/>
              <w:autoSpaceDN w:val="0"/>
              <w:adjustRightInd w:val="0"/>
              <w:spacing w:after="0" w:line="240" w:lineRule="auto"/>
              <w:rPr>
                <w:rFonts w:ascii="Times New Roman" w:hAnsi="Times New Roman" w:cs="Times New Roman"/>
                <w:sz w:val="20"/>
                <w:szCs w:val="20"/>
                <w:lang w:val="en-US"/>
              </w:rPr>
            </w:pPr>
          </w:p>
        </w:tc>
        <w:tc>
          <w:tcPr>
            <w:tcW w:w="942" w:type="pct"/>
            <w:tcBorders>
              <w:top w:val="nil"/>
              <w:left w:val="nil"/>
              <w:bottom w:val="single" w:sz="6" w:space="0" w:color="auto"/>
              <w:right w:val="nil"/>
            </w:tcBorders>
          </w:tcPr>
          <w:p w14:paraId="055B850C" w14:textId="77777777" w:rsidR="00015500" w:rsidRPr="003101A0" w:rsidRDefault="00015500" w:rsidP="0087665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(1)</w:t>
            </w:r>
          </w:p>
        </w:tc>
        <w:tc>
          <w:tcPr>
            <w:tcW w:w="942" w:type="pct"/>
            <w:tcBorders>
              <w:top w:val="nil"/>
              <w:left w:val="nil"/>
              <w:bottom w:val="single" w:sz="6" w:space="0" w:color="auto"/>
              <w:right w:val="nil"/>
            </w:tcBorders>
          </w:tcPr>
          <w:p w14:paraId="1BD4AC79" w14:textId="7BB4C30D" w:rsidR="00015500" w:rsidRPr="003101A0" w:rsidRDefault="00015500" w:rsidP="0087665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(2)</w:t>
            </w:r>
          </w:p>
        </w:tc>
        <w:tc>
          <w:tcPr>
            <w:tcW w:w="942" w:type="pct"/>
            <w:tcBorders>
              <w:top w:val="nil"/>
              <w:left w:val="nil"/>
              <w:bottom w:val="single" w:sz="6" w:space="0" w:color="auto"/>
              <w:right w:val="nil"/>
            </w:tcBorders>
          </w:tcPr>
          <w:p w14:paraId="0D53A2CE" w14:textId="07544A22" w:rsidR="00015500" w:rsidRPr="003101A0" w:rsidRDefault="00015500" w:rsidP="0087665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w:t>
            </w:r>
            <w:r>
              <w:rPr>
                <w:rFonts w:ascii="Times New Roman" w:hAnsi="Times New Roman" w:cs="Times New Roman"/>
                <w:sz w:val="20"/>
                <w:szCs w:val="20"/>
                <w:lang w:val="en-US"/>
              </w:rPr>
              <w:t>3</w:t>
            </w:r>
            <w:r w:rsidRPr="003101A0">
              <w:rPr>
                <w:rFonts w:ascii="Times New Roman" w:hAnsi="Times New Roman" w:cs="Times New Roman"/>
                <w:sz w:val="20"/>
                <w:szCs w:val="20"/>
                <w:lang w:val="en-US"/>
              </w:rPr>
              <w:t>)</w:t>
            </w:r>
          </w:p>
        </w:tc>
        <w:tc>
          <w:tcPr>
            <w:tcW w:w="943" w:type="pct"/>
            <w:gridSpan w:val="2"/>
            <w:tcBorders>
              <w:top w:val="nil"/>
              <w:left w:val="nil"/>
              <w:bottom w:val="single" w:sz="6" w:space="0" w:color="auto"/>
              <w:right w:val="nil"/>
            </w:tcBorders>
          </w:tcPr>
          <w:p w14:paraId="48E966A1" w14:textId="3EDDE0EC" w:rsidR="00015500" w:rsidRPr="003101A0" w:rsidRDefault="00015500" w:rsidP="00876655">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w:t>
            </w:r>
            <w:r>
              <w:rPr>
                <w:rFonts w:ascii="Times New Roman" w:hAnsi="Times New Roman" w:cs="Times New Roman"/>
                <w:sz w:val="20"/>
                <w:szCs w:val="20"/>
                <w:lang w:val="en-US"/>
              </w:rPr>
              <w:t>4</w:t>
            </w:r>
            <w:r w:rsidRPr="003101A0">
              <w:rPr>
                <w:rFonts w:ascii="Times New Roman" w:hAnsi="Times New Roman" w:cs="Times New Roman"/>
                <w:sz w:val="20"/>
                <w:szCs w:val="20"/>
                <w:lang w:val="en-US"/>
              </w:rPr>
              <w:t>)</w:t>
            </w:r>
          </w:p>
        </w:tc>
      </w:tr>
      <w:tr w:rsidR="00015500" w:rsidRPr="003101A0" w14:paraId="11083DE2" w14:textId="77777777" w:rsidTr="00015500">
        <w:trPr>
          <w:trHeight w:val="227"/>
          <w:jc w:val="center"/>
        </w:trPr>
        <w:tc>
          <w:tcPr>
            <w:tcW w:w="1231" w:type="pct"/>
            <w:tcBorders>
              <w:top w:val="nil"/>
              <w:left w:val="nil"/>
              <w:bottom w:val="nil"/>
              <w:right w:val="nil"/>
            </w:tcBorders>
          </w:tcPr>
          <w:p w14:paraId="243E7ED2"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Leverage</w:t>
            </w:r>
          </w:p>
        </w:tc>
        <w:tc>
          <w:tcPr>
            <w:tcW w:w="942" w:type="pct"/>
            <w:tcBorders>
              <w:top w:val="nil"/>
              <w:left w:val="nil"/>
              <w:bottom w:val="nil"/>
              <w:right w:val="nil"/>
            </w:tcBorders>
            <w:shd w:val="clear" w:color="auto" w:fill="auto"/>
          </w:tcPr>
          <w:p w14:paraId="4DBCCFEE" w14:textId="1EAE21B2"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0.016</w:t>
            </w:r>
          </w:p>
        </w:tc>
        <w:tc>
          <w:tcPr>
            <w:tcW w:w="942" w:type="pct"/>
            <w:tcBorders>
              <w:top w:val="nil"/>
              <w:left w:val="nil"/>
              <w:bottom w:val="nil"/>
              <w:right w:val="nil"/>
            </w:tcBorders>
            <w:shd w:val="clear" w:color="auto" w:fill="auto"/>
          </w:tcPr>
          <w:p w14:paraId="0C941476" w14:textId="194F62B0"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-0.029**</w:t>
            </w:r>
          </w:p>
        </w:tc>
        <w:tc>
          <w:tcPr>
            <w:tcW w:w="942" w:type="pct"/>
            <w:tcBorders>
              <w:top w:val="nil"/>
              <w:left w:val="nil"/>
              <w:bottom w:val="nil"/>
              <w:right w:val="nil"/>
            </w:tcBorders>
            <w:shd w:val="clear" w:color="auto" w:fill="auto"/>
          </w:tcPr>
          <w:p w14:paraId="4BBD4ECA" w14:textId="1589B62F"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0.013</w:t>
            </w:r>
          </w:p>
        </w:tc>
        <w:tc>
          <w:tcPr>
            <w:tcW w:w="943" w:type="pct"/>
            <w:gridSpan w:val="2"/>
            <w:tcBorders>
              <w:top w:val="nil"/>
              <w:left w:val="nil"/>
              <w:bottom w:val="nil"/>
              <w:right w:val="nil"/>
            </w:tcBorders>
            <w:shd w:val="clear" w:color="auto" w:fill="auto"/>
          </w:tcPr>
          <w:p w14:paraId="27E1A200" w14:textId="5F1EDE0C"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-0.046***</w:t>
            </w:r>
          </w:p>
        </w:tc>
      </w:tr>
      <w:tr w:rsidR="00015500" w:rsidRPr="003101A0" w14:paraId="6D4BFE13" w14:textId="77777777" w:rsidTr="00015500">
        <w:trPr>
          <w:trHeight w:val="227"/>
          <w:jc w:val="center"/>
        </w:trPr>
        <w:tc>
          <w:tcPr>
            <w:tcW w:w="1231" w:type="pct"/>
            <w:tcBorders>
              <w:top w:val="nil"/>
              <w:left w:val="nil"/>
              <w:bottom w:val="nil"/>
              <w:right w:val="nil"/>
            </w:tcBorders>
          </w:tcPr>
          <w:p w14:paraId="043ACD17"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12437E3A" w14:textId="3E395C4F"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(1.05)</w:t>
            </w:r>
          </w:p>
        </w:tc>
        <w:tc>
          <w:tcPr>
            <w:tcW w:w="942" w:type="pct"/>
            <w:tcBorders>
              <w:top w:val="nil"/>
              <w:left w:val="nil"/>
              <w:bottom w:val="nil"/>
              <w:right w:val="nil"/>
            </w:tcBorders>
            <w:shd w:val="clear" w:color="auto" w:fill="auto"/>
          </w:tcPr>
          <w:p w14:paraId="5EDA9F26" w14:textId="39971665"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(-2.25)</w:t>
            </w:r>
          </w:p>
        </w:tc>
        <w:tc>
          <w:tcPr>
            <w:tcW w:w="942" w:type="pct"/>
            <w:tcBorders>
              <w:top w:val="nil"/>
              <w:left w:val="nil"/>
              <w:bottom w:val="nil"/>
              <w:right w:val="nil"/>
            </w:tcBorders>
            <w:shd w:val="clear" w:color="auto" w:fill="auto"/>
          </w:tcPr>
          <w:p w14:paraId="1C77AABC" w14:textId="7442F668"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(1.02)</w:t>
            </w:r>
          </w:p>
        </w:tc>
        <w:tc>
          <w:tcPr>
            <w:tcW w:w="943" w:type="pct"/>
            <w:gridSpan w:val="2"/>
            <w:tcBorders>
              <w:top w:val="nil"/>
              <w:left w:val="nil"/>
              <w:bottom w:val="nil"/>
              <w:right w:val="nil"/>
            </w:tcBorders>
            <w:shd w:val="clear" w:color="auto" w:fill="auto"/>
          </w:tcPr>
          <w:p w14:paraId="04185A81" w14:textId="47F3EC31"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(-3.55)</w:t>
            </w:r>
          </w:p>
        </w:tc>
      </w:tr>
      <w:tr w:rsidR="00015500" w:rsidRPr="003101A0" w14:paraId="084EC5F9" w14:textId="77777777" w:rsidTr="00015500">
        <w:trPr>
          <w:trHeight w:val="227"/>
          <w:jc w:val="center"/>
        </w:trPr>
        <w:tc>
          <w:tcPr>
            <w:tcW w:w="1231" w:type="pct"/>
            <w:tcBorders>
              <w:top w:val="nil"/>
              <w:left w:val="nil"/>
              <w:bottom w:val="nil"/>
              <w:right w:val="nil"/>
            </w:tcBorders>
          </w:tcPr>
          <w:p w14:paraId="175F00FC"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Volatility</w:t>
            </w:r>
          </w:p>
        </w:tc>
        <w:tc>
          <w:tcPr>
            <w:tcW w:w="942" w:type="pct"/>
            <w:tcBorders>
              <w:top w:val="nil"/>
              <w:left w:val="nil"/>
              <w:bottom w:val="nil"/>
              <w:right w:val="nil"/>
            </w:tcBorders>
            <w:shd w:val="clear" w:color="auto" w:fill="auto"/>
          </w:tcPr>
          <w:p w14:paraId="21402E2B" w14:textId="73B8E9BE"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0.015</w:t>
            </w:r>
          </w:p>
        </w:tc>
        <w:tc>
          <w:tcPr>
            <w:tcW w:w="942" w:type="pct"/>
            <w:tcBorders>
              <w:top w:val="nil"/>
              <w:left w:val="nil"/>
              <w:bottom w:val="nil"/>
              <w:right w:val="nil"/>
            </w:tcBorders>
            <w:shd w:val="clear" w:color="auto" w:fill="auto"/>
          </w:tcPr>
          <w:p w14:paraId="32B5948C" w14:textId="17EC04FA"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0.014</w:t>
            </w:r>
          </w:p>
        </w:tc>
        <w:tc>
          <w:tcPr>
            <w:tcW w:w="942" w:type="pct"/>
            <w:tcBorders>
              <w:top w:val="nil"/>
              <w:left w:val="nil"/>
              <w:bottom w:val="nil"/>
              <w:right w:val="nil"/>
            </w:tcBorders>
            <w:shd w:val="clear" w:color="auto" w:fill="auto"/>
          </w:tcPr>
          <w:p w14:paraId="19CAA9EE" w14:textId="5487B479"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0.017</w:t>
            </w:r>
          </w:p>
        </w:tc>
        <w:tc>
          <w:tcPr>
            <w:tcW w:w="943" w:type="pct"/>
            <w:gridSpan w:val="2"/>
            <w:tcBorders>
              <w:top w:val="nil"/>
              <w:left w:val="nil"/>
              <w:bottom w:val="nil"/>
              <w:right w:val="nil"/>
            </w:tcBorders>
            <w:shd w:val="clear" w:color="auto" w:fill="auto"/>
          </w:tcPr>
          <w:p w14:paraId="7B107FE5" w14:textId="752374FF"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0.027</w:t>
            </w:r>
          </w:p>
        </w:tc>
      </w:tr>
      <w:tr w:rsidR="00015500" w:rsidRPr="003101A0" w14:paraId="320CEE6D" w14:textId="77777777" w:rsidTr="00015500">
        <w:trPr>
          <w:trHeight w:val="227"/>
          <w:jc w:val="center"/>
        </w:trPr>
        <w:tc>
          <w:tcPr>
            <w:tcW w:w="1231" w:type="pct"/>
            <w:tcBorders>
              <w:top w:val="nil"/>
              <w:left w:val="nil"/>
              <w:bottom w:val="nil"/>
              <w:right w:val="nil"/>
            </w:tcBorders>
          </w:tcPr>
          <w:p w14:paraId="510D9E73"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7A893A2A" w14:textId="6C4C622E"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(0.42)</w:t>
            </w:r>
          </w:p>
        </w:tc>
        <w:tc>
          <w:tcPr>
            <w:tcW w:w="942" w:type="pct"/>
            <w:tcBorders>
              <w:top w:val="nil"/>
              <w:left w:val="nil"/>
              <w:bottom w:val="nil"/>
              <w:right w:val="nil"/>
            </w:tcBorders>
            <w:shd w:val="clear" w:color="auto" w:fill="auto"/>
          </w:tcPr>
          <w:p w14:paraId="12847613" w14:textId="495F6F2E"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(0.24)</w:t>
            </w:r>
          </w:p>
        </w:tc>
        <w:tc>
          <w:tcPr>
            <w:tcW w:w="942" w:type="pct"/>
            <w:tcBorders>
              <w:top w:val="nil"/>
              <w:left w:val="nil"/>
              <w:bottom w:val="nil"/>
              <w:right w:val="nil"/>
            </w:tcBorders>
            <w:shd w:val="clear" w:color="auto" w:fill="auto"/>
          </w:tcPr>
          <w:p w14:paraId="4AE10AA7" w14:textId="6D3903E9"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(0.50)</w:t>
            </w:r>
          </w:p>
        </w:tc>
        <w:tc>
          <w:tcPr>
            <w:tcW w:w="943" w:type="pct"/>
            <w:gridSpan w:val="2"/>
            <w:tcBorders>
              <w:top w:val="nil"/>
              <w:left w:val="nil"/>
              <w:bottom w:val="nil"/>
              <w:right w:val="nil"/>
            </w:tcBorders>
            <w:shd w:val="clear" w:color="auto" w:fill="auto"/>
          </w:tcPr>
          <w:p w14:paraId="7EB277A3" w14:textId="3F57F76F"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(0.47)</w:t>
            </w:r>
          </w:p>
        </w:tc>
      </w:tr>
      <w:tr w:rsidR="00015500" w:rsidRPr="003101A0" w14:paraId="1896E92C" w14:textId="77777777" w:rsidTr="00015500">
        <w:trPr>
          <w:trHeight w:val="227"/>
          <w:jc w:val="center"/>
        </w:trPr>
        <w:tc>
          <w:tcPr>
            <w:tcW w:w="1231" w:type="pct"/>
            <w:tcBorders>
              <w:top w:val="nil"/>
              <w:left w:val="nil"/>
              <w:bottom w:val="nil"/>
              <w:right w:val="nil"/>
            </w:tcBorders>
          </w:tcPr>
          <w:p w14:paraId="3523A8A9"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ROA</w:t>
            </w:r>
          </w:p>
        </w:tc>
        <w:tc>
          <w:tcPr>
            <w:tcW w:w="942" w:type="pct"/>
            <w:tcBorders>
              <w:top w:val="nil"/>
              <w:left w:val="nil"/>
              <w:bottom w:val="nil"/>
              <w:right w:val="nil"/>
            </w:tcBorders>
            <w:shd w:val="clear" w:color="auto" w:fill="auto"/>
          </w:tcPr>
          <w:p w14:paraId="606637D4" w14:textId="2CBC257B"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-0.016</w:t>
            </w:r>
          </w:p>
        </w:tc>
        <w:tc>
          <w:tcPr>
            <w:tcW w:w="942" w:type="pct"/>
            <w:tcBorders>
              <w:top w:val="nil"/>
              <w:left w:val="nil"/>
              <w:bottom w:val="nil"/>
              <w:right w:val="nil"/>
            </w:tcBorders>
            <w:shd w:val="clear" w:color="auto" w:fill="auto"/>
          </w:tcPr>
          <w:p w14:paraId="340A25CD" w14:textId="48F6B673"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0.021</w:t>
            </w:r>
          </w:p>
        </w:tc>
        <w:tc>
          <w:tcPr>
            <w:tcW w:w="942" w:type="pct"/>
            <w:tcBorders>
              <w:top w:val="nil"/>
              <w:left w:val="nil"/>
              <w:bottom w:val="nil"/>
              <w:right w:val="nil"/>
            </w:tcBorders>
            <w:shd w:val="clear" w:color="auto" w:fill="auto"/>
          </w:tcPr>
          <w:p w14:paraId="732C787A" w14:textId="3BC240A8"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-0.002</w:t>
            </w:r>
          </w:p>
        </w:tc>
        <w:tc>
          <w:tcPr>
            <w:tcW w:w="943" w:type="pct"/>
            <w:gridSpan w:val="2"/>
            <w:tcBorders>
              <w:top w:val="nil"/>
              <w:left w:val="nil"/>
              <w:bottom w:val="nil"/>
              <w:right w:val="nil"/>
            </w:tcBorders>
            <w:shd w:val="clear" w:color="auto" w:fill="auto"/>
          </w:tcPr>
          <w:p w14:paraId="0458EB1D" w14:textId="26372F92"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0.019</w:t>
            </w:r>
          </w:p>
        </w:tc>
      </w:tr>
      <w:tr w:rsidR="00015500" w:rsidRPr="003101A0" w14:paraId="4DD5EAD0" w14:textId="77777777" w:rsidTr="00015500">
        <w:trPr>
          <w:trHeight w:val="227"/>
          <w:jc w:val="center"/>
        </w:trPr>
        <w:tc>
          <w:tcPr>
            <w:tcW w:w="1231" w:type="pct"/>
            <w:tcBorders>
              <w:top w:val="nil"/>
              <w:left w:val="nil"/>
              <w:bottom w:val="nil"/>
              <w:right w:val="nil"/>
            </w:tcBorders>
          </w:tcPr>
          <w:p w14:paraId="707BF4F4"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3638D06B" w14:textId="2E28B2E8"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(-0.80)</w:t>
            </w:r>
          </w:p>
        </w:tc>
        <w:tc>
          <w:tcPr>
            <w:tcW w:w="942" w:type="pct"/>
            <w:tcBorders>
              <w:top w:val="nil"/>
              <w:left w:val="nil"/>
              <w:bottom w:val="nil"/>
              <w:right w:val="nil"/>
            </w:tcBorders>
            <w:shd w:val="clear" w:color="auto" w:fill="auto"/>
          </w:tcPr>
          <w:p w14:paraId="5E7128C7" w14:textId="6A6430F7"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(0.79)</w:t>
            </w:r>
          </w:p>
        </w:tc>
        <w:tc>
          <w:tcPr>
            <w:tcW w:w="942" w:type="pct"/>
            <w:tcBorders>
              <w:top w:val="nil"/>
              <w:left w:val="nil"/>
              <w:bottom w:val="nil"/>
              <w:right w:val="nil"/>
            </w:tcBorders>
            <w:shd w:val="clear" w:color="auto" w:fill="auto"/>
          </w:tcPr>
          <w:p w14:paraId="070C808B" w14:textId="20B766E6"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(-0.13)</w:t>
            </w:r>
          </w:p>
        </w:tc>
        <w:tc>
          <w:tcPr>
            <w:tcW w:w="943" w:type="pct"/>
            <w:gridSpan w:val="2"/>
            <w:tcBorders>
              <w:top w:val="nil"/>
              <w:left w:val="nil"/>
              <w:bottom w:val="nil"/>
              <w:right w:val="nil"/>
            </w:tcBorders>
            <w:shd w:val="clear" w:color="auto" w:fill="auto"/>
          </w:tcPr>
          <w:p w14:paraId="3636491D" w14:textId="36F34000"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(0.74)</w:t>
            </w:r>
          </w:p>
        </w:tc>
      </w:tr>
      <w:tr w:rsidR="00015500" w:rsidRPr="003101A0" w14:paraId="74570DC9" w14:textId="77777777" w:rsidTr="00015500">
        <w:trPr>
          <w:trHeight w:val="227"/>
          <w:jc w:val="center"/>
        </w:trPr>
        <w:tc>
          <w:tcPr>
            <w:tcW w:w="1231" w:type="pct"/>
            <w:tcBorders>
              <w:top w:val="nil"/>
              <w:left w:val="nil"/>
              <w:bottom w:val="nil"/>
              <w:right w:val="nil"/>
            </w:tcBorders>
          </w:tcPr>
          <w:p w14:paraId="229E14AA"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PPE</w:t>
            </w:r>
          </w:p>
        </w:tc>
        <w:tc>
          <w:tcPr>
            <w:tcW w:w="942" w:type="pct"/>
            <w:tcBorders>
              <w:top w:val="nil"/>
              <w:left w:val="nil"/>
              <w:bottom w:val="nil"/>
              <w:right w:val="nil"/>
            </w:tcBorders>
            <w:shd w:val="clear" w:color="auto" w:fill="auto"/>
          </w:tcPr>
          <w:p w14:paraId="27F23679" w14:textId="2CEB0D8D"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0.020</w:t>
            </w:r>
          </w:p>
        </w:tc>
        <w:tc>
          <w:tcPr>
            <w:tcW w:w="942" w:type="pct"/>
            <w:tcBorders>
              <w:top w:val="nil"/>
              <w:left w:val="nil"/>
              <w:bottom w:val="nil"/>
              <w:right w:val="nil"/>
            </w:tcBorders>
            <w:shd w:val="clear" w:color="auto" w:fill="auto"/>
          </w:tcPr>
          <w:p w14:paraId="258B9533" w14:textId="5073B3FC"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-0.010</w:t>
            </w:r>
          </w:p>
        </w:tc>
        <w:tc>
          <w:tcPr>
            <w:tcW w:w="942" w:type="pct"/>
            <w:tcBorders>
              <w:top w:val="nil"/>
              <w:left w:val="nil"/>
              <w:bottom w:val="nil"/>
              <w:right w:val="nil"/>
            </w:tcBorders>
            <w:shd w:val="clear" w:color="auto" w:fill="auto"/>
          </w:tcPr>
          <w:p w14:paraId="5DD9B431" w14:textId="01CCBB9E"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0.013</w:t>
            </w:r>
          </w:p>
        </w:tc>
        <w:tc>
          <w:tcPr>
            <w:tcW w:w="943" w:type="pct"/>
            <w:gridSpan w:val="2"/>
            <w:tcBorders>
              <w:top w:val="nil"/>
              <w:left w:val="nil"/>
              <w:bottom w:val="nil"/>
              <w:right w:val="nil"/>
            </w:tcBorders>
            <w:shd w:val="clear" w:color="auto" w:fill="auto"/>
          </w:tcPr>
          <w:p w14:paraId="76E79E64" w14:textId="2646538C"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-0.008</w:t>
            </w:r>
          </w:p>
        </w:tc>
      </w:tr>
      <w:tr w:rsidR="00015500" w:rsidRPr="003101A0" w14:paraId="69D1FFA8" w14:textId="77777777" w:rsidTr="00015500">
        <w:trPr>
          <w:trHeight w:val="227"/>
          <w:jc w:val="center"/>
        </w:trPr>
        <w:tc>
          <w:tcPr>
            <w:tcW w:w="1231" w:type="pct"/>
            <w:tcBorders>
              <w:top w:val="nil"/>
              <w:left w:val="nil"/>
              <w:bottom w:val="nil"/>
              <w:right w:val="nil"/>
            </w:tcBorders>
          </w:tcPr>
          <w:p w14:paraId="4AB8BD06"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4B3CC4C2" w14:textId="72FFEFB6"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(1.46)</w:t>
            </w:r>
          </w:p>
        </w:tc>
        <w:tc>
          <w:tcPr>
            <w:tcW w:w="942" w:type="pct"/>
            <w:tcBorders>
              <w:top w:val="nil"/>
              <w:left w:val="nil"/>
              <w:bottom w:val="nil"/>
              <w:right w:val="nil"/>
            </w:tcBorders>
            <w:shd w:val="clear" w:color="auto" w:fill="auto"/>
          </w:tcPr>
          <w:p w14:paraId="2C386353" w14:textId="5F9BFF65"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(-1.00)</w:t>
            </w:r>
          </w:p>
        </w:tc>
        <w:tc>
          <w:tcPr>
            <w:tcW w:w="942" w:type="pct"/>
            <w:tcBorders>
              <w:top w:val="nil"/>
              <w:left w:val="nil"/>
              <w:bottom w:val="nil"/>
              <w:right w:val="nil"/>
            </w:tcBorders>
            <w:shd w:val="clear" w:color="auto" w:fill="auto"/>
          </w:tcPr>
          <w:p w14:paraId="5BBA46A4" w14:textId="7EA19D47"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(1.10)</w:t>
            </w:r>
          </w:p>
        </w:tc>
        <w:tc>
          <w:tcPr>
            <w:tcW w:w="943" w:type="pct"/>
            <w:gridSpan w:val="2"/>
            <w:tcBorders>
              <w:top w:val="nil"/>
              <w:left w:val="nil"/>
              <w:bottom w:val="nil"/>
              <w:right w:val="nil"/>
            </w:tcBorders>
            <w:shd w:val="clear" w:color="auto" w:fill="auto"/>
          </w:tcPr>
          <w:p w14:paraId="0A474052" w14:textId="191BB9F6"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(-0.78)</w:t>
            </w:r>
          </w:p>
        </w:tc>
      </w:tr>
      <w:tr w:rsidR="00015500" w:rsidRPr="003101A0" w14:paraId="4B5313B2" w14:textId="77777777" w:rsidTr="00015500">
        <w:trPr>
          <w:trHeight w:val="227"/>
          <w:jc w:val="center"/>
        </w:trPr>
        <w:tc>
          <w:tcPr>
            <w:tcW w:w="1231" w:type="pct"/>
            <w:tcBorders>
              <w:top w:val="nil"/>
              <w:left w:val="nil"/>
              <w:bottom w:val="nil"/>
              <w:right w:val="nil"/>
            </w:tcBorders>
          </w:tcPr>
          <w:p w14:paraId="3849CFEF"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Interest coverage</w:t>
            </w:r>
          </w:p>
        </w:tc>
        <w:tc>
          <w:tcPr>
            <w:tcW w:w="942" w:type="pct"/>
            <w:tcBorders>
              <w:top w:val="nil"/>
              <w:left w:val="nil"/>
              <w:bottom w:val="nil"/>
              <w:right w:val="nil"/>
            </w:tcBorders>
            <w:shd w:val="clear" w:color="auto" w:fill="auto"/>
          </w:tcPr>
          <w:p w14:paraId="723DA561" w14:textId="57B9CDEF"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0.000</w:t>
            </w:r>
          </w:p>
        </w:tc>
        <w:tc>
          <w:tcPr>
            <w:tcW w:w="942" w:type="pct"/>
            <w:tcBorders>
              <w:top w:val="nil"/>
              <w:left w:val="nil"/>
              <w:bottom w:val="nil"/>
              <w:right w:val="nil"/>
            </w:tcBorders>
            <w:shd w:val="clear" w:color="auto" w:fill="auto"/>
          </w:tcPr>
          <w:p w14:paraId="02BADFFD" w14:textId="0E1E332D"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0.000</w:t>
            </w:r>
          </w:p>
        </w:tc>
        <w:tc>
          <w:tcPr>
            <w:tcW w:w="942" w:type="pct"/>
            <w:tcBorders>
              <w:top w:val="nil"/>
              <w:left w:val="nil"/>
              <w:bottom w:val="nil"/>
              <w:right w:val="nil"/>
            </w:tcBorders>
            <w:shd w:val="clear" w:color="auto" w:fill="auto"/>
          </w:tcPr>
          <w:p w14:paraId="00CD79CA" w14:textId="379E07A9"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0.000</w:t>
            </w:r>
          </w:p>
        </w:tc>
        <w:tc>
          <w:tcPr>
            <w:tcW w:w="943" w:type="pct"/>
            <w:gridSpan w:val="2"/>
            <w:tcBorders>
              <w:top w:val="nil"/>
              <w:left w:val="nil"/>
              <w:bottom w:val="nil"/>
              <w:right w:val="nil"/>
            </w:tcBorders>
            <w:shd w:val="clear" w:color="auto" w:fill="auto"/>
          </w:tcPr>
          <w:p w14:paraId="562FB06B" w14:textId="4498AEB8"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-0.000</w:t>
            </w:r>
          </w:p>
        </w:tc>
      </w:tr>
      <w:tr w:rsidR="00015500" w:rsidRPr="003101A0" w14:paraId="451ADB3A" w14:textId="77777777" w:rsidTr="00015500">
        <w:trPr>
          <w:trHeight w:val="227"/>
          <w:jc w:val="center"/>
        </w:trPr>
        <w:tc>
          <w:tcPr>
            <w:tcW w:w="1231" w:type="pct"/>
            <w:tcBorders>
              <w:top w:val="nil"/>
              <w:left w:val="nil"/>
              <w:bottom w:val="nil"/>
              <w:right w:val="nil"/>
            </w:tcBorders>
          </w:tcPr>
          <w:p w14:paraId="4D276B08"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7939D68A" w14:textId="307397E5"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(1.30)</w:t>
            </w:r>
          </w:p>
        </w:tc>
        <w:tc>
          <w:tcPr>
            <w:tcW w:w="942" w:type="pct"/>
            <w:tcBorders>
              <w:top w:val="nil"/>
              <w:left w:val="nil"/>
              <w:bottom w:val="nil"/>
              <w:right w:val="nil"/>
            </w:tcBorders>
            <w:shd w:val="clear" w:color="auto" w:fill="auto"/>
          </w:tcPr>
          <w:p w14:paraId="7C41E3CD" w14:textId="5D96F7DE"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(0.44)</w:t>
            </w:r>
          </w:p>
        </w:tc>
        <w:tc>
          <w:tcPr>
            <w:tcW w:w="942" w:type="pct"/>
            <w:tcBorders>
              <w:top w:val="nil"/>
              <w:left w:val="nil"/>
              <w:bottom w:val="nil"/>
              <w:right w:val="nil"/>
            </w:tcBorders>
            <w:shd w:val="clear" w:color="auto" w:fill="auto"/>
          </w:tcPr>
          <w:p w14:paraId="6E4519AD" w14:textId="03AFEB06"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(1.48)</w:t>
            </w:r>
          </w:p>
        </w:tc>
        <w:tc>
          <w:tcPr>
            <w:tcW w:w="943" w:type="pct"/>
            <w:gridSpan w:val="2"/>
            <w:tcBorders>
              <w:top w:val="nil"/>
              <w:left w:val="nil"/>
              <w:bottom w:val="nil"/>
              <w:right w:val="nil"/>
            </w:tcBorders>
            <w:shd w:val="clear" w:color="auto" w:fill="auto"/>
          </w:tcPr>
          <w:p w14:paraId="06CD1DC5" w14:textId="0ED803D3"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(-0.28)</w:t>
            </w:r>
          </w:p>
        </w:tc>
      </w:tr>
      <w:tr w:rsidR="00015500" w:rsidRPr="003101A0" w14:paraId="7CEEC9CC" w14:textId="77777777" w:rsidTr="00015500">
        <w:trPr>
          <w:trHeight w:val="227"/>
          <w:jc w:val="center"/>
        </w:trPr>
        <w:tc>
          <w:tcPr>
            <w:tcW w:w="1231" w:type="pct"/>
            <w:tcBorders>
              <w:top w:val="nil"/>
              <w:left w:val="nil"/>
              <w:bottom w:val="nil"/>
              <w:right w:val="nil"/>
            </w:tcBorders>
          </w:tcPr>
          <w:p w14:paraId="325908FA"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roofErr w:type="gramStart"/>
            <w:r w:rsidRPr="003101A0">
              <w:rPr>
                <w:rFonts w:ascii="Times New Roman" w:hAnsi="Times New Roman" w:cs="Times New Roman"/>
                <w:i/>
                <w:sz w:val="20"/>
                <w:szCs w:val="20"/>
                <w:lang w:val="en-US"/>
              </w:rPr>
              <w:t>Ln(</w:t>
            </w:r>
            <w:proofErr w:type="gramEnd"/>
            <w:r w:rsidRPr="003101A0">
              <w:rPr>
                <w:rFonts w:ascii="Times New Roman" w:hAnsi="Times New Roman" w:cs="Times New Roman"/>
                <w:i/>
                <w:sz w:val="20"/>
                <w:szCs w:val="20"/>
                <w:lang w:val="en-US"/>
              </w:rPr>
              <w:t>Total assets)</w:t>
            </w:r>
          </w:p>
        </w:tc>
        <w:tc>
          <w:tcPr>
            <w:tcW w:w="942" w:type="pct"/>
            <w:tcBorders>
              <w:top w:val="nil"/>
              <w:left w:val="nil"/>
              <w:bottom w:val="nil"/>
              <w:right w:val="nil"/>
            </w:tcBorders>
            <w:shd w:val="clear" w:color="auto" w:fill="auto"/>
          </w:tcPr>
          <w:p w14:paraId="026E322F" w14:textId="10176370"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-0.005*</w:t>
            </w:r>
          </w:p>
        </w:tc>
        <w:tc>
          <w:tcPr>
            <w:tcW w:w="942" w:type="pct"/>
            <w:tcBorders>
              <w:top w:val="nil"/>
              <w:left w:val="nil"/>
              <w:bottom w:val="nil"/>
              <w:right w:val="nil"/>
            </w:tcBorders>
            <w:shd w:val="clear" w:color="auto" w:fill="auto"/>
          </w:tcPr>
          <w:p w14:paraId="1CBA2E8C" w14:textId="6C4E727D"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-0.024***</w:t>
            </w:r>
          </w:p>
        </w:tc>
        <w:tc>
          <w:tcPr>
            <w:tcW w:w="942" w:type="pct"/>
            <w:tcBorders>
              <w:top w:val="nil"/>
              <w:left w:val="nil"/>
              <w:bottom w:val="nil"/>
              <w:right w:val="nil"/>
            </w:tcBorders>
            <w:shd w:val="clear" w:color="auto" w:fill="auto"/>
          </w:tcPr>
          <w:p w14:paraId="24449F12" w14:textId="188B0519"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-0.005*</w:t>
            </w:r>
          </w:p>
        </w:tc>
        <w:tc>
          <w:tcPr>
            <w:tcW w:w="943" w:type="pct"/>
            <w:gridSpan w:val="2"/>
            <w:tcBorders>
              <w:top w:val="nil"/>
              <w:left w:val="nil"/>
              <w:bottom w:val="nil"/>
              <w:right w:val="nil"/>
            </w:tcBorders>
            <w:shd w:val="clear" w:color="auto" w:fill="auto"/>
          </w:tcPr>
          <w:p w14:paraId="2D986E87" w14:textId="284F41E9"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-0.020***</w:t>
            </w:r>
          </w:p>
        </w:tc>
      </w:tr>
      <w:tr w:rsidR="00015500" w:rsidRPr="003101A0" w14:paraId="42801708" w14:textId="77777777" w:rsidTr="00015500">
        <w:trPr>
          <w:trHeight w:val="227"/>
          <w:jc w:val="center"/>
        </w:trPr>
        <w:tc>
          <w:tcPr>
            <w:tcW w:w="1231" w:type="pct"/>
            <w:tcBorders>
              <w:top w:val="nil"/>
              <w:left w:val="nil"/>
              <w:bottom w:val="nil"/>
              <w:right w:val="nil"/>
            </w:tcBorders>
          </w:tcPr>
          <w:p w14:paraId="6FC08FD1"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73F03A1C" w14:textId="03A05978"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(-1.69)</w:t>
            </w:r>
          </w:p>
        </w:tc>
        <w:tc>
          <w:tcPr>
            <w:tcW w:w="942" w:type="pct"/>
            <w:tcBorders>
              <w:top w:val="nil"/>
              <w:left w:val="nil"/>
              <w:bottom w:val="nil"/>
              <w:right w:val="nil"/>
            </w:tcBorders>
            <w:shd w:val="clear" w:color="auto" w:fill="auto"/>
          </w:tcPr>
          <w:p w14:paraId="495A36BE" w14:textId="3995118F"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(-14.66)</w:t>
            </w:r>
          </w:p>
        </w:tc>
        <w:tc>
          <w:tcPr>
            <w:tcW w:w="942" w:type="pct"/>
            <w:tcBorders>
              <w:top w:val="nil"/>
              <w:left w:val="nil"/>
              <w:bottom w:val="nil"/>
              <w:right w:val="nil"/>
            </w:tcBorders>
            <w:shd w:val="clear" w:color="auto" w:fill="auto"/>
          </w:tcPr>
          <w:p w14:paraId="0AFB2B85" w14:textId="26CF60EF"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(-1.96)</w:t>
            </w:r>
          </w:p>
        </w:tc>
        <w:tc>
          <w:tcPr>
            <w:tcW w:w="943" w:type="pct"/>
            <w:gridSpan w:val="2"/>
            <w:tcBorders>
              <w:top w:val="nil"/>
              <w:left w:val="nil"/>
              <w:bottom w:val="nil"/>
              <w:right w:val="nil"/>
            </w:tcBorders>
            <w:shd w:val="clear" w:color="auto" w:fill="auto"/>
          </w:tcPr>
          <w:p w14:paraId="24F2ED91" w14:textId="7CC67D53"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(-11.63)</w:t>
            </w:r>
          </w:p>
        </w:tc>
      </w:tr>
      <w:tr w:rsidR="00015500" w:rsidRPr="003101A0" w14:paraId="6715C79D" w14:textId="77777777" w:rsidTr="00015500">
        <w:trPr>
          <w:trHeight w:val="227"/>
          <w:jc w:val="center"/>
        </w:trPr>
        <w:tc>
          <w:tcPr>
            <w:tcW w:w="1231" w:type="pct"/>
            <w:tcBorders>
              <w:top w:val="nil"/>
              <w:left w:val="nil"/>
              <w:bottom w:val="nil"/>
              <w:right w:val="nil"/>
            </w:tcBorders>
          </w:tcPr>
          <w:p w14:paraId="470069EB"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Investment grade</w:t>
            </w:r>
          </w:p>
        </w:tc>
        <w:tc>
          <w:tcPr>
            <w:tcW w:w="942" w:type="pct"/>
            <w:tcBorders>
              <w:top w:val="nil"/>
              <w:left w:val="nil"/>
              <w:bottom w:val="nil"/>
              <w:right w:val="nil"/>
            </w:tcBorders>
            <w:shd w:val="clear" w:color="auto" w:fill="auto"/>
          </w:tcPr>
          <w:p w14:paraId="1898AD32" w14:textId="65C2C473"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0.001</w:t>
            </w:r>
          </w:p>
        </w:tc>
        <w:tc>
          <w:tcPr>
            <w:tcW w:w="942" w:type="pct"/>
            <w:tcBorders>
              <w:top w:val="nil"/>
              <w:left w:val="nil"/>
              <w:bottom w:val="nil"/>
              <w:right w:val="nil"/>
            </w:tcBorders>
            <w:shd w:val="clear" w:color="auto" w:fill="auto"/>
          </w:tcPr>
          <w:p w14:paraId="75EC384E" w14:textId="7BF74DCF"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-0.065***</w:t>
            </w:r>
          </w:p>
        </w:tc>
        <w:tc>
          <w:tcPr>
            <w:tcW w:w="942" w:type="pct"/>
            <w:tcBorders>
              <w:top w:val="nil"/>
              <w:left w:val="nil"/>
              <w:bottom w:val="nil"/>
              <w:right w:val="nil"/>
            </w:tcBorders>
            <w:shd w:val="clear" w:color="auto" w:fill="auto"/>
          </w:tcPr>
          <w:p w14:paraId="3B295CA2" w14:textId="5970FCD4"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0.000</w:t>
            </w:r>
          </w:p>
        </w:tc>
        <w:tc>
          <w:tcPr>
            <w:tcW w:w="943" w:type="pct"/>
            <w:gridSpan w:val="2"/>
            <w:tcBorders>
              <w:top w:val="nil"/>
              <w:left w:val="nil"/>
              <w:bottom w:val="nil"/>
              <w:right w:val="nil"/>
            </w:tcBorders>
            <w:shd w:val="clear" w:color="auto" w:fill="auto"/>
          </w:tcPr>
          <w:p w14:paraId="023903AC" w14:textId="5EA029F4"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-0.056***</w:t>
            </w:r>
          </w:p>
        </w:tc>
      </w:tr>
      <w:tr w:rsidR="00015500" w:rsidRPr="003101A0" w14:paraId="1DF2744B" w14:textId="77777777" w:rsidTr="00015500">
        <w:trPr>
          <w:trHeight w:val="227"/>
          <w:jc w:val="center"/>
        </w:trPr>
        <w:tc>
          <w:tcPr>
            <w:tcW w:w="1231" w:type="pct"/>
            <w:tcBorders>
              <w:top w:val="nil"/>
              <w:left w:val="nil"/>
              <w:bottom w:val="nil"/>
              <w:right w:val="nil"/>
            </w:tcBorders>
          </w:tcPr>
          <w:p w14:paraId="4997BF35"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2CC2F039" w14:textId="417666C8"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(0.11)</w:t>
            </w:r>
          </w:p>
        </w:tc>
        <w:tc>
          <w:tcPr>
            <w:tcW w:w="942" w:type="pct"/>
            <w:tcBorders>
              <w:top w:val="nil"/>
              <w:left w:val="nil"/>
              <w:bottom w:val="nil"/>
              <w:right w:val="nil"/>
            </w:tcBorders>
            <w:shd w:val="clear" w:color="auto" w:fill="auto"/>
          </w:tcPr>
          <w:p w14:paraId="5D8F20AE" w14:textId="7651EB22"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(-11.27)</w:t>
            </w:r>
          </w:p>
        </w:tc>
        <w:tc>
          <w:tcPr>
            <w:tcW w:w="942" w:type="pct"/>
            <w:tcBorders>
              <w:top w:val="nil"/>
              <w:left w:val="nil"/>
              <w:bottom w:val="nil"/>
              <w:right w:val="nil"/>
            </w:tcBorders>
            <w:shd w:val="clear" w:color="auto" w:fill="auto"/>
          </w:tcPr>
          <w:p w14:paraId="67F83928" w14:textId="3FB66772"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(0.03)</w:t>
            </w:r>
          </w:p>
        </w:tc>
        <w:tc>
          <w:tcPr>
            <w:tcW w:w="943" w:type="pct"/>
            <w:gridSpan w:val="2"/>
            <w:tcBorders>
              <w:top w:val="nil"/>
              <w:left w:val="nil"/>
              <w:bottom w:val="nil"/>
              <w:right w:val="nil"/>
            </w:tcBorders>
            <w:shd w:val="clear" w:color="auto" w:fill="auto"/>
          </w:tcPr>
          <w:p w14:paraId="56E5978A" w14:textId="53AB5010"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(-9.53)</w:t>
            </w:r>
          </w:p>
        </w:tc>
      </w:tr>
      <w:tr w:rsidR="00015500" w:rsidRPr="003101A0" w14:paraId="32FEBE08" w14:textId="77777777" w:rsidTr="00015500">
        <w:trPr>
          <w:trHeight w:val="227"/>
          <w:jc w:val="center"/>
        </w:trPr>
        <w:tc>
          <w:tcPr>
            <w:tcW w:w="1231" w:type="pct"/>
            <w:tcBorders>
              <w:top w:val="nil"/>
              <w:left w:val="nil"/>
              <w:bottom w:val="nil"/>
              <w:right w:val="nil"/>
            </w:tcBorders>
          </w:tcPr>
          <w:p w14:paraId="79641372"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MB</w:t>
            </w:r>
          </w:p>
        </w:tc>
        <w:tc>
          <w:tcPr>
            <w:tcW w:w="942" w:type="pct"/>
            <w:tcBorders>
              <w:top w:val="nil"/>
              <w:left w:val="nil"/>
              <w:bottom w:val="nil"/>
              <w:right w:val="nil"/>
            </w:tcBorders>
            <w:shd w:val="clear" w:color="auto" w:fill="auto"/>
          </w:tcPr>
          <w:p w14:paraId="2E8B4DE9" w14:textId="6E2B52DF"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-0.000</w:t>
            </w:r>
          </w:p>
        </w:tc>
        <w:tc>
          <w:tcPr>
            <w:tcW w:w="942" w:type="pct"/>
            <w:tcBorders>
              <w:top w:val="nil"/>
              <w:left w:val="nil"/>
              <w:bottom w:val="nil"/>
              <w:right w:val="nil"/>
            </w:tcBorders>
            <w:shd w:val="clear" w:color="auto" w:fill="auto"/>
          </w:tcPr>
          <w:p w14:paraId="0F4AF115" w14:textId="0F1725C8"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-0.000</w:t>
            </w:r>
          </w:p>
        </w:tc>
        <w:tc>
          <w:tcPr>
            <w:tcW w:w="942" w:type="pct"/>
            <w:tcBorders>
              <w:top w:val="nil"/>
              <w:left w:val="nil"/>
              <w:bottom w:val="nil"/>
              <w:right w:val="nil"/>
            </w:tcBorders>
            <w:shd w:val="clear" w:color="auto" w:fill="auto"/>
          </w:tcPr>
          <w:p w14:paraId="5222D920" w14:textId="06112B5F"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-0.000</w:t>
            </w:r>
          </w:p>
        </w:tc>
        <w:tc>
          <w:tcPr>
            <w:tcW w:w="943" w:type="pct"/>
            <w:gridSpan w:val="2"/>
            <w:tcBorders>
              <w:top w:val="nil"/>
              <w:left w:val="nil"/>
              <w:bottom w:val="nil"/>
              <w:right w:val="nil"/>
            </w:tcBorders>
            <w:shd w:val="clear" w:color="auto" w:fill="auto"/>
          </w:tcPr>
          <w:p w14:paraId="490F5F10" w14:textId="5BB99A73"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-0.000</w:t>
            </w:r>
          </w:p>
        </w:tc>
      </w:tr>
      <w:tr w:rsidR="00015500" w:rsidRPr="003101A0" w14:paraId="4984EB3A" w14:textId="77777777" w:rsidTr="00015500">
        <w:trPr>
          <w:trHeight w:val="227"/>
          <w:jc w:val="center"/>
        </w:trPr>
        <w:tc>
          <w:tcPr>
            <w:tcW w:w="1231" w:type="pct"/>
            <w:tcBorders>
              <w:top w:val="nil"/>
              <w:left w:val="nil"/>
              <w:bottom w:val="nil"/>
              <w:right w:val="nil"/>
            </w:tcBorders>
          </w:tcPr>
          <w:p w14:paraId="71CD076E"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1FD5BA83" w14:textId="7A671DCB"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(-0.71)</w:t>
            </w:r>
          </w:p>
        </w:tc>
        <w:tc>
          <w:tcPr>
            <w:tcW w:w="942" w:type="pct"/>
            <w:tcBorders>
              <w:top w:val="nil"/>
              <w:left w:val="nil"/>
              <w:bottom w:val="nil"/>
              <w:right w:val="nil"/>
            </w:tcBorders>
            <w:shd w:val="clear" w:color="auto" w:fill="auto"/>
          </w:tcPr>
          <w:p w14:paraId="61A2EE96" w14:textId="60EEE3CA"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(-1.39)</w:t>
            </w:r>
          </w:p>
        </w:tc>
        <w:tc>
          <w:tcPr>
            <w:tcW w:w="942" w:type="pct"/>
            <w:tcBorders>
              <w:top w:val="nil"/>
              <w:left w:val="nil"/>
              <w:bottom w:val="nil"/>
              <w:right w:val="nil"/>
            </w:tcBorders>
            <w:shd w:val="clear" w:color="auto" w:fill="auto"/>
          </w:tcPr>
          <w:p w14:paraId="59934C2C" w14:textId="47A59DB7"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(-0.56)</w:t>
            </w:r>
          </w:p>
        </w:tc>
        <w:tc>
          <w:tcPr>
            <w:tcW w:w="943" w:type="pct"/>
            <w:gridSpan w:val="2"/>
            <w:tcBorders>
              <w:top w:val="nil"/>
              <w:left w:val="nil"/>
              <w:bottom w:val="nil"/>
              <w:right w:val="nil"/>
            </w:tcBorders>
            <w:shd w:val="clear" w:color="auto" w:fill="auto"/>
          </w:tcPr>
          <w:p w14:paraId="42A7D26C" w14:textId="37A04D72"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(-1.27)</w:t>
            </w:r>
          </w:p>
        </w:tc>
      </w:tr>
      <w:tr w:rsidR="00015500" w:rsidRPr="003101A0" w14:paraId="19F66DD7" w14:textId="77777777" w:rsidTr="00015500">
        <w:trPr>
          <w:trHeight w:val="227"/>
          <w:jc w:val="center"/>
        </w:trPr>
        <w:tc>
          <w:tcPr>
            <w:tcW w:w="1231" w:type="pct"/>
            <w:tcBorders>
              <w:top w:val="nil"/>
              <w:left w:val="nil"/>
              <w:bottom w:val="nil"/>
              <w:right w:val="nil"/>
            </w:tcBorders>
          </w:tcPr>
          <w:p w14:paraId="0B40F527"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Capex</w:t>
            </w:r>
          </w:p>
        </w:tc>
        <w:tc>
          <w:tcPr>
            <w:tcW w:w="942" w:type="pct"/>
            <w:tcBorders>
              <w:top w:val="nil"/>
              <w:left w:val="nil"/>
              <w:bottom w:val="nil"/>
              <w:right w:val="nil"/>
            </w:tcBorders>
            <w:shd w:val="clear" w:color="auto" w:fill="auto"/>
          </w:tcPr>
          <w:p w14:paraId="60472AB4" w14:textId="1BC7F1B2"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0.005</w:t>
            </w:r>
          </w:p>
        </w:tc>
        <w:tc>
          <w:tcPr>
            <w:tcW w:w="942" w:type="pct"/>
            <w:tcBorders>
              <w:top w:val="nil"/>
              <w:left w:val="nil"/>
              <w:bottom w:val="nil"/>
              <w:right w:val="nil"/>
            </w:tcBorders>
            <w:shd w:val="clear" w:color="auto" w:fill="auto"/>
          </w:tcPr>
          <w:p w14:paraId="56098DEB" w14:textId="609006FD"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0.012</w:t>
            </w:r>
          </w:p>
        </w:tc>
        <w:tc>
          <w:tcPr>
            <w:tcW w:w="942" w:type="pct"/>
            <w:tcBorders>
              <w:top w:val="nil"/>
              <w:left w:val="nil"/>
              <w:bottom w:val="nil"/>
              <w:right w:val="nil"/>
            </w:tcBorders>
            <w:shd w:val="clear" w:color="auto" w:fill="auto"/>
          </w:tcPr>
          <w:p w14:paraId="12DE4AF1" w14:textId="10690323"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0.004</w:t>
            </w:r>
          </w:p>
        </w:tc>
        <w:tc>
          <w:tcPr>
            <w:tcW w:w="943" w:type="pct"/>
            <w:gridSpan w:val="2"/>
            <w:tcBorders>
              <w:top w:val="nil"/>
              <w:left w:val="nil"/>
              <w:bottom w:val="nil"/>
              <w:right w:val="nil"/>
            </w:tcBorders>
            <w:shd w:val="clear" w:color="auto" w:fill="auto"/>
          </w:tcPr>
          <w:p w14:paraId="4796456A" w14:textId="27AA066C"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0.011</w:t>
            </w:r>
          </w:p>
        </w:tc>
      </w:tr>
      <w:tr w:rsidR="00015500" w:rsidRPr="003101A0" w14:paraId="067D16C5" w14:textId="77777777" w:rsidTr="00015500">
        <w:trPr>
          <w:trHeight w:val="227"/>
          <w:jc w:val="center"/>
        </w:trPr>
        <w:tc>
          <w:tcPr>
            <w:tcW w:w="1231" w:type="pct"/>
            <w:tcBorders>
              <w:top w:val="nil"/>
              <w:left w:val="nil"/>
              <w:bottom w:val="nil"/>
              <w:right w:val="nil"/>
            </w:tcBorders>
          </w:tcPr>
          <w:p w14:paraId="1DE08A47"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5E7083D4" w14:textId="40C51342"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(1.04)</w:t>
            </w:r>
          </w:p>
        </w:tc>
        <w:tc>
          <w:tcPr>
            <w:tcW w:w="942" w:type="pct"/>
            <w:tcBorders>
              <w:top w:val="nil"/>
              <w:left w:val="nil"/>
              <w:bottom w:val="nil"/>
              <w:right w:val="nil"/>
            </w:tcBorders>
            <w:shd w:val="clear" w:color="auto" w:fill="auto"/>
          </w:tcPr>
          <w:p w14:paraId="4A258FF9" w14:textId="6380A364"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(1.63)</w:t>
            </w:r>
          </w:p>
        </w:tc>
        <w:tc>
          <w:tcPr>
            <w:tcW w:w="942" w:type="pct"/>
            <w:tcBorders>
              <w:top w:val="nil"/>
              <w:left w:val="nil"/>
              <w:bottom w:val="nil"/>
              <w:right w:val="nil"/>
            </w:tcBorders>
            <w:shd w:val="clear" w:color="auto" w:fill="auto"/>
          </w:tcPr>
          <w:p w14:paraId="12B51B86" w14:textId="59091A0E"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(0.78)</w:t>
            </w:r>
          </w:p>
        </w:tc>
        <w:tc>
          <w:tcPr>
            <w:tcW w:w="943" w:type="pct"/>
            <w:gridSpan w:val="2"/>
            <w:tcBorders>
              <w:top w:val="nil"/>
              <w:left w:val="nil"/>
              <w:bottom w:val="nil"/>
              <w:right w:val="nil"/>
            </w:tcBorders>
            <w:shd w:val="clear" w:color="auto" w:fill="auto"/>
          </w:tcPr>
          <w:p w14:paraId="1E11168E" w14:textId="4D39660C"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(1.41)</w:t>
            </w:r>
          </w:p>
        </w:tc>
      </w:tr>
      <w:tr w:rsidR="00015500" w:rsidRPr="003101A0" w14:paraId="7742C2D3" w14:textId="77777777" w:rsidTr="00015500">
        <w:trPr>
          <w:trHeight w:val="227"/>
          <w:jc w:val="center"/>
        </w:trPr>
        <w:tc>
          <w:tcPr>
            <w:tcW w:w="1231" w:type="pct"/>
            <w:tcBorders>
              <w:top w:val="nil"/>
              <w:left w:val="nil"/>
              <w:bottom w:val="nil"/>
              <w:right w:val="nil"/>
            </w:tcBorders>
          </w:tcPr>
          <w:p w14:paraId="07DF3D91"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RD</w:t>
            </w:r>
          </w:p>
        </w:tc>
        <w:tc>
          <w:tcPr>
            <w:tcW w:w="942" w:type="pct"/>
            <w:tcBorders>
              <w:top w:val="nil"/>
              <w:left w:val="nil"/>
              <w:bottom w:val="nil"/>
              <w:right w:val="nil"/>
            </w:tcBorders>
            <w:shd w:val="clear" w:color="auto" w:fill="auto"/>
          </w:tcPr>
          <w:p w14:paraId="3BD6ADE7" w14:textId="2E0CC7D5"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-0.095**</w:t>
            </w:r>
          </w:p>
        </w:tc>
        <w:tc>
          <w:tcPr>
            <w:tcW w:w="942" w:type="pct"/>
            <w:tcBorders>
              <w:top w:val="nil"/>
              <w:left w:val="nil"/>
              <w:bottom w:val="nil"/>
              <w:right w:val="nil"/>
            </w:tcBorders>
            <w:shd w:val="clear" w:color="auto" w:fill="auto"/>
          </w:tcPr>
          <w:p w14:paraId="1A49876B" w14:textId="3B5AF851"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-0.231***</w:t>
            </w:r>
          </w:p>
        </w:tc>
        <w:tc>
          <w:tcPr>
            <w:tcW w:w="942" w:type="pct"/>
            <w:tcBorders>
              <w:top w:val="nil"/>
              <w:left w:val="nil"/>
              <w:bottom w:val="nil"/>
              <w:right w:val="nil"/>
            </w:tcBorders>
            <w:shd w:val="clear" w:color="auto" w:fill="auto"/>
          </w:tcPr>
          <w:p w14:paraId="4F463792" w14:textId="2BF50F46"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-0.067**</w:t>
            </w:r>
          </w:p>
        </w:tc>
        <w:tc>
          <w:tcPr>
            <w:tcW w:w="943" w:type="pct"/>
            <w:gridSpan w:val="2"/>
            <w:tcBorders>
              <w:top w:val="nil"/>
              <w:left w:val="nil"/>
              <w:bottom w:val="nil"/>
              <w:right w:val="nil"/>
            </w:tcBorders>
            <w:shd w:val="clear" w:color="auto" w:fill="auto"/>
          </w:tcPr>
          <w:p w14:paraId="11DCE000" w14:textId="7357ADB8"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-0.172**</w:t>
            </w:r>
          </w:p>
        </w:tc>
      </w:tr>
      <w:tr w:rsidR="00015500" w:rsidRPr="003101A0" w14:paraId="72C9B6CC" w14:textId="77777777" w:rsidTr="00015500">
        <w:trPr>
          <w:trHeight w:val="227"/>
          <w:jc w:val="center"/>
        </w:trPr>
        <w:tc>
          <w:tcPr>
            <w:tcW w:w="1231" w:type="pct"/>
            <w:tcBorders>
              <w:top w:val="nil"/>
              <w:left w:val="nil"/>
              <w:bottom w:val="nil"/>
              <w:right w:val="nil"/>
            </w:tcBorders>
          </w:tcPr>
          <w:p w14:paraId="57391A47"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15F08141" w14:textId="05B05C04"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(-2.47)</w:t>
            </w:r>
          </w:p>
        </w:tc>
        <w:tc>
          <w:tcPr>
            <w:tcW w:w="942" w:type="pct"/>
            <w:tcBorders>
              <w:top w:val="nil"/>
              <w:left w:val="nil"/>
              <w:bottom w:val="nil"/>
              <w:right w:val="nil"/>
            </w:tcBorders>
            <w:shd w:val="clear" w:color="auto" w:fill="auto"/>
          </w:tcPr>
          <w:p w14:paraId="44B1F8EC" w14:textId="59C6B5C8"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(-3.25)</w:t>
            </w:r>
          </w:p>
        </w:tc>
        <w:tc>
          <w:tcPr>
            <w:tcW w:w="942" w:type="pct"/>
            <w:tcBorders>
              <w:top w:val="nil"/>
              <w:left w:val="nil"/>
              <w:bottom w:val="nil"/>
              <w:right w:val="nil"/>
            </w:tcBorders>
            <w:shd w:val="clear" w:color="auto" w:fill="auto"/>
          </w:tcPr>
          <w:p w14:paraId="17E927BE" w14:textId="37389991"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(-1.98)</w:t>
            </w:r>
          </w:p>
        </w:tc>
        <w:tc>
          <w:tcPr>
            <w:tcW w:w="943" w:type="pct"/>
            <w:gridSpan w:val="2"/>
            <w:tcBorders>
              <w:top w:val="nil"/>
              <w:left w:val="nil"/>
              <w:bottom w:val="nil"/>
              <w:right w:val="nil"/>
            </w:tcBorders>
            <w:shd w:val="clear" w:color="auto" w:fill="auto"/>
          </w:tcPr>
          <w:p w14:paraId="7AA75B7C" w14:textId="11681656"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(-2.52)</w:t>
            </w:r>
          </w:p>
        </w:tc>
      </w:tr>
      <w:tr w:rsidR="00015500" w:rsidRPr="003101A0" w14:paraId="7591383D" w14:textId="77777777" w:rsidTr="00015500">
        <w:trPr>
          <w:trHeight w:val="227"/>
          <w:jc w:val="center"/>
        </w:trPr>
        <w:tc>
          <w:tcPr>
            <w:tcW w:w="1231" w:type="pct"/>
            <w:tcBorders>
              <w:top w:val="nil"/>
              <w:left w:val="nil"/>
              <w:bottom w:val="nil"/>
              <w:right w:val="nil"/>
            </w:tcBorders>
            <w:vAlign w:val="center"/>
          </w:tcPr>
          <w:p w14:paraId="3F76AA2B" w14:textId="2A932232"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C</w:t>
            </w:r>
            <w:r>
              <w:rPr>
                <w:rFonts w:ascii="Times New Roman" w:hAnsi="Times New Roman" w:cs="Times New Roman"/>
                <w:i/>
                <w:sz w:val="20"/>
                <w:szCs w:val="20"/>
                <w:lang w:val="en-US"/>
              </w:rPr>
              <w:t>I</w:t>
            </w:r>
            <w:r w:rsidRPr="003101A0">
              <w:rPr>
                <w:rFonts w:ascii="Times New Roman" w:hAnsi="Times New Roman" w:cs="Times New Roman"/>
                <w:i/>
                <w:sz w:val="20"/>
                <w:szCs w:val="20"/>
                <w:lang w:val="en-US"/>
              </w:rPr>
              <w:t>loans</w:t>
            </w:r>
            <w:proofErr w:type="spellEnd"/>
            <w:r w:rsidRPr="003101A0">
              <w:rPr>
                <w:rFonts w:ascii="Times New Roman" w:hAnsi="Times New Roman" w:cs="Times New Roman"/>
                <w:i/>
                <w:sz w:val="20"/>
                <w:szCs w:val="20"/>
                <w:lang w:val="en-US"/>
              </w:rPr>
              <w:t xml:space="preserve"> </w:t>
            </w:r>
          </w:p>
        </w:tc>
        <w:tc>
          <w:tcPr>
            <w:tcW w:w="942" w:type="pct"/>
            <w:tcBorders>
              <w:top w:val="nil"/>
              <w:left w:val="nil"/>
              <w:bottom w:val="nil"/>
              <w:right w:val="nil"/>
            </w:tcBorders>
            <w:shd w:val="clear" w:color="auto" w:fill="auto"/>
          </w:tcPr>
          <w:p w14:paraId="09F29C57" w14:textId="612D9FBB"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-0.016</w:t>
            </w:r>
          </w:p>
        </w:tc>
        <w:tc>
          <w:tcPr>
            <w:tcW w:w="942" w:type="pct"/>
            <w:tcBorders>
              <w:top w:val="nil"/>
              <w:left w:val="nil"/>
              <w:bottom w:val="nil"/>
              <w:right w:val="nil"/>
            </w:tcBorders>
            <w:shd w:val="clear" w:color="auto" w:fill="auto"/>
          </w:tcPr>
          <w:p w14:paraId="466B096A" w14:textId="2E55B582"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-0.020*</w:t>
            </w:r>
          </w:p>
        </w:tc>
        <w:tc>
          <w:tcPr>
            <w:tcW w:w="942" w:type="pct"/>
            <w:tcBorders>
              <w:top w:val="nil"/>
              <w:left w:val="nil"/>
              <w:bottom w:val="nil"/>
              <w:right w:val="nil"/>
            </w:tcBorders>
            <w:shd w:val="clear" w:color="auto" w:fill="auto"/>
          </w:tcPr>
          <w:p w14:paraId="0E8D99CD" w14:textId="2920F746"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-0.016</w:t>
            </w:r>
          </w:p>
        </w:tc>
        <w:tc>
          <w:tcPr>
            <w:tcW w:w="943" w:type="pct"/>
            <w:gridSpan w:val="2"/>
            <w:tcBorders>
              <w:top w:val="nil"/>
              <w:left w:val="nil"/>
              <w:bottom w:val="nil"/>
              <w:right w:val="nil"/>
            </w:tcBorders>
            <w:shd w:val="clear" w:color="auto" w:fill="auto"/>
          </w:tcPr>
          <w:p w14:paraId="13550087" w14:textId="70BAF0FF"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-0.032***</w:t>
            </w:r>
          </w:p>
        </w:tc>
      </w:tr>
      <w:tr w:rsidR="00015500" w:rsidRPr="003101A0" w14:paraId="330E23A9" w14:textId="77777777" w:rsidTr="00015500">
        <w:trPr>
          <w:trHeight w:val="227"/>
          <w:jc w:val="center"/>
        </w:trPr>
        <w:tc>
          <w:tcPr>
            <w:tcW w:w="1231" w:type="pct"/>
            <w:tcBorders>
              <w:top w:val="nil"/>
              <w:left w:val="nil"/>
              <w:bottom w:val="nil"/>
              <w:right w:val="nil"/>
            </w:tcBorders>
            <w:vAlign w:val="center"/>
          </w:tcPr>
          <w:p w14:paraId="5F27698E"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2674A9C0" w14:textId="4EBC6C29"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(-1.54)</w:t>
            </w:r>
          </w:p>
        </w:tc>
        <w:tc>
          <w:tcPr>
            <w:tcW w:w="942" w:type="pct"/>
            <w:tcBorders>
              <w:top w:val="nil"/>
              <w:left w:val="nil"/>
              <w:bottom w:val="nil"/>
              <w:right w:val="nil"/>
            </w:tcBorders>
            <w:shd w:val="clear" w:color="auto" w:fill="auto"/>
          </w:tcPr>
          <w:p w14:paraId="06094DEC" w14:textId="2D8E2EBF"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(-1.84)</w:t>
            </w:r>
          </w:p>
        </w:tc>
        <w:tc>
          <w:tcPr>
            <w:tcW w:w="942" w:type="pct"/>
            <w:tcBorders>
              <w:top w:val="nil"/>
              <w:left w:val="nil"/>
              <w:bottom w:val="nil"/>
              <w:right w:val="nil"/>
            </w:tcBorders>
            <w:shd w:val="clear" w:color="auto" w:fill="auto"/>
          </w:tcPr>
          <w:p w14:paraId="576176A5" w14:textId="42A424A9"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(-1.57)</w:t>
            </w:r>
          </w:p>
        </w:tc>
        <w:tc>
          <w:tcPr>
            <w:tcW w:w="943" w:type="pct"/>
            <w:gridSpan w:val="2"/>
            <w:tcBorders>
              <w:top w:val="nil"/>
              <w:left w:val="nil"/>
              <w:bottom w:val="nil"/>
              <w:right w:val="nil"/>
            </w:tcBorders>
            <w:shd w:val="clear" w:color="auto" w:fill="auto"/>
          </w:tcPr>
          <w:p w14:paraId="2DFF0857" w14:textId="2E1F47FB"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(-3.02)</w:t>
            </w:r>
          </w:p>
        </w:tc>
      </w:tr>
      <w:tr w:rsidR="00015500" w:rsidRPr="003101A0" w14:paraId="6D61BAE5" w14:textId="77777777" w:rsidTr="00015500">
        <w:trPr>
          <w:trHeight w:val="227"/>
          <w:jc w:val="center"/>
        </w:trPr>
        <w:tc>
          <w:tcPr>
            <w:tcW w:w="1231" w:type="pct"/>
            <w:tcBorders>
              <w:top w:val="nil"/>
              <w:left w:val="nil"/>
              <w:bottom w:val="nil"/>
              <w:right w:val="nil"/>
            </w:tcBorders>
          </w:tcPr>
          <w:p w14:paraId="407ACAC2" w14:textId="610CAE73"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C</w:t>
            </w:r>
            <w:r>
              <w:rPr>
                <w:rFonts w:ascii="Times New Roman" w:hAnsi="Times New Roman" w:cs="Times New Roman"/>
                <w:i/>
                <w:sz w:val="20"/>
                <w:szCs w:val="20"/>
                <w:lang w:val="en-US"/>
              </w:rPr>
              <w:t>I</w:t>
            </w:r>
            <w:r w:rsidRPr="003101A0">
              <w:rPr>
                <w:rFonts w:ascii="Times New Roman" w:hAnsi="Times New Roman" w:cs="Times New Roman"/>
                <w:i/>
                <w:sz w:val="20"/>
                <w:szCs w:val="20"/>
                <w:lang w:val="en-US"/>
              </w:rPr>
              <w:t>bonds</w:t>
            </w:r>
            <w:proofErr w:type="spellEnd"/>
          </w:p>
        </w:tc>
        <w:tc>
          <w:tcPr>
            <w:tcW w:w="942" w:type="pct"/>
            <w:tcBorders>
              <w:top w:val="nil"/>
              <w:left w:val="nil"/>
              <w:bottom w:val="nil"/>
              <w:right w:val="nil"/>
            </w:tcBorders>
            <w:shd w:val="clear" w:color="auto" w:fill="auto"/>
          </w:tcPr>
          <w:p w14:paraId="4939C632" w14:textId="011920D5"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0.380***</w:t>
            </w:r>
          </w:p>
        </w:tc>
        <w:tc>
          <w:tcPr>
            <w:tcW w:w="942" w:type="pct"/>
            <w:tcBorders>
              <w:top w:val="nil"/>
              <w:left w:val="nil"/>
              <w:bottom w:val="nil"/>
              <w:right w:val="nil"/>
            </w:tcBorders>
            <w:shd w:val="clear" w:color="auto" w:fill="auto"/>
          </w:tcPr>
          <w:p w14:paraId="41C14F71" w14:textId="3C0D4B25"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0.657***</w:t>
            </w:r>
          </w:p>
        </w:tc>
        <w:tc>
          <w:tcPr>
            <w:tcW w:w="942" w:type="pct"/>
            <w:tcBorders>
              <w:top w:val="nil"/>
              <w:left w:val="nil"/>
              <w:bottom w:val="nil"/>
              <w:right w:val="nil"/>
            </w:tcBorders>
            <w:shd w:val="clear" w:color="auto" w:fill="auto"/>
          </w:tcPr>
          <w:p w14:paraId="06911850" w14:textId="65089405"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0.372***</w:t>
            </w:r>
          </w:p>
        </w:tc>
        <w:tc>
          <w:tcPr>
            <w:tcW w:w="943" w:type="pct"/>
            <w:gridSpan w:val="2"/>
            <w:tcBorders>
              <w:top w:val="nil"/>
              <w:left w:val="nil"/>
              <w:bottom w:val="nil"/>
              <w:right w:val="nil"/>
            </w:tcBorders>
            <w:shd w:val="clear" w:color="auto" w:fill="auto"/>
          </w:tcPr>
          <w:p w14:paraId="30116929" w14:textId="1523775C"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0.661***</w:t>
            </w:r>
          </w:p>
        </w:tc>
      </w:tr>
      <w:tr w:rsidR="00015500" w:rsidRPr="003101A0" w14:paraId="4B345551" w14:textId="77777777" w:rsidTr="00015500">
        <w:trPr>
          <w:trHeight w:val="227"/>
          <w:jc w:val="center"/>
        </w:trPr>
        <w:tc>
          <w:tcPr>
            <w:tcW w:w="1231" w:type="pct"/>
            <w:tcBorders>
              <w:top w:val="nil"/>
              <w:left w:val="nil"/>
              <w:bottom w:val="nil"/>
              <w:right w:val="nil"/>
            </w:tcBorders>
            <w:vAlign w:val="center"/>
          </w:tcPr>
          <w:p w14:paraId="594BD455"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2CD20684" w14:textId="0CA6BB59"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(13.27)</w:t>
            </w:r>
          </w:p>
        </w:tc>
        <w:tc>
          <w:tcPr>
            <w:tcW w:w="942" w:type="pct"/>
            <w:tcBorders>
              <w:top w:val="nil"/>
              <w:left w:val="nil"/>
              <w:bottom w:val="nil"/>
              <w:right w:val="nil"/>
            </w:tcBorders>
            <w:shd w:val="clear" w:color="auto" w:fill="auto"/>
          </w:tcPr>
          <w:p w14:paraId="4D1DA582" w14:textId="736DFE46"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(34.94)</w:t>
            </w:r>
          </w:p>
        </w:tc>
        <w:tc>
          <w:tcPr>
            <w:tcW w:w="942" w:type="pct"/>
            <w:tcBorders>
              <w:top w:val="nil"/>
              <w:left w:val="nil"/>
              <w:bottom w:val="nil"/>
              <w:right w:val="nil"/>
            </w:tcBorders>
            <w:shd w:val="clear" w:color="auto" w:fill="auto"/>
          </w:tcPr>
          <w:p w14:paraId="71FDAEFE" w14:textId="5DC0C56E"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(13.75)</w:t>
            </w:r>
          </w:p>
        </w:tc>
        <w:tc>
          <w:tcPr>
            <w:tcW w:w="943" w:type="pct"/>
            <w:gridSpan w:val="2"/>
            <w:tcBorders>
              <w:top w:val="nil"/>
              <w:left w:val="nil"/>
              <w:bottom w:val="nil"/>
              <w:right w:val="nil"/>
            </w:tcBorders>
            <w:shd w:val="clear" w:color="auto" w:fill="auto"/>
          </w:tcPr>
          <w:p w14:paraId="056343E6" w14:textId="4762EC7F" w:rsidR="00015500" w:rsidRPr="009C1A9B"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(35.39)</w:t>
            </w:r>
          </w:p>
        </w:tc>
      </w:tr>
      <w:tr w:rsidR="00015500" w:rsidRPr="003101A0" w14:paraId="59005626" w14:textId="77777777" w:rsidTr="00015500">
        <w:trPr>
          <w:trHeight w:val="227"/>
          <w:jc w:val="center"/>
        </w:trPr>
        <w:tc>
          <w:tcPr>
            <w:tcW w:w="1231" w:type="pct"/>
            <w:tcBorders>
              <w:top w:val="nil"/>
              <w:left w:val="nil"/>
              <w:bottom w:val="nil"/>
              <w:right w:val="nil"/>
            </w:tcBorders>
          </w:tcPr>
          <w:p w14:paraId="10FADE55"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TB yield</w:t>
            </w:r>
          </w:p>
        </w:tc>
        <w:tc>
          <w:tcPr>
            <w:tcW w:w="942" w:type="pct"/>
            <w:tcBorders>
              <w:top w:val="nil"/>
              <w:left w:val="nil"/>
              <w:bottom w:val="nil"/>
              <w:right w:val="nil"/>
            </w:tcBorders>
            <w:shd w:val="clear" w:color="auto" w:fill="auto"/>
          </w:tcPr>
          <w:p w14:paraId="6D3916D6" w14:textId="22877FDC"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1.444***</w:t>
            </w:r>
          </w:p>
        </w:tc>
        <w:tc>
          <w:tcPr>
            <w:tcW w:w="942" w:type="pct"/>
            <w:tcBorders>
              <w:top w:val="nil"/>
              <w:left w:val="nil"/>
              <w:bottom w:val="nil"/>
              <w:right w:val="nil"/>
            </w:tcBorders>
            <w:shd w:val="clear" w:color="auto" w:fill="auto"/>
          </w:tcPr>
          <w:p w14:paraId="03300D98" w14:textId="4340E3AD"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-0.137</w:t>
            </w:r>
          </w:p>
        </w:tc>
        <w:tc>
          <w:tcPr>
            <w:tcW w:w="942" w:type="pct"/>
            <w:tcBorders>
              <w:top w:val="nil"/>
              <w:left w:val="nil"/>
              <w:bottom w:val="nil"/>
              <w:right w:val="nil"/>
            </w:tcBorders>
            <w:shd w:val="clear" w:color="auto" w:fill="auto"/>
          </w:tcPr>
          <w:p w14:paraId="0AF59222" w14:textId="2B6B4C00"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1.490***</w:t>
            </w:r>
          </w:p>
        </w:tc>
        <w:tc>
          <w:tcPr>
            <w:tcW w:w="943" w:type="pct"/>
            <w:gridSpan w:val="2"/>
            <w:tcBorders>
              <w:top w:val="nil"/>
              <w:left w:val="nil"/>
              <w:bottom w:val="nil"/>
              <w:right w:val="nil"/>
            </w:tcBorders>
            <w:shd w:val="clear" w:color="auto" w:fill="auto"/>
          </w:tcPr>
          <w:p w14:paraId="658621DC" w14:textId="4E4F61E8"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-0.057</w:t>
            </w:r>
          </w:p>
        </w:tc>
      </w:tr>
      <w:tr w:rsidR="00015500" w:rsidRPr="003101A0" w14:paraId="5AFC36AB" w14:textId="77777777" w:rsidTr="00015500">
        <w:trPr>
          <w:trHeight w:val="227"/>
          <w:jc w:val="center"/>
        </w:trPr>
        <w:tc>
          <w:tcPr>
            <w:tcW w:w="1231" w:type="pct"/>
            <w:tcBorders>
              <w:top w:val="nil"/>
              <w:left w:val="nil"/>
              <w:bottom w:val="nil"/>
              <w:right w:val="nil"/>
            </w:tcBorders>
          </w:tcPr>
          <w:p w14:paraId="7CF5D195"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141A69A0" w14:textId="566BED2D"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(9.02)</w:t>
            </w:r>
          </w:p>
        </w:tc>
        <w:tc>
          <w:tcPr>
            <w:tcW w:w="942" w:type="pct"/>
            <w:tcBorders>
              <w:top w:val="nil"/>
              <w:left w:val="nil"/>
              <w:bottom w:val="nil"/>
              <w:right w:val="nil"/>
            </w:tcBorders>
            <w:shd w:val="clear" w:color="auto" w:fill="auto"/>
          </w:tcPr>
          <w:p w14:paraId="7D7642E7" w14:textId="0576C6C5"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(-0.97)</w:t>
            </w:r>
          </w:p>
        </w:tc>
        <w:tc>
          <w:tcPr>
            <w:tcW w:w="942" w:type="pct"/>
            <w:tcBorders>
              <w:top w:val="nil"/>
              <w:left w:val="nil"/>
              <w:bottom w:val="nil"/>
              <w:right w:val="nil"/>
            </w:tcBorders>
            <w:shd w:val="clear" w:color="auto" w:fill="auto"/>
          </w:tcPr>
          <w:p w14:paraId="7C4E8FC5" w14:textId="38B42ADD"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(8.81)</w:t>
            </w:r>
          </w:p>
        </w:tc>
        <w:tc>
          <w:tcPr>
            <w:tcW w:w="943" w:type="pct"/>
            <w:gridSpan w:val="2"/>
            <w:tcBorders>
              <w:top w:val="nil"/>
              <w:left w:val="nil"/>
              <w:bottom w:val="nil"/>
              <w:right w:val="nil"/>
            </w:tcBorders>
            <w:shd w:val="clear" w:color="auto" w:fill="auto"/>
          </w:tcPr>
          <w:p w14:paraId="3CF188D6" w14:textId="72DD3C12"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(-0.41)</w:t>
            </w:r>
          </w:p>
        </w:tc>
      </w:tr>
      <w:tr w:rsidR="00015500" w:rsidRPr="003101A0" w14:paraId="2A04A0AC" w14:textId="77777777" w:rsidTr="00015500">
        <w:trPr>
          <w:trHeight w:val="227"/>
          <w:jc w:val="center"/>
        </w:trPr>
        <w:tc>
          <w:tcPr>
            <w:tcW w:w="1231" w:type="pct"/>
            <w:tcBorders>
              <w:top w:val="nil"/>
              <w:left w:val="nil"/>
              <w:bottom w:val="nil"/>
              <w:right w:val="nil"/>
            </w:tcBorders>
          </w:tcPr>
          <w:p w14:paraId="18CA2CCB"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i/>
                <w:sz w:val="20"/>
                <w:szCs w:val="20"/>
                <w:lang w:val="en-US"/>
              </w:rPr>
            </w:pPr>
            <w:r w:rsidRPr="003101A0">
              <w:rPr>
                <w:rFonts w:ascii="Times New Roman" w:hAnsi="Times New Roman" w:cs="Times New Roman"/>
                <w:i/>
                <w:sz w:val="20"/>
                <w:szCs w:val="20"/>
                <w:lang w:val="en-US"/>
              </w:rPr>
              <w:t>Credit spread</w:t>
            </w:r>
          </w:p>
        </w:tc>
        <w:tc>
          <w:tcPr>
            <w:tcW w:w="942" w:type="pct"/>
            <w:tcBorders>
              <w:top w:val="nil"/>
              <w:left w:val="nil"/>
              <w:bottom w:val="nil"/>
              <w:right w:val="nil"/>
            </w:tcBorders>
            <w:shd w:val="clear" w:color="auto" w:fill="auto"/>
          </w:tcPr>
          <w:p w14:paraId="35165D9F" w14:textId="2C566BF0"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0.036***</w:t>
            </w:r>
          </w:p>
        </w:tc>
        <w:tc>
          <w:tcPr>
            <w:tcW w:w="942" w:type="pct"/>
            <w:tcBorders>
              <w:top w:val="nil"/>
              <w:left w:val="nil"/>
              <w:bottom w:val="nil"/>
              <w:right w:val="nil"/>
            </w:tcBorders>
            <w:shd w:val="clear" w:color="auto" w:fill="auto"/>
          </w:tcPr>
          <w:p w14:paraId="1F252617" w14:textId="0A779129"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-0.006</w:t>
            </w:r>
          </w:p>
        </w:tc>
        <w:tc>
          <w:tcPr>
            <w:tcW w:w="942" w:type="pct"/>
            <w:tcBorders>
              <w:top w:val="nil"/>
              <w:left w:val="nil"/>
              <w:bottom w:val="nil"/>
              <w:right w:val="nil"/>
            </w:tcBorders>
            <w:shd w:val="clear" w:color="auto" w:fill="auto"/>
          </w:tcPr>
          <w:p w14:paraId="2EAA7374" w14:textId="28088380"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0.035***</w:t>
            </w:r>
          </w:p>
        </w:tc>
        <w:tc>
          <w:tcPr>
            <w:tcW w:w="943" w:type="pct"/>
            <w:gridSpan w:val="2"/>
            <w:tcBorders>
              <w:top w:val="nil"/>
              <w:left w:val="nil"/>
              <w:bottom w:val="nil"/>
              <w:right w:val="nil"/>
            </w:tcBorders>
            <w:shd w:val="clear" w:color="auto" w:fill="auto"/>
          </w:tcPr>
          <w:p w14:paraId="6F32F8A0" w14:textId="69A9826A"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-0.007</w:t>
            </w:r>
          </w:p>
        </w:tc>
      </w:tr>
      <w:tr w:rsidR="00015500" w:rsidRPr="003101A0" w14:paraId="607E8F7A" w14:textId="77777777" w:rsidTr="00015500">
        <w:trPr>
          <w:trHeight w:val="227"/>
          <w:jc w:val="center"/>
        </w:trPr>
        <w:tc>
          <w:tcPr>
            <w:tcW w:w="1231" w:type="pct"/>
            <w:tcBorders>
              <w:top w:val="nil"/>
              <w:left w:val="nil"/>
              <w:bottom w:val="nil"/>
              <w:right w:val="nil"/>
            </w:tcBorders>
          </w:tcPr>
          <w:p w14:paraId="0E94A9C6" w14:textId="77777777" w:rsidR="00015500" w:rsidRPr="003101A0" w:rsidRDefault="00015500" w:rsidP="0098346D">
            <w:pPr>
              <w:widowControl w:val="0"/>
              <w:autoSpaceDE w:val="0"/>
              <w:autoSpaceDN w:val="0"/>
              <w:adjustRightInd w:val="0"/>
              <w:spacing w:after="0" w:line="240" w:lineRule="auto"/>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0A4F9E1B" w14:textId="26FD1033"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(3.64)</w:t>
            </w:r>
          </w:p>
        </w:tc>
        <w:tc>
          <w:tcPr>
            <w:tcW w:w="942" w:type="pct"/>
            <w:tcBorders>
              <w:top w:val="nil"/>
              <w:left w:val="nil"/>
              <w:bottom w:val="nil"/>
              <w:right w:val="nil"/>
            </w:tcBorders>
            <w:shd w:val="clear" w:color="auto" w:fill="auto"/>
          </w:tcPr>
          <w:p w14:paraId="7841C8C0" w14:textId="55633963"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(-0.98)</w:t>
            </w:r>
          </w:p>
        </w:tc>
        <w:tc>
          <w:tcPr>
            <w:tcW w:w="942" w:type="pct"/>
            <w:tcBorders>
              <w:top w:val="nil"/>
              <w:left w:val="nil"/>
              <w:bottom w:val="nil"/>
              <w:right w:val="nil"/>
            </w:tcBorders>
            <w:shd w:val="clear" w:color="auto" w:fill="auto"/>
          </w:tcPr>
          <w:p w14:paraId="2B702814" w14:textId="5A9D6208"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(3.62)</w:t>
            </w:r>
          </w:p>
        </w:tc>
        <w:tc>
          <w:tcPr>
            <w:tcW w:w="943" w:type="pct"/>
            <w:gridSpan w:val="2"/>
            <w:tcBorders>
              <w:top w:val="nil"/>
              <w:left w:val="nil"/>
              <w:bottom w:val="nil"/>
              <w:right w:val="nil"/>
            </w:tcBorders>
            <w:shd w:val="clear" w:color="auto" w:fill="auto"/>
          </w:tcPr>
          <w:p w14:paraId="0EBF53F5" w14:textId="62C6A94B" w:rsidR="00015500" w:rsidRPr="003101A0" w:rsidRDefault="00015500" w:rsidP="0098346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(-1.13)</w:t>
            </w:r>
          </w:p>
        </w:tc>
      </w:tr>
      <w:tr w:rsidR="00015500" w:rsidRPr="003101A0" w14:paraId="57610424" w14:textId="77777777" w:rsidTr="00015500">
        <w:trPr>
          <w:trHeight w:val="227"/>
          <w:jc w:val="center"/>
        </w:trPr>
        <w:tc>
          <w:tcPr>
            <w:tcW w:w="1231" w:type="pct"/>
            <w:tcBorders>
              <w:top w:val="nil"/>
              <w:left w:val="nil"/>
              <w:bottom w:val="nil"/>
              <w:right w:val="nil"/>
            </w:tcBorders>
          </w:tcPr>
          <w:p w14:paraId="72531A1A"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Market runup</w:t>
            </w:r>
          </w:p>
        </w:tc>
        <w:tc>
          <w:tcPr>
            <w:tcW w:w="942" w:type="pct"/>
            <w:tcBorders>
              <w:top w:val="nil"/>
              <w:left w:val="nil"/>
              <w:bottom w:val="nil"/>
              <w:right w:val="nil"/>
            </w:tcBorders>
            <w:shd w:val="clear" w:color="auto" w:fill="auto"/>
          </w:tcPr>
          <w:p w14:paraId="324B793C" w14:textId="0250566F"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w:t>
            </w:r>
            <w:r>
              <w:rPr>
                <w:rFonts w:ascii="Times New Roman" w:hAnsi="Times New Roman" w:cs="Times New Roman"/>
                <w:sz w:val="20"/>
                <w:szCs w:val="20"/>
              </w:rPr>
              <w:t>0.0</w:t>
            </w:r>
            <w:r w:rsidRPr="002442F3">
              <w:rPr>
                <w:rFonts w:ascii="Times New Roman" w:hAnsi="Times New Roman" w:cs="Times New Roman"/>
                <w:sz w:val="20"/>
                <w:szCs w:val="20"/>
              </w:rPr>
              <w:t>55**</w:t>
            </w:r>
          </w:p>
        </w:tc>
        <w:tc>
          <w:tcPr>
            <w:tcW w:w="942" w:type="pct"/>
            <w:tcBorders>
              <w:top w:val="nil"/>
              <w:left w:val="nil"/>
              <w:bottom w:val="nil"/>
              <w:right w:val="nil"/>
            </w:tcBorders>
            <w:shd w:val="clear" w:color="auto" w:fill="auto"/>
          </w:tcPr>
          <w:p w14:paraId="791D4F07" w14:textId="6BEF6D78"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w:t>
            </w:r>
            <w:r>
              <w:rPr>
                <w:rFonts w:ascii="Times New Roman" w:hAnsi="Times New Roman" w:cs="Times New Roman"/>
                <w:sz w:val="20"/>
                <w:szCs w:val="20"/>
              </w:rPr>
              <w:t>0.030</w:t>
            </w:r>
            <w:r w:rsidRPr="002442F3">
              <w:rPr>
                <w:rFonts w:ascii="Times New Roman" w:hAnsi="Times New Roman" w:cs="Times New Roman"/>
                <w:sz w:val="20"/>
                <w:szCs w:val="20"/>
              </w:rPr>
              <w:t>*</w:t>
            </w:r>
          </w:p>
        </w:tc>
        <w:tc>
          <w:tcPr>
            <w:tcW w:w="942" w:type="pct"/>
            <w:tcBorders>
              <w:top w:val="nil"/>
              <w:left w:val="nil"/>
              <w:bottom w:val="nil"/>
              <w:right w:val="nil"/>
            </w:tcBorders>
            <w:shd w:val="clear" w:color="auto" w:fill="auto"/>
          </w:tcPr>
          <w:p w14:paraId="680ED0F6" w14:textId="5B478582"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w:t>
            </w:r>
            <w:r>
              <w:rPr>
                <w:rFonts w:ascii="Times New Roman" w:hAnsi="Times New Roman" w:cs="Times New Roman"/>
                <w:sz w:val="20"/>
                <w:szCs w:val="20"/>
              </w:rPr>
              <w:t>0.0</w:t>
            </w:r>
            <w:r w:rsidRPr="002442F3">
              <w:rPr>
                <w:rFonts w:ascii="Times New Roman" w:hAnsi="Times New Roman" w:cs="Times New Roman"/>
                <w:sz w:val="20"/>
                <w:szCs w:val="20"/>
              </w:rPr>
              <w:t>57**</w:t>
            </w:r>
          </w:p>
        </w:tc>
        <w:tc>
          <w:tcPr>
            <w:tcW w:w="943" w:type="pct"/>
            <w:gridSpan w:val="2"/>
            <w:tcBorders>
              <w:top w:val="nil"/>
              <w:left w:val="nil"/>
              <w:bottom w:val="nil"/>
              <w:right w:val="nil"/>
            </w:tcBorders>
            <w:shd w:val="clear" w:color="auto" w:fill="auto"/>
          </w:tcPr>
          <w:p w14:paraId="746DBBD9" w14:textId="61D9C23D"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w:t>
            </w:r>
            <w:r>
              <w:rPr>
                <w:rFonts w:ascii="Times New Roman" w:hAnsi="Times New Roman" w:cs="Times New Roman"/>
                <w:sz w:val="20"/>
                <w:szCs w:val="20"/>
              </w:rPr>
              <w:t>0.0</w:t>
            </w:r>
            <w:r w:rsidRPr="002442F3">
              <w:rPr>
                <w:rFonts w:ascii="Times New Roman" w:hAnsi="Times New Roman" w:cs="Times New Roman"/>
                <w:sz w:val="20"/>
                <w:szCs w:val="20"/>
              </w:rPr>
              <w:t>23</w:t>
            </w:r>
          </w:p>
        </w:tc>
      </w:tr>
      <w:tr w:rsidR="00015500" w:rsidRPr="003101A0" w14:paraId="4890E584" w14:textId="77777777" w:rsidTr="00015500">
        <w:trPr>
          <w:trHeight w:val="227"/>
          <w:jc w:val="center"/>
        </w:trPr>
        <w:tc>
          <w:tcPr>
            <w:tcW w:w="1231" w:type="pct"/>
            <w:tcBorders>
              <w:top w:val="nil"/>
              <w:left w:val="nil"/>
              <w:bottom w:val="nil"/>
              <w:right w:val="nil"/>
            </w:tcBorders>
          </w:tcPr>
          <w:p w14:paraId="3FE8BC22"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5B0986E2" w14:textId="79FD7B38"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(-2.44)</w:t>
            </w:r>
          </w:p>
        </w:tc>
        <w:tc>
          <w:tcPr>
            <w:tcW w:w="942" w:type="pct"/>
            <w:tcBorders>
              <w:top w:val="nil"/>
              <w:left w:val="nil"/>
              <w:bottom w:val="nil"/>
              <w:right w:val="nil"/>
            </w:tcBorders>
            <w:shd w:val="clear" w:color="auto" w:fill="auto"/>
          </w:tcPr>
          <w:p w14:paraId="5E864322" w14:textId="0C6D041D"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(-1.73)</w:t>
            </w:r>
          </w:p>
        </w:tc>
        <w:tc>
          <w:tcPr>
            <w:tcW w:w="942" w:type="pct"/>
            <w:tcBorders>
              <w:top w:val="nil"/>
              <w:left w:val="nil"/>
              <w:bottom w:val="nil"/>
              <w:right w:val="nil"/>
            </w:tcBorders>
            <w:shd w:val="clear" w:color="auto" w:fill="auto"/>
          </w:tcPr>
          <w:p w14:paraId="40E1DE08" w14:textId="4D438E3F"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(-2.53)</w:t>
            </w:r>
          </w:p>
        </w:tc>
        <w:tc>
          <w:tcPr>
            <w:tcW w:w="943" w:type="pct"/>
            <w:gridSpan w:val="2"/>
            <w:tcBorders>
              <w:top w:val="nil"/>
              <w:left w:val="nil"/>
              <w:bottom w:val="nil"/>
              <w:right w:val="nil"/>
            </w:tcBorders>
            <w:shd w:val="clear" w:color="auto" w:fill="auto"/>
          </w:tcPr>
          <w:p w14:paraId="5FCA66EF" w14:textId="28402FE9"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(-1.37)</w:t>
            </w:r>
          </w:p>
        </w:tc>
      </w:tr>
      <w:tr w:rsidR="00015500" w:rsidRPr="003101A0" w14:paraId="18A7D37D" w14:textId="77777777" w:rsidTr="00015500">
        <w:tblPrEx>
          <w:tblBorders>
            <w:bottom w:val="single" w:sz="6" w:space="0" w:color="auto"/>
          </w:tblBorders>
        </w:tblPrEx>
        <w:trPr>
          <w:trHeight w:val="227"/>
          <w:jc w:val="center"/>
        </w:trPr>
        <w:tc>
          <w:tcPr>
            <w:tcW w:w="1231" w:type="pct"/>
            <w:tcBorders>
              <w:top w:val="nil"/>
              <w:left w:val="nil"/>
              <w:bottom w:val="nil"/>
              <w:right w:val="nil"/>
            </w:tcBorders>
          </w:tcPr>
          <w:p w14:paraId="6B11555B"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i/>
                <w:iCs/>
                <w:sz w:val="20"/>
                <w:szCs w:val="20"/>
                <w:lang w:val="en-US"/>
              </w:rPr>
            </w:pPr>
            <w:r w:rsidRPr="003101A0">
              <w:rPr>
                <w:rFonts w:ascii="Times New Roman" w:hAnsi="Times New Roman" w:cs="Times New Roman"/>
                <w:i/>
                <w:iCs/>
                <w:sz w:val="20"/>
                <w:szCs w:val="20"/>
                <w:lang w:val="en-US"/>
              </w:rPr>
              <w:t>Arbitrage period</w:t>
            </w:r>
          </w:p>
        </w:tc>
        <w:tc>
          <w:tcPr>
            <w:tcW w:w="942" w:type="pct"/>
            <w:tcBorders>
              <w:top w:val="nil"/>
              <w:left w:val="nil"/>
              <w:bottom w:val="nil"/>
              <w:right w:val="nil"/>
            </w:tcBorders>
            <w:shd w:val="clear" w:color="auto" w:fill="auto"/>
          </w:tcPr>
          <w:p w14:paraId="28448780" w14:textId="123B2016"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-0.036***</w:t>
            </w:r>
          </w:p>
        </w:tc>
        <w:tc>
          <w:tcPr>
            <w:tcW w:w="942" w:type="pct"/>
            <w:tcBorders>
              <w:top w:val="nil"/>
              <w:left w:val="nil"/>
              <w:bottom w:val="nil"/>
              <w:right w:val="nil"/>
            </w:tcBorders>
            <w:shd w:val="clear" w:color="auto" w:fill="auto"/>
          </w:tcPr>
          <w:p w14:paraId="13047A26" w14:textId="014AA2EB"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-0.031***</w:t>
            </w:r>
          </w:p>
        </w:tc>
        <w:tc>
          <w:tcPr>
            <w:tcW w:w="942" w:type="pct"/>
            <w:tcBorders>
              <w:top w:val="nil"/>
              <w:left w:val="nil"/>
              <w:bottom w:val="nil"/>
              <w:right w:val="nil"/>
            </w:tcBorders>
            <w:shd w:val="clear" w:color="auto" w:fill="auto"/>
          </w:tcPr>
          <w:p w14:paraId="5CAA5249" w14:textId="2758CA52"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-0.024**</w:t>
            </w:r>
          </w:p>
        </w:tc>
        <w:tc>
          <w:tcPr>
            <w:tcW w:w="943" w:type="pct"/>
            <w:gridSpan w:val="2"/>
            <w:tcBorders>
              <w:top w:val="nil"/>
              <w:left w:val="nil"/>
              <w:bottom w:val="nil"/>
              <w:right w:val="nil"/>
            </w:tcBorders>
            <w:shd w:val="clear" w:color="auto" w:fill="auto"/>
          </w:tcPr>
          <w:p w14:paraId="2DCEC179" w14:textId="14566111"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-0.039***</w:t>
            </w:r>
          </w:p>
        </w:tc>
      </w:tr>
      <w:tr w:rsidR="00015500" w:rsidRPr="003101A0" w14:paraId="7D1BD832" w14:textId="77777777" w:rsidTr="00015500">
        <w:tblPrEx>
          <w:tblBorders>
            <w:bottom w:val="single" w:sz="6" w:space="0" w:color="auto"/>
          </w:tblBorders>
        </w:tblPrEx>
        <w:trPr>
          <w:trHeight w:val="227"/>
          <w:jc w:val="center"/>
        </w:trPr>
        <w:tc>
          <w:tcPr>
            <w:tcW w:w="1231" w:type="pct"/>
            <w:tcBorders>
              <w:top w:val="nil"/>
              <w:left w:val="nil"/>
              <w:bottom w:val="nil"/>
              <w:right w:val="nil"/>
            </w:tcBorders>
          </w:tcPr>
          <w:p w14:paraId="79692338"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i/>
                <w:iCs/>
                <w:sz w:val="20"/>
                <w:szCs w:val="20"/>
                <w:lang w:val="en-US"/>
              </w:rPr>
            </w:pPr>
          </w:p>
        </w:tc>
        <w:tc>
          <w:tcPr>
            <w:tcW w:w="942" w:type="pct"/>
            <w:tcBorders>
              <w:top w:val="nil"/>
              <w:left w:val="nil"/>
              <w:bottom w:val="nil"/>
              <w:right w:val="nil"/>
            </w:tcBorders>
            <w:shd w:val="clear" w:color="auto" w:fill="auto"/>
          </w:tcPr>
          <w:p w14:paraId="0BB0D633" w14:textId="50D68DC6"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(-3.92)</w:t>
            </w:r>
          </w:p>
        </w:tc>
        <w:tc>
          <w:tcPr>
            <w:tcW w:w="942" w:type="pct"/>
            <w:tcBorders>
              <w:top w:val="nil"/>
              <w:left w:val="nil"/>
              <w:bottom w:val="nil"/>
              <w:right w:val="nil"/>
            </w:tcBorders>
            <w:shd w:val="clear" w:color="auto" w:fill="auto"/>
          </w:tcPr>
          <w:p w14:paraId="5179201E" w14:textId="5209B6CA"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(-5.13)</w:t>
            </w:r>
          </w:p>
        </w:tc>
        <w:tc>
          <w:tcPr>
            <w:tcW w:w="942" w:type="pct"/>
            <w:tcBorders>
              <w:top w:val="nil"/>
              <w:left w:val="nil"/>
              <w:bottom w:val="nil"/>
              <w:right w:val="nil"/>
            </w:tcBorders>
            <w:shd w:val="clear" w:color="auto" w:fill="auto"/>
          </w:tcPr>
          <w:p w14:paraId="4097ECBD" w14:textId="59B63B0C"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(-2.40)</w:t>
            </w:r>
          </w:p>
        </w:tc>
        <w:tc>
          <w:tcPr>
            <w:tcW w:w="943" w:type="pct"/>
            <w:gridSpan w:val="2"/>
            <w:tcBorders>
              <w:top w:val="nil"/>
              <w:left w:val="nil"/>
              <w:bottom w:val="nil"/>
              <w:right w:val="nil"/>
            </w:tcBorders>
            <w:shd w:val="clear" w:color="auto" w:fill="auto"/>
          </w:tcPr>
          <w:p w14:paraId="2ED1F3A5" w14:textId="3F042921"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(-6.04)</w:t>
            </w:r>
          </w:p>
        </w:tc>
      </w:tr>
      <w:tr w:rsidR="00015500" w:rsidRPr="003101A0" w14:paraId="02D1F021" w14:textId="77777777" w:rsidTr="00015500">
        <w:tblPrEx>
          <w:tblBorders>
            <w:bottom w:val="single" w:sz="6" w:space="0" w:color="auto"/>
          </w:tblBorders>
        </w:tblPrEx>
        <w:trPr>
          <w:trHeight w:val="227"/>
          <w:jc w:val="center"/>
        </w:trPr>
        <w:tc>
          <w:tcPr>
            <w:tcW w:w="1231" w:type="pct"/>
            <w:tcBorders>
              <w:top w:val="nil"/>
              <w:left w:val="nil"/>
              <w:bottom w:val="nil"/>
              <w:right w:val="nil"/>
            </w:tcBorders>
          </w:tcPr>
          <w:p w14:paraId="3041F924" w14:textId="06D2F252" w:rsidR="00015500" w:rsidRPr="003101A0" w:rsidRDefault="00015500" w:rsidP="00C8397D">
            <w:pPr>
              <w:widowControl w:val="0"/>
              <w:autoSpaceDE w:val="0"/>
              <w:autoSpaceDN w:val="0"/>
              <w:adjustRightInd w:val="0"/>
              <w:spacing w:after="0" w:line="240" w:lineRule="auto"/>
              <w:rPr>
                <w:rFonts w:ascii="Times New Roman" w:hAnsi="Times New Roman" w:cs="Times New Roman"/>
                <w:i/>
                <w:iCs/>
                <w:sz w:val="20"/>
                <w:szCs w:val="20"/>
                <w:lang w:val="en-US"/>
              </w:rPr>
            </w:pPr>
            <w:r>
              <w:rPr>
                <w:rFonts w:ascii="Times New Roman" w:hAnsi="Times New Roman" w:cs="Times New Roman"/>
                <w:i/>
                <w:iCs/>
                <w:sz w:val="20"/>
                <w:szCs w:val="20"/>
                <w:lang w:val="en-US"/>
              </w:rPr>
              <w:t>GFS</w:t>
            </w:r>
            <w:r w:rsidRPr="003101A0">
              <w:rPr>
                <w:rFonts w:ascii="Times New Roman" w:hAnsi="Times New Roman" w:cs="Times New Roman"/>
                <w:i/>
                <w:iCs/>
                <w:sz w:val="20"/>
                <w:szCs w:val="20"/>
                <w:lang w:val="en-US"/>
              </w:rPr>
              <w:t xml:space="preserve"> period</w:t>
            </w:r>
          </w:p>
        </w:tc>
        <w:tc>
          <w:tcPr>
            <w:tcW w:w="942" w:type="pct"/>
            <w:tcBorders>
              <w:top w:val="nil"/>
              <w:left w:val="nil"/>
              <w:bottom w:val="nil"/>
              <w:right w:val="nil"/>
            </w:tcBorders>
            <w:shd w:val="clear" w:color="auto" w:fill="auto"/>
          </w:tcPr>
          <w:p w14:paraId="7954904E" w14:textId="1DAAB4CD"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-0.025</w:t>
            </w:r>
          </w:p>
        </w:tc>
        <w:tc>
          <w:tcPr>
            <w:tcW w:w="942" w:type="pct"/>
            <w:tcBorders>
              <w:top w:val="nil"/>
              <w:left w:val="nil"/>
              <w:bottom w:val="nil"/>
              <w:right w:val="nil"/>
            </w:tcBorders>
            <w:shd w:val="clear" w:color="auto" w:fill="auto"/>
          </w:tcPr>
          <w:p w14:paraId="6DFFA108" w14:textId="38E6DFD5"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-0.038***</w:t>
            </w:r>
          </w:p>
        </w:tc>
        <w:tc>
          <w:tcPr>
            <w:tcW w:w="942" w:type="pct"/>
            <w:tcBorders>
              <w:top w:val="nil"/>
              <w:left w:val="nil"/>
              <w:bottom w:val="nil"/>
              <w:right w:val="nil"/>
            </w:tcBorders>
            <w:shd w:val="clear" w:color="auto" w:fill="auto"/>
          </w:tcPr>
          <w:p w14:paraId="4AC66268" w14:textId="0C25D389"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-0.005</w:t>
            </w:r>
          </w:p>
        </w:tc>
        <w:tc>
          <w:tcPr>
            <w:tcW w:w="943" w:type="pct"/>
            <w:gridSpan w:val="2"/>
            <w:tcBorders>
              <w:top w:val="nil"/>
              <w:left w:val="nil"/>
              <w:bottom w:val="nil"/>
              <w:right w:val="nil"/>
            </w:tcBorders>
            <w:shd w:val="clear" w:color="auto" w:fill="auto"/>
          </w:tcPr>
          <w:p w14:paraId="02D1B0A3" w14:textId="2230EA7D"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-0.046***</w:t>
            </w:r>
          </w:p>
        </w:tc>
      </w:tr>
      <w:tr w:rsidR="00015500" w:rsidRPr="003101A0" w14:paraId="7F1A8EA2" w14:textId="77777777" w:rsidTr="00015500">
        <w:tblPrEx>
          <w:tblBorders>
            <w:bottom w:val="single" w:sz="6" w:space="0" w:color="auto"/>
          </w:tblBorders>
        </w:tblPrEx>
        <w:trPr>
          <w:trHeight w:val="227"/>
          <w:jc w:val="center"/>
        </w:trPr>
        <w:tc>
          <w:tcPr>
            <w:tcW w:w="1231" w:type="pct"/>
            <w:tcBorders>
              <w:top w:val="nil"/>
              <w:left w:val="nil"/>
              <w:bottom w:val="nil"/>
              <w:right w:val="nil"/>
            </w:tcBorders>
          </w:tcPr>
          <w:p w14:paraId="4AF5C4C1"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i/>
                <w:iCs/>
                <w:sz w:val="20"/>
                <w:szCs w:val="20"/>
                <w:lang w:val="en-US"/>
              </w:rPr>
            </w:pPr>
          </w:p>
        </w:tc>
        <w:tc>
          <w:tcPr>
            <w:tcW w:w="942" w:type="pct"/>
            <w:tcBorders>
              <w:top w:val="nil"/>
              <w:left w:val="nil"/>
              <w:bottom w:val="nil"/>
              <w:right w:val="nil"/>
            </w:tcBorders>
            <w:shd w:val="clear" w:color="auto" w:fill="auto"/>
          </w:tcPr>
          <w:p w14:paraId="21CB932B" w14:textId="49A08E55"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(-1.13)</w:t>
            </w:r>
          </w:p>
        </w:tc>
        <w:tc>
          <w:tcPr>
            <w:tcW w:w="942" w:type="pct"/>
            <w:tcBorders>
              <w:top w:val="nil"/>
              <w:left w:val="nil"/>
              <w:bottom w:val="nil"/>
              <w:right w:val="nil"/>
            </w:tcBorders>
            <w:shd w:val="clear" w:color="auto" w:fill="auto"/>
          </w:tcPr>
          <w:p w14:paraId="518A04BE" w14:textId="2F813350"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(-2.73)</w:t>
            </w:r>
          </w:p>
        </w:tc>
        <w:tc>
          <w:tcPr>
            <w:tcW w:w="942" w:type="pct"/>
            <w:tcBorders>
              <w:top w:val="nil"/>
              <w:left w:val="nil"/>
              <w:bottom w:val="nil"/>
              <w:right w:val="nil"/>
            </w:tcBorders>
            <w:shd w:val="clear" w:color="auto" w:fill="auto"/>
          </w:tcPr>
          <w:p w14:paraId="2E750C84" w14:textId="0A9A5523"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(-0.21)</w:t>
            </w:r>
          </w:p>
        </w:tc>
        <w:tc>
          <w:tcPr>
            <w:tcW w:w="943" w:type="pct"/>
            <w:gridSpan w:val="2"/>
            <w:tcBorders>
              <w:top w:val="nil"/>
              <w:left w:val="nil"/>
              <w:bottom w:val="nil"/>
              <w:right w:val="nil"/>
            </w:tcBorders>
            <w:shd w:val="clear" w:color="auto" w:fill="auto"/>
          </w:tcPr>
          <w:p w14:paraId="36E4DBB2" w14:textId="5DC0E7B8"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(-3.32)</w:t>
            </w:r>
          </w:p>
        </w:tc>
      </w:tr>
      <w:tr w:rsidR="00015500" w:rsidRPr="003101A0" w14:paraId="30AD16FB" w14:textId="77777777" w:rsidTr="00015500">
        <w:tblPrEx>
          <w:tblBorders>
            <w:bottom w:val="single" w:sz="6" w:space="0" w:color="auto"/>
          </w:tblBorders>
        </w:tblPrEx>
        <w:trPr>
          <w:trHeight w:val="227"/>
          <w:jc w:val="center"/>
        </w:trPr>
        <w:tc>
          <w:tcPr>
            <w:tcW w:w="1231" w:type="pct"/>
            <w:tcBorders>
              <w:top w:val="nil"/>
              <w:left w:val="nil"/>
              <w:bottom w:val="nil"/>
              <w:right w:val="nil"/>
            </w:tcBorders>
          </w:tcPr>
          <w:p w14:paraId="38DEE30D"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i/>
                <w:iCs/>
                <w:sz w:val="20"/>
                <w:szCs w:val="20"/>
                <w:lang w:val="en-US"/>
              </w:rPr>
            </w:pPr>
            <w:r w:rsidRPr="003101A0">
              <w:rPr>
                <w:rFonts w:ascii="Times New Roman" w:hAnsi="Times New Roman" w:cs="Times New Roman"/>
                <w:i/>
                <w:iCs/>
                <w:sz w:val="20"/>
                <w:szCs w:val="20"/>
                <w:lang w:val="en-US"/>
              </w:rPr>
              <w:t>Post-crisis period</w:t>
            </w:r>
          </w:p>
        </w:tc>
        <w:tc>
          <w:tcPr>
            <w:tcW w:w="942" w:type="pct"/>
            <w:tcBorders>
              <w:top w:val="nil"/>
              <w:left w:val="nil"/>
              <w:bottom w:val="nil"/>
              <w:right w:val="nil"/>
            </w:tcBorders>
            <w:shd w:val="clear" w:color="auto" w:fill="auto"/>
          </w:tcPr>
          <w:p w14:paraId="19E8F94D" w14:textId="4C866D09"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-0.013</w:t>
            </w:r>
          </w:p>
        </w:tc>
        <w:tc>
          <w:tcPr>
            <w:tcW w:w="942" w:type="pct"/>
            <w:tcBorders>
              <w:top w:val="nil"/>
              <w:left w:val="nil"/>
              <w:bottom w:val="nil"/>
              <w:right w:val="nil"/>
            </w:tcBorders>
            <w:shd w:val="clear" w:color="auto" w:fill="auto"/>
          </w:tcPr>
          <w:p w14:paraId="59B9297C" w14:textId="5C11E163"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0.007</w:t>
            </w:r>
          </w:p>
        </w:tc>
        <w:tc>
          <w:tcPr>
            <w:tcW w:w="942" w:type="pct"/>
            <w:tcBorders>
              <w:top w:val="nil"/>
              <w:left w:val="nil"/>
              <w:bottom w:val="nil"/>
              <w:right w:val="nil"/>
            </w:tcBorders>
            <w:shd w:val="clear" w:color="auto" w:fill="auto"/>
          </w:tcPr>
          <w:p w14:paraId="7F3D7BA4" w14:textId="35007B1E"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0.005</w:t>
            </w:r>
          </w:p>
        </w:tc>
        <w:tc>
          <w:tcPr>
            <w:tcW w:w="943" w:type="pct"/>
            <w:gridSpan w:val="2"/>
            <w:tcBorders>
              <w:top w:val="nil"/>
              <w:left w:val="nil"/>
              <w:bottom w:val="nil"/>
              <w:right w:val="nil"/>
            </w:tcBorders>
            <w:shd w:val="clear" w:color="auto" w:fill="auto"/>
          </w:tcPr>
          <w:p w14:paraId="2F7969FE" w14:textId="6E7FF3CE"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-0.001</w:t>
            </w:r>
          </w:p>
        </w:tc>
      </w:tr>
      <w:tr w:rsidR="00015500" w:rsidRPr="003101A0" w14:paraId="65E02D4E" w14:textId="77777777" w:rsidTr="00015500">
        <w:tblPrEx>
          <w:tblBorders>
            <w:bottom w:val="single" w:sz="6" w:space="0" w:color="auto"/>
          </w:tblBorders>
        </w:tblPrEx>
        <w:trPr>
          <w:trHeight w:val="227"/>
          <w:jc w:val="center"/>
        </w:trPr>
        <w:tc>
          <w:tcPr>
            <w:tcW w:w="1231" w:type="pct"/>
            <w:tcBorders>
              <w:top w:val="nil"/>
              <w:left w:val="nil"/>
              <w:bottom w:val="nil"/>
              <w:right w:val="nil"/>
            </w:tcBorders>
          </w:tcPr>
          <w:p w14:paraId="7B576057"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i/>
                <w:iCs/>
                <w:sz w:val="20"/>
                <w:szCs w:val="20"/>
                <w:lang w:val="en-US"/>
              </w:rPr>
            </w:pPr>
          </w:p>
        </w:tc>
        <w:tc>
          <w:tcPr>
            <w:tcW w:w="942" w:type="pct"/>
            <w:tcBorders>
              <w:top w:val="nil"/>
              <w:left w:val="nil"/>
              <w:bottom w:val="nil"/>
              <w:right w:val="nil"/>
            </w:tcBorders>
            <w:shd w:val="clear" w:color="auto" w:fill="auto"/>
          </w:tcPr>
          <w:p w14:paraId="1F632658" w14:textId="3DB911BC"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(-1.21)</w:t>
            </w:r>
          </w:p>
        </w:tc>
        <w:tc>
          <w:tcPr>
            <w:tcW w:w="942" w:type="pct"/>
            <w:tcBorders>
              <w:top w:val="nil"/>
              <w:left w:val="nil"/>
              <w:bottom w:val="nil"/>
              <w:right w:val="nil"/>
            </w:tcBorders>
            <w:shd w:val="clear" w:color="auto" w:fill="auto"/>
          </w:tcPr>
          <w:p w14:paraId="6217DC8B" w14:textId="7FEA2259"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(0.80)</w:t>
            </w:r>
          </w:p>
        </w:tc>
        <w:tc>
          <w:tcPr>
            <w:tcW w:w="942" w:type="pct"/>
            <w:tcBorders>
              <w:top w:val="nil"/>
              <w:left w:val="nil"/>
              <w:bottom w:val="nil"/>
              <w:right w:val="nil"/>
            </w:tcBorders>
            <w:shd w:val="clear" w:color="auto" w:fill="auto"/>
          </w:tcPr>
          <w:p w14:paraId="16BC5421" w14:textId="5434B45B"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(0.33)</w:t>
            </w:r>
          </w:p>
        </w:tc>
        <w:tc>
          <w:tcPr>
            <w:tcW w:w="943" w:type="pct"/>
            <w:gridSpan w:val="2"/>
            <w:tcBorders>
              <w:top w:val="nil"/>
              <w:left w:val="nil"/>
              <w:bottom w:val="nil"/>
              <w:right w:val="nil"/>
            </w:tcBorders>
            <w:shd w:val="clear" w:color="auto" w:fill="auto"/>
          </w:tcPr>
          <w:p w14:paraId="4874B2E9" w14:textId="04F7E300"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(-0.14)</w:t>
            </w:r>
          </w:p>
        </w:tc>
      </w:tr>
      <w:tr w:rsidR="00015500" w:rsidRPr="003101A0" w14:paraId="4B30CA41"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18D6FA9B" w14:textId="3FABBF66" w:rsidR="00015500" w:rsidRPr="004C7C56" w:rsidRDefault="00015500" w:rsidP="00C8397D">
            <w:pPr>
              <w:widowControl w:val="0"/>
              <w:autoSpaceDE w:val="0"/>
              <w:autoSpaceDN w:val="0"/>
              <w:adjustRightInd w:val="0"/>
              <w:spacing w:after="0" w:line="240" w:lineRule="auto"/>
              <w:rPr>
                <w:rFonts w:ascii="Times New Roman" w:hAnsi="Times New Roman" w:cs="Times New Roman"/>
                <w:i/>
                <w:sz w:val="20"/>
                <w:szCs w:val="20"/>
                <w:lang w:val="en-US"/>
              </w:rPr>
            </w:pPr>
            <w:r w:rsidRPr="004C7C56">
              <w:rPr>
                <w:rFonts w:ascii="Times New Roman" w:hAnsi="Times New Roman" w:cs="Times New Roman"/>
                <w:i/>
                <w:sz w:val="20"/>
                <w:szCs w:val="20"/>
                <w:lang w:val="en-US"/>
              </w:rPr>
              <w:t>Proceeds</w:t>
            </w:r>
          </w:p>
        </w:tc>
        <w:tc>
          <w:tcPr>
            <w:tcW w:w="942" w:type="pct"/>
            <w:tcBorders>
              <w:top w:val="nil"/>
              <w:left w:val="nil"/>
              <w:bottom w:val="nil"/>
              <w:right w:val="nil"/>
            </w:tcBorders>
            <w:shd w:val="clear" w:color="auto" w:fill="auto"/>
          </w:tcPr>
          <w:p w14:paraId="6C67B4D4"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0A58D943" w14:textId="147BCCAD"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377EBF40" w14:textId="79B36EC2"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0.018*</w:t>
            </w:r>
          </w:p>
        </w:tc>
        <w:tc>
          <w:tcPr>
            <w:tcW w:w="943" w:type="pct"/>
            <w:gridSpan w:val="2"/>
            <w:tcBorders>
              <w:top w:val="nil"/>
              <w:left w:val="nil"/>
              <w:bottom w:val="nil"/>
              <w:right w:val="nil"/>
            </w:tcBorders>
            <w:shd w:val="clear" w:color="auto" w:fill="auto"/>
          </w:tcPr>
          <w:p w14:paraId="0D93A7B9" w14:textId="73ACF379"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0.040***</w:t>
            </w:r>
          </w:p>
        </w:tc>
      </w:tr>
      <w:tr w:rsidR="00015500" w:rsidRPr="003101A0" w14:paraId="779FF55D"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29CBFA47" w14:textId="77777777" w:rsidR="00015500" w:rsidRPr="004C7C56" w:rsidRDefault="00015500" w:rsidP="00C839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2369413E"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114D4765" w14:textId="3400F2A4"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2E8EB6A0" w14:textId="4D05517B"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(1.66)</w:t>
            </w:r>
          </w:p>
        </w:tc>
        <w:tc>
          <w:tcPr>
            <w:tcW w:w="943" w:type="pct"/>
            <w:gridSpan w:val="2"/>
            <w:tcBorders>
              <w:top w:val="nil"/>
              <w:left w:val="nil"/>
              <w:bottom w:val="nil"/>
              <w:right w:val="nil"/>
            </w:tcBorders>
            <w:shd w:val="clear" w:color="auto" w:fill="auto"/>
          </w:tcPr>
          <w:p w14:paraId="5CB899BF" w14:textId="6013C482"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(4.71)</w:t>
            </w:r>
          </w:p>
        </w:tc>
      </w:tr>
      <w:tr w:rsidR="00015500" w:rsidRPr="003101A0" w14:paraId="160F7B9C"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4E94E646" w14:textId="3ADA86B8" w:rsidR="00015500" w:rsidRPr="004C7C56" w:rsidRDefault="00015500" w:rsidP="00C8397D">
            <w:pPr>
              <w:widowControl w:val="0"/>
              <w:autoSpaceDE w:val="0"/>
              <w:autoSpaceDN w:val="0"/>
              <w:adjustRightInd w:val="0"/>
              <w:spacing w:after="0" w:line="240" w:lineRule="auto"/>
              <w:rPr>
                <w:rFonts w:ascii="Times New Roman" w:hAnsi="Times New Roman" w:cs="Times New Roman"/>
                <w:i/>
                <w:sz w:val="20"/>
                <w:szCs w:val="20"/>
                <w:lang w:val="en-US"/>
              </w:rPr>
            </w:pPr>
            <w:r w:rsidRPr="004C7C56">
              <w:rPr>
                <w:rFonts w:ascii="Times New Roman" w:hAnsi="Times New Roman" w:cs="Times New Roman"/>
                <w:i/>
                <w:sz w:val="20"/>
                <w:szCs w:val="20"/>
                <w:lang w:val="en-US"/>
              </w:rPr>
              <w:t>Callable</w:t>
            </w:r>
          </w:p>
        </w:tc>
        <w:tc>
          <w:tcPr>
            <w:tcW w:w="942" w:type="pct"/>
            <w:tcBorders>
              <w:top w:val="nil"/>
              <w:left w:val="nil"/>
              <w:bottom w:val="nil"/>
              <w:right w:val="nil"/>
            </w:tcBorders>
            <w:shd w:val="clear" w:color="auto" w:fill="auto"/>
          </w:tcPr>
          <w:p w14:paraId="2BC15B7F"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4152DE13" w14:textId="35056A0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12392321" w14:textId="71668D7C"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0.040***</w:t>
            </w:r>
          </w:p>
        </w:tc>
        <w:tc>
          <w:tcPr>
            <w:tcW w:w="943" w:type="pct"/>
            <w:gridSpan w:val="2"/>
            <w:tcBorders>
              <w:top w:val="nil"/>
              <w:left w:val="nil"/>
              <w:bottom w:val="nil"/>
              <w:right w:val="nil"/>
            </w:tcBorders>
            <w:shd w:val="clear" w:color="auto" w:fill="auto"/>
          </w:tcPr>
          <w:p w14:paraId="231E6628" w14:textId="064EBB39"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0.029***</w:t>
            </w:r>
          </w:p>
        </w:tc>
      </w:tr>
      <w:tr w:rsidR="00015500" w:rsidRPr="003101A0" w14:paraId="1B46C2C1"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6B05CADD" w14:textId="77777777" w:rsidR="00015500" w:rsidRPr="004C7C56" w:rsidRDefault="00015500" w:rsidP="00C839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4B37AF6F"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58446D28" w14:textId="280E64A4"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3E0384E7" w14:textId="15711FD9"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(4.25)</w:t>
            </w:r>
          </w:p>
        </w:tc>
        <w:tc>
          <w:tcPr>
            <w:tcW w:w="943" w:type="pct"/>
            <w:gridSpan w:val="2"/>
            <w:tcBorders>
              <w:top w:val="nil"/>
              <w:left w:val="nil"/>
              <w:bottom w:val="nil"/>
              <w:right w:val="nil"/>
            </w:tcBorders>
            <w:shd w:val="clear" w:color="auto" w:fill="auto"/>
          </w:tcPr>
          <w:p w14:paraId="541C6E86" w14:textId="2FDF8CC4"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(6.10)</w:t>
            </w:r>
          </w:p>
        </w:tc>
      </w:tr>
      <w:tr w:rsidR="00015500" w:rsidRPr="003101A0" w14:paraId="6ED343CF"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04AA1E63" w14:textId="6C6F1270" w:rsidR="00015500" w:rsidRPr="004C7C56" w:rsidRDefault="00015500" w:rsidP="00C8397D">
            <w:pPr>
              <w:widowControl w:val="0"/>
              <w:autoSpaceDE w:val="0"/>
              <w:autoSpaceDN w:val="0"/>
              <w:adjustRightInd w:val="0"/>
              <w:spacing w:after="0" w:line="240" w:lineRule="auto"/>
              <w:rPr>
                <w:rFonts w:ascii="Times New Roman" w:hAnsi="Times New Roman" w:cs="Times New Roman"/>
                <w:i/>
                <w:sz w:val="20"/>
                <w:szCs w:val="20"/>
                <w:lang w:val="en-US"/>
              </w:rPr>
            </w:pPr>
            <w:proofErr w:type="spellStart"/>
            <w:r w:rsidRPr="004C7C56">
              <w:rPr>
                <w:rFonts w:ascii="Times New Roman" w:hAnsi="Times New Roman" w:cs="Times New Roman"/>
                <w:i/>
                <w:sz w:val="20"/>
                <w:szCs w:val="20"/>
                <w:lang w:val="en-US"/>
              </w:rPr>
              <w:t>Putable</w:t>
            </w:r>
            <w:proofErr w:type="spellEnd"/>
          </w:p>
        </w:tc>
        <w:tc>
          <w:tcPr>
            <w:tcW w:w="942" w:type="pct"/>
            <w:tcBorders>
              <w:top w:val="nil"/>
              <w:left w:val="nil"/>
              <w:bottom w:val="nil"/>
              <w:right w:val="nil"/>
            </w:tcBorders>
            <w:shd w:val="clear" w:color="auto" w:fill="auto"/>
          </w:tcPr>
          <w:p w14:paraId="63E4D704"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0D5C7F41" w14:textId="3EC698E8"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1A79693A" w14:textId="2E28193D"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-0.004</w:t>
            </w:r>
          </w:p>
        </w:tc>
        <w:tc>
          <w:tcPr>
            <w:tcW w:w="943" w:type="pct"/>
            <w:gridSpan w:val="2"/>
            <w:tcBorders>
              <w:top w:val="nil"/>
              <w:left w:val="nil"/>
              <w:bottom w:val="nil"/>
              <w:right w:val="nil"/>
            </w:tcBorders>
            <w:shd w:val="clear" w:color="auto" w:fill="auto"/>
          </w:tcPr>
          <w:p w14:paraId="308A9870" w14:textId="535D116D"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-0.028***</w:t>
            </w:r>
          </w:p>
        </w:tc>
      </w:tr>
      <w:tr w:rsidR="00015500" w:rsidRPr="003101A0" w14:paraId="5D6076D9"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39DD41E1" w14:textId="77777777" w:rsidR="00015500" w:rsidRPr="004C7C56" w:rsidRDefault="00015500" w:rsidP="00C839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49172056"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78351AF1" w14:textId="0FDDBFE3"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79821E9F" w14:textId="34725B64"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(-0.34)</w:t>
            </w:r>
          </w:p>
        </w:tc>
        <w:tc>
          <w:tcPr>
            <w:tcW w:w="943" w:type="pct"/>
            <w:gridSpan w:val="2"/>
            <w:tcBorders>
              <w:top w:val="nil"/>
              <w:left w:val="nil"/>
              <w:bottom w:val="nil"/>
              <w:right w:val="nil"/>
            </w:tcBorders>
            <w:shd w:val="clear" w:color="auto" w:fill="auto"/>
          </w:tcPr>
          <w:p w14:paraId="28579753" w14:textId="2228C82C"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(-3.22)</w:t>
            </w:r>
          </w:p>
        </w:tc>
      </w:tr>
      <w:tr w:rsidR="00015500" w:rsidRPr="003101A0" w14:paraId="7AFCC9ED"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58BC4A88" w14:textId="7C234B78" w:rsidR="00015500" w:rsidRPr="004C7C56" w:rsidRDefault="00015500" w:rsidP="00C8397D">
            <w:pPr>
              <w:widowControl w:val="0"/>
              <w:autoSpaceDE w:val="0"/>
              <w:autoSpaceDN w:val="0"/>
              <w:adjustRightInd w:val="0"/>
              <w:spacing w:after="0" w:line="240" w:lineRule="auto"/>
              <w:rPr>
                <w:rFonts w:ascii="Times New Roman" w:hAnsi="Times New Roman" w:cs="Times New Roman"/>
                <w:i/>
                <w:sz w:val="20"/>
                <w:szCs w:val="20"/>
                <w:lang w:val="en-US"/>
              </w:rPr>
            </w:pPr>
            <w:r w:rsidRPr="004C7C56">
              <w:rPr>
                <w:rFonts w:ascii="Times New Roman" w:hAnsi="Times New Roman" w:cs="Times New Roman"/>
                <w:i/>
                <w:sz w:val="20"/>
                <w:szCs w:val="20"/>
                <w:lang w:val="en-US"/>
              </w:rPr>
              <w:t>Secured</w:t>
            </w:r>
          </w:p>
        </w:tc>
        <w:tc>
          <w:tcPr>
            <w:tcW w:w="942" w:type="pct"/>
            <w:tcBorders>
              <w:top w:val="nil"/>
              <w:left w:val="nil"/>
              <w:bottom w:val="nil"/>
              <w:right w:val="nil"/>
            </w:tcBorders>
            <w:shd w:val="clear" w:color="auto" w:fill="auto"/>
          </w:tcPr>
          <w:p w14:paraId="71924FF4"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4A842C3B" w14:textId="3BE59502"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55FF3D75" w14:textId="11940658"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-0.012</w:t>
            </w:r>
          </w:p>
        </w:tc>
        <w:tc>
          <w:tcPr>
            <w:tcW w:w="943" w:type="pct"/>
            <w:gridSpan w:val="2"/>
            <w:tcBorders>
              <w:top w:val="nil"/>
              <w:left w:val="nil"/>
              <w:bottom w:val="nil"/>
              <w:right w:val="nil"/>
            </w:tcBorders>
            <w:shd w:val="clear" w:color="auto" w:fill="auto"/>
          </w:tcPr>
          <w:p w14:paraId="4BA1B1B1" w14:textId="76C426F2"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-0.046***</w:t>
            </w:r>
          </w:p>
        </w:tc>
      </w:tr>
      <w:tr w:rsidR="00015500" w:rsidRPr="003101A0" w14:paraId="685D4EA4"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4EDB919E" w14:textId="77777777" w:rsidR="00015500" w:rsidRPr="004C7C56" w:rsidRDefault="00015500" w:rsidP="00C839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3F89C198"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586E3270" w14:textId="4110E0B8"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7F281DEC" w14:textId="5E170EF8"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(-0.59)</w:t>
            </w:r>
          </w:p>
        </w:tc>
        <w:tc>
          <w:tcPr>
            <w:tcW w:w="943" w:type="pct"/>
            <w:gridSpan w:val="2"/>
            <w:tcBorders>
              <w:top w:val="nil"/>
              <w:left w:val="nil"/>
              <w:bottom w:val="nil"/>
              <w:right w:val="nil"/>
            </w:tcBorders>
            <w:shd w:val="clear" w:color="auto" w:fill="auto"/>
          </w:tcPr>
          <w:p w14:paraId="1691DCF0" w14:textId="35A62014"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(-4.10)</w:t>
            </w:r>
          </w:p>
        </w:tc>
      </w:tr>
      <w:tr w:rsidR="00015500" w:rsidRPr="003101A0" w14:paraId="2FD72695"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5E9ED7B9" w14:textId="7113334D" w:rsidR="00015500" w:rsidRPr="004C7C56" w:rsidRDefault="00015500" w:rsidP="00C8397D">
            <w:pPr>
              <w:widowControl w:val="0"/>
              <w:autoSpaceDE w:val="0"/>
              <w:autoSpaceDN w:val="0"/>
              <w:adjustRightInd w:val="0"/>
              <w:spacing w:after="0" w:line="240" w:lineRule="auto"/>
              <w:rPr>
                <w:rFonts w:ascii="Times New Roman" w:hAnsi="Times New Roman" w:cs="Times New Roman"/>
                <w:i/>
                <w:sz w:val="20"/>
                <w:szCs w:val="20"/>
                <w:lang w:val="en-US"/>
              </w:rPr>
            </w:pPr>
            <w:r w:rsidRPr="004C7C56">
              <w:rPr>
                <w:rFonts w:ascii="Times New Roman" w:hAnsi="Times New Roman" w:cs="Times New Roman"/>
                <w:i/>
                <w:sz w:val="20"/>
                <w:szCs w:val="20"/>
                <w:lang w:val="en-US"/>
              </w:rPr>
              <w:t>Senior</w:t>
            </w:r>
          </w:p>
        </w:tc>
        <w:tc>
          <w:tcPr>
            <w:tcW w:w="942" w:type="pct"/>
            <w:tcBorders>
              <w:top w:val="nil"/>
              <w:left w:val="nil"/>
              <w:bottom w:val="nil"/>
              <w:right w:val="nil"/>
            </w:tcBorders>
            <w:shd w:val="clear" w:color="auto" w:fill="auto"/>
          </w:tcPr>
          <w:p w14:paraId="44895466"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0EC6AE80" w14:textId="57ED4553"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6AD3BC57" w14:textId="41296CE4"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0.010</w:t>
            </w:r>
          </w:p>
        </w:tc>
        <w:tc>
          <w:tcPr>
            <w:tcW w:w="943" w:type="pct"/>
            <w:gridSpan w:val="2"/>
            <w:tcBorders>
              <w:top w:val="nil"/>
              <w:left w:val="nil"/>
              <w:bottom w:val="nil"/>
              <w:right w:val="nil"/>
            </w:tcBorders>
            <w:shd w:val="clear" w:color="auto" w:fill="auto"/>
          </w:tcPr>
          <w:p w14:paraId="77211341" w14:textId="6D43478F"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-0.032***</w:t>
            </w:r>
          </w:p>
        </w:tc>
      </w:tr>
      <w:tr w:rsidR="00015500" w:rsidRPr="003101A0" w14:paraId="2A6844B3"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6BEFE197" w14:textId="77777777" w:rsidR="00015500" w:rsidRPr="004C7C56" w:rsidRDefault="00015500" w:rsidP="00C839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648209C5"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6CAE5849" w14:textId="42843214"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53717437" w14:textId="491D25E5"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(1.53)</w:t>
            </w:r>
          </w:p>
        </w:tc>
        <w:tc>
          <w:tcPr>
            <w:tcW w:w="943" w:type="pct"/>
            <w:gridSpan w:val="2"/>
            <w:tcBorders>
              <w:top w:val="nil"/>
              <w:left w:val="nil"/>
              <w:bottom w:val="nil"/>
              <w:right w:val="nil"/>
            </w:tcBorders>
            <w:shd w:val="clear" w:color="auto" w:fill="auto"/>
          </w:tcPr>
          <w:p w14:paraId="777DE13A" w14:textId="7E43A039"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(-4.64)</w:t>
            </w:r>
          </w:p>
        </w:tc>
      </w:tr>
      <w:tr w:rsidR="00015500" w:rsidRPr="003101A0" w14:paraId="660A8243"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7D2055EC" w14:textId="48FFF2C8" w:rsidR="00015500" w:rsidRPr="003101A0" w:rsidRDefault="00015500" w:rsidP="00C8397D">
            <w:pPr>
              <w:widowControl w:val="0"/>
              <w:autoSpaceDE w:val="0"/>
              <w:autoSpaceDN w:val="0"/>
              <w:adjustRightInd w:val="0"/>
              <w:spacing w:after="0" w:line="240" w:lineRule="auto"/>
              <w:rPr>
                <w:rFonts w:ascii="Times New Roman" w:hAnsi="Times New Roman" w:cs="Times New Roman"/>
                <w:i/>
                <w:iCs/>
                <w:sz w:val="20"/>
                <w:szCs w:val="20"/>
                <w:lang w:val="en-US"/>
              </w:rPr>
            </w:pPr>
            <w:proofErr w:type="gramStart"/>
            <w:r w:rsidRPr="003101A0">
              <w:rPr>
                <w:rFonts w:ascii="Times New Roman" w:hAnsi="Times New Roman" w:cs="Times New Roman"/>
                <w:i/>
                <w:sz w:val="20"/>
                <w:szCs w:val="20"/>
                <w:lang w:val="en-US"/>
              </w:rPr>
              <w:t>L</w:t>
            </w:r>
            <w:r w:rsidRPr="003101A0">
              <w:rPr>
                <w:rFonts w:ascii="Times New Roman" w:hAnsi="Times New Roman" w:cs="Times New Roman"/>
                <w:i/>
                <w:sz w:val="20"/>
                <w:szCs w:val="20"/>
                <w:lang w:val="en-US" w:eastAsia="zh-CN"/>
              </w:rPr>
              <w:t>n</w:t>
            </w:r>
            <w:r w:rsidRPr="003101A0">
              <w:rPr>
                <w:rFonts w:ascii="Times New Roman" w:hAnsi="Times New Roman" w:cs="Times New Roman"/>
                <w:i/>
                <w:sz w:val="20"/>
                <w:szCs w:val="20"/>
                <w:lang w:val="en-US"/>
              </w:rPr>
              <w:t>(</w:t>
            </w:r>
            <w:proofErr w:type="gramEnd"/>
            <w:r w:rsidRPr="003101A0">
              <w:rPr>
                <w:rFonts w:ascii="Times New Roman" w:hAnsi="Times New Roman" w:cs="Times New Roman"/>
                <w:i/>
                <w:sz w:val="20"/>
                <w:szCs w:val="20"/>
                <w:lang w:val="en-US"/>
              </w:rPr>
              <w:t>Maturity)</w:t>
            </w:r>
          </w:p>
        </w:tc>
        <w:tc>
          <w:tcPr>
            <w:tcW w:w="942" w:type="pct"/>
            <w:tcBorders>
              <w:top w:val="nil"/>
              <w:left w:val="nil"/>
              <w:bottom w:val="nil"/>
              <w:right w:val="nil"/>
            </w:tcBorders>
            <w:shd w:val="clear" w:color="auto" w:fill="auto"/>
          </w:tcPr>
          <w:p w14:paraId="05FC5CAC"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5C8D4933" w14:textId="5EC9FD04"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459ACD7D" w14:textId="0366A95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-0.016**</w:t>
            </w:r>
          </w:p>
        </w:tc>
        <w:tc>
          <w:tcPr>
            <w:tcW w:w="943" w:type="pct"/>
            <w:gridSpan w:val="2"/>
            <w:tcBorders>
              <w:top w:val="nil"/>
              <w:left w:val="nil"/>
              <w:bottom w:val="nil"/>
              <w:right w:val="nil"/>
            </w:tcBorders>
            <w:shd w:val="clear" w:color="auto" w:fill="auto"/>
          </w:tcPr>
          <w:p w14:paraId="333E1D25" w14:textId="147B212F"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-0.009***</w:t>
            </w:r>
          </w:p>
        </w:tc>
      </w:tr>
      <w:tr w:rsidR="00015500" w:rsidRPr="003101A0" w14:paraId="495F4D45"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3C34273F"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i/>
                <w:iCs/>
                <w:sz w:val="20"/>
                <w:szCs w:val="20"/>
                <w:lang w:val="en-US"/>
              </w:rPr>
            </w:pPr>
          </w:p>
        </w:tc>
        <w:tc>
          <w:tcPr>
            <w:tcW w:w="942" w:type="pct"/>
            <w:tcBorders>
              <w:top w:val="nil"/>
              <w:left w:val="nil"/>
              <w:bottom w:val="nil"/>
              <w:right w:val="nil"/>
            </w:tcBorders>
            <w:shd w:val="clear" w:color="auto" w:fill="auto"/>
          </w:tcPr>
          <w:p w14:paraId="0E0CD492"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37D26CBC" w14:textId="140139A3"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24636407" w14:textId="52B4D2DA"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(-2.52)</w:t>
            </w:r>
          </w:p>
        </w:tc>
        <w:tc>
          <w:tcPr>
            <w:tcW w:w="943" w:type="pct"/>
            <w:gridSpan w:val="2"/>
            <w:tcBorders>
              <w:top w:val="nil"/>
              <w:left w:val="nil"/>
              <w:bottom w:val="nil"/>
              <w:right w:val="nil"/>
            </w:tcBorders>
            <w:shd w:val="clear" w:color="auto" w:fill="auto"/>
          </w:tcPr>
          <w:p w14:paraId="1EA241C3" w14:textId="7E09D9AC"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(-4.96)</w:t>
            </w:r>
          </w:p>
        </w:tc>
      </w:tr>
      <w:tr w:rsidR="00015500" w:rsidRPr="003101A0" w14:paraId="044F212E"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6436EF3D"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i/>
                <w:iCs/>
                <w:sz w:val="20"/>
                <w:szCs w:val="20"/>
                <w:lang w:val="en-US"/>
              </w:rPr>
            </w:pPr>
            <w:r w:rsidRPr="003101A0">
              <w:rPr>
                <w:rFonts w:ascii="Times New Roman" w:hAnsi="Times New Roman" w:cs="Times New Roman"/>
                <w:i/>
                <w:iCs/>
                <w:sz w:val="20"/>
                <w:szCs w:val="20"/>
                <w:lang w:val="en-US"/>
              </w:rPr>
              <w:t>Lambda</w:t>
            </w:r>
          </w:p>
        </w:tc>
        <w:tc>
          <w:tcPr>
            <w:tcW w:w="942" w:type="pct"/>
            <w:tcBorders>
              <w:top w:val="nil"/>
              <w:left w:val="nil"/>
              <w:bottom w:val="nil"/>
              <w:right w:val="nil"/>
            </w:tcBorders>
            <w:shd w:val="clear" w:color="auto" w:fill="auto"/>
          </w:tcPr>
          <w:p w14:paraId="4B34C567" w14:textId="6675B2B6"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B26F9B">
              <w:rPr>
                <w:rFonts w:ascii="Times New Roman" w:hAnsi="Times New Roman" w:cs="Times New Roman"/>
                <w:sz w:val="20"/>
                <w:szCs w:val="20"/>
                <w:lang w:val="en-US"/>
              </w:rPr>
              <w:t>-</w:t>
            </w:r>
            <w:r>
              <w:rPr>
                <w:rFonts w:ascii="Times New Roman" w:hAnsi="Times New Roman" w:cs="Times New Roman"/>
                <w:sz w:val="20"/>
                <w:szCs w:val="20"/>
                <w:lang w:val="en-US"/>
              </w:rPr>
              <w:t>0</w:t>
            </w:r>
            <w:r w:rsidRPr="00B26F9B">
              <w:rPr>
                <w:rFonts w:ascii="Times New Roman" w:hAnsi="Times New Roman" w:cs="Times New Roman"/>
                <w:sz w:val="20"/>
                <w:szCs w:val="20"/>
                <w:lang w:val="en-US"/>
              </w:rPr>
              <w:t>.00</w:t>
            </w:r>
            <w:r>
              <w:rPr>
                <w:rFonts w:ascii="Times New Roman" w:hAnsi="Times New Roman" w:cs="Times New Roman"/>
                <w:sz w:val="20"/>
                <w:szCs w:val="20"/>
                <w:lang w:val="en-US"/>
              </w:rPr>
              <w:t>9</w:t>
            </w:r>
          </w:p>
        </w:tc>
        <w:tc>
          <w:tcPr>
            <w:tcW w:w="942" w:type="pct"/>
            <w:tcBorders>
              <w:top w:val="nil"/>
              <w:left w:val="nil"/>
              <w:bottom w:val="nil"/>
              <w:right w:val="nil"/>
            </w:tcBorders>
            <w:shd w:val="clear" w:color="auto" w:fill="auto"/>
          </w:tcPr>
          <w:p w14:paraId="2A84D233" w14:textId="4AFDCFAC"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Pr="004B1961">
              <w:rPr>
                <w:rFonts w:ascii="Times New Roman" w:hAnsi="Times New Roman" w:cs="Times New Roman"/>
                <w:sz w:val="20"/>
                <w:szCs w:val="20"/>
                <w:lang w:val="en-US"/>
              </w:rPr>
              <w:t>.004</w:t>
            </w:r>
            <w:r>
              <w:rPr>
                <w:rFonts w:ascii="Times New Roman" w:hAnsi="Times New Roman" w:cs="Times New Roman"/>
                <w:sz w:val="20"/>
                <w:szCs w:val="20"/>
                <w:lang w:val="en-US"/>
              </w:rPr>
              <w:t>***</w:t>
            </w:r>
          </w:p>
        </w:tc>
        <w:tc>
          <w:tcPr>
            <w:tcW w:w="942" w:type="pct"/>
            <w:tcBorders>
              <w:top w:val="nil"/>
              <w:left w:val="nil"/>
              <w:bottom w:val="nil"/>
              <w:right w:val="nil"/>
            </w:tcBorders>
            <w:shd w:val="clear" w:color="auto" w:fill="auto"/>
          </w:tcPr>
          <w:p w14:paraId="4C774B54" w14:textId="3E0F4AFB"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11E7">
              <w:rPr>
                <w:rFonts w:ascii="Times New Roman" w:hAnsi="Times New Roman" w:cs="Times New Roman"/>
                <w:sz w:val="20"/>
                <w:szCs w:val="20"/>
                <w:lang w:val="en-US"/>
              </w:rPr>
              <w:t>-</w:t>
            </w:r>
            <w:r>
              <w:rPr>
                <w:rFonts w:ascii="Times New Roman" w:hAnsi="Times New Roman" w:cs="Times New Roman"/>
                <w:sz w:val="20"/>
                <w:szCs w:val="20"/>
                <w:lang w:val="en-US"/>
              </w:rPr>
              <w:t>0</w:t>
            </w:r>
            <w:r w:rsidRPr="00C411E7">
              <w:rPr>
                <w:rFonts w:ascii="Times New Roman" w:hAnsi="Times New Roman" w:cs="Times New Roman"/>
                <w:sz w:val="20"/>
                <w:szCs w:val="20"/>
                <w:lang w:val="en-US"/>
              </w:rPr>
              <w:t>.006</w:t>
            </w:r>
          </w:p>
        </w:tc>
        <w:tc>
          <w:tcPr>
            <w:tcW w:w="943" w:type="pct"/>
            <w:gridSpan w:val="2"/>
            <w:tcBorders>
              <w:top w:val="nil"/>
              <w:left w:val="nil"/>
              <w:bottom w:val="nil"/>
              <w:right w:val="nil"/>
            </w:tcBorders>
            <w:shd w:val="clear" w:color="auto" w:fill="auto"/>
          </w:tcPr>
          <w:p w14:paraId="4480BC9A" w14:textId="25F839CF"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Pr="00CB46AE">
              <w:rPr>
                <w:rFonts w:ascii="Times New Roman" w:hAnsi="Times New Roman" w:cs="Times New Roman"/>
                <w:sz w:val="20"/>
                <w:szCs w:val="20"/>
                <w:lang w:val="en-US"/>
              </w:rPr>
              <w:t>.015</w:t>
            </w:r>
            <w:r>
              <w:rPr>
                <w:rFonts w:ascii="Times New Roman" w:hAnsi="Times New Roman" w:cs="Times New Roman"/>
                <w:sz w:val="20"/>
                <w:szCs w:val="20"/>
                <w:lang w:val="en-US"/>
              </w:rPr>
              <w:t>***</w:t>
            </w:r>
          </w:p>
        </w:tc>
      </w:tr>
      <w:tr w:rsidR="00015500" w:rsidRPr="003101A0" w14:paraId="4C10A8C9"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6AB89231"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sz w:val="20"/>
                <w:szCs w:val="20"/>
                <w:lang w:val="en-US"/>
              </w:rPr>
            </w:pPr>
          </w:p>
        </w:tc>
        <w:tc>
          <w:tcPr>
            <w:tcW w:w="942" w:type="pct"/>
            <w:tcBorders>
              <w:top w:val="nil"/>
              <w:left w:val="nil"/>
              <w:bottom w:val="nil"/>
              <w:right w:val="nil"/>
            </w:tcBorders>
            <w:shd w:val="clear" w:color="auto" w:fill="auto"/>
          </w:tcPr>
          <w:p w14:paraId="198D8DBB" w14:textId="4033BDD0"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Pr="00B26F9B">
              <w:rPr>
                <w:rFonts w:ascii="Times New Roman" w:hAnsi="Times New Roman" w:cs="Times New Roman"/>
                <w:sz w:val="20"/>
                <w:szCs w:val="20"/>
                <w:lang w:val="en-US"/>
              </w:rPr>
              <w:t>-0.63</w:t>
            </w:r>
            <w:r>
              <w:rPr>
                <w:rFonts w:ascii="Times New Roman" w:hAnsi="Times New Roman" w:cs="Times New Roman"/>
                <w:sz w:val="20"/>
                <w:szCs w:val="20"/>
                <w:lang w:val="en-US"/>
              </w:rPr>
              <w:t>)</w:t>
            </w:r>
          </w:p>
        </w:tc>
        <w:tc>
          <w:tcPr>
            <w:tcW w:w="942" w:type="pct"/>
            <w:tcBorders>
              <w:top w:val="nil"/>
              <w:left w:val="nil"/>
              <w:bottom w:val="nil"/>
              <w:right w:val="nil"/>
            </w:tcBorders>
            <w:shd w:val="clear" w:color="auto" w:fill="auto"/>
          </w:tcPr>
          <w:p w14:paraId="45CD4047" w14:textId="5FCCA126"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Pr="004B1961">
              <w:rPr>
                <w:rFonts w:ascii="Times New Roman" w:hAnsi="Times New Roman" w:cs="Times New Roman"/>
                <w:sz w:val="20"/>
                <w:szCs w:val="20"/>
                <w:lang w:val="en-US"/>
              </w:rPr>
              <w:t>2.70</w:t>
            </w:r>
            <w:r>
              <w:rPr>
                <w:rFonts w:ascii="Times New Roman" w:hAnsi="Times New Roman" w:cs="Times New Roman"/>
                <w:sz w:val="20"/>
                <w:szCs w:val="20"/>
                <w:lang w:val="en-US"/>
              </w:rPr>
              <w:t>)</w:t>
            </w:r>
          </w:p>
        </w:tc>
        <w:tc>
          <w:tcPr>
            <w:tcW w:w="942" w:type="pct"/>
            <w:tcBorders>
              <w:top w:val="nil"/>
              <w:left w:val="nil"/>
              <w:bottom w:val="nil"/>
              <w:right w:val="nil"/>
            </w:tcBorders>
            <w:shd w:val="clear" w:color="auto" w:fill="auto"/>
          </w:tcPr>
          <w:p w14:paraId="61BBA075" w14:textId="428A02BF"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Pr="00B26F9B">
              <w:rPr>
                <w:rFonts w:ascii="Times New Roman" w:hAnsi="Times New Roman" w:cs="Times New Roman"/>
                <w:sz w:val="20"/>
                <w:szCs w:val="20"/>
                <w:lang w:val="en-US"/>
              </w:rPr>
              <w:t>-0.6</w:t>
            </w:r>
            <w:r>
              <w:rPr>
                <w:rFonts w:ascii="Times New Roman" w:hAnsi="Times New Roman" w:cs="Times New Roman"/>
                <w:sz w:val="20"/>
                <w:szCs w:val="20"/>
                <w:lang w:val="en-US"/>
              </w:rPr>
              <w:t>0)</w:t>
            </w:r>
          </w:p>
        </w:tc>
        <w:tc>
          <w:tcPr>
            <w:tcW w:w="943" w:type="pct"/>
            <w:gridSpan w:val="2"/>
            <w:tcBorders>
              <w:top w:val="nil"/>
              <w:left w:val="nil"/>
              <w:bottom w:val="nil"/>
              <w:right w:val="nil"/>
            </w:tcBorders>
            <w:shd w:val="clear" w:color="auto" w:fill="auto"/>
          </w:tcPr>
          <w:p w14:paraId="6E27B038" w14:textId="78B92633"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Pr="00CB46AE">
              <w:rPr>
                <w:rFonts w:ascii="Times New Roman" w:hAnsi="Times New Roman" w:cs="Times New Roman"/>
                <w:sz w:val="20"/>
                <w:szCs w:val="20"/>
                <w:lang w:val="en-US"/>
              </w:rPr>
              <w:t>7.12</w:t>
            </w:r>
            <w:r>
              <w:rPr>
                <w:rFonts w:ascii="Times New Roman" w:hAnsi="Times New Roman" w:cs="Times New Roman"/>
                <w:sz w:val="20"/>
                <w:szCs w:val="20"/>
                <w:lang w:val="en-US"/>
              </w:rPr>
              <w:t>)</w:t>
            </w:r>
          </w:p>
        </w:tc>
      </w:tr>
      <w:tr w:rsidR="00015500" w:rsidRPr="003101A0" w14:paraId="486A6C97" w14:textId="77777777" w:rsidTr="00015500">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36281371"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sz w:val="20"/>
                <w:szCs w:val="20"/>
                <w:lang w:val="en-US"/>
              </w:rPr>
              <w:t>Intercept</w:t>
            </w:r>
          </w:p>
        </w:tc>
        <w:tc>
          <w:tcPr>
            <w:tcW w:w="942" w:type="pct"/>
            <w:tcBorders>
              <w:top w:val="nil"/>
              <w:left w:val="nil"/>
              <w:bottom w:val="nil"/>
              <w:right w:val="nil"/>
            </w:tcBorders>
            <w:shd w:val="clear" w:color="auto" w:fill="auto"/>
          </w:tcPr>
          <w:p w14:paraId="59754390" w14:textId="07BB6F0B"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0.146***</w:t>
            </w:r>
          </w:p>
        </w:tc>
        <w:tc>
          <w:tcPr>
            <w:tcW w:w="942" w:type="pct"/>
            <w:tcBorders>
              <w:top w:val="nil"/>
              <w:left w:val="nil"/>
              <w:bottom w:val="nil"/>
              <w:right w:val="nil"/>
            </w:tcBorders>
            <w:shd w:val="clear" w:color="auto" w:fill="auto"/>
          </w:tcPr>
          <w:p w14:paraId="3A7EA986" w14:textId="3C9FBD42"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0.449***</w:t>
            </w:r>
          </w:p>
        </w:tc>
        <w:tc>
          <w:tcPr>
            <w:tcW w:w="942" w:type="pct"/>
            <w:tcBorders>
              <w:top w:val="nil"/>
              <w:left w:val="nil"/>
              <w:bottom w:val="nil"/>
              <w:right w:val="nil"/>
            </w:tcBorders>
            <w:shd w:val="clear" w:color="auto" w:fill="auto"/>
          </w:tcPr>
          <w:p w14:paraId="4014DF12" w14:textId="572C52A9"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0.165***</w:t>
            </w:r>
          </w:p>
        </w:tc>
        <w:tc>
          <w:tcPr>
            <w:tcW w:w="943" w:type="pct"/>
            <w:gridSpan w:val="2"/>
            <w:tcBorders>
              <w:top w:val="nil"/>
              <w:left w:val="nil"/>
              <w:bottom w:val="nil"/>
              <w:right w:val="nil"/>
            </w:tcBorders>
            <w:shd w:val="clear" w:color="auto" w:fill="auto"/>
          </w:tcPr>
          <w:p w14:paraId="283A3A7F" w14:textId="5A6BF463"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0.465***</w:t>
            </w:r>
          </w:p>
        </w:tc>
      </w:tr>
      <w:tr w:rsidR="00015500" w:rsidRPr="003101A0" w14:paraId="4393AD36" w14:textId="77777777" w:rsidTr="00911088">
        <w:tblPrEx>
          <w:tblBorders>
            <w:bottom w:val="single" w:sz="6" w:space="0" w:color="auto"/>
          </w:tblBorders>
        </w:tblPrEx>
        <w:trPr>
          <w:trHeight w:val="227"/>
          <w:jc w:val="center"/>
        </w:trPr>
        <w:tc>
          <w:tcPr>
            <w:tcW w:w="1231" w:type="pct"/>
            <w:tcBorders>
              <w:top w:val="nil"/>
              <w:left w:val="nil"/>
              <w:bottom w:val="nil"/>
              <w:right w:val="nil"/>
            </w:tcBorders>
            <w:shd w:val="clear" w:color="auto" w:fill="auto"/>
          </w:tcPr>
          <w:p w14:paraId="61D35E2F"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i/>
                <w:sz w:val="20"/>
                <w:szCs w:val="20"/>
                <w:lang w:val="en-US"/>
              </w:rPr>
            </w:pPr>
          </w:p>
        </w:tc>
        <w:tc>
          <w:tcPr>
            <w:tcW w:w="942" w:type="pct"/>
            <w:tcBorders>
              <w:top w:val="nil"/>
              <w:left w:val="nil"/>
              <w:bottom w:val="nil"/>
              <w:right w:val="nil"/>
            </w:tcBorders>
            <w:shd w:val="clear" w:color="auto" w:fill="auto"/>
          </w:tcPr>
          <w:p w14:paraId="04D11E19" w14:textId="7A8B4F61"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(6.38)</w:t>
            </w:r>
          </w:p>
        </w:tc>
        <w:tc>
          <w:tcPr>
            <w:tcW w:w="942" w:type="pct"/>
            <w:tcBorders>
              <w:top w:val="nil"/>
              <w:left w:val="nil"/>
              <w:bottom w:val="nil"/>
              <w:right w:val="nil"/>
            </w:tcBorders>
            <w:shd w:val="clear" w:color="auto" w:fill="auto"/>
          </w:tcPr>
          <w:p w14:paraId="657C6392" w14:textId="4D713F23"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(24.56)</w:t>
            </w:r>
          </w:p>
        </w:tc>
        <w:tc>
          <w:tcPr>
            <w:tcW w:w="942" w:type="pct"/>
            <w:tcBorders>
              <w:top w:val="nil"/>
              <w:left w:val="nil"/>
              <w:bottom w:val="nil"/>
              <w:right w:val="nil"/>
            </w:tcBorders>
            <w:shd w:val="clear" w:color="auto" w:fill="auto"/>
          </w:tcPr>
          <w:p w14:paraId="7004C49C" w14:textId="0C900825"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(4.92)</w:t>
            </w:r>
          </w:p>
        </w:tc>
        <w:tc>
          <w:tcPr>
            <w:tcW w:w="943" w:type="pct"/>
            <w:gridSpan w:val="2"/>
            <w:tcBorders>
              <w:top w:val="nil"/>
              <w:left w:val="nil"/>
              <w:bottom w:val="nil"/>
              <w:right w:val="nil"/>
            </w:tcBorders>
            <w:shd w:val="clear" w:color="auto" w:fill="auto"/>
          </w:tcPr>
          <w:p w14:paraId="01F77615" w14:textId="0C953289"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2F3">
              <w:rPr>
                <w:rFonts w:ascii="Times New Roman" w:hAnsi="Times New Roman" w:cs="Times New Roman"/>
                <w:sz w:val="20"/>
                <w:szCs w:val="20"/>
              </w:rPr>
              <w:t>(21.83)</w:t>
            </w:r>
          </w:p>
        </w:tc>
      </w:tr>
      <w:tr w:rsidR="00015500" w:rsidRPr="003101A0" w14:paraId="1AECF125" w14:textId="77777777" w:rsidTr="00015500">
        <w:tblPrEx>
          <w:tblBorders>
            <w:bottom w:val="single" w:sz="6" w:space="0" w:color="auto"/>
          </w:tblBorders>
        </w:tblPrEx>
        <w:trPr>
          <w:trHeight w:val="227"/>
          <w:jc w:val="center"/>
        </w:trPr>
        <w:tc>
          <w:tcPr>
            <w:tcW w:w="1231" w:type="pct"/>
            <w:tcBorders>
              <w:top w:val="nil"/>
              <w:left w:val="nil"/>
              <w:bottom w:val="nil"/>
              <w:right w:val="nil"/>
            </w:tcBorders>
          </w:tcPr>
          <w:p w14:paraId="0E999F0E" w14:textId="52AF2F8B" w:rsidR="00015500" w:rsidRPr="003101A0" w:rsidRDefault="00015500" w:rsidP="00C8397D">
            <w:pPr>
              <w:widowControl w:val="0"/>
              <w:autoSpaceDE w:val="0"/>
              <w:autoSpaceDN w:val="0"/>
              <w:adjustRightInd w:val="0"/>
              <w:spacing w:after="0" w:line="240" w:lineRule="auto"/>
              <w:rPr>
                <w:rFonts w:ascii="Times New Roman" w:hAnsi="Times New Roman" w:cs="Times New Roman"/>
                <w:i/>
                <w:iCs/>
                <w:sz w:val="20"/>
                <w:szCs w:val="20"/>
                <w:lang w:val="en-US"/>
              </w:rPr>
            </w:pPr>
            <w:r w:rsidRPr="003101A0">
              <w:rPr>
                <w:rFonts w:ascii="Times New Roman" w:hAnsi="Times New Roman" w:cs="Times New Roman"/>
                <w:i/>
                <w:iCs/>
                <w:sz w:val="20"/>
                <w:szCs w:val="20"/>
                <w:lang w:val="en-US"/>
              </w:rPr>
              <w:t xml:space="preserve">Industry </w:t>
            </w:r>
            <w:r>
              <w:rPr>
                <w:rFonts w:ascii="Times New Roman" w:hAnsi="Times New Roman" w:cs="Times New Roman"/>
                <w:i/>
                <w:iCs/>
                <w:sz w:val="20"/>
                <w:szCs w:val="20"/>
                <w:lang w:val="en-US"/>
              </w:rPr>
              <w:t>FE</w:t>
            </w:r>
          </w:p>
        </w:tc>
        <w:tc>
          <w:tcPr>
            <w:tcW w:w="942" w:type="pct"/>
            <w:tcBorders>
              <w:top w:val="nil"/>
              <w:left w:val="nil"/>
              <w:bottom w:val="nil"/>
              <w:right w:val="nil"/>
            </w:tcBorders>
            <w:shd w:val="clear" w:color="auto" w:fill="auto"/>
          </w:tcPr>
          <w:p w14:paraId="670EFF26"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942" w:type="pct"/>
            <w:tcBorders>
              <w:top w:val="nil"/>
              <w:left w:val="nil"/>
              <w:bottom w:val="nil"/>
              <w:right w:val="nil"/>
            </w:tcBorders>
            <w:shd w:val="clear" w:color="auto" w:fill="auto"/>
          </w:tcPr>
          <w:p w14:paraId="36778BBE" w14:textId="594FE7C3"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942" w:type="pct"/>
            <w:tcBorders>
              <w:top w:val="nil"/>
              <w:left w:val="nil"/>
              <w:bottom w:val="nil"/>
              <w:right w:val="nil"/>
            </w:tcBorders>
            <w:shd w:val="clear" w:color="auto" w:fill="auto"/>
          </w:tcPr>
          <w:p w14:paraId="77D9B94B"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c>
          <w:tcPr>
            <w:tcW w:w="943" w:type="pct"/>
            <w:gridSpan w:val="2"/>
            <w:tcBorders>
              <w:top w:val="nil"/>
              <w:left w:val="nil"/>
              <w:bottom w:val="nil"/>
              <w:right w:val="nil"/>
            </w:tcBorders>
            <w:shd w:val="clear" w:color="auto" w:fill="auto"/>
          </w:tcPr>
          <w:p w14:paraId="2338BF95" w14:textId="6266BDB9"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Yes</w:t>
            </w:r>
          </w:p>
        </w:tc>
      </w:tr>
      <w:tr w:rsidR="00015500" w:rsidRPr="003101A0" w14:paraId="23CADD1F" w14:textId="77777777" w:rsidTr="00015500">
        <w:tblPrEx>
          <w:tblBorders>
            <w:bottom w:val="single" w:sz="6" w:space="0" w:color="auto"/>
          </w:tblBorders>
        </w:tblPrEx>
        <w:trPr>
          <w:trHeight w:val="227"/>
          <w:jc w:val="center"/>
        </w:trPr>
        <w:tc>
          <w:tcPr>
            <w:tcW w:w="1231" w:type="pct"/>
            <w:tcBorders>
              <w:top w:val="nil"/>
              <w:left w:val="nil"/>
              <w:bottom w:val="nil"/>
              <w:right w:val="nil"/>
            </w:tcBorders>
          </w:tcPr>
          <w:p w14:paraId="0EEBC660"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iCs/>
                <w:sz w:val="20"/>
                <w:szCs w:val="20"/>
                <w:lang w:val="en-US"/>
              </w:rPr>
              <w:t>N</w:t>
            </w:r>
          </w:p>
        </w:tc>
        <w:tc>
          <w:tcPr>
            <w:tcW w:w="942" w:type="pct"/>
            <w:tcBorders>
              <w:top w:val="nil"/>
              <w:left w:val="nil"/>
              <w:bottom w:val="nil"/>
              <w:right w:val="nil"/>
            </w:tcBorders>
            <w:shd w:val="clear" w:color="auto" w:fill="auto"/>
          </w:tcPr>
          <w:p w14:paraId="554190D8" w14:textId="77777777"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2,097</w:t>
            </w:r>
          </w:p>
        </w:tc>
        <w:tc>
          <w:tcPr>
            <w:tcW w:w="942" w:type="pct"/>
            <w:tcBorders>
              <w:top w:val="nil"/>
              <w:left w:val="nil"/>
              <w:bottom w:val="nil"/>
              <w:right w:val="nil"/>
            </w:tcBorders>
            <w:shd w:val="clear" w:color="auto" w:fill="auto"/>
          </w:tcPr>
          <w:p w14:paraId="0626119E" w14:textId="26E3C785"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9,011</w:t>
            </w:r>
          </w:p>
        </w:tc>
        <w:tc>
          <w:tcPr>
            <w:tcW w:w="942" w:type="pct"/>
            <w:tcBorders>
              <w:top w:val="nil"/>
              <w:left w:val="nil"/>
              <w:bottom w:val="nil"/>
              <w:right w:val="nil"/>
            </w:tcBorders>
            <w:shd w:val="clear" w:color="auto" w:fill="auto"/>
          </w:tcPr>
          <w:p w14:paraId="77A71500" w14:textId="7FB4E420"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2,097</w:t>
            </w:r>
          </w:p>
        </w:tc>
        <w:tc>
          <w:tcPr>
            <w:tcW w:w="943" w:type="pct"/>
            <w:gridSpan w:val="2"/>
            <w:tcBorders>
              <w:top w:val="nil"/>
              <w:left w:val="nil"/>
              <w:bottom w:val="nil"/>
              <w:right w:val="nil"/>
            </w:tcBorders>
            <w:shd w:val="clear" w:color="auto" w:fill="auto"/>
          </w:tcPr>
          <w:p w14:paraId="7D7E8B79" w14:textId="046D9F2E"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101A0">
              <w:rPr>
                <w:rFonts w:ascii="Times New Roman" w:hAnsi="Times New Roman" w:cs="Times New Roman"/>
                <w:sz w:val="20"/>
                <w:szCs w:val="20"/>
                <w:lang w:val="en-US"/>
              </w:rPr>
              <w:t>9,011</w:t>
            </w:r>
          </w:p>
        </w:tc>
      </w:tr>
      <w:tr w:rsidR="00015500" w:rsidRPr="003101A0" w14:paraId="26EDE4AA" w14:textId="77777777" w:rsidTr="00015500">
        <w:tblPrEx>
          <w:tblBorders>
            <w:bottom w:val="single" w:sz="6" w:space="0" w:color="auto"/>
          </w:tblBorders>
        </w:tblPrEx>
        <w:trPr>
          <w:trHeight w:val="227"/>
          <w:jc w:val="center"/>
        </w:trPr>
        <w:tc>
          <w:tcPr>
            <w:tcW w:w="1231" w:type="pct"/>
            <w:tcBorders>
              <w:top w:val="nil"/>
              <w:left w:val="nil"/>
              <w:bottom w:val="nil"/>
              <w:right w:val="nil"/>
            </w:tcBorders>
          </w:tcPr>
          <w:p w14:paraId="3891B06D"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sz w:val="20"/>
                <w:szCs w:val="20"/>
                <w:lang w:val="en-US"/>
              </w:rPr>
              <w:t>Adj.</w:t>
            </w:r>
            <w:r w:rsidRPr="003101A0">
              <w:rPr>
                <w:rFonts w:ascii="Times New Roman" w:hAnsi="Times New Roman" w:cs="Times New Roman"/>
                <w:i/>
                <w:iCs/>
                <w:sz w:val="20"/>
                <w:szCs w:val="20"/>
                <w:lang w:val="en-US"/>
              </w:rPr>
              <w:t>R</w:t>
            </w:r>
            <w:r w:rsidRPr="003101A0">
              <w:rPr>
                <w:rFonts w:ascii="Times New Roman" w:hAnsi="Times New Roman" w:cs="Times New Roman"/>
                <w:sz w:val="20"/>
                <w:szCs w:val="20"/>
                <w:vertAlign w:val="superscript"/>
                <w:lang w:val="en-US"/>
              </w:rPr>
              <w:t>2</w:t>
            </w:r>
            <w:r w:rsidRPr="003101A0">
              <w:rPr>
                <w:rFonts w:ascii="Times New Roman" w:hAnsi="Times New Roman" w:cs="Times New Roman"/>
                <w:sz w:val="20"/>
                <w:szCs w:val="20"/>
                <w:lang w:val="en-US"/>
              </w:rPr>
              <w:t xml:space="preserve">/Pseudo </w:t>
            </w:r>
            <w:r w:rsidRPr="003101A0">
              <w:rPr>
                <w:rFonts w:ascii="Times New Roman" w:hAnsi="Times New Roman" w:cs="Times New Roman"/>
                <w:i/>
                <w:iCs/>
                <w:sz w:val="20"/>
                <w:szCs w:val="20"/>
                <w:lang w:val="en-US"/>
              </w:rPr>
              <w:t>R</w:t>
            </w:r>
            <w:r w:rsidRPr="003101A0">
              <w:rPr>
                <w:rFonts w:ascii="Times New Roman" w:hAnsi="Times New Roman" w:cs="Times New Roman"/>
                <w:sz w:val="20"/>
                <w:szCs w:val="20"/>
                <w:vertAlign w:val="superscript"/>
                <w:lang w:val="en-US"/>
              </w:rPr>
              <w:t>2</w:t>
            </w:r>
          </w:p>
        </w:tc>
        <w:tc>
          <w:tcPr>
            <w:tcW w:w="942" w:type="pct"/>
            <w:tcBorders>
              <w:top w:val="nil"/>
              <w:left w:val="nil"/>
              <w:bottom w:val="nil"/>
              <w:right w:val="nil"/>
            </w:tcBorders>
            <w:shd w:val="clear" w:color="auto" w:fill="auto"/>
          </w:tcPr>
          <w:p w14:paraId="1A4BE2AC" w14:textId="7EAD7EE3"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6019D">
              <w:rPr>
                <w:rFonts w:ascii="Times New Roman" w:hAnsi="Times New Roman" w:cs="Times New Roman"/>
                <w:sz w:val="20"/>
                <w:szCs w:val="20"/>
                <w:lang w:val="en-US"/>
              </w:rPr>
              <w:t>0.23</w:t>
            </w:r>
            <w:r>
              <w:rPr>
                <w:rFonts w:ascii="Times New Roman" w:hAnsi="Times New Roman" w:cs="Times New Roman"/>
                <w:sz w:val="20"/>
                <w:szCs w:val="20"/>
                <w:lang w:val="en-US"/>
              </w:rPr>
              <w:t>6</w:t>
            </w:r>
          </w:p>
        </w:tc>
        <w:tc>
          <w:tcPr>
            <w:tcW w:w="942" w:type="pct"/>
            <w:tcBorders>
              <w:top w:val="nil"/>
              <w:left w:val="nil"/>
              <w:bottom w:val="nil"/>
              <w:right w:val="nil"/>
            </w:tcBorders>
            <w:shd w:val="clear" w:color="auto" w:fill="auto"/>
          </w:tcPr>
          <w:p w14:paraId="482A07FC" w14:textId="22477FE8"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6019D">
              <w:rPr>
                <w:rFonts w:ascii="Times New Roman" w:hAnsi="Times New Roman" w:cs="Times New Roman"/>
                <w:sz w:val="20"/>
                <w:szCs w:val="20"/>
                <w:lang w:val="en-US"/>
              </w:rPr>
              <w:t>0.3</w:t>
            </w:r>
            <w:r>
              <w:rPr>
                <w:rFonts w:ascii="Times New Roman" w:hAnsi="Times New Roman" w:cs="Times New Roman"/>
                <w:sz w:val="20"/>
                <w:szCs w:val="20"/>
                <w:lang w:val="en-US"/>
              </w:rPr>
              <w:t>10</w:t>
            </w:r>
          </w:p>
        </w:tc>
        <w:tc>
          <w:tcPr>
            <w:tcW w:w="942" w:type="pct"/>
            <w:tcBorders>
              <w:top w:val="nil"/>
              <w:left w:val="nil"/>
              <w:bottom w:val="nil"/>
              <w:right w:val="nil"/>
            </w:tcBorders>
            <w:shd w:val="clear" w:color="auto" w:fill="auto"/>
          </w:tcPr>
          <w:p w14:paraId="39B8A84F" w14:textId="6768B9FF"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411A4">
              <w:rPr>
                <w:rFonts w:ascii="Times New Roman" w:hAnsi="Times New Roman" w:cs="Times New Roman"/>
                <w:sz w:val="20"/>
                <w:szCs w:val="20"/>
                <w:lang w:val="en-US"/>
              </w:rPr>
              <w:t>0.2</w:t>
            </w:r>
            <w:r>
              <w:rPr>
                <w:rFonts w:ascii="Times New Roman" w:hAnsi="Times New Roman" w:cs="Times New Roman"/>
                <w:sz w:val="20"/>
                <w:szCs w:val="20"/>
                <w:lang w:val="en-US"/>
              </w:rPr>
              <w:t>60</w:t>
            </w:r>
          </w:p>
        </w:tc>
        <w:tc>
          <w:tcPr>
            <w:tcW w:w="943" w:type="pct"/>
            <w:gridSpan w:val="2"/>
            <w:tcBorders>
              <w:top w:val="nil"/>
              <w:left w:val="nil"/>
              <w:bottom w:val="nil"/>
              <w:right w:val="nil"/>
            </w:tcBorders>
            <w:shd w:val="clear" w:color="auto" w:fill="auto"/>
          </w:tcPr>
          <w:p w14:paraId="0F8125D7" w14:textId="37B460AD"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9571D">
              <w:rPr>
                <w:rFonts w:ascii="Times New Roman" w:hAnsi="Times New Roman" w:cs="Times New Roman"/>
                <w:sz w:val="20"/>
                <w:szCs w:val="20"/>
                <w:lang w:val="en-US"/>
              </w:rPr>
              <w:t>0.326</w:t>
            </w:r>
          </w:p>
        </w:tc>
      </w:tr>
      <w:tr w:rsidR="00015500" w:rsidRPr="003101A0" w14:paraId="6F9D1EBA" w14:textId="77777777" w:rsidTr="00702790">
        <w:tblPrEx>
          <w:tblBorders>
            <w:bottom w:val="single" w:sz="6" w:space="0" w:color="auto"/>
          </w:tblBorders>
        </w:tblPrEx>
        <w:trPr>
          <w:trHeight w:val="227"/>
          <w:jc w:val="center"/>
        </w:trPr>
        <w:tc>
          <w:tcPr>
            <w:tcW w:w="1231" w:type="pct"/>
            <w:tcBorders>
              <w:top w:val="nil"/>
              <w:left w:val="nil"/>
              <w:bottom w:val="single" w:sz="4" w:space="0" w:color="auto"/>
              <w:right w:val="nil"/>
            </w:tcBorders>
          </w:tcPr>
          <w:p w14:paraId="0F6A1325" w14:textId="77777777" w:rsidR="00015500" w:rsidRPr="003101A0" w:rsidRDefault="00015500" w:rsidP="00C8397D">
            <w:pPr>
              <w:widowControl w:val="0"/>
              <w:autoSpaceDE w:val="0"/>
              <w:autoSpaceDN w:val="0"/>
              <w:adjustRightInd w:val="0"/>
              <w:spacing w:after="0" w:line="240" w:lineRule="auto"/>
              <w:rPr>
                <w:rFonts w:ascii="Times New Roman" w:hAnsi="Times New Roman" w:cs="Times New Roman"/>
                <w:sz w:val="20"/>
                <w:szCs w:val="20"/>
                <w:lang w:val="en-US"/>
              </w:rPr>
            </w:pPr>
            <w:r w:rsidRPr="003101A0">
              <w:rPr>
                <w:rFonts w:ascii="Times New Roman" w:hAnsi="Times New Roman" w:cs="Times New Roman"/>
                <w:i/>
                <w:iCs/>
                <w:sz w:val="20"/>
                <w:szCs w:val="20"/>
                <w:lang w:val="en-US"/>
              </w:rPr>
              <w:t>F</w:t>
            </w:r>
            <w:r w:rsidRPr="003101A0">
              <w:rPr>
                <w:rFonts w:ascii="Times New Roman" w:hAnsi="Times New Roman" w:cs="Times New Roman"/>
                <w:sz w:val="20"/>
                <w:szCs w:val="20"/>
                <w:lang w:val="en-US"/>
              </w:rPr>
              <w:t>-statistic</w:t>
            </w:r>
          </w:p>
        </w:tc>
        <w:tc>
          <w:tcPr>
            <w:tcW w:w="942" w:type="pct"/>
            <w:tcBorders>
              <w:top w:val="nil"/>
              <w:left w:val="nil"/>
              <w:bottom w:val="single" w:sz="4" w:space="0" w:color="auto"/>
              <w:right w:val="nil"/>
            </w:tcBorders>
            <w:shd w:val="clear" w:color="auto" w:fill="auto"/>
          </w:tcPr>
          <w:p w14:paraId="55FD8741" w14:textId="2A40B19B"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6019D">
              <w:rPr>
                <w:rFonts w:ascii="Times New Roman" w:hAnsi="Times New Roman" w:cs="Times New Roman"/>
                <w:sz w:val="20"/>
                <w:szCs w:val="20"/>
                <w:lang w:val="en-US"/>
              </w:rPr>
              <w:t>24.95</w:t>
            </w:r>
            <w:r w:rsidR="003A1D2F">
              <w:rPr>
                <w:rFonts w:ascii="Times New Roman" w:hAnsi="Times New Roman" w:cs="Times New Roman"/>
                <w:sz w:val="20"/>
                <w:szCs w:val="20"/>
                <w:lang w:val="en-US"/>
              </w:rPr>
              <w:t>***</w:t>
            </w:r>
          </w:p>
        </w:tc>
        <w:tc>
          <w:tcPr>
            <w:tcW w:w="942" w:type="pct"/>
            <w:tcBorders>
              <w:top w:val="nil"/>
              <w:left w:val="nil"/>
              <w:bottom w:val="single" w:sz="4" w:space="0" w:color="auto"/>
              <w:right w:val="nil"/>
            </w:tcBorders>
            <w:shd w:val="clear" w:color="auto" w:fill="auto"/>
            <w:vAlign w:val="center"/>
          </w:tcPr>
          <w:p w14:paraId="736D2D8F" w14:textId="0D2F1DF7" w:rsidR="00015500" w:rsidRPr="003101A0" w:rsidRDefault="00015500" w:rsidP="00A878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96019D">
              <w:rPr>
                <w:rFonts w:ascii="Times New Roman" w:hAnsi="Times New Roman" w:cs="Times New Roman"/>
                <w:sz w:val="20"/>
                <w:szCs w:val="20"/>
                <w:lang w:val="en-US"/>
              </w:rPr>
              <w:t>150.68</w:t>
            </w:r>
            <w:r w:rsidR="003A1D2F">
              <w:rPr>
                <w:rFonts w:ascii="Times New Roman" w:hAnsi="Times New Roman" w:cs="Times New Roman"/>
                <w:sz w:val="20"/>
                <w:szCs w:val="20"/>
                <w:lang w:val="en-US"/>
              </w:rPr>
              <w:t>***</w:t>
            </w:r>
          </w:p>
        </w:tc>
        <w:tc>
          <w:tcPr>
            <w:tcW w:w="942" w:type="pct"/>
            <w:tcBorders>
              <w:top w:val="nil"/>
              <w:left w:val="nil"/>
              <w:bottom w:val="single" w:sz="4" w:space="0" w:color="auto"/>
              <w:right w:val="nil"/>
            </w:tcBorders>
            <w:shd w:val="clear" w:color="auto" w:fill="auto"/>
          </w:tcPr>
          <w:p w14:paraId="1416AA61" w14:textId="7193DDAC"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F411A4">
              <w:rPr>
                <w:rFonts w:ascii="Times New Roman" w:hAnsi="Times New Roman" w:cs="Times New Roman"/>
                <w:sz w:val="20"/>
                <w:szCs w:val="20"/>
                <w:lang w:val="en-US"/>
              </w:rPr>
              <w:t>21.95</w:t>
            </w:r>
            <w:r w:rsidR="003A1D2F">
              <w:rPr>
                <w:rFonts w:ascii="Times New Roman" w:hAnsi="Times New Roman" w:cs="Times New Roman"/>
                <w:sz w:val="20"/>
                <w:szCs w:val="20"/>
                <w:lang w:val="en-US"/>
              </w:rPr>
              <w:t>***</w:t>
            </w:r>
          </w:p>
        </w:tc>
        <w:tc>
          <w:tcPr>
            <w:tcW w:w="943" w:type="pct"/>
            <w:gridSpan w:val="2"/>
            <w:tcBorders>
              <w:top w:val="nil"/>
              <w:left w:val="nil"/>
              <w:bottom w:val="single" w:sz="4" w:space="0" w:color="auto"/>
              <w:right w:val="nil"/>
            </w:tcBorders>
            <w:shd w:val="clear" w:color="auto" w:fill="auto"/>
          </w:tcPr>
          <w:p w14:paraId="3E79ACDA" w14:textId="6E02AC0E" w:rsidR="00015500" w:rsidRPr="003101A0" w:rsidRDefault="00015500" w:rsidP="00C8397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9571D">
              <w:rPr>
                <w:rFonts w:ascii="Times New Roman" w:hAnsi="Times New Roman" w:cs="Times New Roman"/>
                <w:sz w:val="20"/>
                <w:szCs w:val="20"/>
                <w:lang w:val="en-US"/>
              </w:rPr>
              <w:t>133.21</w:t>
            </w:r>
            <w:r w:rsidR="003A1D2F">
              <w:rPr>
                <w:rFonts w:ascii="Times New Roman" w:hAnsi="Times New Roman" w:cs="Times New Roman"/>
                <w:sz w:val="20"/>
                <w:szCs w:val="20"/>
                <w:lang w:val="en-US"/>
              </w:rPr>
              <w:t>***</w:t>
            </w:r>
          </w:p>
        </w:tc>
      </w:tr>
      <w:tr w:rsidR="00C8397D" w:rsidRPr="003101A0" w14:paraId="1747F332" w14:textId="77777777" w:rsidTr="00015500">
        <w:tblPrEx>
          <w:tblBorders>
            <w:bottom w:val="single" w:sz="6" w:space="0" w:color="auto"/>
          </w:tblBorders>
        </w:tblPrEx>
        <w:trPr>
          <w:gridAfter w:val="1"/>
          <w:wAfter w:w="3" w:type="pct"/>
          <w:trHeight w:val="227"/>
          <w:jc w:val="center"/>
        </w:trPr>
        <w:tc>
          <w:tcPr>
            <w:tcW w:w="4997" w:type="pct"/>
            <w:gridSpan w:val="5"/>
            <w:tcBorders>
              <w:top w:val="single" w:sz="4" w:space="0" w:color="auto"/>
              <w:left w:val="nil"/>
              <w:bottom w:val="nil"/>
              <w:right w:val="nil"/>
            </w:tcBorders>
            <w:shd w:val="clear" w:color="auto" w:fill="auto"/>
          </w:tcPr>
          <w:p w14:paraId="58502FD5" w14:textId="6532B35C" w:rsidR="00C8397D" w:rsidRPr="003101A0" w:rsidRDefault="00C8397D" w:rsidP="00C8397D">
            <w:pPr>
              <w:widowControl w:val="0"/>
              <w:autoSpaceDE w:val="0"/>
              <w:autoSpaceDN w:val="0"/>
              <w:adjustRightInd w:val="0"/>
              <w:spacing w:after="0" w:line="240" w:lineRule="auto"/>
              <w:jc w:val="both"/>
              <w:rPr>
                <w:rFonts w:ascii="Times New Roman" w:hAnsi="Times New Roman" w:cs="Times New Roman"/>
                <w:sz w:val="20"/>
                <w:szCs w:val="20"/>
                <w:lang w:val="en-US"/>
              </w:rPr>
            </w:pPr>
            <w:r w:rsidRPr="003101A0">
              <w:rPr>
                <w:rFonts w:ascii="Times New Roman" w:hAnsi="Times New Roman" w:cs="Times New Roman"/>
                <w:sz w:val="18"/>
                <w:szCs w:val="18"/>
                <w:lang w:val="en-US"/>
              </w:rPr>
              <w:lastRenderedPageBreak/>
              <w:t xml:space="preserve">Notes: </w:t>
            </w:r>
            <w:r w:rsidRPr="003101A0">
              <w:rPr>
                <w:rFonts w:ascii="Times New Roman" w:hAnsi="Times New Roman" w:cs="Times New Roman"/>
                <w:color w:val="000000"/>
                <w:sz w:val="18"/>
                <w:szCs w:val="18"/>
                <w:lang w:val="en-US"/>
              </w:rPr>
              <w:t xml:space="preserve">This table presents </w:t>
            </w:r>
            <w:r w:rsidR="00677DDF">
              <w:rPr>
                <w:rFonts w:ascii="Times New Roman" w:hAnsi="Times New Roman" w:cs="Times New Roman"/>
                <w:color w:val="000000"/>
                <w:sz w:val="18"/>
                <w:szCs w:val="18"/>
                <w:lang w:val="en-US"/>
              </w:rPr>
              <w:t xml:space="preserve">separate regression </w:t>
            </w:r>
            <w:r w:rsidRPr="003101A0">
              <w:rPr>
                <w:rFonts w:ascii="Times New Roman" w:hAnsi="Times New Roman" w:cs="Times New Roman"/>
                <w:color w:val="000000"/>
                <w:sz w:val="18"/>
                <w:szCs w:val="18"/>
                <w:lang w:val="en-US"/>
              </w:rPr>
              <w:t xml:space="preserve">results of the </w:t>
            </w:r>
            <w:r>
              <w:rPr>
                <w:rFonts w:ascii="Times New Roman" w:hAnsi="Times New Roman" w:cs="Times New Roman"/>
                <w:color w:val="000000"/>
                <w:sz w:val="18"/>
                <w:szCs w:val="18"/>
                <w:lang w:val="en-US"/>
              </w:rPr>
              <w:t>determinants of covenant intensity for convertibles and straight bonds, respectively</w:t>
            </w:r>
            <w:r w:rsidRPr="003101A0">
              <w:rPr>
                <w:rFonts w:ascii="Times New Roman" w:hAnsi="Times New Roman" w:cs="Times New Roman"/>
                <w:sz w:val="18"/>
                <w:szCs w:val="18"/>
                <w:lang w:val="en-US"/>
              </w:rPr>
              <w:t xml:space="preserve">. </w:t>
            </w:r>
            <w:r w:rsidR="00677DDF">
              <w:rPr>
                <w:rFonts w:ascii="Times New Roman" w:hAnsi="Times New Roman" w:cs="Times New Roman"/>
                <w:sz w:val="18"/>
                <w:szCs w:val="18"/>
                <w:lang w:val="en-US"/>
              </w:rPr>
              <w:t xml:space="preserve">We estimate a </w:t>
            </w:r>
            <w:r w:rsidR="00676DEA">
              <w:rPr>
                <w:rFonts w:ascii="Times New Roman" w:hAnsi="Times New Roman" w:cs="Times New Roman"/>
                <w:sz w:val="18"/>
                <w:szCs w:val="18"/>
                <w:lang w:val="en-US"/>
              </w:rPr>
              <w:t>switching regression</w:t>
            </w:r>
            <w:r w:rsidR="00677DDF">
              <w:rPr>
                <w:rFonts w:ascii="Times New Roman" w:hAnsi="Times New Roman" w:cs="Times New Roman"/>
                <w:sz w:val="18"/>
                <w:szCs w:val="18"/>
                <w:lang w:val="en-US"/>
              </w:rPr>
              <w:t xml:space="preserve"> model</w:t>
            </w:r>
            <w:r w:rsidR="00676DEA">
              <w:rPr>
                <w:rFonts w:ascii="Times New Roman" w:hAnsi="Times New Roman" w:cs="Times New Roman"/>
                <w:sz w:val="18"/>
                <w:szCs w:val="18"/>
                <w:lang w:val="en-US"/>
              </w:rPr>
              <w:t xml:space="preserve"> </w:t>
            </w:r>
            <w:r w:rsidR="00677DDF">
              <w:rPr>
                <w:rFonts w:ascii="Times New Roman" w:hAnsi="Times New Roman" w:cs="Times New Roman"/>
                <w:sz w:val="18"/>
                <w:szCs w:val="18"/>
                <w:lang w:val="en-US"/>
              </w:rPr>
              <w:t xml:space="preserve">using simultaneous maximum likelihood, and only report the second-stage results. For brevity, the first-stage results modelling the choice between convertibles and straight bonds are not reported. </w:t>
            </w:r>
            <w:r w:rsidRPr="004B60E7">
              <w:rPr>
                <w:rFonts w:ascii="Times New Roman" w:hAnsi="Times New Roman" w:cs="Times New Roman"/>
                <w:i/>
                <w:iCs/>
                <w:color w:val="000000"/>
                <w:sz w:val="18"/>
                <w:szCs w:val="18"/>
                <w:lang w:val="en-US"/>
              </w:rPr>
              <w:t>z</w:t>
            </w:r>
            <w:r w:rsidRPr="004B60E7">
              <w:rPr>
                <w:rFonts w:ascii="Times New Roman" w:hAnsi="Times New Roman" w:cs="Times New Roman"/>
                <w:sz w:val="18"/>
                <w:szCs w:val="18"/>
                <w:lang w:val="en-US"/>
              </w:rPr>
              <w:t xml:space="preserve">-statistics reported in parentheses are based on standard errors corrected for heteroskedasticity, and clustered by firm. Continuous variables are </w:t>
            </w:r>
            <w:proofErr w:type="spellStart"/>
            <w:r w:rsidRPr="004B60E7">
              <w:rPr>
                <w:rFonts w:ascii="Times New Roman" w:hAnsi="Times New Roman" w:cs="Times New Roman"/>
                <w:sz w:val="18"/>
                <w:szCs w:val="18"/>
                <w:lang w:val="en-US"/>
              </w:rPr>
              <w:t>winsorized</w:t>
            </w:r>
            <w:proofErr w:type="spellEnd"/>
            <w:r w:rsidRPr="004B60E7">
              <w:rPr>
                <w:rFonts w:ascii="Times New Roman" w:hAnsi="Times New Roman" w:cs="Times New Roman"/>
                <w:sz w:val="18"/>
                <w:szCs w:val="18"/>
                <w:lang w:val="en-US"/>
              </w:rPr>
              <w:t xml:space="preserve"> at the 1</w:t>
            </w:r>
            <w:r w:rsidRPr="004B60E7">
              <w:rPr>
                <w:rFonts w:ascii="Times New Roman" w:hAnsi="Times New Roman" w:cs="Times New Roman"/>
                <w:sz w:val="18"/>
                <w:szCs w:val="18"/>
                <w:vertAlign w:val="superscript"/>
                <w:lang w:val="en-US"/>
              </w:rPr>
              <w:t>st</w:t>
            </w:r>
            <w:r w:rsidRPr="004B60E7">
              <w:rPr>
                <w:rFonts w:ascii="Times New Roman" w:hAnsi="Times New Roman" w:cs="Times New Roman"/>
                <w:sz w:val="18"/>
                <w:szCs w:val="18"/>
                <w:lang w:val="en-US"/>
              </w:rPr>
              <w:t xml:space="preserve"> and 99</w:t>
            </w:r>
            <w:r w:rsidRPr="004B60E7">
              <w:rPr>
                <w:rFonts w:ascii="Times New Roman" w:hAnsi="Times New Roman" w:cs="Times New Roman"/>
                <w:sz w:val="18"/>
                <w:szCs w:val="18"/>
                <w:vertAlign w:val="superscript"/>
                <w:lang w:val="en-US"/>
              </w:rPr>
              <w:t>th</w:t>
            </w:r>
            <w:r w:rsidRPr="004B60E7">
              <w:rPr>
                <w:rFonts w:ascii="Times New Roman" w:hAnsi="Times New Roman" w:cs="Times New Roman"/>
                <w:sz w:val="18"/>
                <w:szCs w:val="18"/>
                <w:lang w:val="en-US"/>
              </w:rPr>
              <w:t xml:space="preserve"> percentiles. </w:t>
            </w:r>
            <w:r>
              <w:rPr>
                <w:rFonts w:ascii="Times New Roman" w:hAnsi="Times New Roman" w:cs="Times New Roman"/>
                <w:sz w:val="18"/>
                <w:szCs w:val="20"/>
                <w:lang w:val="en-US"/>
              </w:rPr>
              <w:t>The Appendix presents the d</w:t>
            </w:r>
            <w:r w:rsidRPr="003101A0">
              <w:rPr>
                <w:rFonts w:ascii="Times New Roman" w:hAnsi="Times New Roman" w:cs="Times New Roman"/>
                <w:sz w:val="18"/>
                <w:szCs w:val="20"/>
                <w:lang w:val="en-US"/>
              </w:rPr>
              <w:t xml:space="preserve">efinition and </w:t>
            </w:r>
            <w:r>
              <w:rPr>
                <w:rFonts w:ascii="Times New Roman" w:hAnsi="Times New Roman" w:cs="Times New Roman"/>
                <w:sz w:val="18"/>
                <w:szCs w:val="20"/>
                <w:lang w:val="en-US"/>
              </w:rPr>
              <w:t>sources</w:t>
            </w:r>
            <w:r w:rsidRPr="003101A0">
              <w:rPr>
                <w:rFonts w:ascii="Times New Roman" w:hAnsi="Times New Roman" w:cs="Times New Roman"/>
                <w:sz w:val="18"/>
                <w:szCs w:val="20"/>
                <w:lang w:val="en-US"/>
              </w:rPr>
              <w:t xml:space="preserve"> of</w:t>
            </w:r>
            <w:r>
              <w:rPr>
                <w:rFonts w:ascii="Times New Roman" w:hAnsi="Times New Roman" w:cs="Times New Roman"/>
                <w:sz w:val="18"/>
                <w:szCs w:val="20"/>
                <w:lang w:val="en-US"/>
              </w:rPr>
              <w:t xml:space="preserve"> all</w:t>
            </w:r>
            <w:r w:rsidRPr="003101A0">
              <w:rPr>
                <w:rFonts w:ascii="Times New Roman" w:hAnsi="Times New Roman" w:cs="Times New Roman"/>
                <w:sz w:val="18"/>
                <w:szCs w:val="20"/>
                <w:lang w:val="en-US"/>
              </w:rPr>
              <w:t xml:space="preserve"> variables. </w:t>
            </w:r>
            <w:r w:rsidRPr="003101A0">
              <w:rPr>
                <w:rFonts w:ascii="Times New Roman" w:hAnsi="Times New Roman" w:cs="Times New Roman"/>
                <w:i/>
                <w:iCs/>
                <w:sz w:val="18"/>
                <w:szCs w:val="20"/>
                <w:lang w:val="en-US"/>
              </w:rPr>
              <w:t>N</w:t>
            </w:r>
            <w:r w:rsidRPr="003101A0">
              <w:rPr>
                <w:rFonts w:ascii="Times New Roman" w:hAnsi="Times New Roman" w:cs="Times New Roman"/>
                <w:sz w:val="18"/>
                <w:szCs w:val="20"/>
                <w:lang w:val="en-US"/>
              </w:rPr>
              <w:t xml:space="preserve"> denotes </w:t>
            </w:r>
            <w:r>
              <w:rPr>
                <w:rFonts w:ascii="Times New Roman" w:hAnsi="Times New Roman" w:cs="Times New Roman"/>
                <w:sz w:val="18"/>
                <w:szCs w:val="20"/>
                <w:lang w:val="en-US"/>
              </w:rPr>
              <w:t xml:space="preserve">the </w:t>
            </w:r>
            <w:r w:rsidRPr="003101A0">
              <w:rPr>
                <w:rFonts w:ascii="Times New Roman" w:hAnsi="Times New Roman" w:cs="Times New Roman"/>
                <w:sz w:val="18"/>
                <w:szCs w:val="20"/>
                <w:lang w:val="en-US"/>
              </w:rPr>
              <w:t xml:space="preserve">number of </w:t>
            </w:r>
            <w:r w:rsidRPr="00CD063E">
              <w:rPr>
                <w:rFonts w:ascii="Times New Roman" w:hAnsi="Times New Roman" w:cs="Times New Roman"/>
                <w:sz w:val="18"/>
                <w:szCs w:val="20"/>
                <w:lang w:val="en-US"/>
              </w:rPr>
              <w:t xml:space="preserve">observations. </w:t>
            </w:r>
            <w:r w:rsidRPr="00CD063E">
              <w:rPr>
                <w:rFonts w:ascii="Times New Roman" w:hAnsi="Times New Roman" w:cs="Times New Roman"/>
                <w:sz w:val="18"/>
                <w:szCs w:val="18"/>
                <w:lang w:val="en-US"/>
              </w:rPr>
              <w:t>*, **, ***</w:t>
            </w:r>
            <w:r>
              <w:rPr>
                <w:rFonts w:ascii="Times New Roman" w:hAnsi="Times New Roman" w:cs="Times New Roman"/>
                <w:sz w:val="18"/>
                <w:szCs w:val="18"/>
                <w:lang w:val="en-US"/>
              </w:rPr>
              <w:t xml:space="preserve"> </w:t>
            </w:r>
            <w:r w:rsidRPr="003101A0">
              <w:rPr>
                <w:rFonts w:ascii="Times New Roman" w:hAnsi="Times New Roman" w:cs="Times New Roman"/>
                <w:sz w:val="18"/>
                <w:szCs w:val="20"/>
                <w:lang w:val="en-US"/>
              </w:rPr>
              <w:t>denote significance at the 10</w:t>
            </w:r>
            <w:r>
              <w:rPr>
                <w:rFonts w:ascii="Times New Roman" w:hAnsi="Times New Roman" w:cs="Times New Roman"/>
                <w:sz w:val="18"/>
                <w:szCs w:val="20"/>
                <w:lang w:val="en-US"/>
              </w:rPr>
              <w:t>%</w:t>
            </w:r>
            <w:r w:rsidRPr="003101A0">
              <w:rPr>
                <w:rFonts w:ascii="Times New Roman" w:hAnsi="Times New Roman" w:cs="Times New Roman"/>
                <w:sz w:val="18"/>
                <w:szCs w:val="20"/>
                <w:lang w:val="en-US"/>
              </w:rPr>
              <w:t>, 5</w:t>
            </w:r>
            <w:r>
              <w:rPr>
                <w:rFonts w:ascii="Times New Roman" w:hAnsi="Times New Roman" w:cs="Times New Roman"/>
                <w:sz w:val="18"/>
                <w:szCs w:val="20"/>
                <w:lang w:val="en-US"/>
              </w:rPr>
              <w:t>%</w:t>
            </w:r>
            <w:r w:rsidRPr="003101A0">
              <w:rPr>
                <w:rFonts w:ascii="Times New Roman" w:hAnsi="Times New Roman" w:cs="Times New Roman"/>
                <w:sz w:val="18"/>
                <w:szCs w:val="20"/>
                <w:lang w:val="en-US"/>
              </w:rPr>
              <w:t>, and 1</w:t>
            </w:r>
            <w:r>
              <w:rPr>
                <w:rFonts w:ascii="Times New Roman" w:hAnsi="Times New Roman" w:cs="Times New Roman"/>
                <w:sz w:val="18"/>
                <w:szCs w:val="20"/>
                <w:lang w:val="en-US"/>
              </w:rPr>
              <w:t>%</w:t>
            </w:r>
            <w:r w:rsidRPr="003101A0">
              <w:rPr>
                <w:rFonts w:ascii="Times New Roman" w:hAnsi="Times New Roman" w:cs="Times New Roman"/>
                <w:sz w:val="18"/>
                <w:szCs w:val="20"/>
                <w:lang w:val="en-US"/>
              </w:rPr>
              <w:t xml:space="preserve"> levels, respectively</w:t>
            </w:r>
            <w:r>
              <w:rPr>
                <w:rFonts w:ascii="Times New Roman" w:hAnsi="Times New Roman" w:cs="Times New Roman"/>
                <w:sz w:val="18"/>
                <w:szCs w:val="20"/>
                <w:lang w:val="en-US"/>
              </w:rPr>
              <w:t xml:space="preserve"> </w:t>
            </w:r>
            <w:r w:rsidRPr="003101A0">
              <w:rPr>
                <w:rFonts w:ascii="Times New Roman" w:hAnsi="Times New Roman" w:cs="Times New Roman"/>
                <w:sz w:val="18"/>
                <w:szCs w:val="20"/>
                <w:lang w:val="en-US"/>
              </w:rPr>
              <w:t>(two-tailed)</w:t>
            </w:r>
            <w:r>
              <w:rPr>
                <w:rFonts w:ascii="Times New Roman" w:hAnsi="Times New Roman" w:cs="Times New Roman"/>
                <w:sz w:val="18"/>
                <w:szCs w:val="20"/>
                <w:lang w:val="en-US"/>
              </w:rPr>
              <w:t>.</w:t>
            </w:r>
          </w:p>
        </w:tc>
      </w:tr>
    </w:tbl>
    <w:p w14:paraId="2B8CE978" w14:textId="77777777" w:rsidR="00155AF1" w:rsidRDefault="00155AF1" w:rsidP="00155AF1">
      <w:pPr>
        <w:spacing w:after="0" w:line="240" w:lineRule="auto"/>
        <w:jc w:val="both"/>
        <w:rPr>
          <w:rFonts w:ascii="Times New Roman" w:hAnsi="Times New Roman" w:cs="Times New Roman"/>
          <w:b/>
          <w:sz w:val="20"/>
          <w:szCs w:val="20"/>
          <w:lang w:eastAsia="zh-CN"/>
        </w:rPr>
      </w:pPr>
    </w:p>
    <w:p w14:paraId="26AC2F72" w14:textId="01C4754B" w:rsidR="002118F2" w:rsidRPr="005F6233" w:rsidRDefault="002118F2" w:rsidP="00155AF1">
      <w:pPr>
        <w:spacing w:after="0" w:line="240" w:lineRule="auto"/>
        <w:jc w:val="both"/>
        <w:rPr>
          <w:rFonts w:ascii="Times New Roman" w:hAnsi="Times New Roman" w:cs="Times New Roman"/>
          <w:b/>
          <w:sz w:val="20"/>
          <w:szCs w:val="20"/>
          <w:lang w:eastAsia="zh-CN"/>
        </w:rPr>
        <w:sectPr w:rsidR="002118F2" w:rsidRPr="005F6233" w:rsidSect="00235130">
          <w:pgSz w:w="11900" w:h="16840"/>
          <w:pgMar w:top="1440" w:right="1440" w:bottom="1440" w:left="1440" w:header="708" w:footer="708" w:gutter="0"/>
          <w:cols w:space="708"/>
          <w:docGrid w:linePitch="360"/>
        </w:sectPr>
      </w:pPr>
    </w:p>
    <w:tbl>
      <w:tblPr>
        <w:tblW w:w="5344" w:type="pct"/>
        <w:tblInd w:w="-284" w:type="dxa"/>
        <w:tblLayout w:type="fixed"/>
        <w:tblCellMar>
          <w:left w:w="75" w:type="dxa"/>
          <w:right w:w="75" w:type="dxa"/>
        </w:tblCellMar>
        <w:tblLook w:val="0000" w:firstRow="0" w:lastRow="0" w:firstColumn="0" w:lastColumn="0" w:noHBand="0" w:noVBand="0"/>
      </w:tblPr>
      <w:tblGrid>
        <w:gridCol w:w="2553"/>
        <w:gridCol w:w="1841"/>
        <w:gridCol w:w="1749"/>
        <w:gridCol w:w="1749"/>
        <w:gridCol w:w="1749"/>
      </w:tblGrid>
      <w:tr w:rsidR="00F02FF9" w:rsidRPr="00A6252E" w14:paraId="4BF8C020" w14:textId="77777777" w:rsidTr="000D5878">
        <w:trPr>
          <w:trHeight w:val="20"/>
        </w:trPr>
        <w:tc>
          <w:tcPr>
            <w:tcW w:w="5000" w:type="pct"/>
            <w:gridSpan w:val="5"/>
            <w:tcBorders>
              <w:left w:val="nil"/>
              <w:bottom w:val="single" w:sz="4" w:space="0" w:color="auto"/>
              <w:right w:val="nil"/>
            </w:tcBorders>
          </w:tcPr>
          <w:p w14:paraId="698489E6" w14:textId="18F74A73" w:rsidR="00F02FF9" w:rsidRPr="00A6252E" w:rsidRDefault="00F02FF9" w:rsidP="000D5878">
            <w:pPr>
              <w:spacing w:after="0" w:line="240" w:lineRule="auto"/>
              <w:jc w:val="both"/>
              <w:rPr>
                <w:rFonts w:ascii="Times New Roman" w:hAnsi="Times New Roman" w:cs="Times New Roman"/>
                <w:b/>
                <w:bCs/>
                <w:sz w:val="20"/>
                <w:szCs w:val="20"/>
              </w:rPr>
            </w:pPr>
            <w:r w:rsidRPr="00A6252E">
              <w:rPr>
                <w:rFonts w:ascii="Times New Roman" w:hAnsi="Times New Roman" w:cs="Times New Roman"/>
                <w:b/>
                <w:bCs/>
                <w:sz w:val="20"/>
                <w:szCs w:val="20"/>
                <w:lang w:val="en-US"/>
              </w:rPr>
              <w:lastRenderedPageBreak/>
              <w:t xml:space="preserve">Table </w:t>
            </w:r>
            <w:r w:rsidR="000D5878">
              <w:rPr>
                <w:rFonts w:ascii="Times New Roman" w:hAnsi="Times New Roman" w:cs="Times New Roman"/>
                <w:b/>
                <w:bCs/>
                <w:sz w:val="20"/>
                <w:szCs w:val="20"/>
                <w:lang w:val="en-US"/>
              </w:rPr>
              <w:t>8</w:t>
            </w:r>
            <w:r w:rsidR="009A3EB3">
              <w:rPr>
                <w:rFonts w:ascii="Times New Roman" w:hAnsi="Times New Roman" w:cs="Times New Roman"/>
                <w:b/>
                <w:bCs/>
                <w:sz w:val="20"/>
                <w:szCs w:val="20"/>
                <w:lang w:val="en-US"/>
              </w:rPr>
              <w:t>:</w:t>
            </w:r>
            <w:r w:rsidRPr="00A6252E">
              <w:rPr>
                <w:rFonts w:ascii="Times New Roman" w:hAnsi="Times New Roman" w:cs="Times New Roman"/>
                <w:b/>
                <w:bCs/>
                <w:sz w:val="20"/>
                <w:szCs w:val="20"/>
                <w:lang w:val="en-US"/>
              </w:rPr>
              <w:t xml:space="preserve"> </w:t>
            </w:r>
            <w:r w:rsidR="0056574D">
              <w:rPr>
                <w:rFonts w:ascii="Times New Roman" w:hAnsi="Times New Roman" w:cs="Times New Roman"/>
                <w:b/>
                <w:bCs/>
                <w:sz w:val="20"/>
                <w:szCs w:val="20"/>
                <w:lang w:val="en-US"/>
              </w:rPr>
              <w:t>Convertible bond (straight bond) issuers that have previously issued</w:t>
            </w:r>
            <w:r w:rsidR="00295D11">
              <w:rPr>
                <w:rFonts w:ascii="Times New Roman" w:hAnsi="Times New Roman" w:cs="Times New Roman"/>
                <w:b/>
                <w:bCs/>
                <w:sz w:val="20"/>
                <w:szCs w:val="20"/>
                <w:lang w:val="en-US"/>
              </w:rPr>
              <w:t xml:space="preserve"> a</w:t>
            </w:r>
            <w:r w:rsidR="0056574D">
              <w:rPr>
                <w:rFonts w:ascii="Times New Roman" w:hAnsi="Times New Roman" w:cs="Times New Roman"/>
                <w:b/>
                <w:bCs/>
                <w:sz w:val="20"/>
                <w:szCs w:val="20"/>
                <w:lang w:val="en-US"/>
              </w:rPr>
              <w:t xml:space="preserve"> straight bond (convertible bond)</w:t>
            </w:r>
          </w:p>
          <w:p w14:paraId="3873C27B" w14:textId="7E240FA6" w:rsidR="00F02FF9" w:rsidRPr="00A6252E" w:rsidRDefault="00F02FF9" w:rsidP="000D5878">
            <w:pPr>
              <w:widowControl w:val="0"/>
              <w:autoSpaceDE w:val="0"/>
              <w:autoSpaceDN w:val="0"/>
              <w:adjustRightInd w:val="0"/>
              <w:spacing w:after="0" w:line="240" w:lineRule="auto"/>
              <w:jc w:val="both"/>
              <w:rPr>
                <w:rFonts w:ascii="Times New Roman" w:hAnsi="Times New Roman" w:cs="Times New Roman"/>
                <w:iCs/>
                <w:sz w:val="20"/>
                <w:szCs w:val="20"/>
                <w:lang w:val="en-US"/>
              </w:rPr>
            </w:pPr>
            <w:r w:rsidRPr="00A6252E">
              <w:rPr>
                <w:rFonts w:ascii="Times New Roman" w:hAnsi="Times New Roman" w:cs="Times New Roman"/>
                <w:iCs/>
                <w:sz w:val="20"/>
                <w:szCs w:val="20"/>
                <w:lang w:val="en-US"/>
              </w:rPr>
              <w:t xml:space="preserve">Panel A: </w:t>
            </w:r>
            <w:r w:rsidRPr="00A6252E">
              <w:rPr>
                <w:rFonts w:ascii="Times New Roman" w:hAnsi="Times New Roman" w:cs="Times New Roman"/>
                <w:sz w:val="20"/>
                <w:szCs w:val="20"/>
                <w:lang w:val="en-US"/>
              </w:rPr>
              <w:t>Association between convertibility and covenant intensity</w:t>
            </w:r>
          </w:p>
        </w:tc>
      </w:tr>
      <w:tr w:rsidR="00D62709" w:rsidRPr="00A6252E" w14:paraId="203B0866" w14:textId="77777777" w:rsidTr="00D62709">
        <w:trPr>
          <w:trHeight w:val="20"/>
        </w:trPr>
        <w:tc>
          <w:tcPr>
            <w:tcW w:w="1324" w:type="pct"/>
            <w:tcBorders>
              <w:top w:val="single" w:sz="4" w:space="0" w:color="auto"/>
              <w:left w:val="nil"/>
              <w:right w:val="nil"/>
            </w:tcBorders>
          </w:tcPr>
          <w:p w14:paraId="0E7F7486" w14:textId="77777777" w:rsidR="00D62709" w:rsidRPr="00A6252E" w:rsidRDefault="00D62709" w:rsidP="00F02FF9">
            <w:pPr>
              <w:widowControl w:val="0"/>
              <w:autoSpaceDE w:val="0"/>
              <w:autoSpaceDN w:val="0"/>
              <w:adjustRightInd w:val="0"/>
              <w:spacing w:after="0" w:line="240" w:lineRule="auto"/>
              <w:rPr>
                <w:rFonts w:ascii="Times New Roman" w:hAnsi="Times New Roman" w:cs="Times New Roman"/>
                <w:sz w:val="20"/>
                <w:szCs w:val="20"/>
                <w:lang w:val="en-US"/>
              </w:rPr>
            </w:pPr>
          </w:p>
        </w:tc>
        <w:tc>
          <w:tcPr>
            <w:tcW w:w="3676" w:type="pct"/>
            <w:gridSpan w:val="4"/>
            <w:tcBorders>
              <w:top w:val="single" w:sz="4" w:space="0" w:color="auto"/>
              <w:left w:val="nil"/>
              <w:bottom w:val="single" w:sz="4" w:space="0" w:color="auto"/>
              <w:right w:val="nil"/>
            </w:tcBorders>
          </w:tcPr>
          <w:p w14:paraId="5BCE9BC7" w14:textId="77777777" w:rsidR="00D62709" w:rsidRPr="00A6252E" w:rsidRDefault="00D62709" w:rsidP="00F02FF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iCs/>
                <w:sz w:val="20"/>
                <w:szCs w:val="20"/>
                <w:lang w:val="en-US"/>
              </w:rPr>
              <w:t>Dependent variable =</w:t>
            </w:r>
            <w:r w:rsidRPr="00A6252E">
              <w:rPr>
                <w:rFonts w:ascii="Times New Roman" w:hAnsi="Times New Roman" w:cs="Times New Roman"/>
                <w:i/>
                <w:sz w:val="20"/>
                <w:szCs w:val="20"/>
                <w:lang w:val="en-US"/>
              </w:rPr>
              <w:t xml:space="preserve"> CI index</w:t>
            </w:r>
          </w:p>
        </w:tc>
      </w:tr>
      <w:tr w:rsidR="00D62709" w:rsidRPr="00A6252E" w14:paraId="61D38913" w14:textId="77777777" w:rsidTr="00D62709">
        <w:trPr>
          <w:trHeight w:val="20"/>
        </w:trPr>
        <w:tc>
          <w:tcPr>
            <w:tcW w:w="1324" w:type="pct"/>
            <w:tcBorders>
              <w:left w:val="nil"/>
              <w:right w:val="nil"/>
            </w:tcBorders>
          </w:tcPr>
          <w:p w14:paraId="3176C94F" w14:textId="77777777" w:rsidR="00D62709" w:rsidRPr="00A6252E" w:rsidRDefault="00D62709" w:rsidP="00F02FF9">
            <w:pPr>
              <w:widowControl w:val="0"/>
              <w:autoSpaceDE w:val="0"/>
              <w:autoSpaceDN w:val="0"/>
              <w:adjustRightInd w:val="0"/>
              <w:spacing w:after="0" w:line="240" w:lineRule="auto"/>
              <w:rPr>
                <w:rFonts w:ascii="Times New Roman" w:hAnsi="Times New Roman" w:cs="Times New Roman"/>
                <w:sz w:val="20"/>
                <w:szCs w:val="20"/>
                <w:lang w:val="en-US"/>
              </w:rPr>
            </w:pPr>
          </w:p>
        </w:tc>
        <w:tc>
          <w:tcPr>
            <w:tcW w:w="955" w:type="pct"/>
            <w:tcBorders>
              <w:top w:val="single" w:sz="4" w:space="0" w:color="auto"/>
              <w:left w:val="nil"/>
              <w:right w:val="nil"/>
            </w:tcBorders>
          </w:tcPr>
          <w:p w14:paraId="19DD0399" w14:textId="7F0E3836" w:rsidR="00D62709" w:rsidRPr="00A6252E" w:rsidRDefault="00D62709" w:rsidP="00F02FF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rPr>
              <w:t>Prior issue</w:t>
            </w:r>
            <w:r>
              <w:rPr>
                <w:rFonts w:ascii="Times New Roman" w:hAnsi="Times New Roman" w:cs="Times New Roman"/>
                <w:sz w:val="20"/>
                <w:szCs w:val="20"/>
              </w:rPr>
              <w:t xml:space="preserve"> of other bond type</w:t>
            </w:r>
            <w:r w:rsidRPr="00A6252E">
              <w:rPr>
                <w:rFonts w:ascii="Times New Roman" w:hAnsi="Times New Roman" w:cs="Times New Roman"/>
                <w:sz w:val="20"/>
                <w:szCs w:val="20"/>
              </w:rPr>
              <w:t xml:space="preserve"> </w:t>
            </w:r>
            <w:r>
              <w:rPr>
                <w:rFonts w:ascii="Times New Roman" w:hAnsi="Times New Roman" w:cs="Times New Roman"/>
                <w:sz w:val="20"/>
                <w:szCs w:val="20"/>
              </w:rPr>
              <w:t>since start of sample period</w:t>
            </w:r>
          </w:p>
        </w:tc>
        <w:tc>
          <w:tcPr>
            <w:tcW w:w="907" w:type="pct"/>
            <w:tcBorders>
              <w:top w:val="single" w:sz="4" w:space="0" w:color="auto"/>
              <w:left w:val="nil"/>
              <w:right w:val="nil"/>
            </w:tcBorders>
          </w:tcPr>
          <w:p w14:paraId="76FB50C0" w14:textId="4C043BC7" w:rsidR="00D62709" w:rsidRPr="00A6252E" w:rsidRDefault="00D62709" w:rsidP="00F02FF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 xml:space="preserve">Prior issue </w:t>
            </w:r>
            <w:r>
              <w:rPr>
                <w:rFonts w:ascii="Times New Roman" w:hAnsi="Times New Roman" w:cs="Times New Roman"/>
                <w:sz w:val="20"/>
                <w:szCs w:val="20"/>
                <w:lang w:val="en-US"/>
              </w:rPr>
              <w:t xml:space="preserve">of other bond type </w:t>
            </w:r>
            <w:r w:rsidRPr="00A6252E">
              <w:rPr>
                <w:rFonts w:ascii="Times New Roman" w:hAnsi="Times New Roman" w:cs="Times New Roman"/>
                <w:sz w:val="20"/>
                <w:szCs w:val="20"/>
                <w:lang w:val="en-US"/>
              </w:rPr>
              <w:t xml:space="preserve">within </w:t>
            </w:r>
            <w:r>
              <w:rPr>
                <w:rFonts w:ascii="Times New Roman" w:hAnsi="Times New Roman" w:cs="Times New Roman"/>
                <w:sz w:val="20"/>
                <w:szCs w:val="20"/>
                <w:lang w:val="en-US"/>
              </w:rPr>
              <w:t>five</w:t>
            </w:r>
            <w:r w:rsidRPr="00A6252E">
              <w:rPr>
                <w:rFonts w:ascii="Times New Roman" w:hAnsi="Times New Roman" w:cs="Times New Roman"/>
                <w:sz w:val="20"/>
                <w:szCs w:val="20"/>
                <w:lang w:val="en-US"/>
              </w:rPr>
              <w:t xml:space="preserve"> years</w:t>
            </w:r>
          </w:p>
        </w:tc>
        <w:tc>
          <w:tcPr>
            <w:tcW w:w="907" w:type="pct"/>
            <w:tcBorders>
              <w:top w:val="single" w:sz="4" w:space="0" w:color="auto"/>
              <w:left w:val="nil"/>
              <w:right w:val="nil"/>
            </w:tcBorders>
          </w:tcPr>
          <w:p w14:paraId="4E1E1014" w14:textId="32DA9ECE" w:rsidR="00D62709" w:rsidRPr="00A6252E" w:rsidRDefault="00D62709" w:rsidP="00F02FF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 xml:space="preserve">Prior issue </w:t>
            </w:r>
            <w:r>
              <w:rPr>
                <w:rFonts w:ascii="Times New Roman" w:hAnsi="Times New Roman" w:cs="Times New Roman"/>
                <w:sz w:val="20"/>
                <w:szCs w:val="20"/>
                <w:lang w:val="en-US"/>
              </w:rPr>
              <w:t xml:space="preserve">of other bond type </w:t>
            </w:r>
            <w:r w:rsidRPr="00A6252E">
              <w:rPr>
                <w:rFonts w:ascii="Times New Roman" w:hAnsi="Times New Roman" w:cs="Times New Roman"/>
                <w:sz w:val="20"/>
                <w:szCs w:val="20"/>
                <w:lang w:val="en-US"/>
              </w:rPr>
              <w:t xml:space="preserve">within </w:t>
            </w:r>
            <w:r>
              <w:rPr>
                <w:rFonts w:ascii="Times New Roman" w:hAnsi="Times New Roman" w:cs="Times New Roman"/>
                <w:sz w:val="20"/>
                <w:szCs w:val="20"/>
                <w:lang w:val="en-US"/>
              </w:rPr>
              <w:t>three</w:t>
            </w:r>
            <w:r w:rsidRPr="00A6252E">
              <w:rPr>
                <w:rFonts w:ascii="Times New Roman" w:hAnsi="Times New Roman" w:cs="Times New Roman"/>
                <w:sz w:val="20"/>
                <w:szCs w:val="20"/>
                <w:lang w:val="en-US"/>
              </w:rPr>
              <w:t xml:space="preserve"> years</w:t>
            </w:r>
          </w:p>
        </w:tc>
        <w:tc>
          <w:tcPr>
            <w:tcW w:w="907" w:type="pct"/>
            <w:tcBorders>
              <w:top w:val="single" w:sz="4" w:space="0" w:color="auto"/>
              <w:left w:val="nil"/>
              <w:right w:val="nil"/>
            </w:tcBorders>
          </w:tcPr>
          <w:p w14:paraId="43D1C731" w14:textId="2FE1B2DF" w:rsidR="00D62709" w:rsidRPr="00A6252E" w:rsidRDefault="00D62709" w:rsidP="00F02FF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 xml:space="preserve">Prior issue </w:t>
            </w:r>
            <w:r>
              <w:rPr>
                <w:rFonts w:ascii="Times New Roman" w:hAnsi="Times New Roman" w:cs="Times New Roman"/>
                <w:sz w:val="20"/>
                <w:szCs w:val="20"/>
                <w:lang w:val="en-US"/>
              </w:rPr>
              <w:t xml:space="preserve">of other bond type </w:t>
            </w:r>
            <w:r w:rsidRPr="00A6252E">
              <w:rPr>
                <w:rFonts w:ascii="Times New Roman" w:hAnsi="Times New Roman" w:cs="Times New Roman"/>
                <w:sz w:val="20"/>
                <w:szCs w:val="20"/>
                <w:lang w:val="en-US"/>
              </w:rPr>
              <w:t>with</w:t>
            </w:r>
            <w:r>
              <w:rPr>
                <w:rFonts w:ascii="Times New Roman" w:hAnsi="Times New Roman" w:cs="Times New Roman"/>
                <w:sz w:val="20"/>
                <w:szCs w:val="20"/>
                <w:lang w:val="en-US"/>
              </w:rPr>
              <w:t>in</w:t>
            </w:r>
            <w:r w:rsidRPr="00A6252E">
              <w:rPr>
                <w:rFonts w:ascii="Times New Roman" w:hAnsi="Times New Roman" w:cs="Times New Roman"/>
                <w:sz w:val="20"/>
                <w:szCs w:val="20"/>
                <w:lang w:val="en-US"/>
              </w:rPr>
              <w:t xml:space="preserve"> </w:t>
            </w:r>
            <w:r>
              <w:rPr>
                <w:rFonts w:ascii="Times New Roman" w:hAnsi="Times New Roman" w:cs="Times New Roman"/>
                <w:sz w:val="20"/>
                <w:szCs w:val="20"/>
                <w:lang w:val="en-US"/>
              </w:rPr>
              <w:t>one</w:t>
            </w:r>
            <w:r w:rsidRPr="00A6252E">
              <w:rPr>
                <w:rFonts w:ascii="Times New Roman" w:hAnsi="Times New Roman" w:cs="Times New Roman"/>
                <w:sz w:val="20"/>
                <w:szCs w:val="20"/>
                <w:lang w:val="en-US"/>
              </w:rPr>
              <w:t xml:space="preserve"> year</w:t>
            </w:r>
          </w:p>
        </w:tc>
      </w:tr>
      <w:tr w:rsidR="00D62709" w:rsidRPr="00A6252E" w14:paraId="042132C6" w14:textId="77777777" w:rsidTr="00D62709">
        <w:trPr>
          <w:trHeight w:val="20"/>
        </w:trPr>
        <w:tc>
          <w:tcPr>
            <w:tcW w:w="1324" w:type="pct"/>
            <w:tcBorders>
              <w:left w:val="nil"/>
              <w:bottom w:val="single" w:sz="6" w:space="0" w:color="auto"/>
              <w:right w:val="nil"/>
            </w:tcBorders>
          </w:tcPr>
          <w:p w14:paraId="02D7AB59" w14:textId="77777777" w:rsidR="00D62709" w:rsidRPr="00A6252E" w:rsidRDefault="00D62709" w:rsidP="00F02FF9">
            <w:pPr>
              <w:widowControl w:val="0"/>
              <w:autoSpaceDE w:val="0"/>
              <w:autoSpaceDN w:val="0"/>
              <w:adjustRightInd w:val="0"/>
              <w:spacing w:after="0" w:line="240" w:lineRule="auto"/>
              <w:rPr>
                <w:rFonts w:ascii="Times New Roman" w:hAnsi="Times New Roman" w:cs="Times New Roman"/>
                <w:sz w:val="20"/>
                <w:szCs w:val="20"/>
                <w:lang w:val="en-US"/>
              </w:rPr>
            </w:pPr>
          </w:p>
        </w:tc>
        <w:tc>
          <w:tcPr>
            <w:tcW w:w="955" w:type="pct"/>
            <w:tcBorders>
              <w:left w:val="nil"/>
              <w:bottom w:val="single" w:sz="6" w:space="0" w:color="auto"/>
              <w:right w:val="nil"/>
            </w:tcBorders>
          </w:tcPr>
          <w:p w14:paraId="5B6B94C9" w14:textId="77777777" w:rsidR="00D62709" w:rsidRPr="00A6252E" w:rsidRDefault="00D62709" w:rsidP="00F02FF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(1)</w:t>
            </w:r>
          </w:p>
        </w:tc>
        <w:tc>
          <w:tcPr>
            <w:tcW w:w="907" w:type="pct"/>
            <w:tcBorders>
              <w:left w:val="nil"/>
              <w:bottom w:val="single" w:sz="6" w:space="0" w:color="auto"/>
              <w:right w:val="nil"/>
            </w:tcBorders>
          </w:tcPr>
          <w:p w14:paraId="449883E9" w14:textId="505F3D2A" w:rsidR="00D62709" w:rsidRPr="00A6252E" w:rsidRDefault="00D62709" w:rsidP="00F02FF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w:t>
            </w:r>
            <w:r>
              <w:rPr>
                <w:rFonts w:ascii="Times New Roman" w:hAnsi="Times New Roman" w:cs="Times New Roman"/>
                <w:sz w:val="20"/>
                <w:szCs w:val="20"/>
                <w:lang w:val="en-US"/>
              </w:rPr>
              <w:t>2</w:t>
            </w:r>
            <w:r w:rsidRPr="00A6252E">
              <w:rPr>
                <w:rFonts w:ascii="Times New Roman" w:hAnsi="Times New Roman" w:cs="Times New Roman"/>
                <w:sz w:val="20"/>
                <w:szCs w:val="20"/>
                <w:lang w:val="en-US"/>
              </w:rPr>
              <w:t>)</w:t>
            </w:r>
          </w:p>
        </w:tc>
        <w:tc>
          <w:tcPr>
            <w:tcW w:w="907" w:type="pct"/>
            <w:tcBorders>
              <w:left w:val="nil"/>
              <w:bottom w:val="single" w:sz="6" w:space="0" w:color="auto"/>
              <w:right w:val="nil"/>
            </w:tcBorders>
          </w:tcPr>
          <w:p w14:paraId="10ED53AB" w14:textId="4C8B3B59" w:rsidR="00D62709" w:rsidRPr="00A6252E" w:rsidRDefault="00D62709" w:rsidP="00F02FF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w:t>
            </w:r>
            <w:r>
              <w:rPr>
                <w:rFonts w:ascii="Times New Roman" w:hAnsi="Times New Roman" w:cs="Times New Roman"/>
                <w:sz w:val="20"/>
                <w:szCs w:val="20"/>
                <w:lang w:val="en-US"/>
              </w:rPr>
              <w:t>3</w:t>
            </w:r>
            <w:r w:rsidRPr="00A6252E">
              <w:rPr>
                <w:rFonts w:ascii="Times New Roman" w:hAnsi="Times New Roman" w:cs="Times New Roman"/>
                <w:sz w:val="20"/>
                <w:szCs w:val="20"/>
                <w:lang w:val="en-US"/>
              </w:rPr>
              <w:t>)</w:t>
            </w:r>
          </w:p>
        </w:tc>
        <w:tc>
          <w:tcPr>
            <w:tcW w:w="907" w:type="pct"/>
            <w:tcBorders>
              <w:left w:val="nil"/>
              <w:bottom w:val="single" w:sz="6" w:space="0" w:color="auto"/>
              <w:right w:val="nil"/>
            </w:tcBorders>
          </w:tcPr>
          <w:p w14:paraId="7CC23739" w14:textId="6536ADD4" w:rsidR="00D62709" w:rsidRPr="00A6252E" w:rsidRDefault="00D62709" w:rsidP="00F02FF9">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w:t>
            </w:r>
            <w:r>
              <w:rPr>
                <w:rFonts w:ascii="Times New Roman" w:hAnsi="Times New Roman" w:cs="Times New Roman"/>
                <w:sz w:val="20"/>
                <w:szCs w:val="20"/>
                <w:lang w:val="en-US"/>
              </w:rPr>
              <w:t>4</w:t>
            </w:r>
            <w:r w:rsidRPr="00A6252E">
              <w:rPr>
                <w:rFonts w:ascii="Times New Roman" w:hAnsi="Times New Roman" w:cs="Times New Roman"/>
                <w:sz w:val="20"/>
                <w:szCs w:val="20"/>
                <w:lang w:val="en-US"/>
              </w:rPr>
              <w:t>)</w:t>
            </w:r>
          </w:p>
        </w:tc>
      </w:tr>
      <w:tr w:rsidR="009A028B" w:rsidRPr="00A6252E" w14:paraId="5403172E" w14:textId="77777777" w:rsidTr="00D62709">
        <w:trPr>
          <w:trHeight w:val="20"/>
        </w:trPr>
        <w:tc>
          <w:tcPr>
            <w:tcW w:w="1324" w:type="pct"/>
            <w:tcBorders>
              <w:top w:val="nil"/>
              <w:left w:val="nil"/>
              <w:bottom w:val="nil"/>
              <w:right w:val="nil"/>
            </w:tcBorders>
          </w:tcPr>
          <w:p w14:paraId="08A5800B" w14:textId="77777777" w:rsidR="009A028B" w:rsidRPr="00A6252E" w:rsidRDefault="009A028B" w:rsidP="009A028B">
            <w:pPr>
              <w:widowControl w:val="0"/>
              <w:autoSpaceDE w:val="0"/>
              <w:autoSpaceDN w:val="0"/>
              <w:adjustRightInd w:val="0"/>
              <w:spacing w:after="0" w:line="240" w:lineRule="auto"/>
              <w:rPr>
                <w:rFonts w:ascii="Times New Roman" w:hAnsi="Times New Roman" w:cs="Times New Roman"/>
                <w:sz w:val="20"/>
                <w:szCs w:val="20"/>
                <w:lang w:val="en-US"/>
              </w:rPr>
            </w:pPr>
            <w:r w:rsidRPr="00A6252E">
              <w:rPr>
                <w:rFonts w:ascii="Times New Roman" w:hAnsi="Times New Roman" w:cs="Times New Roman"/>
                <w:i/>
                <w:sz w:val="20"/>
                <w:szCs w:val="20"/>
                <w:lang w:val="en-US"/>
              </w:rPr>
              <w:t>Convertible</w:t>
            </w:r>
          </w:p>
        </w:tc>
        <w:tc>
          <w:tcPr>
            <w:tcW w:w="955" w:type="pct"/>
            <w:tcBorders>
              <w:top w:val="nil"/>
              <w:left w:val="nil"/>
              <w:bottom w:val="nil"/>
              <w:right w:val="nil"/>
            </w:tcBorders>
          </w:tcPr>
          <w:p w14:paraId="0A758333" w14:textId="09F5EEA0" w:rsidR="009A028B" w:rsidRPr="00A6252E" w:rsidRDefault="009A028B" w:rsidP="009A02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54274">
              <w:rPr>
                <w:rFonts w:ascii="Times New Roman" w:hAnsi="Times New Roman" w:cs="Times New Roman"/>
                <w:sz w:val="20"/>
                <w:szCs w:val="20"/>
              </w:rPr>
              <w:t>-0.192***</w:t>
            </w:r>
          </w:p>
        </w:tc>
        <w:tc>
          <w:tcPr>
            <w:tcW w:w="907" w:type="pct"/>
            <w:tcBorders>
              <w:top w:val="nil"/>
              <w:left w:val="nil"/>
              <w:bottom w:val="nil"/>
              <w:right w:val="nil"/>
            </w:tcBorders>
          </w:tcPr>
          <w:p w14:paraId="6245DEFB" w14:textId="2477BE35" w:rsidR="009A028B" w:rsidRPr="00A6252E" w:rsidRDefault="009A028B" w:rsidP="009A02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11750D">
              <w:rPr>
                <w:rFonts w:ascii="Times New Roman" w:hAnsi="Times New Roman" w:cs="Times New Roman"/>
                <w:sz w:val="20"/>
                <w:szCs w:val="20"/>
              </w:rPr>
              <w:t>-0.366***</w:t>
            </w:r>
          </w:p>
        </w:tc>
        <w:tc>
          <w:tcPr>
            <w:tcW w:w="907" w:type="pct"/>
            <w:tcBorders>
              <w:top w:val="nil"/>
              <w:left w:val="nil"/>
              <w:bottom w:val="nil"/>
              <w:right w:val="nil"/>
            </w:tcBorders>
          </w:tcPr>
          <w:p w14:paraId="01E1BA1B" w14:textId="09032B0B" w:rsidR="009A028B" w:rsidRPr="00A6252E" w:rsidRDefault="009A028B" w:rsidP="009A02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A16D9">
              <w:rPr>
                <w:rFonts w:ascii="Times New Roman" w:hAnsi="Times New Roman" w:cs="Times New Roman"/>
                <w:sz w:val="20"/>
                <w:szCs w:val="20"/>
              </w:rPr>
              <w:t>-0.413***</w:t>
            </w:r>
          </w:p>
        </w:tc>
        <w:tc>
          <w:tcPr>
            <w:tcW w:w="907" w:type="pct"/>
            <w:tcBorders>
              <w:top w:val="nil"/>
              <w:left w:val="nil"/>
              <w:bottom w:val="nil"/>
              <w:right w:val="nil"/>
            </w:tcBorders>
          </w:tcPr>
          <w:p w14:paraId="522409BA" w14:textId="584EAE23" w:rsidR="009A028B" w:rsidRPr="00A6252E" w:rsidRDefault="009A028B" w:rsidP="009A02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B30508">
              <w:rPr>
                <w:rFonts w:ascii="Times New Roman" w:hAnsi="Times New Roman" w:cs="Times New Roman"/>
                <w:sz w:val="20"/>
                <w:szCs w:val="20"/>
              </w:rPr>
              <w:t>-0.158</w:t>
            </w:r>
          </w:p>
        </w:tc>
      </w:tr>
      <w:tr w:rsidR="009A028B" w:rsidRPr="00A6252E" w14:paraId="308D2E4E" w14:textId="77777777" w:rsidTr="00D62709">
        <w:trPr>
          <w:trHeight w:val="20"/>
        </w:trPr>
        <w:tc>
          <w:tcPr>
            <w:tcW w:w="1324" w:type="pct"/>
            <w:tcBorders>
              <w:top w:val="nil"/>
              <w:left w:val="nil"/>
              <w:bottom w:val="nil"/>
              <w:right w:val="nil"/>
            </w:tcBorders>
          </w:tcPr>
          <w:p w14:paraId="159D1129" w14:textId="77777777" w:rsidR="009A028B" w:rsidRPr="00A6252E" w:rsidRDefault="009A028B" w:rsidP="009A028B">
            <w:pPr>
              <w:widowControl w:val="0"/>
              <w:autoSpaceDE w:val="0"/>
              <w:autoSpaceDN w:val="0"/>
              <w:adjustRightInd w:val="0"/>
              <w:spacing w:after="0" w:line="240" w:lineRule="auto"/>
              <w:rPr>
                <w:rFonts w:ascii="Times New Roman" w:hAnsi="Times New Roman" w:cs="Times New Roman"/>
                <w:sz w:val="20"/>
                <w:szCs w:val="20"/>
                <w:lang w:val="en-US"/>
              </w:rPr>
            </w:pPr>
          </w:p>
        </w:tc>
        <w:tc>
          <w:tcPr>
            <w:tcW w:w="955" w:type="pct"/>
            <w:tcBorders>
              <w:top w:val="nil"/>
              <w:left w:val="nil"/>
              <w:bottom w:val="nil"/>
              <w:right w:val="nil"/>
            </w:tcBorders>
          </w:tcPr>
          <w:p w14:paraId="5C6F61D3" w14:textId="5DE71D22" w:rsidR="009A028B" w:rsidRPr="00A6252E" w:rsidRDefault="009A028B" w:rsidP="009A02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54274">
              <w:rPr>
                <w:rFonts w:ascii="Times New Roman" w:hAnsi="Times New Roman" w:cs="Times New Roman"/>
                <w:sz w:val="20"/>
                <w:szCs w:val="20"/>
              </w:rPr>
              <w:t>(-6.15)</w:t>
            </w:r>
          </w:p>
        </w:tc>
        <w:tc>
          <w:tcPr>
            <w:tcW w:w="907" w:type="pct"/>
            <w:tcBorders>
              <w:top w:val="nil"/>
              <w:left w:val="nil"/>
              <w:bottom w:val="nil"/>
              <w:right w:val="nil"/>
            </w:tcBorders>
          </w:tcPr>
          <w:p w14:paraId="3CA8E305" w14:textId="5235A0F6" w:rsidR="009A028B" w:rsidRPr="00A6252E" w:rsidRDefault="009A028B" w:rsidP="009A02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11750D">
              <w:rPr>
                <w:rFonts w:ascii="Times New Roman" w:hAnsi="Times New Roman" w:cs="Times New Roman"/>
                <w:sz w:val="20"/>
                <w:szCs w:val="20"/>
              </w:rPr>
              <w:t>(-4.22)</w:t>
            </w:r>
          </w:p>
        </w:tc>
        <w:tc>
          <w:tcPr>
            <w:tcW w:w="907" w:type="pct"/>
            <w:tcBorders>
              <w:top w:val="nil"/>
              <w:left w:val="nil"/>
              <w:bottom w:val="nil"/>
              <w:right w:val="nil"/>
            </w:tcBorders>
          </w:tcPr>
          <w:p w14:paraId="5FC744BE" w14:textId="12D4E875" w:rsidR="009A028B" w:rsidRPr="00A6252E" w:rsidRDefault="009A028B" w:rsidP="009A02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A16D9">
              <w:rPr>
                <w:rFonts w:ascii="Times New Roman" w:hAnsi="Times New Roman" w:cs="Times New Roman"/>
                <w:sz w:val="20"/>
                <w:szCs w:val="20"/>
              </w:rPr>
              <w:t>(-3.03)</w:t>
            </w:r>
          </w:p>
        </w:tc>
        <w:tc>
          <w:tcPr>
            <w:tcW w:w="907" w:type="pct"/>
            <w:tcBorders>
              <w:top w:val="nil"/>
              <w:left w:val="nil"/>
              <w:bottom w:val="nil"/>
              <w:right w:val="nil"/>
            </w:tcBorders>
          </w:tcPr>
          <w:p w14:paraId="47969845" w14:textId="5E9B4E18" w:rsidR="009A028B" w:rsidRPr="00A6252E" w:rsidRDefault="009A028B" w:rsidP="009A02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B30508">
              <w:rPr>
                <w:rFonts w:ascii="Times New Roman" w:hAnsi="Times New Roman" w:cs="Times New Roman"/>
                <w:sz w:val="20"/>
                <w:szCs w:val="20"/>
              </w:rPr>
              <w:t>(-1.57)</w:t>
            </w:r>
          </w:p>
        </w:tc>
      </w:tr>
      <w:tr w:rsidR="001E4B9D" w:rsidRPr="00A6252E" w14:paraId="683881B8" w14:textId="77777777" w:rsidTr="00D62709">
        <w:trPr>
          <w:trHeight w:val="20"/>
        </w:trPr>
        <w:tc>
          <w:tcPr>
            <w:tcW w:w="1324" w:type="pct"/>
            <w:tcBorders>
              <w:top w:val="nil"/>
              <w:left w:val="nil"/>
              <w:bottom w:val="nil"/>
              <w:right w:val="nil"/>
            </w:tcBorders>
            <w:shd w:val="clear" w:color="auto" w:fill="auto"/>
          </w:tcPr>
          <w:p w14:paraId="7199089B" w14:textId="38492D63" w:rsidR="001E4B9D" w:rsidRDefault="001E4B9D" w:rsidP="001E4B9D">
            <w:pPr>
              <w:widowControl w:val="0"/>
              <w:autoSpaceDE w:val="0"/>
              <w:autoSpaceDN w:val="0"/>
              <w:adjustRightInd w:val="0"/>
              <w:spacing w:after="0" w:line="240" w:lineRule="auto"/>
              <w:rPr>
                <w:rFonts w:ascii="Times New Roman" w:hAnsi="Times New Roman" w:cs="Times New Roman"/>
                <w:i/>
                <w:iCs/>
                <w:sz w:val="20"/>
                <w:szCs w:val="20"/>
                <w:lang w:val="en-US"/>
              </w:rPr>
            </w:pPr>
            <w:r>
              <w:rPr>
                <w:rFonts w:ascii="Times New Roman" w:hAnsi="Times New Roman" w:cs="Times New Roman"/>
                <w:i/>
                <w:iCs/>
                <w:sz w:val="20"/>
                <w:szCs w:val="20"/>
                <w:lang w:val="en-US"/>
              </w:rPr>
              <w:t>Lambda</w:t>
            </w:r>
          </w:p>
        </w:tc>
        <w:tc>
          <w:tcPr>
            <w:tcW w:w="955" w:type="pct"/>
            <w:tcBorders>
              <w:top w:val="nil"/>
              <w:left w:val="nil"/>
              <w:bottom w:val="nil"/>
              <w:right w:val="nil"/>
            </w:tcBorders>
            <w:shd w:val="clear" w:color="auto" w:fill="auto"/>
          </w:tcPr>
          <w:p w14:paraId="16EC104E" w14:textId="0DFF2B23"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Pr="00FA1188">
              <w:rPr>
                <w:rFonts w:ascii="Times New Roman" w:hAnsi="Times New Roman" w:cs="Times New Roman"/>
                <w:sz w:val="20"/>
                <w:szCs w:val="20"/>
                <w:lang w:val="en-US"/>
              </w:rPr>
              <w:t>.05</w:t>
            </w:r>
            <w:r>
              <w:rPr>
                <w:rFonts w:ascii="Times New Roman" w:hAnsi="Times New Roman" w:cs="Times New Roman"/>
                <w:sz w:val="20"/>
                <w:szCs w:val="20"/>
                <w:lang w:val="en-US"/>
              </w:rPr>
              <w:t>4***</w:t>
            </w:r>
          </w:p>
        </w:tc>
        <w:tc>
          <w:tcPr>
            <w:tcW w:w="907" w:type="pct"/>
            <w:tcBorders>
              <w:top w:val="nil"/>
              <w:left w:val="nil"/>
              <w:bottom w:val="nil"/>
              <w:right w:val="nil"/>
            </w:tcBorders>
          </w:tcPr>
          <w:p w14:paraId="793A4CAF" w14:textId="11268CC6"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Pr="00FA1188">
              <w:rPr>
                <w:rFonts w:ascii="Times New Roman" w:hAnsi="Times New Roman" w:cs="Times New Roman"/>
                <w:sz w:val="20"/>
                <w:szCs w:val="20"/>
                <w:lang w:val="en-US"/>
              </w:rPr>
              <w:t>.156</w:t>
            </w:r>
            <w:r>
              <w:rPr>
                <w:rFonts w:ascii="Times New Roman" w:hAnsi="Times New Roman" w:cs="Times New Roman"/>
                <w:sz w:val="20"/>
                <w:szCs w:val="20"/>
                <w:lang w:val="en-US"/>
              </w:rPr>
              <w:t>***</w:t>
            </w:r>
          </w:p>
        </w:tc>
        <w:tc>
          <w:tcPr>
            <w:tcW w:w="907" w:type="pct"/>
            <w:tcBorders>
              <w:top w:val="nil"/>
              <w:left w:val="nil"/>
              <w:bottom w:val="nil"/>
              <w:right w:val="nil"/>
            </w:tcBorders>
            <w:shd w:val="clear" w:color="auto" w:fill="auto"/>
          </w:tcPr>
          <w:p w14:paraId="4C9CD94C" w14:textId="0EF33E1B"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Pr="00090308">
              <w:rPr>
                <w:rFonts w:ascii="Times New Roman" w:hAnsi="Times New Roman" w:cs="Times New Roman"/>
                <w:sz w:val="20"/>
                <w:szCs w:val="20"/>
                <w:lang w:val="en-US"/>
              </w:rPr>
              <w:t>.188</w:t>
            </w:r>
            <w:r>
              <w:rPr>
                <w:rFonts w:ascii="Times New Roman" w:hAnsi="Times New Roman" w:cs="Times New Roman"/>
                <w:sz w:val="20"/>
                <w:szCs w:val="20"/>
                <w:lang w:val="en-US"/>
              </w:rPr>
              <w:t>***</w:t>
            </w:r>
          </w:p>
        </w:tc>
        <w:tc>
          <w:tcPr>
            <w:tcW w:w="907" w:type="pct"/>
            <w:tcBorders>
              <w:top w:val="nil"/>
              <w:left w:val="nil"/>
              <w:bottom w:val="nil"/>
              <w:right w:val="nil"/>
            </w:tcBorders>
          </w:tcPr>
          <w:p w14:paraId="38491F0A" w14:textId="24A251CD"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r w:rsidRPr="004D55F9">
              <w:rPr>
                <w:rFonts w:ascii="Times New Roman" w:hAnsi="Times New Roman" w:cs="Times New Roman"/>
                <w:sz w:val="20"/>
                <w:szCs w:val="20"/>
                <w:lang w:val="en-US"/>
              </w:rPr>
              <w:t>.036</w:t>
            </w:r>
          </w:p>
        </w:tc>
      </w:tr>
      <w:tr w:rsidR="001E4B9D" w:rsidRPr="00A6252E" w14:paraId="56228E9E" w14:textId="77777777" w:rsidTr="00D62709">
        <w:trPr>
          <w:trHeight w:val="20"/>
        </w:trPr>
        <w:tc>
          <w:tcPr>
            <w:tcW w:w="1324" w:type="pct"/>
            <w:tcBorders>
              <w:top w:val="nil"/>
              <w:left w:val="nil"/>
              <w:bottom w:val="nil"/>
              <w:right w:val="nil"/>
            </w:tcBorders>
            <w:shd w:val="clear" w:color="auto" w:fill="auto"/>
          </w:tcPr>
          <w:p w14:paraId="6037C455" w14:textId="77777777" w:rsidR="001E4B9D" w:rsidRDefault="001E4B9D" w:rsidP="001E4B9D">
            <w:pPr>
              <w:widowControl w:val="0"/>
              <w:autoSpaceDE w:val="0"/>
              <w:autoSpaceDN w:val="0"/>
              <w:adjustRightInd w:val="0"/>
              <w:spacing w:after="0" w:line="240" w:lineRule="auto"/>
              <w:rPr>
                <w:rFonts w:ascii="Times New Roman" w:hAnsi="Times New Roman" w:cs="Times New Roman"/>
                <w:i/>
                <w:iCs/>
                <w:sz w:val="20"/>
                <w:szCs w:val="20"/>
                <w:lang w:val="en-US"/>
              </w:rPr>
            </w:pPr>
          </w:p>
        </w:tc>
        <w:tc>
          <w:tcPr>
            <w:tcW w:w="955" w:type="pct"/>
            <w:tcBorders>
              <w:top w:val="nil"/>
              <w:left w:val="nil"/>
              <w:bottom w:val="nil"/>
              <w:right w:val="nil"/>
            </w:tcBorders>
            <w:shd w:val="clear" w:color="auto" w:fill="auto"/>
          </w:tcPr>
          <w:p w14:paraId="5673DAE7" w14:textId="0228DD99"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(2.96)</w:t>
            </w:r>
          </w:p>
        </w:tc>
        <w:tc>
          <w:tcPr>
            <w:tcW w:w="907" w:type="pct"/>
            <w:tcBorders>
              <w:top w:val="nil"/>
              <w:left w:val="nil"/>
              <w:bottom w:val="nil"/>
              <w:right w:val="nil"/>
            </w:tcBorders>
          </w:tcPr>
          <w:p w14:paraId="35A1AA95" w14:textId="74C9EBEE"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(3.02)</w:t>
            </w:r>
          </w:p>
        </w:tc>
        <w:tc>
          <w:tcPr>
            <w:tcW w:w="907" w:type="pct"/>
            <w:tcBorders>
              <w:top w:val="nil"/>
              <w:left w:val="nil"/>
              <w:bottom w:val="nil"/>
              <w:right w:val="nil"/>
            </w:tcBorders>
            <w:shd w:val="clear" w:color="auto" w:fill="auto"/>
          </w:tcPr>
          <w:p w14:paraId="1619E7BB" w14:textId="016CEFE5"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r w:rsidRPr="00090308">
              <w:rPr>
                <w:rFonts w:ascii="Times New Roman" w:hAnsi="Times New Roman" w:cs="Times New Roman"/>
                <w:sz w:val="20"/>
                <w:szCs w:val="20"/>
                <w:lang w:val="en-US"/>
              </w:rPr>
              <w:t>2.28</w:t>
            </w:r>
            <w:r>
              <w:rPr>
                <w:rFonts w:ascii="Times New Roman" w:hAnsi="Times New Roman" w:cs="Times New Roman"/>
                <w:sz w:val="20"/>
                <w:szCs w:val="20"/>
                <w:lang w:val="en-US"/>
              </w:rPr>
              <w:t>)</w:t>
            </w:r>
          </w:p>
        </w:tc>
        <w:tc>
          <w:tcPr>
            <w:tcW w:w="907" w:type="pct"/>
            <w:tcBorders>
              <w:top w:val="nil"/>
              <w:left w:val="nil"/>
              <w:bottom w:val="nil"/>
              <w:right w:val="nil"/>
            </w:tcBorders>
          </w:tcPr>
          <w:p w14:paraId="7ADB9CFD" w14:textId="4B3BD3EC"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(0.58)</w:t>
            </w:r>
          </w:p>
        </w:tc>
      </w:tr>
      <w:tr w:rsidR="001E4B9D" w:rsidRPr="00A6252E" w14:paraId="152FA1CF" w14:textId="77777777" w:rsidTr="00D62709">
        <w:trPr>
          <w:trHeight w:val="20"/>
        </w:trPr>
        <w:tc>
          <w:tcPr>
            <w:tcW w:w="1324" w:type="pct"/>
            <w:tcBorders>
              <w:top w:val="nil"/>
              <w:left w:val="nil"/>
              <w:bottom w:val="nil"/>
              <w:right w:val="nil"/>
            </w:tcBorders>
            <w:shd w:val="clear" w:color="auto" w:fill="auto"/>
          </w:tcPr>
          <w:p w14:paraId="0629ED56" w14:textId="05178BCE" w:rsidR="001E4B9D" w:rsidRPr="00A6252E" w:rsidRDefault="001E4B9D" w:rsidP="001E4B9D">
            <w:pPr>
              <w:widowControl w:val="0"/>
              <w:autoSpaceDE w:val="0"/>
              <w:autoSpaceDN w:val="0"/>
              <w:adjustRightInd w:val="0"/>
              <w:spacing w:after="0" w:line="240" w:lineRule="auto"/>
              <w:rPr>
                <w:rFonts w:ascii="Times New Roman" w:hAnsi="Times New Roman" w:cs="Times New Roman"/>
                <w:i/>
                <w:iCs/>
                <w:sz w:val="20"/>
                <w:szCs w:val="20"/>
                <w:lang w:val="en-US"/>
              </w:rPr>
            </w:pPr>
            <w:r>
              <w:rPr>
                <w:rFonts w:ascii="Times New Roman" w:hAnsi="Times New Roman" w:cs="Times New Roman"/>
                <w:i/>
                <w:iCs/>
                <w:sz w:val="20"/>
                <w:szCs w:val="20"/>
                <w:lang w:val="en-US"/>
              </w:rPr>
              <w:t>Baseline control variables</w:t>
            </w:r>
          </w:p>
        </w:tc>
        <w:tc>
          <w:tcPr>
            <w:tcW w:w="955" w:type="pct"/>
            <w:tcBorders>
              <w:top w:val="nil"/>
              <w:left w:val="nil"/>
              <w:bottom w:val="nil"/>
              <w:right w:val="nil"/>
            </w:tcBorders>
            <w:shd w:val="clear" w:color="auto" w:fill="auto"/>
          </w:tcPr>
          <w:p w14:paraId="5B882F71" w14:textId="7777777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Yes</w:t>
            </w:r>
          </w:p>
        </w:tc>
        <w:tc>
          <w:tcPr>
            <w:tcW w:w="907" w:type="pct"/>
            <w:tcBorders>
              <w:top w:val="nil"/>
              <w:left w:val="nil"/>
              <w:bottom w:val="nil"/>
              <w:right w:val="nil"/>
            </w:tcBorders>
          </w:tcPr>
          <w:p w14:paraId="497D28A7" w14:textId="7777777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Yes</w:t>
            </w:r>
          </w:p>
        </w:tc>
        <w:tc>
          <w:tcPr>
            <w:tcW w:w="907" w:type="pct"/>
            <w:tcBorders>
              <w:top w:val="nil"/>
              <w:left w:val="nil"/>
              <w:bottom w:val="nil"/>
              <w:right w:val="nil"/>
            </w:tcBorders>
            <w:shd w:val="clear" w:color="auto" w:fill="auto"/>
          </w:tcPr>
          <w:p w14:paraId="338E68BA" w14:textId="7777777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Yes</w:t>
            </w:r>
          </w:p>
        </w:tc>
        <w:tc>
          <w:tcPr>
            <w:tcW w:w="907" w:type="pct"/>
            <w:tcBorders>
              <w:top w:val="nil"/>
              <w:left w:val="nil"/>
              <w:bottom w:val="nil"/>
              <w:right w:val="nil"/>
            </w:tcBorders>
          </w:tcPr>
          <w:p w14:paraId="212DB33F" w14:textId="7777777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Yes</w:t>
            </w:r>
          </w:p>
        </w:tc>
      </w:tr>
      <w:tr w:rsidR="001E4B9D" w:rsidRPr="00A6252E" w14:paraId="1DD3856A" w14:textId="77777777" w:rsidTr="00D62709">
        <w:trPr>
          <w:trHeight w:val="20"/>
        </w:trPr>
        <w:tc>
          <w:tcPr>
            <w:tcW w:w="1324" w:type="pct"/>
            <w:tcBorders>
              <w:top w:val="nil"/>
              <w:left w:val="nil"/>
              <w:right w:val="nil"/>
            </w:tcBorders>
          </w:tcPr>
          <w:p w14:paraId="5F5F4A0E" w14:textId="0008DA50" w:rsidR="001E4B9D" w:rsidRPr="00A6252E" w:rsidRDefault="001E4B9D" w:rsidP="001E4B9D">
            <w:pPr>
              <w:widowControl w:val="0"/>
              <w:autoSpaceDE w:val="0"/>
              <w:autoSpaceDN w:val="0"/>
              <w:adjustRightInd w:val="0"/>
              <w:spacing w:after="0" w:line="240" w:lineRule="auto"/>
              <w:rPr>
                <w:rFonts w:ascii="Times New Roman" w:hAnsi="Times New Roman" w:cs="Times New Roman"/>
                <w:i/>
                <w:iCs/>
                <w:sz w:val="20"/>
                <w:szCs w:val="20"/>
                <w:lang w:val="en-US"/>
              </w:rPr>
            </w:pPr>
            <w:r>
              <w:rPr>
                <w:rFonts w:ascii="Times New Roman" w:hAnsi="Times New Roman" w:cs="Times New Roman"/>
                <w:i/>
                <w:iCs/>
                <w:sz w:val="20"/>
                <w:szCs w:val="20"/>
                <w:lang w:val="en-US"/>
              </w:rPr>
              <w:t>Industry FE</w:t>
            </w:r>
          </w:p>
        </w:tc>
        <w:tc>
          <w:tcPr>
            <w:tcW w:w="955" w:type="pct"/>
            <w:tcBorders>
              <w:top w:val="nil"/>
              <w:left w:val="nil"/>
              <w:right w:val="nil"/>
            </w:tcBorders>
          </w:tcPr>
          <w:p w14:paraId="1A19ECF8" w14:textId="7777777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Yes</w:t>
            </w:r>
          </w:p>
        </w:tc>
        <w:tc>
          <w:tcPr>
            <w:tcW w:w="907" w:type="pct"/>
            <w:tcBorders>
              <w:top w:val="nil"/>
              <w:left w:val="nil"/>
              <w:right w:val="nil"/>
            </w:tcBorders>
          </w:tcPr>
          <w:p w14:paraId="6928C8CA" w14:textId="7777777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Yes</w:t>
            </w:r>
          </w:p>
        </w:tc>
        <w:tc>
          <w:tcPr>
            <w:tcW w:w="907" w:type="pct"/>
            <w:tcBorders>
              <w:top w:val="nil"/>
              <w:left w:val="nil"/>
              <w:right w:val="nil"/>
            </w:tcBorders>
          </w:tcPr>
          <w:p w14:paraId="405AF770" w14:textId="7777777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Yes</w:t>
            </w:r>
          </w:p>
        </w:tc>
        <w:tc>
          <w:tcPr>
            <w:tcW w:w="907" w:type="pct"/>
            <w:tcBorders>
              <w:top w:val="nil"/>
              <w:left w:val="nil"/>
              <w:right w:val="nil"/>
            </w:tcBorders>
          </w:tcPr>
          <w:p w14:paraId="4CA7C2F5" w14:textId="7777777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Yes</w:t>
            </w:r>
          </w:p>
        </w:tc>
      </w:tr>
      <w:tr w:rsidR="001E4B9D" w:rsidRPr="00A6252E" w14:paraId="03D2D819" w14:textId="77777777" w:rsidTr="00D62709">
        <w:trPr>
          <w:trHeight w:val="20"/>
        </w:trPr>
        <w:tc>
          <w:tcPr>
            <w:tcW w:w="1324" w:type="pct"/>
            <w:tcBorders>
              <w:top w:val="nil"/>
              <w:left w:val="nil"/>
              <w:right w:val="nil"/>
            </w:tcBorders>
          </w:tcPr>
          <w:p w14:paraId="0D36AC5D" w14:textId="77777777" w:rsidR="001E4B9D" w:rsidRPr="00A6252E" w:rsidRDefault="001E4B9D" w:rsidP="001E4B9D">
            <w:pPr>
              <w:widowControl w:val="0"/>
              <w:autoSpaceDE w:val="0"/>
              <w:autoSpaceDN w:val="0"/>
              <w:adjustRightInd w:val="0"/>
              <w:spacing w:after="0" w:line="240" w:lineRule="auto"/>
              <w:rPr>
                <w:rFonts w:ascii="Times New Roman" w:hAnsi="Times New Roman" w:cs="Times New Roman"/>
                <w:sz w:val="20"/>
                <w:szCs w:val="20"/>
                <w:lang w:val="en-US"/>
              </w:rPr>
            </w:pPr>
            <w:r w:rsidRPr="00A6252E">
              <w:rPr>
                <w:rFonts w:ascii="Times New Roman" w:hAnsi="Times New Roman" w:cs="Times New Roman"/>
                <w:i/>
                <w:iCs/>
                <w:sz w:val="20"/>
                <w:szCs w:val="20"/>
                <w:lang w:val="en-US"/>
              </w:rPr>
              <w:t>N</w:t>
            </w:r>
          </w:p>
        </w:tc>
        <w:tc>
          <w:tcPr>
            <w:tcW w:w="955" w:type="pct"/>
            <w:tcBorders>
              <w:top w:val="nil"/>
              <w:left w:val="nil"/>
              <w:right w:val="nil"/>
            </w:tcBorders>
          </w:tcPr>
          <w:p w14:paraId="7A54CE32" w14:textId="7777777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rPr>
              <w:t>4,116</w:t>
            </w:r>
          </w:p>
        </w:tc>
        <w:tc>
          <w:tcPr>
            <w:tcW w:w="907" w:type="pct"/>
            <w:tcBorders>
              <w:top w:val="nil"/>
              <w:left w:val="nil"/>
              <w:right w:val="nil"/>
            </w:tcBorders>
          </w:tcPr>
          <w:p w14:paraId="7241073C" w14:textId="7777777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rPr>
              <w:t>2,244</w:t>
            </w:r>
          </w:p>
        </w:tc>
        <w:tc>
          <w:tcPr>
            <w:tcW w:w="907" w:type="pct"/>
            <w:tcBorders>
              <w:top w:val="nil"/>
              <w:left w:val="nil"/>
              <w:right w:val="nil"/>
            </w:tcBorders>
          </w:tcPr>
          <w:p w14:paraId="091CF226" w14:textId="7777777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rPr>
              <w:t>1,613</w:t>
            </w:r>
          </w:p>
        </w:tc>
        <w:tc>
          <w:tcPr>
            <w:tcW w:w="907" w:type="pct"/>
            <w:tcBorders>
              <w:top w:val="nil"/>
              <w:left w:val="nil"/>
              <w:right w:val="nil"/>
            </w:tcBorders>
          </w:tcPr>
          <w:p w14:paraId="76FF6D68" w14:textId="7777777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rPr>
              <w:t>789</w:t>
            </w:r>
          </w:p>
        </w:tc>
      </w:tr>
      <w:tr w:rsidR="001E4B9D" w:rsidRPr="00A6252E" w14:paraId="1274B6E4" w14:textId="77777777" w:rsidTr="00D62709">
        <w:tblPrEx>
          <w:tblBorders>
            <w:bottom w:val="single" w:sz="6" w:space="0" w:color="auto"/>
          </w:tblBorders>
        </w:tblPrEx>
        <w:trPr>
          <w:trHeight w:val="20"/>
        </w:trPr>
        <w:tc>
          <w:tcPr>
            <w:tcW w:w="1324" w:type="pct"/>
            <w:tcBorders>
              <w:top w:val="nil"/>
              <w:left w:val="nil"/>
              <w:bottom w:val="single" w:sz="4" w:space="0" w:color="auto"/>
              <w:right w:val="nil"/>
            </w:tcBorders>
          </w:tcPr>
          <w:p w14:paraId="4AB8F4AC" w14:textId="10212CA2" w:rsidR="001E4B9D" w:rsidRPr="00A6252E" w:rsidRDefault="001E4B9D" w:rsidP="001E4B9D">
            <w:pPr>
              <w:widowControl w:val="0"/>
              <w:autoSpaceDE w:val="0"/>
              <w:autoSpaceDN w:val="0"/>
              <w:adjustRightInd w:val="0"/>
              <w:spacing w:after="0" w:line="240" w:lineRule="auto"/>
              <w:rPr>
                <w:rFonts w:ascii="Times New Roman" w:hAnsi="Times New Roman" w:cs="Times New Roman"/>
                <w:sz w:val="20"/>
                <w:szCs w:val="20"/>
                <w:vertAlign w:val="superscript"/>
                <w:lang w:val="en-US"/>
              </w:rPr>
            </w:pPr>
            <w:r w:rsidRPr="00A6252E">
              <w:rPr>
                <w:rFonts w:ascii="Times New Roman" w:hAnsi="Times New Roman" w:cs="Times New Roman"/>
                <w:sz w:val="20"/>
                <w:szCs w:val="20"/>
                <w:lang w:val="en-US"/>
              </w:rPr>
              <w:t xml:space="preserve">Wald </w:t>
            </w:r>
            <w:r w:rsidR="00BD2E53" w:rsidRPr="00BD2E53">
              <w:rPr>
                <w:rFonts w:ascii="Times New Roman" w:hAnsi="Times New Roman" w:cs="Times New Roman"/>
                <w:i/>
                <w:iCs/>
                <w:sz w:val="20"/>
                <w:szCs w:val="20"/>
                <w:lang w:val="en-US"/>
              </w:rPr>
              <w:t>Chi</w:t>
            </w:r>
            <w:r w:rsidRPr="00A6252E">
              <w:rPr>
                <w:rFonts w:ascii="Times New Roman" w:hAnsi="Times New Roman" w:cs="Times New Roman"/>
                <w:sz w:val="20"/>
                <w:szCs w:val="20"/>
                <w:vertAlign w:val="superscript"/>
                <w:lang w:val="en-US"/>
              </w:rPr>
              <w:t>2</w:t>
            </w:r>
          </w:p>
        </w:tc>
        <w:tc>
          <w:tcPr>
            <w:tcW w:w="955" w:type="pct"/>
            <w:tcBorders>
              <w:top w:val="nil"/>
              <w:left w:val="nil"/>
              <w:bottom w:val="single" w:sz="4" w:space="0" w:color="auto"/>
              <w:right w:val="nil"/>
            </w:tcBorders>
          </w:tcPr>
          <w:p w14:paraId="79032163" w14:textId="38D4D880"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54274">
              <w:rPr>
                <w:rFonts w:ascii="Times New Roman" w:hAnsi="Times New Roman" w:cs="Times New Roman"/>
                <w:sz w:val="20"/>
                <w:szCs w:val="20"/>
              </w:rPr>
              <w:t>3</w:t>
            </w:r>
            <w:r>
              <w:rPr>
                <w:rFonts w:ascii="Times New Roman" w:hAnsi="Times New Roman" w:cs="Times New Roman"/>
                <w:sz w:val="20"/>
                <w:szCs w:val="20"/>
              </w:rPr>
              <w:t>,</w:t>
            </w:r>
            <w:r w:rsidRPr="00854274">
              <w:rPr>
                <w:rFonts w:ascii="Times New Roman" w:hAnsi="Times New Roman" w:cs="Times New Roman"/>
                <w:sz w:val="20"/>
                <w:szCs w:val="20"/>
              </w:rPr>
              <w:t>172</w:t>
            </w:r>
            <w:r>
              <w:rPr>
                <w:rFonts w:ascii="Times New Roman" w:hAnsi="Times New Roman"/>
                <w:sz w:val="20"/>
                <w:szCs w:val="20"/>
                <w:lang w:val="en-US"/>
              </w:rPr>
              <w:t>***</w:t>
            </w:r>
          </w:p>
        </w:tc>
        <w:tc>
          <w:tcPr>
            <w:tcW w:w="907" w:type="pct"/>
            <w:tcBorders>
              <w:top w:val="nil"/>
              <w:left w:val="nil"/>
              <w:bottom w:val="single" w:sz="4" w:space="0" w:color="auto"/>
              <w:right w:val="nil"/>
            </w:tcBorders>
          </w:tcPr>
          <w:p w14:paraId="40F047A2" w14:textId="278D4CC2"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11750D">
              <w:rPr>
                <w:rFonts w:ascii="Times New Roman" w:hAnsi="Times New Roman" w:cs="Times New Roman"/>
                <w:sz w:val="20"/>
                <w:szCs w:val="20"/>
              </w:rPr>
              <w:t>1</w:t>
            </w:r>
            <w:r>
              <w:rPr>
                <w:rFonts w:ascii="Times New Roman" w:hAnsi="Times New Roman" w:cs="Times New Roman"/>
                <w:sz w:val="20"/>
                <w:szCs w:val="20"/>
              </w:rPr>
              <w:t>,</w:t>
            </w:r>
            <w:r w:rsidRPr="0011750D">
              <w:rPr>
                <w:rFonts w:ascii="Times New Roman" w:hAnsi="Times New Roman" w:cs="Times New Roman"/>
                <w:sz w:val="20"/>
                <w:szCs w:val="20"/>
              </w:rPr>
              <w:t>588</w:t>
            </w:r>
            <w:r>
              <w:rPr>
                <w:rFonts w:ascii="Times New Roman" w:hAnsi="Times New Roman"/>
                <w:sz w:val="20"/>
                <w:szCs w:val="20"/>
                <w:lang w:val="en-US"/>
              </w:rPr>
              <w:t>***</w:t>
            </w:r>
          </w:p>
        </w:tc>
        <w:tc>
          <w:tcPr>
            <w:tcW w:w="907" w:type="pct"/>
            <w:tcBorders>
              <w:top w:val="nil"/>
              <w:left w:val="nil"/>
              <w:bottom w:val="single" w:sz="4" w:space="0" w:color="auto"/>
              <w:right w:val="nil"/>
            </w:tcBorders>
          </w:tcPr>
          <w:p w14:paraId="2E93F66F" w14:textId="064C8C55"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A16D9">
              <w:rPr>
                <w:rFonts w:ascii="Times New Roman" w:hAnsi="Times New Roman" w:cs="Times New Roman"/>
                <w:sz w:val="20"/>
                <w:szCs w:val="20"/>
              </w:rPr>
              <w:t>1</w:t>
            </w:r>
            <w:r>
              <w:rPr>
                <w:rFonts w:ascii="Times New Roman" w:hAnsi="Times New Roman" w:cs="Times New Roman"/>
                <w:sz w:val="20"/>
                <w:szCs w:val="20"/>
              </w:rPr>
              <w:t>,</w:t>
            </w:r>
            <w:r w:rsidRPr="00CA16D9">
              <w:rPr>
                <w:rFonts w:ascii="Times New Roman" w:hAnsi="Times New Roman" w:cs="Times New Roman"/>
                <w:sz w:val="20"/>
                <w:szCs w:val="20"/>
              </w:rPr>
              <w:t>089</w:t>
            </w:r>
            <w:r>
              <w:rPr>
                <w:rFonts w:ascii="Times New Roman" w:hAnsi="Times New Roman"/>
                <w:sz w:val="20"/>
                <w:szCs w:val="20"/>
                <w:lang w:val="en-US"/>
              </w:rPr>
              <w:t>***</w:t>
            </w:r>
          </w:p>
        </w:tc>
        <w:tc>
          <w:tcPr>
            <w:tcW w:w="907" w:type="pct"/>
            <w:tcBorders>
              <w:top w:val="nil"/>
              <w:left w:val="nil"/>
              <w:bottom w:val="single" w:sz="4" w:space="0" w:color="auto"/>
              <w:right w:val="nil"/>
            </w:tcBorders>
          </w:tcPr>
          <w:p w14:paraId="4C49B5D9" w14:textId="6260C069"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B30508">
              <w:rPr>
                <w:rFonts w:ascii="Times New Roman" w:hAnsi="Times New Roman" w:cs="Times New Roman"/>
                <w:sz w:val="20"/>
                <w:szCs w:val="20"/>
              </w:rPr>
              <w:t>687</w:t>
            </w:r>
            <w:r>
              <w:rPr>
                <w:rFonts w:ascii="Times New Roman" w:hAnsi="Times New Roman"/>
                <w:sz w:val="20"/>
                <w:szCs w:val="20"/>
                <w:lang w:val="en-US"/>
              </w:rPr>
              <w:t>***</w:t>
            </w:r>
          </w:p>
        </w:tc>
      </w:tr>
      <w:tr w:rsidR="001E4B9D" w:rsidRPr="00A6252E" w14:paraId="3D5FF490" w14:textId="77777777" w:rsidTr="007045B7">
        <w:tblPrEx>
          <w:tblBorders>
            <w:bottom w:val="single" w:sz="6" w:space="0" w:color="auto"/>
          </w:tblBorders>
        </w:tblPrEx>
        <w:trPr>
          <w:trHeight w:val="20"/>
        </w:trPr>
        <w:tc>
          <w:tcPr>
            <w:tcW w:w="5000" w:type="pct"/>
            <w:gridSpan w:val="5"/>
            <w:tcBorders>
              <w:top w:val="single" w:sz="4" w:space="0" w:color="auto"/>
              <w:left w:val="nil"/>
              <w:bottom w:val="single" w:sz="4" w:space="0" w:color="auto"/>
              <w:right w:val="nil"/>
            </w:tcBorders>
          </w:tcPr>
          <w:p w14:paraId="2302C76A" w14:textId="77777777" w:rsidR="001E4B9D" w:rsidRDefault="001E4B9D" w:rsidP="001E4B9D">
            <w:pPr>
              <w:widowControl w:val="0"/>
              <w:autoSpaceDE w:val="0"/>
              <w:autoSpaceDN w:val="0"/>
              <w:adjustRightInd w:val="0"/>
              <w:spacing w:after="0" w:line="240" w:lineRule="auto"/>
              <w:jc w:val="both"/>
              <w:rPr>
                <w:rFonts w:ascii="Times New Roman" w:hAnsi="Times New Roman" w:cs="Times New Roman"/>
                <w:sz w:val="20"/>
                <w:szCs w:val="20"/>
              </w:rPr>
            </w:pPr>
          </w:p>
          <w:p w14:paraId="695357E6" w14:textId="3BF9C269" w:rsidR="001E4B9D" w:rsidRPr="00A6252E" w:rsidRDefault="001E4B9D" w:rsidP="001E4B9D">
            <w:pPr>
              <w:widowControl w:val="0"/>
              <w:autoSpaceDE w:val="0"/>
              <w:autoSpaceDN w:val="0"/>
              <w:adjustRightInd w:val="0"/>
              <w:spacing w:after="0" w:line="240" w:lineRule="auto"/>
              <w:jc w:val="both"/>
              <w:rPr>
                <w:rFonts w:ascii="Times New Roman" w:hAnsi="Times New Roman" w:cs="Times New Roman"/>
                <w:sz w:val="20"/>
                <w:szCs w:val="20"/>
              </w:rPr>
            </w:pPr>
            <w:r w:rsidRPr="009A3EB3">
              <w:rPr>
                <w:rFonts w:ascii="Times New Roman" w:hAnsi="Times New Roman" w:cs="Times New Roman"/>
                <w:iCs/>
                <w:sz w:val="20"/>
                <w:szCs w:val="20"/>
                <w:lang w:val="en-US"/>
              </w:rPr>
              <w:t xml:space="preserve">Panel B: </w:t>
            </w:r>
            <w:r w:rsidRPr="009A3EB3">
              <w:rPr>
                <w:rFonts w:ascii="Times New Roman" w:hAnsi="Times New Roman" w:cs="Times New Roman"/>
                <w:sz w:val="20"/>
                <w:szCs w:val="20"/>
              </w:rPr>
              <w:t>Impact of covenant intensity on bond yields</w:t>
            </w:r>
          </w:p>
        </w:tc>
      </w:tr>
      <w:tr w:rsidR="001E4B9D" w:rsidRPr="00A6252E" w14:paraId="51EE5D4F" w14:textId="77777777" w:rsidTr="00D62709">
        <w:tblPrEx>
          <w:tblBorders>
            <w:bottom w:val="single" w:sz="6" w:space="0" w:color="auto"/>
          </w:tblBorders>
        </w:tblPrEx>
        <w:trPr>
          <w:trHeight w:val="20"/>
        </w:trPr>
        <w:tc>
          <w:tcPr>
            <w:tcW w:w="1324" w:type="pct"/>
            <w:tcBorders>
              <w:top w:val="single" w:sz="4" w:space="0" w:color="auto"/>
              <w:left w:val="nil"/>
              <w:bottom w:val="nil"/>
              <w:right w:val="nil"/>
            </w:tcBorders>
          </w:tcPr>
          <w:p w14:paraId="25360245" w14:textId="77777777" w:rsidR="001E4B9D" w:rsidRPr="00A6252E" w:rsidRDefault="001E4B9D" w:rsidP="001E4B9D">
            <w:pPr>
              <w:widowControl w:val="0"/>
              <w:autoSpaceDE w:val="0"/>
              <w:autoSpaceDN w:val="0"/>
              <w:adjustRightInd w:val="0"/>
              <w:spacing w:after="0" w:line="240" w:lineRule="auto"/>
              <w:rPr>
                <w:rFonts w:ascii="Times New Roman" w:hAnsi="Times New Roman" w:cs="Times New Roman"/>
                <w:sz w:val="20"/>
                <w:szCs w:val="20"/>
                <w:lang w:val="en-US"/>
              </w:rPr>
            </w:pPr>
          </w:p>
        </w:tc>
        <w:tc>
          <w:tcPr>
            <w:tcW w:w="3676" w:type="pct"/>
            <w:gridSpan w:val="4"/>
            <w:tcBorders>
              <w:top w:val="single" w:sz="4" w:space="0" w:color="auto"/>
              <w:left w:val="nil"/>
              <w:bottom w:val="single" w:sz="4" w:space="0" w:color="auto"/>
              <w:right w:val="nil"/>
            </w:tcBorders>
          </w:tcPr>
          <w:p w14:paraId="4E91FEF2" w14:textId="08C26256"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iCs/>
                <w:sz w:val="20"/>
                <w:szCs w:val="20"/>
                <w:lang w:val="en-US"/>
              </w:rPr>
              <w:t>Dependent variable =</w:t>
            </w:r>
            <w:r w:rsidRPr="00A6252E">
              <w:rPr>
                <w:rFonts w:ascii="Times New Roman" w:hAnsi="Times New Roman" w:cs="Times New Roman"/>
                <w:i/>
                <w:sz w:val="20"/>
                <w:szCs w:val="20"/>
                <w:lang w:val="en-US"/>
              </w:rPr>
              <w:t xml:space="preserve"> Yield</w:t>
            </w:r>
          </w:p>
        </w:tc>
      </w:tr>
      <w:tr w:rsidR="001E4B9D" w:rsidRPr="00A6252E" w14:paraId="3582D3DA" w14:textId="77777777" w:rsidTr="00D62709">
        <w:tblPrEx>
          <w:tblBorders>
            <w:bottom w:val="single" w:sz="6" w:space="0" w:color="auto"/>
          </w:tblBorders>
        </w:tblPrEx>
        <w:trPr>
          <w:trHeight w:val="20"/>
        </w:trPr>
        <w:tc>
          <w:tcPr>
            <w:tcW w:w="1324" w:type="pct"/>
            <w:tcBorders>
              <w:top w:val="nil"/>
              <w:left w:val="nil"/>
              <w:bottom w:val="nil"/>
              <w:right w:val="nil"/>
            </w:tcBorders>
          </w:tcPr>
          <w:p w14:paraId="407E7FE8" w14:textId="77777777" w:rsidR="001E4B9D" w:rsidRPr="00A6252E" w:rsidRDefault="001E4B9D" w:rsidP="001E4B9D">
            <w:pPr>
              <w:widowControl w:val="0"/>
              <w:autoSpaceDE w:val="0"/>
              <w:autoSpaceDN w:val="0"/>
              <w:adjustRightInd w:val="0"/>
              <w:spacing w:after="0" w:line="240" w:lineRule="auto"/>
              <w:rPr>
                <w:rFonts w:ascii="Times New Roman" w:hAnsi="Times New Roman" w:cs="Times New Roman"/>
                <w:sz w:val="20"/>
                <w:szCs w:val="20"/>
                <w:lang w:val="en-US"/>
              </w:rPr>
            </w:pPr>
          </w:p>
        </w:tc>
        <w:tc>
          <w:tcPr>
            <w:tcW w:w="955" w:type="pct"/>
            <w:tcBorders>
              <w:top w:val="single" w:sz="4" w:space="0" w:color="auto"/>
              <w:left w:val="nil"/>
              <w:bottom w:val="nil"/>
              <w:right w:val="nil"/>
            </w:tcBorders>
          </w:tcPr>
          <w:p w14:paraId="563404EE" w14:textId="0E225A9B"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rPr>
              <w:t>Prior issue</w:t>
            </w:r>
            <w:r>
              <w:rPr>
                <w:rFonts w:ascii="Times New Roman" w:hAnsi="Times New Roman" w:cs="Times New Roman"/>
                <w:sz w:val="20"/>
                <w:szCs w:val="20"/>
              </w:rPr>
              <w:t xml:space="preserve"> of other bond type</w:t>
            </w:r>
            <w:r w:rsidRPr="00A6252E">
              <w:rPr>
                <w:rFonts w:ascii="Times New Roman" w:hAnsi="Times New Roman" w:cs="Times New Roman"/>
                <w:sz w:val="20"/>
                <w:szCs w:val="20"/>
              </w:rPr>
              <w:t xml:space="preserve"> </w:t>
            </w:r>
            <w:r>
              <w:rPr>
                <w:rFonts w:ascii="Times New Roman" w:hAnsi="Times New Roman" w:cs="Times New Roman"/>
                <w:sz w:val="20"/>
                <w:szCs w:val="20"/>
              </w:rPr>
              <w:t>since start of sample period</w:t>
            </w:r>
          </w:p>
        </w:tc>
        <w:tc>
          <w:tcPr>
            <w:tcW w:w="907" w:type="pct"/>
            <w:tcBorders>
              <w:top w:val="single" w:sz="4" w:space="0" w:color="auto"/>
              <w:left w:val="nil"/>
              <w:bottom w:val="nil"/>
              <w:right w:val="nil"/>
            </w:tcBorders>
          </w:tcPr>
          <w:p w14:paraId="24AE0C88" w14:textId="56FA9272"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 xml:space="preserve">Prior issue </w:t>
            </w:r>
            <w:r>
              <w:rPr>
                <w:rFonts w:ascii="Times New Roman" w:hAnsi="Times New Roman" w:cs="Times New Roman"/>
                <w:sz w:val="20"/>
                <w:szCs w:val="20"/>
                <w:lang w:val="en-US"/>
              </w:rPr>
              <w:t xml:space="preserve">of other bond type </w:t>
            </w:r>
            <w:r w:rsidRPr="00A6252E">
              <w:rPr>
                <w:rFonts w:ascii="Times New Roman" w:hAnsi="Times New Roman" w:cs="Times New Roman"/>
                <w:sz w:val="20"/>
                <w:szCs w:val="20"/>
                <w:lang w:val="en-US"/>
              </w:rPr>
              <w:t xml:space="preserve">within </w:t>
            </w:r>
            <w:r>
              <w:rPr>
                <w:rFonts w:ascii="Times New Roman" w:hAnsi="Times New Roman" w:cs="Times New Roman"/>
                <w:sz w:val="20"/>
                <w:szCs w:val="20"/>
                <w:lang w:val="en-US"/>
              </w:rPr>
              <w:t>five</w:t>
            </w:r>
            <w:r w:rsidRPr="00A6252E">
              <w:rPr>
                <w:rFonts w:ascii="Times New Roman" w:hAnsi="Times New Roman" w:cs="Times New Roman"/>
                <w:sz w:val="20"/>
                <w:szCs w:val="20"/>
                <w:lang w:val="en-US"/>
              </w:rPr>
              <w:t xml:space="preserve"> years</w:t>
            </w:r>
          </w:p>
        </w:tc>
        <w:tc>
          <w:tcPr>
            <w:tcW w:w="907" w:type="pct"/>
            <w:tcBorders>
              <w:top w:val="single" w:sz="4" w:space="0" w:color="auto"/>
              <w:left w:val="nil"/>
              <w:bottom w:val="nil"/>
              <w:right w:val="nil"/>
            </w:tcBorders>
          </w:tcPr>
          <w:p w14:paraId="442390BA" w14:textId="65D10AB6"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 xml:space="preserve">Prior issue </w:t>
            </w:r>
            <w:r>
              <w:rPr>
                <w:rFonts w:ascii="Times New Roman" w:hAnsi="Times New Roman" w:cs="Times New Roman"/>
                <w:sz w:val="20"/>
                <w:szCs w:val="20"/>
                <w:lang w:val="en-US"/>
              </w:rPr>
              <w:t xml:space="preserve">of other bond type </w:t>
            </w:r>
            <w:r w:rsidRPr="00A6252E">
              <w:rPr>
                <w:rFonts w:ascii="Times New Roman" w:hAnsi="Times New Roman" w:cs="Times New Roman"/>
                <w:sz w:val="20"/>
                <w:szCs w:val="20"/>
                <w:lang w:val="en-US"/>
              </w:rPr>
              <w:t xml:space="preserve">within </w:t>
            </w:r>
            <w:r>
              <w:rPr>
                <w:rFonts w:ascii="Times New Roman" w:hAnsi="Times New Roman" w:cs="Times New Roman"/>
                <w:sz w:val="20"/>
                <w:szCs w:val="20"/>
                <w:lang w:val="en-US"/>
              </w:rPr>
              <w:t>three</w:t>
            </w:r>
            <w:r w:rsidRPr="00A6252E">
              <w:rPr>
                <w:rFonts w:ascii="Times New Roman" w:hAnsi="Times New Roman" w:cs="Times New Roman"/>
                <w:sz w:val="20"/>
                <w:szCs w:val="20"/>
                <w:lang w:val="en-US"/>
              </w:rPr>
              <w:t xml:space="preserve"> years</w:t>
            </w:r>
          </w:p>
        </w:tc>
        <w:tc>
          <w:tcPr>
            <w:tcW w:w="907" w:type="pct"/>
            <w:tcBorders>
              <w:top w:val="single" w:sz="4" w:space="0" w:color="auto"/>
              <w:left w:val="nil"/>
              <w:bottom w:val="nil"/>
              <w:right w:val="nil"/>
            </w:tcBorders>
          </w:tcPr>
          <w:p w14:paraId="237408D0" w14:textId="1F94C628"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 xml:space="preserve">Prior issue </w:t>
            </w:r>
            <w:r>
              <w:rPr>
                <w:rFonts w:ascii="Times New Roman" w:hAnsi="Times New Roman" w:cs="Times New Roman"/>
                <w:sz w:val="20"/>
                <w:szCs w:val="20"/>
                <w:lang w:val="en-US"/>
              </w:rPr>
              <w:t xml:space="preserve">of other bond type </w:t>
            </w:r>
            <w:r w:rsidRPr="00A6252E">
              <w:rPr>
                <w:rFonts w:ascii="Times New Roman" w:hAnsi="Times New Roman" w:cs="Times New Roman"/>
                <w:sz w:val="20"/>
                <w:szCs w:val="20"/>
                <w:lang w:val="en-US"/>
              </w:rPr>
              <w:t>with</w:t>
            </w:r>
            <w:r>
              <w:rPr>
                <w:rFonts w:ascii="Times New Roman" w:hAnsi="Times New Roman" w:cs="Times New Roman"/>
                <w:sz w:val="20"/>
                <w:szCs w:val="20"/>
                <w:lang w:val="en-US"/>
              </w:rPr>
              <w:t>in</w:t>
            </w:r>
            <w:r w:rsidRPr="00A6252E">
              <w:rPr>
                <w:rFonts w:ascii="Times New Roman" w:hAnsi="Times New Roman" w:cs="Times New Roman"/>
                <w:sz w:val="20"/>
                <w:szCs w:val="20"/>
                <w:lang w:val="en-US"/>
              </w:rPr>
              <w:t xml:space="preserve"> </w:t>
            </w:r>
            <w:r>
              <w:rPr>
                <w:rFonts w:ascii="Times New Roman" w:hAnsi="Times New Roman" w:cs="Times New Roman"/>
                <w:sz w:val="20"/>
                <w:szCs w:val="20"/>
                <w:lang w:val="en-US"/>
              </w:rPr>
              <w:t>one</w:t>
            </w:r>
            <w:r w:rsidRPr="00A6252E">
              <w:rPr>
                <w:rFonts w:ascii="Times New Roman" w:hAnsi="Times New Roman" w:cs="Times New Roman"/>
                <w:sz w:val="20"/>
                <w:szCs w:val="20"/>
                <w:lang w:val="en-US"/>
              </w:rPr>
              <w:t xml:space="preserve"> year</w:t>
            </w:r>
          </w:p>
        </w:tc>
      </w:tr>
      <w:tr w:rsidR="001E4B9D" w:rsidRPr="00A6252E" w14:paraId="5B8F1913" w14:textId="77777777" w:rsidTr="00D62709">
        <w:tblPrEx>
          <w:tblBorders>
            <w:bottom w:val="single" w:sz="6" w:space="0" w:color="auto"/>
          </w:tblBorders>
        </w:tblPrEx>
        <w:trPr>
          <w:trHeight w:val="20"/>
        </w:trPr>
        <w:tc>
          <w:tcPr>
            <w:tcW w:w="1324" w:type="pct"/>
            <w:tcBorders>
              <w:top w:val="nil"/>
              <w:left w:val="nil"/>
              <w:bottom w:val="single" w:sz="4" w:space="0" w:color="auto"/>
              <w:right w:val="nil"/>
            </w:tcBorders>
          </w:tcPr>
          <w:p w14:paraId="77062630" w14:textId="77777777" w:rsidR="001E4B9D" w:rsidRPr="00A6252E" w:rsidRDefault="001E4B9D" w:rsidP="001E4B9D">
            <w:pPr>
              <w:widowControl w:val="0"/>
              <w:autoSpaceDE w:val="0"/>
              <w:autoSpaceDN w:val="0"/>
              <w:adjustRightInd w:val="0"/>
              <w:spacing w:after="0" w:line="240" w:lineRule="auto"/>
              <w:rPr>
                <w:rFonts w:ascii="Times New Roman" w:hAnsi="Times New Roman" w:cs="Times New Roman"/>
                <w:sz w:val="20"/>
                <w:szCs w:val="20"/>
                <w:lang w:val="en-US"/>
              </w:rPr>
            </w:pPr>
          </w:p>
        </w:tc>
        <w:tc>
          <w:tcPr>
            <w:tcW w:w="955" w:type="pct"/>
            <w:tcBorders>
              <w:top w:val="nil"/>
              <w:left w:val="nil"/>
              <w:bottom w:val="single" w:sz="4" w:space="0" w:color="auto"/>
              <w:right w:val="nil"/>
            </w:tcBorders>
          </w:tcPr>
          <w:p w14:paraId="46728178" w14:textId="29829E6F"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(1)</w:t>
            </w:r>
          </w:p>
        </w:tc>
        <w:tc>
          <w:tcPr>
            <w:tcW w:w="907" w:type="pct"/>
            <w:tcBorders>
              <w:top w:val="nil"/>
              <w:left w:val="nil"/>
              <w:bottom w:val="single" w:sz="4" w:space="0" w:color="auto"/>
              <w:right w:val="nil"/>
            </w:tcBorders>
          </w:tcPr>
          <w:p w14:paraId="31DDAFF6" w14:textId="1304E11E"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w:t>
            </w:r>
            <w:r>
              <w:rPr>
                <w:rFonts w:ascii="Times New Roman" w:hAnsi="Times New Roman" w:cs="Times New Roman"/>
                <w:sz w:val="20"/>
                <w:szCs w:val="20"/>
                <w:lang w:val="en-US"/>
              </w:rPr>
              <w:t>2</w:t>
            </w:r>
            <w:r w:rsidRPr="00A6252E">
              <w:rPr>
                <w:rFonts w:ascii="Times New Roman" w:hAnsi="Times New Roman" w:cs="Times New Roman"/>
                <w:sz w:val="20"/>
                <w:szCs w:val="20"/>
                <w:lang w:val="en-US"/>
              </w:rPr>
              <w:t>)</w:t>
            </w:r>
          </w:p>
        </w:tc>
        <w:tc>
          <w:tcPr>
            <w:tcW w:w="907" w:type="pct"/>
            <w:tcBorders>
              <w:top w:val="nil"/>
              <w:left w:val="nil"/>
              <w:bottom w:val="single" w:sz="4" w:space="0" w:color="auto"/>
              <w:right w:val="nil"/>
            </w:tcBorders>
          </w:tcPr>
          <w:p w14:paraId="20B44244" w14:textId="3D3CF8BE"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w:t>
            </w:r>
            <w:r>
              <w:rPr>
                <w:rFonts w:ascii="Times New Roman" w:hAnsi="Times New Roman" w:cs="Times New Roman"/>
                <w:sz w:val="20"/>
                <w:szCs w:val="20"/>
                <w:lang w:val="en-US"/>
              </w:rPr>
              <w:t>3</w:t>
            </w:r>
            <w:r w:rsidRPr="00A6252E">
              <w:rPr>
                <w:rFonts w:ascii="Times New Roman" w:hAnsi="Times New Roman" w:cs="Times New Roman"/>
                <w:sz w:val="20"/>
                <w:szCs w:val="20"/>
                <w:lang w:val="en-US"/>
              </w:rPr>
              <w:t>)</w:t>
            </w:r>
          </w:p>
        </w:tc>
        <w:tc>
          <w:tcPr>
            <w:tcW w:w="907" w:type="pct"/>
            <w:tcBorders>
              <w:top w:val="nil"/>
              <w:left w:val="nil"/>
              <w:bottom w:val="single" w:sz="4" w:space="0" w:color="auto"/>
              <w:right w:val="nil"/>
            </w:tcBorders>
          </w:tcPr>
          <w:p w14:paraId="3E5EF2A2" w14:textId="671F5761"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w:t>
            </w:r>
            <w:r>
              <w:rPr>
                <w:rFonts w:ascii="Times New Roman" w:hAnsi="Times New Roman" w:cs="Times New Roman"/>
                <w:sz w:val="20"/>
                <w:szCs w:val="20"/>
                <w:lang w:val="en-US"/>
              </w:rPr>
              <w:t>4</w:t>
            </w:r>
            <w:r w:rsidRPr="00A6252E">
              <w:rPr>
                <w:rFonts w:ascii="Times New Roman" w:hAnsi="Times New Roman" w:cs="Times New Roman"/>
                <w:sz w:val="20"/>
                <w:szCs w:val="20"/>
                <w:lang w:val="en-US"/>
              </w:rPr>
              <w:t>)</w:t>
            </w:r>
          </w:p>
        </w:tc>
      </w:tr>
      <w:tr w:rsidR="001E4B9D" w:rsidRPr="00A6252E" w14:paraId="6C80C80D" w14:textId="77777777" w:rsidTr="00BF7513">
        <w:tblPrEx>
          <w:tblBorders>
            <w:bottom w:val="single" w:sz="6" w:space="0" w:color="auto"/>
          </w:tblBorders>
        </w:tblPrEx>
        <w:trPr>
          <w:trHeight w:val="20"/>
        </w:trPr>
        <w:tc>
          <w:tcPr>
            <w:tcW w:w="1324" w:type="pct"/>
            <w:tcBorders>
              <w:top w:val="single" w:sz="4" w:space="0" w:color="auto"/>
              <w:left w:val="nil"/>
              <w:bottom w:val="nil"/>
              <w:right w:val="nil"/>
            </w:tcBorders>
          </w:tcPr>
          <w:p w14:paraId="1BC1E125" w14:textId="7ED1F36F" w:rsidR="001E4B9D" w:rsidRPr="00A6252E" w:rsidRDefault="001E4B9D" w:rsidP="001E4B9D">
            <w:pPr>
              <w:widowControl w:val="0"/>
              <w:autoSpaceDE w:val="0"/>
              <w:autoSpaceDN w:val="0"/>
              <w:adjustRightInd w:val="0"/>
              <w:spacing w:after="0" w:line="240" w:lineRule="auto"/>
              <w:rPr>
                <w:rFonts w:ascii="Times New Roman" w:hAnsi="Times New Roman" w:cs="Times New Roman"/>
                <w:sz w:val="20"/>
                <w:szCs w:val="20"/>
                <w:lang w:val="en-US"/>
              </w:rPr>
            </w:pPr>
            <w:r w:rsidRPr="00A6252E">
              <w:rPr>
                <w:rFonts w:ascii="Times New Roman" w:hAnsi="Times New Roman" w:cs="Times New Roman"/>
                <w:i/>
                <w:sz w:val="20"/>
                <w:szCs w:val="20"/>
                <w:lang w:val="en-US"/>
              </w:rPr>
              <w:t>CI index</w:t>
            </w:r>
          </w:p>
        </w:tc>
        <w:tc>
          <w:tcPr>
            <w:tcW w:w="955" w:type="pct"/>
            <w:tcBorders>
              <w:top w:val="single" w:sz="4" w:space="0" w:color="auto"/>
              <w:left w:val="nil"/>
              <w:bottom w:val="nil"/>
              <w:right w:val="nil"/>
            </w:tcBorders>
            <w:shd w:val="clear" w:color="auto" w:fill="auto"/>
          </w:tcPr>
          <w:p w14:paraId="7571DFFC" w14:textId="27DA654A"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6A0925">
              <w:rPr>
                <w:rFonts w:ascii="Times New Roman" w:hAnsi="Times New Roman" w:cs="Times New Roman"/>
                <w:sz w:val="20"/>
                <w:szCs w:val="20"/>
              </w:rPr>
              <w:t>-1</w:t>
            </w:r>
            <w:r>
              <w:rPr>
                <w:rFonts w:ascii="Times New Roman" w:hAnsi="Times New Roman" w:cs="Times New Roman"/>
                <w:sz w:val="20"/>
                <w:szCs w:val="20"/>
              </w:rPr>
              <w:t>.</w:t>
            </w:r>
            <w:r w:rsidRPr="006A0925">
              <w:rPr>
                <w:rFonts w:ascii="Times New Roman" w:hAnsi="Times New Roman" w:cs="Times New Roman"/>
                <w:sz w:val="20"/>
                <w:szCs w:val="20"/>
              </w:rPr>
              <w:t>4</w:t>
            </w:r>
            <w:r>
              <w:rPr>
                <w:rFonts w:ascii="Times New Roman" w:hAnsi="Times New Roman" w:cs="Times New Roman"/>
                <w:sz w:val="20"/>
                <w:szCs w:val="20"/>
              </w:rPr>
              <w:t>90</w:t>
            </w:r>
            <w:r w:rsidRPr="006A0925">
              <w:rPr>
                <w:rFonts w:ascii="Times New Roman" w:hAnsi="Times New Roman" w:cs="Times New Roman"/>
                <w:sz w:val="20"/>
                <w:szCs w:val="20"/>
              </w:rPr>
              <w:t>***</w:t>
            </w:r>
          </w:p>
        </w:tc>
        <w:tc>
          <w:tcPr>
            <w:tcW w:w="907" w:type="pct"/>
            <w:tcBorders>
              <w:top w:val="single" w:sz="4" w:space="0" w:color="auto"/>
              <w:left w:val="nil"/>
              <w:bottom w:val="nil"/>
              <w:right w:val="nil"/>
            </w:tcBorders>
            <w:shd w:val="clear" w:color="auto" w:fill="auto"/>
          </w:tcPr>
          <w:p w14:paraId="2CAAC70D" w14:textId="31E5CF81"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C4076D">
              <w:rPr>
                <w:rFonts w:ascii="Times New Roman" w:hAnsi="Times New Roman" w:cs="Times New Roman"/>
                <w:sz w:val="20"/>
                <w:szCs w:val="20"/>
              </w:rPr>
              <w:t>-1</w:t>
            </w:r>
            <w:r>
              <w:rPr>
                <w:rFonts w:ascii="Times New Roman" w:hAnsi="Times New Roman" w:cs="Times New Roman"/>
                <w:sz w:val="20"/>
                <w:szCs w:val="20"/>
              </w:rPr>
              <w:t>.</w:t>
            </w:r>
            <w:r w:rsidRPr="00C4076D">
              <w:rPr>
                <w:rFonts w:ascii="Times New Roman" w:hAnsi="Times New Roman" w:cs="Times New Roman"/>
                <w:sz w:val="20"/>
                <w:szCs w:val="20"/>
              </w:rPr>
              <w:t>60</w:t>
            </w:r>
            <w:r>
              <w:rPr>
                <w:rFonts w:ascii="Times New Roman" w:hAnsi="Times New Roman" w:cs="Times New Roman"/>
                <w:sz w:val="20"/>
                <w:szCs w:val="20"/>
              </w:rPr>
              <w:t>7</w:t>
            </w:r>
            <w:r w:rsidRPr="00C4076D">
              <w:rPr>
                <w:rFonts w:ascii="Times New Roman" w:hAnsi="Times New Roman" w:cs="Times New Roman"/>
                <w:sz w:val="20"/>
                <w:szCs w:val="20"/>
              </w:rPr>
              <w:t>***</w:t>
            </w:r>
          </w:p>
        </w:tc>
        <w:tc>
          <w:tcPr>
            <w:tcW w:w="907" w:type="pct"/>
            <w:tcBorders>
              <w:top w:val="single" w:sz="4" w:space="0" w:color="auto"/>
              <w:left w:val="nil"/>
              <w:bottom w:val="nil"/>
              <w:right w:val="nil"/>
            </w:tcBorders>
            <w:shd w:val="clear" w:color="auto" w:fill="auto"/>
          </w:tcPr>
          <w:p w14:paraId="2EA304FB" w14:textId="66AB55D2"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F548F6">
              <w:rPr>
                <w:rFonts w:ascii="Times New Roman" w:hAnsi="Times New Roman" w:cs="Times New Roman"/>
                <w:sz w:val="20"/>
                <w:szCs w:val="20"/>
              </w:rPr>
              <w:t>-1</w:t>
            </w:r>
            <w:r>
              <w:rPr>
                <w:rFonts w:ascii="Times New Roman" w:hAnsi="Times New Roman" w:cs="Times New Roman"/>
                <w:sz w:val="20"/>
                <w:szCs w:val="20"/>
              </w:rPr>
              <w:t>.</w:t>
            </w:r>
            <w:r w:rsidRPr="00F548F6">
              <w:rPr>
                <w:rFonts w:ascii="Times New Roman" w:hAnsi="Times New Roman" w:cs="Times New Roman"/>
                <w:sz w:val="20"/>
                <w:szCs w:val="20"/>
              </w:rPr>
              <w:t>59</w:t>
            </w:r>
            <w:r>
              <w:rPr>
                <w:rFonts w:ascii="Times New Roman" w:hAnsi="Times New Roman" w:cs="Times New Roman"/>
                <w:sz w:val="20"/>
                <w:szCs w:val="20"/>
              </w:rPr>
              <w:t>3</w:t>
            </w:r>
            <w:r w:rsidRPr="00F548F6">
              <w:rPr>
                <w:rFonts w:ascii="Times New Roman" w:hAnsi="Times New Roman" w:cs="Times New Roman"/>
                <w:sz w:val="20"/>
                <w:szCs w:val="20"/>
              </w:rPr>
              <w:t>***</w:t>
            </w:r>
          </w:p>
        </w:tc>
        <w:tc>
          <w:tcPr>
            <w:tcW w:w="907" w:type="pct"/>
            <w:tcBorders>
              <w:top w:val="single" w:sz="4" w:space="0" w:color="auto"/>
              <w:left w:val="nil"/>
              <w:bottom w:val="nil"/>
              <w:right w:val="nil"/>
            </w:tcBorders>
            <w:shd w:val="clear" w:color="auto" w:fill="auto"/>
          </w:tcPr>
          <w:p w14:paraId="3F02E10F" w14:textId="52CE42BE"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51CE9">
              <w:rPr>
                <w:rFonts w:ascii="Times New Roman" w:hAnsi="Times New Roman" w:cs="Times New Roman"/>
                <w:sz w:val="20"/>
                <w:szCs w:val="20"/>
              </w:rPr>
              <w:t>-1</w:t>
            </w:r>
            <w:r>
              <w:rPr>
                <w:rFonts w:ascii="Times New Roman" w:hAnsi="Times New Roman" w:cs="Times New Roman"/>
                <w:sz w:val="20"/>
                <w:szCs w:val="20"/>
              </w:rPr>
              <w:t>.</w:t>
            </w:r>
            <w:r w:rsidRPr="00A51CE9">
              <w:rPr>
                <w:rFonts w:ascii="Times New Roman" w:hAnsi="Times New Roman" w:cs="Times New Roman"/>
                <w:sz w:val="20"/>
                <w:szCs w:val="20"/>
              </w:rPr>
              <w:t>60</w:t>
            </w:r>
            <w:r>
              <w:rPr>
                <w:rFonts w:ascii="Times New Roman" w:hAnsi="Times New Roman" w:cs="Times New Roman"/>
                <w:sz w:val="20"/>
                <w:szCs w:val="20"/>
              </w:rPr>
              <w:t>2</w:t>
            </w:r>
            <w:r w:rsidRPr="00A51CE9">
              <w:rPr>
                <w:rFonts w:ascii="Times New Roman" w:hAnsi="Times New Roman" w:cs="Times New Roman"/>
                <w:sz w:val="20"/>
                <w:szCs w:val="20"/>
              </w:rPr>
              <w:t>**</w:t>
            </w:r>
          </w:p>
        </w:tc>
      </w:tr>
      <w:tr w:rsidR="001E4B9D" w:rsidRPr="00A6252E" w14:paraId="4C004016" w14:textId="77777777" w:rsidTr="00BF7513">
        <w:tblPrEx>
          <w:tblBorders>
            <w:bottom w:val="single" w:sz="6" w:space="0" w:color="auto"/>
          </w:tblBorders>
        </w:tblPrEx>
        <w:trPr>
          <w:trHeight w:val="20"/>
        </w:trPr>
        <w:tc>
          <w:tcPr>
            <w:tcW w:w="1324" w:type="pct"/>
            <w:tcBorders>
              <w:top w:val="nil"/>
              <w:left w:val="nil"/>
              <w:bottom w:val="nil"/>
              <w:right w:val="nil"/>
            </w:tcBorders>
          </w:tcPr>
          <w:p w14:paraId="23877F21" w14:textId="77777777" w:rsidR="001E4B9D" w:rsidRPr="00A6252E" w:rsidRDefault="001E4B9D" w:rsidP="001E4B9D">
            <w:pPr>
              <w:widowControl w:val="0"/>
              <w:autoSpaceDE w:val="0"/>
              <w:autoSpaceDN w:val="0"/>
              <w:adjustRightInd w:val="0"/>
              <w:spacing w:after="0" w:line="240" w:lineRule="auto"/>
              <w:rPr>
                <w:rFonts w:ascii="Times New Roman" w:hAnsi="Times New Roman" w:cs="Times New Roman"/>
                <w:sz w:val="20"/>
                <w:szCs w:val="20"/>
                <w:lang w:val="en-US"/>
              </w:rPr>
            </w:pPr>
          </w:p>
        </w:tc>
        <w:tc>
          <w:tcPr>
            <w:tcW w:w="955" w:type="pct"/>
            <w:tcBorders>
              <w:top w:val="nil"/>
              <w:left w:val="nil"/>
              <w:bottom w:val="nil"/>
              <w:right w:val="nil"/>
            </w:tcBorders>
            <w:shd w:val="clear" w:color="auto" w:fill="auto"/>
          </w:tcPr>
          <w:p w14:paraId="4075B485" w14:textId="12CED6A4"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6A0925">
              <w:rPr>
                <w:rFonts w:ascii="Times New Roman" w:hAnsi="Times New Roman" w:cs="Times New Roman"/>
                <w:sz w:val="20"/>
                <w:szCs w:val="20"/>
              </w:rPr>
              <w:t>(-5.18)</w:t>
            </w:r>
          </w:p>
        </w:tc>
        <w:tc>
          <w:tcPr>
            <w:tcW w:w="907" w:type="pct"/>
            <w:tcBorders>
              <w:top w:val="nil"/>
              <w:left w:val="nil"/>
              <w:bottom w:val="nil"/>
              <w:right w:val="nil"/>
            </w:tcBorders>
            <w:shd w:val="clear" w:color="auto" w:fill="auto"/>
          </w:tcPr>
          <w:p w14:paraId="7E9B2F00" w14:textId="10D2D2B9"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C4076D">
              <w:rPr>
                <w:rFonts w:ascii="Times New Roman" w:hAnsi="Times New Roman" w:cs="Times New Roman"/>
                <w:sz w:val="20"/>
                <w:szCs w:val="20"/>
              </w:rPr>
              <w:t>(-4.32)</w:t>
            </w:r>
          </w:p>
        </w:tc>
        <w:tc>
          <w:tcPr>
            <w:tcW w:w="907" w:type="pct"/>
            <w:tcBorders>
              <w:top w:val="nil"/>
              <w:left w:val="nil"/>
              <w:bottom w:val="nil"/>
              <w:right w:val="nil"/>
            </w:tcBorders>
            <w:shd w:val="clear" w:color="auto" w:fill="auto"/>
          </w:tcPr>
          <w:p w14:paraId="2267074A" w14:textId="0801C649"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F548F6">
              <w:rPr>
                <w:rFonts w:ascii="Times New Roman" w:hAnsi="Times New Roman" w:cs="Times New Roman"/>
                <w:sz w:val="20"/>
                <w:szCs w:val="20"/>
              </w:rPr>
              <w:t>(-3.23)</w:t>
            </w:r>
          </w:p>
        </w:tc>
        <w:tc>
          <w:tcPr>
            <w:tcW w:w="907" w:type="pct"/>
            <w:tcBorders>
              <w:top w:val="nil"/>
              <w:left w:val="nil"/>
              <w:bottom w:val="nil"/>
              <w:right w:val="nil"/>
            </w:tcBorders>
            <w:shd w:val="clear" w:color="auto" w:fill="auto"/>
          </w:tcPr>
          <w:p w14:paraId="658F7820" w14:textId="15BA9616"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51CE9">
              <w:rPr>
                <w:rFonts w:ascii="Times New Roman" w:hAnsi="Times New Roman" w:cs="Times New Roman"/>
                <w:sz w:val="20"/>
                <w:szCs w:val="20"/>
              </w:rPr>
              <w:t>(-2.08)</w:t>
            </w:r>
          </w:p>
        </w:tc>
      </w:tr>
      <w:tr w:rsidR="001E4B9D" w:rsidRPr="00A6252E" w14:paraId="39DDE5AE" w14:textId="77777777" w:rsidTr="00BF7513">
        <w:tblPrEx>
          <w:tblBorders>
            <w:bottom w:val="single" w:sz="6" w:space="0" w:color="auto"/>
          </w:tblBorders>
        </w:tblPrEx>
        <w:trPr>
          <w:trHeight w:val="20"/>
        </w:trPr>
        <w:tc>
          <w:tcPr>
            <w:tcW w:w="1324" w:type="pct"/>
            <w:tcBorders>
              <w:top w:val="nil"/>
              <w:left w:val="nil"/>
              <w:bottom w:val="nil"/>
              <w:right w:val="nil"/>
            </w:tcBorders>
          </w:tcPr>
          <w:p w14:paraId="40A76B60" w14:textId="365AD4B5" w:rsidR="001E4B9D" w:rsidRPr="00A6252E" w:rsidRDefault="001E4B9D" w:rsidP="001E4B9D">
            <w:pPr>
              <w:widowControl w:val="0"/>
              <w:autoSpaceDE w:val="0"/>
              <w:autoSpaceDN w:val="0"/>
              <w:adjustRightInd w:val="0"/>
              <w:spacing w:after="0" w:line="240" w:lineRule="auto"/>
              <w:rPr>
                <w:rFonts w:ascii="Times New Roman" w:hAnsi="Times New Roman" w:cs="Times New Roman"/>
                <w:sz w:val="20"/>
                <w:szCs w:val="20"/>
                <w:lang w:val="en-US"/>
              </w:rPr>
            </w:pPr>
            <w:r w:rsidRPr="002118F2">
              <w:rPr>
                <w:rFonts w:ascii="Times New Roman" w:hAnsi="Times New Roman" w:cs="Times New Roman"/>
                <w:i/>
                <w:sz w:val="20"/>
                <w:szCs w:val="20"/>
                <w:lang w:val="en-US"/>
              </w:rPr>
              <w:t>Convertible</w:t>
            </w:r>
          </w:p>
        </w:tc>
        <w:tc>
          <w:tcPr>
            <w:tcW w:w="955" w:type="pct"/>
            <w:tcBorders>
              <w:top w:val="nil"/>
              <w:left w:val="nil"/>
              <w:bottom w:val="nil"/>
              <w:right w:val="nil"/>
            </w:tcBorders>
            <w:shd w:val="clear" w:color="auto" w:fill="auto"/>
          </w:tcPr>
          <w:p w14:paraId="32B75E06" w14:textId="38C148DF"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6A0925">
              <w:rPr>
                <w:rFonts w:ascii="Times New Roman" w:hAnsi="Times New Roman" w:cs="Times New Roman"/>
                <w:sz w:val="20"/>
                <w:szCs w:val="20"/>
              </w:rPr>
              <w:t>-3</w:t>
            </w:r>
            <w:r>
              <w:rPr>
                <w:rFonts w:ascii="Times New Roman" w:hAnsi="Times New Roman" w:cs="Times New Roman"/>
                <w:sz w:val="20"/>
                <w:szCs w:val="20"/>
              </w:rPr>
              <w:t>.</w:t>
            </w:r>
            <w:r w:rsidRPr="006A0925">
              <w:rPr>
                <w:rFonts w:ascii="Times New Roman" w:hAnsi="Times New Roman" w:cs="Times New Roman"/>
                <w:sz w:val="20"/>
                <w:szCs w:val="20"/>
              </w:rPr>
              <w:t>329***</w:t>
            </w:r>
          </w:p>
        </w:tc>
        <w:tc>
          <w:tcPr>
            <w:tcW w:w="907" w:type="pct"/>
            <w:tcBorders>
              <w:top w:val="nil"/>
              <w:left w:val="nil"/>
              <w:bottom w:val="nil"/>
              <w:right w:val="nil"/>
            </w:tcBorders>
            <w:shd w:val="clear" w:color="auto" w:fill="auto"/>
          </w:tcPr>
          <w:p w14:paraId="3F9ECFD7" w14:textId="09D5C7E8"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C4076D">
              <w:rPr>
                <w:rFonts w:ascii="Times New Roman" w:hAnsi="Times New Roman" w:cs="Times New Roman"/>
                <w:sz w:val="20"/>
                <w:szCs w:val="20"/>
              </w:rPr>
              <w:t>-3</w:t>
            </w:r>
            <w:r>
              <w:rPr>
                <w:rFonts w:ascii="Times New Roman" w:hAnsi="Times New Roman" w:cs="Times New Roman"/>
                <w:sz w:val="20"/>
                <w:szCs w:val="20"/>
              </w:rPr>
              <w:t>.</w:t>
            </w:r>
            <w:r w:rsidRPr="00C4076D">
              <w:rPr>
                <w:rFonts w:ascii="Times New Roman" w:hAnsi="Times New Roman" w:cs="Times New Roman"/>
                <w:sz w:val="20"/>
                <w:szCs w:val="20"/>
              </w:rPr>
              <w:t>431***</w:t>
            </w:r>
          </w:p>
        </w:tc>
        <w:tc>
          <w:tcPr>
            <w:tcW w:w="907" w:type="pct"/>
            <w:tcBorders>
              <w:top w:val="nil"/>
              <w:left w:val="nil"/>
              <w:bottom w:val="nil"/>
              <w:right w:val="nil"/>
            </w:tcBorders>
            <w:shd w:val="clear" w:color="auto" w:fill="auto"/>
          </w:tcPr>
          <w:p w14:paraId="4A9845C5" w14:textId="15F42FC3"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F548F6">
              <w:rPr>
                <w:rFonts w:ascii="Times New Roman" w:hAnsi="Times New Roman" w:cs="Times New Roman"/>
                <w:sz w:val="20"/>
                <w:szCs w:val="20"/>
              </w:rPr>
              <w:t>-3</w:t>
            </w:r>
            <w:r>
              <w:rPr>
                <w:rFonts w:ascii="Times New Roman" w:hAnsi="Times New Roman" w:cs="Times New Roman"/>
                <w:sz w:val="20"/>
                <w:szCs w:val="20"/>
              </w:rPr>
              <w:t>.</w:t>
            </w:r>
            <w:r w:rsidRPr="00F548F6">
              <w:rPr>
                <w:rFonts w:ascii="Times New Roman" w:hAnsi="Times New Roman" w:cs="Times New Roman"/>
                <w:sz w:val="20"/>
                <w:szCs w:val="20"/>
              </w:rPr>
              <w:t>299***</w:t>
            </w:r>
          </w:p>
        </w:tc>
        <w:tc>
          <w:tcPr>
            <w:tcW w:w="907" w:type="pct"/>
            <w:tcBorders>
              <w:top w:val="nil"/>
              <w:left w:val="nil"/>
              <w:bottom w:val="nil"/>
              <w:right w:val="nil"/>
            </w:tcBorders>
            <w:shd w:val="clear" w:color="auto" w:fill="auto"/>
          </w:tcPr>
          <w:p w14:paraId="4EB9682A" w14:textId="4DE3466B"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51CE9">
              <w:rPr>
                <w:rFonts w:ascii="Times New Roman" w:hAnsi="Times New Roman" w:cs="Times New Roman"/>
                <w:sz w:val="20"/>
                <w:szCs w:val="20"/>
              </w:rPr>
              <w:t>-3</w:t>
            </w:r>
            <w:r>
              <w:rPr>
                <w:rFonts w:ascii="Times New Roman" w:hAnsi="Times New Roman" w:cs="Times New Roman"/>
                <w:sz w:val="20"/>
                <w:szCs w:val="20"/>
              </w:rPr>
              <w:t>.</w:t>
            </w:r>
            <w:r w:rsidRPr="00A51CE9">
              <w:rPr>
                <w:rFonts w:ascii="Times New Roman" w:hAnsi="Times New Roman" w:cs="Times New Roman"/>
                <w:sz w:val="20"/>
                <w:szCs w:val="20"/>
              </w:rPr>
              <w:t>941**</w:t>
            </w:r>
          </w:p>
        </w:tc>
      </w:tr>
      <w:tr w:rsidR="001E4B9D" w:rsidRPr="00A6252E" w14:paraId="1BBF7812" w14:textId="77777777" w:rsidTr="00BF7513">
        <w:tblPrEx>
          <w:tblBorders>
            <w:bottom w:val="single" w:sz="6" w:space="0" w:color="auto"/>
          </w:tblBorders>
        </w:tblPrEx>
        <w:trPr>
          <w:trHeight w:val="20"/>
        </w:trPr>
        <w:tc>
          <w:tcPr>
            <w:tcW w:w="1324" w:type="pct"/>
            <w:tcBorders>
              <w:top w:val="nil"/>
              <w:left w:val="nil"/>
              <w:bottom w:val="nil"/>
              <w:right w:val="nil"/>
            </w:tcBorders>
          </w:tcPr>
          <w:p w14:paraId="10C1168F" w14:textId="77777777" w:rsidR="001E4B9D" w:rsidRPr="00A6252E" w:rsidRDefault="001E4B9D" w:rsidP="001E4B9D">
            <w:pPr>
              <w:widowControl w:val="0"/>
              <w:autoSpaceDE w:val="0"/>
              <w:autoSpaceDN w:val="0"/>
              <w:adjustRightInd w:val="0"/>
              <w:spacing w:after="0" w:line="240" w:lineRule="auto"/>
              <w:rPr>
                <w:rFonts w:ascii="Times New Roman" w:hAnsi="Times New Roman" w:cs="Times New Roman"/>
                <w:sz w:val="20"/>
                <w:szCs w:val="20"/>
                <w:lang w:val="en-US"/>
              </w:rPr>
            </w:pPr>
          </w:p>
        </w:tc>
        <w:tc>
          <w:tcPr>
            <w:tcW w:w="955" w:type="pct"/>
            <w:tcBorders>
              <w:top w:val="nil"/>
              <w:left w:val="nil"/>
              <w:bottom w:val="nil"/>
              <w:right w:val="nil"/>
            </w:tcBorders>
            <w:shd w:val="clear" w:color="auto" w:fill="auto"/>
          </w:tcPr>
          <w:p w14:paraId="29D66104" w14:textId="24F77FB2"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6A0925">
              <w:rPr>
                <w:rFonts w:ascii="Times New Roman" w:hAnsi="Times New Roman" w:cs="Times New Roman"/>
                <w:sz w:val="20"/>
                <w:szCs w:val="20"/>
              </w:rPr>
              <w:t>(-5.76)</w:t>
            </w:r>
          </w:p>
        </w:tc>
        <w:tc>
          <w:tcPr>
            <w:tcW w:w="907" w:type="pct"/>
            <w:tcBorders>
              <w:top w:val="nil"/>
              <w:left w:val="nil"/>
              <w:bottom w:val="nil"/>
              <w:right w:val="nil"/>
            </w:tcBorders>
            <w:shd w:val="clear" w:color="auto" w:fill="auto"/>
          </w:tcPr>
          <w:p w14:paraId="2054A594" w14:textId="7FA33DEF"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C4076D">
              <w:rPr>
                <w:rFonts w:ascii="Times New Roman" w:hAnsi="Times New Roman" w:cs="Times New Roman"/>
                <w:sz w:val="20"/>
                <w:szCs w:val="20"/>
              </w:rPr>
              <w:t>(-4.39)</w:t>
            </w:r>
          </w:p>
        </w:tc>
        <w:tc>
          <w:tcPr>
            <w:tcW w:w="907" w:type="pct"/>
            <w:tcBorders>
              <w:top w:val="nil"/>
              <w:left w:val="nil"/>
              <w:bottom w:val="nil"/>
              <w:right w:val="nil"/>
            </w:tcBorders>
            <w:shd w:val="clear" w:color="auto" w:fill="auto"/>
          </w:tcPr>
          <w:p w14:paraId="6A60F169" w14:textId="4693A08F"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F548F6">
              <w:rPr>
                <w:rFonts w:ascii="Times New Roman" w:hAnsi="Times New Roman" w:cs="Times New Roman"/>
                <w:sz w:val="20"/>
                <w:szCs w:val="20"/>
              </w:rPr>
              <w:t>(-3.42)</w:t>
            </w:r>
          </w:p>
        </w:tc>
        <w:tc>
          <w:tcPr>
            <w:tcW w:w="907" w:type="pct"/>
            <w:tcBorders>
              <w:top w:val="nil"/>
              <w:left w:val="nil"/>
              <w:bottom w:val="nil"/>
              <w:right w:val="nil"/>
            </w:tcBorders>
            <w:shd w:val="clear" w:color="auto" w:fill="auto"/>
          </w:tcPr>
          <w:p w14:paraId="241A3066" w14:textId="0BAFA321"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51CE9">
              <w:rPr>
                <w:rFonts w:ascii="Times New Roman" w:hAnsi="Times New Roman" w:cs="Times New Roman"/>
                <w:sz w:val="20"/>
                <w:szCs w:val="20"/>
              </w:rPr>
              <w:t>(-2.32)</w:t>
            </w:r>
          </w:p>
        </w:tc>
      </w:tr>
      <w:tr w:rsidR="001E4B9D" w:rsidRPr="00A6252E" w14:paraId="092C3337" w14:textId="77777777" w:rsidTr="00BF7513">
        <w:tblPrEx>
          <w:tblBorders>
            <w:bottom w:val="single" w:sz="6" w:space="0" w:color="auto"/>
          </w:tblBorders>
        </w:tblPrEx>
        <w:trPr>
          <w:trHeight w:val="20"/>
        </w:trPr>
        <w:tc>
          <w:tcPr>
            <w:tcW w:w="1324" w:type="pct"/>
            <w:tcBorders>
              <w:top w:val="nil"/>
              <w:left w:val="nil"/>
              <w:bottom w:val="nil"/>
              <w:right w:val="nil"/>
            </w:tcBorders>
          </w:tcPr>
          <w:p w14:paraId="7A89E353" w14:textId="7F948016" w:rsidR="001E4B9D" w:rsidRPr="00A6252E" w:rsidRDefault="001E4B9D" w:rsidP="001E4B9D">
            <w:pPr>
              <w:widowControl w:val="0"/>
              <w:autoSpaceDE w:val="0"/>
              <w:autoSpaceDN w:val="0"/>
              <w:adjustRightInd w:val="0"/>
              <w:spacing w:after="0" w:line="240" w:lineRule="auto"/>
              <w:rPr>
                <w:rFonts w:ascii="Times New Roman" w:hAnsi="Times New Roman" w:cs="Times New Roman"/>
                <w:sz w:val="20"/>
                <w:szCs w:val="20"/>
                <w:lang w:val="en-US"/>
              </w:rPr>
            </w:pPr>
            <w:r w:rsidRPr="00A6252E">
              <w:rPr>
                <w:rFonts w:ascii="Times New Roman" w:hAnsi="Times New Roman" w:cs="Times New Roman"/>
                <w:i/>
                <w:sz w:val="20"/>
                <w:szCs w:val="20"/>
                <w:lang w:val="en-US"/>
              </w:rPr>
              <w:t>CI index</w:t>
            </w:r>
            <w:r w:rsidRPr="002118F2">
              <w:rPr>
                <w:rFonts w:ascii="Times New Roman" w:hAnsi="Times New Roman" w:cs="Times New Roman"/>
                <w:i/>
                <w:sz w:val="20"/>
                <w:szCs w:val="20"/>
                <w:lang w:val="en-US"/>
              </w:rPr>
              <w:t xml:space="preserve"> </w:t>
            </w:r>
            <w:r w:rsidR="000F0FF0" w:rsidRPr="003101A0">
              <w:rPr>
                <w:rFonts w:ascii="Times New Roman" w:hAnsi="Times New Roman" w:cs="Times New Roman"/>
                <w:i/>
                <w:sz w:val="20"/>
                <w:szCs w:val="20"/>
                <w:lang w:val="en-US"/>
              </w:rPr>
              <w:t>×</w:t>
            </w:r>
            <w:r w:rsidRPr="002118F2">
              <w:rPr>
                <w:rFonts w:ascii="Times New Roman" w:hAnsi="Times New Roman" w:cs="Times New Roman"/>
                <w:i/>
                <w:sz w:val="20"/>
                <w:szCs w:val="20"/>
                <w:lang w:val="en-US"/>
              </w:rPr>
              <w:t xml:space="preserve"> Convertible</w:t>
            </w:r>
          </w:p>
        </w:tc>
        <w:tc>
          <w:tcPr>
            <w:tcW w:w="955" w:type="pct"/>
            <w:tcBorders>
              <w:top w:val="nil"/>
              <w:left w:val="nil"/>
              <w:bottom w:val="nil"/>
              <w:right w:val="nil"/>
            </w:tcBorders>
            <w:shd w:val="clear" w:color="auto" w:fill="auto"/>
          </w:tcPr>
          <w:p w14:paraId="15F86C18" w14:textId="2DEE5E79"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6A0925">
              <w:rPr>
                <w:rFonts w:ascii="Times New Roman" w:hAnsi="Times New Roman" w:cs="Times New Roman"/>
                <w:sz w:val="20"/>
                <w:szCs w:val="20"/>
              </w:rPr>
              <w:t>4</w:t>
            </w:r>
            <w:r>
              <w:rPr>
                <w:rFonts w:ascii="Times New Roman" w:hAnsi="Times New Roman" w:cs="Times New Roman"/>
                <w:sz w:val="20"/>
                <w:szCs w:val="20"/>
              </w:rPr>
              <w:t>.</w:t>
            </w:r>
            <w:r w:rsidRPr="006A0925">
              <w:rPr>
                <w:rFonts w:ascii="Times New Roman" w:hAnsi="Times New Roman" w:cs="Times New Roman"/>
                <w:sz w:val="20"/>
                <w:szCs w:val="20"/>
              </w:rPr>
              <w:t>432***</w:t>
            </w:r>
          </w:p>
        </w:tc>
        <w:tc>
          <w:tcPr>
            <w:tcW w:w="907" w:type="pct"/>
            <w:tcBorders>
              <w:top w:val="nil"/>
              <w:left w:val="nil"/>
              <w:bottom w:val="nil"/>
              <w:right w:val="nil"/>
            </w:tcBorders>
            <w:shd w:val="clear" w:color="auto" w:fill="auto"/>
          </w:tcPr>
          <w:p w14:paraId="765781D3" w14:textId="3AED8E41"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C4076D">
              <w:rPr>
                <w:rFonts w:ascii="Times New Roman" w:hAnsi="Times New Roman" w:cs="Times New Roman"/>
                <w:sz w:val="20"/>
                <w:szCs w:val="20"/>
              </w:rPr>
              <w:t>4</w:t>
            </w:r>
            <w:r>
              <w:rPr>
                <w:rFonts w:ascii="Times New Roman" w:hAnsi="Times New Roman" w:cs="Times New Roman"/>
                <w:sz w:val="20"/>
                <w:szCs w:val="20"/>
              </w:rPr>
              <w:t>.</w:t>
            </w:r>
            <w:r w:rsidRPr="00C4076D">
              <w:rPr>
                <w:rFonts w:ascii="Times New Roman" w:hAnsi="Times New Roman" w:cs="Times New Roman"/>
                <w:sz w:val="20"/>
                <w:szCs w:val="20"/>
              </w:rPr>
              <w:t>3</w:t>
            </w:r>
            <w:r>
              <w:rPr>
                <w:rFonts w:ascii="Times New Roman" w:hAnsi="Times New Roman" w:cs="Times New Roman"/>
                <w:sz w:val="20"/>
                <w:szCs w:val="20"/>
              </w:rPr>
              <w:t>50</w:t>
            </w:r>
            <w:r w:rsidRPr="00C4076D">
              <w:rPr>
                <w:rFonts w:ascii="Times New Roman" w:hAnsi="Times New Roman" w:cs="Times New Roman"/>
                <w:sz w:val="20"/>
                <w:szCs w:val="20"/>
              </w:rPr>
              <w:t>***</w:t>
            </w:r>
          </w:p>
        </w:tc>
        <w:tc>
          <w:tcPr>
            <w:tcW w:w="907" w:type="pct"/>
            <w:tcBorders>
              <w:top w:val="nil"/>
              <w:left w:val="nil"/>
              <w:bottom w:val="nil"/>
              <w:right w:val="nil"/>
            </w:tcBorders>
            <w:shd w:val="clear" w:color="auto" w:fill="auto"/>
          </w:tcPr>
          <w:p w14:paraId="161C62D5" w14:textId="46A00E31"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F548F6">
              <w:rPr>
                <w:rFonts w:ascii="Times New Roman" w:hAnsi="Times New Roman" w:cs="Times New Roman"/>
                <w:sz w:val="20"/>
                <w:szCs w:val="20"/>
              </w:rPr>
              <w:t>4</w:t>
            </w:r>
            <w:r>
              <w:rPr>
                <w:rFonts w:ascii="Times New Roman" w:hAnsi="Times New Roman" w:cs="Times New Roman"/>
                <w:sz w:val="20"/>
                <w:szCs w:val="20"/>
              </w:rPr>
              <w:t>.</w:t>
            </w:r>
            <w:r w:rsidRPr="00F548F6">
              <w:rPr>
                <w:rFonts w:ascii="Times New Roman" w:hAnsi="Times New Roman" w:cs="Times New Roman"/>
                <w:sz w:val="20"/>
                <w:szCs w:val="20"/>
              </w:rPr>
              <w:t>8</w:t>
            </w:r>
            <w:r>
              <w:rPr>
                <w:rFonts w:ascii="Times New Roman" w:hAnsi="Times New Roman" w:cs="Times New Roman"/>
                <w:sz w:val="20"/>
                <w:szCs w:val="20"/>
              </w:rPr>
              <w:t>70</w:t>
            </w:r>
            <w:r w:rsidRPr="00F548F6">
              <w:rPr>
                <w:rFonts w:ascii="Times New Roman" w:hAnsi="Times New Roman" w:cs="Times New Roman"/>
                <w:sz w:val="20"/>
                <w:szCs w:val="20"/>
              </w:rPr>
              <w:t>***</w:t>
            </w:r>
          </w:p>
        </w:tc>
        <w:tc>
          <w:tcPr>
            <w:tcW w:w="907" w:type="pct"/>
            <w:tcBorders>
              <w:top w:val="nil"/>
              <w:left w:val="nil"/>
              <w:bottom w:val="nil"/>
              <w:right w:val="nil"/>
            </w:tcBorders>
            <w:shd w:val="clear" w:color="auto" w:fill="auto"/>
          </w:tcPr>
          <w:p w14:paraId="5A083D80" w14:textId="03DE6054"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51CE9">
              <w:rPr>
                <w:rFonts w:ascii="Times New Roman" w:hAnsi="Times New Roman" w:cs="Times New Roman"/>
                <w:sz w:val="20"/>
                <w:szCs w:val="20"/>
              </w:rPr>
              <w:t>3</w:t>
            </w:r>
            <w:r>
              <w:rPr>
                <w:rFonts w:ascii="Times New Roman" w:hAnsi="Times New Roman" w:cs="Times New Roman"/>
                <w:sz w:val="20"/>
                <w:szCs w:val="20"/>
              </w:rPr>
              <w:t>.</w:t>
            </w:r>
            <w:r w:rsidRPr="00A51CE9">
              <w:rPr>
                <w:rFonts w:ascii="Times New Roman" w:hAnsi="Times New Roman" w:cs="Times New Roman"/>
                <w:sz w:val="20"/>
                <w:szCs w:val="20"/>
              </w:rPr>
              <w:t>18</w:t>
            </w:r>
            <w:r>
              <w:rPr>
                <w:rFonts w:ascii="Times New Roman" w:hAnsi="Times New Roman" w:cs="Times New Roman"/>
                <w:sz w:val="20"/>
                <w:szCs w:val="20"/>
              </w:rPr>
              <w:t>6</w:t>
            </w:r>
            <w:r w:rsidRPr="00A51CE9">
              <w:rPr>
                <w:rFonts w:ascii="Times New Roman" w:hAnsi="Times New Roman" w:cs="Times New Roman"/>
                <w:sz w:val="20"/>
                <w:szCs w:val="20"/>
              </w:rPr>
              <w:t>*</w:t>
            </w:r>
          </w:p>
        </w:tc>
      </w:tr>
      <w:tr w:rsidR="001E4B9D" w:rsidRPr="00A6252E" w14:paraId="453986BF" w14:textId="77777777" w:rsidTr="00BF7513">
        <w:tblPrEx>
          <w:tblBorders>
            <w:bottom w:val="single" w:sz="6" w:space="0" w:color="auto"/>
          </w:tblBorders>
        </w:tblPrEx>
        <w:trPr>
          <w:trHeight w:val="20"/>
        </w:trPr>
        <w:tc>
          <w:tcPr>
            <w:tcW w:w="1324" w:type="pct"/>
            <w:tcBorders>
              <w:top w:val="nil"/>
              <w:left w:val="nil"/>
              <w:bottom w:val="nil"/>
              <w:right w:val="nil"/>
            </w:tcBorders>
          </w:tcPr>
          <w:p w14:paraId="1DCB3B87" w14:textId="77777777" w:rsidR="001E4B9D" w:rsidRPr="005621F1" w:rsidRDefault="001E4B9D" w:rsidP="001E4B9D">
            <w:pPr>
              <w:widowControl w:val="0"/>
              <w:autoSpaceDE w:val="0"/>
              <w:autoSpaceDN w:val="0"/>
              <w:adjustRightInd w:val="0"/>
              <w:spacing w:after="0" w:line="240" w:lineRule="auto"/>
              <w:rPr>
                <w:rFonts w:ascii="Times New Roman" w:hAnsi="Times New Roman" w:cs="Times New Roman"/>
                <w:i/>
                <w:sz w:val="20"/>
                <w:szCs w:val="20"/>
                <w:lang w:eastAsia="zh-CN"/>
              </w:rPr>
            </w:pPr>
          </w:p>
        </w:tc>
        <w:tc>
          <w:tcPr>
            <w:tcW w:w="955" w:type="pct"/>
            <w:tcBorders>
              <w:top w:val="nil"/>
              <w:left w:val="nil"/>
              <w:bottom w:val="nil"/>
              <w:right w:val="nil"/>
            </w:tcBorders>
            <w:shd w:val="clear" w:color="auto" w:fill="auto"/>
          </w:tcPr>
          <w:p w14:paraId="4CDF10BF" w14:textId="549B40DF"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6A0925">
              <w:rPr>
                <w:rFonts w:ascii="Times New Roman" w:hAnsi="Times New Roman" w:cs="Times New Roman"/>
                <w:sz w:val="20"/>
                <w:szCs w:val="20"/>
              </w:rPr>
              <w:t>(3.97)</w:t>
            </w:r>
          </w:p>
        </w:tc>
        <w:tc>
          <w:tcPr>
            <w:tcW w:w="907" w:type="pct"/>
            <w:tcBorders>
              <w:top w:val="nil"/>
              <w:left w:val="nil"/>
              <w:bottom w:val="nil"/>
              <w:right w:val="nil"/>
            </w:tcBorders>
            <w:shd w:val="clear" w:color="auto" w:fill="auto"/>
          </w:tcPr>
          <w:p w14:paraId="249259DD" w14:textId="7A067B93"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C4076D">
              <w:rPr>
                <w:rFonts w:ascii="Times New Roman" w:hAnsi="Times New Roman" w:cs="Times New Roman"/>
                <w:sz w:val="20"/>
                <w:szCs w:val="20"/>
              </w:rPr>
              <w:t>(3.48)</w:t>
            </w:r>
          </w:p>
        </w:tc>
        <w:tc>
          <w:tcPr>
            <w:tcW w:w="907" w:type="pct"/>
            <w:tcBorders>
              <w:top w:val="nil"/>
              <w:left w:val="nil"/>
              <w:bottom w:val="nil"/>
              <w:right w:val="nil"/>
            </w:tcBorders>
            <w:shd w:val="clear" w:color="auto" w:fill="auto"/>
          </w:tcPr>
          <w:p w14:paraId="1D8E2B09" w14:textId="561D0BF0"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F548F6">
              <w:rPr>
                <w:rFonts w:ascii="Times New Roman" w:hAnsi="Times New Roman" w:cs="Times New Roman"/>
                <w:sz w:val="20"/>
                <w:szCs w:val="20"/>
              </w:rPr>
              <w:t>(3.30)</w:t>
            </w:r>
          </w:p>
        </w:tc>
        <w:tc>
          <w:tcPr>
            <w:tcW w:w="907" w:type="pct"/>
            <w:tcBorders>
              <w:top w:val="nil"/>
              <w:left w:val="nil"/>
              <w:bottom w:val="nil"/>
              <w:right w:val="nil"/>
            </w:tcBorders>
            <w:shd w:val="clear" w:color="auto" w:fill="auto"/>
          </w:tcPr>
          <w:p w14:paraId="7215B123" w14:textId="04C7CCF5"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51CE9">
              <w:rPr>
                <w:rFonts w:ascii="Times New Roman" w:hAnsi="Times New Roman" w:cs="Times New Roman"/>
                <w:sz w:val="20"/>
                <w:szCs w:val="20"/>
              </w:rPr>
              <w:t>(1.93)</w:t>
            </w:r>
          </w:p>
        </w:tc>
      </w:tr>
      <w:tr w:rsidR="001E4B9D" w:rsidRPr="00A6252E" w14:paraId="5ADAB62A" w14:textId="77777777" w:rsidTr="00BF7513">
        <w:tblPrEx>
          <w:tblBorders>
            <w:bottom w:val="single" w:sz="6" w:space="0" w:color="auto"/>
          </w:tblBorders>
        </w:tblPrEx>
        <w:trPr>
          <w:trHeight w:val="20"/>
        </w:trPr>
        <w:tc>
          <w:tcPr>
            <w:tcW w:w="1324" w:type="pct"/>
            <w:tcBorders>
              <w:top w:val="nil"/>
              <w:left w:val="nil"/>
              <w:bottom w:val="nil"/>
              <w:right w:val="nil"/>
            </w:tcBorders>
          </w:tcPr>
          <w:p w14:paraId="4A0BA932" w14:textId="47DD6F61" w:rsidR="001E4B9D" w:rsidRPr="002118F2" w:rsidRDefault="001E4B9D" w:rsidP="001E4B9D">
            <w:pPr>
              <w:widowControl w:val="0"/>
              <w:autoSpaceDE w:val="0"/>
              <w:autoSpaceDN w:val="0"/>
              <w:adjustRightInd w:val="0"/>
              <w:spacing w:after="0" w:line="240" w:lineRule="auto"/>
              <w:rPr>
                <w:rFonts w:ascii="Times New Roman" w:hAnsi="Times New Roman" w:cs="Times New Roman"/>
                <w:i/>
                <w:sz w:val="20"/>
                <w:szCs w:val="20"/>
                <w:lang w:val="en-US"/>
              </w:rPr>
            </w:pPr>
            <w:r>
              <w:rPr>
                <w:rFonts w:ascii="Times New Roman" w:hAnsi="Times New Roman" w:cs="Times New Roman"/>
                <w:i/>
                <w:iCs/>
                <w:sz w:val="20"/>
                <w:szCs w:val="20"/>
                <w:lang w:val="en-US"/>
              </w:rPr>
              <w:t>Baseline control variables</w:t>
            </w:r>
          </w:p>
        </w:tc>
        <w:tc>
          <w:tcPr>
            <w:tcW w:w="955" w:type="pct"/>
            <w:tcBorders>
              <w:top w:val="nil"/>
              <w:left w:val="nil"/>
              <w:bottom w:val="nil"/>
              <w:right w:val="nil"/>
            </w:tcBorders>
            <w:shd w:val="clear" w:color="auto" w:fill="auto"/>
          </w:tcPr>
          <w:p w14:paraId="4E7309C2" w14:textId="1506A871"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Yes</w:t>
            </w:r>
          </w:p>
        </w:tc>
        <w:tc>
          <w:tcPr>
            <w:tcW w:w="907" w:type="pct"/>
            <w:tcBorders>
              <w:top w:val="nil"/>
              <w:left w:val="nil"/>
              <w:bottom w:val="nil"/>
              <w:right w:val="nil"/>
            </w:tcBorders>
            <w:shd w:val="clear" w:color="auto" w:fill="auto"/>
          </w:tcPr>
          <w:p w14:paraId="2E4A23FB" w14:textId="3B78C67A"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Yes</w:t>
            </w:r>
          </w:p>
        </w:tc>
        <w:tc>
          <w:tcPr>
            <w:tcW w:w="907" w:type="pct"/>
            <w:tcBorders>
              <w:top w:val="nil"/>
              <w:left w:val="nil"/>
              <w:bottom w:val="nil"/>
              <w:right w:val="nil"/>
            </w:tcBorders>
            <w:shd w:val="clear" w:color="auto" w:fill="auto"/>
          </w:tcPr>
          <w:p w14:paraId="6D53191D" w14:textId="2362FE7A"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Yes</w:t>
            </w:r>
          </w:p>
        </w:tc>
        <w:tc>
          <w:tcPr>
            <w:tcW w:w="907" w:type="pct"/>
            <w:tcBorders>
              <w:top w:val="nil"/>
              <w:left w:val="nil"/>
              <w:bottom w:val="nil"/>
              <w:right w:val="nil"/>
            </w:tcBorders>
            <w:shd w:val="clear" w:color="auto" w:fill="auto"/>
          </w:tcPr>
          <w:p w14:paraId="27F771EF" w14:textId="27C9651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Yes</w:t>
            </w:r>
          </w:p>
        </w:tc>
      </w:tr>
      <w:tr w:rsidR="001E4B9D" w:rsidRPr="00A6252E" w14:paraId="390C2B3D" w14:textId="77777777" w:rsidTr="00BF7513">
        <w:tblPrEx>
          <w:tblBorders>
            <w:bottom w:val="single" w:sz="6" w:space="0" w:color="auto"/>
          </w:tblBorders>
        </w:tblPrEx>
        <w:trPr>
          <w:trHeight w:val="20"/>
        </w:trPr>
        <w:tc>
          <w:tcPr>
            <w:tcW w:w="1324" w:type="pct"/>
            <w:tcBorders>
              <w:top w:val="nil"/>
              <w:left w:val="nil"/>
              <w:bottom w:val="nil"/>
              <w:right w:val="nil"/>
            </w:tcBorders>
          </w:tcPr>
          <w:p w14:paraId="172D5543" w14:textId="0F2F4C92" w:rsidR="001E4B9D" w:rsidRDefault="001E4B9D" w:rsidP="001E4B9D">
            <w:pPr>
              <w:widowControl w:val="0"/>
              <w:autoSpaceDE w:val="0"/>
              <w:autoSpaceDN w:val="0"/>
              <w:adjustRightInd w:val="0"/>
              <w:spacing w:after="0" w:line="240" w:lineRule="auto"/>
              <w:rPr>
                <w:rFonts w:ascii="Times New Roman" w:hAnsi="Times New Roman" w:cs="Times New Roman"/>
                <w:i/>
                <w:iCs/>
                <w:sz w:val="20"/>
                <w:szCs w:val="20"/>
                <w:lang w:val="en-US"/>
              </w:rPr>
            </w:pPr>
            <w:r>
              <w:rPr>
                <w:rFonts w:ascii="Times New Roman" w:hAnsi="Times New Roman" w:cs="Times New Roman"/>
                <w:i/>
                <w:iCs/>
                <w:sz w:val="20"/>
                <w:szCs w:val="20"/>
                <w:lang w:val="en-US"/>
              </w:rPr>
              <w:t xml:space="preserve">Baseline control variables </w:t>
            </w:r>
            <w:r w:rsidR="000F0FF0" w:rsidRPr="003101A0">
              <w:rPr>
                <w:rFonts w:ascii="Times New Roman" w:hAnsi="Times New Roman" w:cs="Times New Roman"/>
                <w:i/>
                <w:sz w:val="20"/>
                <w:szCs w:val="20"/>
                <w:lang w:val="en-US"/>
              </w:rPr>
              <w:t>×</w:t>
            </w:r>
            <w:r>
              <w:rPr>
                <w:rFonts w:ascii="Times New Roman" w:hAnsi="Times New Roman" w:cs="Times New Roman"/>
                <w:i/>
                <w:iCs/>
                <w:sz w:val="20"/>
                <w:szCs w:val="20"/>
                <w:lang w:val="en-US"/>
              </w:rPr>
              <w:t xml:space="preserve"> </w:t>
            </w:r>
            <w:r w:rsidRPr="002118F2">
              <w:rPr>
                <w:rFonts w:ascii="Times New Roman" w:hAnsi="Times New Roman" w:cs="Times New Roman"/>
                <w:i/>
                <w:sz w:val="20"/>
                <w:szCs w:val="20"/>
                <w:lang w:val="en-US"/>
              </w:rPr>
              <w:t>Convertible</w:t>
            </w:r>
          </w:p>
        </w:tc>
        <w:tc>
          <w:tcPr>
            <w:tcW w:w="955" w:type="pct"/>
            <w:tcBorders>
              <w:top w:val="nil"/>
              <w:left w:val="nil"/>
              <w:bottom w:val="nil"/>
              <w:right w:val="nil"/>
            </w:tcBorders>
            <w:shd w:val="clear" w:color="auto" w:fill="auto"/>
          </w:tcPr>
          <w:p w14:paraId="412CA7BB" w14:textId="6EB52401"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Yes</w:t>
            </w:r>
          </w:p>
        </w:tc>
        <w:tc>
          <w:tcPr>
            <w:tcW w:w="907" w:type="pct"/>
            <w:tcBorders>
              <w:top w:val="nil"/>
              <w:left w:val="nil"/>
              <w:bottom w:val="nil"/>
              <w:right w:val="nil"/>
            </w:tcBorders>
            <w:shd w:val="clear" w:color="auto" w:fill="auto"/>
          </w:tcPr>
          <w:p w14:paraId="692B9A35" w14:textId="36333326"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Yes</w:t>
            </w:r>
          </w:p>
        </w:tc>
        <w:tc>
          <w:tcPr>
            <w:tcW w:w="907" w:type="pct"/>
            <w:tcBorders>
              <w:top w:val="nil"/>
              <w:left w:val="nil"/>
              <w:bottom w:val="nil"/>
              <w:right w:val="nil"/>
            </w:tcBorders>
            <w:shd w:val="clear" w:color="auto" w:fill="auto"/>
          </w:tcPr>
          <w:p w14:paraId="48C7C4F6" w14:textId="653E0B26"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Yes</w:t>
            </w:r>
          </w:p>
        </w:tc>
        <w:tc>
          <w:tcPr>
            <w:tcW w:w="907" w:type="pct"/>
            <w:tcBorders>
              <w:top w:val="nil"/>
              <w:left w:val="nil"/>
              <w:bottom w:val="nil"/>
              <w:right w:val="nil"/>
            </w:tcBorders>
            <w:shd w:val="clear" w:color="auto" w:fill="auto"/>
          </w:tcPr>
          <w:p w14:paraId="32DBE5D0" w14:textId="183EA28C"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6252E">
              <w:rPr>
                <w:rFonts w:ascii="Times New Roman" w:hAnsi="Times New Roman" w:cs="Times New Roman"/>
                <w:sz w:val="20"/>
                <w:szCs w:val="20"/>
                <w:lang w:val="en-US"/>
              </w:rPr>
              <w:t>Yes</w:t>
            </w:r>
          </w:p>
        </w:tc>
      </w:tr>
      <w:tr w:rsidR="001E4B9D" w:rsidRPr="00A6252E" w14:paraId="7E5548E3" w14:textId="77777777" w:rsidTr="00BF7513">
        <w:tblPrEx>
          <w:tblBorders>
            <w:bottom w:val="single" w:sz="6" w:space="0" w:color="auto"/>
          </w:tblBorders>
        </w:tblPrEx>
        <w:trPr>
          <w:trHeight w:val="20"/>
        </w:trPr>
        <w:tc>
          <w:tcPr>
            <w:tcW w:w="1324" w:type="pct"/>
            <w:tcBorders>
              <w:top w:val="nil"/>
              <w:left w:val="nil"/>
              <w:bottom w:val="nil"/>
              <w:right w:val="nil"/>
            </w:tcBorders>
          </w:tcPr>
          <w:p w14:paraId="138B4905" w14:textId="7437E3DE" w:rsidR="001E4B9D" w:rsidRPr="002118F2" w:rsidRDefault="001E4B9D" w:rsidP="001E4B9D">
            <w:pPr>
              <w:widowControl w:val="0"/>
              <w:autoSpaceDE w:val="0"/>
              <w:autoSpaceDN w:val="0"/>
              <w:adjustRightInd w:val="0"/>
              <w:spacing w:after="0" w:line="240" w:lineRule="auto"/>
              <w:rPr>
                <w:rFonts w:ascii="Times New Roman" w:hAnsi="Times New Roman" w:cs="Times New Roman"/>
                <w:i/>
                <w:sz w:val="20"/>
                <w:szCs w:val="20"/>
                <w:lang w:val="en-US"/>
              </w:rPr>
            </w:pPr>
            <w:r>
              <w:rPr>
                <w:rFonts w:ascii="Times New Roman" w:hAnsi="Times New Roman" w:cs="Times New Roman"/>
                <w:i/>
                <w:iCs/>
                <w:sz w:val="20"/>
                <w:szCs w:val="20"/>
                <w:lang w:val="en-US"/>
              </w:rPr>
              <w:t>Industry FE</w:t>
            </w:r>
          </w:p>
        </w:tc>
        <w:tc>
          <w:tcPr>
            <w:tcW w:w="955" w:type="pct"/>
            <w:tcBorders>
              <w:top w:val="nil"/>
              <w:left w:val="nil"/>
              <w:bottom w:val="nil"/>
              <w:right w:val="nil"/>
            </w:tcBorders>
            <w:shd w:val="clear" w:color="auto" w:fill="auto"/>
          </w:tcPr>
          <w:p w14:paraId="13175DDE" w14:textId="1F2DA48D"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Yes</w:t>
            </w:r>
          </w:p>
        </w:tc>
        <w:tc>
          <w:tcPr>
            <w:tcW w:w="907" w:type="pct"/>
            <w:tcBorders>
              <w:top w:val="nil"/>
              <w:left w:val="nil"/>
              <w:bottom w:val="nil"/>
              <w:right w:val="nil"/>
            </w:tcBorders>
            <w:shd w:val="clear" w:color="auto" w:fill="auto"/>
          </w:tcPr>
          <w:p w14:paraId="0278D31C" w14:textId="350E7417"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Yes</w:t>
            </w:r>
          </w:p>
        </w:tc>
        <w:tc>
          <w:tcPr>
            <w:tcW w:w="907" w:type="pct"/>
            <w:tcBorders>
              <w:top w:val="nil"/>
              <w:left w:val="nil"/>
              <w:bottom w:val="nil"/>
              <w:right w:val="nil"/>
            </w:tcBorders>
            <w:shd w:val="clear" w:color="auto" w:fill="auto"/>
          </w:tcPr>
          <w:p w14:paraId="70479B42" w14:textId="0688590C"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Yes</w:t>
            </w:r>
          </w:p>
        </w:tc>
        <w:tc>
          <w:tcPr>
            <w:tcW w:w="907" w:type="pct"/>
            <w:tcBorders>
              <w:top w:val="nil"/>
              <w:left w:val="nil"/>
              <w:bottom w:val="nil"/>
              <w:right w:val="nil"/>
            </w:tcBorders>
            <w:shd w:val="clear" w:color="auto" w:fill="auto"/>
          </w:tcPr>
          <w:p w14:paraId="061C14C4" w14:textId="37CCC7CC"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6252E">
              <w:rPr>
                <w:rFonts w:ascii="Times New Roman" w:hAnsi="Times New Roman" w:cs="Times New Roman"/>
                <w:sz w:val="20"/>
                <w:szCs w:val="20"/>
                <w:lang w:val="en-US"/>
              </w:rPr>
              <w:t>Yes</w:t>
            </w:r>
          </w:p>
        </w:tc>
      </w:tr>
      <w:tr w:rsidR="001E4B9D" w:rsidRPr="00A6252E" w14:paraId="5F3837A4" w14:textId="77777777" w:rsidTr="00BF7513">
        <w:tblPrEx>
          <w:tblBorders>
            <w:bottom w:val="single" w:sz="6" w:space="0" w:color="auto"/>
          </w:tblBorders>
        </w:tblPrEx>
        <w:trPr>
          <w:trHeight w:val="20"/>
        </w:trPr>
        <w:tc>
          <w:tcPr>
            <w:tcW w:w="1324" w:type="pct"/>
            <w:tcBorders>
              <w:top w:val="nil"/>
              <w:left w:val="nil"/>
              <w:bottom w:val="nil"/>
              <w:right w:val="nil"/>
            </w:tcBorders>
          </w:tcPr>
          <w:p w14:paraId="28DA3AAE" w14:textId="5C4E424A" w:rsidR="001E4B9D" w:rsidRPr="002118F2" w:rsidRDefault="001E4B9D" w:rsidP="001E4B9D">
            <w:pPr>
              <w:widowControl w:val="0"/>
              <w:autoSpaceDE w:val="0"/>
              <w:autoSpaceDN w:val="0"/>
              <w:adjustRightInd w:val="0"/>
              <w:spacing w:after="0" w:line="240" w:lineRule="auto"/>
              <w:rPr>
                <w:rFonts w:ascii="Times New Roman" w:hAnsi="Times New Roman" w:cs="Times New Roman"/>
                <w:i/>
                <w:sz w:val="20"/>
                <w:szCs w:val="20"/>
                <w:lang w:val="en-US"/>
              </w:rPr>
            </w:pPr>
            <w:r w:rsidRPr="00A6252E">
              <w:rPr>
                <w:rFonts w:ascii="Times New Roman" w:hAnsi="Times New Roman" w:cs="Times New Roman"/>
                <w:i/>
                <w:iCs/>
                <w:sz w:val="20"/>
                <w:szCs w:val="20"/>
                <w:lang w:val="en-US"/>
              </w:rPr>
              <w:t>N</w:t>
            </w:r>
          </w:p>
        </w:tc>
        <w:tc>
          <w:tcPr>
            <w:tcW w:w="955" w:type="pct"/>
            <w:tcBorders>
              <w:top w:val="nil"/>
              <w:left w:val="nil"/>
              <w:bottom w:val="nil"/>
              <w:right w:val="nil"/>
            </w:tcBorders>
            <w:shd w:val="clear" w:color="auto" w:fill="auto"/>
          </w:tcPr>
          <w:p w14:paraId="3425F76F" w14:textId="377EB2F3"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6A0925">
              <w:rPr>
                <w:rFonts w:ascii="Times New Roman" w:hAnsi="Times New Roman"/>
                <w:sz w:val="20"/>
                <w:szCs w:val="20"/>
              </w:rPr>
              <w:t>2,965</w:t>
            </w:r>
          </w:p>
        </w:tc>
        <w:tc>
          <w:tcPr>
            <w:tcW w:w="907" w:type="pct"/>
            <w:tcBorders>
              <w:top w:val="nil"/>
              <w:left w:val="nil"/>
              <w:bottom w:val="nil"/>
              <w:right w:val="nil"/>
            </w:tcBorders>
            <w:shd w:val="clear" w:color="auto" w:fill="auto"/>
          </w:tcPr>
          <w:p w14:paraId="2F921CA4" w14:textId="1AC4DB56"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C4076D">
              <w:rPr>
                <w:rFonts w:ascii="Times New Roman" w:hAnsi="Times New Roman" w:cs="Times New Roman"/>
                <w:sz w:val="20"/>
                <w:szCs w:val="20"/>
              </w:rPr>
              <w:t>1,499</w:t>
            </w:r>
          </w:p>
        </w:tc>
        <w:tc>
          <w:tcPr>
            <w:tcW w:w="907" w:type="pct"/>
            <w:tcBorders>
              <w:top w:val="nil"/>
              <w:left w:val="nil"/>
              <w:bottom w:val="nil"/>
              <w:right w:val="nil"/>
            </w:tcBorders>
            <w:shd w:val="clear" w:color="auto" w:fill="auto"/>
          </w:tcPr>
          <w:p w14:paraId="136185B7" w14:textId="5DF3C2CC"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F548F6">
              <w:rPr>
                <w:rFonts w:ascii="Times New Roman" w:hAnsi="Times New Roman" w:cs="Times New Roman"/>
                <w:sz w:val="20"/>
                <w:szCs w:val="20"/>
              </w:rPr>
              <w:t>1,057</w:t>
            </w:r>
          </w:p>
        </w:tc>
        <w:tc>
          <w:tcPr>
            <w:tcW w:w="907" w:type="pct"/>
            <w:tcBorders>
              <w:top w:val="nil"/>
              <w:left w:val="nil"/>
              <w:bottom w:val="nil"/>
              <w:right w:val="nil"/>
            </w:tcBorders>
            <w:shd w:val="clear" w:color="auto" w:fill="auto"/>
          </w:tcPr>
          <w:p w14:paraId="1F53718F" w14:textId="0A06B4BB"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A51CE9">
              <w:rPr>
                <w:rFonts w:ascii="Times New Roman" w:hAnsi="Times New Roman" w:cs="Times New Roman"/>
                <w:sz w:val="20"/>
                <w:szCs w:val="20"/>
              </w:rPr>
              <w:t>506</w:t>
            </w:r>
          </w:p>
        </w:tc>
      </w:tr>
      <w:tr w:rsidR="001E4B9D" w:rsidRPr="00A6252E" w14:paraId="6531FEDF" w14:textId="77777777" w:rsidTr="00BF7513">
        <w:tblPrEx>
          <w:tblBorders>
            <w:bottom w:val="single" w:sz="6" w:space="0" w:color="auto"/>
          </w:tblBorders>
        </w:tblPrEx>
        <w:trPr>
          <w:trHeight w:val="20"/>
        </w:trPr>
        <w:tc>
          <w:tcPr>
            <w:tcW w:w="1324" w:type="pct"/>
            <w:tcBorders>
              <w:top w:val="nil"/>
              <w:left w:val="nil"/>
              <w:bottom w:val="single" w:sz="4" w:space="0" w:color="auto"/>
              <w:right w:val="nil"/>
            </w:tcBorders>
          </w:tcPr>
          <w:p w14:paraId="0230DD1B" w14:textId="189F6E0E" w:rsidR="001E4B9D" w:rsidRPr="002118F2" w:rsidRDefault="001E4B9D" w:rsidP="001E4B9D">
            <w:pPr>
              <w:widowControl w:val="0"/>
              <w:autoSpaceDE w:val="0"/>
              <w:autoSpaceDN w:val="0"/>
              <w:adjustRightInd w:val="0"/>
              <w:spacing w:after="0" w:line="240" w:lineRule="auto"/>
              <w:rPr>
                <w:rFonts w:ascii="Times New Roman" w:hAnsi="Times New Roman" w:cs="Times New Roman"/>
                <w:i/>
                <w:sz w:val="20"/>
                <w:szCs w:val="20"/>
                <w:lang w:val="en-US"/>
              </w:rPr>
            </w:pPr>
            <w:r w:rsidRPr="00A6252E">
              <w:rPr>
                <w:rFonts w:ascii="Times New Roman" w:hAnsi="Times New Roman" w:cs="Times New Roman"/>
                <w:sz w:val="20"/>
                <w:szCs w:val="20"/>
                <w:lang w:val="en-US"/>
              </w:rPr>
              <w:t>Adj. R</w:t>
            </w:r>
            <w:r w:rsidRPr="00A6252E">
              <w:rPr>
                <w:rFonts w:ascii="Times New Roman" w:hAnsi="Times New Roman" w:cs="Times New Roman"/>
                <w:sz w:val="20"/>
                <w:szCs w:val="20"/>
                <w:vertAlign w:val="superscript"/>
                <w:lang w:val="en-US"/>
              </w:rPr>
              <w:t>2</w:t>
            </w:r>
          </w:p>
        </w:tc>
        <w:tc>
          <w:tcPr>
            <w:tcW w:w="955" w:type="pct"/>
            <w:tcBorders>
              <w:top w:val="nil"/>
              <w:left w:val="nil"/>
              <w:bottom w:val="single" w:sz="4" w:space="0" w:color="auto"/>
              <w:right w:val="nil"/>
            </w:tcBorders>
            <w:shd w:val="clear" w:color="auto" w:fill="auto"/>
          </w:tcPr>
          <w:p w14:paraId="1B4A077B" w14:textId="6BFE77C4"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6A0925">
              <w:rPr>
                <w:rFonts w:ascii="Times New Roman" w:hAnsi="Times New Roman"/>
                <w:sz w:val="20"/>
                <w:szCs w:val="20"/>
              </w:rPr>
              <w:t>0.6</w:t>
            </w:r>
            <w:r>
              <w:rPr>
                <w:rFonts w:ascii="Times New Roman" w:hAnsi="Times New Roman"/>
                <w:sz w:val="20"/>
                <w:szCs w:val="20"/>
              </w:rPr>
              <w:t>54</w:t>
            </w:r>
          </w:p>
        </w:tc>
        <w:tc>
          <w:tcPr>
            <w:tcW w:w="907" w:type="pct"/>
            <w:tcBorders>
              <w:top w:val="nil"/>
              <w:left w:val="nil"/>
              <w:bottom w:val="single" w:sz="4" w:space="0" w:color="auto"/>
              <w:right w:val="nil"/>
            </w:tcBorders>
            <w:shd w:val="clear" w:color="auto" w:fill="auto"/>
          </w:tcPr>
          <w:p w14:paraId="020DB9E7" w14:textId="0AF80FCA"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9B2838">
              <w:rPr>
                <w:rFonts w:ascii="Times New Roman" w:hAnsi="Times New Roman" w:cs="Times New Roman"/>
                <w:sz w:val="20"/>
                <w:szCs w:val="20"/>
              </w:rPr>
              <w:t>0.68</w:t>
            </w:r>
            <w:r>
              <w:rPr>
                <w:rFonts w:ascii="Times New Roman" w:hAnsi="Times New Roman" w:cs="Times New Roman"/>
                <w:sz w:val="20"/>
                <w:szCs w:val="20"/>
              </w:rPr>
              <w:t>9</w:t>
            </w:r>
          </w:p>
        </w:tc>
        <w:tc>
          <w:tcPr>
            <w:tcW w:w="907" w:type="pct"/>
            <w:tcBorders>
              <w:top w:val="nil"/>
              <w:left w:val="nil"/>
              <w:bottom w:val="single" w:sz="4" w:space="0" w:color="auto"/>
              <w:right w:val="nil"/>
            </w:tcBorders>
            <w:shd w:val="clear" w:color="auto" w:fill="auto"/>
          </w:tcPr>
          <w:p w14:paraId="63A17994" w14:textId="03AED9D4"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F548F6">
              <w:rPr>
                <w:rFonts w:ascii="Times New Roman" w:hAnsi="Times New Roman" w:cs="Times New Roman"/>
                <w:sz w:val="20"/>
                <w:szCs w:val="20"/>
              </w:rPr>
              <w:t>0.6</w:t>
            </w:r>
            <w:r>
              <w:rPr>
                <w:rFonts w:ascii="Times New Roman" w:hAnsi="Times New Roman" w:cs="Times New Roman"/>
                <w:sz w:val="20"/>
                <w:szCs w:val="20"/>
              </w:rPr>
              <w:t>90</w:t>
            </w:r>
          </w:p>
        </w:tc>
        <w:tc>
          <w:tcPr>
            <w:tcW w:w="907" w:type="pct"/>
            <w:tcBorders>
              <w:top w:val="nil"/>
              <w:left w:val="nil"/>
              <w:bottom w:val="single" w:sz="4" w:space="0" w:color="auto"/>
              <w:right w:val="nil"/>
            </w:tcBorders>
            <w:shd w:val="clear" w:color="auto" w:fill="auto"/>
          </w:tcPr>
          <w:p w14:paraId="44C2187B" w14:textId="24BBFC6B" w:rsidR="001E4B9D" w:rsidRPr="00A6252E" w:rsidRDefault="001E4B9D" w:rsidP="001E4B9D">
            <w:pPr>
              <w:widowControl w:val="0"/>
              <w:autoSpaceDE w:val="0"/>
              <w:autoSpaceDN w:val="0"/>
              <w:adjustRightInd w:val="0"/>
              <w:spacing w:after="0" w:line="240" w:lineRule="auto"/>
              <w:jc w:val="center"/>
              <w:rPr>
                <w:rFonts w:ascii="Times New Roman" w:hAnsi="Times New Roman" w:cs="Times New Roman"/>
                <w:sz w:val="20"/>
                <w:szCs w:val="20"/>
              </w:rPr>
            </w:pPr>
            <w:r w:rsidRPr="00031E63">
              <w:rPr>
                <w:rFonts w:ascii="Times New Roman" w:hAnsi="Times New Roman" w:cs="Times New Roman"/>
                <w:sz w:val="20"/>
                <w:szCs w:val="20"/>
              </w:rPr>
              <w:t>0.72</w:t>
            </w:r>
            <w:r>
              <w:rPr>
                <w:rFonts w:ascii="Times New Roman" w:hAnsi="Times New Roman" w:cs="Times New Roman"/>
                <w:sz w:val="20"/>
                <w:szCs w:val="20"/>
              </w:rPr>
              <w:t>2</w:t>
            </w:r>
          </w:p>
        </w:tc>
      </w:tr>
      <w:tr w:rsidR="001E4B9D" w:rsidRPr="00A6252E" w14:paraId="3E8F1337" w14:textId="77777777" w:rsidTr="00BC570F">
        <w:tblPrEx>
          <w:tblBorders>
            <w:bottom w:val="single" w:sz="6" w:space="0" w:color="auto"/>
          </w:tblBorders>
        </w:tblPrEx>
        <w:trPr>
          <w:trHeight w:val="20"/>
        </w:trPr>
        <w:tc>
          <w:tcPr>
            <w:tcW w:w="5000" w:type="pct"/>
            <w:gridSpan w:val="5"/>
            <w:tcBorders>
              <w:top w:val="single" w:sz="4" w:space="0" w:color="auto"/>
              <w:left w:val="nil"/>
              <w:bottom w:val="nil"/>
              <w:right w:val="nil"/>
            </w:tcBorders>
          </w:tcPr>
          <w:p w14:paraId="025CD61F" w14:textId="359E0698" w:rsidR="001E4B9D" w:rsidRPr="00A6252E" w:rsidRDefault="001E4B9D" w:rsidP="001E4B9D">
            <w:pPr>
              <w:widowControl w:val="0"/>
              <w:autoSpaceDE w:val="0"/>
              <w:autoSpaceDN w:val="0"/>
              <w:adjustRightInd w:val="0"/>
              <w:spacing w:after="0" w:line="240" w:lineRule="auto"/>
              <w:jc w:val="both"/>
              <w:rPr>
                <w:rFonts w:ascii="Times New Roman" w:hAnsi="Times New Roman" w:cs="Times New Roman"/>
                <w:sz w:val="20"/>
                <w:szCs w:val="20"/>
                <w:lang w:eastAsia="zh-CN"/>
              </w:rPr>
            </w:pPr>
            <w:r w:rsidRPr="00836D07">
              <w:rPr>
                <w:rFonts w:ascii="Times New Roman" w:hAnsi="Times New Roman" w:cs="Times New Roman"/>
                <w:sz w:val="18"/>
                <w:szCs w:val="18"/>
                <w:lang w:val="en-US"/>
              </w:rPr>
              <w:t>Notes:</w:t>
            </w:r>
            <w:r w:rsidRPr="00836D07">
              <w:rPr>
                <w:rFonts w:ascii="Times New Roman" w:hAnsi="Times New Roman" w:cs="Times New Roman" w:hint="eastAsia"/>
                <w:sz w:val="18"/>
                <w:szCs w:val="18"/>
                <w:lang w:eastAsia="zh-CN"/>
              </w:rPr>
              <w:t xml:space="preserve"> </w:t>
            </w:r>
            <w:r w:rsidRPr="00836D07">
              <w:rPr>
                <w:rFonts w:ascii="Times New Roman" w:hAnsi="Times New Roman" w:cs="Times New Roman"/>
                <w:sz w:val="18"/>
                <w:szCs w:val="18"/>
              </w:rPr>
              <w:t>This</w:t>
            </w:r>
            <w:r w:rsidRPr="0016485E">
              <w:rPr>
                <w:rFonts w:ascii="Times New Roman" w:hAnsi="Times New Roman" w:cs="Times New Roman"/>
                <w:sz w:val="18"/>
                <w:szCs w:val="18"/>
              </w:rPr>
              <w:t xml:space="preserve"> table performs </w:t>
            </w:r>
            <w:r>
              <w:rPr>
                <w:rFonts w:ascii="Times New Roman" w:hAnsi="Times New Roman" w:cs="Times New Roman"/>
                <w:sz w:val="18"/>
                <w:szCs w:val="18"/>
              </w:rPr>
              <w:t xml:space="preserve">robustness tests </w:t>
            </w:r>
            <w:r w:rsidRPr="0016485E">
              <w:rPr>
                <w:rFonts w:ascii="Times New Roman" w:hAnsi="Times New Roman" w:cs="Times New Roman"/>
                <w:sz w:val="18"/>
                <w:szCs w:val="18"/>
              </w:rPr>
              <w:t>on the association</w:t>
            </w:r>
            <w:r w:rsidRPr="0016485E">
              <w:rPr>
                <w:rFonts w:ascii="Times New Roman" w:hAnsi="Times New Roman" w:cs="Times New Roman"/>
                <w:sz w:val="18"/>
                <w:szCs w:val="18"/>
                <w:lang w:val="en-US"/>
              </w:rPr>
              <w:t xml:space="preserve"> between convertibility and covenant intensity</w:t>
            </w:r>
            <w:r w:rsidRPr="0016485E">
              <w:rPr>
                <w:rFonts w:ascii="Times New Roman" w:hAnsi="Times New Roman" w:cs="Times New Roman"/>
                <w:sz w:val="18"/>
                <w:szCs w:val="18"/>
              </w:rPr>
              <w:t xml:space="preserve"> (Panel A) and the impact of covenant intensity on bond yields</w:t>
            </w:r>
            <w:r w:rsidRPr="0016485E">
              <w:rPr>
                <w:rFonts w:ascii="Times New Roman" w:hAnsi="Times New Roman" w:cs="Times New Roman" w:hint="eastAsia"/>
                <w:sz w:val="18"/>
                <w:szCs w:val="18"/>
              </w:rPr>
              <w:t xml:space="preserve"> </w:t>
            </w:r>
            <w:r w:rsidRPr="0016485E">
              <w:rPr>
                <w:rFonts w:ascii="Times New Roman" w:hAnsi="Times New Roman" w:cs="Times New Roman"/>
                <w:sz w:val="18"/>
                <w:szCs w:val="18"/>
              </w:rPr>
              <w:t>(Panel B)</w:t>
            </w:r>
            <w:r>
              <w:rPr>
                <w:rFonts w:ascii="Times New Roman" w:hAnsi="Times New Roman" w:cs="Times New Roman"/>
                <w:sz w:val="18"/>
                <w:szCs w:val="18"/>
              </w:rPr>
              <w:t xml:space="preserve"> for convertible (straight) bond issuers that have issued </w:t>
            </w:r>
            <w:r w:rsidR="003744BA">
              <w:rPr>
                <w:rFonts w:ascii="Times New Roman" w:hAnsi="Times New Roman" w:cs="Times New Roman"/>
                <w:sz w:val="18"/>
                <w:szCs w:val="18"/>
              </w:rPr>
              <w:t xml:space="preserve">a </w:t>
            </w:r>
            <w:r>
              <w:rPr>
                <w:rFonts w:ascii="Times New Roman" w:hAnsi="Times New Roman" w:cs="Times New Roman"/>
                <w:sz w:val="18"/>
                <w:szCs w:val="18"/>
              </w:rPr>
              <w:t xml:space="preserve">straight bond (convertible) during a specified window </w:t>
            </w:r>
            <w:r w:rsidRPr="000D4412">
              <w:rPr>
                <w:rFonts w:ascii="Times New Roman" w:hAnsi="Times New Roman" w:cs="Times New Roman"/>
                <w:i/>
                <w:iCs/>
                <w:sz w:val="18"/>
                <w:szCs w:val="18"/>
              </w:rPr>
              <w:t>before</w:t>
            </w:r>
            <w:r>
              <w:rPr>
                <w:rFonts w:ascii="Times New Roman" w:hAnsi="Times New Roman" w:cs="Times New Roman"/>
                <w:sz w:val="18"/>
                <w:szCs w:val="18"/>
              </w:rPr>
              <w:t xml:space="preserve"> their current offering</w:t>
            </w:r>
            <w:r w:rsidRPr="0016485E">
              <w:rPr>
                <w:rFonts w:ascii="Times New Roman" w:hAnsi="Times New Roman" w:cs="Times New Roman"/>
                <w:sz w:val="18"/>
                <w:szCs w:val="18"/>
              </w:rPr>
              <w:t xml:space="preserve">. </w:t>
            </w:r>
            <w:r>
              <w:rPr>
                <w:rFonts w:ascii="Times New Roman" w:hAnsi="Times New Roman" w:cs="Times New Roman"/>
                <w:sz w:val="18"/>
                <w:szCs w:val="18"/>
              </w:rPr>
              <w:t xml:space="preserve">For each bond </w:t>
            </w:r>
            <w:proofErr w:type="spellStart"/>
            <w:r w:rsidRPr="000D4412">
              <w:rPr>
                <w:rFonts w:ascii="Times New Roman" w:hAnsi="Times New Roman" w:cs="Times New Roman"/>
                <w:i/>
                <w:iCs/>
                <w:sz w:val="18"/>
                <w:szCs w:val="18"/>
              </w:rPr>
              <w:t>i</w:t>
            </w:r>
            <w:proofErr w:type="spellEnd"/>
            <w:r w:rsidRPr="00677DDF">
              <w:rPr>
                <w:rFonts w:ascii="Times New Roman" w:hAnsi="Times New Roman" w:cs="Times New Roman"/>
                <w:sz w:val="18"/>
                <w:szCs w:val="18"/>
              </w:rPr>
              <w:t>,</w:t>
            </w:r>
            <w:r>
              <w:rPr>
                <w:rFonts w:ascii="Times New Roman" w:hAnsi="Times New Roman" w:cs="Times New Roman"/>
                <w:sz w:val="18"/>
                <w:szCs w:val="18"/>
              </w:rPr>
              <w:t xml:space="preserve"> if there is a prior bond </w:t>
            </w:r>
            <w:r w:rsidRPr="000D4412">
              <w:rPr>
                <w:rFonts w:ascii="Times New Roman" w:hAnsi="Times New Roman" w:cs="Times New Roman"/>
                <w:i/>
                <w:iCs/>
                <w:sz w:val="18"/>
                <w:szCs w:val="18"/>
              </w:rPr>
              <w:t>k</w:t>
            </w:r>
            <w:r>
              <w:rPr>
                <w:rFonts w:ascii="Times New Roman" w:hAnsi="Times New Roman" w:cs="Times New Roman"/>
                <w:sz w:val="18"/>
                <w:szCs w:val="18"/>
              </w:rPr>
              <w:t xml:space="preserve"> issued by the same issuer at any time during the sample period/ within five years/ within three years/ within one year before the issuance date of bond </w:t>
            </w:r>
            <w:proofErr w:type="spellStart"/>
            <w:r w:rsidRPr="000D4412">
              <w:rPr>
                <w:rFonts w:ascii="Times New Roman" w:hAnsi="Times New Roman" w:cs="Times New Roman"/>
                <w:i/>
                <w:iCs/>
                <w:sz w:val="18"/>
                <w:szCs w:val="18"/>
              </w:rPr>
              <w:t>i</w:t>
            </w:r>
            <w:proofErr w:type="spellEnd"/>
            <w:r>
              <w:rPr>
                <w:rFonts w:ascii="Times New Roman" w:hAnsi="Times New Roman" w:cs="Times New Roman"/>
                <w:sz w:val="18"/>
                <w:szCs w:val="18"/>
              </w:rPr>
              <w:t xml:space="preserve">, and bond </w:t>
            </w:r>
            <w:proofErr w:type="spellStart"/>
            <w:r w:rsidRPr="0021043E">
              <w:rPr>
                <w:rFonts w:ascii="Times New Roman" w:hAnsi="Times New Roman" w:cs="Times New Roman"/>
                <w:i/>
                <w:iCs/>
                <w:sz w:val="18"/>
                <w:szCs w:val="18"/>
              </w:rPr>
              <w:t>i</w:t>
            </w:r>
            <w:proofErr w:type="spellEnd"/>
            <w:r w:rsidRPr="0021043E">
              <w:rPr>
                <w:rFonts w:ascii="Times New Roman" w:hAnsi="Times New Roman" w:cs="Times New Roman"/>
                <w:i/>
                <w:iCs/>
                <w:sz w:val="18"/>
                <w:szCs w:val="18"/>
              </w:rPr>
              <w:t xml:space="preserve"> </w:t>
            </w:r>
            <w:r>
              <w:rPr>
                <w:rFonts w:ascii="Times New Roman" w:hAnsi="Times New Roman" w:cs="Times New Roman"/>
                <w:sz w:val="18"/>
                <w:szCs w:val="18"/>
              </w:rPr>
              <w:t xml:space="preserve">and bond </w:t>
            </w:r>
            <w:r w:rsidRPr="0021043E">
              <w:rPr>
                <w:rFonts w:ascii="Times New Roman" w:hAnsi="Times New Roman" w:cs="Times New Roman"/>
                <w:i/>
                <w:iCs/>
                <w:sz w:val="18"/>
                <w:szCs w:val="18"/>
              </w:rPr>
              <w:t xml:space="preserve">k </w:t>
            </w:r>
            <w:r>
              <w:rPr>
                <w:rFonts w:ascii="Times New Roman" w:hAnsi="Times New Roman" w:cs="Times New Roman"/>
                <w:sz w:val="18"/>
                <w:szCs w:val="18"/>
              </w:rPr>
              <w:t xml:space="preserve">are of different types (i.e., one is a convertible and the other is a straight bond), we keep both bond </w:t>
            </w:r>
            <w:proofErr w:type="spellStart"/>
            <w:r w:rsidRPr="0021043E">
              <w:rPr>
                <w:rFonts w:ascii="Times New Roman" w:hAnsi="Times New Roman" w:cs="Times New Roman"/>
                <w:i/>
                <w:iCs/>
                <w:sz w:val="18"/>
                <w:szCs w:val="18"/>
              </w:rPr>
              <w:t>i</w:t>
            </w:r>
            <w:proofErr w:type="spellEnd"/>
            <w:r w:rsidRPr="0021043E">
              <w:rPr>
                <w:rFonts w:ascii="Times New Roman" w:hAnsi="Times New Roman" w:cs="Times New Roman"/>
                <w:i/>
                <w:iCs/>
                <w:sz w:val="18"/>
                <w:szCs w:val="18"/>
              </w:rPr>
              <w:t xml:space="preserve"> </w:t>
            </w:r>
            <w:r>
              <w:rPr>
                <w:rFonts w:ascii="Times New Roman" w:hAnsi="Times New Roman" w:cs="Times New Roman"/>
                <w:sz w:val="18"/>
                <w:szCs w:val="18"/>
              </w:rPr>
              <w:t xml:space="preserve">and bond </w:t>
            </w:r>
            <w:r w:rsidRPr="0021043E">
              <w:rPr>
                <w:rFonts w:ascii="Times New Roman" w:hAnsi="Times New Roman" w:cs="Times New Roman"/>
                <w:i/>
                <w:iCs/>
                <w:sz w:val="18"/>
                <w:szCs w:val="18"/>
              </w:rPr>
              <w:t>k</w:t>
            </w:r>
            <w:r>
              <w:rPr>
                <w:rFonts w:ascii="Times New Roman" w:hAnsi="Times New Roman" w:cs="Times New Roman"/>
                <w:sz w:val="18"/>
                <w:szCs w:val="18"/>
              </w:rPr>
              <w:t xml:space="preserve"> in the sample. </w:t>
            </w:r>
            <w:r>
              <w:rPr>
                <w:rFonts w:ascii="Times New Roman" w:eastAsia="Times New Roman" w:hAnsi="Times New Roman" w:cs="Times New Roman"/>
                <w:color w:val="000000"/>
                <w:sz w:val="18"/>
                <w:szCs w:val="18"/>
                <w:lang w:val="en-US" w:eastAsia="en-GB"/>
              </w:rPr>
              <w:t xml:space="preserve">Panel A adopts treatment effects and Panel B adopts 2SLS models. </w:t>
            </w:r>
            <w:r w:rsidRPr="003101A0">
              <w:rPr>
                <w:rFonts w:ascii="Times New Roman" w:hAnsi="Times New Roman" w:cs="Times New Roman"/>
                <w:color w:val="000000"/>
                <w:sz w:val="18"/>
                <w:szCs w:val="18"/>
                <w:lang w:val="en-US"/>
              </w:rPr>
              <w:t xml:space="preserve">For brevity, only the second-stage results are reported. </w:t>
            </w:r>
            <w:r>
              <w:rPr>
                <w:rFonts w:ascii="Times New Roman" w:eastAsia="Times New Roman" w:hAnsi="Times New Roman" w:cs="Times New Roman"/>
                <w:color w:val="000000"/>
                <w:sz w:val="18"/>
                <w:szCs w:val="18"/>
                <w:lang w:val="en-US" w:eastAsia="en-GB"/>
              </w:rPr>
              <w:t>All tests include the same issuer-specific, macroeconomic, and period-specific control variables to those</w:t>
            </w:r>
            <w:r w:rsidRPr="00E800FC">
              <w:rPr>
                <w:rFonts w:ascii="Times New Roman" w:hAnsi="Times New Roman" w:cs="Times New Roman"/>
                <w:color w:val="000000"/>
                <w:sz w:val="18"/>
                <w:szCs w:val="18"/>
                <w:lang w:val="en-US"/>
              </w:rPr>
              <w:t xml:space="preserve"> in </w:t>
            </w:r>
            <w:r>
              <w:rPr>
                <w:rFonts w:ascii="Times New Roman" w:hAnsi="Times New Roman" w:cs="Times New Roman"/>
                <w:color w:val="000000"/>
                <w:sz w:val="18"/>
                <w:szCs w:val="18"/>
                <w:lang w:val="en-US"/>
              </w:rPr>
              <w:t xml:space="preserve">the baseline test in column (4) of Panel A, Table 4. </w:t>
            </w:r>
            <w:r w:rsidRPr="00F90926">
              <w:rPr>
                <w:rFonts w:ascii="Times New Roman" w:hAnsi="Times New Roman" w:cs="Times New Roman"/>
                <w:i/>
                <w:iCs/>
                <w:color w:val="000000"/>
                <w:sz w:val="18"/>
                <w:szCs w:val="18"/>
                <w:lang w:val="en-US"/>
              </w:rPr>
              <w:t>z</w:t>
            </w:r>
            <w:r w:rsidRPr="003101A0">
              <w:rPr>
                <w:rFonts w:ascii="Times New Roman" w:hAnsi="Times New Roman" w:cs="Times New Roman"/>
                <w:sz w:val="18"/>
                <w:szCs w:val="20"/>
                <w:lang w:val="en-US"/>
              </w:rPr>
              <w:t xml:space="preserve">-statistics reported in parentheses are based on standard errors corrected for heteroskedasticity, and clustered by firm. Continuous variables are </w:t>
            </w:r>
            <w:proofErr w:type="spellStart"/>
            <w:r w:rsidRPr="003101A0">
              <w:rPr>
                <w:rFonts w:ascii="Times New Roman" w:hAnsi="Times New Roman" w:cs="Times New Roman"/>
                <w:sz w:val="18"/>
                <w:szCs w:val="20"/>
                <w:lang w:val="en-US"/>
              </w:rPr>
              <w:t>winsorized</w:t>
            </w:r>
            <w:proofErr w:type="spellEnd"/>
            <w:r w:rsidRPr="003101A0">
              <w:rPr>
                <w:rFonts w:ascii="Times New Roman" w:hAnsi="Times New Roman" w:cs="Times New Roman"/>
                <w:sz w:val="18"/>
                <w:szCs w:val="20"/>
                <w:lang w:val="en-US"/>
              </w:rPr>
              <w:t xml:space="preserve"> at the 1</w:t>
            </w:r>
            <w:r w:rsidRPr="003101A0">
              <w:rPr>
                <w:rFonts w:ascii="Times New Roman" w:hAnsi="Times New Roman" w:cs="Times New Roman"/>
                <w:sz w:val="18"/>
                <w:szCs w:val="20"/>
                <w:vertAlign w:val="superscript"/>
                <w:lang w:val="en-US"/>
              </w:rPr>
              <w:t>st</w:t>
            </w:r>
            <w:r w:rsidRPr="003101A0">
              <w:rPr>
                <w:rFonts w:ascii="Times New Roman" w:hAnsi="Times New Roman" w:cs="Times New Roman"/>
                <w:sz w:val="18"/>
                <w:szCs w:val="20"/>
                <w:lang w:val="en-US"/>
              </w:rPr>
              <w:t xml:space="preserve"> and 99</w:t>
            </w:r>
            <w:r w:rsidRPr="003101A0">
              <w:rPr>
                <w:rFonts w:ascii="Times New Roman" w:hAnsi="Times New Roman" w:cs="Times New Roman"/>
                <w:sz w:val="18"/>
                <w:szCs w:val="20"/>
                <w:vertAlign w:val="superscript"/>
                <w:lang w:val="en-US"/>
              </w:rPr>
              <w:t>th</w:t>
            </w:r>
            <w:r w:rsidRPr="003101A0">
              <w:rPr>
                <w:rFonts w:ascii="Times New Roman" w:hAnsi="Times New Roman" w:cs="Times New Roman"/>
                <w:sz w:val="18"/>
                <w:szCs w:val="20"/>
                <w:lang w:val="en-US"/>
              </w:rPr>
              <w:t xml:space="preserve"> percentiles. </w:t>
            </w:r>
            <w:r>
              <w:rPr>
                <w:rFonts w:ascii="Times New Roman" w:hAnsi="Times New Roman" w:cs="Times New Roman"/>
                <w:sz w:val="18"/>
                <w:szCs w:val="20"/>
                <w:lang w:val="en-US"/>
              </w:rPr>
              <w:t xml:space="preserve">The </w:t>
            </w:r>
            <w:r w:rsidRPr="003101A0">
              <w:rPr>
                <w:rFonts w:ascii="Times New Roman" w:hAnsi="Times New Roman" w:cs="Times New Roman"/>
                <w:sz w:val="18"/>
                <w:szCs w:val="20"/>
                <w:lang w:val="en-US"/>
              </w:rPr>
              <w:t>Appendix</w:t>
            </w:r>
            <w:r>
              <w:rPr>
                <w:rFonts w:ascii="Times New Roman" w:hAnsi="Times New Roman" w:cs="Times New Roman"/>
                <w:sz w:val="18"/>
                <w:szCs w:val="20"/>
                <w:lang w:val="en-US"/>
              </w:rPr>
              <w:t xml:space="preserve"> presents the definition and sources of all variables</w:t>
            </w:r>
            <w:r w:rsidRPr="003101A0">
              <w:rPr>
                <w:rFonts w:ascii="Times New Roman" w:hAnsi="Times New Roman" w:cs="Times New Roman"/>
                <w:sz w:val="18"/>
                <w:szCs w:val="20"/>
                <w:lang w:val="en-US"/>
              </w:rPr>
              <w:t xml:space="preserve">. </w:t>
            </w:r>
            <w:r w:rsidRPr="003101A0">
              <w:rPr>
                <w:rFonts w:ascii="Times New Roman" w:hAnsi="Times New Roman" w:cs="Times New Roman"/>
                <w:i/>
                <w:iCs/>
                <w:sz w:val="18"/>
                <w:szCs w:val="20"/>
                <w:lang w:val="en-US"/>
              </w:rPr>
              <w:t>N</w:t>
            </w:r>
            <w:r w:rsidRPr="003101A0">
              <w:rPr>
                <w:rFonts w:ascii="Times New Roman" w:hAnsi="Times New Roman" w:cs="Times New Roman"/>
                <w:sz w:val="18"/>
                <w:szCs w:val="20"/>
                <w:lang w:val="en-US"/>
              </w:rPr>
              <w:t xml:space="preserve"> denotes </w:t>
            </w:r>
            <w:r>
              <w:rPr>
                <w:rFonts w:ascii="Times New Roman" w:hAnsi="Times New Roman" w:cs="Times New Roman"/>
                <w:sz w:val="18"/>
                <w:szCs w:val="20"/>
                <w:lang w:val="en-US"/>
              </w:rPr>
              <w:t xml:space="preserve">the </w:t>
            </w:r>
            <w:r w:rsidRPr="003101A0">
              <w:rPr>
                <w:rFonts w:ascii="Times New Roman" w:hAnsi="Times New Roman" w:cs="Times New Roman"/>
                <w:sz w:val="18"/>
                <w:szCs w:val="20"/>
                <w:lang w:val="en-US"/>
              </w:rPr>
              <w:t xml:space="preserve">number of observations. </w:t>
            </w:r>
            <w:r w:rsidRPr="00470E16">
              <w:rPr>
                <w:rFonts w:ascii="Times New Roman" w:hAnsi="Times New Roman" w:cs="Times New Roman"/>
                <w:sz w:val="18"/>
                <w:szCs w:val="18"/>
                <w:lang w:val="en-US"/>
              </w:rPr>
              <w:t>*, **, ***</w:t>
            </w:r>
            <w:r w:rsidRPr="003101A0">
              <w:rPr>
                <w:rFonts w:ascii="Times New Roman" w:hAnsi="Times New Roman" w:cs="Times New Roman"/>
                <w:sz w:val="18"/>
                <w:szCs w:val="18"/>
                <w:vertAlign w:val="superscript"/>
                <w:lang w:val="en-US"/>
              </w:rPr>
              <w:t xml:space="preserve"> </w:t>
            </w:r>
            <w:r w:rsidRPr="003101A0">
              <w:rPr>
                <w:rFonts w:ascii="Times New Roman" w:hAnsi="Times New Roman" w:cs="Times New Roman"/>
                <w:sz w:val="18"/>
                <w:szCs w:val="20"/>
                <w:lang w:val="en-US"/>
              </w:rPr>
              <w:t>denote significance at the 10</w:t>
            </w:r>
            <w:r>
              <w:rPr>
                <w:rFonts w:ascii="Times New Roman" w:hAnsi="Times New Roman" w:cs="Times New Roman"/>
                <w:sz w:val="18"/>
                <w:szCs w:val="20"/>
                <w:lang w:val="en-US"/>
              </w:rPr>
              <w:t>%</w:t>
            </w:r>
            <w:r w:rsidRPr="003101A0">
              <w:rPr>
                <w:rFonts w:ascii="Times New Roman" w:hAnsi="Times New Roman" w:cs="Times New Roman"/>
                <w:sz w:val="18"/>
                <w:szCs w:val="20"/>
                <w:lang w:val="en-US"/>
              </w:rPr>
              <w:t>, 5</w:t>
            </w:r>
            <w:r>
              <w:rPr>
                <w:rFonts w:ascii="Times New Roman" w:hAnsi="Times New Roman" w:cs="Times New Roman"/>
                <w:sz w:val="18"/>
                <w:szCs w:val="20"/>
                <w:lang w:val="en-US"/>
              </w:rPr>
              <w:t>%</w:t>
            </w:r>
            <w:r w:rsidRPr="003101A0">
              <w:rPr>
                <w:rFonts w:ascii="Times New Roman" w:hAnsi="Times New Roman" w:cs="Times New Roman"/>
                <w:sz w:val="18"/>
                <w:szCs w:val="20"/>
                <w:lang w:val="en-US"/>
              </w:rPr>
              <w:t xml:space="preserve"> and 1</w:t>
            </w:r>
            <w:r>
              <w:rPr>
                <w:rFonts w:ascii="Times New Roman" w:hAnsi="Times New Roman" w:cs="Times New Roman"/>
                <w:sz w:val="18"/>
                <w:szCs w:val="20"/>
                <w:lang w:val="en-US"/>
              </w:rPr>
              <w:t>%</w:t>
            </w:r>
            <w:r w:rsidRPr="003101A0">
              <w:rPr>
                <w:rFonts w:ascii="Times New Roman" w:hAnsi="Times New Roman" w:cs="Times New Roman"/>
                <w:sz w:val="18"/>
                <w:szCs w:val="20"/>
                <w:lang w:val="en-US"/>
              </w:rPr>
              <w:t xml:space="preserve"> levels, respectively</w:t>
            </w:r>
            <w:r>
              <w:rPr>
                <w:rFonts w:ascii="Times New Roman" w:hAnsi="Times New Roman" w:cs="Times New Roman"/>
                <w:sz w:val="18"/>
                <w:szCs w:val="20"/>
                <w:lang w:val="en-US"/>
              </w:rPr>
              <w:t xml:space="preserve"> </w:t>
            </w:r>
            <w:r w:rsidRPr="003101A0">
              <w:rPr>
                <w:rFonts w:ascii="Times New Roman" w:hAnsi="Times New Roman" w:cs="Times New Roman"/>
                <w:sz w:val="18"/>
                <w:szCs w:val="20"/>
                <w:lang w:val="en-US"/>
              </w:rPr>
              <w:t>(two-tailed)</w:t>
            </w:r>
            <w:r>
              <w:rPr>
                <w:rFonts w:ascii="Times New Roman" w:hAnsi="Times New Roman" w:cs="Times New Roman"/>
                <w:sz w:val="18"/>
                <w:szCs w:val="20"/>
                <w:lang w:val="en-US"/>
              </w:rPr>
              <w:t>.</w:t>
            </w:r>
          </w:p>
        </w:tc>
      </w:tr>
    </w:tbl>
    <w:p w14:paraId="33CE5AD5" w14:textId="77777777" w:rsidR="00294950" w:rsidRDefault="00294950" w:rsidP="00E800FC">
      <w:pPr>
        <w:spacing w:after="0" w:line="240" w:lineRule="auto"/>
        <w:jc w:val="both"/>
        <w:rPr>
          <w:rFonts w:ascii="Times New Roman" w:hAnsi="Times New Roman" w:cs="Times New Roman"/>
          <w:b/>
          <w:sz w:val="20"/>
          <w:szCs w:val="20"/>
          <w:lang w:val="en-US"/>
        </w:rPr>
      </w:pPr>
    </w:p>
    <w:p w14:paraId="57A12E39" w14:textId="77777777" w:rsidR="00A6252E" w:rsidRDefault="00A6252E" w:rsidP="00A6252E">
      <w:pPr>
        <w:widowControl w:val="0"/>
        <w:autoSpaceDE w:val="0"/>
        <w:autoSpaceDN w:val="0"/>
        <w:adjustRightInd w:val="0"/>
        <w:spacing w:after="0" w:line="240" w:lineRule="auto"/>
        <w:rPr>
          <w:rFonts w:ascii="Times New Roman" w:hAnsi="Times New Roman" w:cs="Times New Roman"/>
          <w:sz w:val="20"/>
          <w:szCs w:val="20"/>
          <w:lang w:val="en-US"/>
        </w:rPr>
        <w:sectPr w:rsidR="00A6252E" w:rsidSect="000D5878">
          <w:pgSz w:w="11900" w:h="16840"/>
          <w:pgMar w:top="1440" w:right="1440" w:bottom="1440" w:left="1440" w:header="708" w:footer="708" w:gutter="0"/>
          <w:cols w:space="708"/>
          <w:docGrid w:linePitch="360"/>
        </w:sectPr>
      </w:pPr>
    </w:p>
    <w:tbl>
      <w:tblPr>
        <w:tblStyle w:val="TableGrid"/>
        <w:tblW w:w="552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7"/>
        <w:gridCol w:w="10925"/>
        <w:gridCol w:w="2024"/>
      </w:tblGrid>
      <w:tr w:rsidR="00294950" w:rsidRPr="003101A0" w14:paraId="248B8111" w14:textId="77777777" w:rsidTr="003101A0">
        <w:trPr>
          <w:jc w:val="center"/>
        </w:trPr>
        <w:tc>
          <w:tcPr>
            <w:tcW w:w="5000" w:type="pct"/>
            <w:gridSpan w:val="3"/>
            <w:tcBorders>
              <w:bottom w:val="single" w:sz="4" w:space="0" w:color="auto"/>
            </w:tcBorders>
          </w:tcPr>
          <w:p w14:paraId="33321CE6" w14:textId="681B6F04" w:rsidR="00294950" w:rsidRPr="003101A0" w:rsidRDefault="00294950" w:rsidP="00493F00">
            <w:pPr>
              <w:rPr>
                <w:rFonts w:ascii="Times New Roman" w:hAnsi="Times New Roman" w:cs="Times New Roman"/>
                <w:b/>
                <w:sz w:val="20"/>
                <w:szCs w:val="20"/>
                <w:lang w:val="en-US"/>
              </w:rPr>
            </w:pPr>
            <w:r w:rsidRPr="003101A0">
              <w:rPr>
                <w:rFonts w:ascii="Times New Roman" w:hAnsi="Times New Roman" w:cs="Times New Roman"/>
                <w:b/>
                <w:sz w:val="20"/>
                <w:szCs w:val="20"/>
                <w:lang w:val="en-US"/>
              </w:rPr>
              <w:lastRenderedPageBreak/>
              <w:t>Appendix A: Variable definitio</w:t>
            </w:r>
            <w:r w:rsidR="003D177E">
              <w:rPr>
                <w:rFonts w:ascii="Times New Roman" w:hAnsi="Times New Roman" w:cs="Times New Roman"/>
                <w:b/>
                <w:sz w:val="20"/>
                <w:szCs w:val="20"/>
                <w:lang w:val="en-US"/>
              </w:rPr>
              <w:t>ns and sources</w:t>
            </w:r>
          </w:p>
        </w:tc>
      </w:tr>
      <w:tr w:rsidR="00294950" w:rsidRPr="003101A0" w14:paraId="31928A3D" w14:textId="77777777" w:rsidTr="003101A0">
        <w:trPr>
          <w:jc w:val="center"/>
        </w:trPr>
        <w:tc>
          <w:tcPr>
            <w:tcW w:w="803" w:type="pct"/>
            <w:tcBorders>
              <w:top w:val="single" w:sz="4" w:space="0" w:color="auto"/>
              <w:bottom w:val="single" w:sz="4" w:space="0" w:color="auto"/>
            </w:tcBorders>
          </w:tcPr>
          <w:p w14:paraId="16E33707"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Variable</w:t>
            </w:r>
          </w:p>
        </w:tc>
        <w:tc>
          <w:tcPr>
            <w:tcW w:w="3541" w:type="pct"/>
            <w:tcBorders>
              <w:top w:val="single" w:sz="4" w:space="0" w:color="auto"/>
              <w:bottom w:val="single" w:sz="4" w:space="0" w:color="auto"/>
            </w:tcBorders>
          </w:tcPr>
          <w:p w14:paraId="25C2D6D2"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Definition and measurement</w:t>
            </w:r>
          </w:p>
        </w:tc>
        <w:tc>
          <w:tcPr>
            <w:tcW w:w="656" w:type="pct"/>
            <w:tcBorders>
              <w:top w:val="single" w:sz="4" w:space="0" w:color="auto"/>
              <w:bottom w:val="single" w:sz="4" w:space="0" w:color="auto"/>
            </w:tcBorders>
          </w:tcPr>
          <w:p w14:paraId="3EB7F082"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Data source</w:t>
            </w:r>
          </w:p>
        </w:tc>
      </w:tr>
      <w:tr w:rsidR="00294950" w:rsidRPr="003101A0" w14:paraId="43C61EAD" w14:textId="77777777" w:rsidTr="003101A0">
        <w:trPr>
          <w:jc w:val="center"/>
        </w:trPr>
        <w:tc>
          <w:tcPr>
            <w:tcW w:w="5000" w:type="pct"/>
            <w:gridSpan w:val="3"/>
          </w:tcPr>
          <w:p w14:paraId="5DCE05EC" w14:textId="77777777" w:rsidR="00294950" w:rsidRPr="003101A0" w:rsidRDefault="00294950" w:rsidP="00493F00">
            <w:pPr>
              <w:rPr>
                <w:rFonts w:ascii="Times New Roman" w:hAnsi="Times New Roman" w:cs="Times New Roman"/>
                <w:b/>
                <w:bCs/>
                <w:iCs/>
                <w:sz w:val="20"/>
                <w:szCs w:val="20"/>
                <w:lang w:val="en-US"/>
              </w:rPr>
            </w:pPr>
            <w:r w:rsidRPr="003101A0">
              <w:rPr>
                <w:rFonts w:ascii="Times New Roman" w:hAnsi="Times New Roman" w:cs="Times New Roman"/>
                <w:b/>
                <w:bCs/>
                <w:iCs/>
                <w:sz w:val="20"/>
                <w:szCs w:val="20"/>
                <w:lang w:val="en-US"/>
              </w:rPr>
              <w:t>Covenant intensity variables</w:t>
            </w:r>
          </w:p>
        </w:tc>
      </w:tr>
      <w:tr w:rsidR="00294950" w:rsidRPr="003101A0" w14:paraId="69ACA190" w14:textId="77777777" w:rsidTr="003101A0">
        <w:trPr>
          <w:jc w:val="center"/>
        </w:trPr>
        <w:tc>
          <w:tcPr>
            <w:tcW w:w="803" w:type="pct"/>
          </w:tcPr>
          <w:p w14:paraId="2293BAED"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CI index</w:t>
            </w:r>
          </w:p>
        </w:tc>
        <w:tc>
          <w:tcPr>
            <w:tcW w:w="3541" w:type="pct"/>
          </w:tcPr>
          <w:p w14:paraId="1876D50A" w14:textId="5A691F0D" w:rsidR="00294950" w:rsidRPr="003101A0" w:rsidRDefault="00294950" w:rsidP="00D215BD">
            <w:pPr>
              <w:rPr>
                <w:rFonts w:ascii="Times New Roman" w:hAnsi="Times New Roman" w:cs="Times New Roman"/>
                <w:sz w:val="20"/>
                <w:lang w:val="en-US"/>
              </w:rPr>
            </w:pPr>
            <w:r w:rsidRPr="003101A0">
              <w:rPr>
                <w:rFonts w:ascii="Times New Roman" w:hAnsi="Times New Roman" w:cs="Times New Roman"/>
                <w:sz w:val="20"/>
                <w:szCs w:val="20"/>
                <w:lang w:val="en-US"/>
              </w:rPr>
              <w:t xml:space="preserve">Measure of the overall intensity of covenants associated with a bond. We calculate it as the sum of 15 covenant </w:t>
            </w:r>
            <w:r w:rsidR="004177B5">
              <w:rPr>
                <w:rFonts w:ascii="Times New Roman" w:hAnsi="Times New Roman" w:cs="Times New Roman"/>
                <w:sz w:val="20"/>
                <w:szCs w:val="20"/>
                <w:lang w:val="en-US"/>
              </w:rPr>
              <w:t xml:space="preserve">category </w:t>
            </w:r>
            <w:r w:rsidR="00BC61FC">
              <w:rPr>
                <w:rFonts w:ascii="Times New Roman" w:hAnsi="Times New Roman" w:cs="Times New Roman"/>
                <w:sz w:val="20"/>
                <w:szCs w:val="20"/>
                <w:lang w:val="en-US"/>
              </w:rPr>
              <w:t>dummy</w:t>
            </w:r>
            <w:r w:rsidRPr="003101A0">
              <w:rPr>
                <w:rFonts w:ascii="Times New Roman" w:hAnsi="Times New Roman" w:cs="Times New Roman"/>
                <w:sz w:val="20"/>
                <w:szCs w:val="20"/>
                <w:lang w:val="en-US"/>
              </w:rPr>
              <w:t xml:space="preserve"> variables, following the classification in </w:t>
            </w:r>
            <w:r w:rsidRPr="003101A0">
              <w:rPr>
                <w:rFonts w:ascii="Times New Roman" w:hAnsi="Times New Roman" w:cs="Times New Roman"/>
                <w:sz w:val="20"/>
                <w:szCs w:val="20"/>
                <w:lang w:val="en-US"/>
              </w:rPr>
              <w:fldChar w:fldCharType="begin"/>
            </w:r>
            <w:r w:rsidRPr="003101A0">
              <w:rPr>
                <w:rFonts w:ascii="Times New Roman" w:hAnsi="Times New Roman" w:cs="Times New Roman"/>
                <w:sz w:val="20"/>
                <w:szCs w:val="20"/>
                <w:lang w:val="en-US"/>
              </w:rPr>
              <w:instrText xml:space="preserve"> ADDIN EN.CITE &lt;EndNote&gt;&lt;Cite AuthorYear="1"&gt;&lt;Author&gt;Billett&lt;/Author&gt;&lt;Year&gt;2007&lt;/Year&gt;&lt;RecNum&gt;813&lt;/RecNum&gt;&lt;DisplayText&gt;Billett, King, and Mauer (2007)&lt;/DisplayText&gt;&lt;record&gt;&lt;rec-number&gt;813&lt;/rec-number&gt;&lt;foreign-keys&gt;&lt;key app="EN" db-id="x0e9sx5xqzzevzeesetvxwaoef9xwefzfxp0" timestamp="1570473832"&gt;813&lt;/key&gt;&lt;/foreign-keys&gt;&lt;ref-type name="Journal Article"&gt;17&lt;/ref-type&gt;&lt;contributors&gt;&lt;authors&gt;&lt;author&gt;Billett, Matthew T&lt;/author&gt;&lt;author&gt;King, Tao‐Hsien Dolly&lt;/author&gt;&lt;author&gt;Mauer, David C&lt;/author&gt;&lt;/authors&gt;&lt;/contributors&gt;&lt;titles&gt;&lt;title&gt;Growth opportunities and the choice of leverage, debt maturity, and covenants&lt;/title&gt;&lt;secondary-title&gt;The Journal of Finance&lt;/secondary-title&gt;&lt;/titles&gt;&lt;periodical&gt;&lt;full-title&gt;The Journal of Finance&lt;/full-title&gt;&lt;/periodical&gt;&lt;pages&gt;697-730&lt;/pages&gt;&lt;volume&gt;62&lt;/volume&gt;&lt;number&gt;2&lt;/number&gt;&lt;dates&gt;&lt;year&gt;2007&lt;/year&gt;&lt;/dates&gt;&lt;isbn&gt;1540-6261&lt;/isbn&gt;&lt;urls&gt;&lt;/urls&gt;&lt;/record&gt;&lt;/Cite&gt;&lt;/EndNote&gt;</w:instrText>
            </w:r>
            <w:r w:rsidRPr="003101A0">
              <w:rPr>
                <w:rFonts w:ascii="Times New Roman" w:hAnsi="Times New Roman" w:cs="Times New Roman"/>
                <w:sz w:val="20"/>
                <w:szCs w:val="20"/>
                <w:lang w:val="en-US"/>
              </w:rPr>
              <w:fldChar w:fldCharType="separate"/>
            </w:r>
            <w:r w:rsidRPr="003101A0">
              <w:rPr>
                <w:rFonts w:ascii="Times New Roman" w:hAnsi="Times New Roman" w:cs="Times New Roman"/>
                <w:noProof/>
                <w:sz w:val="20"/>
                <w:szCs w:val="20"/>
                <w:lang w:val="en-US"/>
              </w:rPr>
              <w:t xml:space="preserve">Billett </w:t>
            </w:r>
            <w:r w:rsidR="00511714" w:rsidRPr="003101A0">
              <w:rPr>
                <w:rFonts w:ascii="Times New Roman" w:hAnsi="Times New Roman" w:cs="Times New Roman"/>
                <w:noProof/>
                <w:sz w:val="20"/>
                <w:szCs w:val="20"/>
                <w:lang w:val="en-US"/>
              </w:rPr>
              <w:t>et al.</w:t>
            </w:r>
            <w:r w:rsidRPr="003101A0">
              <w:rPr>
                <w:rFonts w:ascii="Times New Roman" w:hAnsi="Times New Roman" w:cs="Times New Roman"/>
                <w:noProof/>
                <w:sz w:val="20"/>
                <w:szCs w:val="20"/>
                <w:lang w:val="en-US"/>
              </w:rPr>
              <w:t xml:space="preserve"> (2007)</w:t>
            </w:r>
            <w:r w:rsidRPr="003101A0">
              <w:rPr>
                <w:rFonts w:ascii="Times New Roman" w:hAnsi="Times New Roman" w:cs="Times New Roman"/>
                <w:sz w:val="20"/>
                <w:szCs w:val="20"/>
                <w:lang w:val="en-US"/>
              </w:rPr>
              <w:fldChar w:fldCharType="end"/>
            </w:r>
            <w:r w:rsidRPr="003101A0">
              <w:rPr>
                <w:rFonts w:ascii="Times New Roman" w:hAnsi="Times New Roman" w:cs="Times New Roman"/>
                <w:sz w:val="20"/>
                <w:szCs w:val="20"/>
                <w:lang w:val="en-US"/>
              </w:rPr>
              <w:t>. The index is scaled by 15 so that it ranges from zero to one.</w:t>
            </w:r>
          </w:p>
        </w:tc>
        <w:tc>
          <w:tcPr>
            <w:tcW w:w="656" w:type="pct"/>
          </w:tcPr>
          <w:p w14:paraId="21D7AA4A" w14:textId="5AF4700F" w:rsidR="00294950" w:rsidRPr="003101A0" w:rsidRDefault="00F17857"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46F11CF6" w14:textId="77777777" w:rsidTr="003101A0">
        <w:trPr>
          <w:jc w:val="center"/>
        </w:trPr>
        <w:tc>
          <w:tcPr>
            <w:tcW w:w="803" w:type="pct"/>
          </w:tcPr>
          <w:p w14:paraId="34C16CB3"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Event covenant</w:t>
            </w:r>
          </w:p>
        </w:tc>
        <w:tc>
          <w:tcPr>
            <w:tcW w:w="3541" w:type="pct"/>
          </w:tcPr>
          <w:p w14:paraId="7B73E903" w14:textId="57A53051" w:rsidR="00294950" w:rsidRPr="003101A0" w:rsidRDefault="00294950" w:rsidP="00D215BD">
            <w:pPr>
              <w:rPr>
                <w:rFonts w:ascii="Times New Roman" w:hAnsi="Times New Roman" w:cs="Times New Roman"/>
                <w:sz w:val="20"/>
                <w:lang w:val="en-US"/>
              </w:rPr>
            </w:pPr>
            <w:r w:rsidRPr="003101A0">
              <w:rPr>
                <w:rFonts w:ascii="Times New Roman" w:hAnsi="Times New Roman" w:cs="Times New Roman"/>
                <w:sz w:val="20"/>
                <w:szCs w:val="20"/>
                <w:lang w:val="en-US"/>
              </w:rPr>
              <w:t xml:space="preserve">Measure of the intensity of event-driven covenants. We calculate it as the sum of three covenant </w:t>
            </w:r>
            <w:r w:rsidR="004177B5">
              <w:rPr>
                <w:rFonts w:ascii="Times New Roman" w:hAnsi="Times New Roman" w:cs="Times New Roman"/>
                <w:sz w:val="20"/>
                <w:szCs w:val="20"/>
                <w:lang w:val="en-US"/>
              </w:rPr>
              <w:t xml:space="preserve">category </w:t>
            </w:r>
            <w:r w:rsidR="00BC61FC">
              <w:rPr>
                <w:rFonts w:ascii="Times New Roman" w:hAnsi="Times New Roman" w:cs="Times New Roman"/>
                <w:sz w:val="20"/>
                <w:szCs w:val="20"/>
                <w:lang w:val="en-US"/>
              </w:rPr>
              <w:t>dummy</w:t>
            </w:r>
            <w:r w:rsidRPr="003101A0">
              <w:rPr>
                <w:rFonts w:ascii="Times New Roman" w:hAnsi="Times New Roman" w:cs="Times New Roman"/>
                <w:sz w:val="20"/>
                <w:szCs w:val="20"/>
                <w:lang w:val="en-US"/>
              </w:rPr>
              <w:t xml:space="preserve"> variables, following the classification in </w:t>
            </w:r>
            <w:r w:rsidRPr="003101A0">
              <w:rPr>
                <w:rFonts w:ascii="Times New Roman" w:hAnsi="Times New Roman" w:cs="Times New Roman"/>
                <w:sz w:val="20"/>
                <w:szCs w:val="20"/>
                <w:lang w:val="en-US"/>
              </w:rPr>
              <w:fldChar w:fldCharType="begin"/>
            </w:r>
            <w:r w:rsidRPr="003101A0">
              <w:rPr>
                <w:rFonts w:ascii="Times New Roman" w:hAnsi="Times New Roman" w:cs="Times New Roman"/>
                <w:sz w:val="20"/>
                <w:szCs w:val="20"/>
                <w:lang w:val="en-US"/>
              </w:rPr>
              <w:instrText xml:space="preserve"> ADDIN EN.CITE &lt;EndNote&gt;&lt;Cite AuthorYear="1"&gt;&lt;Author&gt;Billett&lt;/Author&gt;&lt;Year&gt;2007&lt;/Year&gt;&lt;RecNum&gt;813&lt;/RecNum&gt;&lt;DisplayText&gt;Billett et al. (2007)&lt;/DisplayText&gt;&lt;record&gt;&lt;rec-number&gt;813&lt;/rec-number&gt;&lt;foreign-keys&gt;&lt;key app="EN" db-id="x0e9sx5xqzzevzeesetvxwaoef9xwefzfxp0" timestamp="1570473832"&gt;813&lt;/key&gt;&lt;/foreign-keys&gt;&lt;ref-type name="Journal Article"&gt;17&lt;/ref-type&gt;&lt;contributors&gt;&lt;authors&gt;&lt;author&gt;Billett, Matthew T&lt;/author&gt;&lt;author&gt;King, Tao‐Hsien Dolly&lt;/author&gt;&lt;author&gt;Mauer, David C&lt;/author&gt;&lt;/authors&gt;&lt;/contributors&gt;&lt;titles&gt;&lt;title&gt;Growth opportunities and the choice of leverage, debt maturity, and covenants&lt;/title&gt;&lt;secondary-title&gt;The Journal of Finance&lt;/secondary-title&gt;&lt;/titles&gt;&lt;periodical&gt;&lt;full-title&gt;The Journal of Finance&lt;/full-title&gt;&lt;/periodical&gt;&lt;pages&gt;697-730&lt;/pages&gt;&lt;volume&gt;62&lt;/volume&gt;&lt;number&gt;2&lt;/number&gt;&lt;dates&gt;&lt;year&gt;2007&lt;/year&gt;&lt;/dates&gt;&lt;isbn&gt;1540-6261&lt;/isbn&gt;&lt;urls&gt;&lt;/urls&gt;&lt;/record&gt;&lt;/Cite&gt;&lt;/EndNote&gt;</w:instrText>
            </w:r>
            <w:r w:rsidRPr="003101A0">
              <w:rPr>
                <w:rFonts w:ascii="Times New Roman" w:hAnsi="Times New Roman" w:cs="Times New Roman"/>
                <w:sz w:val="20"/>
                <w:szCs w:val="20"/>
                <w:lang w:val="en-US"/>
              </w:rPr>
              <w:fldChar w:fldCharType="separate"/>
            </w:r>
            <w:r w:rsidRPr="003101A0">
              <w:rPr>
                <w:rFonts w:ascii="Times New Roman" w:hAnsi="Times New Roman" w:cs="Times New Roman"/>
                <w:noProof/>
                <w:sz w:val="20"/>
                <w:szCs w:val="20"/>
                <w:lang w:val="en-US"/>
              </w:rPr>
              <w:t>Billett et al. (2007)</w:t>
            </w:r>
            <w:r w:rsidRPr="003101A0">
              <w:rPr>
                <w:rFonts w:ascii="Times New Roman" w:hAnsi="Times New Roman" w:cs="Times New Roman"/>
                <w:sz w:val="20"/>
                <w:szCs w:val="20"/>
                <w:lang w:val="en-US"/>
              </w:rPr>
              <w:fldChar w:fldCharType="end"/>
            </w:r>
            <w:r w:rsidRPr="003101A0">
              <w:rPr>
                <w:rFonts w:ascii="Times New Roman" w:hAnsi="Times New Roman" w:cs="Times New Roman"/>
                <w:sz w:val="20"/>
                <w:szCs w:val="20"/>
                <w:lang w:val="en-US"/>
              </w:rPr>
              <w:t>. The index is scaled by three so that it ranges from zero to one.</w:t>
            </w:r>
          </w:p>
        </w:tc>
        <w:tc>
          <w:tcPr>
            <w:tcW w:w="656" w:type="pct"/>
          </w:tcPr>
          <w:p w14:paraId="28BF1E10" w14:textId="2D6F8493" w:rsidR="00294950" w:rsidRPr="003101A0" w:rsidRDefault="00F17857"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40D8A63C" w14:textId="77777777" w:rsidTr="003101A0">
        <w:trPr>
          <w:jc w:val="center"/>
        </w:trPr>
        <w:tc>
          <w:tcPr>
            <w:tcW w:w="803" w:type="pct"/>
          </w:tcPr>
          <w:p w14:paraId="2AF0D858"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Event covenant dummy</w:t>
            </w:r>
          </w:p>
        </w:tc>
        <w:tc>
          <w:tcPr>
            <w:tcW w:w="3541" w:type="pct"/>
          </w:tcPr>
          <w:p w14:paraId="74A86CAD" w14:textId="46E469F0" w:rsidR="00294950" w:rsidRPr="003101A0" w:rsidRDefault="00BC61FC" w:rsidP="00D215BD">
            <w:pPr>
              <w:rPr>
                <w:rFonts w:ascii="Times New Roman" w:hAnsi="Times New Roman" w:cs="Times New Roman"/>
                <w:sz w:val="20"/>
                <w:szCs w:val="20"/>
                <w:lang w:val="en-US"/>
              </w:rPr>
            </w:pPr>
            <w:r>
              <w:rPr>
                <w:rFonts w:ascii="Times New Roman" w:hAnsi="Times New Roman" w:cs="Times New Roman"/>
                <w:sz w:val="20"/>
                <w:szCs w:val="20"/>
                <w:lang w:val="en-US"/>
              </w:rPr>
              <w:t>Dummy</w:t>
            </w:r>
            <w:r w:rsidR="00294950" w:rsidRPr="003101A0">
              <w:rPr>
                <w:rFonts w:ascii="Times New Roman" w:hAnsi="Times New Roman" w:cs="Times New Roman"/>
                <w:sz w:val="20"/>
                <w:szCs w:val="20"/>
                <w:lang w:val="en-US"/>
              </w:rPr>
              <w:t xml:space="preserve"> variable equal to one if the </w:t>
            </w:r>
            <w:r w:rsidR="00677DDF">
              <w:rPr>
                <w:rFonts w:ascii="Times New Roman" w:hAnsi="Times New Roman" w:cs="Times New Roman"/>
                <w:sz w:val="20"/>
                <w:szCs w:val="20"/>
                <w:lang w:val="en-US"/>
              </w:rPr>
              <w:t>bond offering</w:t>
            </w:r>
            <w:r w:rsidR="00294950" w:rsidRPr="003101A0">
              <w:rPr>
                <w:rFonts w:ascii="Times New Roman" w:hAnsi="Times New Roman" w:cs="Times New Roman"/>
                <w:sz w:val="20"/>
                <w:szCs w:val="20"/>
                <w:lang w:val="en-US"/>
              </w:rPr>
              <w:t xml:space="preserve"> includes an event-driven covenant and zero otherwise.</w:t>
            </w:r>
          </w:p>
        </w:tc>
        <w:tc>
          <w:tcPr>
            <w:tcW w:w="656" w:type="pct"/>
          </w:tcPr>
          <w:p w14:paraId="7C5E1856" w14:textId="426CE785" w:rsidR="00294950" w:rsidRPr="003101A0" w:rsidRDefault="00F17857"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4CBB8A1B" w14:textId="77777777" w:rsidTr="003101A0">
        <w:trPr>
          <w:jc w:val="center"/>
        </w:trPr>
        <w:tc>
          <w:tcPr>
            <w:tcW w:w="803" w:type="pct"/>
          </w:tcPr>
          <w:p w14:paraId="526E2389"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Financing covenant</w:t>
            </w:r>
          </w:p>
        </w:tc>
        <w:tc>
          <w:tcPr>
            <w:tcW w:w="3541" w:type="pct"/>
          </w:tcPr>
          <w:p w14:paraId="66563381" w14:textId="3D9BBA3E" w:rsidR="00294950" w:rsidRPr="003101A0" w:rsidRDefault="00294950" w:rsidP="00D215BD">
            <w:pPr>
              <w:rPr>
                <w:rFonts w:ascii="Times New Roman" w:hAnsi="Times New Roman" w:cs="Times New Roman"/>
                <w:sz w:val="20"/>
                <w:lang w:val="en-US"/>
              </w:rPr>
            </w:pPr>
            <w:r w:rsidRPr="003101A0">
              <w:rPr>
                <w:rFonts w:ascii="Times New Roman" w:hAnsi="Times New Roman" w:cs="Times New Roman"/>
                <w:sz w:val="20"/>
                <w:szCs w:val="20"/>
                <w:lang w:val="en-US"/>
              </w:rPr>
              <w:t xml:space="preserve">Measure of the intensity of covenants that restrict the issuer’s financing activities. We calculate it as the sum of seven covenant </w:t>
            </w:r>
            <w:r w:rsidR="00BC61FC">
              <w:rPr>
                <w:rFonts w:ascii="Times New Roman" w:hAnsi="Times New Roman" w:cs="Times New Roman"/>
                <w:sz w:val="20"/>
                <w:szCs w:val="20"/>
                <w:lang w:val="en-US"/>
              </w:rPr>
              <w:t xml:space="preserve">dummy </w:t>
            </w:r>
            <w:r w:rsidRPr="003101A0">
              <w:rPr>
                <w:rFonts w:ascii="Times New Roman" w:hAnsi="Times New Roman" w:cs="Times New Roman"/>
                <w:sz w:val="20"/>
                <w:szCs w:val="20"/>
                <w:lang w:val="en-US"/>
              </w:rPr>
              <w:t xml:space="preserve">variables, following </w:t>
            </w:r>
            <w:r w:rsidR="002E39E2">
              <w:rPr>
                <w:rFonts w:ascii="Times New Roman" w:hAnsi="Times New Roman" w:cs="Times New Roman"/>
                <w:sz w:val="20"/>
                <w:szCs w:val="20"/>
                <w:lang w:val="en-US"/>
              </w:rPr>
              <w:t xml:space="preserve">the </w:t>
            </w:r>
            <w:r w:rsidR="00871C61" w:rsidRPr="003101A0">
              <w:rPr>
                <w:rFonts w:ascii="Times New Roman" w:hAnsi="Times New Roman" w:cs="Times New Roman"/>
                <w:sz w:val="20"/>
                <w:szCs w:val="20"/>
                <w:lang w:val="en-US"/>
              </w:rPr>
              <w:t>classification</w:t>
            </w:r>
            <w:r w:rsidR="002E39E2">
              <w:rPr>
                <w:rFonts w:ascii="Times New Roman" w:hAnsi="Times New Roman" w:cs="Times New Roman"/>
                <w:sz w:val="20"/>
                <w:szCs w:val="20"/>
                <w:lang w:val="en-US"/>
              </w:rPr>
              <w:t xml:space="preserve"> in </w:t>
            </w:r>
            <w:proofErr w:type="spellStart"/>
            <w:r w:rsidR="002E39E2">
              <w:rPr>
                <w:rFonts w:ascii="Times New Roman" w:hAnsi="Times New Roman" w:cs="Times New Roman"/>
                <w:sz w:val="20"/>
                <w:szCs w:val="20"/>
                <w:lang w:val="en-US"/>
              </w:rPr>
              <w:t>Billett</w:t>
            </w:r>
            <w:proofErr w:type="spellEnd"/>
            <w:r w:rsidR="002E39E2">
              <w:rPr>
                <w:rFonts w:ascii="Times New Roman" w:hAnsi="Times New Roman" w:cs="Times New Roman"/>
                <w:sz w:val="20"/>
                <w:szCs w:val="20"/>
                <w:lang w:val="en-US"/>
              </w:rPr>
              <w:t xml:space="preserve"> et al. (2007)</w:t>
            </w:r>
            <w:r w:rsidRPr="003101A0">
              <w:rPr>
                <w:rFonts w:ascii="Times New Roman" w:hAnsi="Times New Roman" w:cs="Times New Roman"/>
                <w:sz w:val="20"/>
                <w:szCs w:val="20"/>
                <w:lang w:val="en-US"/>
              </w:rPr>
              <w:t>. The index is scaled by seven so that it ranges from zero to one.</w:t>
            </w:r>
          </w:p>
        </w:tc>
        <w:tc>
          <w:tcPr>
            <w:tcW w:w="656" w:type="pct"/>
          </w:tcPr>
          <w:p w14:paraId="1402DBEB" w14:textId="274DA4EA" w:rsidR="00294950" w:rsidRPr="003101A0" w:rsidRDefault="00F17857"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515FA6EE" w14:textId="77777777" w:rsidTr="003101A0">
        <w:trPr>
          <w:jc w:val="center"/>
        </w:trPr>
        <w:tc>
          <w:tcPr>
            <w:tcW w:w="803" w:type="pct"/>
          </w:tcPr>
          <w:p w14:paraId="51AE0F70"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Financing covenant dummy</w:t>
            </w:r>
          </w:p>
        </w:tc>
        <w:tc>
          <w:tcPr>
            <w:tcW w:w="3541" w:type="pct"/>
          </w:tcPr>
          <w:p w14:paraId="1D932F87" w14:textId="38CDD9F6" w:rsidR="00294950" w:rsidRPr="003101A0" w:rsidRDefault="00BC61FC" w:rsidP="00D215BD">
            <w:pPr>
              <w:rPr>
                <w:rFonts w:ascii="Times New Roman" w:hAnsi="Times New Roman" w:cs="Times New Roman"/>
                <w:sz w:val="20"/>
                <w:szCs w:val="20"/>
                <w:lang w:val="en-US"/>
              </w:rPr>
            </w:pPr>
            <w:r>
              <w:rPr>
                <w:rFonts w:ascii="Times New Roman" w:hAnsi="Times New Roman" w:cs="Times New Roman"/>
                <w:sz w:val="20"/>
                <w:szCs w:val="20"/>
                <w:lang w:val="en-US"/>
              </w:rPr>
              <w:t xml:space="preserve">Dummy </w:t>
            </w:r>
            <w:r w:rsidR="00294950" w:rsidRPr="003101A0">
              <w:rPr>
                <w:rFonts w:ascii="Times New Roman" w:hAnsi="Times New Roman" w:cs="Times New Roman"/>
                <w:sz w:val="20"/>
                <w:szCs w:val="20"/>
                <w:lang w:val="en-US"/>
              </w:rPr>
              <w:t xml:space="preserve">variable equal to one if the </w:t>
            </w:r>
            <w:r w:rsidR="00677DDF">
              <w:rPr>
                <w:rFonts w:ascii="Times New Roman" w:hAnsi="Times New Roman" w:cs="Times New Roman"/>
                <w:sz w:val="20"/>
                <w:szCs w:val="20"/>
                <w:lang w:val="en-US"/>
              </w:rPr>
              <w:t>bond offering</w:t>
            </w:r>
            <w:r w:rsidR="00294950" w:rsidRPr="003101A0">
              <w:rPr>
                <w:rFonts w:ascii="Times New Roman" w:hAnsi="Times New Roman" w:cs="Times New Roman"/>
                <w:sz w:val="20"/>
                <w:szCs w:val="20"/>
                <w:lang w:val="en-US"/>
              </w:rPr>
              <w:t xml:space="preserve"> includes a financing covenant and zero otherwise.</w:t>
            </w:r>
          </w:p>
        </w:tc>
        <w:tc>
          <w:tcPr>
            <w:tcW w:w="656" w:type="pct"/>
          </w:tcPr>
          <w:p w14:paraId="329320D7" w14:textId="7D64E37C" w:rsidR="00294950" w:rsidRPr="003101A0" w:rsidRDefault="00F17857"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28F14807" w14:textId="77777777" w:rsidTr="003101A0">
        <w:trPr>
          <w:jc w:val="center"/>
        </w:trPr>
        <w:tc>
          <w:tcPr>
            <w:tcW w:w="803" w:type="pct"/>
          </w:tcPr>
          <w:p w14:paraId="5D93D598"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Investment covenant</w:t>
            </w:r>
          </w:p>
        </w:tc>
        <w:tc>
          <w:tcPr>
            <w:tcW w:w="3541" w:type="pct"/>
          </w:tcPr>
          <w:p w14:paraId="0B761FF5" w14:textId="04B5545B" w:rsidR="00294950" w:rsidRPr="003101A0" w:rsidRDefault="00294950" w:rsidP="00D215BD">
            <w:pPr>
              <w:rPr>
                <w:rFonts w:ascii="Times New Roman" w:hAnsi="Times New Roman" w:cs="Times New Roman"/>
                <w:sz w:val="20"/>
                <w:lang w:val="en-US"/>
              </w:rPr>
            </w:pPr>
            <w:r w:rsidRPr="003101A0">
              <w:rPr>
                <w:rFonts w:ascii="Times New Roman" w:hAnsi="Times New Roman" w:cs="Times New Roman"/>
                <w:sz w:val="20"/>
                <w:szCs w:val="20"/>
                <w:lang w:val="en-US"/>
              </w:rPr>
              <w:t xml:space="preserve">Measure of the intensity of covenants that restrict the issuer’s investment activities. We calculate it as the sum of three covenant </w:t>
            </w:r>
            <w:r w:rsidR="00BC61FC">
              <w:rPr>
                <w:rFonts w:ascii="Times New Roman" w:hAnsi="Times New Roman" w:cs="Times New Roman"/>
                <w:sz w:val="20"/>
                <w:szCs w:val="20"/>
                <w:lang w:val="en-US"/>
              </w:rPr>
              <w:t xml:space="preserve">dummy </w:t>
            </w:r>
            <w:r w:rsidRPr="003101A0">
              <w:rPr>
                <w:rFonts w:ascii="Times New Roman" w:hAnsi="Times New Roman" w:cs="Times New Roman"/>
                <w:sz w:val="20"/>
                <w:szCs w:val="20"/>
                <w:lang w:val="en-US"/>
              </w:rPr>
              <w:t xml:space="preserve">variables, following the classification in </w:t>
            </w:r>
            <w:r w:rsidRPr="003101A0">
              <w:rPr>
                <w:rFonts w:ascii="Times New Roman" w:hAnsi="Times New Roman" w:cs="Times New Roman"/>
                <w:sz w:val="20"/>
                <w:szCs w:val="20"/>
                <w:lang w:val="en-US"/>
              </w:rPr>
              <w:fldChar w:fldCharType="begin"/>
            </w:r>
            <w:r w:rsidRPr="003101A0">
              <w:rPr>
                <w:rFonts w:ascii="Times New Roman" w:hAnsi="Times New Roman" w:cs="Times New Roman"/>
                <w:sz w:val="20"/>
                <w:szCs w:val="20"/>
                <w:lang w:val="en-US"/>
              </w:rPr>
              <w:instrText xml:space="preserve"> ADDIN EN.CITE &lt;EndNote&gt;&lt;Cite AuthorYear="1"&gt;&lt;Author&gt;Billett&lt;/Author&gt;&lt;Year&gt;2007&lt;/Year&gt;&lt;RecNum&gt;813&lt;/RecNum&gt;&lt;DisplayText&gt;Billett et al. (2007)&lt;/DisplayText&gt;&lt;record&gt;&lt;rec-number&gt;813&lt;/rec-number&gt;&lt;foreign-keys&gt;&lt;key app="EN" db-id="x0e9sx5xqzzevzeesetvxwaoef9xwefzfxp0" timestamp="1570473832"&gt;813&lt;/key&gt;&lt;/foreign-keys&gt;&lt;ref-type name="Journal Article"&gt;17&lt;/ref-type&gt;&lt;contributors&gt;&lt;authors&gt;&lt;author&gt;Billett, Matthew T&lt;/author&gt;&lt;author&gt;King, Tao‐Hsien Dolly&lt;/author&gt;&lt;author&gt;Mauer, David C&lt;/author&gt;&lt;/authors&gt;&lt;/contributors&gt;&lt;titles&gt;&lt;title&gt;Growth opportunities and the choice of leverage, debt maturity, and covenants&lt;/title&gt;&lt;secondary-title&gt;The Journal of Finance&lt;/secondary-title&gt;&lt;/titles&gt;&lt;periodical&gt;&lt;full-title&gt;The Journal of Finance&lt;/full-title&gt;&lt;/periodical&gt;&lt;pages&gt;697-730&lt;/pages&gt;&lt;volume&gt;62&lt;/volume&gt;&lt;number&gt;2&lt;/number&gt;&lt;dates&gt;&lt;year&gt;2007&lt;/year&gt;&lt;/dates&gt;&lt;isbn&gt;1540-6261&lt;/isbn&gt;&lt;urls&gt;&lt;/urls&gt;&lt;/record&gt;&lt;/Cite&gt;&lt;/EndNote&gt;</w:instrText>
            </w:r>
            <w:r w:rsidRPr="003101A0">
              <w:rPr>
                <w:rFonts w:ascii="Times New Roman" w:hAnsi="Times New Roman" w:cs="Times New Roman"/>
                <w:sz w:val="20"/>
                <w:szCs w:val="20"/>
                <w:lang w:val="en-US"/>
              </w:rPr>
              <w:fldChar w:fldCharType="separate"/>
            </w:r>
            <w:r w:rsidRPr="003101A0">
              <w:rPr>
                <w:rFonts w:ascii="Times New Roman" w:hAnsi="Times New Roman" w:cs="Times New Roman"/>
                <w:noProof/>
                <w:sz w:val="20"/>
                <w:szCs w:val="20"/>
                <w:lang w:val="en-US"/>
              </w:rPr>
              <w:t>Billett et al. (2007)</w:t>
            </w:r>
            <w:r w:rsidRPr="003101A0">
              <w:rPr>
                <w:rFonts w:ascii="Times New Roman" w:hAnsi="Times New Roman" w:cs="Times New Roman"/>
                <w:sz w:val="20"/>
                <w:szCs w:val="20"/>
                <w:lang w:val="en-US"/>
              </w:rPr>
              <w:fldChar w:fldCharType="end"/>
            </w:r>
            <w:r w:rsidRPr="003101A0">
              <w:rPr>
                <w:rFonts w:ascii="Times New Roman" w:hAnsi="Times New Roman" w:cs="Times New Roman"/>
                <w:sz w:val="20"/>
                <w:szCs w:val="20"/>
                <w:lang w:val="en-US"/>
              </w:rPr>
              <w:t>. The index is scaled by three so that it ranges from zero to one.</w:t>
            </w:r>
          </w:p>
        </w:tc>
        <w:tc>
          <w:tcPr>
            <w:tcW w:w="656" w:type="pct"/>
          </w:tcPr>
          <w:p w14:paraId="4DB4B785" w14:textId="7DDB262C" w:rsidR="00294950" w:rsidRPr="003101A0" w:rsidRDefault="00583E85"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0727E96B" w14:textId="77777777" w:rsidTr="003101A0">
        <w:trPr>
          <w:jc w:val="center"/>
        </w:trPr>
        <w:tc>
          <w:tcPr>
            <w:tcW w:w="803" w:type="pct"/>
          </w:tcPr>
          <w:p w14:paraId="4B64FECC"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Investment covenant dummy</w:t>
            </w:r>
          </w:p>
        </w:tc>
        <w:tc>
          <w:tcPr>
            <w:tcW w:w="3541" w:type="pct"/>
          </w:tcPr>
          <w:p w14:paraId="7C8FB22B" w14:textId="74E41C6B" w:rsidR="00294950" w:rsidRPr="003101A0" w:rsidRDefault="00BC61FC" w:rsidP="00D215BD">
            <w:pPr>
              <w:rPr>
                <w:rFonts w:ascii="Times New Roman" w:hAnsi="Times New Roman" w:cs="Times New Roman"/>
                <w:sz w:val="20"/>
                <w:szCs w:val="20"/>
                <w:lang w:val="en-US"/>
              </w:rPr>
            </w:pPr>
            <w:r>
              <w:rPr>
                <w:rFonts w:ascii="Times New Roman" w:hAnsi="Times New Roman" w:cs="Times New Roman"/>
                <w:sz w:val="20"/>
                <w:szCs w:val="20"/>
                <w:lang w:val="en-US"/>
              </w:rPr>
              <w:t>Dummy</w:t>
            </w:r>
            <w:r w:rsidR="00294950" w:rsidRPr="003101A0">
              <w:rPr>
                <w:rFonts w:ascii="Times New Roman" w:hAnsi="Times New Roman" w:cs="Times New Roman"/>
                <w:sz w:val="20"/>
                <w:szCs w:val="20"/>
                <w:lang w:val="en-US"/>
              </w:rPr>
              <w:t xml:space="preserve"> variable equal to one if the </w:t>
            </w:r>
            <w:r w:rsidR="00677DDF">
              <w:rPr>
                <w:rFonts w:ascii="Times New Roman" w:hAnsi="Times New Roman" w:cs="Times New Roman"/>
                <w:sz w:val="20"/>
                <w:szCs w:val="20"/>
                <w:lang w:val="en-US"/>
              </w:rPr>
              <w:t>bond offering</w:t>
            </w:r>
            <w:r w:rsidR="00294950" w:rsidRPr="003101A0">
              <w:rPr>
                <w:rFonts w:ascii="Times New Roman" w:hAnsi="Times New Roman" w:cs="Times New Roman"/>
                <w:sz w:val="20"/>
                <w:szCs w:val="20"/>
                <w:lang w:val="en-US"/>
              </w:rPr>
              <w:t xml:space="preserve"> includes an investment covenant and zero otherwise.</w:t>
            </w:r>
          </w:p>
        </w:tc>
        <w:tc>
          <w:tcPr>
            <w:tcW w:w="656" w:type="pct"/>
          </w:tcPr>
          <w:p w14:paraId="2FB32890" w14:textId="310595CA" w:rsidR="00294950" w:rsidRPr="003101A0" w:rsidRDefault="00583E85"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258EF0CF" w14:textId="77777777" w:rsidTr="003101A0">
        <w:trPr>
          <w:jc w:val="center"/>
        </w:trPr>
        <w:tc>
          <w:tcPr>
            <w:tcW w:w="803" w:type="pct"/>
          </w:tcPr>
          <w:p w14:paraId="21325DD4"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Payout covenant</w:t>
            </w:r>
          </w:p>
        </w:tc>
        <w:tc>
          <w:tcPr>
            <w:tcW w:w="3541" w:type="pct"/>
          </w:tcPr>
          <w:p w14:paraId="24464B16" w14:textId="2ABD74E3" w:rsidR="00294950" w:rsidRPr="003101A0" w:rsidRDefault="00294950" w:rsidP="00D215BD">
            <w:pPr>
              <w:rPr>
                <w:rFonts w:ascii="Times New Roman" w:hAnsi="Times New Roman" w:cs="Times New Roman"/>
                <w:sz w:val="20"/>
                <w:lang w:val="en-US"/>
              </w:rPr>
            </w:pPr>
            <w:r w:rsidRPr="003101A0">
              <w:rPr>
                <w:rFonts w:ascii="Times New Roman" w:hAnsi="Times New Roman" w:cs="Times New Roman"/>
                <w:sz w:val="20"/>
                <w:szCs w:val="20"/>
                <w:lang w:val="en-US"/>
              </w:rPr>
              <w:t xml:space="preserve">Measure of the intensity of covenants that restrict the issuer’s payout activities. We calculate it as the sum of two covenant </w:t>
            </w:r>
            <w:r w:rsidR="00BC61FC">
              <w:rPr>
                <w:rFonts w:ascii="Times New Roman" w:hAnsi="Times New Roman" w:cs="Times New Roman"/>
                <w:sz w:val="20"/>
                <w:szCs w:val="20"/>
                <w:lang w:val="en-US"/>
              </w:rPr>
              <w:t>dummy</w:t>
            </w:r>
            <w:r w:rsidRPr="003101A0">
              <w:rPr>
                <w:rFonts w:ascii="Times New Roman" w:hAnsi="Times New Roman" w:cs="Times New Roman"/>
                <w:sz w:val="20"/>
                <w:szCs w:val="20"/>
                <w:lang w:val="en-US"/>
              </w:rPr>
              <w:t xml:space="preserve"> variables, following the classification in </w:t>
            </w:r>
            <w:r w:rsidRPr="003101A0">
              <w:rPr>
                <w:rFonts w:ascii="Times New Roman" w:hAnsi="Times New Roman" w:cs="Times New Roman"/>
                <w:sz w:val="20"/>
                <w:szCs w:val="20"/>
                <w:lang w:val="en-US"/>
              </w:rPr>
              <w:fldChar w:fldCharType="begin"/>
            </w:r>
            <w:r w:rsidRPr="003101A0">
              <w:rPr>
                <w:rFonts w:ascii="Times New Roman" w:hAnsi="Times New Roman" w:cs="Times New Roman"/>
                <w:sz w:val="20"/>
                <w:szCs w:val="20"/>
                <w:lang w:val="en-US"/>
              </w:rPr>
              <w:instrText xml:space="preserve"> ADDIN EN.CITE &lt;EndNote&gt;&lt;Cite AuthorYear="1"&gt;&lt;Author&gt;Billett&lt;/Author&gt;&lt;Year&gt;2007&lt;/Year&gt;&lt;RecNum&gt;813&lt;/RecNum&gt;&lt;DisplayText&gt;Billett et al. (2007)&lt;/DisplayText&gt;&lt;record&gt;&lt;rec-number&gt;813&lt;/rec-number&gt;&lt;foreign-keys&gt;&lt;key app="EN" db-id="x0e9sx5xqzzevzeesetvxwaoef9xwefzfxp0" timestamp="1570473832"&gt;813&lt;/key&gt;&lt;/foreign-keys&gt;&lt;ref-type name="Journal Article"&gt;17&lt;/ref-type&gt;&lt;contributors&gt;&lt;authors&gt;&lt;author&gt;Billett, Matthew T&lt;/author&gt;&lt;author&gt;King, Tao‐Hsien Dolly&lt;/author&gt;&lt;author&gt;Mauer, David C&lt;/author&gt;&lt;/authors&gt;&lt;/contributors&gt;&lt;titles&gt;&lt;title&gt;Growth opportunities and the choice of leverage, debt maturity, and covenants&lt;/title&gt;&lt;secondary-title&gt;The Journal of Finance&lt;/secondary-title&gt;&lt;/titles&gt;&lt;periodical&gt;&lt;full-title&gt;The Journal of Finance&lt;/full-title&gt;&lt;/periodical&gt;&lt;pages&gt;697-730&lt;/pages&gt;&lt;volume&gt;62&lt;/volume&gt;&lt;number&gt;2&lt;/number&gt;&lt;dates&gt;&lt;year&gt;2007&lt;/year&gt;&lt;/dates&gt;&lt;isbn&gt;1540-6261&lt;/isbn&gt;&lt;urls&gt;&lt;/urls&gt;&lt;/record&gt;&lt;/Cite&gt;&lt;/EndNote&gt;</w:instrText>
            </w:r>
            <w:r w:rsidRPr="003101A0">
              <w:rPr>
                <w:rFonts w:ascii="Times New Roman" w:hAnsi="Times New Roman" w:cs="Times New Roman"/>
                <w:sz w:val="20"/>
                <w:szCs w:val="20"/>
                <w:lang w:val="en-US"/>
              </w:rPr>
              <w:fldChar w:fldCharType="separate"/>
            </w:r>
            <w:r w:rsidRPr="003101A0">
              <w:rPr>
                <w:rFonts w:ascii="Times New Roman" w:hAnsi="Times New Roman" w:cs="Times New Roman"/>
                <w:noProof/>
                <w:sz w:val="20"/>
                <w:szCs w:val="20"/>
                <w:lang w:val="en-US"/>
              </w:rPr>
              <w:t>Billett et al. (2007)</w:t>
            </w:r>
            <w:r w:rsidRPr="003101A0">
              <w:rPr>
                <w:rFonts w:ascii="Times New Roman" w:hAnsi="Times New Roman" w:cs="Times New Roman"/>
                <w:sz w:val="20"/>
                <w:szCs w:val="20"/>
                <w:lang w:val="en-US"/>
              </w:rPr>
              <w:fldChar w:fldCharType="end"/>
            </w:r>
            <w:r w:rsidRPr="003101A0">
              <w:rPr>
                <w:rFonts w:ascii="Times New Roman" w:hAnsi="Times New Roman" w:cs="Times New Roman"/>
                <w:sz w:val="20"/>
                <w:szCs w:val="20"/>
                <w:lang w:val="en-US"/>
              </w:rPr>
              <w:t>. The index is scaled by two so that it ranges from zero to one.</w:t>
            </w:r>
          </w:p>
        </w:tc>
        <w:tc>
          <w:tcPr>
            <w:tcW w:w="656" w:type="pct"/>
          </w:tcPr>
          <w:p w14:paraId="37BB3FE4" w14:textId="27A01CB3" w:rsidR="00294950" w:rsidRPr="003101A0" w:rsidRDefault="00583E85"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44BEC131" w14:textId="77777777" w:rsidTr="003101A0">
        <w:trPr>
          <w:jc w:val="center"/>
        </w:trPr>
        <w:tc>
          <w:tcPr>
            <w:tcW w:w="803" w:type="pct"/>
          </w:tcPr>
          <w:p w14:paraId="77B90D03"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Payout covenant dummy</w:t>
            </w:r>
          </w:p>
        </w:tc>
        <w:tc>
          <w:tcPr>
            <w:tcW w:w="3541" w:type="pct"/>
          </w:tcPr>
          <w:p w14:paraId="113527CD" w14:textId="24B4F4E8" w:rsidR="00294950" w:rsidRPr="003101A0" w:rsidRDefault="00BC61FC" w:rsidP="00D215BD">
            <w:pPr>
              <w:rPr>
                <w:rFonts w:ascii="Times New Roman" w:hAnsi="Times New Roman" w:cs="Times New Roman"/>
                <w:sz w:val="20"/>
                <w:szCs w:val="20"/>
                <w:lang w:val="en-US"/>
              </w:rPr>
            </w:pPr>
            <w:r>
              <w:rPr>
                <w:rFonts w:ascii="Times New Roman" w:hAnsi="Times New Roman" w:cs="Times New Roman"/>
                <w:sz w:val="20"/>
                <w:szCs w:val="20"/>
                <w:lang w:val="en-US"/>
              </w:rPr>
              <w:t>Dummy</w:t>
            </w:r>
            <w:r w:rsidR="00294950" w:rsidRPr="003101A0">
              <w:rPr>
                <w:rFonts w:ascii="Times New Roman" w:hAnsi="Times New Roman" w:cs="Times New Roman"/>
                <w:sz w:val="20"/>
                <w:szCs w:val="20"/>
                <w:lang w:val="en-US"/>
              </w:rPr>
              <w:t xml:space="preserve"> variable equal to one if the issue includes a payout covenant and zero otherwise.</w:t>
            </w:r>
          </w:p>
        </w:tc>
        <w:tc>
          <w:tcPr>
            <w:tcW w:w="656" w:type="pct"/>
          </w:tcPr>
          <w:p w14:paraId="3F4492C1" w14:textId="224B4086" w:rsidR="00294950" w:rsidRPr="003101A0" w:rsidRDefault="00583E85"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44818535" w14:textId="77777777" w:rsidTr="003101A0">
        <w:trPr>
          <w:jc w:val="center"/>
        </w:trPr>
        <w:tc>
          <w:tcPr>
            <w:tcW w:w="803" w:type="pct"/>
            <w:vAlign w:val="center"/>
          </w:tcPr>
          <w:p w14:paraId="65064ECA"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CIloans</w:t>
            </w:r>
            <w:proofErr w:type="spellEnd"/>
            <w:r w:rsidRPr="003101A0">
              <w:rPr>
                <w:rFonts w:ascii="Times New Roman" w:hAnsi="Times New Roman" w:cs="Times New Roman"/>
                <w:i/>
                <w:sz w:val="20"/>
                <w:szCs w:val="20"/>
                <w:lang w:val="en-US"/>
              </w:rPr>
              <w:t xml:space="preserve"> </w:t>
            </w:r>
          </w:p>
        </w:tc>
        <w:tc>
          <w:tcPr>
            <w:tcW w:w="3541" w:type="pct"/>
          </w:tcPr>
          <w:p w14:paraId="3E097AFE" w14:textId="77777777" w:rsidR="00294950" w:rsidRPr="003101A0" w:rsidRDefault="00294950" w:rsidP="00D215BD">
            <w:pPr>
              <w:rPr>
                <w:rFonts w:ascii="Times New Roman" w:hAnsi="Times New Roman" w:cs="Times New Roman"/>
                <w:sz w:val="20"/>
                <w:szCs w:val="20"/>
                <w:lang w:val="en-US"/>
              </w:rPr>
            </w:pPr>
            <w:r w:rsidRPr="003101A0">
              <w:rPr>
                <w:rFonts w:ascii="Times New Roman" w:hAnsi="Times New Roman" w:cs="Times New Roman"/>
                <w:sz w:val="20"/>
                <w:szCs w:val="20"/>
                <w:lang w:val="en-US"/>
              </w:rPr>
              <w:t>The average covenant intensity of the firms’ outstanding loans.</w:t>
            </w:r>
          </w:p>
        </w:tc>
        <w:tc>
          <w:tcPr>
            <w:tcW w:w="656" w:type="pct"/>
          </w:tcPr>
          <w:p w14:paraId="0CC0336D" w14:textId="77777777" w:rsidR="00294950" w:rsidRPr="003101A0" w:rsidRDefault="00294950" w:rsidP="00493F00">
            <w:pPr>
              <w:rPr>
                <w:rFonts w:ascii="Times New Roman" w:hAnsi="Times New Roman" w:cs="Times New Roman"/>
                <w:sz w:val="20"/>
                <w:szCs w:val="20"/>
                <w:lang w:val="en-US"/>
              </w:rPr>
            </w:pPr>
            <w:proofErr w:type="spellStart"/>
            <w:r w:rsidRPr="003101A0">
              <w:rPr>
                <w:rFonts w:ascii="Times New Roman" w:hAnsi="Times New Roman" w:cs="Times New Roman"/>
                <w:sz w:val="20"/>
                <w:szCs w:val="20"/>
                <w:lang w:val="en-US"/>
              </w:rPr>
              <w:t>DealScan</w:t>
            </w:r>
            <w:proofErr w:type="spellEnd"/>
          </w:p>
        </w:tc>
      </w:tr>
      <w:tr w:rsidR="00294950" w:rsidRPr="003101A0" w14:paraId="41D896B5" w14:textId="77777777" w:rsidTr="003101A0">
        <w:trPr>
          <w:jc w:val="center"/>
        </w:trPr>
        <w:tc>
          <w:tcPr>
            <w:tcW w:w="803" w:type="pct"/>
            <w:vAlign w:val="center"/>
          </w:tcPr>
          <w:p w14:paraId="37E02D54" w14:textId="77777777" w:rsidR="00294950" w:rsidRPr="003101A0" w:rsidRDefault="00294950" w:rsidP="00493F00">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CIbonds</w:t>
            </w:r>
            <w:proofErr w:type="spellEnd"/>
          </w:p>
        </w:tc>
        <w:tc>
          <w:tcPr>
            <w:tcW w:w="3541" w:type="pct"/>
          </w:tcPr>
          <w:p w14:paraId="2E37B8A6" w14:textId="77777777" w:rsidR="00294950" w:rsidRPr="003101A0" w:rsidRDefault="00294950" w:rsidP="00D215BD">
            <w:pPr>
              <w:rPr>
                <w:rFonts w:ascii="Times New Roman" w:hAnsi="Times New Roman" w:cs="Times New Roman"/>
                <w:i/>
                <w:iCs/>
                <w:sz w:val="20"/>
                <w:szCs w:val="20"/>
                <w:lang w:val="en-US"/>
              </w:rPr>
            </w:pPr>
            <w:r w:rsidRPr="003101A0">
              <w:rPr>
                <w:rFonts w:ascii="Times New Roman" w:hAnsi="Times New Roman" w:cs="Times New Roman"/>
                <w:sz w:val="20"/>
                <w:szCs w:val="20"/>
                <w:lang w:val="en-US"/>
              </w:rPr>
              <w:t>The average covenant intensity of the firms’ outstanding bonds.</w:t>
            </w:r>
          </w:p>
        </w:tc>
        <w:tc>
          <w:tcPr>
            <w:tcW w:w="656" w:type="pct"/>
          </w:tcPr>
          <w:p w14:paraId="2AB37692" w14:textId="1338C74D" w:rsidR="00294950" w:rsidRPr="003101A0" w:rsidRDefault="00583E85"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6C133FB0" w14:textId="77777777" w:rsidTr="003101A0">
        <w:trPr>
          <w:jc w:val="center"/>
        </w:trPr>
        <w:tc>
          <w:tcPr>
            <w:tcW w:w="803" w:type="pct"/>
          </w:tcPr>
          <w:p w14:paraId="2D1A6529" w14:textId="77777777" w:rsidR="00294950" w:rsidRPr="003101A0" w:rsidRDefault="00294950" w:rsidP="00493F00">
            <w:pPr>
              <w:rPr>
                <w:rFonts w:ascii="Times New Roman" w:hAnsi="Times New Roman" w:cs="Times New Roman"/>
                <w:sz w:val="20"/>
                <w:szCs w:val="20"/>
                <w:highlight w:val="yellow"/>
                <w:lang w:val="en-US"/>
              </w:rPr>
            </w:pPr>
          </w:p>
        </w:tc>
        <w:tc>
          <w:tcPr>
            <w:tcW w:w="3541" w:type="pct"/>
          </w:tcPr>
          <w:p w14:paraId="68A7B3B4" w14:textId="77777777" w:rsidR="00294950" w:rsidRPr="003101A0" w:rsidRDefault="00294950" w:rsidP="00D215BD">
            <w:pPr>
              <w:rPr>
                <w:rFonts w:ascii="Times New Roman" w:hAnsi="Times New Roman" w:cs="Times New Roman"/>
                <w:sz w:val="20"/>
                <w:szCs w:val="20"/>
                <w:lang w:val="en-US"/>
              </w:rPr>
            </w:pPr>
          </w:p>
        </w:tc>
        <w:tc>
          <w:tcPr>
            <w:tcW w:w="656" w:type="pct"/>
          </w:tcPr>
          <w:p w14:paraId="04A5EA1E" w14:textId="77777777" w:rsidR="00294950" w:rsidRPr="003101A0" w:rsidRDefault="00294950" w:rsidP="00493F00">
            <w:pPr>
              <w:rPr>
                <w:rFonts w:ascii="Times New Roman" w:hAnsi="Times New Roman" w:cs="Times New Roman"/>
                <w:sz w:val="20"/>
                <w:szCs w:val="20"/>
                <w:lang w:val="en-US"/>
              </w:rPr>
            </w:pPr>
          </w:p>
        </w:tc>
      </w:tr>
      <w:tr w:rsidR="00294950" w:rsidRPr="003101A0" w14:paraId="5DBC01D0" w14:textId="77777777" w:rsidTr="003101A0">
        <w:trPr>
          <w:jc w:val="center"/>
        </w:trPr>
        <w:tc>
          <w:tcPr>
            <w:tcW w:w="5000" w:type="pct"/>
            <w:gridSpan w:val="3"/>
          </w:tcPr>
          <w:p w14:paraId="397F2505" w14:textId="77777777" w:rsidR="00294950" w:rsidRPr="003101A0" w:rsidRDefault="00294950" w:rsidP="00493F00">
            <w:pPr>
              <w:rPr>
                <w:rFonts w:ascii="Times New Roman" w:hAnsi="Times New Roman" w:cs="Times New Roman"/>
                <w:b/>
                <w:bCs/>
                <w:sz w:val="20"/>
                <w:szCs w:val="20"/>
                <w:lang w:val="en-US"/>
              </w:rPr>
            </w:pPr>
            <w:r w:rsidRPr="003101A0">
              <w:rPr>
                <w:rFonts w:ascii="Times New Roman" w:hAnsi="Times New Roman" w:cs="Times New Roman"/>
                <w:b/>
                <w:bCs/>
                <w:sz w:val="20"/>
                <w:szCs w:val="20"/>
                <w:lang w:val="en-US"/>
              </w:rPr>
              <w:t>Other variables</w:t>
            </w:r>
          </w:p>
        </w:tc>
      </w:tr>
      <w:tr w:rsidR="00294950" w:rsidRPr="003101A0" w14:paraId="29FF5450" w14:textId="77777777" w:rsidTr="003101A0">
        <w:trPr>
          <w:jc w:val="center"/>
        </w:trPr>
        <w:tc>
          <w:tcPr>
            <w:tcW w:w="803" w:type="pct"/>
          </w:tcPr>
          <w:p w14:paraId="109E6FF7"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Arbitrage period</w:t>
            </w:r>
          </w:p>
        </w:tc>
        <w:tc>
          <w:tcPr>
            <w:tcW w:w="3541" w:type="pct"/>
          </w:tcPr>
          <w:p w14:paraId="293A23AF" w14:textId="7F88BE31" w:rsidR="00294950" w:rsidRPr="003101A0" w:rsidRDefault="00BC61FC" w:rsidP="00D215BD">
            <w:pPr>
              <w:rPr>
                <w:rFonts w:ascii="Times New Roman" w:hAnsi="Times New Roman" w:cs="Times New Roman"/>
                <w:sz w:val="20"/>
                <w:szCs w:val="20"/>
                <w:lang w:val="en-US"/>
              </w:rPr>
            </w:pPr>
            <w:r>
              <w:rPr>
                <w:rFonts w:ascii="Times New Roman" w:hAnsi="Times New Roman" w:cs="Times New Roman"/>
                <w:sz w:val="20"/>
                <w:szCs w:val="20"/>
                <w:lang w:val="en-US"/>
              </w:rPr>
              <w:t>Dummy</w:t>
            </w:r>
            <w:r w:rsidR="00294950" w:rsidRPr="003101A0">
              <w:rPr>
                <w:rFonts w:ascii="Times New Roman" w:hAnsi="Times New Roman" w:cs="Times New Roman"/>
                <w:sz w:val="20"/>
                <w:szCs w:val="20"/>
                <w:lang w:val="en-US"/>
              </w:rPr>
              <w:t xml:space="preserve"> variable equal to one if the bond is issued between January 2000</w:t>
            </w:r>
            <w:r w:rsidR="004177B5">
              <w:rPr>
                <w:rFonts w:ascii="Times New Roman" w:hAnsi="Times New Roman" w:cs="Times New Roman"/>
                <w:sz w:val="20"/>
                <w:szCs w:val="20"/>
                <w:lang w:val="en-US"/>
              </w:rPr>
              <w:t xml:space="preserve"> and </w:t>
            </w:r>
            <w:r w:rsidR="00294950" w:rsidRPr="003101A0">
              <w:rPr>
                <w:rFonts w:ascii="Times New Roman" w:hAnsi="Times New Roman" w:cs="Times New Roman"/>
                <w:sz w:val="20"/>
                <w:szCs w:val="20"/>
                <w:lang w:val="en-US"/>
              </w:rPr>
              <w:t xml:space="preserve">September </w:t>
            </w:r>
            <w:r w:rsidR="00AD1FD3">
              <w:rPr>
                <w:rFonts w:ascii="Times New Roman" w:hAnsi="Times New Roman" w:cs="Times New Roman"/>
                <w:sz w:val="20"/>
                <w:szCs w:val="20"/>
                <w:lang w:val="en-US"/>
              </w:rPr>
              <w:t>15</w:t>
            </w:r>
            <w:r w:rsidR="00AD1FD3" w:rsidRPr="0021043E">
              <w:rPr>
                <w:rFonts w:ascii="Times New Roman" w:hAnsi="Times New Roman" w:cs="Times New Roman"/>
                <w:sz w:val="20"/>
                <w:szCs w:val="20"/>
                <w:vertAlign w:val="superscript"/>
                <w:lang w:val="en-US"/>
              </w:rPr>
              <w:t>th</w:t>
            </w:r>
            <w:proofErr w:type="gramStart"/>
            <w:r w:rsidR="00AD1FD3">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2008</w:t>
            </w:r>
            <w:proofErr w:type="gramEnd"/>
            <w:r w:rsidR="00294950" w:rsidRPr="003101A0">
              <w:rPr>
                <w:rFonts w:ascii="Times New Roman" w:hAnsi="Times New Roman" w:cs="Times New Roman"/>
                <w:sz w:val="20"/>
                <w:szCs w:val="20"/>
                <w:lang w:val="en-US"/>
              </w:rPr>
              <w:t xml:space="preserve"> and zero otherwise.</w:t>
            </w:r>
          </w:p>
        </w:tc>
        <w:tc>
          <w:tcPr>
            <w:tcW w:w="656" w:type="pct"/>
          </w:tcPr>
          <w:p w14:paraId="3677B8F5" w14:textId="2497B410" w:rsidR="00294950" w:rsidRPr="003101A0" w:rsidRDefault="00583E85"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5BE14BEF" w14:textId="77777777" w:rsidTr="003101A0">
        <w:trPr>
          <w:jc w:val="center"/>
        </w:trPr>
        <w:tc>
          <w:tcPr>
            <w:tcW w:w="803" w:type="pct"/>
          </w:tcPr>
          <w:p w14:paraId="43525B93"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Callable</w:t>
            </w:r>
          </w:p>
        </w:tc>
        <w:tc>
          <w:tcPr>
            <w:tcW w:w="3541" w:type="pct"/>
          </w:tcPr>
          <w:p w14:paraId="4990006D" w14:textId="1E13700C" w:rsidR="00294950" w:rsidRPr="003101A0" w:rsidRDefault="00BC61FC" w:rsidP="00D215BD">
            <w:pPr>
              <w:rPr>
                <w:rFonts w:ascii="Times New Roman" w:hAnsi="Times New Roman" w:cs="Times New Roman"/>
                <w:sz w:val="20"/>
                <w:szCs w:val="20"/>
                <w:lang w:val="en-US"/>
              </w:rPr>
            </w:pPr>
            <w:r>
              <w:rPr>
                <w:rFonts w:ascii="Times New Roman" w:hAnsi="Times New Roman" w:cs="Times New Roman"/>
                <w:sz w:val="20"/>
                <w:szCs w:val="20"/>
                <w:lang w:val="en-US"/>
              </w:rPr>
              <w:t>Dummy</w:t>
            </w:r>
            <w:r w:rsidR="00294950" w:rsidRPr="003101A0">
              <w:rPr>
                <w:rFonts w:ascii="Times New Roman" w:hAnsi="Times New Roman" w:cs="Times New Roman"/>
                <w:sz w:val="20"/>
                <w:szCs w:val="20"/>
                <w:lang w:val="en-US"/>
              </w:rPr>
              <w:t xml:space="preserve"> variable equal to one for bonds that have an embedded call option and zero otherwise.</w:t>
            </w:r>
          </w:p>
        </w:tc>
        <w:tc>
          <w:tcPr>
            <w:tcW w:w="656" w:type="pct"/>
          </w:tcPr>
          <w:p w14:paraId="346D3043" w14:textId="367BF667" w:rsidR="00294950" w:rsidRPr="003101A0" w:rsidRDefault="00583E85"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5FCEDF88" w14:textId="77777777" w:rsidTr="003101A0">
        <w:trPr>
          <w:jc w:val="center"/>
        </w:trPr>
        <w:tc>
          <w:tcPr>
            <w:tcW w:w="803" w:type="pct"/>
          </w:tcPr>
          <w:p w14:paraId="6D2B089B"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Capex</w:t>
            </w:r>
          </w:p>
        </w:tc>
        <w:tc>
          <w:tcPr>
            <w:tcW w:w="3541" w:type="pct"/>
          </w:tcPr>
          <w:p w14:paraId="26F61B05" w14:textId="272BD8A7" w:rsidR="00294950" w:rsidRPr="003101A0" w:rsidRDefault="00294950" w:rsidP="00D215BD">
            <w:pPr>
              <w:rPr>
                <w:rFonts w:ascii="Times New Roman" w:hAnsi="Times New Roman" w:cs="Times New Roman"/>
                <w:sz w:val="20"/>
                <w:szCs w:val="20"/>
                <w:lang w:val="en-US"/>
              </w:rPr>
            </w:pPr>
            <w:bookmarkStart w:id="8" w:name="_Hlk121825649"/>
            <w:r w:rsidRPr="003101A0">
              <w:rPr>
                <w:rFonts w:ascii="Times New Roman" w:hAnsi="Times New Roman" w:cs="Times New Roman"/>
                <w:sz w:val="20"/>
                <w:szCs w:val="20"/>
                <w:lang w:val="en-US"/>
              </w:rPr>
              <w:t xml:space="preserve">Capital expenditures (#CAPX) divided by </w:t>
            </w:r>
            <w:r w:rsidR="00871C61" w:rsidRPr="003101A0">
              <w:rPr>
                <w:rFonts w:ascii="Times New Roman" w:hAnsi="Times New Roman" w:cs="Times New Roman"/>
                <w:sz w:val="20"/>
                <w:szCs w:val="20"/>
                <w:lang w:val="en-US"/>
              </w:rPr>
              <w:t xml:space="preserve">the </w:t>
            </w:r>
            <w:r w:rsidRPr="003101A0">
              <w:rPr>
                <w:rFonts w:ascii="Times New Roman" w:hAnsi="Times New Roman" w:cs="Times New Roman"/>
                <w:sz w:val="20"/>
                <w:szCs w:val="20"/>
                <w:lang w:val="en-US"/>
              </w:rPr>
              <w:t>prior year’s net property, plant, and equipment (#PPENT)</w:t>
            </w:r>
            <w:r w:rsidR="004177B5">
              <w:rPr>
                <w:rFonts w:ascii="Times New Roman" w:hAnsi="Times New Roman" w:cs="Times New Roman"/>
                <w:sz w:val="20"/>
                <w:szCs w:val="20"/>
                <w:lang w:val="en-US"/>
              </w:rPr>
              <w:t xml:space="preserve"> </w:t>
            </w:r>
            <w:r w:rsidRPr="003101A0">
              <w:rPr>
                <w:rFonts w:ascii="Times New Roman" w:hAnsi="Times New Roman" w:cs="Times New Roman"/>
                <w:sz w:val="20"/>
                <w:szCs w:val="20"/>
                <w:lang w:val="en-US"/>
              </w:rPr>
              <w:fldChar w:fldCharType="begin"/>
            </w:r>
            <w:r w:rsidRPr="003101A0">
              <w:rPr>
                <w:rFonts w:ascii="Times New Roman" w:hAnsi="Times New Roman" w:cs="Times New Roman"/>
                <w:sz w:val="20"/>
                <w:szCs w:val="20"/>
                <w:lang w:val="en-US"/>
              </w:rPr>
              <w:instrText xml:space="preserve"> ADDIN EN.CITE &lt;EndNote&gt;&lt;Cite&gt;&lt;Author&gt;Adam&lt;/Author&gt;&lt;Year&gt;2009&lt;/Year&gt;&lt;RecNum&gt;1157&lt;/RecNum&gt;&lt;DisplayText&gt;(Adam, 2009; Kaplan &amp;amp; Zingales, 1997)&lt;/DisplayText&gt;&lt;record&gt;&lt;rec-number&gt;1157&lt;/rec-number&gt;&lt;foreign-keys&gt;&lt;key app="EN" db-id="x0e9sx5xqzzevzeesetvxwaoef9xwefzfxp0" timestamp="1576241084"&gt;1157&lt;/key&gt;&lt;/foreign-keys&gt;&lt;ref-type name="Journal Article"&gt;17&lt;/ref-type&gt;&lt;contributors&gt;&lt;authors&gt;&lt;author&gt;Adam, Tim&lt;/author&gt;&lt;/authors&gt;&lt;/contributors&gt;&lt;titles&gt;&lt;title&gt;Capital expenditures, financial constraints, and the use of options&lt;/title&gt;&lt;secondary-title&gt;Journal of Financial Economics&lt;/secondary-title&gt;&lt;/titles&gt;&lt;periodical&gt;&lt;full-title&gt;Journal of Financial Economics&lt;/full-title&gt;&lt;/periodical&gt;&lt;pages&gt;238-251&lt;/pages&gt;&lt;volume&gt;92&lt;/volume&gt;&lt;number&gt;2&lt;/number&gt;&lt;keywords&gt;&lt;keyword&gt;Risk management&lt;/keyword&gt;&lt;keyword&gt;Hedging&lt;/keyword&gt;&lt;keyword&gt;Insurance&lt;/keyword&gt;&lt;keyword&gt;Instrument choice&lt;/keyword&gt;&lt;keyword&gt;Speculation&lt;/keyword&gt;&lt;/keywords&gt;&lt;dates&gt;&lt;year&gt;2009&lt;/year&gt;&lt;pub-dates&gt;&lt;date&gt;2009/05/01/&lt;/date&gt;&lt;/pub-dates&gt;&lt;/dates&gt;&lt;isbn&gt;0304-405X&lt;/isbn&gt;&lt;urls&gt;&lt;related-urls&gt;&lt;url&gt;http://www.sciencedirect.com/science/article/pii/S0304405X0900004X&lt;/url&gt;&lt;/related-urls&gt;&lt;/urls&gt;&lt;electronic-resource-num&gt;https://doi.org/10.1016/j.jfineco.2008.04.007&lt;/electronic-resource-num&gt;&lt;/record&gt;&lt;/Cite&gt;&lt;Cite&gt;&lt;Author&gt;Kaplan&lt;/Author&gt;&lt;Year&gt;1997&lt;/Year&gt;&lt;RecNum&gt;728&lt;/RecNum&gt;&lt;record&gt;&lt;rec-number&gt;728&lt;/rec-number&gt;&lt;foreign-keys&gt;&lt;key app="EN" db-id="x0e9sx5xqzzevzeesetvxwaoef9xwefzfxp0" timestamp="1570473832"&gt;728&lt;/key&gt;&lt;/foreign-keys&gt;&lt;ref-type name="Journal Article"&gt;17&lt;/ref-type&gt;&lt;contributors&gt;&lt;authors&gt;&lt;author&gt;Kaplan, Steven N&lt;/author&gt;&lt;author&gt;Zingales, Luigi&lt;/author&gt;&lt;/authors&gt;&lt;/contributors&gt;&lt;titles&gt;&lt;title&gt;Do investment-cash flow sensitivities provide useful measures of financing constraints?&lt;/title&gt;&lt;secondary-title&gt;The Quarterly Journal of Economics&lt;/secondary-title&gt;&lt;/titles&gt;&lt;periodical&gt;&lt;full-title&gt;The Quarterly Journal of Economics&lt;/full-title&gt;&lt;/periodical&gt;&lt;pages&gt;169-215&lt;/pages&gt;&lt;dates&gt;&lt;year&gt;1997&lt;/year&gt;&lt;/dates&gt;&lt;isbn&gt;0033-5533&lt;/isbn&gt;&lt;urls&gt;&lt;/urls&gt;&lt;/record&gt;&lt;/Cite&gt;&lt;/EndNote&gt;</w:instrText>
            </w:r>
            <w:r w:rsidRPr="003101A0">
              <w:rPr>
                <w:rFonts w:ascii="Times New Roman" w:hAnsi="Times New Roman" w:cs="Times New Roman"/>
                <w:sz w:val="20"/>
                <w:szCs w:val="20"/>
                <w:lang w:val="en-US"/>
              </w:rPr>
              <w:fldChar w:fldCharType="separate"/>
            </w:r>
            <w:r w:rsidRPr="003101A0">
              <w:rPr>
                <w:rFonts w:ascii="Times New Roman" w:hAnsi="Times New Roman" w:cs="Times New Roman"/>
                <w:noProof/>
                <w:sz w:val="20"/>
                <w:szCs w:val="20"/>
                <w:lang w:val="en-US"/>
              </w:rPr>
              <w:t>(</w:t>
            </w:r>
            <w:r w:rsidR="004177B5">
              <w:rPr>
                <w:rFonts w:ascii="Times New Roman" w:hAnsi="Times New Roman" w:cs="Times New Roman"/>
                <w:noProof/>
                <w:sz w:val="20"/>
                <w:szCs w:val="20"/>
                <w:lang w:val="en-US"/>
              </w:rPr>
              <w:t xml:space="preserve">as in </w:t>
            </w:r>
            <w:r w:rsidRPr="003101A0">
              <w:rPr>
                <w:rFonts w:ascii="Times New Roman" w:hAnsi="Times New Roman" w:cs="Times New Roman"/>
                <w:noProof/>
                <w:sz w:val="20"/>
                <w:szCs w:val="20"/>
                <w:lang w:val="en-US"/>
              </w:rPr>
              <w:t xml:space="preserve">Adam, 2009; Kaplan </w:t>
            </w:r>
            <w:r w:rsidR="004177B5">
              <w:rPr>
                <w:rFonts w:ascii="Times New Roman" w:hAnsi="Times New Roman" w:cs="Times New Roman"/>
                <w:noProof/>
                <w:sz w:val="20"/>
                <w:szCs w:val="20"/>
                <w:lang w:val="en-US"/>
              </w:rPr>
              <w:t>and</w:t>
            </w:r>
            <w:r w:rsidR="004177B5" w:rsidRPr="003101A0">
              <w:rPr>
                <w:rFonts w:ascii="Times New Roman" w:hAnsi="Times New Roman" w:cs="Times New Roman"/>
                <w:noProof/>
                <w:sz w:val="20"/>
                <w:szCs w:val="20"/>
                <w:lang w:val="en-US"/>
              </w:rPr>
              <w:t xml:space="preserve"> </w:t>
            </w:r>
            <w:r w:rsidRPr="003101A0">
              <w:rPr>
                <w:rFonts w:ascii="Times New Roman" w:hAnsi="Times New Roman" w:cs="Times New Roman"/>
                <w:noProof/>
                <w:sz w:val="20"/>
                <w:szCs w:val="20"/>
                <w:lang w:val="en-US"/>
              </w:rPr>
              <w:t>Zingales, 1997)</w:t>
            </w:r>
            <w:r w:rsidRPr="003101A0">
              <w:rPr>
                <w:rFonts w:ascii="Times New Roman" w:hAnsi="Times New Roman" w:cs="Times New Roman"/>
                <w:sz w:val="20"/>
                <w:szCs w:val="20"/>
                <w:lang w:val="en-US"/>
              </w:rPr>
              <w:fldChar w:fldCharType="end"/>
            </w:r>
            <w:bookmarkEnd w:id="8"/>
          </w:p>
        </w:tc>
        <w:tc>
          <w:tcPr>
            <w:tcW w:w="656" w:type="pct"/>
          </w:tcPr>
          <w:p w14:paraId="4A775A45" w14:textId="77777777" w:rsidR="00294950" w:rsidRPr="003101A0" w:rsidRDefault="00294950" w:rsidP="00493F00">
            <w:pPr>
              <w:rPr>
                <w:rFonts w:ascii="Times New Roman" w:hAnsi="Times New Roman" w:cs="Times New Roman"/>
                <w:sz w:val="20"/>
                <w:szCs w:val="20"/>
                <w:lang w:val="en-US"/>
              </w:rPr>
            </w:pPr>
            <w:proofErr w:type="spellStart"/>
            <w:r w:rsidRPr="003101A0">
              <w:rPr>
                <w:rFonts w:ascii="Times New Roman" w:hAnsi="Times New Roman" w:cs="Times New Roman"/>
                <w:sz w:val="20"/>
                <w:szCs w:val="20"/>
                <w:lang w:val="en-US"/>
              </w:rPr>
              <w:t>Compustat</w:t>
            </w:r>
            <w:proofErr w:type="spellEnd"/>
          </w:p>
        </w:tc>
      </w:tr>
      <w:tr w:rsidR="00294950" w:rsidRPr="003101A0" w14:paraId="7C410A7F" w14:textId="77777777" w:rsidTr="003101A0">
        <w:trPr>
          <w:jc w:val="center"/>
        </w:trPr>
        <w:tc>
          <w:tcPr>
            <w:tcW w:w="803" w:type="pct"/>
          </w:tcPr>
          <w:p w14:paraId="1E6255C6" w14:textId="62221944" w:rsidR="004125DB" w:rsidRPr="003101A0" w:rsidRDefault="00C222AA" w:rsidP="00493F00">
            <w:pPr>
              <w:rPr>
                <w:rFonts w:ascii="Times New Roman" w:hAnsi="Times New Roman" w:cs="Times New Roman"/>
                <w:i/>
                <w:sz w:val="20"/>
                <w:szCs w:val="20"/>
                <w:lang w:val="en-US"/>
              </w:rPr>
            </w:pPr>
            <w:proofErr w:type="spellStart"/>
            <w:r>
              <w:rPr>
                <w:rFonts w:ascii="Times New Roman" w:hAnsi="Times New Roman" w:cs="Times New Roman"/>
                <w:i/>
                <w:sz w:val="20"/>
                <w:szCs w:val="20"/>
                <w:lang w:val="en-US"/>
              </w:rPr>
              <w:t>CAflow</w:t>
            </w:r>
            <w:proofErr w:type="spellEnd"/>
          </w:p>
        </w:tc>
        <w:tc>
          <w:tcPr>
            <w:tcW w:w="3541" w:type="pct"/>
          </w:tcPr>
          <w:p w14:paraId="3D815FF3" w14:textId="578BA058" w:rsidR="00294950" w:rsidRPr="003101A0" w:rsidRDefault="00294950" w:rsidP="00D215BD">
            <w:pPr>
              <w:rPr>
                <w:rFonts w:ascii="Times New Roman" w:hAnsi="Times New Roman" w:cs="Times New Roman"/>
                <w:sz w:val="20"/>
                <w:szCs w:val="20"/>
                <w:lang w:val="en-US"/>
              </w:rPr>
            </w:pPr>
            <w:r w:rsidRPr="003101A0">
              <w:rPr>
                <w:rFonts w:ascii="Times New Roman" w:hAnsi="Times New Roman" w:cs="Times New Roman"/>
                <w:color w:val="000000"/>
                <w:sz w:val="20"/>
                <w:szCs w:val="20"/>
                <w:lang w:val="en-US"/>
              </w:rPr>
              <w:t xml:space="preserve">The average value of monthly fund flows in year </w:t>
            </w:r>
            <w:r w:rsidRPr="0021043E">
              <w:rPr>
                <w:rFonts w:ascii="Times New Roman" w:hAnsi="Times New Roman" w:cs="Times New Roman"/>
                <w:i/>
                <w:iCs/>
                <w:color w:val="000000"/>
                <w:sz w:val="20"/>
                <w:szCs w:val="20"/>
                <w:lang w:val="en-US"/>
              </w:rPr>
              <w:t>t</w:t>
            </w:r>
            <w:r w:rsidRPr="003101A0">
              <w:rPr>
                <w:rFonts w:ascii="Times New Roman" w:hAnsi="Times New Roman" w:cs="Times New Roman"/>
                <w:color w:val="000000"/>
                <w:sz w:val="20"/>
                <w:szCs w:val="20"/>
                <w:lang w:val="en-US"/>
              </w:rPr>
              <w:t xml:space="preserve">, where fund flows are calculated using the </w:t>
            </w:r>
            <w:r w:rsidRPr="003101A0">
              <w:rPr>
                <w:rFonts w:ascii="Times New Roman" w:hAnsi="Times New Roman" w:cs="Times New Roman"/>
                <w:sz w:val="20"/>
                <w:szCs w:val="20"/>
                <w:lang w:val="en-US"/>
              </w:rPr>
              <w:t xml:space="preserve">following formula </w:t>
            </w:r>
            <w:proofErr w:type="spellStart"/>
            <w:r w:rsidRPr="003101A0">
              <w:rPr>
                <w:rFonts w:ascii="Times New Roman" w:hAnsi="Times New Roman" w:cs="Times New Roman"/>
                <w:sz w:val="20"/>
                <w:szCs w:val="20"/>
                <w:lang w:val="en-US"/>
              </w:rPr>
              <w:t>NAV</w:t>
            </w:r>
            <w:r w:rsidRPr="003101A0">
              <w:rPr>
                <w:rFonts w:ascii="Times New Roman" w:hAnsi="Times New Roman" w:cs="Times New Roman"/>
                <w:sz w:val="20"/>
                <w:szCs w:val="20"/>
                <w:vertAlign w:val="subscript"/>
                <w:lang w:val="en-US"/>
              </w:rPr>
              <w:t>tn</w:t>
            </w:r>
            <w:proofErr w:type="spellEnd"/>
            <w:r w:rsidRPr="003101A0">
              <w:rPr>
                <w:rFonts w:ascii="Times New Roman" w:hAnsi="Times New Roman" w:cs="Times New Roman"/>
                <w:sz w:val="20"/>
                <w:szCs w:val="20"/>
                <w:lang w:val="en-US"/>
              </w:rPr>
              <w:t>/NAV</w:t>
            </w:r>
            <w:r w:rsidRPr="003101A0">
              <w:rPr>
                <w:rFonts w:ascii="Times New Roman" w:hAnsi="Times New Roman" w:cs="Times New Roman"/>
                <w:sz w:val="20"/>
                <w:szCs w:val="20"/>
                <w:vertAlign w:val="subscript"/>
                <w:lang w:val="en-US"/>
              </w:rPr>
              <w:t>tn-1</w:t>
            </w:r>
            <w:r w:rsidRPr="003101A0">
              <w:rPr>
                <w:rFonts w:ascii="Times New Roman" w:hAnsi="Times New Roman" w:cs="Times New Roman"/>
                <w:sz w:val="20"/>
                <w:szCs w:val="20"/>
                <w:lang w:val="en-US"/>
              </w:rPr>
              <w:t xml:space="preserve"> – (1+r</w:t>
            </w:r>
            <w:r w:rsidRPr="003101A0">
              <w:rPr>
                <w:rFonts w:ascii="Times New Roman" w:hAnsi="Times New Roman" w:cs="Times New Roman"/>
                <w:sz w:val="20"/>
                <w:szCs w:val="20"/>
                <w:vertAlign w:val="subscript"/>
                <w:lang w:val="en-US"/>
              </w:rPr>
              <w:t>tn</w:t>
            </w:r>
            <w:r w:rsidRPr="003101A0">
              <w:rPr>
                <w:rFonts w:ascii="Times New Roman" w:hAnsi="Times New Roman" w:cs="Times New Roman"/>
                <w:sz w:val="20"/>
                <w:szCs w:val="20"/>
                <w:lang w:val="en-US"/>
              </w:rPr>
              <w:t xml:space="preserve">), </w:t>
            </w:r>
            <w:r w:rsidR="004177B5">
              <w:rPr>
                <w:rFonts w:ascii="Times New Roman" w:hAnsi="Times New Roman" w:cs="Times New Roman"/>
                <w:sz w:val="20"/>
                <w:szCs w:val="20"/>
                <w:lang w:val="en-US"/>
              </w:rPr>
              <w:t>with</w:t>
            </w:r>
            <w:r w:rsidR="004177B5" w:rsidRPr="003101A0">
              <w:rPr>
                <w:rFonts w:ascii="Times New Roman" w:hAnsi="Times New Roman" w:cs="Times New Roman"/>
                <w:sz w:val="20"/>
                <w:szCs w:val="20"/>
                <w:lang w:val="en-US"/>
              </w:rPr>
              <w:t xml:space="preserve"> </w:t>
            </w:r>
            <w:proofErr w:type="spellStart"/>
            <w:r w:rsidRPr="0021043E">
              <w:rPr>
                <w:rFonts w:ascii="Times New Roman" w:hAnsi="Times New Roman" w:cs="Times New Roman"/>
                <w:i/>
                <w:iCs/>
                <w:sz w:val="20"/>
                <w:szCs w:val="20"/>
                <w:lang w:val="en-US"/>
              </w:rPr>
              <w:t>NAV</w:t>
            </w:r>
            <w:r w:rsidRPr="0021043E">
              <w:rPr>
                <w:rFonts w:ascii="Times New Roman" w:hAnsi="Times New Roman" w:cs="Times New Roman"/>
                <w:i/>
                <w:iCs/>
                <w:sz w:val="20"/>
                <w:szCs w:val="20"/>
                <w:vertAlign w:val="subscript"/>
                <w:lang w:val="en-US"/>
              </w:rPr>
              <w:t>tn</w:t>
            </w:r>
            <w:proofErr w:type="spellEnd"/>
            <w:r w:rsidRPr="003101A0">
              <w:rPr>
                <w:rFonts w:ascii="Times New Roman" w:hAnsi="Times New Roman" w:cs="Times New Roman"/>
                <w:sz w:val="20"/>
                <w:szCs w:val="20"/>
                <w:lang w:val="en-US"/>
              </w:rPr>
              <w:t xml:space="preserve"> represent</w:t>
            </w:r>
            <w:r w:rsidR="004177B5">
              <w:rPr>
                <w:rFonts w:ascii="Times New Roman" w:hAnsi="Times New Roman" w:cs="Times New Roman"/>
                <w:sz w:val="20"/>
                <w:szCs w:val="20"/>
                <w:lang w:val="en-US"/>
              </w:rPr>
              <w:t>ing</w:t>
            </w:r>
            <w:r w:rsidRPr="003101A0">
              <w:rPr>
                <w:rFonts w:ascii="Times New Roman" w:hAnsi="Times New Roman" w:cs="Times New Roman"/>
                <w:sz w:val="20"/>
                <w:szCs w:val="20"/>
                <w:lang w:val="en-US"/>
              </w:rPr>
              <w:t xml:space="preserve"> the assets of convertible bond arbitrage funds in year </w:t>
            </w:r>
            <w:r w:rsidRPr="0021043E">
              <w:rPr>
                <w:rFonts w:ascii="Times New Roman" w:hAnsi="Times New Roman" w:cs="Times New Roman"/>
                <w:i/>
                <w:iCs/>
                <w:sz w:val="20"/>
                <w:szCs w:val="20"/>
                <w:lang w:val="en-US"/>
              </w:rPr>
              <w:t xml:space="preserve">t </w:t>
            </w:r>
            <w:r w:rsidRPr="003101A0">
              <w:rPr>
                <w:rFonts w:ascii="Times New Roman" w:hAnsi="Times New Roman" w:cs="Times New Roman"/>
                <w:sz w:val="20"/>
                <w:szCs w:val="20"/>
                <w:lang w:val="en-US"/>
              </w:rPr>
              <w:t xml:space="preserve">month </w:t>
            </w:r>
            <w:r w:rsidRPr="0021043E">
              <w:rPr>
                <w:rFonts w:ascii="Times New Roman" w:hAnsi="Times New Roman" w:cs="Times New Roman"/>
                <w:i/>
                <w:iCs/>
                <w:sz w:val="20"/>
                <w:szCs w:val="20"/>
                <w:lang w:val="en-US"/>
              </w:rPr>
              <w:t>n</w:t>
            </w:r>
            <w:r w:rsidRPr="003101A0">
              <w:rPr>
                <w:rFonts w:ascii="Times New Roman" w:hAnsi="Times New Roman" w:cs="Times New Roman"/>
                <w:sz w:val="20"/>
                <w:szCs w:val="20"/>
                <w:lang w:val="en-US"/>
              </w:rPr>
              <w:t xml:space="preserve">, and </w:t>
            </w:r>
            <w:proofErr w:type="spellStart"/>
            <w:r w:rsidRPr="0021043E">
              <w:rPr>
                <w:rFonts w:ascii="Times New Roman" w:hAnsi="Times New Roman" w:cs="Times New Roman"/>
                <w:i/>
                <w:iCs/>
                <w:sz w:val="20"/>
                <w:szCs w:val="20"/>
                <w:lang w:val="en-US"/>
              </w:rPr>
              <w:t>r</w:t>
            </w:r>
            <w:r w:rsidRPr="0021043E">
              <w:rPr>
                <w:rFonts w:ascii="Times New Roman" w:hAnsi="Times New Roman" w:cs="Times New Roman"/>
                <w:i/>
                <w:iCs/>
                <w:sz w:val="20"/>
                <w:szCs w:val="20"/>
                <w:vertAlign w:val="subscript"/>
                <w:lang w:val="en-US"/>
              </w:rPr>
              <w:t>tn</w:t>
            </w:r>
            <w:proofErr w:type="spellEnd"/>
            <w:r w:rsidRPr="003101A0">
              <w:rPr>
                <w:rFonts w:ascii="Times New Roman" w:hAnsi="Times New Roman" w:cs="Times New Roman"/>
                <w:sz w:val="20"/>
                <w:szCs w:val="20"/>
                <w:lang w:val="en-US"/>
              </w:rPr>
              <w:t xml:space="preserve"> the asset return in year </w:t>
            </w:r>
            <w:r w:rsidRPr="0021043E">
              <w:rPr>
                <w:rFonts w:ascii="Times New Roman" w:hAnsi="Times New Roman" w:cs="Times New Roman"/>
                <w:i/>
                <w:iCs/>
                <w:sz w:val="20"/>
                <w:szCs w:val="20"/>
                <w:lang w:val="en-US"/>
              </w:rPr>
              <w:t>t</w:t>
            </w:r>
            <w:r w:rsidRPr="003101A0">
              <w:rPr>
                <w:rFonts w:ascii="Times New Roman" w:hAnsi="Times New Roman" w:cs="Times New Roman"/>
                <w:sz w:val="20"/>
                <w:szCs w:val="20"/>
                <w:lang w:val="en-US"/>
              </w:rPr>
              <w:t xml:space="preserve"> month </w:t>
            </w:r>
            <w:r w:rsidRPr="0021043E">
              <w:rPr>
                <w:rFonts w:ascii="Times New Roman" w:hAnsi="Times New Roman" w:cs="Times New Roman"/>
                <w:i/>
                <w:iCs/>
                <w:sz w:val="20"/>
                <w:szCs w:val="20"/>
                <w:lang w:val="en-US"/>
              </w:rPr>
              <w:t>n</w:t>
            </w:r>
            <w:r w:rsidRPr="003101A0">
              <w:rPr>
                <w:rFonts w:ascii="Times New Roman" w:hAnsi="Times New Roman" w:cs="Times New Roman"/>
                <w:sz w:val="20"/>
                <w:szCs w:val="20"/>
                <w:lang w:val="en-US"/>
              </w:rPr>
              <w:t xml:space="preserve">. </w:t>
            </w:r>
          </w:p>
        </w:tc>
        <w:tc>
          <w:tcPr>
            <w:tcW w:w="656" w:type="pct"/>
          </w:tcPr>
          <w:p w14:paraId="274AD102" w14:textId="77777777" w:rsidR="00294950" w:rsidRPr="003101A0" w:rsidRDefault="00294950" w:rsidP="00493F00">
            <w:pPr>
              <w:rPr>
                <w:rFonts w:ascii="Times New Roman" w:hAnsi="Times New Roman" w:cs="Times New Roman"/>
                <w:sz w:val="20"/>
                <w:szCs w:val="20"/>
                <w:lang w:val="en-US"/>
              </w:rPr>
            </w:pPr>
            <w:r w:rsidRPr="003101A0">
              <w:rPr>
                <w:rFonts w:ascii="Times New Roman" w:hAnsi="Times New Roman" w:cs="Times New Roman"/>
                <w:sz w:val="20"/>
                <w:szCs w:val="20"/>
                <w:lang w:val="en-US"/>
              </w:rPr>
              <w:t>TASS</w:t>
            </w:r>
          </w:p>
        </w:tc>
      </w:tr>
      <w:tr w:rsidR="00294950" w:rsidRPr="003101A0" w14:paraId="5F353D51" w14:textId="77777777" w:rsidTr="003101A0">
        <w:trPr>
          <w:jc w:val="center"/>
        </w:trPr>
        <w:tc>
          <w:tcPr>
            <w:tcW w:w="803" w:type="pct"/>
          </w:tcPr>
          <w:p w14:paraId="663CA2FE"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Convertible</w:t>
            </w:r>
          </w:p>
        </w:tc>
        <w:tc>
          <w:tcPr>
            <w:tcW w:w="3541" w:type="pct"/>
          </w:tcPr>
          <w:p w14:paraId="3F45EA07" w14:textId="1D5BF3A2" w:rsidR="00294950" w:rsidRPr="003101A0" w:rsidRDefault="00BC61FC" w:rsidP="00D215BD">
            <w:pPr>
              <w:rPr>
                <w:rFonts w:ascii="Times New Roman" w:hAnsi="Times New Roman" w:cs="Times New Roman"/>
                <w:sz w:val="20"/>
                <w:szCs w:val="20"/>
                <w:lang w:val="en-US"/>
              </w:rPr>
            </w:pPr>
            <w:r>
              <w:rPr>
                <w:rFonts w:ascii="Times New Roman" w:hAnsi="Times New Roman" w:cs="Times New Roman"/>
                <w:sz w:val="20"/>
                <w:szCs w:val="20"/>
                <w:lang w:val="en-US"/>
              </w:rPr>
              <w:t>Dummy</w:t>
            </w:r>
            <w:r w:rsidR="00294950" w:rsidRPr="003101A0">
              <w:rPr>
                <w:rFonts w:ascii="Times New Roman" w:hAnsi="Times New Roman" w:cs="Times New Roman"/>
                <w:sz w:val="20"/>
                <w:szCs w:val="20"/>
                <w:lang w:val="en-US"/>
              </w:rPr>
              <w:t xml:space="preserve"> variable equal to one if the bond is convertible and zero otherwise.</w:t>
            </w:r>
          </w:p>
        </w:tc>
        <w:tc>
          <w:tcPr>
            <w:tcW w:w="656" w:type="pct"/>
          </w:tcPr>
          <w:p w14:paraId="782FDCC4" w14:textId="2D9F999E" w:rsidR="00294950" w:rsidRPr="003101A0" w:rsidRDefault="00F17857"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525BDD6F" w14:textId="77777777" w:rsidTr="003101A0">
        <w:trPr>
          <w:jc w:val="center"/>
        </w:trPr>
        <w:tc>
          <w:tcPr>
            <w:tcW w:w="803" w:type="pct"/>
          </w:tcPr>
          <w:p w14:paraId="187E3ED8"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lang w:val="en-US"/>
              </w:rPr>
              <w:t>Convertible market</w:t>
            </w:r>
          </w:p>
        </w:tc>
        <w:tc>
          <w:tcPr>
            <w:tcW w:w="3541" w:type="pct"/>
          </w:tcPr>
          <w:p w14:paraId="3E3DA5F5" w14:textId="77777777" w:rsidR="00294950" w:rsidRPr="003101A0" w:rsidRDefault="00294950" w:rsidP="00D215BD">
            <w:pPr>
              <w:rPr>
                <w:rFonts w:ascii="Times New Roman" w:hAnsi="Times New Roman" w:cs="Times New Roman"/>
                <w:sz w:val="20"/>
                <w:szCs w:val="20"/>
                <w:lang w:val="en-US"/>
              </w:rPr>
            </w:pPr>
            <w:r w:rsidRPr="003101A0">
              <w:rPr>
                <w:rFonts w:ascii="Times New Roman" w:hAnsi="Times New Roman" w:cs="Times New Roman"/>
                <w:sz w:val="20"/>
                <w:szCs w:val="20"/>
                <w:lang w:val="en-US"/>
              </w:rPr>
              <w:t>The number of convertible bond offerings over the past 12 months divided by the total number of convertible and straight bond offerings over the past 12 months.</w:t>
            </w:r>
          </w:p>
        </w:tc>
        <w:tc>
          <w:tcPr>
            <w:tcW w:w="656" w:type="pct"/>
          </w:tcPr>
          <w:p w14:paraId="5E147867" w14:textId="216DF179" w:rsidR="00294950" w:rsidRPr="003101A0" w:rsidRDefault="00F17857"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7C2DDBC2" w14:textId="77777777" w:rsidTr="003101A0">
        <w:trPr>
          <w:jc w:val="center"/>
        </w:trPr>
        <w:tc>
          <w:tcPr>
            <w:tcW w:w="803" w:type="pct"/>
          </w:tcPr>
          <w:p w14:paraId="294AD93F"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Conversion premium</w:t>
            </w:r>
          </w:p>
        </w:tc>
        <w:tc>
          <w:tcPr>
            <w:tcW w:w="3541" w:type="pct"/>
          </w:tcPr>
          <w:p w14:paraId="377D0B45" w14:textId="49204075" w:rsidR="00294950" w:rsidRPr="003101A0" w:rsidRDefault="004177B5" w:rsidP="00D215BD">
            <w:pPr>
              <w:rPr>
                <w:rFonts w:ascii="Times New Roman" w:hAnsi="Times New Roman" w:cs="Times New Roman"/>
                <w:sz w:val="20"/>
                <w:szCs w:val="20"/>
                <w:lang w:val="en-US"/>
              </w:rPr>
            </w:pPr>
            <w:r>
              <w:rPr>
                <w:rFonts w:ascii="Times New Roman" w:hAnsi="Times New Roman" w:cs="Times New Roman"/>
                <w:sz w:val="20"/>
                <w:szCs w:val="20"/>
                <w:lang w:val="en-US"/>
              </w:rPr>
              <w:t>P</w:t>
            </w:r>
            <w:r w:rsidR="00294950" w:rsidRPr="003101A0">
              <w:rPr>
                <w:rFonts w:ascii="Times New Roman" w:hAnsi="Times New Roman" w:cs="Times New Roman"/>
                <w:sz w:val="20"/>
                <w:szCs w:val="20"/>
                <w:lang w:val="en-US"/>
              </w:rPr>
              <w:t xml:space="preserve">ercentage difference between the conversion price and the issuer’s stock price </w:t>
            </w:r>
            <w:r>
              <w:rPr>
                <w:rFonts w:ascii="Times New Roman" w:hAnsi="Times New Roman" w:cs="Times New Roman"/>
                <w:sz w:val="20"/>
                <w:szCs w:val="20"/>
                <w:lang w:val="en-US"/>
              </w:rPr>
              <w:t>as of the convertible bond’s issuance date</w:t>
            </w:r>
            <w:r w:rsidR="00294950" w:rsidRPr="003101A0">
              <w:rPr>
                <w:rFonts w:ascii="Times New Roman" w:hAnsi="Times New Roman" w:cs="Times New Roman"/>
                <w:sz w:val="20"/>
                <w:szCs w:val="20"/>
                <w:lang w:val="en-US"/>
              </w:rPr>
              <w:t>.</w:t>
            </w:r>
          </w:p>
        </w:tc>
        <w:tc>
          <w:tcPr>
            <w:tcW w:w="656" w:type="pct"/>
          </w:tcPr>
          <w:p w14:paraId="5326378C" w14:textId="033DD46A" w:rsidR="00294950" w:rsidRPr="003101A0" w:rsidRDefault="00F17857" w:rsidP="00493F00">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294950" w:rsidRPr="003101A0">
              <w:rPr>
                <w:rFonts w:ascii="Times New Roman" w:hAnsi="Times New Roman" w:cs="Times New Roman"/>
                <w:sz w:val="20"/>
                <w:szCs w:val="20"/>
                <w:lang w:val="en-US"/>
              </w:rPr>
              <w:t>FISD</w:t>
            </w:r>
          </w:p>
        </w:tc>
      </w:tr>
      <w:tr w:rsidR="00294950" w:rsidRPr="003101A0" w14:paraId="2199C149" w14:textId="77777777" w:rsidTr="00740E47">
        <w:trPr>
          <w:jc w:val="center"/>
        </w:trPr>
        <w:tc>
          <w:tcPr>
            <w:tcW w:w="803" w:type="pct"/>
            <w:shd w:val="clear" w:color="auto" w:fill="auto"/>
          </w:tcPr>
          <w:p w14:paraId="0654A2E2" w14:textId="77777777" w:rsidR="00294950" w:rsidRPr="003101A0" w:rsidRDefault="00294950" w:rsidP="00740E47">
            <w:pPr>
              <w:rPr>
                <w:rFonts w:ascii="Times New Roman" w:hAnsi="Times New Roman" w:cs="Times New Roman"/>
                <w:i/>
                <w:sz w:val="20"/>
                <w:szCs w:val="20"/>
                <w:lang w:val="en-US"/>
              </w:rPr>
            </w:pPr>
            <w:r w:rsidRPr="003101A0">
              <w:rPr>
                <w:rFonts w:ascii="Times New Roman" w:hAnsi="Times New Roman" w:cs="Times New Roman"/>
                <w:i/>
                <w:sz w:val="20"/>
                <w:szCs w:val="20"/>
                <w:lang w:val="en-US"/>
              </w:rPr>
              <w:t>Credit spread</w:t>
            </w:r>
          </w:p>
        </w:tc>
        <w:tc>
          <w:tcPr>
            <w:tcW w:w="3541" w:type="pct"/>
            <w:shd w:val="clear" w:color="auto" w:fill="auto"/>
          </w:tcPr>
          <w:p w14:paraId="77F95FE3" w14:textId="5925A298" w:rsidR="00294950" w:rsidRPr="003101A0" w:rsidRDefault="00294950" w:rsidP="00D215BD">
            <w:pPr>
              <w:rPr>
                <w:rFonts w:ascii="Times New Roman" w:hAnsi="Times New Roman" w:cs="Times New Roman"/>
                <w:iCs/>
                <w:sz w:val="20"/>
                <w:szCs w:val="20"/>
                <w:lang w:val="en-US"/>
              </w:rPr>
            </w:pPr>
            <w:r w:rsidRPr="003101A0">
              <w:rPr>
                <w:rFonts w:ascii="Times New Roman" w:hAnsi="Times New Roman" w:cs="Times New Roman"/>
                <w:sz w:val="20"/>
                <w:szCs w:val="20"/>
                <w:lang w:val="en-US"/>
              </w:rPr>
              <w:t>Difference in yields between Moody’s BAA</w:t>
            </w:r>
            <w:r w:rsidR="004177B5">
              <w:rPr>
                <w:rFonts w:ascii="Times New Roman" w:hAnsi="Times New Roman" w:cs="Times New Roman"/>
                <w:sz w:val="20"/>
                <w:szCs w:val="20"/>
                <w:lang w:val="en-US"/>
              </w:rPr>
              <w:t>-</w:t>
            </w:r>
            <w:r w:rsidRPr="003101A0">
              <w:rPr>
                <w:rFonts w:ascii="Times New Roman" w:hAnsi="Times New Roman" w:cs="Times New Roman"/>
                <w:sz w:val="20"/>
                <w:szCs w:val="20"/>
                <w:lang w:val="en-US"/>
              </w:rPr>
              <w:t xml:space="preserve"> and AAA</w:t>
            </w:r>
            <w:r w:rsidR="004177B5">
              <w:rPr>
                <w:rFonts w:ascii="Times New Roman" w:hAnsi="Times New Roman" w:cs="Times New Roman"/>
                <w:sz w:val="20"/>
                <w:szCs w:val="20"/>
                <w:lang w:val="en-US"/>
              </w:rPr>
              <w:t>-</w:t>
            </w:r>
            <w:r w:rsidRPr="003101A0">
              <w:rPr>
                <w:rFonts w:ascii="Times New Roman" w:hAnsi="Times New Roman" w:cs="Times New Roman"/>
                <w:sz w:val="20"/>
                <w:szCs w:val="20"/>
                <w:lang w:val="en-US"/>
              </w:rPr>
              <w:t>rated corporate bonds</w:t>
            </w:r>
            <w:r w:rsidR="00542CF3" w:rsidRPr="003101A0">
              <w:rPr>
                <w:rFonts w:ascii="Times New Roman" w:hAnsi="Times New Roman" w:cs="Times New Roman"/>
                <w:sz w:val="20"/>
                <w:szCs w:val="20"/>
                <w:lang w:val="en-US"/>
              </w:rPr>
              <w:t xml:space="preserve">, </w:t>
            </w:r>
            <w:r w:rsidR="00542CF3" w:rsidRPr="003101A0">
              <w:rPr>
                <w:rFonts w:ascii="Times New Roman" w:eastAsia="Times New Roman" w:hAnsi="Times New Roman" w:cs="Times New Roman"/>
                <w:sz w:val="20"/>
                <w:szCs w:val="20"/>
                <w:lang w:val="en-US"/>
              </w:rPr>
              <w:t>measured in the month before the bond</w:t>
            </w:r>
            <w:r w:rsidR="004177B5">
              <w:rPr>
                <w:rFonts w:ascii="Times New Roman" w:eastAsia="Times New Roman" w:hAnsi="Times New Roman" w:cs="Times New Roman"/>
                <w:sz w:val="20"/>
                <w:szCs w:val="20"/>
                <w:lang w:val="en-US"/>
              </w:rPr>
              <w:t>’s</w:t>
            </w:r>
            <w:r w:rsidR="00542CF3" w:rsidRPr="003101A0">
              <w:rPr>
                <w:rFonts w:ascii="Times New Roman" w:eastAsia="Times New Roman" w:hAnsi="Times New Roman" w:cs="Times New Roman"/>
                <w:sz w:val="20"/>
                <w:szCs w:val="20"/>
                <w:lang w:val="en-US"/>
              </w:rPr>
              <w:t xml:space="preserve"> issuance date.</w:t>
            </w:r>
          </w:p>
        </w:tc>
        <w:tc>
          <w:tcPr>
            <w:tcW w:w="656" w:type="pct"/>
            <w:shd w:val="clear" w:color="auto" w:fill="auto"/>
          </w:tcPr>
          <w:p w14:paraId="34E0729D" w14:textId="77777777" w:rsidR="00294950" w:rsidRPr="003101A0" w:rsidRDefault="00294950" w:rsidP="00493F00">
            <w:pPr>
              <w:rPr>
                <w:rFonts w:ascii="Times New Roman" w:hAnsi="Times New Roman" w:cs="Times New Roman"/>
                <w:iCs/>
                <w:sz w:val="20"/>
                <w:szCs w:val="20"/>
                <w:lang w:val="en-US"/>
              </w:rPr>
            </w:pPr>
            <w:proofErr w:type="spellStart"/>
            <w:r w:rsidRPr="003101A0">
              <w:rPr>
                <w:rFonts w:ascii="Times New Roman" w:hAnsi="Times New Roman" w:cs="Times New Roman"/>
                <w:sz w:val="20"/>
                <w:szCs w:val="20"/>
                <w:lang w:val="en-US"/>
              </w:rPr>
              <w:t>Datastream</w:t>
            </w:r>
            <w:proofErr w:type="spellEnd"/>
          </w:p>
        </w:tc>
      </w:tr>
      <w:tr w:rsidR="00294950" w:rsidRPr="003101A0" w14:paraId="6B176057" w14:textId="77777777" w:rsidTr="002E39E2">
        <w:trPr>
          <w:jc w:val="center"/>
        </w:trPr>
        <w:tc>
          <w:tcPr>
            <w:tcW w:w="803" w:type="pct"/>
            <w:tcBorders>
              <w:bottom w:val="single" w:sz="4" w:space="0" w:color="auto"/>
            </w:tcBorders>
          </w:tcPr>
          <w:p w14:paraId="2298D59A"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Interest coverage</w:t>
            </w:r>
          </w:p>
        </w:tc>
        <w:tc>
          <w:tcPr>
            <w:tcW w:w="3541" w:type="pct"/>
            <w:tcBorders>
              <w:bottom w:val="single" w:sz="4" w:space="0" w:color="auto"/>
            </w:tcBorders>
          </w:tcPr>
          <w:p w14:paraId="5C4744BE" w14:textId="258D22B3" w:rsidR="00294950" w:rsidRPr="003101A0" w:rsidRDefault="00294950" w:rsidP="00D215BD">
            <w:pPr>
              <w:rPr>
                <w:rFonts w:ascii="Times New Roman" w:hAnsi="Times New Roman" w:cs="Times New Roman"/>
                <w:sz w:val="20"/>
                <w:szCs w:val="20"/>
                <w:lang w:val="en-US"/>
              </w:rPr>
            </w:pPr>
            <w:r w:rsidRPr="003101A0">
              <w:rPr>
                <w:rFonts w:ascii="Times New Roman" w:hAnsi="Times New Roman" w:cs="Times New Roman"/>
                <w:sz w:val="20"/>
                <w:szCs w:val="20"/>
                <w:lang w:val="en-US"/>
              </w:rPr>
              <w:t>Interest coverage rate</w:t>
            </w:r>
            <w:r w:rsidR="002E39E2">
              <w:rPr>
                <w:rFonts w:ascii="Times New Roman" w:hAnsi="Times New Roman" w:cs="Times New Roman"/>
                <w:sz w:val="20"/>
                <w:szCs w:val="20"/>
                <w:lang w:val="en-US"/>
              </w:rPr>
              <w:t xml:space="preserve">, </w:t>
            </w:r>
            <w:r w:rsidRPr="003101A0">
              <w:rPr>
                <w:rFonts w:ascii="Times New Roman" w:hAnsi="Times New Roman" w:cs="Times New Roman"/>
                <w:sz w:val="20"/>
                <w:szCs w:val="20"/>
                <w:lang w:val="en-US"/>
              </w:rPr>
              <w:t>measured by the ratio of operating income (#OIBDP - #DP) to interest expense (#XINT).</w:t>
            </w:r>
          </w:p>
        </w:tc>
        <w:tc>
          <w:tcPr>
            <w:tcW w:w="656" w:type="pct"/>
            <w:tcBorders>
              <w:bottom w:val="single" w:sz="4" w:space="0" w:color="auto"/>
            </w:tcBorders>
          </w:tcPr>
          <w:p w14:paraId="35251806" w14:textId="77777777" w:rsidR="00294950" w:rsidRPr="003101A0" w:rsidRDefault="00294950" w:rsidP="00493F00">
            <w:pPr>
              <w:rPr>
                <w:rFonts w:ascii="Times New Roman" w:hAnsi="Times New Roman" w:cs="Times New Roman"/>
                <w:sz w:val="20"/>
                <w:szCs w:val="20"/>
                <w:lang w:val="en-US"/>
              </w:rPr>
            </w:pPr>
            <w:proofErr w:type="spellStart"/>
            <w:r w:rsidRPr="003101A0">
              <w:rPr>
                <w:rFonts w:ascii="Times New Roman" w:hAnsi="Times New Roman" w:cs="Times New Roman"/>
                <w:sz w:val="20"/>
                <w:szCs w:val="20"/>
                <w:lang w:val="en-US"/>
              </w:rPr>
              <w:t>Compustat</w:t>
            </w:r>
            <w:proofErr w:type="spellEnd"/>
          </w:p>
        </w:tc>
      </w:tr>
    </w:tbl>
    <w:p w14:paraId="727044D3" w14:textId="77777777" w:rsidR="00A011D6" w:rsidRDefault="00A011D6" w:rsidP="00493F00">
      <w:pPr>
        <w:rPr>
          <w:rFonts w:ascii="Times New Roman" w:hAnsi="Times New Roman" w:cs="Times New Roman"/>
          <w:i/>
          <w:sz w:val="20"/>
          <w:szCs w:val="20"/>
          <w:lang w:val="en-US"/>
        </w:rPr>
        <w:sectPr w:rsidR="00A011D6" w:rsidSect="00C77C26">
          <w:pgSz w:w="16840" w:h="11900" w:orient="landscape"/>
          <w:pgMar w:top="1440" w:right="1440" w:bottom="1440" w:left="1440" w:header="708" w:footer="708" w:gutter="0"/>
          <w:cols w:space="708"/>
          <w:docGrid w:linePitch="360"/>
        </w:sectPr>
      </w:pPr>
    </w:p>
    <w:tbl>
      <w:tblPr>
        <w:tblStyle w:val="TableGrid"/>
        <w:tblW w:w="552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7"/>
        <w:gridCol w:w="10925"/>
        <w:gridCol w:w="2024"/>
      </w:tblGrid>
      <w:tr w:rsidR="00A011D6" w:rsidRPr="003101A0" w14:paraId="5466C168" w14:textId="77777777" w:rsidTr="00A011D6">
        <w:trPr>
          <w:jc w:val="center"/>
        </w:trPr>
        <w:tc>
          <w:tcPr>
            <w:tcW w:w="803" w:type="pct"/>
            <w:tcBorders>
              <w:bottom w:val="single" w:sz="4" w:space="0" w:color="auto"/>
            </w:tcBorders>
          </w:tcPr>
          <w:p w14:paraId="2AEAF3FB" w14:textId="5245F5C9" w:rsidR="00A011D6" w:rsidRPr="00A011D6" w:rsidRDefault="00A011D6" w:rsidP="00493F00">
            <w:pPr>
              <w:rPr>
                <w:rFonts w:ascii="Times New Roman" w:hAnsi="Times New Roman" w:cs="Times New Roman"/>
                <w:iCs/>
                <w:sz w:val="20"/>
                <w:szCs w:val="20"/>
                <w:lang w:val="en-US"/>
              </w:rPr>
            </w:pPr>
            <w:r w:rsidRPr="003101A0">
              <w:rPr>
                <w:rFonts w:ascii="Times New Roman" w:hAnsi="Times New Roman" w:cs="Times New Roman"/>
                <w:b/>
                <w:sz w:val="20"/>
                <w:szCs w:val="20"/>
                <w:lang w:val="en-US"/>
              </w:rPr>
              <w:lastRenderedPageBreak/>
              <w:t>Appendix A:</w:t>
            </w:r>
            <w:r>
              <w:rPr>
                <w:rFonts w:ascii="Times New Roman" w:hAnsi="Times New Roman" w:cs="Times New Roman"/>
                <w:b/>
                <w:sz w:val="20"/>
                <w:szCs w:val="20"/>
                <w:lang w:val="en-US"/>
              </w:rPr>
              <w:t xml:space="preserve"> continued</w:t>
            </w:r>
          </w:p>
        </w:tc>
        <w:tc>
          <w:tcPr>
            <w:tcW w:w="3541" w:type="pct"/>
            <w:tcBorders>
              <w:bottom w:val="single" w:sz="4" w:space="0" w:color="auto"/>
            </w:tcBorders>
          </w:tcPr>
          <w:p w14:paraId="129EB1D0" w14:textId="77777777" w:rsidR="00A011D6" w:rsidRPr="003101A0" w:rsidRDefault="00A011D6" w:rsidP="00D215BD">
            <w:pPr>
              <w:rPr>
                <w:rFonts w:ascii="Times New Roman" w:hAnsi="Times New Roman" w:cs="Times New Roman"/>
                <w:sz w:val="20"/>
                <w:szCs w:val="20"/>
                <w:lang w:val="en-US"/>
              </w:rPr>
            </w:pPr>
          </w:p>
        </w:tc>
        <w:tc>
          <w:tcPr>
            <w:tcW w:w="656" w:type="pct"/>
            <w:tcBorders>
              <w:bottom w:val="single" w:sz="4" w:space="0" w:color="auto"/>
            </w:tcBorders>
          </w:tcPr>
          <w:p w14:paraId="6D1832EE" w14:textId="77777777" w:rsidR="00A011D6" w:rsidRPr="003101A0" w:rsidRDefault="00A011D6" w:rsidP="00493F00">
            <w:pPr>
              <w:rPr>
                <w:rFonts w:ascii="Times New Roman" w:hAnsi="Times New Roman" w:cs="Times New Roman"/>
                <w:sz w:val="20"/>
                <w:szCs w:val="20"/>
                <w:lang w:val="en-US"/>
              </w:rPr>
            </w:pPr>
          </w:p>
        </w:tc>
      </w:tr>
      <w:tr w:rsidR="00A011D6" w:rsidRPr="003101A0" w14:paraId="06DD22E6" w14:textId="77777777" w:rsidTr="00A011D6">
        <w:trPr>
          <w:jc w:val="center"/>
        </w:trPr>
        <w:tc>
          <w:tcPr>
            <w:tcW w:w="803" w:type="pct"/>
            <w:tcBorders>
              <w:top w:val="single" w:sz="4" w:space="0" w:color="auto"/>
              <w:bottom w:val="single" w:sz="4" w:space="0" w:color="auto"/>
            </w:tcBorders>
          </w:tcPr>
          <w:p w14:paraId="7242C541" w14:textId="69FE0C82" w:rsidR="00A011D6" w:rsidRPr="003101A0" w:rsidRDefault="00A011D6" w:rsidP="00A011D6">
            <w:pPr>
              <w:rPr>
                <w:rFonts w:ascii="Times New Roman" w:hAnsi="Times New Roman" w:cs="Times New Roman"/>
                <w:b/>
                <w:sz w:val="20"/>
                <w:szCs w:val="20"/>
                <w:lang w:val="en-US"/>
              </w:rPr>
            </w:pPr>
            <w:r w:rsidRPr="003101A0">
              <w:rPr>
                <w:rFonts w:ascii="Times New Roman" w:hAnsi="Times New Roman" w:cs="Times New Roman"/>
                <w:sz w:val="20"/>
                <w:szCs w:val="20"/>
                <w:lang w:val="en-US"/>
              </w:rPr>
              <w:t>Variable</w:t>
            </w:r>
          </w:p>
        </w:tc>
        <w:tc>
          <w:tcPr>
            <w:tcW w:w="3541" w:type="pct"/>
            <w:tcBorders>
              <w:top w:val="single" w:sz="4" w:space="0" w:color="auto"/>
              <w:bottom w:val="single" w:sz="4" w:space="0" w:color="auto"/>
            </w:tcBorders>
          </w:tcPr>
          <w:p w14:paraId="0696398A" w14:textId="5232BFC0" w:rsidR="00A011D6" w:rsidRPr="003101A0" w:rsidRDefault="00A011D6" w:rsidP="00A011D6">
            <w:pPr>
              <w:rPr>
                <w:rFonts w:ascii="Times New Roman" w:hAnsi="Times New Roman" w:cs="Times New Roman"/>
                <w:sz w:val="20"/>
                <w:szCs w:val="20"/>
                <w:lang w:val="en-US"/>
              </w:rPr>
            </w:pPr>
            <w:r w:rsidRPr="003101A0">
              <w:rPr>
                <w:rFonts w:ascii="Times New Roman" w:hAnsi="Times New Roman" w:cs="Times New Roman"/>
                <w:sz w:val="20"/>
                <w:szCs w:val="20"/>
                <w:lang w:val="en-US"/>
              </w:rPr>
              <w:t>Definition and measurement</w:t>
            </w:r>
          </w:p>
        </w:tc>
        <w:tc>
          <w:tcPr>
            <w:tcW w:w="656" w:type="pct"/>
            <w:tcBorders>
              <w:top w:val="single" w:sz="4" w:space="0" w:color="auto"/>
              <w:bottom w:val="single" w:sz="4" w:space="0" w:color="auto"/>
            </w:tcBorders>
          </w:tcPr>
          <w:p w14:paraId="4C2A1E67" w14:textId="7FF3117F" w:rsidR="00A011D6" w:rsidRPr="003101A0" w:rsidRDefault="00A011D6" w:rsidP="00A011D6">
            <w:pPr>
              <w:rPr>
                <w:rFonts w:ascii="Times New Roman" w:hAnsi="Times New Roman" w:cs="Times New Roman"/>
                <w:sz w:val="20"/>
                <w:szCs w:val="20"/>
                <w:lang w:val="en-US"/>
              </w:rPr>
            </w:pPr>
            <w:r w:rsidRPr="003101A0">
              <w:rPr>
                <w:rFonts w:ascii="Times New Roman" w:hAnsi="Times New Roman" w:cs="Times New Roman"/>
                <w:sz w:val="20"/>
                <w:szCs w:val="20"/>
                <w:lang w:val="en-US"/>
              </w:rPr>
              <w:t>Data source</w:t>
            </w:r>
          </w:p>
        </w:tc>
      </w:tr>
      <w:tr w:rsidR="00294950" w:rsidRPr="003101A0" w14:paraId="28ED28D5" w14:textId="77777777" w:rsidTr="00A011D6">
        <w:trPr>
          <w:jc w:val="center"/>
        </w:trPr>
        <w:tc>
          <w:tcPr>
            <w:tcW w:w="803" w:type="pct"/>
            <w:tcBorders>
              <w:top w:val="single" w:sz="4" w:space="0" w:color="auto"/>
            </w:tcBorders>
          </w:tcPr>
          <w:p w14:paraId="7AD7D25A" w14:textId="77777777" w:rsidR="00294950" w:rsidRPr="003101A0" w:rsidRDefault="00294950" w:rsidP="00493F00">
            <w:pPr>
              <w:rPr>
                <w:rFonts w:ascii="Times New Roman" w:hAnsi="Times New Roman" w:cs="Times New Roman"/>
                <w:i/>
                <w:sz w:val="20"/>
                <w:szCs w:val="20"/>
                <w:lang w:val="en-US"/>
              </w:rPr>
            </w:pPr>
            <w:r w:rsidRPr="003101A0">
              <w:rPr>
                <w:rFonts w:ascii="Times New Roman" w:hAnsi="Times New Roman" w:cs="Times New Roman"/>
                <w:i/>
                <w:sz w:val="20"/>
                <w:szCs w:val="20"/>
                <w:lang w:val="en-US"/>
              </w:rPr>
              <w:t>Investment grade</w:t>
            </w:r>
          </w:p>
        </w:tc>
        <w:tc>
          <w:tcPr>
            <w:tcW w:w="3541" w:type="pct"/>
            <w:tcBorders>
              <w:top w:val="single" w:sz="4" w:space="0" w:color="auto"/>
            </w:tcBorders>
          </w:tcPr>
          <w:p w14:paraId="44ADC480" w14:textId="59ACDED8" w:rsidR="00294950" w:rsidRPr="003101A0" w:rsidRDefault="00BC61FC" w:rsidP="00D215BD">
            <w:pPr>
              <w:rPr>
                <w:rFonts w:ascii="Times New Roman" w:hAnsi="Times New Roman" w:cs="Times New Roman"/>
                <w:sz w:val="20"/>
                <w:szCs w:val="20"/>
                <w:lang w:val="en-US"/>
              </w:rPr>
            </w:pPr>
            <w:r>
              <w:rPr>
                <w:rFonts w:ascii="Times New Roman" w:hAnsi="Times New Roman" w:cs="Times New Roman"/>
                <w:sz w:val="20"/>
                <w:szCs w:val="20"/>
                <w:lang w:val="en-US"/>
              </w:rPr>
              <w:t>Dummy</w:t>
            </w:r>
            <w:r w:rsidR="00294950" w:rsidRPr="003101A0">
              <w:rPr>
                <w:rFonts w:ascii="Times New Roman" w:hAnsi="Times New Roman" w:cs="Times New Roman"/>
                <w:sz w:val="20"/>
                <w:szCs w:val="20"/>
                <w:lang w:val="en-US"/>
              </w:rPr>
              <w:t xml:space="preserve"> variable equal to one if the issuer’s credit rating (#SPLTICRM) is BBB and above and zero otherwise. </w:t>
            </w:r>
            <w:r w:rsidR="004177B5">
              <w:rPr>
                <w:rFonts w:ascii="Times New Roman" w:hAnsi="Times New Roman" w:cs="Times New Roman"/>
                <w:sz w:val="20"/>
                <w:szCs w:val="20"/>
                <w:lang w:val="en-US"/>
              </w:rPr>
              <w:t>We set the value of this variable to</w:t>
            </w:r>
            <w:r w:rsidR="00294950" w:rsidRPr="003101A0">
              <w:rPr>
                <w:rFonts w:ascii="Times New Roman" w:hAnsi="Times New Roman" w:cs="Times New Roman"/>
                <w:sz w:val="20"/>
                <w:szCs w:val="20"/>
                <w:lang w:val="en-US"/>
              </w:rPr>
              <w:t xml:space="preserve"> zero if an issuer is unrated (i.e., the rating is NA or N.M.)</w:t>
            </w:r>
          </w:p>
        </w:tc>
        <w:tc>
          <w:tcPr>
            <w:tcW w:w="656" w:type="pct"/>
            <w:tcBorders>
              <w:top w:val="single" w:sz="4" w:space="0" w:color="auto"/>
            </w:tcBorders>
          </w:tcPr>
          <w:p w14:paraId="59583B70" w14:textId="77777777" w:rsidR="00294950" w:rsidRPr="003101A0" w:rsidRDefault="00294950" w:rsidP="00493F00">
            <w:pPr>
              <w:rPr>
                <w:rFonts w:ascii="Times New Roman" w:hAnsi="Times New Roman" w:cs="Times New Roman"/>
                <w:sz w:val="20"/>
                <w:szCs w:val="20"/>
                <w:lang w:val="en-US"/>
              </w:rPr>
            </w:pPr>
            <w:proofErr w:type="spellStart"/>
            <w:r w:rsidRPr="003101A0">
              <w:rPr>
                <w:rFonts w:ascii="Times New Roman" w:hAnsi="Times New Roman" w:cs="Times New Roman"/>
                <w:sz w:val="20"/>
                <w:szCs w:val="20"/>
                <w:lang w:val="en-US"/>
              </w:rPr>
              <w:t>Compustat</w:t>
            </w:r>
            <w:proofErr w:type="spellEnd"/>
          </w:p>
        </w:tc>
      </w:tr>
      <w:tr w:rsidR="00F90926" w:rsidRPr="003101A0" w14:paraId="751DF484" w14:textId="77777777" w:rsidTr="003101A0">
        <w:trPr>
          <w:jc w:val="center"/>
        </w:trPr>
        <w:tc>
          <w:tcPr>
            <w:tcW w:w="803" w:type="pct"/>
          </w:tcPr>
          <w:p w14:paraId="115DC9AE" w14:textId="523CBA17" w:rsidR="00F90926" w:rsidRPr="003101A0" w:rsidRDefault="00F90926" w:rsidP="00F90926">
            <w:pPr>
              <w:rPr>
                <w:rFonts w:ascii="Times New Roman" w:hAnsi="Times New Roman" w:cs="Times New Roman"/>
                <w:i/>
                <w:sz w:val="20"/>
                <w:szCs w:val="20"/>
                <w:lang w:val="en-US"/>
              </w:rPr>
            </w:pPr>
            <w:r>
              <w:rPr>
                <w:rFonts w:ascii="Times New Roman" w:hAnsi="Times New Roman" w:cs="Times New Roman"/>
                <w:i/>
                <w:sz w:val="20"/>
                <w:szCs w:val="20"/>
                <w:lang w:val="en-US"/>
              </w:rPr>
              <w:t>Lambda</w:t>
            </w:r>
          </w:p>
        </w:tc>
        <w:tc>
          <w:tcPr>
            <w:tcW w:w="3541" w:type="pct"/>
          </w:tcPr>
          <w:p w14:paraId="560ED0DB" w14:textId="5F80632A" w:rsidR="00F90926" w:rsidRPr="003101A0" w:rsidRDefault="00F90926" w:rsidP="00F90926">
            <w:pPr>
              <w:rPr>
                <w:rFonts w:ascii="Times New Roman" w:hAnsi="Times New Roman" w:cs="Times New Roman"/>
                <w:sz w:val="20"/>
                <w:szCs w:val="20"/>
                <w:lang w:val="en-US"/>
              </w:rPr>
            </w:pPr>
            <w:r>
              <w:rPr>
                <w:rFonts w:ascii="Times New Roman" w:hAnsi="Times New Roman" w:cs="Times New Roman"/>
                <w:sz w:val="20"/>
                <w:szCs w:val="20"/>
                <w:lang w:val="en-US"/>
              </w:rPr>
              <w:t>Self-selection correction term</w:t>
            </w:r>
            <w:r w:rsidRPr="003101A0">
              <w:rPr>
                <w:rFonts w:ascii="Times New Roman" w:hAnsi="Times New Roman" w:cs="Times New Roman"/>
                <w:sz w:val="20"/>
                <w:szCs w:val="20"/>
                <w:lang w:val="en-US"/>
              </w:rPr>
              <w:t xml:space="preserve"> from the treatment effects model.</w:t>
            </w:r>
          </w:p>
        </w:tc>
        <w:tc>
          <w:tcPr>
            <w:tcW w:w="656" w:type="pct"/>
          </w:tcPr>
          <w:p w14:paraId="116F47B0" w14:textId="77777777" w:rsidR="00F90926" w:rsidRPr="003101A0" w:rsidRDefault="00F90926" w:rsidP="00F90926">
            <w:pPr>
              <w:rPr>
                <w:rFonts w:ascii="Times New Roman" w:hAnsi="Times New Roman" w:cs="Times New Roman"/>
                <w:sz w:val="20"/>
                <w:szCs w:val="20"/>
                <w:lang w:val="en-US"/>
              </w:rPr>
            </w:pPr>
          </w:p>
        </w:tc>
      </w:tr>
      <w:tr w:rsidR="00F90926" w:rsidRPr="003101A0" w14:paraId="15B292AC" w14:textId="77777777" w:rsidTr="003101A0">
        <w:trPr>
          <w:jc w:val="center"/>
        </w:trPr>
        <w:tc>
          <w:tcPr>
            <w:tcW w:w="803" w:type="pct"/>
          </w:tcPr>
          <w:p w14:paraId="2D44317F"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Leverage</w:t>
            </w:r>
          </w:p>
        </w:tc>
        <w:tc>
          <w:tcPr>
            <w:tcW w:w="3541" w:type="pct"/>
          </w:tcPr>
          <w:p w14:paraId="2C2B9EDE" w14:textId="77777777" w:rsidR="00F90926" w:rsidRPr="003101A0" w:rsidRDefault="00F90926" w:rsidP="00F90926">
            <w:pPr>
              <w:rPr>
                <w:rFonts w:ascii="Times New Roman" w:hAnsi="Times New Roman" w:cs="Times New Roman"/>
                <w:sz w:val="20"/>
                <w:szCs w:val="20"/>
                <w:lang w:val="en-US"/>
              </w:rPr>
            </w:pPr>
            <w:r w:rsidRPr="003101A0">
              <w:rPr>
                <w:rFonts w:ascii="Times New Roman" w:hAnsi="Times New Roman" w:cs="Times New Roman"/>
                <w:sz w:val="20"/>
                <w:szCs w:val="20"/>
                <w:lang w:val="en-US"/>
              </w:rPr>
              <w:t>Long term debt (#DLTT) divided by total assets (#AT).</w:t>
            </w:r>
          </w:p>
        </w:tc>
        <w:tc>
          <w:tcPr>
            <w:tcW w:w="656" w:type="pct"/>
          </w:tcPr>
          <w:p w14:paraId="207A7A4D" w14:textId="77777777" w:rsidR="00F90926" w:rsidRPr="003101A0" w:rsidRDefault="00F90926" w:rsidP="00F90926">
            <w:pPr>
              <w:rPr>
                <w:rFonts w:ascii="Times New Roman" w:hAnsi="Times New Roman" w:cs="Times New Roman"/>
                <w:sz w:val="20"/>
                <w:szCs w:val="20"/>
                <w:lang w:val="en-US"/>
              </w:rPr>
            </w:pPr>
            <w:proofErr w:type="spellStart"/>
            <w:r w:rsidRPr="003101A0">
              <w:rPr>
                <w:rFonts w:ascii="Times New Roman" w:hAnsi="Times New Roman" w:cs="Times New Roman"/>
                <w:sz w:val="20"/>
                <w:szCs w:val="20"/>
                <w:lang w:val="en-US"/>
              </w:rPr>
              <w:t>Compustat</w:t>
            </w:r>
            <w:proofErr w:type="spellEnd"/>
          </w:p>
        </w:tc>
      </w:tr>
      <w:tr w:rsidR="00F90926" w:rsidRPr="003101A0" w14:paraId="3BB6DD87" w14:textId="77777777" w:rsidTr="003101A0">
        <w:trPr>
          <w:jc w:val="center"/>
        </w:trPr>
        <w:tc>
          <w:tcPr>
            <w:tcW w:w="803" w:type="pct"/>
          </w:tcPr>
          <w:p w14:paraId="7EB19AE2"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Market runup</w:t>
            </w:r>
          </w:p>
        </w:tc>
        <w:tc>
          <w:tcPr>
            <w:tcW w:w="3541" w:type="pct"/>
          </w:tcPr>
          <w:p w14:paraId="7E8FDE76" w14:textId="2E2F663C" w:rsidR="00F90926" w:rsidRPr="003101A0" w:rsidRDefault="00F90926" w:rsidP="00F90926">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Average market return on the S&amp;P 500 index over the window −76 to −2 before the issuance date, minus the average return over the CRSP </w:t>
            </w:r>
            <w:proofErr w:type="gramStart"/>
            <w:r w:rsidRPr="003101A0">
              <w:rPr>
                <w:rFonts w:ascii="Times New Roman" w:hAnsi="Times New Roman" w:cs="Times New Roman"/>
                <w:sz w:val="20"/>
                <w:szCs w:val="20"/>
                <w:lang w:val="en-US"/>
              </w:rPr>
              <w:t>equally-weighted</w:t>
            </w:r>
            <w:proofErr w:type="gramEnd"/>
            <w:r w:rsidRPr="003101A0">
              <w:rPr>
                <w:rFonts w:ascii="Times New Roman" w:hAnsi="Times New Roman" w:cs="Times New Roman"/>
                <w:sz w:val="20"/>
                <w:szCs w:val="20"/>
                <w:lang w:val="en-US"/>
              </w:rPr>
              <w:t xml:space="preserve"> market index over that same window.</w:t>
            </w:r>
            <w:r w:rsidR="00111B6B">
              <w:rPr>
                <w:rFonts w:ascii="Times New Roman" w:hAnsi="Times New Roman" w:cs="Times New Roman"/>
                <w:sz w:val="20"/>
                <w:szCs w:val="20"/>
                <w:lang w:val="en-US"/>
              </w:rPr>
              <w:t xml:space="preserve"> </w:t>
            </w:r>
            <w:r w:rsidR="00111B6B">
              <w:rPr>
                <w:rFonts w:ascii="Times New Roman" w:hAnsi="Times New Roman" w:cs="Times New Roman"/>
                <w:sz w:val="20"/>
                <w:szCs w:val="20"/>
                <w:lang w:val="en-US" w:eastAsia="zh-CN"/>
              </w:rPr>
              <w:t>This variable is</w:t>
            </w:r>
            <w:r w:rsidR="00111B6B">
              <w:rPr>
                <w:rFonts w:ascii="Times New Roman" w:hAnsi="Times New Roman" w:cs="Times New Roman"/>
                <w:sz w:val="20"/>
                <w:szCs w:val="20"/>
                <w:lang w:val="en-US"/>
              </w:rPr>
              <w:t xml:space="preserve"> multiplied by 100 for expositional convenience.</w:t>
            </w:r>
          </w:p>
        </w:tc>
        <w:tc>
          <w:tcPr>
            <w:tcW w:w="656" w:type="pct"/>
          </w:tcPr>
          <w:p w14:paraId="70565990" w14:textId="77777777" w:rsidR="00F90926" w:rsidRPr="003101A0" w:rsidRDefault="00F90926" w:rsidP="00F90926">
            <w:pPr>
              <w:rPr>
                <w:rFonts w:ascii="Times New Roman" w:hAnsi="Times New Roman" w:cs="Times New Roman"/>
                <w:sz w:val="20"/>
                <w:szCs w:val="20"/>
                <w:lang w:val="en-US"/>
              </w:rPr>
            </w:pPr>
            <w:r w:rsidRPr="003101A0">
              <w:rPr>
                <w:rFonts w:ascii="Times New Roman" w:hAnsi="Times New Roman" w:cs="Times New Roman"/>
                <w:sz w:val="20"/>
                <w:szCs w:val="20"/>
                <w:lang w:val="en-US"/>
              </w:rPr>
              <w:t>CRSP</w:t>
            </w:r>
          </w:p>
        </w:tc>
      </w:tr>
      <w:tr w:rsidR="00F90926" w:rsidRPr="003101A0" w14:paraId="29E8845F" w14:textId="77777777" w:rsidTr="003101A0">
        <w:trPr>
          <w:jc w:val="center"/>
        </w:trPr>
        <w:tc>
          <w:tcPr>
            <w:tcW w:w="803" w:type="pct"/>
          </w:tcPr>
          <w:p w14:paraId="715D5364"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Maturity</w:t>
            </w:r>
          </w:p>
        </w:tc>
        <w:tc>
          <w:tcPr>
            <w:tcW w:w="3541" w:type="pct"/>
          </w:tcPr>
          <w:p w14:paraId="24550AE2" w14:textId="03E12308" w:rsidR="00F90926" w:rsidRPr="003101A0" w:rsidRDefault="00F90926" w:rsidP="00F90926">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Bond maturity in months. We use the natural logarithm of this variable, </w:t>
            </w:r>
            <w:proofErr w:type="gramStart"/>
            <w:r w:rsidRPr="003101A0">
              <w:rPr>
                <w:rFonts w:ascii="Times New Roman" w:hAnsi="Times New Roman" w:cs="Times New Roman"/>
                <w:i/>
                <w:sz w:val="20"/>
                <w:szCs w:val="20"/>
                <w:lang w:val="en-US"/>
              </w:rPr>
              <w:t>Ln(</w:t>
            </w:r>
            <w:proofErr w:type="gramEnd"/>
            <w:r w:rsidRPr="003101A0">
              <w:rPr>
                <w:rFonts w:ascii="Times New Roman" w:hAnsi="Times New Roman" w:cs="Times New Roman"/>
                <w:i/>
                <w:sz w:val="20"/>
                <w:szCs w:val="20"/>
                <w:lang w:val="en-US"/>
              </w:rPr>
              <w:t>Maturity)</w:t>
            </w:r>
            <w:r w:rsidRPr="003101A0">
              <w:rPr>
                <w:rFonts w:ascii="Times New Roman" w:hAnsi="Times New Roman" w:cs="Times New Roman"/>
                <w:sz w:val="20"/>
                <w:szCs w:val="20"/>
                <w:lang w:val="en-US"/>
              </w:rPr>
              <w:t>, in regressions.</w:t>
            </w:r>
          </w:p>
        </w:tc>
        <w:tc>
          <w:tcPr>
            <w:tcW w:w="656" w:type="pct"/>
          </w:tcPr>
          <w:p w14:paraId="6D8F34C6" w14:textId="7913A639" w:rsidR="00F90926" w:rsidRPr="003101A0" w:rsidRDefault="00C31CCB" w:rsidP="00F90926">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F90926" w:rsidRPr="003101A0">
              <w:rPr>
                <w:rFonts w:ascii="Times New Roman" w:hAnsi="Times New Roman" w:cs="Times New Roman"/>
                <w:sz w:val="20"/>
                <w:szCs w:val="20"/>
                <w:lang w:val="en-US"/>
              </w:rPr>
              <w:t>FISD</w:t>
            </w:r>
          </w:p>
        </w:tc>
      </w:tr>
      <w:tr w:rsidR="00F90926" w:rsidRPr="003101A0" w14:paraId="246433EF" w14:textId="77777777" w:rsidTr="003101A0">
        <w:trPr>
          <w:jc w:val="center"/>
        </w:trPr>
        <w:tc>
          <w:tcPr>
            <w:tcW w:w="803" w:type="pct"/>
          </w:tcPr>
          <w:p w14:paraId="582AEE7A"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MB</w:t>
            </w:r>
          </w:p>
        </w:tc>
        <w:tc>
          <w:tcPr>
            <w:tcW w:w="3541" w:type="pct"/>
          </w:tcPr>
          <w:p w14:paraId="020BA07B" w14:textId="5690CB23" w:rsidR="00F90926" w:rsidRPr="003101A0" w:rsidRDefault="00F90926" w:rsidP="00F90926">
            <w:pPr>
              <w:rPr>
                <w:rFonts w:ascii="Times New Roman" w:hAnsi="Times New Roman" w:cs="Times New Roman"/>
                <w:sz w:val="20"/>
                <w:szCs w:val="20"/>
                <w:lang w:val="en-US"/>
              </w:rPr>
            </w:pPr>
            <w:r w:rsidRPr="003101A0">
              <w:rPr>
                <w:rFonts w:ascii="Times New Roman" w:hAnsi="Times New Roman" w:cs="Times New Roman"/>
                <w:sz w:val="20"/>
                <w:szCs w:val="20"/>
                <w:lang w:val="en-US"/>
              </w:rPr>
              <w:t>Market to book ratio, calculated as the market value of equity (#PRCC × #CSHO) divided by book value of equity (#CEQ).</w:t>
            </w:r>
          </w:p>
        </w:tc>
        <w:tc>
          <w:tcPr>
            <w:tcW w:w="656" w:type="pct"/>
          </w:tcPr>
          <w:p w14:paraId="13184037" w14:textId="77777777" w:rsidR="00F90926" w:rsidRPr="003101A0" w:rsidRDefault="00F90926" w:rsidP="00F90926">
            <w:pPr>
              <w:rPr>
                <w:rFonts w:ascii="Times New Roman" w:hAnsi="Times New Roman" w:cs="Times New Roman"/>
                <w:sz w:val="20"/>
                <w:szCs w:val="20"/>
                <w:lang w:val="en-US"/>
              </w:rPr>
            </w:pPr>
            <w:proofErr w:type="spellStart"/>
            <w:r w:rsidRPr="003101A0">
              <w:rPr>
                <w:rFonts w:ascii="Times New Roman" w:hAnsi="Times New Roman" w:cs="Times New Roman"/>
                <w:sz w:val="20"/>
                <w:szCs w:val="20"/>
                <w:lang w:val="en-US"/>
              </w:rPr>
              <w:t>Compustat</w:t>
            </w:r>
            <w:proofErr w:type="spellEnd"/>
          </w:p>
        </w:tc>
      </w:tr>
      <w:tr w:rsidR="00F90926" w:rsidRPr="003101A0" w14:paraId="5666B3A4" w14:textId="77777777" w:rsidTr="003101A0">
        <w:trPr>
          <w:jc w:val="center"/>
        </w:trPr>
        <w:tc>
          <w:tcPr>
            <w:tcW w:w="803" w:type="pct"/>
          </w:tcPr>
          <w:p w14:paraId="332919E9"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iCs/>
                <w:sz w:val="20"/>
                <w:szCs w:val="20"/>
                <w:lang w:val="en-US"/>
              </w:rPr>
              <w:t>Post-crisis period</w:t>
            </w:r>
          </w:p>
        </w:tc>
        <w:tc>
          <w:tcPr>
            <w:tcW w:w="3541" w:type="pct"/>
          </w:tcPr>
          <w:p w14:paraId="4AD3E16D" w14:textId="209CAB5C" w:rsidR="00F90926" w:rsidRPr="003101A0" w:rsidRDefault="00BC61FC" w:rsidP="00F90926">
            <w:pPr>
              <w:rPr>
                <w:rFonts w:ascii="Times New Roman" w:hAnsi="Times New Roman" w:cs="Times New Roman"/>
                <w:sz w:val="20"/>
                <w:szCs w:val="20"/>
                <w:lang w:val="en-US"/>
              </w:rPr>
            </w:pPr>
            <w:r>
              <w:rPr>
                <w:rFonts w:ascii="Times New Roman" w:hAnsi="Times New Roman" w:cs="Times New Roman"/>
                <w:sz w:val="20"/>
                <w:szCs w:val="20"/>
                <w:lang w:val="en-US"/>
              </w:rPr>
              <w:t>Dummy</w:t>
            </w:r>
            <w:r w:rsidR="00F90926" w:rsidRPr="003101A0">
              <w:rPr>
                <w:rFonts w:ascii="Times New Roman" w:hAnsi="Times New Roman" w:cs="Times New Roman"/>
                <w:sz w:val="20"/>
                <w:szCs w:val="20"/>
                <w:lang w:val="en-US"/>
              </w:rPr>
              <w:t xml:space="preserve"> variable equal to one if the bond is issued after January 2010 and zero otherwise.</w:t>
            </w:r>
          </w:p>
        </w:tc>
        <w:tc>
          <w:tcPr>
            <w:tcW w:w="656" w:type="pct"/>
          </w:tcPr>
          <w:p w14:paraId="3D7BEE03" w14:textId="5CC25ECD" w:rsidR="00F90926" w:rsidRPr="003101A0" w:rsidRDefault="00C31CCB" w:rsidP="00F90926">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F90926" w:rsidRPr="003101A0">
              <w:rPr>
                <w:rFonts w:ascii="Times New Roman" w:hAnsi="Times New Roman" w:cs="Times New Roman"/>
                <w:sz w:val="20"/>
                <w:szCs w:val="20"/>
                <w:lang w:val="en-US"/>
              </w:rPr>
              <w:t>FISD</w:t>
            </w:r>
          </w:p>
        </w:tc>
      </w:tr>
      <w:tr w:rsidR="00F90926" w:rsidRPr="003101A0" w14:paraId="5F3B95BA" w14:textId="77777777" w:rsidTr="003101A0">
        <w:trPr>
          <w:jc w:val="center"/>
        </w:trPr>
        <w:tc>
          <w:tcPr>
            <w:tcW w:w="803" w:type="pct"/>
          </w:tcPr>
          <w:p w14:paraId="3D069084" w14:textId="0326BFAE" w:rsidR="00F90926" w:rsidRPr="003101A0" w:rsidRDefault="0056574D" w:rsidP="00F90926">
            <w:pPr>
              <w:rPr>
                <w:rFonts w:ascii="Times New Roman" w:hAnsi="Times New Roman" w:cs="Times New Roman"/>
                <w:i/>
                <w:sz w:val="20"/>
                <w:szCs w:val="20"/>
                <w:lang w:val="en-US"/>
              </w:rPr>
            </w:pPr>
            <w:r>
              <w:rPr>
                <w:rFonts w:ascii="Times New Roman" w:hAnsi="Times New Roman" w:cs="Times New Roman"/>
                <w:i/>
                <w:iCs/>
                <w:sz w:val="20"/>
                <w:szCs w:val="20"/>
                <w:lang w:val="en-US"/>
              </w:rPr>
              <w:t>GFC</w:t>
            </w:r>
            <w:r w:rsidR="00F90926" w:rsidRPr="003101A0">
              <w:rPr>
                <w:rFonts w:ascii="Times New Roman" w:hAnsi="Times New Roman" w:cs="Times New Roman"/>
                <w:i/>
                <w:iCs/>
                <w:sz w:val="20"/>
                <w:szCs w:val="20"/>
                <w:lang w:val="en-US"/>
              </w:rPr>
              <w:t xml:space="preserve"> period</w:t>
            </w:r>
          </w:p>
        </w:tc>
        <w:tc>
          <w:tcPr>
            <w:tcW w:w="3541" w:type="pct"/>
          </w:tcPr>
          <w:p w14:paraId="3FE2EE0C" w14:textId="2C911741" w:rsidR="00F90926" w:rsidRPr="003101A0" w:rsidRDefault="00BC61FC" w:rsidP="00F90926">
            <w:pPr>
              <w:rPr>
                <w:rFonts w:ascii="Times New Roman" w:hAnsi="Times New Roman" w:cs="Times New Roman"/>
                <w:sz w:val="20"/>
                <w:szCs w:val="20"/>
                <w:lang w:val="en-US"/>
              </w:rPr>
            </w:pPr>
            <w:r>
              <w:rPr>
                <w:rFonts w:ascii="Times New Roman" w:hAnsi="Times New Roman" w:cs="Times New Roman"/>
                <w:sz w:val="20"/>
                <w:szCs w:val="20"/>
                <w:lang w:val="en-US"/>
              </w:rPr>
              <w:t>Dummy</w:t>
            </w:r>
            <w:r w:rsidR="00F90926" w:rsidRPr="003101A0">
              <w:rPr>
                <w:rFonts w:ascii="Times New Roman" w:hAnsi="Times New Roman" w:cs="Times New Roman"/>
                <w:sz w:val="20"/>
                <w:szCs w:val="20"/>
                <w:lang w:val="en-US"/>
              </w:rPr>
              <w:t xml:space="preserve"> variable equal to one if the bond is issued between </w:t>
            </w:r>
            <w:r w:rsidR="00AD1FD3">
              <w:rPr>
                <w:rFonts w:ascii="Times New Roman" w:hAnsi="Times New Roman" w:cs="Times New Roman"/>
                <w:sz w:val="20"/>
                <w:szCs w:val="20"/>
                <w:lang w:val="en-US"/>
              </w:rPr>
              <w:t xml:space="preserve">September </w:t>
            </w:r>
            <w:proofErr w:type="gramStart"/>
            <w:r w:rsidR="00AD1FD3">
              <w:rPr>
                <w:rFonts w:ascii="Times New Roman" w:hAnsi="Times New Roman" w:cs="Times New Roman"/>
                <w:sz w:val="20"/>
                <w:szCs w:val="20"/>
                <w:lang w:val="en-US"/>
              </w:rPr>
              <w:t>16</w:t>
            </w:r>
            <w:r w:rsidR="00AD1FD3" w:rsidRPr="0021043E">
              <w:rPr>
                <w:rFonts w:ascii="Times New Roman" w:hAnsi="Times New Roman" w:cs="Times New Roman"/>
                <w:sz w:val="20"/>
                <w:szCs w:val="20"/>
                <w:vertAlign w:val="superscript"/>
                <w:lang w:val="en-US"/>
              </w:rPr>
              <w:t>th</w:t>
            </w:r>
            <w:proofErr w:type="gramEnd"/>
            <w:r w:rsidR="00AD1FD3">
              <w:rPr>
                <w:rFonts w:ascii="Times New Roman" w:hAnsi="Times New Roman" w:cs="Times New Roman"/>
                <w:sz w:val="20"/>
                <w:szCs w:val="20"/>
                <w:lang w:val="en-US"/>
              </w:rPr>
              <w:t xml:space="preserve"> </w:t>
            </w:r>
            <w:r w:rsidR="00F90926" w:rsidRPr="003101A0">
              <w:rPr>
                <w:rFonts w:ascii="Times New Roman" w:hAnsi="Times New Roman" w:cs="Times New Roman"/>
                <w:sz w:val="20"/>
                <w:szCs w:val="20"/>
                <w:lang w:val="en-US"/>
              </w:rPr>
              <w:t>2008</w:t>
            </w:r>
            <w:r w:rsidR="00AD1FD3">
              <w:rPr>
                <w:rFonts w:ascii="Times New Roman" w:hAnsi="Times New Roman" w:cs="Times New Roman"/>
                <w:sz w:val="20"/>
                <w:szCs w:val="20"/>
                <w:lang w:val="en-US"/>
              </w:rPr>
              <w:t xml:space="preserve"> and </w:t>
            </w:r>
            <w:r w:rsidR="00F90926" w:rsidRPr="003101A0">
              <w:rPr>
                <w:rFonts w:ascii="Times New Roman" w:hAnsi="Times New Roman" w:cs="Times New Roman"/>
                <w:sz w:val="20"/>
                <w:szCs w:val="20"/>
                <w:lang w:val="en-US"/>
              </w:rPr>
              <w:t>December 2009 and zero otherwise.</w:t>
            </w:r>
          </w:p>
        </w:tc>
        <w:tc>
          <w:tcPr>
            <w:tcW w:w="656" w:type="pct"/>
          </w:tcPr>
          <w:p w14:paraId="7FD310E1" w14:textId="0155D251" w:rsidR="00F90926" w:rsidRPr="003101A0" w:rsidRDefault="00C31CCB" w:rsidP="00F90926">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F90926" w:rsidRPr="003101A0">
              <w:rPr>
                <w:rFonts w:ascii="Times New Roman" w:hAnsi="Times New Roman" w:cs="Times New Roman"/>
                <w:sz w:val="20"/>
                <w:szCs w:val="20"/>
                <w:lang w:val="en-US"/>
              </w:rPr>
              <w:t>FISD</w:t>
            </w:r>
          </w:p>
        </w:tc>
      </w:tr>
      <w:tr w:rsidR="00F90926" w:rsidRPr="003101A0" w14:paraId="29275DA0" w14:textId="77777777" w:rsidTr="003101A0">
        <w:trPr>
          <w:jc w:val="center"/>
        </w:trPr>
        <w:tc>
          <w:tcPr>
            <w:tcW w:w="803" w:type="pct"/>
          </w:tcPr>
          <w:p w14:paraId="0BEBE281"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PPE</w:t>
            </w:r>
          </w:p>
        </w:tc>
        <w:tc>
          <w:tcPr>
            <w:tcW w:w="3541" w:type="pct"/>
          </w:tcPr>
          <w:p w14:paraId="735D31D9" w14:textId="77777777" w:rsidR="00F90926" w:rsidRPr="003101A0" w:rsidRDefault="00F90926" w:rsidP="00F90926">
            <w:pPr>
              <w:rPr>
                <w:rFonts w:ascii="Times New Roman" w:hAnsi="Times New Roman" w:cs="Times New Roman"/>
                <w:sz w:val="20"/>
                <w:szCs w:val="20"/>
                <w:lang w:val="en-US"/>
              </w:rPr>
            </w:pPr>
            <w:r w:rsidRPr="003101A0">
              <w:rPr>
                <w:rFonts w:ascii="Times New Roman" w:hAnsi="Times New Roman" w:cs="Times New Roman"/>
                <w:sz w:val="20"/>
                <w:szCs w:val="20"/>
                <w:lang w:val="en-US"/>
              </w:rPr>
              <w:t>Net property, plant, and equipment (#PPENT) divided by total assets (#AT).</w:t>
            </w:r>
          </w:p>
        </w:tc>
        <w:tc>
          <w:tcPr>
            <w:tcW w:w="656" w:type="pct"/>
          </w:tcPr>
          <w:p w14:paraId="594E3A81" w14:textId="77777777" w:rsidR="00F90926" w:rsidRPr="003101A0" w:rsidRDefault="00F90926" w:rsidP="00F90926">
            <w:pPr>
              <w:rPr>
                <w:rFonts w:ascii="Times New Roman" w:hAnsi="Times New Roman" w:cs="Times New Roman"/>
                <w:sz w:val="20"/>
                <w:szCs w:val="20"/>
                <w:lang w:val="en-US"/>
              </w:rPr>
            </w:pPr>
            <w:proofErr w:type="spellStart"/>
            <w:r w:rsidRPr="003101A0">
              <w:rPr>
                <w:rFonts w:ascii="Times New Roman" w:hAnsi="Times New Roman" w:cs="Times New Roman"/>
                <w:sz w:val="20"/>
                <w:szCs w:val="20"/>
                <w:lang w:val="en-US"/>
              </w:rPr>
              <w:t>Compustat</w:t>
            </w:r>
            <w:proofErr w:type="spellEnd"/>
          </w:p>
        </w:tc>
      </w:tr>
      <w:tr w:rsidR="00F90926" w:rsidRPr="003101A0" w14:paraId="536D4A15" w14:textId="77777777" w:rsidTr="003101A0">
        <w:trPr>
          <w:jc w:val="center"/>
        </w:trPr>
        <w:tc>
          <w:tcPr>
            <w:tcW w:w="803" w:type="pct"/>
          </w:tcPr>
          <w:p w14:paraId="663F9924"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Proceeds</w:t>
            </w:r>
          </w:p>
        </w:tc>
        <w:tc>
          <w:tcPr>
            <w:tcW w:w="3541" w:type="pct"/>
          </w:tcPr>
          <w:p w14:paraId="30E2E800" w14:textId="77777777" w:rsidR="00F90926" w:rsidRPr="003101A0" w:rsidRDefault="00F90926" w:rsidP="00F90926">
            <w:pPr>
              <w:rPr>
                <w:rFonts w:ascii="Times New Roman" w:hAnsi="Times New Roman" w:cs="Times New Roman"/>
                <w:sz w:val="20"/>
                <w:szCs w:val="20"/>
                <w:lang w:val="en-US"/>
              </w:rPr>
            </w:pPr>
            <w:r w:rsidRPr="003101A0">
              <w:rPr>
                <w:rFonts w:ascii="Times New Roman" w:hAnsi="Times New Roman" w:cs="Times New Roman"/>
                <w:sz w:val="20"/>
                <w:szCs w:val="20"/>
                <w:lang w:val="en-US"/>
              </w:rPr>
              <w:t>Bond offering amount divided by the issuer’s market value of equity (#PRCC × #CSHO).</w:t>
            </w:r>
          </w:p>
        </w:tc>
        <w:tc>
          <w:tcPr>
            <w:tcW w:w="656" w:type="pct"/>
          </w:tcPr>
          <w:p w14:paraId="0BEB0D63" w14:textId="77777777" w:rsidR="00F90926" w:rsidRPr="003101A0" w:rsidRDefault="00F90926" w:rsidP="00F90926">
            <w:pPr>
              <w:rPr>
                <w:rFonts w:ascii="Times New Roman" w:hAnsi="Times New Roman" w:cs="Times New Roman"/>
                <w:sz w:val="20"/>
                <w:szCs w:val="20"/>
                <w:lang w:val="en-US"/>
              </w:rPr>
            </w:pPr>
            <w:proofErr w:type="spellStart"/>
            <w:r w:rsidRPr="003101A0">
              <w:rPr>
                <w:rFonts w:ascii="Times New Roman" w:hAnsi="Times New Roman" w:cs="Times New Roman"/>
                <w:sz w:val="20"/>
                <w:szCs w:val="20"/>
                <w:lang w:val="en-US"/>
              </w:rPr>
              <w:t>Compustat</w:t>
            </w:r>
            <w:proofErr w:type="spellEnd"/>
            <w:r w:rsidRPr="003101A0">
              <w:rPr>
                <w:rFonts w:ascii="Times New Roman" w:hAnsi="Times New Roman" w:cs="Times New Roman"/>
                <w:sz w:val="20"/>
                <w:szCs w:val="20"/>
                <w:lang w:val="en-US"/>
              </w:rPr>
              <w:t xml:space="preserve"> and FISD</w:t>
            </w:r>
          </w:p>
        </w:tc>
      </w:tr>
      <w:tr w:rsidR="00F90926" w:rsidRPr="003101A0" w14:paraId="74F8D396" w14:textId="77777777" w:rsidTr="003101A0">
        <w:trPr>
          <w:jc w:val="center"/>
        </w:trPr>
        <w:tc>
          <w:tcPr>
            <w:tcW w:w="803" w:type="pct"/>
          </w:tcPr>
          <w:p w14:paraId="22BFED89" w14:textId="77777777" w:rsidR="00F90926" w:rsidRPr="003101A0" w:rsidRDefault="00F90926" w:rsidP="00F90926">
            <w:pPr>
              <w:rPr>
                <w:rFonts w:ascii="Times New Roman" w:hAnsi="Times New Roman" w:cs="Times New Roman"/>
                <w:i/>
                <w:sz w:val="20"/>
                <w:szCs w:val="20"/>
                <w:lang w:val="en-US"/>
              </w:rPr>
            </w:pPr>
            <w:proofErr w:type="spellStart"/>
            <w:r w:rsidRPr="003101A0">
              <w:rPr>
                <w:rFonts w:ascii="Times New Roman" w:hAnsi="Times New Roman" w:cs="Times New Roman"/>
                <w:i/>
                <w:sz w:val="20"/>
                <w:szCs w:val="20"/>
                <w:lang w:val="en-US"/>
              </w:rPr>
              <w:t>Putable</w:t>
            </w:r>
            <w:proofErr w:type="spellEnd"/>
          </w:p>
        </w:tc>
        <w:tc>
          <w:tcPr>
            <w:tcW w:w="3541" w:type="pct"/>
          </w:tcPr>
          <w:p w14:paraId="38085572" w14:textId="6A137492" w:rsidR="00F90926" w:rsidRPr="003101A0" w:rsidRDefault="00BC61FC" w:rsidP="00F90926">
            <w:pPr>
              <w:rPr>
                <w:rFonts w:ascii="Times New Roman" w:hAnsi="Times New Roman" w:cs="Times New Roman"/>
                <w:sz w:val="20"/>
                <w:szCs w:val="20"/>
                <w:lang w:val="en-US"/>
              </w:rPr>
            </w:pPr>
            <w:r>
              <w:rPr>
                <w:rFonts w:ascii="Times New Roman" w:hAnsi="Times New Roman" w:cs="Times New Roman"/>
                <w:sz w:val="20"/>
                <w:szCs w:val="20"/>
                <w:lang w:val="en-US"/>
              </w:rPr>
              <w:t>Dummy</w:t>
            </w:r>
            <w:r w:rsidR="00F90926" w:rsidRPr="003101A0">
              <w:rPr>
                <w:rFonts w:ascii="Times New Roman" w:hAnsi="Times New Roman" w:cs="Times New Roman"/>
                <w:sz w:val="20"/>
                <w:szCs w:val="20"/>
                <w:lang w:val="en-US"/>
              </w:rPr>
              <w:t xml:space="preserve"> variable equal to one for bonds with an embedded put option and zero otherwise.</w:t>
            </w:r>
          </w:p>
        </w:tc>
        <w:tc>
          <w:tcPr>
            <w:tcW w:w="656" w:type="pct"/>
          </w:tcPr>
          <w:p w14:paraId="32C2C47E" w14:textId="74C2F66B" w:rsidR="00F90926" w:rsidRPr="003101A0" w:rsidRDefault="00C31CCB" w:rsidP="00F90926">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F90926" w:rsidRPr="003101A0">
              <w:rPr>
                <w:rFonts w:ascii="Times New Roman" w:hAnsi="Times New Roman" w:cs="Times New Roman"/>
                <w:sz w:val="20"/>
                <w:szCs w:val="20"/>
                <w:lang w:val="en-US"/>
              </w:rPr>
              <w:t>FISD</w:t>
            </w:r>
          </w:p>
        </w:tc>
      </w:tr>
      <w:tr w:rsidR="00F90926" w:rsidRPr="003101A0" w14:paraId="131D74DF" w14:textId="77777777" w:rsidTr="003101A0">
        <w:trPr>
          <w:jc w:val="center"/>
        </w:trPr>
        <w:tc>
          <w:tcPr>
            <w:tcW w:w="803" w:type="pct"/>
          </w:tcPr>
          <w:p w14:paraId="08DA1C14"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RD</w:t>
            </w:r>
          </w:p>
        </w:tc>
        <w:tc>
          <w:tcPr>
            <w:tcW w:w="3541" w:type="pct"/>
          </w:tcPr>
          <w:p w14:paraId="3273E509" w14:textId="6922B012" w:rsidR="00F90926" w:rsidRPr="003101A0" w:rsidRDefault="00F90926" w:rsidP="00F90926">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Research and development expenditures (#XRD) divided by total assets (#AT). Following prior literature </w:t>
            </w:r>
            <w:r w:rsidRPr="003101A0">
              <w:rPr>
                <w:rFonts w:ascii="Times New Roman" w:hAnsi="Times New Roman" w:cs="Times New Roman"/>
                <w:sz w:val="20"/>
                <w:szCs w:val="20"/>
                <w:lang w:val="en-US"/>
              </w:rPr>
              <w:fldChar w:fldCharType="begin">
                <w:fldData xml:space="preserve">PEVuZE5vdGU+PENpdGU+PEF1dGhvcj5IaXJzaGxlaWZlcjwvQXV0aG9yPjxZZWFyPjIwMTM8L1ll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</w:fldData>
              </w:fldChar>
            </w:r>
            <w:r w:rsidRPr="003101A0">
              <w:rPr>
                <w:rFonts w:ascii="Times New Roman" w:hAnsi="Times New Roman" w:cs="Times New Roman"/>
                <w:sz w:val="20"/>
                <w:szCs w:val="20"/>
                <w:lang w:val="en-US"/>
              </w:rPr>
              <w:instrText xml:space="preserve"> ADDIN EN.CITE </w:instrText>
            </w:r>
            <w:r w:rsidRPr="003101A0">
              <w:rPr>
                <w:rFonts w:ascii="Times New Roman" w:hAnsi="Times New Roman" w:cs="Times New Roman"/>
                <w:sz w:val="20"/>
                <w:szCs w:val="20"/>
                <w:lang w:val="en-US"/>
              </w:rPr>
              <w:fldChar w:fldCharType="begin">
                <w:fldData xml:space="preserve">PEVuZE5vdGU+PENpdGU+PEF1dGhvcj5IaXJzaGxlaWZlcjwvQXV0aG9yPjxZZWFyPjIwMTM8L1ll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</w:fldData>
              </w:fldChar>
            </w:r>
            <w:r w:rsidRPr="003101A0">
              <w:rPr>
                <w:rFonts w:ascii="Times New Roman" w:hAnsi="Times New Roman" w:cs="Times New Roman"/>
                <w:sz w:val="20"/>
                <w:szCs w:val="20"/>
                <w:lang w:val="en-US"/>
              </w:rPr>
              <w:instrText xml:space="preserve"> ADDIN EN.CITE.DATA </w:instrText>
            </w:r>
            <w:r w:rsidRPr="003101A0">
              <w:rPr>
                <w:rFonts w:ascii="Times New Roman" w:hAnsi="Times New Roman" w:cs="Times New Roman"/>
                <w:sz w:val="20"/>
                <w:szCs w:val="20"/>
                <w:lang w:val="en-US"/>
              </w:rPr>
            </w:r>
            <w:r w:rsidRPr="003101A0">
              <w:rPr>
                <w:rFonts w:ascii="Times New Roman" w:hAnsi="Times New Roman" w:cs="Times New Roman"/>
                <w:sz w:val="20"/>
                <w:szCs w:val="20"/>
                <w:lang w:val="en-US"/>
              </w:rPr>
              <w:fldChar w:fldCharType="end"/>
            </w:r>
            <w:r w:rsidRPr="003101A0">
              <w:rPr>
                <w:rFonts w:ascii="Times New Roman" w:hAnsi="Times New Roman" w:cs="Times New Roman"/>
                <w:sz w:val="20"/>
                <w:szCs w:val="20"/>
                <w:lang w:val="en-US"/>
              </w:rPr>
            </w:r>
            <w:r w:rsidRPr="003101A0">
              <w:rPr>
                <w:rFonts w:ascii="Times New Roman" w:hAnsi="Times New Roman" w:cs="Times New Roman"/>
                <w:sz w:val="20"/>
                <w:szCs w:val="20"/>
                <w:lang w:val="en-US"/>
              </w:rPr>
              <w:fldChar w:fldCharType="separate"/>
            </w:r>
            <w:r w:rsidRPr="003101A0">
              <w:rPr>
                <w:rFonts w:ascii="Times New Roman" w:hAnsi="Times New Roman" w:cs="Times New Roman"/>
                <w:noProof/>
                <w:sz w:val="20"/>
                <w:szCs w:val="20"/>
                <w:lang w:val="en-US"/>
              </w:rPr>
              <w:t>(Hirschey</w:t>
            </w:r>
            <w:r w:rsidR="00AD1FD3">
              <w:rPr>
                <w:rFonts w:ascii="Times New Roman" w:hAnsi="Times New Roman" w:cs="Times New Roman"/>
                <w:noProof/>
                <w:sz w:val="20"/>
                <w:szCs w:val="20"/>
                <w:lang w:val="en-US"/>
              </w:rPr>
              <w:t xml:space="preserve"> et al.</w:t>
            </w:r>
            <w:r w:rsidRPr="003101A0">
              <w:rPr>
                <w:rFonts w:ascii="Times New Roman" w:hAnsi="Times New Roman" w:cs="Times New Roman"/>
                <w:noProof/>
                <w:sz w:val="20"/>
                <w:szCs w:val="20"/>
                <w:lang w:val="en-US"/>
              </w:rPr>
              <w:t>, 2012; Hirshleifer</w:t>
            </w:r>
            <w:r w:rsidR="00AD1FD3">
              <w:rPr>
                <w:rFonts w:ascii="Times New Roman" w:hAnsi="Times New Roman" w:cs="Times New Roman"/>
                <w:noProof/>
                <w:sz w:val="20"/>
                <w:szCs w:val="20"/>
                <w:lang w:val="en-US"/>
              </w:rPr>
              <w:t xml:space="preserve"> et al.</w:t>
            </w:r>
            <w:r w:rsidRPr="003101A0">
              <w:rPr>
                <w:rFonts w:ascii="Times New Roman" w:hAnsi="Times New Roman" w:cs="Times New Roman"/>
                <w:noProof/>
                <w:sz w:val="20"/>
                <w:szCs w:val="20"/>
                <w:lang w:val="en-US"/>
              </w:rPr>
              <w:t>, 2013; Zhong, 2018)</w:t>
            </w:r>
            <w:r w:rsidRPr="003101A0">
              <w:rPr>
                <w:rFonts w:ascii="Times New Roman" w:hAnsi="Times New Roman" w:cs="Times New Roman"/>
                <w:sz w:val="20"/>
                <w:szCs w:val="20"/>
                <w:lang w:val="en-US"/>
              </w:rPr>
              <w:fldChar w:fldCharType="end"/>
            </w:r>
            <w:r w:rsidRPr="003101A0">
              <w:rPr>
                <w:rFonts w:ascii="Times New Roman" w:hAnsi="Times New Roman" w:cs="Times New Roman"/>
                <w:sz w:val="20"/>
                <w:szCs w:val="20"/>
                <w:lang w:val="en-US"/>
              </w:rPr>
              <w:t xml:space="preserve">, we set the missing values </w:t>
            </w:r>
            <w:r w:rsidR="00AD1FD3">
              <w:rPr>
                <w:rFonts w:ascii="Times New Roman" w:hAnsi="Times New Roman" w:cs="Times New Roman"/>
                <w:sz w:val="20"/>
                <w:szCs w:val="20"/>
                <w:lang w:val="en-US"/>
              </w:rPr>
              <w:t xml:space="preserve">of this variable </w:t>
            </w:r>
            <w:r w:rsidRPr="003101A0">
              <w:rPr>
                <w:rFonts w:ascii="Times New Roman" w:hAnsi="Times New Roman" w:cs="Times New Roman"/>
                <w:sz w:val="20"/>
                <w:szCs w:val="20"/>
                <w:lang w:val="en-US"/>
              </w:rPr>
              <w:t>to zero.</w:t>
            </w:r>
          </w:p>
        </w:tc>
        <w:tc>
          <w:tcPr>
            <w:tcW w:w="656" w:type="pct"/>
          </w:tcPr>
          <w:p w14:paraId="232665D6" w14:textId="77777777" w:rsidR="00F90926" w:rsidRPr="003101A0" w:rsidRDefault="00F90926" w:rsidP="00F90926">
            <w:pPr>
              <w:rPr>
                <w:rFonts w:ascii="Times New Roman" w:hAnsi="Times New Roman" w:cs="Times New Roman"/>
                <w:sz w:val="20"/>
                <w:szCs w:val="20"/>
                <w:lang w:val="en-US"/>
              </w:rPr>
            </w:pPr>
            <w:proofErr w:type="spellStart"/>
            <w:r w:rsidRPr="003101A0">
              <w:rPr>
                <w:rFonts w:ascii="Times New Roman" w:hAnsi="Times New Roman" w:cs="Times New Roman"/>
                <w:sz w:val="20"/>
                <w:szCs w:val="20"/>
                <w:lang w:val="en-US"/>
              </w:rPr>
              <w:t>Compustat</w:t>
            </w:r>
            <w:proofErr w:type="spellEnd"/>
          </w:p>
        </w:tc>
      </w:tr>
      <w:tr w:rsidR="00F90926" w:rsidRPr="003101A0" w14:paraId="41A615A5" w14:textId="77777777" w:rsidTr="003101A0">
        <w:trPr>
          <w:jc w:val="center"/>
        </w:trPr>
        <w:tc>
          <w:tcPr>
            <w:tcW w:w="803" w:type="pct"/>
          </w:tcPr>
          <w:p w14:paraId="6C195657"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ROA</w:t>
            </w:r>
          </w:p>
        </w:tc>
        <w:tc>
          <w:tcPr>
            <w:tcW w:w="3541" w:type="pct"/>
          </w:tcPr>
          <w:p w14:paraId="231244D0" w14:textId="77777777" w:rsidR="00F90926" w:rsidRPr="003101A0" w:rsidRDefault="00F90926" w:rsidP="00F90926">
            <w:pPr>
              <w:rPr>
                <w:rFonts w:ascii="Times New Roman" w:hAnsi="Times New Roman" w:cs="Times New Roman"/>
                <w:sz w:val="20"/>
                <w:szCs w:val="20"/>
                <w:lang w:val="en-US"/>
              </w:rPr>
            </w:pPr>
            <w:r w:rsidRPr="003101A0">
              <w:rPr>
                <w:rFonts w:ascii="Times New Roman" w:hAnsi="Times New Roman" w:cs="Times New Roman"/>
                <w:sz w:val="20"/>
                <w:szCs w:val="20"/>
                <w:lang w:val="en-US"/>
              </w:rPr>
              <w:t>Earnings before extraordinary items (#IB) divided by total assets (#AT).</w:t>
            </w:r>
          </w:p>
        </w:tc>
        <w:tc>
          <w:tcPr>
            <w:tcW w:w="656" w:type="pct"/>
          </w:tcPr>
          <w:p w14:paraId="0EE6A71F" w14:textId="77777777" w:rsidR="00F90926" w:rsidRPr="003101A0" w:rsidRDefault="00F90926" w:rsidP="00F90926">
            <w:pPr>
              <w:rPr>
                <w:rFonts w:ascii="Times New Roman" w:hAnsi="Times New Roman" w:cs="Times New Roman"/>
                <w:sz w:val="20"/>
                <w:szCs w:val="20"/>
                <w:lang w:val="en-US"/>
              </w:rPr>
            </w:pPr>
            <w:proofErr w:type="spellStart"/>
            <w:r w:rsidRPr="003101A0">
              <w:rPr>
                <w:rFonts w:ascii="Times New Roman" w:hAnsi="Times New Roman" w:cs="Times New Roman"/>
                <w:sz w:val="20"/>
                <w:szCs w:val="20"/>
                <w:lang w:val="en-US"/>
              </w:rPr>
              <w:t>Compustat</w:t>
            </w:r>
            <w:proofErr w:type="spellEnd"/>
          </w:p>
        </w:tc>
      </w:tr>
      <w:tr w:rsidR="00F90926" w:rsidRPr="003101A0" w14:paraId="42A77830" w14:textId="77777777" w:rsidTr="003101A0">
        <w:trPr>
          <w:jc w:val="center"/>
        </w:trPr>
        <w:tc>
          <w:tcPr>
            <w:tcW w:w="803" w:type="pct"/>
          </w:tcPr>
          <w:p w14:paraId="1B993C6D"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Secured</w:t>
            </w:r>
          </w:p>
        </w:tc>
        <w:tc>
          <w:tcPr>
            <w:tcW w:w="3541" w:type="pct"/>
          </w:tcPr>
          <w:p w14:paraId="60AFE123" w14:textId="10E098C4" w:rsidR="00F90926" w:rsidRPr="003101A0" w:rsidRDefault="00BC61FC" w:rsidP="00F90926">
            <w:pPr>
              <w:rPr>
                <w:rFonts w:ascii="Times New Roman" w:hAnsi="Times New Roman" w:cs="Times New Roman"/>
                <w:sz w:val="20"/>
                <w:szCs w:val="20"/>
                <w:lang w:val="en-US"/>
              </w:rPr>
            </w:pPr>
            <w:r>
              <w:rPr>
                <w:rFonts w:ascii="Times New Roman" w:hAnsi="Times New Roman" w:cs="Times New Roman"/>
                <w:sz w:val="20"/>
                <w:szCs w:val="20"/>
                <w:lang w:val="en-US"/>
              </w:rPr>
              <w:t>Dummy</w:t>
            </w:r>
            <w:r w:rsidR="00F90926" w:rsidRPr="003101A0">
              <w:rPr>
                <w:rFonts w:ascii="Times New Roman" w:hAnsi="Times New Roman" w:cs="Times New Roman"/>
                <w:sz w:val="20"/>
                <w:szCs w:val="20"/>
                <w:lang w:val="en-US"/>
              </w:rPr>
              <w:t xml:space="preserve"> variable equal to one if the bond is secured and zero otherwise.</w:t>
            </w:r>
          </w:p>
        </w:tc>
        <w:tc>
          <w:tcPr>
            <w:tcW w:w="656" w:type="pct"/>
            <w:shd w:val="clear" w:color="auto" w:fill="auto"/>
          </w:tcPr>
          <w:p w14:paraId="565CD6C0" w14:textId="5535253C" w:rsidR="00F90926" w:rsidRPr="003101A0" w:rsidRDefault="00C31CCB" w:rsidP="00F90926">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F90926" w:rsidRPr="003101A0">
              <w:rPr>
                <w:rFonts w:ascii="Times New Roman" w:hAnsi="Times New Roman" w:cs="Times New Roman"/>
                <w:sz w:val="20"/>
                <w:szCs w:val="20"/>
                <w:lang w:val="en-US"/>
              </w:rPr>
              <w:t>FISD</w:t>
            </w:r>
          </w:p>
        </w:tc>
      </w:tr>
      <w:tr w:rsidR="00F90926" w:rsidRPr="003101A0" w14:paraId="323689FD" w14:textId="77777777" w:rsidTr="003101A0">
        <w:trPr>
          <w:jc w:val="center"/>
        </w:trPr>
        <w:tc>
          <w:tcPr>
            <w:tcW w:w="803" w:type="pct"/>
          </w:tcPr>
          <w:p w14:paraId="547C2574"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Senior</w:t>
            </w:r>
          </w:p>
        </w:tc>
        <w:tc>
          <w:tcPr>
            <w:tcW w:w="3541" w:type="pct"/>
          </w:tcPr>
          <w:p w14:paraId="39B5BCB7" w14:textId="5D49AB34" w:rsidR="00F90926" w:rsidRPr="003101A0" w:rsidRDefault="00BC61FC" w:rsidP="00F90926">
            <w:pPr>
              <w:rPr>
                <w:rFonts w:ascii="Times New Roman" w:hAnsi="Times New Roman" w:cs="Times New Roman"/>
                <w:sz w:val="20"/>
                <w:szCs w:val="20"/>
                <w:lang w:val="en-US"/>
              </w:rPr>
            </w:pPr>
            <w:r>
              <w:rPr>
                <w:rFonts w:ascii="Times New Roman" w:hAnsi="Times New Roman" w:cs="Times New Roman"/>
                <w:sz w:val="20"/>
                <w:szCs w:val="20"/>
                <w:lang w:val="en-US"/>
              </w:rPr>
              <w:t>Dummy</w:t>
            </w:r>
            <w:r w:rsidR="00F90926" w:rsidRPr="003101A0">
              <w:rPr>
                <w:rFonts w:ascii="Times New Roman" w:hAnsi="Times New Roman" w:cs="Times New Roman"/>
                <w:sz w:val="20"/>
                <w:szCs w:val="20"/>
                <w:lang w:val="en-US"/>
              </w:rPr>
              <w:t xml:space="preserve"> variable equal to one if the bond is one of the following: senior secured, senior, or senior subordinate</w:t>
            </w:r>
            <w:r w:rsidR="00AD1FD3">
              <w:rPr>
                <w:rFonts w:ascii="Times New Roman" w:hAnsi="Times New Roman" w:cs="Times New Roman"/>
                <w:sz w:val="20"/>
                <w:szCs w:val="20"/>
                <w:lang w:val="en-US"/>
              </w:rPr>
              <w:t xml:space="preserve"> </w:t>
            </w:r>
            <w:r w:rsidR="00F90926" w:rsidRPr="003101A0">
              <w:rPr>
                <w:rFonts w:ascii="Times New Roman" w:hAnsi="Times New Roman" w:cs="Times New Roman"/>
                <w:sz w:val="20"/>
                <w:szCs w:val="20"/>
                <w:lang w:val="en-US"/>
              </w:rPr>
              <w:t>and zero otherwise.</w:t>
            </w:r>
          </w:p>
        </w:tc>
        <w:tc>
          <w:tcPr>
            <w:tcW w:w="656" w:type="pct"/>
            <w:shd w:val="clear" w:color="auto" w:fill="auto"/>
          </w:tcPr>
          <w:p w14:paraId="0C158FB3" w14:textId="1307C050" w:rsidR="00F90926" w:rsidRPr="003101A0" w:rsidRDefault="00C31CCB" w:rsidP="00F90926">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F90926" w:rsidRPr="003101A0">
              <w:rPr>
                <w:rFonts w:ascii="Times New Roman" w:hAnsi="Times New Roman" w:cs="Times New Roman"/>
                <w:sz w:val="20"/>
                <w:szCs w:val="20"/>
                <w:lang w:val="en-US"/>
              </w:rPr>
              <w:t>FISD</w:t>
            </w:r>
          </w:p>
        </w:tc>
      </w:tr>
      <w:tr w:rsidR="00F90926" w:rsidRPr="003101A0" w14:paraId="448C5D24" w14:textId="77777777" w:rsidTr="003101A0">
        <w:trPr>
          <w:jc w:val="center"/>
        </w:trPr>
        <w:tc>
          <w:tcPr>
            <w:tcW w:w="803" w:type="pct"/>
            <w:shd w:val="clear" w:color="auto" w:fill="auto"/>
          </w:tcPr>
          <w:p w14:paraId="71587F15"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Stock runup</w:t>
            </w:r>
          </w:p>
        </w:tc>
        <w:tc>
          <w:tcPr>
            <w:tcW w:w="3541" w:type="pct"/>
            <w:shd w:val="clear" w:color="auto" w:fill="auto"/>
          </w:tcPr>
          <w:p w14:paraId="6B10301A" w14:textId="76D391D6" w:rsidR="00F90926" w:rsidRPr="003101A0" w:rsidRDefault="00F90926" w:rsidP="00F90926">
            <w:pPr>
              <w:rPr>
                <w:rFonts w:ascii="Times New Roman" w:hAnsi="Times New Roman" w:cs="Times New Roman"/>
                <w:lang w:val="en-US"/>
              </w:rPr>
            </w:pPr>
            <w:r w:rsidRPr="003101A0">
              <w:rPr>
                <w:rFonts w:ascii="Times New Roman" w:hAnsi="Times New Roman" w:cs="Times New Roman"/>
                <w:sz w:val="20"/>
                <w:szCs w:val="20"/>
                <w:lang w:val="en-US"/>
              </w:rPr>
              <w:t>Average daily stock return over the window −76 to −2 before the issuance date, minus the average return over the CRSP equally weighted market index over that same window.</w:t>
            </w:r>
            <w:r w:rsidR="00B67B94">
              <w:rPr>
                <w:rFonts w:ascii="Times New Roman" w:hAnsi="Times New Roman" w:cs="Times New Roman"/>
                <w:sz w:val="20"/>
                <w:szCs w:val="20"/>
                <w:lang w:val="en-US"/>
              </w:rPr>
              <w:t xml:space="preserve"> </w:t>
            </w:r>
            <w:r w:rsidR="00111B6B">
              <w:rPr>
                <w:rFonts w:ascii="Times New Roman" w:hAnsi="Times New Roman" w:cs="Times New Roman"/>
                <w:sz w:val="20"/>
                <w:szCs w:val="20"/>
                <w:lang w:val="en-US" w:eastAsia="zh-CN"/>
              </w:rPr>
              <w:t>This variable is</w:t>
            </w:r>
            <w:r w:rsidR="00111B6B">
              <w:rPr>
                <w:rFonts w:ascii="Times New Roman" w:hAnsi="Times New Roman" w:cs="Times New Roman"/>
                <w:sz w:val="20"/>
                <w:szCs w:val="20"/>
                <w:lang w:val="en-US"/>
              </w:rPr>
              <w:t xml:space="preserve"> multiplied by 100 for expositional convenience.</w:t>
            </w:r>
          </w:p>
        </w:tc>
        <w:tc>
          <w:tcPr>
            <w:tcW w:w="656" w:type="pct"/>
            <w:shd w:val="clear" w:color="auto" w:fill="auto"/>
          </w:tcPr>
          <w:p w14:paraId="67124FCD" w14:textId="77777777" w:rsidR="00F90926" w:rsidRPr="003101A0" w:rsidRDefault="00F90926" w:rsidP="00F90926">
            <w:pPr>
              <w:rPr>
                <w:rFonts w:ascii="Times New Roman" w:hAnsi="Times New Roman" w:cs="Times New Roman"/>
                <w:sz w:val="20"/>
                <w:szCs w:val="20"/>
                <w:lang w:val="en-US"/>
              </w:rPr>
            </w:pPr>
            <w:r w:rsidRPr="003101A0">
              <w:rPr>
                <w:rFonts w:ascii="Times New Roman" w:hAnsi="Times New Roman" w:cs="Times New Roman"/>
                <w:sz w:val="20"/>
                <w:szCs w:val="20"/>
                <w:lang w:val="en-US"/>
              </w:rPr>
              <w:t>CRSP</w:t>
            </w:r>
          </w:p>
        </w:tc>
      </w:tr>
      <w:tr w:rsidR="00F90926" w:rsidRPr="003101A0" w14:paraId="14879C81" w14:textId="77777777" w:rsidTr="003101A0">
        <w:trPr>
          <w:jc w:val="center"/>
        </w:trPr>
        <w:tc>
          <w:tcPr>
            <w:tcW w:w="803" w:type="pct"/>
            <w:shd w:val="clear" w:color="auto" w:fill="auto"/>
          </w:tcPr>
          <w:p w14:paraId="57DDF69C"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TB yield</w:t>
            </w:r>
          </w:p>
        </w:tc>
        <w:tc>
          <w:tcPr>
            <w:tcW w:w="3541" w:type="pct"/>
            <w:shd w:val="clear" w:color="auto" w:fill="auto"/>
          </w:tcPr>
          <w:p w14:paraId="794A91EA" w14:textId="22E598E1" w:rsidR="00F90926" w:rsidRPr="003101A0" w:rsidRDefault="004177B5" w:rsidP="00F90926">
            <w:pPr>
              <w:rPr>
                <w:rFonts w:ascii="Times New Roman" w:hAnsi="Times New Roman" w:cs="Times New Roman"/>
                <w:sz w:val="20"/>
                <w:szCs w:val="20"/>
                <w:lang w:val="en-US"/>
              </w:rPr>
            </w:pPr>
            <w:r>
              <w:rPr>
                <w:rFonts w:ascii="Times New Roman" w:hAnsi="Times New Roman" w:cs="Times New Roman"/>
                <w:sz w:val="20"/>
                <w:szCs w:val="20"/>
                <w:lang w:val="en-US"/>
              </w:rPr>
              <w:t>T</w:t>
            </w:r>
            <w:r w:rsidR="00F90926" w:rsidRPr="003101A0">
              <w:rPr>
                <w:rFonts w:ascii="Times New Roman" w:hAnsi="Times New Roman" w:cs="Times New Roman"/>
                <w:sz w:val="20"/>
                <w:szCs w:val="20"/>
                <w:lang w:val="en-US"/>
              </w:rPr>
              <w:t>hree-month Treasury Bill yield</w:t>
            </w:r>
            <w:r>
              <w:rPr>
                <w:rFonts w:ascii="Times New Roman" w:hAnsi="Times New Roman" w:cs="Times New Roman"/>
                <w:sz w:val="20"/>
                <w:szCs w:val="20"/>
                <w:lang w:val="en-US"/>
              </w:rPr>
              <w:t xml:space="preserve">, </w:t>
            </w:r>
            <w:r w:rsidR="00F90926" w:rsidRPr="003101A0">
              <w:rPr>
                <w:rFonts w:ascii="Times New Roman" w:eastAsia="Times New Roman" w:hAnsi="Times New Roman" w:cs="Times New Roman"/>
                <w:sz w:val="20"/>
                <w:szCs w:val="20"/>
                <w:lang w:val="en-US"/>
              </w:rPr>
              <w:t>measured in the month before the bond</w:t>
            </w:r>
            <w:r w:rsidR="00AD1FD3">
              <w:rPr>
                <w:rFonts w:ascii="Times New Roman" w:eastAsia="Times New Roman" w:hAnsi="Times New Roman" w:cs="Times New Roman"/>
                <w:sz w:val="20"/>
                <w:szCs w:val="20"/>
                <w:lang w:val="en-US"/>
              </w:rPr>
              <w:t>’s</w:t>
            </w:r>
            <w:r w:rsidR="00F90926" w:rsidRPr="003101A0">
              <w:rPr>
                <w:rFonts w:ascii="Times New Roman" w:eastAsia="Times New Roman" w:hAnsi="Times New Roman" w:cs="Times New Roman"/>
                <w:sz w:val="20"/>
                <w:szCs w:val="20"/>
                <w:lang w:val="en-US"/>
              </w:rPr>
              <w:t xml:space="preserve"> issuance date</w:t>
            </w:r>
            <w:r w:rsidR="00F90926" w:rsidRPr="003101A0">
              <w:rPr>
                <w:rFonts w:ascii="Times New Roman" w:hAnsi="Times New Roman" w:cs="Times New Roman"/>
                <w:sz w:val="20"/>
                <w:szCs w:val="20"/>
                <w:lang w:val="en-US"/>
              </w:rPr>
              <w:t>.</w:t>
            </w:r>
          </w:p>
        </w:tc>
        <w:tc>
          <w:tcPr>
            <w:tcW w:w="656" w:type="pct"/>
            <w:shd w:val="clear" w:color="auto" w:fill="auto"/>
          </w:tcPr>
          <w:p w14:paraId="3CCCB6A5" w14:textId="77777777" w:rsidR="00F90926" w:rsidRPr="003101A0" w:rsidRDefault="00F90926" w:rsidP="00F90926">
            <w:pPr>
              <w:rPr>
                <w:rFonts w:ascii="Times New Roman" w:hAnsi="Times New Roman" w:cs="Times New Roman"/>
                <w:sz w:val="20"/>
                <w:szCs w:val="20"/>
                <w:lang w:val="en-US"/>
              </w:rPr>
            </w:pPr>
            <w:proofErr w:type="spellStart"/>
            <w:r w:rsidRPr="003101A0">
              <w:rPr>
                <w:rFonts w:ascii="Times New Roman" w:hAnsi="Times New Roman" w:cs="Times New Roman"/>
                <w:sz w:val="20"/>
                <w:szCs w:val="20"/>
                <w:lang w:val="en-US"/>
              </w:rPr>
              <w:t>Datastream</w:t>
            </w:r>
            <w:proofErr w:type="spellEnd"/>
          </w:p>
        </w:tc>
      </w:tr>
      <w:tr w:rsidR="00F90926" w:rsidRPr="003101A0" w14:paraId="7E34FE2E" w14:textId="77777777" w:rsidTr="003101A0">
        <w:trPr>
          <w:jc w:val="center"/>
        </w:trPr>
        <w:tc>
          <w:tcPr>
            <w:tcW w:w="803" w:type="pct"/>
          </w:tcPr>
          <w:p w14:paraId="318BBC0F"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Total assets</w:t>
            </w:r>
          </w:p>
        </w:tc>
        <w:tc>
          <w:tcPr>
            <w:tcW w:w="3541" w:type="pct"/>
          </w:tcPr>
          <w:p w14:paraId="58BA51F5" w14:textId="77777777" w:rsidR="00F90926" w:rsidRPr="003101A0" w:rsidRDefault="00F90926" w:rsidP="00F90926">
            <w:pPr>
              <w:rPr>
                <w:rFonts w:ascii="Times New Roman" w:hAnsi="Times New Roman" w:cs="Times New Roman"/>
                <w:sz w:val="20"/>
                <w:szCs w:val="20"/>
                <w:lang w:val="en-US"/>
              </w:rPr>
            </w:pPr>
            <w:r w:rsidRPr="003101A0">
              <w:rPr>
                <w:rFonts w:ascii="Times New Roman" w:hAnsi="Times New Roman" w:cs="Times New Roman"/>
                <w:sz w:val="20"/>
                <w:szCs w:val="20"/>
                <w:lang w:val="en-US"/>
              </w:rPr>
              <w:t xml:space="preserve">Book value of total assets (#AT). We use the natural logarithm of this variable, </w:t>
            </w:r>
            <w:r w:rsidRPr="003101A0">
              <w:rPr>
                <w:rFonts w:ascii="Times New Roman" w:hAnsi="Times New Roman" w:cs="Times New Roman"/>
                <w:i/>
                <w:sz w:val="20"/>
                <w:szCs w:val="20"/>
                <w:lang w:val="en-US"/>
              </w:rPr>
              <w:t>LN (TA)</w:t>
            </w:r>
            <w:r w:rsidRPr="003101A0">
              <w:rPr>
                <w:rFonts w:ascii="Times New Roman" w:hAnsi="Times New Roman" w:cs="Times New Roman"/>
                <w:sz w:val="20"/>
                <w:szCs w:val="20"/>
                <w:lang w:val="en-US"/>
              </w:rPr>
              <w:t>, in regressions.</w:t>
            </w:r>
          </w:p>
        </w:tc>
        <w:tc>
          <w:tcPr>
            <w:tcW w:w="656" w:type="pct"/>
          </w:tcPr>
          <w:p w14:paraId="7EE6FAEB" w14:textId="77777777" w:rsidR="00F90926" w:rsidRPr="003101A0" w:rsidRDefault="00F90926" w:rsidP="00F90926">
            <w:pPr>
              <w:rPr>
                <w:rFonts w:ascii="Times New Roman" w:hAnsi="Times New Roman" w:cs="Times New Roman"/>
                <w:sz w:val="20"/>
                <w:szCs w:val="20"/>
                <w:lang w:val="en-US"/>
              </w:rPr>
            </w:pPr>
            <w:proofErr w:type="spellStart"/>
            <w:r w:rsidRPr="003101A0">
              <w:rPr>
                <w:rFonts w:ascii="Times New Roman" w:hAnsi="Times New Roman" w:cs="Times New Roman"/>
                <w:sz w:val="20"/>
                <w:szCs w:val="20"/>
                <w:lang w:val="en-US"/>
              </w:rPr>
              <w:t>Compustat</w:t>
            </w:r>
            <w:proofErr w:type="spellEnd"/>
          </w:p>
        </w:tc>
      </w:tr>
      <w:tr w:rsidR="00F90926" w:rsidRPr="003101A0" w14:paraId="466E1EB7" w14:textId="77777777" w:rsidTr="003101A0">
        <w:trPr>
          <w:jc w:val="center"/>
        </w:trPr>
        <w:tc>
          <w:tcPr>
            <w:tcW w:w="803" w:type="pct"/>
          </w:tcPr>
          <w:p w14:paraId="520831CE"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Traditional investor period</w:t>
            </w:r>
          </w:p>
        </w:tc>
        <w:tc>
          <w:tcPr>
            <w:tcW w:w="3541" w:type="pct"/>
          </w:tcPr>
          <w:p w14:paraId="1F6B98DC" w14:textId="09772D76" w:rsidR="00F90926" w:rsidRPr="003101A0" w:rsidRDefault="00BC61FC" w:rsidP="00F90926">
            <w:pPr>
              <w:rPr>
                <w:rFonts w:ascii="Times New Roman" w:hAnsi="Times New Roman" w:cs="Times New Roman"/>
                <w:sz w:val="20"/>
                <w:szCs w:val="20"/>
                <w:lang w:val="en-US"/>
              </w:rPr>
            </w:pPr>
            <w:r>
              <w:rPr>
                <w:rFonts w:ascii="Times New Roman" w:hAnsi="Times New Roman" w:cs="Times New Roman"/>
                <w:sz w:val="20"/>
                <w:szCs w:val="20"/>
                <w:lang w:val="en-US"/>
              </w:rPr>
              <w:t>Dummy</w:t>
            </w:r>
            <w:r w:rsidR="00F90926" w:rsidRPr="003101A0">
              <w:rPr>
                <w:rFonts w:ascii="Times New Roman" w:hAnsi="Times New Roman" w:cs="Times New Roman"/>
                <w:sz w:val="20"/>
                <w:szCs w:val="20"/>
                <w:lang w:val="en-US"/>
              </w:rPr>
              <w:t xml:space="preserve"> variable equal to one if the bond is issued between January 1989</w:t>
            </w:r>
            <w:r w:rsidR="00AD1FD3">
              <w:rPr>
                <w:rFonts w:ascii="Times New Roman" w:hAnsi="Times New Roman" w:cs="Times New Roman"/>
                <w:sz w:val="20"/>
                <w:szCs w:val="20"/>
                <w:lang w:val="en-US"/>
              </w:rPr>
              <w:t xml:space="preserve"> and </w:t>
            </w:r>
            <w:r w:rsidR="00F90926" w:rsidRPr="003101A0">
              <w:rPr>
                <w:rFonts w:ascii="Times New Roman" w:hAnsi="Times New Roman" w:cs="Times New Roman"/>
                <w:sz w:val="20"/>
                <w:szCs w:val="20"/>
                <w:lang w:val="en-US"/>
              </w:rPr>
              <w:t>December 1999 and zero otherwise.</w:t>
            </w:r>
          </w:p>
        </w:tc>
        <w:tc>
          <w:tcPr>
            <w:tcW w:w="656" w:type="pct"/>
          </w:tcPr>
          <w:p w14:paraId="7DD3EE69" w14:textId="3E13DC82" w:rsidR="00F90926" w:rsidRPr="003101A0" w:rsidRDefault="00C31CCB" w:rsidP="00F90926">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F90926" w:rsidRPr="003101A0">
              <w:rPr>
                <w:rFonts w:ascii="Times New Roman" w:hAnsi="Times New Roman" w:cs="Times New Roman"/>
                <w:sz w:val="20"/>
                <w:szCs w:val="20"/>
                <w:lang w:val="en-US"/>
              </w:rPr>
              <w:t>FISD</w:t>
            </w:r>
          </w:p>
        </w:tc>
      </w:tr>
      <w:tr w:rsidR="00F90926" w:rsidRPr="003101A0" w14:paraId="00DD1DF7" w14:textId="77777777" w:rsidTr="0081333F">
        <w:trPr>
          <w:jc w:val="center"/>
        </w:trPr>
        <w:tc>
          <w:tcPr>
            <w:tcW w:w="803" w:type="pct"/>
          </w:tcPr>
          <w:p w14:paraId="099D33F7" w14:textId="77777777" w:rsidR="00F90926" w:rsidRPr="003101A0" w:rsidRDefault="00F90926" w:rsidP="0081333F">
            <w:pPr>
              <w:rPr>
                <w:rFonts w:ascii="Times New Roman" w:hAnsi="Times New Roman" w:cs="Times New Roman"/>
                <w:i/>
                <w:sz w:val="20"/>
                <w:szCs w:val="20"/>
                <w:highlight w:val="yellow"/>
                <w:lang w:val="en-US"/>
              </w:rPr>
            </w:pPr>
            <w:r w:rsidRPr="003101A0">
              <w:rPr>
                <w:rFonts w:ascii="Times New Roman" w:hAnsi="Times New Roman" w:cs="Times New Roman"/>
                <w:i/>
                <w:sz w:val="20"/>
                <w:szCs w:val="20"/>
                <w:lang w:val="en-US"/>
              </w:rPr>
              <w:t>Volatility</w:t>
            </w:r>
          </w:p>
        </w:tc>
        <w:tc>
          <w:tcPr>
            <w:tcW w:w="3541" w:type="pct"/>
          </w:tcPr>
          <w:p w14:paraId="6EDF4A44" w14:textId="751215A3" w:rsidR="00F90926" w:rsidRPr="003101A0" w:rsidRDefault="00F90926" w:rsidP="00F90926">
            <w:pPr>
              <w:rPr>
                <w:rFonts w:ascii="Times New Roman" w:hAnsi="Times New Roman" w:cs="Times New Roman"/>
                <w:sz w:val="20"/>
                <w:szCs w:val="20"/>
                <w:highlight w:val="yellow"/>
                <w:lang w:val="en-US"/>
              </w:rPr>
            </w:pPr>
            <w:r>
              <w:rPr>
                <w:rFonts w:ascii="Times New Roman" w:hAnsi="Times New Roman" w:cs="Times New Roman"/>
                <w:sz w:val="20"/>
                <w:szCs w:val="20"/>
              </w:rPr>
              <w:t>Cash flow volatility</w:t>
            </w:r>
            <w:r w:rsidR="00667800">
              <w:rPr>
                <w:rFonts w:ascii="Times New Roman" w:hAnsi="Times New Roman" w:cs="Times New Roman"/>
                <w:sz w:val="20"/>
                <w:szCs w:val="20"/>
              </w:rPr>
              <w:t>,</w:t>
            </w:r>
            <w:r>
              <w:rPr>
                <w:rFonts w:ascii="Times New Roman" w:hAnsi="Times New Roman" w:cs="Times New Roman"/>
                <w:sz w:val="20"/>
                <w:szCs w:val="20"/>
              </w:rPr>
              <w:t xml:space="preserve"> estimated as the standard deviation of </w:t>
            </w:r>
            <w:r w:rsidRPr="00F90926">
              <w:rPr>
                <w:rFonts w:ascii="Times New Roman" w:hAnsi="Times New Roman" w:cs="Times New Roman"/>
                <w:sz w:val="20"/>
                <w:szCs w:val="20"/>
              </w:rPr>
              <w:t xml:space="preserve">cash flow from operations (#OANCF) divided by total assets (#AT) using </w:t>
            </w:r>
            <w:r w:rsidR="005B4553">
              <w:rPr>
                <w:rFonts w:ascii="Times New Roman" w:hAnsi="Times New Roman" w:cs="Times New Roman"/>
                <w:sz w:val="20"/>
                <w:szCs w:val="20"/>
              </w:rPr>
              <w:t>data from the last</w:t>
            </w:r>
            <w:r w:rsidRPr="00F90926">
              <w:rPr>
                <w:rFonts w:ascii="Times New Roman" w:hAnsi="Times New Roman" w:cs="Times New Roman"/>
                <w:sz w:val="20"/>
                <w:szCs w:val="20"/>
              </w:rPr>
              <w:t xml:space="preserve"> </w:t>
            </w:r>
            <w:r w:rsidR="00AD1FD3">
              <w:rPr>
                <w:rFonts w:ascii="Times New Roman" w:hAnsi="Times New Roman" w:cs="Times New Roman"/>
                <w:sz w:val="20"/>
                <w:szCs w:val="20"/>
              </w:rPr>
              <w:t>five</w:t>
            </w:r>
            <w:r w:rsidRPr="00F90926">
              <w:rPr>
                <w:rFonts w:ascii="Times New Roman" w:hAnsi="Times New Roman" w:cs="Times New Roman"/>
                <w:sz w:val="20"/>
                <w:szCs w:val="20"/>
              </w:rPr>
              <w:t xml:space="preserve"> years before the </w:t>
            </w:r>
            <w:r w:rsidR="004177B5">
              <w:rPr>
                <w:rFonts w:ascii="Times New Roman" w:hAnsi="Times New Roman" w:cs="Times New Roman"/>
                <w:sz w:val="20"/>
                <w:szCs w:val="20"/>
              </w:rPr>
              <w:t xml:space="preserve">bond’s </w:t>
            </w:r>
            <w:r w:rsidRPr="00F90926">
              <w:rPr>
                <w:rFonts w:ascii="Times New Roman" w:hAnsi="Times New Roman" w:cs="Times New Roman"/>
                <w:sz w:val="20"/>
                <w:szCs w:val="20"/>
              </w:rPr>
              <w:t>issuance date</w:t>
            </w:r>
            <w:r w:rsidR="00667800">
              <w:rPr>
                <w:rFonts w:ascii="Times New Roman" w:hAnsi="Times New Roman" w:cs="Times New Roman"/>
                <w:sz w:val="20"/>
                <w:szCs w:val="20"/>
              </w:rPr>
              <w:t>, with a minimum of cash flow data for three pre-issuance years required</w:t>
            </w:r>
            <w:r w:rsidRPr="00F90926">
              <w:rPr>
                <w:rFonts w:ascii="Times New Roman" w:hAnsi="Times New Roman" w:cs="Times New Roman"/>
                <w:sz w:val="20"/>
                <w:szCs w:val="20"/>
                <w:lang w:val="en-US"/>
              </w:rPr>
              <w:t>.</w:t>
            </w:r>
          </w:p>
        </w:tc>
        <w:tc>
          <w:tcPr>
            <w:tcW w:w="656" w:type="pct"/>
          </w:tcPr>
          <w:p w14:paraId="0731141C" w14:textId="77777777" w:rsidR="00F90926" w:rsidRPr="003101A0" w:rsidRDefault="00F90926" w:rsidP="00F90926">
            <w:pPr>
              <w:rPr>
                <w:rFonts w:ascii="Times New Roman" w:hAnsi="Times New Roman" w:cs="Times New Roman"/>
                <w:sz w:val="20"/>
                <w:szCs w:val="20"/>
                <w:highlight w:val="yellow"/>
                <w:lang w:val="en-US"/>
              </w:rPr>
            </w:pPr>
            <w:proofErr w:type="spellStart"/>
            <w:r w:rsidRPr="003101A0">
              <w:rPr>
                <w:rFonts w:ascii="Times New Roman" w:hAnsi="Times New Roman" w:cs="Times New Roman"/>
                <w:sz w:val="20"/>
                <w:szCs w:val="20"/>
                <w:lang w:val="en-US"/>
              </w:rPr>
              <w:t>Compustat</w:t>
            </w:r>
            <w:proofErr w:type="spellEnd"/>
          </w:p>
        </w:tc>
      </w:tr>
      <w:tr w:rsidR="00F90926" w:rsidRPr="003101A0" w14:paraId="6019A7DF" w14:textId="77777777" w:rsidTr="00DD3153">
        <w:trPr>
          <w:jc w:val="center"/>
        </w:trPr>
        <w:tc>
          <w:tcPr>
            <w:tcW w:w="803" w:type="pct"/>
            <w:tcBorders>
              <w:bottom w:val="single" w:sz="4" w:space="0" w:color="auto"/>
            </w:tcBorders>
          </w:tcPr>
          <w:p w14:paraId="3DD32B27" w14:textId="77777777" w:rsidR="00F90926" w:rsidRPr="003101A0" w:rsidRDefault="00F90926" w:rsidP="00F90926">
            <w:pPr>
              <w:rPr>
                <w:rFonts w:ascii="Times New Roman" w:hAnsi="Times New Roman" w:cs="Times New Roman"/>
                <w:i/>
                <w:sz w:val="20"/>
                <w:szCs w:val="20"/>
                <w:lang w:val="en-US"/>
              </w:rPr>
            </w:pPr>
            <w:r w:rsidRPr="003101A0">
              <w:rPr>
                <w:rFonts w:ascii="Times New Roman" w:hAnsi="Times New Roman" w:cs="Times New Roman"/>
                <w:i/>
                <w:sz w:val="20"/>
                <w:szCs w:val="20"/>
                <w:lang w:val="en-US"/>
              </w:rPr>
              <w:t>Yield</w:t>
            </w:r>
          </w:p>
        </w:tc>
        <w:tc>
          <w:tcPr>
            <w:tcW w:w="3541" w:type="pct"/>
            <w:tcBorders>
              <w:bottom w:val="single" w:sz="4" w:space="0" w:color="auto"/>
            </w:tcBorders>
          </w:tcPr>
          <w:p w14:paraId="692B4744" w14:textId="1FFF4B90" w:rsidR="00F90926" w:rsidRPr="003101A0" w:rsidRDefault="007E0FB2" w:rsidP="00F90926">
            <w:pPr>
              <w:rPr>
                <w:rFonts w:ascii="Times New Roman" w:hAnsi="Times New Roman" w:cs="Times New Roman"/>
                <w:lang w:val="en-US"/>
              </w:rPr>
            </w:pPr>
            <w:bookmarkStart w:id="9" w:name="_Hlk122533970"/>
            <w:r w:rsidRPr="007E0FB2">
              <w:rPr>
                <w:rFonts w:ascii="Times New Roman" w:hAnsi="Times New Roman" w:cs="Times New Roman"/>
                <w:sz w:val="20"/>
                <w:szCs w:val="20"/>
                <w:lang w:val="en-US"/>
              </w:rPr>
              <w:t>Difference between the at-issue YTM of the bond and the YTM of a matched Treasury bond with the closest maturity.</w:t>
            </w:r>
            <w:r w:rsidRPr="00A40CEA">
              <w:rPr>
                <w:rFonts w:ascii="Times New Roman" w:hAnsi="Times New Roman" w:cs="Times New Roman"/>
                <w:sz w:val="24"/>
                <w:szCs w:val="24"/>
                <w:lang w:val="en-US"/>
              </w:rPr>
              <w:t xml:space="preserve"> </w:t>
            </w:r>
            <w:bookmarkEnd w:id="9"/>
          </w:p>
        </w:tc>
        <w:tc>
          <w:tcPr>
            <w:tcW w:w="656" w:type="pct"/>
            <w:tcBorders>
              <w:bottom w:val="single" w:sz="4" w:space="0" w:color="auto"/>
            </w:tcBorders>
          </w:tcPr>
          <w:p w14:paraId="3C59E7AD" w14:textId="701DB8F9" w:rsidR="00F90926" w:rsidRPr="003101A0" w:rsidRDefault="00C31CCB" w:rsidP="00F90926">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Mergent</w:t>
            </w:r>
            <w:proofErr w:type="spellEnd"/>
            <w:r>
              <w:rPr>
                <w:rFonts w:ascii="Times New Roman" w:hAnsi="Times New Roman" w:cs="Times New Roman"/>
                <w:sz w:val="20"/>
                <w:szCs w:val="20"/>
                <w:lang w:val="en-US"/>
              </w:rPr>
              <w:t xml:space="preserve"> </w:t>
            </w:r>
            <w:r w:rsidR="00F90926" w:rsidRPr="003101A0">
              <w:rPr>
                <w:rFonts w:ascii="Times New Roman" w:hAnsi="Times New Roman" w:cs="Times New Roman"/>
                <w:sz w:val="20"/>
                <w:szCs w:val="20"/>
                <w:lang w:val="en-US"/>
              </w:rPr>
              <w:t>FISD</w:t>
            </w:r>
          </w:p>
        </w:tc>
      </w:tr>
      <w:tr w:rsidR="00F90926" w:rsidRPr="003101A0" w14:paraId="38FDAE97" w14:textId="77777777" w:rsidTr="00D215BD">
        <w:trPr>
          <w:trHeight w:val="575"/>
          <w:jc w:val="center"/>
        </w:trPr>
        <w:tc>
          <w:tcPr>
            <w:tcW w:w="5000" w:type="pct"/>
            <w:gridSpan w:val="3"/>
            <w:tcBorders>
              <w:top w:val="single" w:sz="4" w:space="0" w:color="auto"/>
            </w:tcBorders>
          </w:tcPr>
          <w:p w14:paraId="113BAA37" w14:textId="3D204A23" w:rsidR="00F90926" w:rsidRPr="003101A0" w:rsidRDefault="00F90926" w:rsidP="00F90926">
            <w:pPr>
              <w:jc w:val="both"/>
              <w:rPr>
                <w:rFonts w:ascii="Times New Roman" w:hAnsi="Times New Roman" w:cs="Times New Roman"/>
                <w:sz w:val="20"/>
                <w:szCs w:val="20"/>
                <w:lang w:val="en-US" w:eastAsia="zh-CN"/>
              </w:rPr>
            </w:pPr>
            <w:r w:rsidRPr="003101A0">
              <w:rPr>
                <w:rFonts w:ascii="Times New Roman" w:hAnsi="Times New Roman" w:cs="Times New Roman"/>
                <w:sz w:val="20"/>
                <w:szCs w:val="20"/>
                <w:lang w:val="en-US" w:eastAsia="zh-CN"/>
              </w:rPr>
              <w:t xml:space="preserve">Notes: This table presents the definition, measurement, and data source of </w:t>
            </w:r>
            <w:r w:rsidR="00441779">
              <w:rPr>
                <w:rFonts w:ascii="Times New Roman" w:hAnsi="Times New Roman" w:cs="Times New Roman"/>
                <w:sz w:val="20"/>
                <w:szCs w:val="20"/>
                <w:lang w:val="en-US" w:eastAsia="zh-CN"/>
              </w:rPr>
              <w:t xml:space="preserve">all </w:t>
            </w:r>
            <w:r w:rsidRPr="003101A0">
              <w:rPr>
                <w:rFonts w:ascii="Times New Roman" w:hAnsi="Times New Roman" w:cs="Times New Roman"/>
                <w:sz w:val="20"/>
                <w:szCs w:val="20"/>
                <w:lang w:val="en-US" w:eastAsia="zh-CN"/>
              </w:rPr>
              <w:t xml:space="preserve">variables. </w:t>
            </w:r>
            <w:r w:rsidR="00441779">
              <w:rPr>
                <w:rFonts w:ascii="Times New Roman" w:hAnsi="Times New Roman" w:cs="Times New Roman"/>
                <w:sz w:val="20"/>
                <w:szCs w:val="20"/>
                <w:lang w:val="en-US" w:eastAsia="zh-CN"/>
              </w:rPr>
              <w:t>I</w:t>
            </w:r>
            <w:r w:rsidRPr="003101A0">
              <w:rPr>
                <w:rFonts w:ascii="Times New Roman" w:hAnsi="Times New Roman" w:cs="Times New Roman"/>
                <w:sz w:val="20"/>
                <w:szCs w:val="20"/>
                <w:lang w:val="en-US" w:eastAsia="zh-CN"/>
              </w:rPr>
              <w:t xml:space="preserve">ssuer-specific variables are measured at the fiscal year-end preceding the bond’s issuance date unless specified in the table. </w:t>
            </w:r>
            <w:r w:rsidR="00441779">
              <w:rPr>
                <w:rFonts w:ascii="Times New Roman" w:hAnsi="Times New Roman" w:cs="Times New Roman"/>
                <w:sz w:val="20"/>
                <w:szCs w:val="20"/>
                <w:lang w:val="en-US" w:eastAsia="zh-CN"/>
              </w:rPr>
              <w:t>Security design characteristics</w:t>
            </w:r>
            <w:r w:rsidRPr="003101A0">
              <w:rPr>
                <w:rFonts w:ascii="Times New Roman" w:hAnsi="Times New Roman" w:cs="Times New Roman"/>
                <w:sz w:val="20"/>
                <w:szCs w:val="20"/>
                <w:lang w:val="en-US" w:eastAsia="zh-CN"/>
              </w:rPr>
              <w:t xml:space="preserve"> are measured at the bond’s issuance date.</w:t>
            </w:r>
            <w:r w:rsidR="00441779">
              <w:rPr>
                <w:rFonts w:ascii="Times New Roman" w:hAnsi="Times New Roman" w:cs="Times New Roman"/>
                <w:sz w:val="20"/>
                <w:szCs w:val="20"/>
                <w:lang w:val="en-US" w:eastAsia="zh-CN"/>
              </w:rPr>
              <w:t xml:space="preserve"> The timing of the measurement of the other variables is mentioned along with their definition in the table. </w:t>
            </w:r>
          </w:p>
        </w:tc>
      </w:tr>
    </w:tbl>
    <w:p w14:paraId="5349EF8D" w14:textId="77777777" w:rsidR="00294950" w:rsidRPr="003101A0" w:rsidRDefault="00294950" w:rsidP="00493F00">
      <w:pPr>
        <w:spacing w:after="0" w:line="240" w:lineRule="auto"/>
        <w:rPr>
          <w:rFonts w:ascii="Times New Roman" w:hAnsi="Times New Roman" w:cs="Times New Roman"/>
          <w:lang w:val="en-US"/>
        </w:rPr>
      </w:pPr>
    </w:p>
    <w:p w14:paraId="649A344E" w14:textId="2CC4221B" w:rsidR="00D05532" w:rsidRPr="003101A0" w:rsidRDefault="00D05532" w:rsidP="00493F00">
      <w:pPr>
        <w:spacing w:after="0" w:line="240" w:lineRule="auto"/>
        <w:rPr>
          <w:rFonts w:ascii="Times New Roman" w:hAnsi="Times New Roman" w:cs="Times New Roman"/>
          <w:sz w:val="24"/>
          <w:szCs w:val="24"/>
          <w:lang w:val="en-US"/>
        </w:rPr>
      </w:pPr>
    </w:p>
    <w:sectPr w:rsidR="00D05532" w:rsidRPr="003101A0" w:rsidSect="00C77C2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CC9D" w14:textId="77777777" w:rsidR="004F2E0B" w:rsidRDefault="004F2E0B" w:rsidP="009A076D">
      <w:pPr>
        <w:spacing w:after="0" w:line="240" w:lineRule="auto"/>
      </w:pPr>
      <w:r>
        <w:separator/>
      </w:r>
    </w:p>
  </w:endnote>
  <w:endnote w:type="continuationSeparator" w:id="0">
    <w:p w14:paraId="047434F1" w14:textId="77777777" w:rsidR="004F2E0B" w:rsidRDefault="004F2E0B" w:rsidP="009A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5017973"/>
      <w:docPartObj>
        <w:docPartGallery w:val="Page Numbers (Bottom of Page)"/>
        <w:docPartUnique/>
      </w:docPartObj>
    </w:sdtPr>
    <w:sdtContent>
      <w:p w14:paraId="5677D062" w14:textId="77777777" w:rsidR="00974A7D" w:rsidRDefault="00974A7D" w:rsidP="00310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2297A" w14:textId="77777777" w:rsidR="00974A7D" w:rsidRDefault="00974A7D" w:rsidP="003101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7833" w14:textId="77777777" w:rsidR="00974A7D" w:rsidRDefault="00974A7D" w:rsidP="003101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70AA" w14:textId="77777777" w:rsidR="004F2E0B" w:rsidRDefault="004F2E0B" w:rsidP="009A076D">
      <w:pPr>
        <w:spacing w:after="0" w:line="240" w:lineRule="auto"/>
      </w:pPr>
      <w:r>
        <w:separator/>
      </w:r>
    </w:p>
  </w:footnote>
  <w:footnote w:type="continuationSeparator" w:id="0">
    <w:p w14:paraId="0D811A99" w14:textId="77777777" w:rsidR="004F2E0B" w:rsidRDefault="004F2E0B" w:rsidP="009A076D">
      <w:pPr>
        <w:spacing w:after="0" w:line="240" w:lineRule="auto"/>
      </w:pPr>
      <w:r>
        <w:continuationSeparator/>
      </w:r>
    </w:p>
  </w:footnote>
  <w:footnote w:id="1">
    <w:p w14:paraId="67719184" w14:textId="77777777" w:rsidR="00215CA0" w:rsidRPr="00893BB7" w:rsidRDefault="00215CA0" w:rsidP="00215CA0">
      <w:pPr>
        <w:pStyle w:val="FootnoteText"/>
        <w:snapToGrid w:val="0"/>
        <w:contextualSpacing/>
        <w:jc w:val="both"/>
        <w:rPr>
          <w:rFonts w:ascii="Times New Roman" w:hAnsi="Times New Roman" w:cs="Times New Roman"/>
          <w:lang w:eastAsia="zh-CN"/>
        </w:rPr>
      </w:pPr>
      <w:r w:rsidRPr="00893BB7">
        <w:rPr>
          <w:rStyle w:val="FootnoteReference"/>
          <w:rFonts w:ascii="Times New Roman" w:hAnsi="Times New Roman" w:cs="Times New Roman"/>
        </w:rPr>
        <w:t>*</w:t>
      </w:r>
      <w:r w:rsidRPr="00893BB7">
        <w:rPr>
          <w:rFonts w:ascii="Times New Roman" w:hAnsi="Times New Roman" w:cs="Times New Roman"/>
        </w:rPr>
        <w:t xml:space="preserve"> Corresponding author.</w:t>
      </w:r>
      <w:r>
        <w:rPr>
          <w:rFonts w:ascii="Times New Roman" w:hAnsi="Times New Roman" w:cs="Times New Roman"/>
        </w:rPr>
        <w:t xml:space="preserve"> Postal address: Booth Street West, Manchester, M15 6PB. </w:t>
      </w:r>
      <w:r w:rsidRPr="00893BB7">
        <w:rPr>
          <w:rFonts w:ascii="Times New Roman" w:hAnsi="Times New Roman" w:cs="Times New Roman"/>
        </w:rPr>
        <w:t xml:space="preserve">We thank Ahmet </w:t>
      </w:r>
      <w:proofErr w:type="spellStart"/>
      <w:r w:rsidRPr="00893BB7">
        <w:rPr>
          <w:rFonts w:ascii="Times New Roman" w:hAnsi="Times New Roman" w:cs="Times New Roman"/>
        </w:rPr>
        <w:t>Karpuz</w:t>
      </w:r>
      <w:proofErr w:type="spellEnd"/>
      <w:r w:rsidRPr="00893BB7">
        <w:rPr>
          <w:rFonts w:ascii="Times New Roman" w:hAnsi="Times New Roman" w:cs="Times New Roman"/>
        </w:rPr>
        <w:t xml:space="preserve">, Frank Hong Liu, Joao </w:t>
      </w:r>
      <w:proofErr w:type="spellStart"/>
      <w:r w:rsidRPr="00893BB7">
        <w:rPr>
          <w:rFonts w:ascii="Times New Roman" w:hAnsi="Times New Roman" w:cs="Times New Roman"/>
        </w:rPr>
        <w:t>Quariguasi</w:t>
      </w:r>
      <w:proofErr w:type="spellEnd"/>
      <w:r w:rsidRPr="00893BB7">
        <w:rPr>
          <w:rFonts w:ascii="Times New Roman" w:hAnsi="Times New Roman" w:cs="Times New Roman"/>
        </w:rPr>
        <w:t xml:space="preserve"> </w:t>
      </w:r>
      <w:proofErr w:type="spellStart"/>
      <w:r w:rsidRPr="00893BB7">
        <w:rPr>
          <w:rFonts w:ascii="Times New Roman" w:hAnsi="Times New Roman" w:cs="Times New Roman"/>
        </w:rPr>
        <w:t>Frota</w:t>
      </w:r>
      <w:proofErr w:type="spellEnd"/>
      <w:r w:rsidRPr="00893BB7">
        <w:rPr>
          <w:rFonts w:ascii="Times New Roman" w:hAnsi="Times New Roman" w:cs="Times New Roman"/>
        </w:rPr>
        <w:t xml:space="preserve"> Neto, </w:t>
      </w:r>
      <w:r w:rsidRPr="00893BB7">
        <w:rPr>
          <w:rFonts w:ascii="Times New Roman" w:eastAsia="Times New Roman" w:hAnsi="Times New Roman" w:cs="Times New Roman"/>
        </w:rPr>
        <w:t xml:space="preserve">Thomas </w:t>
      </w:r>
      <w:proofErr w:type="spellStart"/>
      <w:r w:rsidRPr="00893BB7">
        <w:rPr>
          <w:rFonts w:ascii="Times New Roman" w:eastAsia="Times New Roman" w:hAnsi="Times New Roman" w:cs="Times New Roman"/>
        </w:rPr>
        <w:t>Schleicher</w:t>
      </w:r>
      <w:proofErr w:type="spellEnd"/>
      <w:r w:rsidRPr="00893BB7">
        <w:rPr>
          <w:rFonts w:ascii="Times New Roman" w:eastAsia="Times New Roman" w:hAnsi="Times New Roman" w:cs="Times New Roman"/>
        </w:rPr>
        <w:t>,</w:t>
      </w:r>
      <w:r w:rsidRPr="00893BB7">
        <w:rPr>
          <w:rFonts w:ascii="Times New Roman" w:hAnsi="Times New Roman" w:cs="Times New Roman"/>
        </w:rPr>
        <w:t xml:space="preserve"> </w:t>
      </w:r>
      <w:r w:rsidRPr="00893BB7">
        <w:rPr>
          <w:rFonts w:ascii="Times New Roman" w:eastAsia="Times New Roman" w:hAnsi="Times New Roman" w:cs="Times New Roman"/>
        </w:rPr>
        <w:t>Konstantinos Stathopoulos,</w:t>
      </w:r>
      <w:r w:rsidRPr="00893BB7">
        <w:rPr>
          <w:rFonts w:ascii="Times New Roman" w:hAnsi="Times New Roman" w:cs="Times New Roman"/>
        </w:rPr>
        <w:t xml:space="preserve"> Norman Strong, </w:t>
      </w:r>
      <w:r w:rsidRPr="00893BB7">
        <w:rPr>
          <w:rFonts w:ascii="Times New Roman" w:eastAsia="Times New Roman" w:hAnsi="Times New Roman" w:cs="Times New Roman"/>
        </w:rPr>
        <w:t xml:space="preserve">Georgios Voulgaris, </w:t>
      </w:r>
      <w:proofErr w:type="spellStart"/>
      <w:r w:rsidRPr="00893BB7">
        <w:rPr>
          <w:rFonts w:ascii="Times New Roman" w:eastAsia="Times New Roman" w:hAnsi="Times New Roman" w:cs="Times New Roman"/>
        </w:rPr>
        <w:t>Stavroula</w:t>
      </w:r>
      <w:proofErr w:type="spellEnd"/>
      <w:r w:rsidRPr="00893BB7">
        <w:rPr>
          <w:rFonts w:ascii="Times New Roman" w:eastAsia="Times New Roman" w:hAnsi="Times New Roman" w:cs="Times New Roman"/>
        </w:rPr>
        <w:t xml:space="preserve"> </w:t>
      </w:r>
      <w:proofErr w:type="spellStart"/>
      <w:r w:rsidRPr="00893BB7">
        <w:rPr>
          <w:rFonts w:ascii="Times New Roman" w:eastAsia="Times New Roman" w:hAnsi="Times New Roman" w:cs="Times New Roman"/>
        </w:rPr>
        <w:t>Yfanti</w:t>
      </w:r>
      <w:proofErr w:type="spellEnd"/>
      <w:r>
        <w:rPr>
          <w:rFonts w:ascii="Times New Roman" w:eastAsia="Times New Roman" w:hAnsi="Times New Roman" w:cs="Times New Roman"/>
        </w:rPr>
        <w:t>, and seminar participants at the University of Manchester and L</w:t>
      </w:r>
      <w:r w:rsidRPr="006E170F">
        <w:rPr>
          <w:rFonts w:ascii="Times New Roman" w:eastAsia="Times New Roman" w:hAnsi="Times New Roman" w:cs="Times New Roman"/>
        </w:rPr>
        <w:t xml:space="preserve">oughborough </w:t>
      </w:r>
      <w:r>
        <w:rPr>
          <w:rFonts w:ascii="Times New Roman" w:eastAsia="Times New Roman" w:hAnsi="Times New Roman" w:cs="Times New Roman"/>
        </w:rPr>
        <w:t>U</w:t>
      </w:r>
      <w:r w:rsidRPr="006E170F">
        <w:rPr>
          <w:rFonts w:ascii="Times New Roman" w:eastAsia="Times New Roman" w:hAnsi="Times New Roman" w:cs="Times New Roman"/>
        </w:rPr>
        <w:t xml:space="preserve">niversity </w:t>
      </w:r>
      <w:r w:rsidRPr="00893BB7">
        <w:rPr>
          <w:rFonts w:ascii="Times New Roman" w:hAnsi="Times New Roman" w:cs="Times New Roman"/>
        </w:rPr>
        <w:t>for their useful comments and suggestions.</w:t>
      </w:r>
      <w:r>
        <w:rPr>
          <w:rFonts w:ascii="Times New Roman" w:hAnsi="Times New Roman" w:cs="Times New Roman"/>
        </w:rPr>
        <w:t xml:space="preserve"> All errors are our own.</w:t>
      </w:r>
    </w:p>
  </w:footnote>
  <w:footnote w:id="2">
    <w:p w14:paraId="767889ED" w14:textId="33B113F1" w:rsidR="00974A7D" w:rsidRPr="00503807" w:rsidRDefault="00974A7D" w:rsidP="00CD63AC">
      <w:pPr>
        <w:pStyle w:val="FootnoteText"/>
        <w:jc w:val="both"/>
        <w:rPr>
          <w:rFonts w:ascii="Times New Roman" w:hAnsi="Times New Roman" w:cs="Times New Roman"/>
        </w:rPr>
      </w:pPr>
      <w:r w:rsidRPr="00E53748">
        <w:rPr>
          <w:rStyle w:val="FootnoteReference"/>
          <w:rFonts w:ascii="Times New Roman" w:hAnsi="Times New Roman" w:cs="Times New Roman"/>
        </w:rPr>
        <w:footnoteRef/>
      </w:r>
      <w:r w:rsidRPr="00E53748">
        <w:rPr>
          <w:rFonts w:ascii="Times New Roman" w:hAnsi="Times New Roman" w:cs="Times New Roman"/>
        </w:rPr>
        <w:t xml:space="preserve"> Some bond covenant studies mention explicitly that they do not include convertible bonds </w:t>
      </w:r>
      <w:r w:rsidRPr="00E53748">
        <w:rPr>
          <w:rFonts w:ascii="Times New Roman" w:hAnsi="Times New Roman" w:cs="Times New Roman"/>
          <w:i/>
        </w:rPr>
        <w:t xml:space="preserve">“because </w:t>
      </w:r>
      <w:r w:rsidRPr="00E53748">
        <w:rPr>
          <w:rFonts w:ascii="Times New Roman" w:hAnsi="Times New Roman" w:cs="Times New Roman"/>
        </w:rPr>
        <w:t xml:space="preserve">(their) </w:t>
      </w:r>
      <w:r w:rsidRPr="00E53748">
        <w:rPr>
          <w:rFonts w:ascii="Times New Roman" w:hAnsi="Times New Roman" w:cs="Times New Roman"/>
          <w:i/>
        </w:rPr>
        <w:t xml:space="preserve">convertible option makes them less comparable </w:t>
      </w:r>
      <w:r w:rsidRPr="00E53748">
        <w:rPr>
          <w:rFonts w:ascii="Times New Roman" w:hAnsi="Times New Roman" w:cs="Times New Roman"/>
        </w:rPr>
        <w:t>(to straight bonds)</w:t>
      </w:r>
      <w:r w:rsidRPr="00E53748">
        <w:rPr>
          <w:rFonts w:ascii="Times New Roman" w:hAnsi="Times New Roman" w:cs="Times New Roman"/>
          <w:i/>
        </w:rPr>
        <w:t>”</w:t>
      </w:r>
      <w:r w:rsidRPr="00E53748">
        <w:rPr>
          <w:rFonts w:ascii="Times New Roman" w:hAnsi="Times New Roman" w:cs="Times New Roman"/>
        </w:rPr>
        <w:t xml:space="preserve"> (Qi and Wald, 2008; Zhang and Zhou, 2018). </w:t>
      </w:r>
      <w:r>
        <w:rPr>
          <w:rFonts w:ascii="Times New Roman" w:hAnsi="Times New Roman" w:cs="Times New Roman"/>
        </w:rPr>
        <w:t xml:space="preserve">Bradley and Roberts (2015) include convertibles in their corporate debt sample, but do not distinguish between convertibles and straight bonds in their empirical tests. </w:t>
      </w:r>
    </w:p>
  </w:footnote>
  <w:footnote w:id="3">
    <w:p w14:paraId="351CE23C" w14:textId="3F1D1340" w:rsidR="00974A7D" w:rsidRPr="006923D1" w:rsidRDefault="00974A7D" w:rsidP="00E53748">
      <w:pPr>
        <w:pStyle w:val="FootnoteText"/>
        <w:jc w:val="both"/>
        <w:rPr>
          <w:rFonts w:ascii="Times New Roman" w:hAnsi="Times New Roman" w:cs="Times New Roman"/>
        </w:rPr>
      </w:pPr>
      <w:r w:rsidRPr="006923D1">
        <w:rPr>
          <w:rStyle w:val="FootnoteReference"/>
          <w:rFonts w:ascii="Times New Roman" w:hAnsi="Times New Roman" w:cs="Times New Roman"/>
        </w:rPr>
        <w:footnoteRef/>
      </w:r>
      <w:r w:rsidRPr="006923D1">
        <w:rPr>
          <w:rFonts w:ascii="Times New Roman" w:hAnsi="Times New Roman" w:cs="Times New Roman"/>
        </w:rPr>
        <w:t xml:space="preserve"> As we will explain in more detail in Section 2, complementary use is theoretically possible but less likely a priori than substitution. </w:t>
      </w:r>
    </w:p>
  </w:footnote>
  <w:footnote w:id="4">
    <w:p w14:paraId="6BF619B0" w14:textId="3671F112" w:rsidR="00974A7D" w:rsidRPr="00D84855" w:rsidRDefault="00974A7D" w:rsidP="00D84855">
      <w:pPr>
        <w:pStyle w:val="FootnoteText"/>
        <w:jc w:val="both"/>
        <w:rPr>
          <w:rFonts w:ascii="Times New Roman" w:hAnsi="Times New Roman" w:cs="Times New Roman"/>
        </w:rPr>
      </w:pPr>
      <w:r w:rsidRPr="00D84855">
        <w:rPr>
          <w:rStyle w:val="FootnoteReference"/>
          <w:rFonts w:ascii="Times New Roman" w:hAnsi="Times New Roman" w:cs="Times New Roman"/>
        </w:rPr>
        <w:footnoteRef/>
      </w:r>
      <w:r w:rsidRPr="00D84855">
        <w:rPr>
          <w:rFonts w:ascii="Times New Roman" w:hAnsi="Times New Roman" w:cs="Times New Roman"/>
        </w:rPr>
        <w:t xml:space="preserve"> Since convertibles act as straight bonds until conversion, we do not expect these securities to be more capable of addressing claim dilution problems than similar-seniority straight bonds.</w:t>
      </w:r>
    </w:p>
  </w:footnote>
  <w:footnote w:id="5">
    <w:p w14:paraId="799ADD97" w14:textId="0BE8EBB1" w:rsidR="00974A7D" w:rsidRDefault="00974A7D" w:rsidP="000E21FD">
      <w:pPr>
        <w:pStyle w:val="FootnoteText"/>
        <w:jc w:val="both"/>
      </w:pPr>
      <w:r w:rsidRPr="008D0429">
        <w:rPr>
          <w:rStyle w:val="FootnoteReference"/>
          <w:rFonts w:ascii="Times New Roman" w:hAnsi="Times New Roman" w:cs="Times New Roman"/>
        </w:rPr>
        <w:footnoteRef/>
      </w:r>
      <w:r w:rsidRPr="008D0429">
        <w:rPr>
          <w:rFonts w:ascii="Times New Roman" w:hAnsi="Times New Roman" w:cs="Times New Roman"/>
        </w:rPr>
        <w:t xml:space="preserve"> A </w:t>
      </w:r>
      <w:proofErr w:type="spellStart"/>
      <w:r>
        <w:rPr>
          <w:rFonts w:ascii="Times New Roman" w:hAnsi="Times New Roman" w:cs="Times New Roman"/>
        </w:rPr>
        <w:t>Mergent</w:t>
      </w:r>
      <w:proofErr w:type="spellEnd"/>
      <w:r>
        <w:rPr>
          <w:rFonts w:ascii="Times New Roman" w:hAnsi="Times New Roman" w:cs="Times New Roman"/>
        </w:rPr>
        <w:t xml:space="preserve"> </w:t>
      </w:r>
      <w:r w:rsidRPr="008D0429">
        <w:rPr>
          <w:rFonts w:ascii="Times New Roman" w:hAnsi="Times New Roman" w:cs="Times New Roman"/>
        </w:rPr>
        <w:t>FISD representative confirmed to us that Rule 144</w:t>
      </w:r>
      <w:r>
        <w:rPr>
          <w:rFonts w:ascii="Times New Roman" w:hAnsi="Times New Roman" w:cs="Times New Roman"/>
        </w:rPr>
        <w:t>a</w:t>
      </w:r>
      <w:r w:rsidRPr="008D0429">
        <w:rPr>
          <w:rFonts w:ascii="Times New Roman" w:hAnsi="Times New Roman" w:cs="Times New Roman"/>
        </w:rPr>
        <w:t xml:space="preserve"> offerings’ covenants are </w:t>
      </w:r>
      <w:r>
        <w:rPr>
          <w:rFonts w:ascii="Times New Roman" w:hAnsi="Times New Roman" w:cs="Times New Roman"/>
        </w:rPr>
        <w:t xml:space="preserve">in principle </w:t>
      </w:r>
      <w:r w:rsidRPr="008D0429">
        <w:rPr>
          <w:rFonts w:ascii="Times New Roman" w:hAnsi="Times New Roman" w:cs="Times New Roman"/>
        </w:rPr>
        <w:t>cover</w:t>
      </w:r>
      <w:r>
        <w:rPr>
          <w:rFonts w:ascii="Times New Roman" w:hAnsi="Times New Roman" w:cs="Times New Roman"/>
        </w:rPr>
        <w:t xml:space="preserve">ed in their database. However, the representative also told us </w:t>
      </w:r>
      <w:r w:rsidRPr="008D0429">
        <w:rPr>
          <w:rFonts w:ascii="Times New Roman" w:hAnsi="Times New Roman" w:cs="Times New Roman"/>
        </w:rPr>
        <w:t xml:space="preserve">these offerings might not always have a prospectus with </w:t>
      </w:r>
      <w:r>
        <w:rPr>
          <w:rFonts w:ascii="Times New Roman" w:hAnsi="Times New Roman" w:cs="Times New Roman"/>
        </w:rPr>
        <w:t>covenant information available. We separately examine Rule 144a and public bond offerings in robustness tests</w:t>
      </w:r>
      <w:r w:rsidRPr="008D0429">
        <w:rPr>
          <w:rFonts w:ascii="Times New Roman" w:hAnsi="Times New Roman" w:cs="Times New Roman"/>
        </w:rPr>
        <w:t>.</w:t>
      </w:r>
      <w:r>
        <w:t xml:space="preserve"> </w:t>
      </w:r>
    </w:p>
  </w:footnote>
  <w:footnote w:id="6">
    <w:p w14:paraId="638B834C" w14:textId="2BFCC40A" w:rsidR="00974A7D" w:rsidRPr="008D0429" w:rsidRDefault="00974A7D" w:rsidP="003F445B">
      <w:pPr>
        <w:pStyle w:val="FootnoteText"/>
        <w:jc w:val="both"/>
        <w:rPr>
          <w:rFonts w:ascii="Times New Roman" w:hAnsi="Times New Roman" w:cs="Times New Roman"/>
        </w:rPr>
      </w:pPr>
      <w:r w:rsidRPr="007F746C">
        <w:rPr>
          <w:rStyle w:val="FootnoteReference"/>
          <w:rFonts w:ascii="Times New Roman" w:hAnsi="Times New Roman" w:cs="Times New Roman"/>
        </w:rPr>
        <w:footnoteRef/>
      </w:r>
      <w:r w:rsidRPr="007F746C">
        <w:rPr>
          <w:rFonts w:ascii="Times New Roman" w:hAnsi="Times New Roman" w:cs="Times New Roman"/>
        </w:rPr>
        <w:t xml:space="preserve"> MTNs are Rule 415 shelf-registered securities. </w:t>
      </w:r>
      <w:r w:rsidRPr="008D0429">
        <w:rPr>
          <w:rFonts w:ascii="Times New Roman" w:hAnsi="Times New Roman" w:cs="Times New Roman"/>
        </w:rPr>
        <w:t xml:space="preserve">Unfortunately, </w:t>
      </w:r>
      <w:r>
        <w:rPr>
          <w:rFonts w:ascii="Times New Roman" w:hAnsi="Times New Roman" w:cs="Times New Roman"/>
        </w:rPr>
        <w:t xml:space="preserve">the </w:t>
      </w:r>
      <w:proofErr w:type="spellStart"/>
      <w:r>
        <w:rPr>
          <w:rFonts w:ascii="Times New Roman" w:hAnsi="Times New Roman" w:cs="Times New Roman"/>
        </w:rPr>
        <w:t>Mergent</w:t>
      </w:r>
      <w:proofErr w:type="spellEnd"/>
      <w:r>
        <w:rPr>
          <w:rFonts w:ascii="Times New Roman" w:hAnsi="Times New Roman" w:cs="Times New Roman"/>
        </w:rPr>
        <w:t xml:space="preserve"> </w:t>
      </w:r>
      <w:r w:rsidRPr="008D0429">
        <w:rPr>
          <w:rFonts w:ascii="Times New Roman" w:hAnsi="Times New Roman" w:cs="Times New Roman"/>
        </w:rPr>
        <w:t>FISD</w:t>
      </w:r>
      <w:r>
        <w:rPr>
          <w:rFonts w:ascii="Times New Roman" w:hAnsi="Times New Roman" w:cs="Times New Roman"/>
        </w:rPr>
        <w:t xml:space="preserve"> database</w:t>
      </w:r>
      <w:r w:rsidRPr="008D0429">
        <w:rPr>
          <w:rFonts w:ascii="Times New Roman" w:hAnsi="Times New Roman" w:cs="Times New Roman"/>
        </w:rPr>
        <w:t xml:space="preserve"> does not report the</w:t>
      </w:r>
      <w:r>
        <w:rPr>
          <w:rFonts w:ascii="Times New Roman" w:hAnsi="Times New Roman" w:cs="Times New Roman"/>
        </w:rPr>
        <w:t xml:space="preserve">ir </w:t>
      </w:r>
      <w:r w:rsidRPr="008D0429">
        <w:rPr>
          <w:rFonts w:ascii="Times New Roman" w:hAnsi="Times New Roman" w:cs="Times New Roman"/>
        </w:rPr>
        <w:t>covenants (</w:t>
      </w:r>
      <w:proofErr w:type="spellStart"/>
      <w:r w:rsidRPr="008D0429">
        <w:rPr>
          <w:rFonts w:ascii="Times New Roman" w:hAnsi="Times New Roman" w:cs="Times New Roman"/>
        </w:rPr>
        <w:t>Billett</w:t>
      </w:r>
      <w:proofErr w:type="spellEnd"/>
      <w:r w:rsidRPr="008D0429">
        <w:rPr>
          <w:rFonts w:ascii="Times New Roman" w:hAnsi="Times New Roman" w:cs="Times New Roman"/>
        </w:rPr>
        <w:t xml:space="preserve"> et al., 2007).</w:t>
      </w:r>
    </w:p>
  </w:footnote>
  <w:footnote w:id="7">
    <w:p w14:paraId="4533E9C2" w14:textId="3FEC9591" w:rsidR="00974A7D" w:rsidRPr="00372136" w:rsidRDefault="00974A7D" w:rsidP="00893861">
      <w:pPr>
        <w:pStyle w:val="FootnoteText"/>
        <w:jc w:val="both"/>
        <w:rPr>
          <w:rFonts w:ascii="Times New Roman" w:hAnsi="Times New Roman" w:cs="Times New Roman"/>
        </w:rPr>
      </w:pPr>
      <w:r w:rsidRPr="00372136">
        <w:rPr>
          <w:rStyle w:val="FootnoteReference"/>
          <w:rFonts w:ascii="Times New Roman" w:hAnsi="Times New Roman" w:cs="Times New Roman"/>
        </w:rPr>
        <w:footnoteRef/>
      </w:r>
      <w:r w:rsidRPr="00372136">
        <w:rPr>
          <w:rFonts w:ascii="Times New Roman" w:hAnsi="Times New Roman" w:cs="Times New Roman"/>
        </w:rPr>
        <w:t xml:space="preserve"> </w:t>
      </w:r>
      <w:r>
        <w:rPr>
          <w:rFonts w:ascii="Times New Roman" w:hAnsi="Times New Roman" w:cs="Times New Roman"/>
        </w:rPr>
        <w:t>Bondholder-shareholder agency costs and financial distress costs</w:t>
      </w:r>
      <w:r w:rsidRPr="00372136">
        <w:rPr>
          <w:rFonts w:ascii="Times New Roman" w:hAnsi="Times New Roman" w:cs="Times New Roman"/>
        </w:rPr>
        <w:t xml:space="preserve"> are hard to disentangle empirically and </w:t>
      </w:r>
      <w:r>
        <w:rPr>
          <w:rFonts w:ascii="Times New Roman" w:hAnsi="Times New Roman" w:cs="Times New Roman"/>
        </w:rPr>
        <w:t xml:space="preserve">therefore </w:t>
      </w:r>
      <w:r w:rsidRPr="00372136">
        <w:rPr>
          <w:rFonts w:ascii="Times New Roman" w:hAnsi="Times New Roman" w:cs="Times New Roman"/>
        </w:rPr>
        <w:t xml:space="preserve">typically captured with the same firm characteristics (Dutordoir et al., 2014). </w:t>
      </w:r>
    </w:p>
  </w:footnote>
  <w:footnote w:id="8">
    <w:p w14:paraId="739B93B6" w14:textId="77777777" w:rsidR="00974A7D" w:rsidRPr="00B278F3" w:rsidRDefault="00974A7D" w:rsidP="00B278F3">
      <w:pPr>
        <w:pStyle w:val="FootnoteText"/>
        <w:jc w:val="both"/>
      </w:pPr>
      <w:r w:rsidRPr="000B12A9">
        <w:rPr>
          <w:rStyle w:val="FootnoteReference"/>
          <w:rFonts w:ascii="Times New Roman" w:hAnsi="Times New Roman" w:cs="Times New Roman"/>
        </w:rPr>
        <w:footnoteRef/>
      </w:r>
      <w:r w:rsidRPr="000B12A9">
        <w:rPr>
          <w:rFonts w:ascii="Times New Roman" w:hAnsi="Times New Roman" w:cs="Times New Roman"/>
        </w:rPr>
        <w:t xml:space="preserve"> </w:t>
      </w:r>
      <w:r w:rsidRPr="00B278F3">
        <w:rPr>
          <w:rFonts w:ascii="Times New Roman" w:hAnsi="Times New Roman" w:cs="Times New Roman"/>
        </w:rPr>
        <w:t>We use company credit ratings instead of bond credit ratings since bond ratings might be affected by the presence of covenants (</w:t>
      </w:r>
      <w:proofErr w:type="spellStart"/>
      <w:r w:rsidRPr="00B278F3">
        <w:rPr>
          <w:rFonts w:ascii="Times New Roman" w:hAnsi="Times New Roman" w:cs="Times New Roman"/>
        </w:rPr>
        <w:t>Reisel</w:t>
      </w:r>
      <w:proofErr w:type="spellEnd"/>
      <w:r w:rsidRPr="00B278F3">
        <w:rPr>
          <w:rFonts w:ascii="Times New Roman" w:hAnsi="Times New Roman" w:cs="Times New Roman"/>
        </w:rPr>
        <w:t>, 2014).</w:t>
      </w:r>
    </w:p>
  </w:footnote>
  <w:footnote w:id="9">
    <w:p w14:paraId="4AF9173A" w14:textId="5DFB423A" w:rsidR="00974A7D" w:rsidRPr="00B10D5C" w:rsidRDefault="00974A7D" w:rsidP="00DA6314">
      <w:pPr>
        <w:pStyle w:val="FootnoteText"/>
        <w:jc w:val="both"/>
        <w:rPr>
          <w:rFonts w:ascii="Times New Roman" w:hAnsi="Times New Roman" w:cs="Times New Roman"/>
        </w:rPr>
      </w:pPr>
      <w:r w:rsidRPr="00B10D5C">
        <w:rPr>
          <w:rStyle w:val="FootnoteReference"/>
          <w:rFonts w:ascii="Times New Roman" w:hAnsi="Times New Roman" w:cs="Times New Roman"/>
        </w:rPr>
        <w:footnoteRef/>
      </w:r>
      <w:r w:rsidRPr="00B10D5C">
        <w:rPr>
          <w:rFonts w:ascii="Times New Roman" w:hAnsi="Times New Roman" w:cs="Times New Roman"/>
        </w:rPr>
        <w:t xml:space="preserve"> Several other corporate finance studies use period dummies, e.g., </w:t>
      </w:r>
      <w:proofErr w:type="spellStart"/>
      <w:r w:rsidRPr="00B10D5C">
        <w:rPr>
          <w:rFonts w:ascii="Times New Roman" w:hAnsi="Times New Roman" w:cs="Times New Roman"/>
        </w:rPr>
        <w:t>Billett</w:t>
      </w:r>
      <w:proofErr w:type="spellEnd"/>
      <w:r w:rsidRPr="00B10D5C">
        <w:rPr>
          <w:rFonts w:ascii="Times New Roman" w:hAnsi="Times New Roman" w:cs="Times New Roman"/>
        </w:rPr>
        <w:t xml:space="preserve"> and Xu (2007), Nanda and Rhodes-</w:t>
      </w:r>
      <w:proofErr w:type="spellStart"/>
      <w:r w:rsidRPr="00B10D5C">
        <w:rPr>
          <w:rFonts w:ascii="Times New Roman" w:hAnsi="Times New Roman" w:cs="Times New Roman"/>
        </w:rPr>
        <w:t>Kropf</w:t>
      </w:r>
      <w:proofErr w:type="spellEnd"/>
      <w:r w:rsidRPr="00B10D5C">
        <w:rPr>
          <w:rFonts w:ascii="Times New Roman" w:hAnsi="Times New Roman" w:cs="Times New Roman"/>
        </w:rPr>
        <w:t xml:space="preserve"> (2013), </w:t>
      </w:r>
      <w:proofErr w:type="spellStart"/>
      <w:r w:rsidRPr="00B10D5C">
        <w:rPr>
          <w:rFonts w:ascii="Times New Roman" w:hAnsi="Times New Roman" w:cs="Times New Roman"/>
        </w:rPr>
        <w:t>Reisel</w:t>
      </w:r>
      <w:proofErr w:type="spellEnd"/>
      <w:r w:rsidRPr="00B10D5C">
        <w:rPr>
          <w:rFonts w:ascii="Times New Roman" w:hAnsi="Times New Roman" w:cs="Times New Roman"/>
        </w:rPr>
        <w:t xml:space="preserve"> (2014), and </w:t>
      </w:r>
      <w:proofErr w:type="spellStart"/>
      <w:r w:rsidRPr="003E0D9E">
        <w:rPr>
          <w:rFonts w:ascii="Times New Roman" w:hAnsi="Times New Roman" w:cs="Times New Roman"/>
          <w:lang w:val="en-US"/>
        </w:rPr>
        <w:t>Andrén</w:t>
      </w:r>
      <w:proofErr w:type="spellEnd"/>
      <w:r w:rsidRPr="003E0D9E">
        <w:rPr>
          <w:rFonts w:ascii="Times New Roman" w:hAnsi="Times New Roman" w:cs="Times New Roman"/>
          <w:lang w:val="en-US"/>
        </w:rPr>
        <w:t xml:space="preserve"> and </w:t>
      </w:r>
      <w:proofErr w:type="spellStart"/>
      <w:r w:rsidRPr="003E0D9E">
        <w:rPr>
          <w:rFonts w:ascii="Times New Roman" w:hAnsi="Times New Roman" w:cs="Times New Roman"/>
          <w:lang w:val="en-US"/>
        </w:rPr>
        <w:t>Jankensgård</w:t>
      </w:r>
      <w:proofErr w:type="spellEnd"/>
      <w:r w:rsidRPr="00B10D5C" w:rsidDel="00B10D5C">
        <w:rPr>
          <w:rFonts w:ascii="Times New Roman" w:hAnsi="Times New Roman" w:cs="Times New Roman"/>
        </w:rPr>
        <w:t xml:space="preserve"> </w:t>
      </w:r>
      <w:r w:rsidRPr="00B10D5C">
        <w:rPr>
          <w:rFonts w:ascii="Times New Roman" w:hAnsi="Times New Roman" w:cs="Times New Roman"/>
        </w:rPr>
        <w:t xml:space="preserve">(2015). Our findings remain similar when we use year instead of period dummy variables. </w:t>
      </w:r>
      <w:r w:rsidRPr="00B10D5C">
        <w:rPr>
          <w:rFonts w:ascii="Times New Roman" w:eastAsia="Times New Roman" w:hAnsi="Times New Roman" w:cs="Times New Roman"/>
        </w:rPr>
        <w:t>Results of all unreported tests can be obtained from the corresponding author.</w:t>
      </w:r>
    </w:p>
  </w:footnote>
  <w:footnote w:id="10">
    <w:p w14:paraId="50FCD905" w14:textId="3A1EE777" w:rsidR="00974A7D" w:rsidRPr="00C17797" w:rsidRDefault="00974A7D" w:rsidP="00DA6314">
      <w:pPr>
        <w:pStyle w:val="FootnoteText"/>
        <w:jc w:val="both"/>
        <w:rPr>
          <w:rFonts w:ascii="Times New Roman" w:hAnsi="Times New Roman" w:cs="Times New Roman"/>
        </w:rPr>
      </w:pPr>
      <w:r w:rsidRPr="00C17797">
        <w:rPr>
          <w:rStyle w:val="FootnoteReference"/>
          <w:rFonts w:ascii="Times New Roman" w:hAnsi="Times New Roman" w:cs="Times New Roman"/>
        </w:rPr>
        <w:footnoteRef/>
      </w:r>
      <w:r w:rsidRPr="00C17797">
        <w:rPr>
          <w:rFonts w:ascii="Times New Roman" w:hAnsi="Times New Roman" w:cs="Times New Roman"/>
        </w:rPr>
        <w:t xml:space="preserve"> </w:t>
      </w:r>
      <w:r>
        <w:rPr>
          <w:rFonts w:ascii="Times New Roman" w:hAnsi="Times New Roman" w:cs="Times New Roman"/>
        </w:rPr>
        <w:t>We treat t</w:t>
      </w:r>
      <w:r w:rsidRPr="00C17797">
        <w:rPr>
          <w:rFonts w:ascii="Times New Roman" w:hAnsi="Times New Roman" w:cs="Times New Roman"/>
        </w:rPr>
        <w:t xml:space="preserve">he </w:t>
      </w:r>
      <w:r w:rsidRPr="00B173FF">
        <w:rPr>
          <w:rFonts w:ascii="Times New Roman" w:hAnsi="Times New Roman" w:cs="Times New Roman"/>
          <w:i/>
          <w:iCs/>
        </w:rPr>
        <w:t>Traditional investor period</w:t>
      </w:r>
      <w:r w:rsidRPr="00C17797">
        <w:rPr>
          <w:rFonts w:ascii="Times New Roman" w:hAnsi="Times New Roman" w:cs="Times New Roman"/>
        </w:rPr>
        <w:t xml:space="preserve"> as the base period</w:t>
      </w:r>
      <w:r>
        <w:rPr>
          <w:rFonts w:ascii="Times New Roman" w:hAnsi="Times New Roman" w:cs="Times New Roman"/>
        </w:rPr>
        <w:t xml:space="preserve"> and omit this dummy variable from the regressions</w:t>
      </w:r>
      <w:r w:rsidRPr="00C17797">
        <w:rPr>
          <w:rFonts w:ascii="Times New Roman" w:hAnsi="Times New Roman" w:cs="Times New Roman"/>
        </w:rPr>
        <w:t>.</w:t>
      </w:r>
    </w:p>
  </w:footnote>
  <w:footnote w:id="11">
    <w:p w14:paraId="5A3A1ECA" w14:textId="1D8E0480" w:rsidR="00974A7D" w:rsidRPr="00B80CED" w:rsidRDefault="00974A7D" w:rsidP="009C0B4F">
      <w:pPr>
        <w:pStyle w:val="FootnoteText"/>
        <w:jc w:val="both"/>
        <w:rPr>
          <w:rFonts w:ascii="Times New Roman" w:hAnsi="Times New Roman" w:cs="Times New Roman"/>
        </w:rPr>
      </w:pPr>
      <w:r w:rsidRPr="00B80CED">
        <w:rPr>
          <w:rStyle w:val="FootnoteReference"/>
          <w:rFonts w:ascii="Times New Roman" w:hAnsi="Times New Roman" w:cs="Times New Roman"/>
        </w:rPr>
        <w:footnoteRef/>
      </w:r>
      <w:r w:rsidRPr="00B80CED">
        <w:rPr>
          <w:rFonts w:ascii="Times New Roman" w:hAnsi="Times New Roman" w:cs="Times New Roman"/>
        </w:rPr>
        <w:t xml:space="preserve"> </w:t>
      </w:r>
      <w:r>
        <w:rPr>
          <w:rFonts w:ascii="Times New Roman" w:eastAsia="Times New Roman" w:hAnsi="Times New Roman" w:cs="Times New Roman"/>
        </w:rPr>
        <w:t>B</w:t>
      </w:r>
      <w:r w:rsidRPr="00B80CED">
        <w:rPr>
          <w:rFonts w:ascii="Times New Roman" w:eastAsia="Times New Roman" w:hAnsi="Times New Roman" w:cs="Times New Roman"/>
        </w:rPr>
        <w:t xml:space="preserve">ond offerings from March 2020 onwards may be influenced by the effects of the COVID-19 crisis. In unreported tests, we therefore replicate all our analyses with a sample running until February 2020. This yields virtually similar results to those reported in the paper. </w:t>
      </w:r>
    </w:p>
  </w:footnote>
  <w:footnote w:id="12">
    <w:p w14:paraId="15565501" w14:textId="747C18E5" w:rsidR="00974A7D" w:rsidRDefault="00974A7D" w:rsidP="00F25B64">
      <w:pPr>
        <w:pStyle w:val="FootnoteText"/>
        <w:jc w:val="both"/>
      </w:pPr>
      <w:r w:rsidRPr="00F25B64">
        <w:rPr>
          <w:rStyle w:val="FootnoteReference"/>
          <w:rFonts w:ascii="Times New Roman" w:hAnsi="Times New Roman" w:cs="Times New Roman"/>
        </w:rPr>
        <w:footnoteRef/>
      </w:r>
      <w:r w:rsidRPr="00F25B64">
        <w:rPr>
          <w:rFonts w:ascii="Times New Roman" w:hAnsi="Times New Roman" w:cs="Times New Roman"/>
        </w:rPr>
        <w:t xml:space="preserve"> </w:t>
      </w:r>
      <w:r>
        <w:rPr>
          <w:rFonts w:ascii="Times New Roman" w:hAnsi="Times New Roman" w:cs="Times New Roman"/>
        </w:rPr>
        <w:t>We also add se</w:t>
      </w:r>
      <w:r w:rsidRPr="00F25B64">
        <w:rPr>
          <w:rFonts w:ascii="Times New Roman" w:hAnsi="Times New Roman" w:cs="Times New Roman"/>
        </w:rPr>
        <w:t>curity design features to the first-stage security choice model in this specification.</w:t>
      </w:r>
    </w:p>
  </w:footnote>
  <w:footnote w:id="13">
    <w:p w14:paraId="146B48DB" w14:textId="6472F57D" w:rsidR="00974A7D" w:rsidRPr="00597627" w:rsidRDefault="00974A7D" w:rsidP="00597627">
      <w:pPr>
        <w:pStyle w:val="FootnoteText"/>
        <w:jc w:val="both"/>
        <w:rPr>
          <w:rFonts w:ascii="Times New Roman" w:hAnsi="Times New Roman" w:cs="Times New Roman"/>
        </w:rPr>
      </w:pPr>
      <w:r w:rsidRPr="00597627">
        <w:rPr>
          <w:rStyle w:val="FootnoteReference"/>
          <w:rFonts w:ascii="Times New Roman" w:hAnsi="Times New Roman" w:cs="Times New Roman"/>
        </w:rPr>
        <w:footnoteRef/>
      </w:r>
      <w:r w:rsidRPr="00597627">
        <w:rPr>
          <w:rFonts w:ascii="Times New Roman" w:hAnsi="Times New Roman" w:cs="Times New Roman"/>
        </w:rPr>
        <w:t xml:space="preserve"> Following guidelines regarding control variables in Whited et al. (202</w:t>
      </w:r>
      <w:r>
        <w:rPr>
          <w:rFonts w:ascii="Times New Roman" w:hAnsi="Times New Roman" w:cs="Times New Roman"/>
        </w:rPr>
        <w:t>2</w:t>
      </w:r>
      <w:r w:rsidRPr="00597627">
        <w:rPr>
          <w:rFonts w:ascii="Times New Roman" w:hAnsi="Times New Roman" w:cs="Times New Roman"/>
        </w:rPr>
        <w:t xml:space="preserve">), we do not control for </w:t>
      </w:r>
      <w:r w:rsidRPr="00F25B64">
        <w:rPr>
          <w:rFonts w:ascii="Times New Roman" w:hAnsi="Times New Roman" w:cs="Times New Roman"/>
          <w:i/>
          <w:iCs/>
        </w:rPr>
        <w:t>Rule 144a</w:t>
      </w:r>
      <w:r w:rsidRPr="00597627">
        <w:rPr>
          <w:rFonts w:ascii="Times New Roman" w:hAnsi="Times New Roman" w:cs="Times New Roman"/>
        </w:rPr>
        <w:t xml:space="preserve"> and </w:t>
      </w:r>
      <w:r w:rsidRPr="0036359A">
        <w:rPr>
          <w:rFonts w:ascii="Times New Roman" w:hAnsi="Times New Roman" w:cs="Times New Roman"/>
          <w:i/>
          <w:iCs/>
        </w:rPr>
        <w:t>Shelf</w:t>
      </w:r>
      <w:r w:rsidRPr="00597627">
        <w:rPr>
          <w:rFonts w:ascii="Times New Roman" w:hAnsi="Times New Roman" w:cs="Times New Roman"/>
        </w:rPr>
        <w:t xml:space="preserve"> status in </w:t>
      </w:r>
      <w:r>
        <w:rPr>
          <w:rFonts w:ascii="Times New Roman" w:hAnsi="Times New Roman" w:cs="Times New Roman"/>
        </w:rPr>
        <w:t xml:space="preserve">the baseline </w:t>
      </w:r>
      <w:r w:rsidRPr="00597627">
        <w:rPr>
          <w:rFonts w:ascii="Times New Roman" w:hAnsi="Times New Roman" w:cs="Times New Roman"/>
        </w:rPr>
        <w:t xml:space="preserve">regression analyses. The reason is that these placement methods are likely to be determined </w:t>
      </w:r>
      <w:r>
        <w:rPr>
          <w:rFonts w:ascii="Times New Roman" w:hAnsi="Times New Roman" w:cs="Times New Roman"/>
        </w:rPr>
        <w:t xml:space="preserve">simultaneously </w:t>
      </w:r>
      <w:r w:rsidRPr="00597627">
        <w:rPr>
          <w:rFonts w:ascii="Times New Roman" w:hAnsi="Times New Roman" w:cs="Times New Roman"/>
        </w:rPr>
        <w:t xml:space="preserve">with security </w:t>
      </w:r>
      <w:r>
        <w:rPr>
          <w:rFonts w:ascii="Times New Roman" w:hAnsi="Times New Roman" w:cs="Times New Roman"/>
        </w:rPr>
        <w:t xml:space="preserve">type </w:t>
      </w:r>
      <w:r w:rsidRPr="00597627">
        <w:rPr>
          <w:rFonts w:ascii="Times New Roman" w:hAnsi="Times New Roman" w:cs="Times New Roman"/>
        </w:rPr>
        <w:t xml:space="preserve">and covenant choice. </w:t>
      </w:r>
      <w:r>
        <w:rPr>
          <w:rFonts w:ascii="Times New Roman" w:hAnsi="Times New Roman" w:cs="Times New Roman"/>
        </w:rPr>
        <w:t>T</w:t>
      </w:r>
      <w:r w:rsidRPr="00597627">
        <w:rPr>
          <w:rFonts w:ascii="Times New Roman" w:hAnsi="Times New Roman" w:cs="Times New Roman"/>
        </w:rPr>
        <w:t xml:space="preserve">heory does not predict a direct impact of these placement methods on covenant intensity. </w:t>
      </w:r>
    </w:p>
  </w:footnote>
  <w:footnote w:id="14">
    <w:p w14:paraId="568AAA7E" w14:textId="6FFFD514" w:rsidR="00974A7D" w:rsidRPr="00E2399A" w:rsidRDefault="00974A7D" w:rsidP="00711301">
      <w:pPr>
        <w:pStyle w:val="FootnoteText"/>
        <w:jc w:val="both"/>
        <w:rPr>
          <w:rFonts w:ascii="Times New Roman" w:hAnsi="Times New Roman" w:cs="Times New Roman"/>
        </w:rPr>
      </w:pPr>
      <w:r w:rsidRPr="00E2399A">
        <w:rPr>
          <w:rStyle w:val="FootnoteReference"/>
          <w:rFonts w:ascii="Times New Roman" w:hAnsi="Times New Roman" w:cs="Times New Roman"/>
        </w:rPr>
        <w:footnoteRef/>
      </w:r>
      <w:r w:rsidRPr="00E2399A">
        <w:rPr>
          <w:rFonts w:ascii="Times New Roman" w:hAnsi="Times New Roman" w:cs="Times New Roman"/>
        </w:rPr>
        <w:t xml:space="preserve"> </w:t>
      </w:r>
      <w:r w:rsidR="005D7975">
        <w:rPr>
          <w:rFonts w:ascii="Times New Roman" w:hAnsi="Times New Roman" w:cs="Times New Roman"/>
        </w:rPr>
        <w:t>W</w:t>
      </w:r>
      <w:r>
        <w:rPr>
          <w:rFonts w:ascii="Times New Roman" w:hAnsi="Times New Roman" w:cs="Times New Roman"/>
        </w:rPr>
        <w:t xml:space="preserve">e obtain similar findings if we conduct a split-sample analysis of the impact of covenant intensity measures on convertible and straight bond yields. </w:t>
      </w:r>
    </w:p>
  </w:footnote>
  <w:footnote w:id="15">
    <w:p w14:paraId="4448F874" w14:textId="38457AE8" w:rsidR="00974A7D" w:rsidRPr="00441AB2" w:rsidRDefault="00974A7D" w:rsidP="00441AB2">
      <w:pPr>
        <w:pStyle w:val="FootnoteText"/>
        <w:jc w:val="both"/>
        <w:rPr>
          <w:rFonts w:ascii="Times New Roman" w:hAnsi="Times New Roman" w:cs="Times New Roman"/>
          <w:lang w:eastAsia="zh-CN"/>
        </w:rPr>
      </w:pPr>
      <w:r w:rsidRPr="00441AB2">
        <w:rPr>
          <w:rStyle w:val="FootnoteReference"/>
          <w:rFonts w:ascii="Times New Roman" w:hAnsi="Times New Roman" w:cs="Times New Roman"/>
        </w:rPr>
        <w:footnoteRef/>
      </w:r>
      <w:r w:rsidRPr="00441AB2">
        <w:rPr>
          <w:rFonts w:ascii="Times New Roman" w:hAnsi="Times New Roman" w:cs="Times New Roman"/>
        </w:rPr>
        <w:t xml:space="preserve"> </w:t>
      </w:r>
      <w:r w:rsidRPr="00441AB2">
        <w:rPr>
          <w:rFonts w:ascii="Times New Roman" w:eastAsiaTheme="minorEastAsia" w:hAnsi="Times New Roman" w:cs="Times New Roman"/>
          <w:lang w:val="en-US"/>
        </w:rPr>
        <w:t xml:space="preserve">An exception is the negative impact of </w:t>
      </w:r>
      <w:r w:rsidRPr="00441AB2">
        <w:rPr>
          <w:rFonts w:ascii="Times New Roman" w:eastAsiaTheme="minorEastAsia" w:hAnsi="Times New Roman" w:cs="Times New Roman"/>
          <w:i/>
          <w:iCs/>
          <w:lang w:val="en-US"/>
        </w:rPr>
        <w:t>Leverage</w:t>
      </w:r>
      <w:r w:rsidRPr="00441AB2">
        <w:rPr>
          <w:rFonts w:ascii="Times New Roman" w:eastAsiaTheme="minorEastAsia" w:hAnsi="Times New Roman" w:cs="Times New Roman"/>
          <w:lang w:val="en-US"/>
        </w:rPr>
        <w:t xml:space="preserve"> on the </w:t>
      </w:r>
      <w:r w:rsidRPr="00441AB2">
        <w:rPr>
          <w:rFonts w:ascii="Times New Roman" w:eastAsiaTheme="minorEastAsia" w:hAnsi="Times New Roman" w:cs="Times New Roman"/>
          <w:i/>
          <w:iCs/>
          <w:lang w:val="en-US"/>
        </w:rPr>
        <w:t>CI index</w:t>
      </w:r>
      <w:r w:rsidRPr="00441AB2">
        <w:rPr>
          <w:rFonts w:ascii="Times New Roman" w:eastAsiaTheme="minorEastAsia" w:hAnsi="Times New Roman" w:cs="Times New Roman"/>
          <w:lang w:val="en-US"/>
        </w:rPr>
        <w:t xml:space="preserve"> for straight bonds. One </w:t>
      </w:r>
      <w:r>
        <w:rPr>
          <w:rFonts w:ascii="Times New Roman" w:eastAsiaTheme="minorEastAsia" w:hAnsi="Times New Roman" w:cs="Times New Roman"/>
          <w:lang w:val="en-US"/>
        </w:rPr>
        <w:t xml:space="preserve">possible </w:t>
      </w:r>
      <w:r w:rsidRPr="00441AB2">
        <w:rPr>
          <w:rFonts w:ascii="Times New Roman" w:eastAsiaTheme="minorEastAsia" w:hAnsi="Times New Roman" w:cs="Times New Roman"/>
          <w:lang w:val="en-US"/>
        </w:rPr>
        <w:t>explanation for this finding is that</w:t>
      </w:r>
      <w:r w:rsidR="00AF2682">
        <w:rPr>
          <w:rFonts w:ascii="Times New Roman" w:eastAsiaTheme="minorEastAsia" w:hAnsi="Times New Roman" w:cs="Times New Roman"/>
          <w:lang w:val="en-US"/>
        </w:rPr>
        <w:t>, after controlling for other debt-related financing costs proxies,</w:t>
      </w:r>
      <w:r w:rsidRPr="00441AB2">
        <w:rPr>
          <w:rFonts w:ascii="Times New Roman" w:eastAsiaTheme="minorEastAsia" w:hAnsi="Times New Roman" w:cs="Times New Roman"/>
          <w:lang w:val="en-US"/>
        </w:rPr>
        <w:t xml:space="preserve"> </w:t>
      </w:r>
      <w:r w:rsidRPr="00441AB2">
        <w:rPr>
          <w:rFonts w:ascii="Times New Roman" w:eastAsiaTheme="minorEastAsia" w:hAnsi="Times New Roman" w:cs="Times New Roman"/>
          <w:i/>
          <w:iCs/>
          <w:lang w:val="en-US"/>
        </w:rPr>
        <w:t>Leverage</w:t>
      </w:r>
      <w:r>
        <w:rPr>
          <w:rFonts w:ascii="Times New Roman" w:eastAsiaTheme="minorEastAsia" w:hAnsi="Times New Roman" w:cs="Times New Roman"/>
          <w:lang w:val="en-US"/>
        </w:rPr>
        <w:t xml:space="preserve"> </w:t>
      </w:r>
      <w:r>
        <w:rPr>
          <w:rFonts w:ascii="Times New Roman" w:eastAsiaTheme="minorEastAsia" w:hAnsi="Times New Roman" w:cs="Times New Roman"/>
          <w:lang w:eastAsia="zh-CN"/>
        </w:rPr>
        <w:t>captures</w:t>
      </w:r>
      <w:r>
        <w:rPr>
          <w:rFonts w:ascii="Times New Roman" w:eastAsiaTheme="minorEastAsia" w:hAnsi="Times New Roman" w:cs="Times New Roman" w:hint="eastAsia"/>
          <w:lang w:val="en-US" w:eastAsia="zh-CN"/>
        </w:rPr>
        <w:t xml:space="preserve"> </w:t>
      </w:r>
      <w:r>
        <w:rPr>
          <w:rFonts w:ascii="Times New Roman" w:eastAsiaTheme="minorEastAsia" w:hAnsi="Times New Roman" w:cs="Times New Roman"/>
          <w:lang w:val="en-US"/>
        </w:rPr>
        <w:t>the</w:t>
      </w:r>
      <w:r w:rsidRPr="00441AB2">
        <w:rPr>
          <w:rFonts w:ascii="Times New Roman" w:eastAsiaTheme="minorEastAsia" w:hAnsi="Times New Roman" w:cs="Times New Roman"/>
          <w:lang w:val="en-US"/>
        </w:rPr>
        <w:t xml:space="preserve"> ability </w:t>
      </w:r>
      <w:r>
        <w:rPr>
          <w:rFonts w:ascii="Times New Roman" w:eastAsiaTheme="minorEastAsia" w:hAnsi="Times New Roman" w:cs="Times New Roman"/>
          <w:lang w:val="en-US"/>
        </w:rPr>
        <w:t>of</w:t>
      </w:r>
      <w:r w:rsidRPr="00441AB2">
        <w:rPr>
          <w:rFonts w:ascii="Times New Roman" w:eastAsiaTheme="minorEastAsia" w:hAnsi="Times New Roman" w:cs="Times New Roman"/>
          <w:lang w:val="en-US"/>
        </w:rPr>
        <w:t xml:space="preserve"> a firm to service debt, therefore resulting in a </w:t>
      </w:r>
      <w:r>
        <w:rPr>
          <w:rFonts w:ascii="Times New Roman" w:eastAsiaTheme="minorEastAsia" w:hAnsi="Times New Roman" w:cs="Times New Roman"/>
          <w:lang w:val="en-US"/>
        </w:rPr>
        <w:t xml:space="preserve">negative relation with </w:t>
      </w:r>
      <w:r w:rsidRPr="00441AB2">
        <w:rPr>
          <w:rFonts w:ascii="Times New Roman" w:eastAsiaTheme="minorEastAsia" w:hAnsi="Times New Roman" w:cs="Times New Roman"/>
          <w:lang w:val="en-US"/>
        </w:rPr>
        <w:t xml:space="preserve">covenant intensity. </w:t>
      </w:r>
      <w:r w:rsidR="00AF2682">
        <w:rPr>
          <w:rFonts w:ascii="Times New Roman" w:eastAsiaTheme="minorEastAsia" w:hAnsi="Times New Roman" w:cs="Times New Roman"/>
          <w:lang w:val="en-US"/>
        </w:rPr>
        <w:t>T</w:t>
      </w:r>
      <w:r w:rsidRPr="00441AB2">
        <w:rPr>
          <w:rFonts w:ascii="Times New Roman" w:eastAsiaTheme="minorEastAsia" w:hAnsi="Times New Roman" w:cs="Times New Roman"/>
          <w:lang w:val="en-US"/>
        </w:rPr>
        <w:t xml:space="preserve">his interpretation would also be consistent with the significant negative impact of </w:t>
      </w:r>
      <w:r w:rsidRPr="00441AB2">
        <w:rPr>
          <w:rFonts w:ascii="Times New Roman" w:eastAsiaTheme="minorEastAsia" w:hAnsi="Times New Roman" w:cs="Times New Roman"/>
          <w:i/>
          <w:iCs/>
          <w:lang w:val="en-US"/>
        </w:rPr>
        <w:t>Leverage</w:t>
      </w:r>
      <w:r w:rsidRPr="00441AB2">
        <w:rPr>
          <w:rFonts w:ascii="Times New Roman" w:eastAsiaTheme="minorEastAsia" w:hAnsi="Times New Roman" w:cs="Times New Roman"/>
          <w:lang w:val="en-US"/>
        </w:rPr>
        <w:t xml:space="preserve"> in the security choice model in Table 4, column (3).</w:t>
      </w:r>
    </w:p>
  </w:footnote>
  <w:footnote w:id="16">
    <w:p w14:paraId="682E623F" w14:textId="1732B863" w:rsidR="00AF2682" w:rsidRPr="00AF2682" w:rsidRDefault="00AF2682" w:rsidP="00AF2682">
      <w:pPr>
        <w:pStyle w:val="FootnoteText"/>
        <w:jc w:val="both"/>
        <w:rPr>
          <w:rFonts w:ascii="Times New Roman" w:hAnsi="Times New Roman" w:cs="Times New Roman"/>
        </w:rPr>
      </w:pPr>
      <w:r w:rsidRPr="00AF2682">
        <w:rPr>
          <w:rStyle w:val="FootnoteReference"/>
          <w:rFonts w:ascii="Times New Roman" w:hAnsi="Times New Roman" w:cs="Times New Roman"/>
        </w:rPr>
        <w:footnoteRef/>
      </w:r>
      <w:r w:rsidRPr="00AF2682">
        <w:rPr>
          <w:rFonts w:ascii="Times New Roman" w:hAnsi="Times New Roman" w:cs="Times New Roman"/>
        </w:rPr>
        <w:t xml:space="preserve"> </w:t>
      </w:r>
      <w:r w:rsidRPr="00AF2682">
        <w:rPr>
          <w:rFonts w:ascii="Times New Roman" w:eastAsiaTheme="minorEastAsia" w:hAnsi="Times New Roman" w:cs="Times New Roman"/>
          <w:lang w:val="en-US"/>
        </w:rPr>
        <w:t>The joint impact of macroeconomic variables on covenant intensity does not differ significantly across convertibles and straight bonds.</w:t>
      </w:r>
    </w:p>
  </w:footnote>
  <w:footnote w:id="17">
    <w:p w14:paraId="3BF69F83" w14:textId="33E2ACFC" w:rsidR="00974A7D" w:rsidRPr="00441AB2" w:rsidRDefault="00974A7D" w:rsidP="00441AB2">
      <w:pPr>
        <w:pStyle w:val="FootnoteText"/>
        <w:jc w:val="both"/>
        <w:rPr>
          <w:rFonts w:ascii="Times New Roman" w:hAnsi="Times New Roman" w:cs="Times New Roman"/>
        </w:rPr>
      </w:pPr>
      <w:r w:rsidRPr="00441AB2">
        <w:rPr>
          <w:rStyle w:val="FootnoteReference"/>
          <w:rFonts w:ascii="Times New Roman" w:hAnsi="Times New Roman" w:cs="Times New Roman"/>
        </w:rPr>
        <w:footnoteRef/>
      </w:r>
      <w:r w:rsidRPr="00441AB2">
        <w:rPr>
          <w:rFonts w:ascii="Times New Roman" w:hAnsi="Times New Roman" w:cs="Times New Roman"/>
        </w:rPr>
        <w:t xml:space="preserve"> </w:t>
      </w:r>
      <w:bookmarkStart w:id="4" w:name="_Hlk122617080"/>
      <w:bookmarkStart w:id="5" w:name="_Hlk122617081"/>
      <w:r w:rsidRPr="00441AB2">
        <w:rPr>
          <w:rFonts w:ascii="Times New Roman" w:eastAsiaTheme="minorEastAsia" w:hAnsi="Times New Roman" w:cs="Times New Roman"/>
          <w:lang w:val="en-US"/>
        </w:rPr>
        <w:t>Further alleviating concerns on omitting variable bias, we</w:t>
      </w:r>
      <w:r w:rsidR="001A73E2">
        <w:rPr>
          <w:rFonts w:ascii="Times New Roman" w:eastAsiaTheme="minorEastAsia" w:hAnsi="Times New Roman" w:cs="Times New Roman"/>
          <w:lang w:val="en-US"/>
        </w:rPr>
        <w:t xml:space="preserve"> also</w:t>
      </w:r>
      <w:r w:rsidRPr="00441AB2">
        <w:rPr>
          <w:rFonts w:ascii="Times New Roman" w:eastAsiaTheme="minorEastAsia" w:hAnsi="Times New Roman" w:cs="Times New Roman"/>
          <w:lang w:val="en-US"/>
        </w:rPr>
        <w:t xml:space="preserve"> find that our </w:t>
      </w:r>
      <w:r w:rsidR="00146E4D">
        <w:rPr>
          <w:rFonts w:ascii="Times New Roman" w:eastAsiaTheme="minorEastAsia" w:hAnsi="Times New Roman" w:cs="Times New Roman"/>
          <w:lang w:val="en-US"/>
        </w:rPr>
        <w:t>full-sample main</w:t>
      </w:r>
      <w:r w:rsidRPr="00441AB2">
        <w:rPr>
          <w:rFonts w:ascii="Times New Roman" w:eastAsiaTheme="minorEastAsia" w:hAnsi="Times New Roman" w:cs="Times New Roman"/>
          <w:lang w:val="en-US"/>
        </w:rPr>
        <w:t xml:space="preserve"> results </w:t>
      </w:r>
      <w:r w:rsidR="00146E4D">
        <w:rPr>
          <w:rFonts w:ascii="Times New Roman" w:eastAsiaTheme="minorEastAsia" w:hAnsi="Times New Roman" w:cs="Times New Roman"/>
          <w:lang w:val="en-US"/>
        </w:rPr>
        <w:t xml:space="preserve">in Tables 4 and 6 </w:t>
      </w:r>
      <w:r w:rsidRPr="00441AB2">
        <w:rPr>
          <w:rFonts w:ascii="Times New Roman" w:eastAsiaTheme="minorEastAsia" w:hAnsi="Times New Roman" w:cs="Times New Roman"/>
          <w:lang w:val="en-US"/>
        </w:rPr>
        <w:t>continue to hold if we control for firm fixed effects.</w:t>
      </w:r>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351976"/>
      <w:docPartObj>
        <w:docPartGallery w:val="Page Numbers (Top of Page)"/>
        <w:docPartUnique/>
      </w:docPartObj>
    </w:sdtPr>
    <w:sdtEndPr>
      <w:rPr>
        <w:rFonts w:ascii="Times New Roman" w:hAnsi="Times New Roman" w:cs="Times New Roman"/>
        <w:noProof/>
      </w:rPr>
    </w:sdtEndPr>
    <w:sdtContent>
      <w:p w14:paraId="00C10662" w14:textId="77777777" w:rsidR="00974A7D" w:rsidRPr="009C0B4F" w:rsidRDefault="00974A7D">
        <w:pPr>
          <w:pStyle w:val="Header"/>
          <w:jc w:val="right"/>
          <w:rPr>
            <w:rFonts w:ascii="Times New Roman" w:hAnsi="Times New Roman" w:cs="Times New Roman"/>
          </w:rPr>
        </w:pPr>
        <w:r w:rsidRPr="0066267B">
          <w:rPr>
            <w:rFonts w:ascii="Times New Roman" w:hAnsi="Times New Roman" w:cs="Times New Roman"/>
          </w:rPr>
          <w:fldChar w:fldCharType="begin"/>
        </w:r>
        <w:r w:rsidRPr="0066267B">
          <w:rPr>
            <w:rFonts w:ascii="Times New Roman" w:hAnsi="Times New Roman" w:cs="Times New Roman"/>
          </w:rPr>
          <w:instrText xml:space="preserve"> PAGE  \* Arabic  \* MERGEFORMAT </w:instrText>
        </w:r>
        <w:r w:rsidRPr="0066267B">
          <w:rPr>
            <w:rFonts w:ascii="Times New Roman" w:hAnsi="Times New Roman" w:cs="Times New Roman"/>
          </w:rPr>
          <w:fldChar w:fldCharType="separate"/>
        </w:r>
        <w:r w:rsidRPr="0066267B">
          <w:rPr>
            <w:rFonts w:ascii="Times New Roman" w:hAnsi="Times New Roman" w:cs="Times New Roman"/>
            <w:noProof/>
          </w:rPr>
          <w:t>2</w:t>
        </w:r>
        <w:r w:rsidRPr="0066267B">
          <w:rPr>
            <w:rFonts w:ascii="Times New Roman" w:hAnsi="Times New Roman" w:cs="Times New Roman"/>
          </w:rPr>
          <w:fldChar w:fldCharType="end"/>
        </w:r>
      </w:p>
    </w:sdtContent>
  </w:sdt>
  <w:p w14:paraId="081EA011" w14:textId="77777777" w:rsidR="00974A7D" w:rsidRDefault="0097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28627"/>
      <w:docPartObj>
        <w:docPartGallery w:val="Page Numbers (Top of Page)"/>
        <w:docPartUnique/>
      </w:docPartObj>
    </w:sdtPr>
    <w:sdtEndPr>
      <w:rPr>
        <w:rFonts w:ascii="Times New Roman" w:hAnsi="Times New Roman" w:cs="Times New Roman"/>
        <w:noProof/>
        <w:sz w:val="20"/>
        <w:szCs w:val="20"/>
      </w:rPr>
    </w:sdtEndPr>
    <w:sdtContent>
      <w:p w14:paraId="4D2D7F98" w14:textId="77777777" w:rsidR="00974A7D" w:rsidRPr="00F74F87" w:rsidRDefault="00974A7D">
        <w:pPr>
          <w:pStyle w:val="Header"/>
          <w:jc w:val="right"/>
          <w:rPr>
            <w:rFonts w:ascii="Times New Roman" w:hAnsi="Times New Roman" w:cs="Times New Roman"/>
            <w:sz w:val="20"/>
            <w:szCs w:val="20"/>
          </w:rPr>
        </w:pPr>
        <w:r w:rsidRPr="00F74F87">
          <w:rPr>
            <w:rFonts w:ascii="Times New Roman" w:hAnsi="Times New Roman" w:cs="Times New Roman"/>
            <w:sz w:val="20"/>
            <w:szCs w:val="20"/>
          </w:rPr>
          <w:fldChar w:fldCharType="begin"/>
        </w:r>
        <w:r w:rsidRPr="00F74F87">
          <w:rPr>
            <w:rFonts w:ascii="Times New Roman" w:hAnsi="Times New Roman" w:cs="Times New Roman"/>
            <w:sz w:val="20"/>
            <w:szCs w:val="20"/>
          </w:rPr>
          <w:instrText xml:space="preserve"> PAGE  \* Arabic  \* MERGEFORMAT </w:instrText>
        </w:r>
        <w:r w:rsidRPr="00F74F87">
          <w:rPr>
            <w:rFonts w:ascii="Times New Roman" w:hAnsi="Times New Roman" w:cs="Times New Roman"/>
            <w:sz w:val="20"/>
            <w:szCs w:val="20"/>
          </w:rPr>
          <w:fldChar w:fldCharType="separate"/>
        </w:r>
        <w:r>
          <w:rPr>
            <w:rFonts w:ascii="Times New Roman" w:hAnsi="Times New Roman" w:cs="Times New Roman"/>
            <w:noProof/>
            <w:sz w:val="20"/>
            <w:szCs w:val="20"/>
          </w:rPr>
          <w:t>22</w:t>
        </w:r>
        <w:r w:rsidRPr="00F74F87">
          <w:rPr>
            <w:rFonts w:ascii="Times New Roman" w:hAnsi="Times New Roman" w:cs="Times New Roman"/>
            <w:sz w:val="20"/>
            <w:szCs w:val="20"/>
          </w:rPr>
          <w:fldChar w:fldCharType="end"/>
        </w:r>
      </w:p>
    </w:sdtContent>
  </w:sdt>
  <w:p w14:paraId="6584C9E6" w14:textId="77777777" w:rsidR="00974A7D" w:rsidRDefault="00974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D71"/>
    <w:multiLevelType w:val="hybridMultilevel"/>
    <w:tmpl w:val="DBD65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F1F67"/>
    <w:multiLevelType w:val="multilevel"/>
    <w:tmpl w:val="B25AC8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FA0DF3"/>
    <w:multiLevelType w:val="hybridMultilevel"/>
    <w:tmpl w:val="8C30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B774D"/>
    <w:multiLevelType w:val="hybridMultilevel"/>
    <w:tmpl w:val="631E05C6"/>
    <w:lvl w:ilvl="0" w:tplc="B992C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559F1"/>
    <w:multiLevelType w:val="hybridMultilevel"/>
    <w:tmpl w:val="90C8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2396C"/>
    <w:multiLevelType w:val="hybridMultilevel"/>
    <w:tmpl w:val="631E05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A753ACC"/>
    <w:multiLevelType w:val="multilevel"/>
    <w:tmpl w:val="CFA6A6C6"/>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7E006D"/>
    <w:multiLevelType w:val="hybridMultilevel"/>
    <w:tmpl w:val="8AC6772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721D70"/>
    <w:multiLevelType w:val="hybridMultilevel"/>
    <w:tmpl w:val="109A27AC"/>
    <w:lvl w:ilvl="0" w:tplc="5B9A7E6A">
      <w:start w:val="1"/>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77B109F3"/>
    <w:multiLevelType w:val="multilevel"/>
    <w:tmpl w:val="D1403D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34963084">
    <w:abstractNumId w:val="0"/>
  </w:num>
  <w:num w:numId="2" w16cid:durableId="680133399">
    <w:abstractNumId w:val="1"/>
  </w:num>
  <w:num w:numId="3" w16cid:durableId="1365519508">
    <w:abstractNumId w:val="7"/>
  </w:num>
  <w:num w:numId="4" w16cid:durableId="1377390782">
    <w:abstractNumId w:val="6"/>
  </w:num>
  <w:num w:numId="5" w16cid:durableId="522675438">
    <w:abstractNumId w:val="8"/>
  </w:num>
  <w:num w:numId="6" w16cid:durableId="272053717">
    <w:abstractNumId w:val="4"/>
  </w:num>
  <w:num w:numId="7" w16cid:durableId="674694206">
    <w:abstractNumId w:val="3"/>
  </w:num>
  <w:num w:numId="8" w16cid:durableId="1227762630">
    <w:abstractNumId w:val="5"/>
  </w:num>
  <w:num w:numId="9" w16cid:durableId="359089134">
    <w:abstractNumId w:val="2"/>
  </w:num>
  <w:num w:numId="10" w16cid:durableId="6748483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1MDQ0MbIAMk3MzZR0lIJTi4sz8/NACkxqAd2sT94sAAAA"/>
  </w:docVars>
  <w:rsids>
    <w:rsidRoot w:val="00241AF6"/>
    <w:rsid w:val="00000DDB"/>
    <w:rsid w:val="00001351"/>
    <w:rsid w:val="000014E6"/>
    <w:rsid w:val="00002288"/>
    <w:rsid w:val="000028B0"/>
    <w:rsid w:val="00002A58"/>
    <w:rsid w:val="00002AF8"/>
    <w:rsid w:val="0000430D"/>
    <w:rsid w:val="0000448D"/>
    <w:rsid w:val="00004E46"/>
    <w:rsid w:val="000053B5"/>
    <w:rsid w:val="00005A43"/>
    <w:rsid w:val="00007ED8"/>
    <w:rsid w:val="00007FD6"/>
    <w:rsid w:val="0001141C"/>
    <w:rsid w:val="00012976"/>
    <w:rsid w:val="00014AF9"/>
    <w:rsid w:val="00015090"/>
    <w:rsid w:val="000154A2"/>
    <w:rsid w:val="00015500"/>
    <w:rsid w:val="0001752B"/>
    <w:rsid w:val="000177EF"/>
    <w:rsid w:val="000202B2"/>
    <w:rsid w:val="00020512"/>
    <w:rsid w:val="00020BEF"/>
    <w:rsid w:val="00020D18"/>
    <w:rsid w:val="00020F3B"/>
    <w:rsid w:val="00021CC2"/>
    <w:rsid w:val="0002443A"/>
    <w:rsid w:val="00025283"/>
    <w:rsid w:val="00026425"/>
    <w:rsid w:val="00030304"/>
    <w:rsid w:val="00030B74"/>
    <w:rsid w:val="00030D87"/>
    <w:rsid w:val="000316F3"/>
    <w:rsid w:val="00031D26"/>
    <w:rsid w:val="00031E63"/>
    <w:rsid w:val="0003293F"/>
    <w:rsid w:val="00033631"/>
    <w:rsid w:val="00033B3A"/>
    <w:rsid w:val="0003525B"/>
    <w:rsid w:val="00035D04"/>
    <w:rsid w:val="00035D8D"/>
    <w:rsid w:val="00036A82"/>
    <w:rsid w:val="00036AF4"/>
    <w:rsid w:val="00037145"/>
    <w:rsid w:val="000371C9"/>
    <w:rsid w:val="00037901"/>
    <w:rsid w:val="00037DE7"/>
    <w:rsid w:val="0004020F"/>
    <w:rsid w:val="00040901"/>
    <w:rsid w:val="00042AF5"/>
    <w:rsid w:val="000453D6"/>
    <w:rsid w:val="0004654C"/>
    <w:rsid w:val="00047506"/>
    <w:rsid w:val="000521A2"/>
    <w:rsid w:val="000524A2"/>
    <w:rsid w:val="00053A9E"/>
    <w:rsid w:val="00053B41"/>
    <w:rsid w:val="00054D51"/>
    <w:rsid w:val="00057B9F"/>
    <w:rsid w:val="00060680"/>
    <w:rsid w:val="0006530C"/>
    <w:rsid w:val="00066BA4"/>
    <w:rsid w:val="000675DB"/>
    <w:rsid w:val="000724F0"/>
    <w:rsid w:val="000726C5"/>
    <w:rsid w:val="000744B4"/>
    <w:rsid w:val="0007472D"/>
    <w:rsid w:val="00074744"/>
    <w:rsid w:val="0007617C"/>
    <w:rsid w:val="00076A03"/>
    <w:rsid w:val="00076BFB"/>
    <w:rsid w:val="00077070"/>
    <w:rsid w:val="000771B7"/>
    <w:rsid w:val="0008012C"/>
    <w:rsid w:val="00080FAB"/>
    <w:rsid w:val="00081F7F"/>
    <w:rsid w:val="00082169"/>
    <w:rsid w:val="00082624"/>
    <w:rsid w:val="00082A1F"/>
    <w:rsid w:val="00082A50"/>
    <w:rsid w:val="0008335D"/>
    <w:rsid w:val="00085DED"/>
    <w:rsid w:val="000904CA"/>
    <w:rsid w:val="0009220C"/>
    <w:rsid w:val="000927DC"/>
    <w:rsid w:val="00092DB3"/>
    <w:rsid w:val="000931FB"/>
    <w:rsid w:val="000938D2"/>
    <w:rsid w:val="000939DC"/>
    <w:rsid w:val="00093B52"/>
    <w:rsid w:val="00093EEF"/>
    <w:rsid w:val="000943FF"/>
    <w:rsid w:val="000947A0"/>
    <w:rsid w:val="00094F52"/>
    <w:rsid w:val="0009509D"/>
    <w:rsid w:val="00095213"/>
    <w:rsid w:val="000963EE"/>
    <w:rsid w:val="00097346"/>
    <w:rsid w:val="000974E2"/>
    <w:rsid w:val="000976F1"/>
    <w:rsid w:val="000A118E"/>
    <w:rsid w:val="000A126E"/>
    <w:rsid w:val="000A1423"/>
    <w:rsid w:val="000A287F"/>
    <w:rsid w:val="000A3FC5"/>
    <w:rsid w:val="000A4BBB"/>
    <w:rsid w:val="000A4EF4"/>
    <w:rsid w:val="000A7BB3"/>
    <w:rsid w:val="000A7BFB"/>
    <w:rsid w:val="000B0FC8"/>
    <w:rsid w:val="000B1026"/>
    <w:rsid w:val="000B11D0"/>
    <w:rsid w:val="000B12A9"/>
    <w:rsid w:val="000B3228"/>
    <w:rsid w:val="000B36A9"/>
    <w:rsid w:val="000B3BA2"/>
    <w:rsid w:val="000B43C8"/>
    <w:rsid w:val="000B48BB"/>
    <w:rsid w:val="000B6421"/>
    <w:rsid w:val="000B771F"/>
    <w:rsid w:val="000B7742"/>
    <w:rsid w:val="000C0966"/>
    <w:rsid w:val="000C1236"/>
    <w:rsid w:val="000C1D1E"/>
    <w:rsid w:val="000C1F13"/>
    <w:rsid w:val="000C3F8D"/>
    <w:rsid w:val="000C45C9"/>
    <w:rsid w:val="000C49C7"/>
    <w:rsid w:val="000C58AF"/>
    <w:rsid w:val="000C5A7C"/>
    <w:rsid w:val="000C5BF9"/>
    <w:rsid w:val="000C5E3A"/>
    <w:rsid w:val="000C77AB"/>
    <w:rsid w:val="000D11FB"/>
    <w:rsid w:val="000D1EA4"/>
    <w:rsid w:val="000D3A7C"/>
    <w:rsid w:val="000D4412"/>
    <w:rsid w:val="000D4EA4"/>
    <w:rsid w:val="000D5878"/>
    <w:rsid w:val="000D638C"/>
    <w:rsid w:val="000D6611"/>
    <w:rsid w:val="000E0AFB"/>
    <w:rsid w:val="000E0E84"/>
    <w:rsid w:val="000E1CE8"/>
    <w:rsid w:val="000E21FD"/>
    <w:rsid w:val="000E2618"/>
    <w:rsid w:val="000E2E6E"/>
    <w:rsid w:val="000E4775"/>
    <w:rsid w:val="000E5E43"/>
    <w:rsid w:val="000E63E2"/>
    <w:rsid w:val="000E68A1"/>
    <w:rsid w:val="000E69AA"/>
    <w:rsid w:val="000E7D7B"/>
    <w:rsid w:val="000F00EB"/>
    <w:rsid w:val="000F0F71"/>
    <w:rsid w:val="000F0FF0"/>
    <w:rsid w:val="000F199F"/>
    <w:rsid w:val="000F1E27"/>
    <w:rsid w:val="000F2863"/>
    <w:rsid w:val="000F4A2A"/>
    <w:rsid w:val="000F5AF5"/>
    <w:rsid w:val="000F5CDE"/>
    <w:rsid w:val="000F5FA4"/>
    <w:rsid w:val="000F74D7"/>
    <w:rsid w:val="000F7958"/>
    <w:rsid w:val="00100851"/>
    <w:rsid w:val="0010107B"/>
    <w:rsid w:val="00101123"/>
    <w:rsid w:val="00102E11"/>
    <w:rsid w:val="0010426B"/>
    <w:rsid w:val="001048C7"/>
    <w:rsid w:val="00104C69"/>
    <w:rsid w:val="00104DFD"/>
    <w:rsid w:val="001050BC"/>
    <w:rsid w:val="00105D77"/>
    <w:rsid w:val="00105EE5"/>
    <w:rsid w:val="00106471"/>
    <w:rsid w:val="001069D2"/>
    <w:rsid w:val="00107434"/>
    <w:rsid w:val="001076B6"/>
    <w:rsid w:val="00107CBD"/>
    <w:rsid w:val="00107F87"/>
    <w:rsid w:val="00110449"/>
    <w:rsid w:val="00110B44"/>
    <w:rsid w:val="00111A92"/>
    <w:rsid w:val="00111B6B"/>
    <w:rsid w:val="00111C0D"/>
    <w:rsid w:val="0011249B"/>
    <w:rsid w:val="00112E95"/>
    <w:rsid w:val="001137F1"/>
    <w:rsid w:val="0011429C"/>
    <w:rsid w:val="00114764"/>
    <w:rsid w:val="00117BE4"/>
    <w:rsid w:val="00117D0D"/>
    <w:rsid w:val="00120323"/>
    <w:rsid w:val="0012317A"/>
    <w:rsid w:val="001257A1"/>
    <w:rsid w:val="00125F03"/>
    <w:rsid w:val="001261DF"/>
    <w:rsid w:val="0012620F"/>
    <w:rsid w:val="00126A8D"/>
    <w:rsid w:val="00126E63"/>
    <w:rsid w:val="001279CD"/>
    <w:rsid w:val="00130D0D"/>
    <w:rsid w:val="00131197"/>
    <w:rsid w:val="00131C63"/>
    <w:rsid w:val="0013216E"/>
    <w:rsid w:val="00132AA6"/>
    <w:rsid w:val="00132DB7"/>
    <w:rsid w:val="0013490A"/>
    <w:rsid w:val="00134DEC"/>
    <w:rsid w:val="00136025"/>
    <w:rsid w:val="001369E9"/>
    <w:rsid w:val="00136C23"/>
    <w:rsid w:val="00136DA7"/>
    <w:rsid w:val="0014059B"/>
    <w:rsid w:val="00140867"/>
    <w:rsid w:val="00140AEA"/>
    <w:rsid w:val="00141267"/>
    <w:rsid w:val="00141E71"/>
    <w:rsid w:val="00142557"/>
    <w:rsid w:val="0014330E"/>
    <w:rsid w:val="00143674"/>
    <w:rsid w:val="0014390F"/>
    <w:rsid w:val="00143940"/>
    <w:rsid w:val="00143EC0"/>
    <w:rsid w:val="001446B9"/>
    <w:rsid w:val="0014485F"/>
    <w:rsid w:val="00144FED"/>
    <w:rsid w:val="0014644A"/>
    <w:rsid w:val="0014654E"/>
    <w:rsid w:val="00146E4D"/>
    <w:rsid w:val="00147B3D"/>
    <w:rsid w:val="00147EDA"/>
    <w:rsid w:val="00150A2F"/>
    <w:rsid w:val="00150B1D"/>
    <w:rsid w:val="00151932"/>
    <w:rsid w:val="00151EDC"/>
    <w:rsid w:val="00152469"/>
    <w:rsid w:val="001549C6"/>
    <w:rsid w:val="00155AF1"/>
    <w:rsid w:val="00157274"/>
    <w:rsid w:val="00157479"/>
    <w:rsid w:val="001577EE"/>
    <w:rsid w:val="00157C10"/>
    <w:rsid w:val="00160136"/>
    <w:rsid w:val="00163574"/>
    <w:rsid w:val="001643D3"/>
    <w:rsid w:val="001665C0"/>
    <w:rsid w:val="00166D86"/>
    <w:rsid w:val="00166E6D"/>
    <w:rsid w:val="00167D8B"/>
    <w:rsid w:val="00170694"/>
    <w:rsid w:val="001711E7"/>
    <w:rsid w:val="001719E9"/>
    <w:rsid w:val="001729DE"/>
    <w:rsid w:val="0017302A"/>
    <w:rsid w:val="0017579C"/>
    <w:rsid w:val="00177497"/>
    <w:rsid w:val="0017751B"/>
    <w:rsid w:val="00177B32"/>
    <w:rsid w:val="00177ED4"/>
    <w:rsid w:val="0018078F"/>
    <w:rsid w:val="001810C1"/>
    <w:rsid w:val="001810C2"/>
    <w:rsid w:val="001821B6"/>
    <w:rsid w:val="00184BA6"/>
    <w:rsid w:val="001858E4"/>
    <w:rsid w:val="00185FC3"/>
    <w:rsid w:val="00187A9E"/>
    <w:rsid w:val="0019162D"/>
    <w:rsid w:val="0019193F"/>
    <w:rsid w:val="00191A18"/>
    <w:rsid w:val="00191F97"/>
    <w:rsid w:val="001936C4"/>
    <w:rsid w:val="00194393"/>
    <w:rsid w:val="00194508"/>
    <w:rsid w:val="001958FD"/>
    <w:rsid w:val="00195913"/>
    <w:rsid w:val="00195FBE"/>
    <w:rsid w:val="00196CA9"/>
    <w:rsid w:val="001A0378"/>
    <w:rsid w:val="001A06C4"/>
    <w:rsid w:val="001A0E6B"/>
    <w:rsid w:val="001A0FB2"/>
    <w:rsid w:val="001A1B45"/>
    <w:rsid w:val="001A2AEF"/>
    <w:rsid w:val="001A2B05"/>
    <w:rsid w:val="001A339E"/>
    <w:rsid w:val="001A33C4"/>
    <w:rsid w:val="001A3B73"/>
    <w:rsid w:val="001A4DFD"/>
    <w:rsid w:val="001A6172"/>
    <w:rsid w:val="001A6C32"/>
    <w:rsid w:val="001A73B2"/>
    <w:rsid w:val="001A73E2"/>
    <w:rsid w:val="001B1674"/>
    <w:rsid w:val="001B1869"/>
    <w:rsid w:val="001B2E94"/>
    <w:rsid w:val="001B3472"/>
    <w:rsid w:val="001B49F5"/>
    <w:rsid w:val="001B4C5A"/>
    <w:rsid w:val="001B58F2"/>
    <w:rsid w:val="001B6AD3"/>
    <w:rsid w:val="001C1334"/>
    <w:rsid w:val="001C2DCD"/>
    <w:rsid w:val="001C3134"/>
    <w:rsid w:val="001C422B"/>
    <w:rsid w:val="001C44D9"/>
    <w:rsid w:val="001C486C"/>
    <w:rsid w:val="001C5256"/>
    <w:rsid w:val="001C53CD"/>
    <w:rsid w:val="001C5ED7"/>
    <w:rsid w:val="001C6EBA"/>
    <w:rsid w:val="001C7A89"/>
    <w:rsid w:val="001C7C40"/>
    <w:rsid w:val="001C7D91"/>
    <w:rsid w:val="001D0542"/>
    <w:rsid w:val="001D0A22"/>
    <w:rsid w:val="001D1B9B"/>
    <w:rsid w:val="001D1C16"/>
    <w:rsid w:val="001D27C2"/>
    <w:rsid w:val="001D2D3B"/>
    <w:rsid w:val="001D3485"/>
    <w:rsid w:val="001D3F70"/>
    <w:rsid w:val="001D426A"/>
    <w:rsid w:val="001D436D"/>
    <w:rsid w:val="001D4539"/>
    <w:rsid w:val="001D4EBF"/>
    <w:rsid w:val="001D52D2"/>
    <w:rsid w:val="001D5C12"/>
    <w:rsid w:val="001E0412"/>
    <w:rsid w:val="001E1388"/>
    <w:rsid w:val="001E3DDF"/>
    <w:rsid w:val="001E3F38"/>
    <w:rsid w:val="001E4B7E"/>
    <w:rsid w:val="001E4B9D"/>
    <w:rsid w:val="001E5EDE"/>
    <w:rsid w:val="001E66C9"/>
    <w:rsid w:val="001E6937"/>
    <w:rsid w:val="001E7A9B"/>
    <w:rsid w:val="001F0A0D"/>
    <w:rsid w:val="001F0D50"/>
    <w:rsid w:val="001F0EC4"/>
    <w:rsid w:val="001F11A9"/>
    <w:rsid w:val="001F1427"/>
    <w:rsid w:val="001F196D"/>
    <w:rsid w:val="001F2FA6"/>
    <w:rsid w:val="001F3118"/>
    <w:rsid w:val="001F3C98"/>
    <w:rsid w:val="002006CA"/>
    <w:rsid w:val="002007DA"/>
    <w:rsid w:val="0020143F"/>
    <w:rsid w:val="00202B71"/>
    <w:rsid w:val="00203B40"/>
    <w:rsid w:val="0020499F"/>
    <w:rsid w:val="00204E0E"/>
    <w:rsid w:val="00204E34"/>
    <w:rsid w:val="00206F22"/>
    <w:rsid w:val="002078E1"/>
    <w:rsid w:val="00207F3F"/>
    <w:rsid w:val="0021043E"/>
    <w:rsid w:val="002105C3"/>
    <w:rsid w:val="002111B9"/>
    <w:rsid w:val="00211456"/>
    <w:rsid w:val="00211718"/>
    <w:rsid w:val="002118F2"/>
    <w:rsid w:val="00211A83"/>
    <w:rsid w:val="0021227D"/>
    <w:rsid w:val="00212377"/>
    <w:rsid w:val="00212B76"/>
    <w:rsid w:val="00213020"/>
    <w:rsid w:val="0021328B"/>
    <w:rsid w:val="002133D0"/>
    <w:rsid w:val="0021476B"/>
    <w:rsid w:val="00215CA0"/>
    <w:rsid w:val="00220687"/>
    <w:rsid w:val="00220896"/>
    <w:rsid w:val="002213C6"/>
    <w:rsid w:val="002240BA"/>
    <w:rsid w:val="00225C3E"/>
    <w:rsid w:val="00225EF1"/>
    <w:rsid w:val="00230668"/>
    <w:rsid w:val="002323E9"/>
    <w:rsid w:val="00232D7C"/>
    <w:rsid w:val="00233A13"/>
    <w:rsid w:val="002345C1"/>
    <w:rsid w:val="0023461F"/>
    <w:rsid w:val="00234687"/>
    <w:rsid w:val="00235130"/>
    <w:rsid w:val="00235221"/>
    <w:rsid w:val="00235E1E"/>
    <w:rsid w:val="002368AC"/>
    <w:rsid w:val="00236DDC"/>
    <w:rsid w:val="00236FAD"/>
    <w:rsid w:val="00241AF6"/>
    <w:rsid w:val="002425FB"/>
    <w:rsid w:val="002428E7"/>
    <w:rsid w:val="00243510"/>
    <w:rsid w:val="002435C3"/>
    <w:rsid w:val="00244E3E"/>
    <w:rsid w:val="002451F9"/>
    <w:rsid w:val="00245688"/>
    <w:rsid w:val="00245ACB"/>
    <w:rsid w:val="002464A8"/>
    <w:rsid w:val="00246BA5"/>
    <w:rsid w:val="00246E6A"/>
    <w:rsid w:val="002501A7"/>
    <w:rsid w:val="002509A4"/>
    <w:rsid w:val="00250A6E"/>
    <w:rsid w:val="002518C1"/>
    <w:rsid w:val="002523B5"/>
    <w:rsid w:val="0025293A"/>
    <w:rsid w:val="00253C9E"/>
    <w:rsid w:val="00254EDA"/>
    <w:rsid w:val="002551ED"/>
    <w:rsid w:val="002564F1"/>
    <w:rsid w:val="00257AFF"/>
    <w:rsid w:val="00257C7E"/>
    <w:rsid w:val="00257D38"/>
    <w:rsid w:val="00260488"/>
    <w:rsid w:val="00262C7B"/>
    <w:rsid w:val="002632EE"/>
    <w:rsid w:val="00264015"/>
    <w:rsid w:val="002646E1"/>
    <w:rsid w:val="00264C72"/>
    <w:rsid w:val="00265766"/>
    <w:rsid w:val="002660B5"/>
    <w:rsid w:val="00266A23"/>
    <w:rsid w:val="00266E92"/>
    <w:rsid w:val="00270C1E"/>
    <w:rsid w:val="00270CAE"/>
    <w:rsid w:val="00271258"/>
    <w:rsid w:val="002724F0"/>
    <w:rsid w:val="00273A59"/>
    <w:rsid w:val="00276363"/>
    <w:rsid w:val="0027668D"/>
    <w:rsid w:val="00280056"/>
    <w:rsid w:val="00280EDD"/>
    <w:rsid w:val="00282161"/>
    <w:rsid w:val="002828C5"/>
    <w:rsid w:val="0028295B"/>
    <w:rsid w:val="00285067"/>
    <w:rsid w:val="00291927"/>
    <w:rsid w:val="00291B3E"/>
    <w:rsid w:val="002935E9"/>
    <w:rsid w:val="00293AFE"/>
    <w:rsid w:val="002946BE"/>
    <w:rsid w:val="0029484A"/>
    <w:rsid w:val="00294950"/>
    <w:rsid w:val="00295D11"/>
    <w:rsid w:val="0029670D"/>
    <w:rsid w:val="00297449"/>
    <w:rsid w:val="00297F20"/>
    <w:rsid w:val="002A0FED"/>
    <w:rsid w:val="002A1A76"/>
    <w:rsid w:val="002A3073"/>
    <w:rsid w:val="002A55C2"/>
    <w:rsid w:val="002A5792"/>
    <w:rsid w:val="002A78C3"/>
    <w:rsid w:val="002B0564"/>
    <w:rsid w:val="002B0909"/>
    <w:rsid w:val="002B0DEA"/>
    <w:rsid w:val="002B0EC6"/>
    <w:rsid w:val="002B2613"/>
    <w:rsid w:val="002B2AAB"/>
    <w:rsid w:val="002B342F"/>
    <w:rsid w:val="002B3C35"/>
    <w:rsid w:val="002B3E4D"/>
    <w:rsid w:val="002B3ED7"/>
    <w:rsid w:val="002B42D0"/>
    <w:rsid w:val="002B45AC"/>
    <w:rsid w:val="002B45C3"/>
    <w:rsid w:val="002B4CED"/>
    <w:rsid w:val="002B55EE"/>
    <w:rsid w:val="002C0616"/>
    <w:rsid w:val="002C13B8"/>
    <w:rsid w:val="002C2DF5"/>
    <w:rsid w:val="002C66A0"/>
    <w:rsid w:val="002C76A1"/>
    <w:rsid w:val="002C7B0E"/>
    <w:rsid w:val="002D1FC5"/>
    <w:rsid w:val="002D297D"/>
    <w:rsid w:val="002D5E01"/>
    <w:rsid w:val="002D6073"/>
    <w:rsid w:val="002D645D"/>
    <w:rsid w:val="002D6E04"/>
    <w:rsid w:val="002D71CB"/>
    <w:rsid w:val="002E07B6"/>
    <w:rsid w:val="002E185B"/>
    <w:rsid w:val="002E1C6F"/>
    <w:rsid w:val="002E39E2"/>
    <w:rsid w:val="002E3A8A"/>
    <w:rsid w:val="002E6316"/>
    <w:rsid w:val="002E6E8F"/>
    <w:rsid w:val="002F025A"/>
    <w:rsid w:val="002F0D3E"/>
    <w:rsid w:val="002F1225"/>
    <w:rsid w:val="002F22C6"/>
    <w:rsid w:val="002F2EFC"/>
    <w:rsid w:val="002F3D27"/>
    <w:rsid w:val="002F5522"/>
    <w:rsid w:val="002F628F"/>
    <w:rsid w:val="00300E09"/>
    <w:rsid w:val="003013D2"/>
    <w:rsid w:val="00301D07"/>
    <w:rsid w:val="00301F44"/>
    <w:rsid w:val="00301FD9"/>
    <w:rsid w:val="00303FE6"/>
    <w:rsid w:val="00305268"/>
    <w:rsid w:val="00305941"/>
    <w:rsid w:val="00305A50"/>
    <w:rsid w:val="00307087"/>
    <w:rsid w:val="00307340"/>
    <w:rsid w:val="003101A0"/>
    <w:rsid w:val="00310C31"/>
    <w:rsid w:val="003111D8"/>
    <w:rsid w:val="00311822"/>
    <w:rsid w:val="003118CF"/>
    <w:rsid w:val="00314BAC"/>
    <w:rsid w:val="00314EFC"/>
    <w:rsid w:val="00315FD4"/>
    <w:rsid w:val="0031625C"/>
    <w:rsid w:val="0031764C"/>
    <w:rsid w:val="00317A62"/>
    <w:rsid w:val="00320280"/>
    <w:rsid w:val="00320362"/>
    <w:rsid w:val="00320D69"/>
    <w:rsid w:val="003220F3"/>
    <w:rsid w:val="00322156"/>
    <w:rsid w:val="00323982"/>
    <w:rsid w:val="0032421D"/>
    <w:rsid w:val="003244B6"/>
    <w:rsid w:val="00325008"/>
    <w:rsid w:val="00326380"/>
    <w:rsid w:val="00327522"/>
    <w:rsid w:val="00330D3D"/>
    <w:rsid w:val="00330E99"/>
    <w:rsid w:val="00331150"/>
    <w:rsid w:val="003328D0"/>
    <w:rsid w:val="00334021"/>
    <w:rsid w:val="00334B17"/>
    <w:rsid w:val="003353C6"/>
    <w:rsid w:val="00335942"/>
    <w:rsid w:val="0033595E"/>
    <w:rsid w:val="003410F1"/>
    <w:rsid w:val="003424D1"/>
    <w:rsid w:val="003437A6"/>
    <w:rsid w:val="00343D66"/>
    <w:rsid w:val="0034403A"/>
    <w:rsid w:val="00344486"/>
    <w:rsid w:val="003449AC"/>
    <w:rsid w:val="00345130"/>
    <w:rsid w:val="00346EC9"/>
    <w:rsid w:val="00351E85"/>
    <w:rsid w:val="003568AB"/>
    <w:rsid w:val="00356D38"/>
    <w:rsid w:val="00356D5C"/>
    <w:rsid w:val="00357E2F"/>
    <w:rsid w:val="0036196B"/>
    <w:rsid w:val="00362510"/>
    <w:rsid w:val="00362B81"/>
    <w:rsid w:val="0036359A"/>
    <w:rsid w:val="003644A4"/>
    <w:rsid w:val="003652CF"/>
    <w:rsid w:val="0036584A"/>
    <w:rsid w:val="0036714E"/>
    <w:rsid w:val="003703E6"/>
    <w:rsid w:val="00370F2E"/>
    <w:rsid w:val="0037111F"/>
    <w:rsid w:val="00371215"/>
    <w:rsid w:val="0037169E"/>
    <w:rsid w:val="00372136"/>
    <w:rsid w:val="003736E2"/>
    <w:rsid w:val="003736FD"/>
    <w:rsid w:val="003744BA"/>
    <w:rsid w:val="0037459F"/>
    <w:rsid w:val="00380B91"/>
    <w:rsid w:val="003817C0"/>
    <w:rsid w:val="0038297D"/>
    <w:rsid w:val="00384CA0"/>
    <w:rsid w:val="00384DFE"/>
    <w:rsid w:val="00385456"/>
    <w:rsid w:val="00385513"/>
    <w:rsid w:val="0038571C"/>
    <w:rsid w:val="00385DCE"/>
    <w:rsid w:val="00387010"/>
    <w:rsid w:val="00391F5A"/>
    <w:rsid w:val="003921E9"/>
    <w:rsid w:val="00393B16"/>
    <w:rsid w:val="00396A68"/>
    <w:rsid w:val="00397B79"/>
    <w:rsid w:val="003A0C93"/>
    <w:rsid w:val="003A1034"/>
    <w:rsid w:val="003A11B3"/>
    <w:rsid w:val="003A1D2F"/>
    <w:rsid w:val="003A251F"/>
    <w:rsid w:val="003A2DA9"/>
    <w:rsid w:val="003A2E07"/>
    <w:rsid w:val="003A3685"/>
    <w:rsid w:val="003A450C"/>
    <w:rsid w:val="003A4870"/>
    <w:rsid w:val="003A4BEE"/>
    <w:rsid w:val="003A4CC6"/>
    <w:rsid w:val="003A4FA9"/>
    <w:rsid w:val="003A5599"/>
    <w:rsid w:val="003A7582"/>
    <w:rsid w:val="003A770F"/>
    <w:rsid w:val="003A7E37"/>
    <w:rsid w:val="003B0690"/>
    <w:rsid w:val="003B0BA0"/>
    <w:rsid w:val="003B5A74"/>
    <w:rsid w:val="003B5A8E"/>
    <w:rsid w:val="003B61F4"/>
    <w:rsid w:val="003B6C73"/>
    <w:rsid w:val="003C0F0A"/>
    <w:rsid w:val="003C1477"/>
    <w:rsid w:val="003C2EE7"/>
    <w:rsid w:val="003C3968"/>
    <w:rsid w:val="003C4006"/>
    <w:rsid w:val="003C463E"/>
    <w:rsid w:val="003C494A"/>
    <w:rsid w:val="003D177E"/>
    <w:rsid w:val="003D289D"/>
    <w:rsid w:val="003D43C8"/>
    <w:rsid w:val="003D51C8"/>
    <w:rsid w:val="003D5738"/>
    <w:rsid w:val="003D58D8"/>
    <w:rsid w:val="003D5F5C"/>
    <w:rsid w:val="003D60EC"/>
    <w:rsid w:val="003D72C7"/>
    <w:rsid w:val="003D7413"/>
    <w:rsid w:val="003D7B32"/>
    <w:rsid w:val="003E0885"/>
    <w:rsid w:val="003E0985"/>
    <w:rsid w:val="003E0D9E"/>
    <w:rsid w:val="003E2680"/>
    <w:rsid w:val="003E2927"/>
    <w:rsid w:val="003E3765"/>
    <w:rsid w:val="003E3F41"/>
    <w:rsid w:val="003E4D4E"/>
    <w:rsid w:val="003E4E97"/>
    <w:rsid w:val="003E5F45"/>
    <w:rsid w:val="003E6AF3"/>
    <w:rsid w:val="003E7C35"/>
    <w:rsid w:val="003F1E5B"/>
    <w:rsid w:val="003F3005"/>
    <w:rsid w:val="003F3DC2"/>
    <w:rsid w:val="003F3FFD"/>
    <w:rsid w:val="003F404E"/>
    <w:rsid w:val="003F42A6"/>
    <w:rsid w:val="003F445B"/>
    <w:rsid w:val="003F4625"/>
    <w:rsid w:val="003F4F48"/>
    <w:rsid w:val="003F588F"/>
    <w:rsid w:val="003F6F2F"/>
    <w:rsid w:val="00400283"/>
    <w:rsid w:val="00400A9D"/>
    <w:rsid w:val="00400BAD"/>
    <w:rsid w:val="00401333"/>
    <w:rsid w:val="00402FD0"/>
    <w:rsid w:val="0040475B"/>
    <w:rsid w:val="0040499B"/>
    <w:rsid w:val="00404F2D"/>
    <w:rsid w:val="0040599B"/>
    <w:rsid w:val="00406360"/>
    <w:rsid w:val="00410089"/>
    <w:rsid w:val="004101D5"/>
    <w:rsid w:val="0041021F"/>
    <w:rsid w:val="004107AE"/>
    <w:rsid w:val="0041083B"/>
    <w:rsid w:val="00411EC2"/>
    <w:rsid w:val="004125DB"/>
    <w:rsid w:val="00412FA1"/>
    <w:rsid w:val="00413892"/>
    <w:rsid w:val="0041456A"/>
    <w:rsid w:val="004149B3"/>
    <w:rsid w:val="00414D9C"/>
    <w:rsid w:val="00414E35"/>
    <w:rsid w:val="00416626"/>
    <w:rsid w:val="004177B5"/>
    <w:rsid w:val="0041784F"/>
    <w:rsid w:val="00417AD8"/>
    <w:rsid w:val="004204B7"/>
    <w:rsid w:val="00421503"/>
    <w:rsid w:val="00422268"/>
    <w:rsid w:val="00422B5E"/>
    <w:rsid w:val="00422DAA"/>
    <w:rsid w:val="00424E71"/>
    <w:rsid w:val="00425301"/>
    <w:rsid w:val="004261A1"/>
    <w:rsid w:val="00426E6A"/>
    <w:rsid w:val="00427D5B"/>
    <w:rsid w:val="00431207"/>
    <w:rsid w:val="00431FD1"/>
    <w:rsid w:val="00432374"/>
    <w:rsid w:val="00432C44"/>
    <w:rsid w:val="00432D49"/>
    <w:rsid w:val="00433524"/>
    <w:rsid w:val="004339F3"/>
    <w:rsid w:val="004350F1"/>
    <w:rsid w:val="004357A2"/>
    <w:rsid w:val="00437772"/>
    <w:rsid w:val="004407DC"/>
    <w:rsid w:val="00441779"/>
    <w:rsid w:val="00441AB2"/>
    <w:rsid w:val="004435A0"/>
    <w:rsid w:val="00443EC4"/>
    <w:rsid w:val="00446665"/>
    <w:rsid w:val="0044716A"/>
    <w:rsid w:val="00450303"/>
    <w:rsid w:val="00454366"/>
    <w:rsid w:val="004553E5"/>
    <w:rsid w:val="004573EA"/>
    <w:rsid w:val="0045788D"/>
    <w:rsid w:val="00460ABB"/>
    <w:rsid w:val="00461105"/>
    <w:rsid w:val="004613CC"/>
    <w:rsid w:val="00463AF6"/>
    <w:rsid w:val="0046432A"/>
    <w:rsid w:val="00464F97"/>
    <w:rsid w:val="00464FD1"/>
    <w:rsid w:val="00465C7E"/>
    <w:rsid w:val="00470D46"/>
    <w:rsid w:val="00470E16"/>
    <w:rsid w:val="0047114D"/>
    <w:rsid w:val="0047304F"/>
    <w:rsid w:val="004742DA"/>
    <w:rsid w:val="00474F2B"/>
    <w:rsid w:val="00475826"/>
    <w:rsid w:val="004759B2"/>
    <w:rsid w:val="00477737"/>
    <w:rsid w:val="004801DB"/>
    <w:rsid w:val="00480EAF"/>
    <w:rsid w:val="0048207C"/>
    <w:rsid w:val="00483620"/>
    <w:rsid w:val="0048516E"/>
    <w:rsid w:val="00485877"/>
    <w:rsid w:val="00486449"/>
    <w:rsid w:val="00486A91"/>
    <w:rsid w:val="0049063F"/>
    <w:rsid w:val="004908DD"/>
    <w:rsid w:val="0049188F"/>
    <w:rsid w:val="004923DC"/>
    <w:rsid w:val="00493892"/>
    <w:rsid w:val="00493B28"/>
    <w:rsid w:val="00493B44"/>
    <w:rsid w:val="00493F00"/>
    <w:rsid w:val="00494077"/>
    <w:rsid w:val="00494085"/>
    <w:rsid w:val="004941AF"/>
    <w:rsid w:val="0049461F"/>
    <w:rsid w:val="00494642"/>
    <w:rsid w:val="00494937"/>
    <w:rsid w:val="00494B4A"/>
    <w:rsid w:val="00495BCE"/>
    <w:rsid w:val="00496004"/>
    <w:rsid w:val="0049621F"/>
    <w:rsid w:val="00496E03"/>
    <w:rsid w:val="00497190"/>
    <w:rsid w:val="0049747B"/>
    <w:rsid w:val="004A0E86"/>
    <w:rsid w:val="004A25AE"/>
    <w:rsid w:val="004A2D6B"/>
    <w:rsid w:val="004A3F04"/>
    <w:rsid w:val="004A4460"/>
    <w:rsid w:val="004A4805"/>
    <w:rsid w:val="004A4A31"/>
    <w:rsid w:val="004A53C8"/>
    <w:rsid w:val="004A7254"/>
    <w:rsid w:val="004A72D8"/>
    <w:rsid w:val="004A7CEE"/>
    <w:rsid w:val="004B1462"/>
    <w:rsid w:val="004B1961"/>
    <w:rsid w:val="004B3AA7"/>
    <w:rsid w:val="004B45C5"/>
    <w:rsid w:val="004B5139"/>
    <w:rsid w:val="004B5A14"/>
    <w:rsid w:val="004B60E7"/>
    <w:rsid w:val="004B70F8"/>
    <w:rsid w:val="004B7856"/>
    <w:rsid w:val="004B7C15"/>
    <w:rsid w:val="004C02AD"/>
    <w:rsid w:val="004C0D04"/>
    <w:rsid w:val="004C1920"/>
    <w:rsid w:val="004C21DC"/>
    <w:rsid w:val="004C24AA"/>
    <w:rsid w:val="004C26C3"/>
    <w:rsid w:val="004C29D1"/>
    <w:rsid w:val="004C2A09"/>
    <w:rsid w:val="004C3B30"/>
    <w:rsid w:val="004C3C0B"/>
    <w:rsid w:val="004C3F19"/>
    <w:rsid w:val="004C4FC5"/>
    <w:rsid w:val="004C553F"/>
    <w:rsid w:val="004C60D6"/>
    <w:rsid w:val="004C6811"/>
    <w:rsid w:val="004C7C56"/>
    <w:rsid w:val="004D074C"/>
    <w:rsid w:val="004D0A54"/>
    <w:rsid w:val="004D0E2D"/>
    <w:rsid w:val="004D10F8"/>
    <w:rsid w:val="004D178C"/>
    <w:rsid w:val="004D18DE"/>
    <w:rsid w:val="004D22E8"/>
    <w:rsid w:val="004D31CA"/>
    <w:rsid w:val="004D37FB"/>
    <w:rsid w:val="004D5521"/>
    <w:rsid w:val="004D64D4"/>
    <w:rsid w:val="004D6F68"/>
    <w:rsid w:val="004D75A5"/>
    <w:rsid w:val="004E0175"/>
    <w:rsid w:val="004E025F"/>
    <w:rsid w:val="004E0E1E"/>
    <w:rsid w:val="004E13E1"/>
    <w:rsid w:val="004E1584"/>
    <w:rsid w:val="004E26F3"/>
    <w:rsid w:val="004E3098"/>
    <w:rsid w:val="004E3910"/>
    <w:rsid w:val="004E3A92"/>
    <w:rsid w:val="004E475B"/>
    <w:rsid w:val="004E47D9"/>
    <w:rsid w:val="004E4DA6"/>
    <w:rsid w:val="004E4F99"/>
    <w:rsid w:val="004E5ACF"/>
    <w:rsid w:val="004E6092"/>
    <w:rsid w:val="004E6A22"/>
    <w:rsid w:val="004E6B48"/>
    <w:rsid w:val="004E7BB6"/>
    <w:rsid w:val="004F0856"/>
    <w:rsid w:val="004F0945"/>
    <w:rsid w:val="004F0967"/>
    <w:rsid w:val="004F15C1"/>
    <w:rsid w:val="004F2B7A"/>
    <w:rsid w:val="004F2E0B"/>
    <w:rsid w:val="004F3509"/>
    <w:rsid w:val="004F3CFB"/>
    <w:rsid w:val="004F630C"/>
    <w:rsid w:val="004F6782"/>
    <w:rsid w:val="004F6B7F"/>
    <w:rsid w:val="004F7ECE"/>
    <w:rsid w:val="005002F8"/>
    <w:rsid w:val="00500DB1"/>
    <w:rsid w:val="00501C7F"/>
    <w:rsid w:val="005020A9"/>
    <w:rsid w:val="00503451"/>
    <w:rsid w:val="005040E8"/>
    <w:rsid w:val="00504365"/>
    <w:rsid w:val="00505132"/>
    <w:rsid w:val="005073BF"/>
    <w:rsid w:val="005074CB"/>
    <w:rsid w:val="0050754C"/>
    <w:rsid w:val="005076BE"/>
    <w:rsid w:val="00507DC8"/>
    <w:rsid w:val="00510444"/>
    <w:rsid w:val="00510638"/>
    <w:rsid w:val="00510D34"/>
    <w:rsid w:val="00511714"/>
    <w:rsid w:val="00513544"/>
    <w:rsid w:val="005142C1"/>
    <w:rsid w:val="005147D2"/>
    <w:rsid w:val="005148DC"/>
    <w:rsid w:val="00515547"/>
    <w:rsid w:val="00515AE6"/>
    <w:rsid w:val="00515C58"/>
    <w:rsid w:val="00515CE5"/>
    <w:rsid w:val="0051740D"/>
    <w:rsid w:val="00517637"/>
    <w:rsid w:val="0051789F"/>
    <w:rsid w:val="00517A1A"/>
    <w:rsid w:val="00520574"/>
    <w:rsid w:val="005215AB"/>
    <w:rsid w:val="00522942"/>
    <w:rsid w:val="00522B74"/>
    <w:rsid w:val="00523008"/>
    <w:rsid w:val="005231BF"/>
    <w:rsid w:val="00523FFE"/>
    <w:rsid w:val="0052492F"/>
    <w:rsid w:val="005249D9"/>
    <w:rsid w:val="0052510E"/>
    <w:rsid w:val="005252D3"/>
    <w:rsid w:val="00525CD3"/>
    <w:rsid w:val="00526A1F"/>
    <w:rsid w:val="00526B7E"/>
    <w:rsid w:val="00527996"/>
    <w:rsid w:val="00527A55"/>
    <w:rsid w:val="00530D84"/>
    <w:rsid w:val="00531568"/>
    <w:rsid w:val="00531C61"/>
    <w:rsid w:val="00532049"/>
    <w:rsid w:val="00532203"/>
    <w:rsid w:val="00532617"/>
    <w:rsid w:val="005327C1"/>
    <w:rsid w:val="00532947"/>
    <w:rsid w:val="00533314"/>
    <w:rsid w:val="00533F0A"/>
    <w:rsid w:val="00534154"/>
    <w:rsid w:val="00536121"/>
    <w:rsid w:val="005361C6"/>
    <w:rsid w:val="0053661B"/>
    <w:rsid w:val="00536923"/>
    <w:rsid w:val="00537202"/>
    <w:rsid w:val="00542403"/>
    <w:rsid w:val="00542CF3"/>
    <w:rsid w:val="00543021"/>
    <w:rsid w:val="00543FC6"/>
    <w:rsid w:val="00544203"/>
    <w:rsid w:val="005453FD"/>
    <w:rsid w:val="00547794"/>
    <w:rsid w:val="00552492"/>
    <w:rsid w:val="0055378E"/>
    <w:rsid w:val="005539B2"/>
    <w:rsid w:val="00554582"/>
    <w:rsid w:val="00554BA0"/>
    <w:rsid w:val="00555012"/>
    <w:rsid w:val="005556CE"/>
    <w:rsid w:val="005561E8"/>
    <w:rsid w:val="00556302"/>
    <w:rsid w:val="00557684"/>
    <w:rsid w:val="005604D0"/>
    <w:rsid w:val="005606E0"/>
    <w:rsid w:val="00560DC9"/>
    <w:rsid w:val="005613C4"/>
    <w:rsid w:val="005621F1"/>
    <w:rsid w:val="0056279C"/>
    <w:rsid w:val="005637E0"/>
    <w:rsid w:val="00564007"/>
    <w:rsid w:val="00564080"/>
    <w:rsid w:val="0056574D"/>
    <w:rsid w:val="00567946"/>
    <w:rsid w:val="005679E6"/>
    <w:rsid w:val="00567ECE"/>
    <w:rsid w:val="00570AE0"/>
    <w:rsid w:val="00570B5C"/>
    <w:rsid w:val="00570C97"/>
    <w:rsid w:val="00573BEA"/>
    <w:rsid w:val="00577165"/>
    <w:rsid w:val="00577327"/>
    <w:rsid w:val="00577394"/>
    <w:rsid w:val="00577EC7"/>
    <w:rsid w:val="0058079F"/>
    <w:rsid w:val="00582184"/>
    <w:rsid w:val="0058264B"/>
    <w:rsid w:val="00583001"/>
    <w:rsid w:val="00583E85"/>
    <w:rsid w:val="00584762"/>
    <w:rsid w:val="00585119"/>
    <w:rsid w:val="005851DC"/>
    <w:rsid w:val="0058526E"/>
    <w:rsid w:val="0058568D"/>
    <w:rsid w:val="0058594F"/>
    <w:rsid w:val="00587B93"/>
    <w:rsid w:val="00591A3C"/>
    <w:rsid w:val="00592097"/>
    <w:rsid w:val="0059240C"/>
    <w:rsid w:val="005929CC"/>
    <w:rsid w:val="00593786"/>
    <w:rsid w:val="005939D3"/>
    <w:rsid w:val="00593F13"/>
    <w:rsid w:val="00594DA3"/>
    <w:rsid w:val="0059615F"/>
    <w:rsid w:val="00597627"/>
    <w:rsid w:val="00597FB0"/>
    <w:rsid w:val="005A067C"/>
    <w:rsid w:val="005A335B"/>
    <w:rsid w:val="005A3395"/>
    <w:rsid w:val="005A3523"/>
    <w:rsid w:val="005A3785"/>
    <w:rsid w:val="005A3BC3"/>
    <w:rsid w:val="005A43BB"/>
    <w:rsid w:val="005A4C3C"/>
    <w:rsid w:val="005A4D6B"/>
    <w:rsid w:val="005A59B0"/>
    <w:rsid w:val="005A7275"/>
    <w:rsid w:val="005A78B9"/>
    <w:rsid w:val="005B0751"/>
    <w:rsid w:val="005B0DE5"/>
    <w:rsid w:val="005B0F8E"/>
    <w:rsid w:val="005B0FD6"/>
    <w:rsid w:val="005B3B85"/>
    <w:rsid w:val="005B4553"/>
    <w:rsid w:val="005B4BF8"/>
    <w:rsid w:val="005B4CAF"/>
    <w:rsid w:val="005B596A"/>
    <w:rsid w:val="005B607D"/>
    <w:rsid w:val="005B6441"/>
    <w:rsid w:val="005B6E41"/>
    <w:rsid w:val="005B78C2"/>
    <w:rsid w:val="005B7E24"/>
    <w:rsid w:val="005C0251"/>
    <w:rsid w:val="005C073C"/>
    <w:rsid w:val="005C1177"/>
    <w:rsid w:val="005C1234"/>
    <w:rsid w:val="005C1B08"/>
    <w:rsid w:val="005C472A"/>
    <w:rsid w:val="005C4897"/>
    <w:rsid w:val="005C48CF"/>
    <w:rsid w:val="005C608E"/>
    <w:rsid w:val="005C6522"/>
    <w:rsid w:val="005C79D7"/>
    <w:rsid w:val="005C7A67"/>
    <w:rsid w:val="005D0C50"/>
    <w:rsid w:val="005D140D"/>
    <w:rsid w:val="005D25D3"/>
    <w:rsid w:val="005D369F"/>
    <w:rsid w:val="005D3DE3"/>
    <w:rsid w:val="005D472F"/>
    <w:rsid w:val="005D49FA"/>
    <w:rsid w:val="005D7506"/>
    <w:rsid w:val="005D7975"/>
    <w:rsid w:val="005E0F28"/>
    <w:rsid w:val="005E1164"/>
    <w:rsid w:val="005E133B"/>
    <w:rsid w:val="005E3936"/>
    <w:rsid w:val="005E3EFF"/>
    <w:rsid w:val="005E3FD5"/>
    <w:rsid w:val="005E48F0"/>
    <w:rsid w:val="005E5924"/>
    <w:rsid w:val="005E5AA1"/>
    <w:rsid w:val="005E6147"/>
    <w:rsid w:val="005E65C9"/>
    <w:rsid w:val="005E6AB0"/>
    <w:rsid w:val="005E6B48"/>
    <w:rsid w:val="005E6CF6"/>
    <w:rsid w:val="005F0675"/>
    <w:rsid w:val="005F0A28"/>
    <w:rsid w:val="005F0DAC"/>
    <w:rsid w:val="005F15E3"/>
    <w:rsid w:val="005F1DFD"/>
    <w:rsid w:val="005F2E83"/>
    <w:rsid w:val="005F3111"/>
    <w:rsid w:val="005F33F7"/>
    <w:rsid w:val="005F4460"/>
    <w:rsid w:val="005F46CA"/>
    <w:rsid w:val="005F4881"/>
    <w:rsid w:val="005F4F5C"/>
    <w:rsid w:val="005F6233"/>
    <w:rsid w:val="005F774A"/>
    <w:rsid w:val="005F7D7F"/>
    <w:rsid w:val="006004FC"/>
    <w:rsid w:val="00601D53"/>
    <w:rsid w:val="006025EE"/>
    <w:rsid w:val="006040F9"/>
    <w:rsid w:val="00604B57"/>
    <w:rsid w:val="00604F32"/>
    <w:rsid w:val="00606247"/>
    <w:rsid w:val="00611196"/>
    <w:rsid w:val="00612AD5"/>
    <w:rsid w:val="0061328F"/>
    <w:rsid w:val="006156F8"/>
    <w:rsid w:val="0061588C"/>
    <w:rsid w:val="00615F00"/>
    <w:rsid w:val="00617B9A"/>
    <w:rsid w:val="00617F62"/>
    <w:rsid w:val="00620990"/>
    <w:rsid w:val="006209B7"/>
    <w:rsid w:val="00621012"/>
    <w:rsid w:val="00622016"/>
    <w:rsid w:val="00623597"/>
    <w:rsid w:val="006238C9"/>
    <w:rsid w:val="0062481F"/>
    <w:rsid w:val="00624C8E"/>
    <w:rsid w:val="00625396"/>
    <w:rsid w:val="006259CD"/>
    <w:rsid w:val="006272F7"/>
    <w:rsid w:val="00627F2F"/>
    <w:rsid w:val="00630D2B"/>
    <w:rsid w:val="00631176"/>
    <w:rsid w:val="006313C3"/>
    <w:rsid w:val="0063187B"/>
    <w:rsid w:val="00631E85"/>
    <w:rsid w:val="00631F47"/>
    <w:rsid w:val="00632B91"/>
    <w:rsid w:val="00633E45"/>
    <w:rsid w:val="006342C5"/>
    <w:rsid w:val="00634502"/>
    <w:rsid w:val="00637778"/>
    <w:rsid w:val="00641DFC"/>
    <w:rsid w:val="00642503"/>
    <w:rsid w:val="006427BF"/>
    <w:rsid w:val="00643251"/>
    <w:rsid w:val="0064351D"/>
    <w:rsid w:val="00643A3F"/>
    <w:rsid w:val="00643F87"/>
    <w:rsid w:val="00646277"/>
    <w:rsid w:val="00647401"/>
    <w:rsid w:val="0064769C"/>
    <w:rsid w:val="00650D91"/>
    <w:rsid w:val="00651E71"/>
    <w:rsid w:val="0065340A"/>
    <w:rsid w:val="00653BA8"/>
    <w:rsid w:val="006551C0"/>
    <w:rsid w:val="0065538E"/>
    <w:rsid w:val="006553E5"/>
    <w:rsid w:val="00655A1E"/>
    <w:rsid w:val="00656EA9"/>
    <w:rsid w:val="00660DC7"/>
    <w:rsid w:val="00662178"/>
    <w:rsid w:val="0066267B"/>
    <w:rsid w:val="00662884"/>
    <w:rsid w:val="00664F47"/>
    <w:rsid w:val="006654EA"/>
    <w:rsid w:val="006656B8"/>
    <w:rsid w:val="00666622"/>
    <w:rsid w:val="00666FFE"/>
    <w:rsid w:val="0066731D"/>
    <w:rsid w:val="00667800"/>
    <w:rsid w:val="00667E1F"/>
    <w:rsid w:val="00667F90"/>
    <w:rsid w:val="0067080B"/>
    <w:rsid w:val="00671087"/>
    <w:rsid w:val="00671DCF"/>
    <w:rsid w:val="00675232"/>
    <w:rsid w:val="006754E2"/>
    <w:rsid w:val="00676356"/>
    <w:rsid w:val="00676DEA"/>
    <w:rsid w:val="00677DDF"/>
    <w:rsid w:val="00682BF2"/>
    <w:rsid w:val="00684EA9"/>
    <w:rsid w:val="006855EB"/>
    <w:rsid w:val="0068695D"/>
    <w:rsid w:val="00687104"/>
    <w:rsid w:val="00690430"/>
    <w:rsid w:val="006918DE"/>
    <w:rsid w:val="0069218B"/>
    <w:rsid w:val="006923D1"/>
    <w:rsid w:val="00692B08"/>
    <w:rsid w:val="00693252"/>
    <w:rsid w:val="006937EC"/>
    <w:rsid w:val="00695082"/>
    <w:rsid w:val="00695412"/>
    <w:rsid w:val="00695BAB"/>
    <w:rsid w:val="00696F1B"/>
    <w:rsid w:val="00697727"/>
    <w:rsid w:val="00697EC8"/>
    <w:rsid w:val="006A0A77"/>
    <w:rsid w:val="006A0A8E"/>
    <w:rsid w:val="006A2029"/>
    <w:rsid w:val="006A21E2"/>
    <w:rsid w:val="006A4290"/>
    <w:rsid w:val="006A4444"/>
    <w:rsid w:val="006A6959"/>
    <w:rsid w:val="006A7869"/>
    <w:rsid w:val="006B0B9F"/>
    <w:rsid w:val="006B0CDE"/>
    <w:rsid w:val="006B0FB3"/>
    <w:rsid w:val="006B3A72"/>
    <w:rsid w:val="006B5CCA"/>
    <w:rsid w:val="006B62C4"/>
    <w:rsid w:val="006B6A68"/>
    <w:rsid w:val="006B6B2B"/>
    <w:rsid w:val="006B7910"/>
    <w:rsid w:val="006B7D55"/>
    <w:rsid w:val="006B7DBF"/>
    <w:rsid w:val="006C0051"/>
    <w:rsid w:val="006C066A"/>
    <w:rsid w:val="006C0A79"/>
    <w:rsid w:val="006C0CF9"/>
    <w:rsid w:val="006C1430"/>
    <w:rsid w:val="006C15BA"/>
    <w:rsid w:val="006C1BC1"/>
    <w:rsid w:val="006C2573"/>
    <w:rsid w:val="006C4A57"/>
    <w:rsid w:val="006C5031"/>
    <w:rsid w:val="006C523B"/>
    <w:rsid w:val="006C593F"/>
    <w:rsid w:val="006D194B"/>
    <w:rsid w:val="006D2D68"/>
    <w:rsid w:val="006D30C3"/>
    <w:rsid w:val="006D346F"/>
    <w:rsid w:val="006D37EE"/>
    <w:rsid w:val="006D432B"/>
    <w:rsid w:val="006D4472"/>
    <w:rsid w:val="006D5193"/>
    <w:rsid w:val="006D6530"/>
    <w:rsid w:val="006D7444"/>
    <w:rsid w:val="006D7817"/>
    <w:rsid w:val="006D7A3E"/>
    <w:rsid w:val="006E0000"/>
    <w:rsid w:val="006E0109"/>
    <w:rsid w:val="006E0513"/>
    <w:rsid w:val="006E14E1"/>
    <w:rsid w:val="006E170F"/>
    <w:rsid w:val="006E1DA3"/>
    <w:rsid w:val="006E3025"/>
    <w:rsid w:val="006E49C9"/>
    <w:rsid w:val="006E5B39"/>
    <w:rsid w:val="006E6D22"/>
    <w:rsid w:val="006E6E14"/>
    <w:rsid w:val="006E7363"/>
    <w:rsid w:val="006E7640"/>
    <w:rsid w:val="006F0F6A"/>
    <w:rsid w:val="006F28A2"/>
    <w:rsid w:val="006F3CE6"/>
    <w:rsid w:val="006F3EB0"/>
    <w:rsid w:val="006F4405"/>
    <w:rsid w:val="006F47ED"/>
    <w:rsid w:val="006F64B9"/>
    <w:rsid w:val="006F6D59"/>
    <w:rsid w:val="006F7895"/>
    <w:rsid w:val="0070151C"/>
    <w:rsid w:val="00702790"/>
    <w:rsid w:val="007045B7"/>
    <w:rsid w:val="00704E89"/>
    <w:rsid w:val="0070508C"/>
    <w:rsid w:val="00705167"/>
    <w:rsid w:val="0070528A"/>
    <w:rsid w:val="00707084"/>
    <w:rsid w:val="00707314"/>
    <w:rsid w:val="00710163"/>
    <w:rsid w:val="00711301"/>
    <w:rsid w:val="00712548"/>
    <w:rsid w:val="00714005"/>
    <w:rsid w:val="007140D8"/>
    <w:rsid w:val="00715523"/>
    <w:rsid w:val="007156A3"/>
    <w:rsid w:val="007170A3"/>
    <w:rsid w:val="0071724D"/>
    <w:rsid w:val="00720065"/>
    <w:rsid w:val="00720596"/>
    <w:rsid w:val="00724E7C"/>
    <w:rsid w:val="007258B7"/>
    <w:rsid w:val="007258DC"/>
    <w:rsid w:val="0072774E"/>
    <w:rsid w:val="00727A18"/>
    <w:rsid w:val="00727C74"/>
    <w:rsid w:val="007301AA"/>
    <w:rsid w:val="00730426"/>
    <w:rsid w:val="00730866"/>
    <w:rsid w:val="007338EB"/>
    <w:rsid w:val="007340C8"/>
    <w:rsid w:val="00734C48"/>
    <w:rsid w:val="00735B72"/>
    <w:rsid w:val="0073616F"/>
    <w:rsid w:val="00736C8F"/>
    <w:rsid w:val="007377D4"/>
    <w:rsid w:val="00737B5D"/>
    <w:rsid w:val="007405EA"/>
    <w:rsid w:val="00740E47"/>
    <w:rsid w:val="007416D1"/>
    <w:rsid w:val="00741D8E"/>
    <w:rsid w:val="0074242C"/>
    <w:rsid w:val="007425CB"/>
    <w:rsid w:val="00742DD9"/>
    <w:rsid w:val="00743104"/>
    <w:rsid w:val="007438B7"/>
    <w:rsid w:val="00743C47"/>
    <w:rsid w:val="007448C6"/>
    <w:rsid w:val="007450E3"/>
    <w:rsid w:val="007458DC"/>
    <w:rsid w:val="00745F47"/>
    <w:rsid w:val="00746115"/>
    <w:rsid w:val="007465F8"/>
    <w:rsid w:val="007469FA"/>
    <w:rsid w:val="00747D45"/>
    <w:rsid w:val="00750D6A"/>
    <w:rsid w:val="0075263C"/>
    <w:rsid w:val="00752D2B"/>
    <w:rsid w:val="007533D3"/>
    <w:rsid w:val="00756B1B"/>
    <w:rsid w:val="00760681"/>
    <w:rsid w:val="00761573"/>
    <w:rsid w:val="007634F7"/>
    <w:rsid w:val="00764E65"/>
    <w:rsid w:val="00765AE9"/>
    <w:rsid w:val="00765B17"/>
    <w:rsid w:val="00766A0A"/>
    <w:rsid w:val="00766F4F"/>
    <w:rsid w:val="0077150F"/>
    <w:rsid w:val="007715F9"/>
    <w:rsid w:val="00771DE6"/>
    <w:rsid w:val="00771F86"/>
    <w:rsid w:val="007725FF"/>
    <w:rsid w:val="007744C4"/>
    <w:rsid w:val="00775344"/>
    <w:rsid w:val="007753DB"/>
    <w:rsid w:val="00775CA0"/>
    <w:rsid w:val="007778A5"/>
    <w:rsid w:val="00777B25"/>
    <w:rsid w:val="00780042"/>
    <w:rsid w:val="00781869"/>
    <w:rsid w:val="00782457"/>
    <w:rsid w:val="0078282C"/>
    <w:rsid w:val="0078286A"/>
    <w:rsid w:val="00782A26"/>
    <w:rsid w:val="00784285"/>
    <w:rsid w:val="00785151"/>
    <w:rsid w:val="007851C4"/>
    <w:rsid w:val="00786D83"/>
    <w:rsid w:val="00787C7E"/>
    <w:rsid w:val="007901EE"/>
    <w:rsid w:val="00790DC5"/>
    <w:rsid w:val="00791B36"/>
    <w:rsid w:val="00791F90"/>
    <w:rsid w:val="00792977"/>
    <w:rsid w:val="00794E01"/>
    <w:rsid w:val="00795BB1"/>
    <w:rsid w:val="007974C8"/>
    <w:rsid w:val="00797D41"/>
    <w:rsid w:val="007A02BC"/>
    <w:rsid w:val="007A0911"/>
    <w:rsid w:val="007A0F81"/>
    <w:rsid w:val="007A152F"/>
    <w:rsid w:val="007A4D4D"/>
    <w:rsid w:val="007A5453"/>
    <w:rsid w:val="007A625E"/>
    <w:rsid w:val="007A6D24"/>
    <w:rsid w:val="007A6E2F"/>
    <w:rsid w:val="007A70C4"/>
    <w:rsid w:val="007A7F09"/>
    <w:rsid w:val="007B125B"/>
    <w:rsid w:val="007B1C88"/>
    <w:rsid w:val="007B1DCE"/>
    <w:rsid w:val="007B2558"/>
    <w:rsid w:val="007B355C"/>
    <w:rsid w:val="007B44D3"/>
    <w:rsid w:val="007B4B29"/>
    <w:rsid w:val="007B4C8D"/>
    <w:rsid w:val="007B5128"/>
    <w:rsid w:val="007B5156"/>
    <w:rsid w:val="007B567E"/>
    <w:rsid w:val="007B5E6B"/>
    <w:rsid w:val="007B709F"/>
    <w:rsid w:val="007B79E0"/>
    <w:rsid w:val="007C0666"/>
    <w:rsid w:val="007C0845"/>
    <w:rsid w:val="007C09F6"/>
    <w:rsid w:val="007C14BD"/>
    <w:rsid w:val="007C1DD1"/>
    <w:rsid w:val="007C2E78"/>
    <w:rsid w:val="007C2F58"/>
    <w:rsid w:val="007C38D5"/>
    <w:rsid w:val="007C3D58"/>
    <w:rsid w:val="007C4351"/>
    <w:rsid w:val="007C4BCF"/>
    <w:rsid w:val="007C6C76"/>
    <w:rsid w:val="007D0327"/>
    <w:rsid w:val="007D0EC3"/>
    <w:rsid w:val="007D1070"/>
    <w:rsid w:val="007D16C2"/>
    <w:rsid w:val="007D1A0C"/>
    <w:rsid w:val="007D1F3A"/>
    <w:rsid w:val="007D337F"/>
    <w:rsid w:val="007D72E9"/>
    <w:rsid w:val="007D7C0F"/>
    <w:rsid w:val="007D7E55"/>
    <w:rsid w:val="007E0FB2"/>
    <w:rsid w:val="007E2BBA"/>
    <w:rsid w:val="007E41A1"/>
    <w:rsid w:val="007E4A42"/>
    <w:rsid w:val="007E4BF7"/>
    <w:rsid w:val="007E4BFB"/>
    <w:rsid w:val="007E4EA6"/>
    <w:rsid w:val="007E6FD4"/>
    <w:rsid w:val="007E7C65"/>
    <w:rsid w:val="007F1250"/>
    <w:rsid w:val="007F12F3"/>
    <w:rsid w:val="007F4EAB"/>
    <w:rsid w:val="007F5226"/>
    <w:rsid w:val="007F5285"/>
    <w:rsid w:val="007F5F7E"/>
    <w:rsid w:val="007F7154"/>
    <w:rsid w:val="007F746C"/>
    <w:rsid w:val="007F7639"/>
    <w:rsid w:val="007F7D4A"/>
    <w:rsid w:val="008001FB"/>
    <w:rsid w:val="00800A06"/>
    <w:rsid w:val="00800C9B"/>
    <w:rsid w:val="00800E23"/>
    <w:rsid w:val="0080230E"/>
    <w:rsid w:val="00803711"/>
    <w:rsid w:val="00806A2C"/>
    <w:rsid w:val="00806A77"/>
    <w:rsid w:val="00807102"/>
    <w:rsid w:val="00807316"/>
    <w:rsid w:val="00810DBF"/>
    <w:rsid w:val="00811960"/>
    <w:rsid w:val="00811B7D"/>
    <w:rsid w:val="0081237C"/>
    <w:rsid w:val="00813077"/>
    <w:rsid w:val="0081333F"/>
    <w:rsid w:val="00813971"/>
    <w:rsid w:val="00813FCF"/>
    <w:rsid w:val="00814B6C"/>
    <w:rsid w:val="008152D5"/>
    <w:rsid w:val="00816211"/>
    <w:rsid w:val="00816CF3"/>
    <w:rsid w:val="00817545"/>
    <w:rsid w:val="008176A1"/>
    <w:rsid w:val="00820146"/>
    <w:rsid w:val="00820177"/>
    <w:rsid w:val="00821DFD"/>
    <w:rsid w:val="008233B0"/>
    <w:rsid w:val="00823A52"/>
    <w:rsid w:val="00824B40"/>
    <w:rsid w:val="00826187"/>
    <w:rsid w:val="0083003D"/>
    <w:rsid w:val="00830DEC"/>
    <w:rsid w:val="008322EE"/>
    <w:rsid w:val="008329EE"/>
    <w:rsid w:val="00832BC7"/>
    <w:rsid w:val="00832C88"/>
    <w:rsid w:val="0083339C"/>
    <w:rsid w:val="0083345C"/>
    <w:rsid w:val="008348CD"/>
    <w:rsid w:val="00836D07"/>
    <w:rsid w:val="00836DBA"/>
    <w:rsid w:val="00840606"/>
    <w:rsid w:val="008407AB"/>
    <w:rsid w:val="00840B18"/>
    <w:rsid w:val="00840F79"/>
    <w:rsid w:val="00841111"/>
    <w:rsid w:val="008411AC"/>
    <w:rsid w:val="00842432"/>
    <w:rsid w:val="00842B14"/>
    <w:rsid w:val="008434D7"/>
    <w:rsid w:val="00843D00"/>
    <w:rsid w:val="00844187"/>
    <w:rsid w:val="00844279"/>
    <w:rsid w:val="00845163"/>
    <w:rsid w:val="0084554D"/>
    <w:rsid w:val="008457B1"/>
    <w:rsid w:val="0085247D"/>
    <w:rsid w:val="00853085"/>
    <w:rsid w:val="00853ED9"/>
    <w:rsid w:val="008547F0"/>
    <w:rsid w:val="00854FAD"/>
    <w:rsid w:val="00855261"/>
    <w:rsid w:val="00856090"/>
    <w:rsid w:val="0085636F"/>
    <w:rsid w:val="0085638E"/>
    <w:rsid w:val="0085671A"/>
    <w:rsid w:val="00856AA8"/>
    <w:rsid w:val="008607B7"/>
    <w:rsid w:val="00860842"/>
    <w:rsid w:val="00860EA0"/>
    <w:rsid w:val="00862393"/>
    <w:rsid w:val="00864290"/>
    <w:rsid w:val="008644A8"/>
    <w:rsid w:val="00867121"/>
    <w:rsid w:val="008671A7"/>
    <w:rsid w:val="008675BC"/>
    <w:rsid w:val="00867F60"/>
    <w:rsid w:val="008701CE"/>
    <w:rsid w:val="008706E9"/>
    <w:rsid w:val="00870C7E"/>
    <w:rsid w:val="008710E2"/>
    <w:rsid w:val="00871C61"/>
    <w:rsid w:val="00872088"/>
    <w:rsid w:val="008720F6"/>
    <w:rsid w:val="00872C97"/>
    <w:rsid w:val="0087459D"/>
    <w:rsid w:val="00874BA3"/>
    <w:rsid w:val="00876655"/>
    <w:rsid w:val="00876B63"/>
    <w:rsid w:val="00876D0C"/>
    <w:rsid w:val="00876DCC"/>
    <w:rsid w:val="008802CD"/>
    <w:rsid w:val="00883982"/>
    <w:rsid w:val="00885733"/>
    <w:rsid w:val="00885D64"/>
    <w:rsid w:val="008862C5"/>
    <w:rsid w:val="008866B7"/>
    <w:rsid w:val="0089027C"/>
    <w:rsid w:val="00891617"/>
    <w:rsid w:val="00891B3C"/>
    <w:rsid w:val="00891C18"/>
    <w:rsid w:val="00891CD8"/>
    <w:rsid w:val="00892040"/>
    <w:rsid w:val="00892094"/>
    <w:rsid w:val="00892A32"/>
    <w:rsid w:val="00893861"/>
    <w:rsid w:val="008938D3"/>
    <w:rsid w:val="00893BB7"/>
    <w:rsid w:val="00894856"/>
    <w:rsid w:val="0089579C"/>
    <w:rsid w:val="00895B0C"/>
    <w:rsid w:val="0089629D"/>
    <w:rsid w:val="008962B7"/>
    <w:rsid w:val="00896E6C"/>
    <w:rsid w:val="00897AC1"/>
    <w:rsid w:val="008A0E09"/>
    <w:rsid w:val="008A14AC"/>
    <w:rsid w:val="008A1F08"/>
    <w:rsid w:val="008A200B"/>
    <w:rsid w:val="008A504E"/>
    <w:rsid w:val="008A5109"/>
    <w:rsid w:val="008A5870"/>
    <w:rsid w:val="008A5AF8"/>
    <w:rsid w:val="008A63B1"/>
    <w:rsid w:val="008A76DF"/>
    <w:rsid w:val="008B193A"/>
    <w:rsid w:val="008B1A4C"/>
    <w:rsid w:val="008B1ABE"/>
    <w:rsid w:val="008B2CBB"/>
    <w:rsid w:val="008B394B"/>
    <w:rsid w:val="008B403B"/>
    <w:rsid w:val="008B40BE"/>
    <w:rsid w:val="008B5FFD"/>
    <w:rsid w:val="008B68B8"/>
    <w:rsid w:val="008B705D"/>
    <w:rsid w:val="008B73A8"/>
    <w:rsid w:val="008B7523"/>
    <w:rsid w:val="008C0340"/>
    <w:rsid w:val="008C13DF"/>
    <w:rsid w:val="008C2E4D"/>
    <w:rsid w:val="008C477C"/>
    <w:rsid w:val="008C5289"/>
    <w:rsid w:val="008C7293"/>
    <w:rsid w:val="008C735D"/>
    <w:rsid w:val="008C7486"/>
    <w:rsid w:val="008D0429"/>
    <w:rsid w:val="008D098B"/>
    <w:rsid w:val="008D18FD"/>
    <w:rsid w:val="008D3FB6"/>
    <w:rsid w:val="008D4086"/>
    <w:rsid w:val="008D47A5"/>
    <w:rsid w:val="008D4BC7"/>
    <w:rsid w:val="008D4EE6"/>
    <w:rsid w:val="008D5FFE"/>
    <w:rsid w:val="008D609C"/>
    <w:rsid w:val="008D65B7"/>
    <w:rsid w:val="008D71B5"/>
    <w:rsid w:val="008D752B"/>
    <w:rsid w:val="008D7BF2"/>
    <w:rsid w:val="008E0BF0"/>
    <w:rsid w:val="008E25D8"/>
    <w:rsid w:val="008E2696"/>
    <w:rsid w:val="008E2C5A"/>
    <w:rsid w:val="008E42CA"/>
    <w:rsid w:val="008E45AC"/>
    <w:rsid w:val="008E4E9C"/>
    <w:rsid w:val="008E5193"/>
    <w:rsid w:val="008E59B4"/>
    <w:rsid w:val="008E5A01"/>
    <w:rsid w:val="008E6963"/>
    <w:rsid w:val="008E6EE3"/>
    <w:rsid w:val="008E7BD9"/>
    <w:rsid w:val="008E7F40"/>
    <w:rsid w:val="008F0275"/>
    <w:rsid w:val="008F0CC4"/>
    <w:rsid w:val="008F1154"/>
    <w:rsid w:val="008F3A2F"/>
    <w:rsid w:val="008F3AE0"/>
    <w:rsid w:val="008F46F1"/>
    <w:rsid w:val="008F4E6C"/>
    <w:rsid w:val="008F5D01"/>
    <w:rsid w:val="008F7436"/>
    <w:rsid w:val="00901095"/>
    <w:rsid w:val="00901101"/>
    <w:rsid w:val="0090110E"/>
    <w:rsid w:val="009014A1"/>
    <w:rsid w:val="00902A1B"/>
    <w:rsid w:val="00903C89"/>
    <w:rsid w:val="0090402E"/>
    <w:rsid w:val="00904117"/>
    <w:rsid w:val="00904136"/>
    <w:rsid w:val="0090425B"/>
    <w:rsid w:val="00905136"/>
    <w:rsid w:val="00905925"/>
    <w:rsid w:val="009069B5"/>
    <w:rsid w:val="00906EC5"/>
    <w:rsid w:val="0090711B"/>
    <w:rsid w:val="00911088"/>
    <w:rsid w:val="009111FA"/>
    <w:rsid w:val="00911A6B"/>
    <w:rsid w:val="00911C17"/>
    <w:rsid w:val="009127E3"/>
    <w:rsid w:val="00912BD9"/>
    <w:rsid w:val="0091370E"/>
    <w:rsid w:val="00920191"/>
    <w:rsid w:val="00921667"/>
    <w:rsid w:val="00923170"/>
    <w:rsid w:val="009233C9"/>
    <w:rsid w:val="009249AE"/>
    <w:rsid w:val="00925DA3"/>
    <w:rsid w:val="0092730B"/>
    <w:rsid w:val="0093042B"/>
    <w:rsid w:val="00930CA3"/>
    <w:rsid w:val="00931206"/>
    <w:rsid w:val="009328AD"/>
    <w:rsid w:val="00932F0D"/>
    <w:rsid w:val="009335A5"/>
    <w:rsid w:val="00933C29"/>
    <w:rsid w:val="009348D0"/>
    <w:rsid w:val="0093705A"/>
    <w:rsid w:val="009371DD"/>
    <w:rsid w:val="00937215"/>
    <w:rsid w:val="00937AB9"/>
    <w:rsid w:val="00937D8B"/>
    <w:rsid w:val="009400D8"/>
    <w:rsid w:val="009421F3"/>
    <w:rsid w:val="00942559"/>
    <w:rsid w:val="009432D3"/>
    <w:rsid w:val="00943513"/>
    <w:rsid w:val="00943979"/>
    <w:rsid w:val="009444CD"/>
    <w:rsid w:val="009447FC"/>
    <w:rsid w:val="00946B85"/>
    <w:rsid w:val="0094750E"/>
    <w:rsid w:val="009479C3"/>
    <w:rsid w:val="00947E91"/>
    <w:rsid w:val="00951077"/>
    <w:rsid w:val="00951D03"/>
    <w:rsid w:val="00951DB2"/>
    <w:rsid w:val="009531A6"/>
    <w:rsid w:val="009535EF"/>
    <w:rsid w:val="00953864"/>
    <w:rsid w:val="00953983"/>
    <w:rsid w:val="0095403C"/>
    <w:rsid w:val="00954750"/>
    <w:rsid w:val="009577B6"/>
    <w:rsid w:val="00957A7C"/>
    <w:rsid w:val="0096019D"/>
    <w:rsid w:val="0096066D"/>
    <w:rsid w:val="009614C5"/>
    <w:rsid w:val="0096429F"/>
    <w:rsid w:val="00964BE3"/>
    <w:rsid w:val="00965094"/>
    <w:rsid w:val="009652FF"/>
    <w:rsid w:val="00965DB4"/>
    <w:rsid w:val="00967E9F"/>
    <w:rsid w:val="00971383"/>
    <w:rsid w:val="009735B2"/>
    <w:rsid w:val="00973BDC"/>
    <w:rsid w:val="00974935"/>
    <w:rsid w:val="00974A7D"/>
    <w:rsid w:val="0097559C"/>
    <w:rsid w:val="0097574B"/>
    <w:rsid w:val="0098346D"/>
    <w:rsid w:val="00983653"/>
    <w:rsid w:val="00986744"/>
    <w:rsid w:val="00986D94"/>
    <w:rsid w:val="00987888"/>
    <w:rsid w:val="009905A9"/>
    <w:rsid w:val="00990CEF"/>
    <w:rsid w:val="009926DB"/>
    <w:rsid w:val="009936AA"/>
    <w:rsid w:val="00993FB6"/>
    <w:rsid w:val="00994DF8"/>
    <w:rsid w:val="009952D5"/>
    <w:rsid w:val="00995C99"/>
    <w:rsid w:val="00995E95"/>
    <w:rsid w:val="00996892"/>
    <w:rsid w:val="009976BB"/>
    <w:rsid w:val="009A028B"/>
    <w:rsid w:val="009A0610"/>
    <w:rsid w:val="009A076D"/>
    <w:rsid w:val="009A0C46"/>
    <w:rsid w:val="009A2387"/>
    <w:rsid w:val="009A27A7"/>
    <w:rsid w:val="009A38AA"/>
    <w:rsid w:val="009A3C09"/>
    <w:rsid w:val="009A3EB3"/>
    <w:rsid w:val="009A48C0"/>
    <w:rsid w:val="009A4B63"/>
    <w:rsid w:val="009A4C2B"/>
    <w:rsid w:val="009A5D6A"/>
    <w:rsid w:val="009A6068"/>
    <w:rsid w:val="009A6F59"/>
    <w:rsid w:val="009A72FF"/>
    <w:rsid w:val="009B035E"/>
    <w:rsid w:val="009B0864"/>
    <w:rsid w:val="009B12D4"/>
    <w:rsid w:val="009B17A0"/>
    <w:rsid w:val="009B207F"/>
    <w:rsid w:val="009B20BD"/>
    <w:rsid w:val="009B2554"/>
    <w:rsid w:val="009B2838"/>
    <w:rsid w:val="009B2858"/>
    <w:rsid w:val="009B2A15"/>
    <w:rsid w:val="009B2D9B"/>
    <w:rsid w:val="009B3DBE"/>
    <w:rsid w:val="009B41A0"/>
    <w:rsid w:val="009B7A05"/>
    <w:rsid w:val="009B7D2F"/>
    <w:rsid w:val="009C0A99"/>
    <w:rsid w:val="009C0B4F"/>
    <w:rsid w:val="009C1A9B"/>
    <w:rsid w:val="009C1ABB"/>
    <w:rsid w:val="009C2758"/>
    <w:rsid w:val="009C3101"/>
    <w:rsid w:val="009C3A86"/>
    <w:rsid w:val="009C452E"/>
    <w:rsid w:val="009C48F8"/>
    <w:rsid w:val="009C61EA"/>
    <w:rsid w:val="009D128D"/>
    <w:rsid w:val="009D3553"/>
    <w:rsid w:val="009D4293"/>
    <w:rsid w:val="009D4748"/>
    <w:rsid w:val="009D47FE"/>
    <w:rsid w:val="009D6A52"/>
    <w:rsid w:val="009E029F"/>
    <w:rsid w:val="009E077A"/>
    <w:rsid w:val="009E1D43"/>
    <w:rsid w:val="009E21CB"/>
    <w:rsid w:val="009E2B7D"/>
    <w:rsid w:val="009E5763"/>
    <w:rsid w:val="009E5A0D"/>
    <w:rsid w:val="009E5BD5"/>
    <w:rsid w:val="009E7BEB"/>
    <w:rsid w:val="009F00B3"/>
    <w:rsid w:val="009F2392"/>
    <w:rsid w:val="009F2959"/>
    <w:rsid w:val="009F4A72"/>
    <w:rsid w:val="009F553E"/>
    <w:rsid w:val="009F7D89"/>
    <w:rsid w:val="00A00F87"/>
    <w:rsid w:val="00A01005"/>
    <w:rsid w:val="00A011D6"/>
    <w:rsid w:val="00A01468"/>
    <w:rsid w:val="00A01609"/>
    <w:rsid w:val="00A0230A"/>
    <w:rsid w:val="00A027CF"/>
    <w:rsid w:val="00A0294E"/>
    <w:rsid w:val="00A02EB8"/>
    <w:rsid w:val="00A037D8"/>
    <w:rsid w:val="00A0494C"/>
    <w:rsid w:val="00A0501A"/>
    <w:rsid w:val="00A05F63"/>
    <w:rsid w:val="00A06136"/>
    <w:rsid w:val="00A10496"/>
    <w:rsid w:val="00A12F7D"/>
    <w:rsid w:val="00A13490"/>
    <w:rsid w:val="00A13F35"/>
    <w:rsid w:val="00A14409"/>
    <w:rsid w:val="00A1553B"/>
    <w:rsid w:val="00A163C5"/>
    <w:rsid w:val="00A16771"/>
    <w:rsid w:val="00A16BED"/>
    <w:rsid w:val="00A17374"/>
    <w:rsid w:val="00A218AC"/>
    <w:rsid w:val="00A24026"/>
    <w:rsid w:val="00A27590"/>
    <w:rsid w:val="00A305CB"/>
    <w:rsid w:val="00A32857"/>
    <w:rsid w:val="00A337ED"/>
    <w:rsid w:val="00A33FD0"/>
    <w:rsid w:val="00A35739"/>
    <w:rsid w:val="00A36B96"/>
    <w:rsid w:val="00A37C70"/>
    <w:rsid w:val="00A4076F"/>
    <w:rsid w:val="00A40CEA"/>
    <w:rsid w:val="00A40FBC"/>
    <w:rsid w:val="00A41912"/>
    <w:rsid w:val="00A422B1"/>
    <w:rsid w:val="00A424E7"/>
    <w:rsid w:val="00A43A58"/>
    <w:rsid w:val="00A44FC7"/>
    <w:rsid w:val="00A452A1"/>
    <w:rsid w:val="00A45D62"/>
    <w:rsid w:val="00A45DF8"/>
    <w:rsid w:val="00A46339"/>
    <w:rsid w:val="00A469BB"/>
    <w:rsid w:val="00A4754E"/>
    <w:rsid w:val="00A47FE6"/>
    <w:rsid w:val="00A50050"/>
    <w:rsid w:val="00A500EA"/>
    <w:rsid w:val="00A501A8"/>
    <w:rsid w:val="00A50B64"/>
    <w:rsid w:val="00A50C82"/>
    <w:rsid w:val="00A52027"/>
    <w:rsid w:val="00A52FD4"/>
    <w:rsid w:val="00A53B33"/>
    <w:rsid w:val="00A553C8"/>
    <w:rsid w:val="00A5677C"/>
    <w:rsid w:val="00A61367"/>
    <w:rsid w:val="00A617F6"/>
    <w:rsid w:val="00A6252E"/>
    <w:rsid w:val="00A63325"/>
    <w:rsid w:val="00A635AD"/>
    <w:rsid w:val="00A6396F"/>
    <w:rsid w:val="00A645E9"/>
    <w:rsid w:val="00A6714F"/>
    <w:rsid w:val="00A67329"/>
    <w:rsid w:val="00A700C4"/>
    <w:rsid w:val="00A70985"/>
    <w:rsid w:val="00A70AAF"/>
    <w:rsid w:val="00A70C2E"/>
    <w:rsid w:val="00A71042"/>
    <w:rsid w:val="00A72F2B"/>
    <w:rsid w:val="00A74BA9"/>
    <w:rsid w:val="00A752F1"/>
    <w:rsid w:val="00A767F9"/>
    <w:rsid w:val="00A77162"/>
    <w:rsid w:val="00A80E6C"/>
    <w:rsid w:val="00A84FD8"/>
    <w:rsid w:val="00A86030"/>
    <w:rsid w:val="00A86724"/>
    <w:rsid w:val="00A87848"/>
    <w:rsid w:val="00A906FE"/>
    <w:rsid w:val="00A90E5B"/>
    <w:rsid w:val="00A92B96"/>
    <w:rsid w:val="00A93916"/>
    <w:rsid w:val="00A9444E"/>
    <w:rsid w:val="00A9571D"/>
    <w:rsid w:val="00A95BC6"/>
    <w:rsid w:val="00A95BD8"/>
    <w:rsid w:val="00A96E11"/>
    <w:rsid w:val="00A96E97"/>
    <w:rsid w:val="00AA0A0D"/>
    <w:rsid w:val="00AA1820"/>
    <w:rsid w:val="00AA1E0B"/>
    <w:rsid w:val="00AA3C81"/>
    <w:rsid w:val="00AA3FA2"/>
    <w:rsid w:val="00AA427C"/>
    <w:rsid w:val="00AA45B4"/>
    <w:rsid w:val="00AA4EE9"/>
    <w:rsid w:val="00AA537B"/>
    <w:rsid w:val="00AA53E8"/>
    <w:rsid w:val="00AA6BF6"/>
    <w:rsid w:val="00AA7699"/>
    <w:rsid w:val="00AB2488"/>
    <w:rsid w:val="00AB3DEC"/>
    <w:rsid w:val="00AB3E71"/>
    <w:rsid w:val="00AB4995"/>
    <w:rsid w:val="00AB4AF6"/>
    <w:rsid w:val="00AB4CA0"/>
    <w:rsid w:val="00AB4E6C"/>
    <w:rsid w:val="00AB52FF"/>
    <w:rsid w:val="00AB572F"/>
    <w:rsid w:val="00AB6C19"/>
    <w:rsid w:val="00AB74DF"/>
    <w:rsid w:val="00AB7B9C"/>
    <w:rsid w:val="00AC04AF"/>
    <w:rsid w:val="00AC0B90"/>
    <w:rsid w:val="00AC0D15"/>
    <w:rsid w:val="00AC11D9"/>
    <w:rsid w:val="00AC22B7"/>
    <w:rsid w:val="00AC3AD7"/>
    <w:rsid w:val="00AC50D3"/>
    <w:rsid w:val="00AC5782"/>
    <w:rsid w:val="00AC6713"/>
    <w:rsid w:val="00AC6F81"/>
    <w:rsid w:val="00AD0BAE"/>
    <w:rsid w:val="00AD0FA0"/>
    <w:rsid w:val="00AD13B1"/>
    <w:rsid w:val="00AD1FD3"/>
    <w:rsid w:val="00AD4501"/>
    <w:rsid w:val="00AD7731"/>
    <w:rsid w:val="00AE0A1B"/>
    <w:rsid w:val="00AE10EA"/>
    <w:rsid w:val="00AE19DE"/>
    <w:rsid w:val="00AE2582"/>
    <w:rsid w:val="00AE2E46"/>
    <w:rsid w:val="00AE2E7C"/>
    <w:rsid w:val="00AE3882"/>
    <w:rsid w:val="00AE3CB0"/>
    <w:rsid w:val="00AE42CC"/>
    <w:rsid w:val="00AE47F0"/>
    <w:rsid w:val="00AE4DFC"/>
    <w:rsid w:val="00AE5557"/>
    <w:rsid w:val="00AE7DB8"/>
    <w:rsid w:val="00AF0BB7"/>
    <w:rsid w:val="00AF11E2"/>
    <w:rsid w:val="00AF19F5"/>
    <w:rsid w:val="00AF1A04"/>
    <w:rsid w:val="00AF1F2B"/>
    <w:rsid w:val="00AF2682"/>
    <w:rsid w:val="00AF389C"/>
    <w:rsid w:val="00AF3A13"/>
    <w:rsid w:val="00AF4A59"/>
    <w:rsid w:val="00AF4D74"/>
    <w:rsid w:val="00AF4E63"/>
    <w:rsid w:val="00AF6228"/>
    <w:rsid w:val="00AF6EF4"/>
    <w:rsid w:val="00AF72DE"/>
    <w:rsid w:val="00AF79EB"/>
    <w:rsid w:val="00B000A4"/>
    <w:rsid w:val="00B001CD"/>
    <w:rsid w:val="00B00EB6"/>
    <w:rsid w:val="00B016ED"/>
    <w:rsid w:val="00B021AD"/>
    <w:rsid w:val="00B03202"/>
    <w:rsid w:val="00B05877"/>
    <w:rsid w:val="00B05E7F"/>
    <w:rsid w:val="00B101BB"/>
    <w:rsid w:val="00B1072E"/>
    <w:rsid w:val="00B1072F"/>
    <w:rsid w:val="00B107C3"/>
    <w:rsid w:val="00B109C7"/>
    <w:rsid w:val="00B10B2E"/>
    <w:rsid w:val="00B10D5C"/>
    <w:rsid w:val="00B11147"/>
    <w:rsid w:val="00B11642"/>
    <w:rsid w:val="00B1186F"/>
    <w:rsid w:val="00B12233"/>
    <w:rsid w:val="00B1681E"/>
    <w:rsid w:val="00B16DDD"/>
    <w:rsid w:val="00B16F67"/>
    <w:rsid w:val="00B173FF"/>
    <w:rsid w:val="00B1779A"/>
    <w:rsid w:val="00B17D7C"/>
    <w:rsid w:val="00B2056F"/>
    <w:rsid w:val="00B22BC2"/>
    <w:rsid w:val="00B24F17"/>
    <w:rsid w:val="00B26750"/>
    <w:rsid w:val="00B26F9B"/>
    <w:rsid w:val="00B278F3"/>
    <w:rsid w:val="00B27A55"/>
    <w:rsid w:val="00B31337"/>
    <w:rsid w:val="00B346DE"/>
    <w:rsid w:val="00B37BE3"/>
    <w:rsid w:val="00B37F4B"/>
    <w:rsid w:val="00B40AF9"/>
    <w:rsid w:val="00B410C8"/>
    <w:rsid w:val="00B41BA4"/>
    <w:rsid w:val="00B44011"/>
    <w:rsid w:val="00B443D2"/>
    <w:rsid w:val="00B4545B"/>
    <w:rsid w:val="00B45A15"/>
    <w:rsid w:val="00B45A89"/>
    <w:rsid w:val="00B45C32"/>
    <w:rsid w:val="00B45F10"/>
    <w:rsid w:val="00B46383"/>
    <w:rsid w:val="00B46D6D"/>
    <w:rsid w:val="00B47910"/>
    <w:rsid w:val="00B479E0"/>
    <w:rsid w:val="00B47C73"/>
    <w:rsid w:val="00B47EEF"/>
    <w:rsid w:val="00B51020"/>
    <w:rsid w:val="00B51565"/>
    <w:rsid w:val="00B51861"/>
    <w:rsid w:val="00B5193E"/>
    <w:rsid w:val="00B52ACE"/>
    <w:rsid w:val="00B52C87"/>
    <w:rsid w:val="00B5346B"/>
    <w:rsid w:val="00B5396C"/>
    <w:rsid w:val="00B53AE6"/>
    <w:rsid w:val="00B54204"/>
    <w:rsid w:val="00B554D0"/>
    <w:rsid w:val="00B55C99"/>
    <w:rsid w:val="00B57A39"/>
    <w:rsid w:val="00B60064"/>
    <w:rsid w:val="00B61C6D"/>
    <w:rsid w:val="00B6218B"/>
    <w:rsid w:val="00B63E83"/>
    <w:rsid w:val="00B66DF4"/>
    <w:rsid w:val="00B66FD0"/>
    <w:rsid w:val="00B673E2"/>
    <w:rsid w:val="00B679A6"/>
    <w:rsid w:val="00B67B94"/>
    <w:rsid w:val="00B70367"/>
    <w:rsid w:val="00B70671"/>
    <w:rsid w:val="00B70998"/>
    <w:rsid w:val="00B70D1E"/>
    <w:rsid w:val="00B713B3"/>
    <w:rsid w:val="00B73DE9"/>
    <w:rsid w:val="00B745FB"/>
    <w:rsid w:val="00B77EC6"/>
    <w:rsid w:val="00B80CED"/>
    <w:rsid w:val="00B820B0"/>
    <w:rsid w:val="00B83612"/>
    <w:rsid w:val="00B84B5B"/>
    <w:rsid w:val="00B863B2"/>
    <w:rsid w:val="00B8746F"/>
    <w:rsid w:val="00B9145D"/>
    <w:rsid w:val="00B923F0"/>
    <w:rsid w:val="00B93E39"/>
    <w:rsid w:val="00B95E0E"/>
    <w:rsid w:val="00B97B35"/>
    <w:rsid w:val="00B97F6E"/>
    <w:rsid w:val="00BA03D1"/>
    <w:rsid w:val="00BA04A2"/>
    <w:rsid w:val="00BA074F"/>
    <w:rsid w:val="00BA16C5"/>
    <w:rsid w:val="00BA1706"/>
    <w:rsid w:val="00BA1E7D"/>
    <w:rsid w:val="00BA240D"/>
    <w:rsid w:val="00BA2952"/>
    <w:rsid w:val="00BA33B9"/>
    <w:rsid w:val="00BA5887"/>
    <w:rsid w:val="00BA5AAE"/>
    <w:rsid w:val="00BA5EE8"/>
    <w:rsid w:val="00BA66E4"/>
    <w:rsid w:val="00BB0198"/>
    <w:rsid w:val="00BB03CC"/>
    <w:rsid w:val="00BB0F67"/>
    <w:rsid w:val="00BB26CE"/>
    <w:rsid w:val="00BB333F"/>
    <w:rsid w:val="00BB48C0"/>
    <w:rsid w:val="00BB597B"/>
    <w:rsid w:val="00BB7053"/>
    <w:rsid w:val="00BB78E6"/>
    <w:rsid w:val="00BB7A97"/>
    <w:rsid w:val="00BC2ACE"/>
    <w:rsid w:val="00BC32C4"/>
    <w:rsid w:val="00BC3CBA"/>
    <w:rsid w:val="00BC4727"/>
    <w:rsid w:val="00BC570F"/>
    <w:rsid w:val="00BC5B06"/>
    <w:rsid w:val="00BC5F75"/>
    <w:rsid w:val="00BC61FC"/>
    <w:rsid w:val="00BC7F48"/>
    <w:rsid w:val="00BD0CD5"/>
    <w:rsid w:val="00BD2E53"/>
    <w:rsid w:val="00BD3473"/>
    <w:rsid w:val="00BD427D"/>
    <w:rsid w:val="00BD4992"/>
    <w:rsid w:val="00BD58A6"/>
    <w:rsid w:val="00BD5B09"/>
    <w:rsid w:val="00BD70EE"/>
    <w:rsid w:val="00BE0A94"/>
    <w:rsid w:val="00BE0CA3"/>
    <w:rsid w:val="00BE13EF"/>
    <w:rsid w:val="00BE1D4A"/>
    <w:rsid w:val="00BE2EE8"/>
    <w:rsid w:val="00BE32AD"/>
    <w:rsid w:val="00BE37E3"/>
    <w:rsid w:val="00BE408D"/>
    <w:rsid w:val="00BE41A5"/>
    <w:rsid w:val="00BE494E"/>
    <w:rsid w:val="00BE4C80"/>
    <w:rsid w:val="00BE4D48"/>
    <w:rsid w:val="00BE4EA2"/>
    <w:rsid w:val="00BE5303"/>
    <w:rsid w:val="00BE67FE"/>
    <w:rsid w:val="00BE6D73"/>
    <w:rsid w:val="00BE7AC8"/>
    <w:rsid w:val="00BF1E3B"/>
    <w:rsid w:val="00BF3413"/>
    <w:rsid w:val="00BF3CC2"/>
    <w:rsid w:val="00BF3F50"/>
    <w:rsid w:val="00BF4E7E"/>
    <w:rsid w:val="00BF5299"/>
    <w:rsid w:val="00BF5664"/>
    <w:rsid w:val="00BF5A3F"/>
    <w:rsid w:val="00BF5F83"/>
    <w:rsid w:val="00BF7513"/>
    <w:rsid w:val="00C014E2"/>
    <w:rsid w:val="00C01B67"/>
    <w:rsid w:val="00C02FC1"/>
    <w:rsid w:val="00C03FA7"/>
    <w:rsid w:val="00C04776"/>
    <w:rsid w:val="00C05A87"/>
    <w:rsid w:val="00C05ADF"/>
    <w:rsid w:val="00C064EE"/>
    <w:rsid w:val="00C069AA"/>
    <w:rsid w:val="00C07C80"/>
    <w:rsid w:val="00C107D2"/>
    <w:rsid w:val="00C1191D"/>
    <w:rsid w:val="00C11A85"/>
    <w:rsid w:val="00C11E31"/>
    <w:rsid w:val="00C120BC"/>
    <w:rsid w:val="00C13A37"/>
    <w:rsid w:val="00C13EAA"/>
    <w:rsid w:val="00C13EF3"/>
    <w:rsid w:val="00C140C9"/>
    <w:rsid w:val="00C1414B"/>
    <w:rsid w:val="00C14227"/>
    <w:rsid w:val="00C14E1D"/>
    <w:rsid w:val="00C157B6"/>
    <w:rsid w:val="00C1617D"/>
    <w:rsid w:val="00C1630A"/>
    <w:rsid w:val="00C17797"/>
    <w:rsid w:val="00C17D42"/>
    <w:rsid w:val="00C2052A"/>
    <w:rsid w:val="00C208F6"/>
    <w:rsid w:val="00C2225E"/>
    <w:rsid w:val="00C222AA"/>
    <w:rsid w:val="00C226AE"/>
    <w:rsid w:val="00C22BD7"/>
    <w:rsid w:val="00C23118"/>
    <w:rsid w:val="00C23527"/>
    <w:rsid w:val="00C23D9E"/>
    <w:rsid w:val="00C24A61"/>
    <w:rsid w:val="00C26006"/>
    <w:rsid w:val="00C2674B"/>
    <w:rsid w:val="00C276D7"/>
    <w:rsid w:val="00C312F7"/>
    <w:rsid w:val="00C3144F"/>
    <w:rsid w:val="00C3147E"/>
    <w:rsid w:val="00C31CCB"/>
    <w:rsid w:val="00C31F2D"/>
    <w:rsid w:val="00C329D4"/>
    <w:rsid w:val="00C334AA"/>
    <w:rsid w:val="00C3384D"/>
    <w:rsid w:val="00C339E0"/>
    <w:rsid w:val="00C34457"/>
    <w:rsid w:val="00C34852"/>
    <w:rsid w:val="00C34AFF"/>
    <w:rsid w:val="00C35084"/>
    <w:rsid w:val="00C355BD"/>
    <w:rsid w:val="00C364BF"/>
    <w:rsid w:val="00C36E34"/>
    <w:rsid w:val="00C37051"/>
    <w:rsid w:val="00C37112"/>
    <w:rsid w:val="00C400E2"/>
    <w:rsid w:val="00C404C6"/>
    <w:rsid w:val="00C40EE7"/>
    <w:rsid w:val="00C411B6"/>
    <w:rsid w:val="00C411E7"/>
    <w:rsid w:val="00C431BD"/>
    <w:rsid w:val="00C441E8"/>
    <w:rsid w:val="00C44E8D"/>
    <w:rsid w:val="00C4574C"/>
    <w:rsid w:val="00C458DF"/>
    <w:rsid w:val="00C46E21"/>
    <w:rsid w:val="00C46FF2"/>
    <w:rsid w:val="00C47F4B"/>
    <w:rsid w:val="00C506F4"/>
    <w:rsid w:val="00C5181A"/>
    <w:rsid w:val="00C51991"/>
    <w:rsid w:val="00C52D83"/>
    <w:rsid w:val="00C53631"/>
    <w:rsid w:val="00C538D4"/>
    <w:rsid w:val="00C54257"/>
    <w:rsid w:val="00C55F08"/>
    <w:rsid w:val="00C565AB"/>
    <w:rsid w:val="00C576BE"/>
    <w:rsid w:val="00C60527"/>
    <w:rsid w:val="00C62FFA"/>
    <w:rsid w:val="00C63F53"/>
    <w:rsid w:val="00C6442E"/>
    <w:rsid w:val="00C64618"/>
    <w:rsid w:val="00C649D8"/>
    <w:rsid w:val="00C653BC"/>
    <w:rsid w:val="00C65B90"/>
    <w:rsid w:val="00C67696"/>
    <w:rsid w:val="00C70834"/>
    <w:rsid w:val="00C72753"/>
    <w:rsid w:val="00C73022"/>
    <w:rsid w:val="00C7385B"/>
    <w:rsid w:val="00C7473C"/>
    <w:rsid w:val="00C76306"/>
    <w:rsid w:val="00C77081"/>
    <w:rsid w:val="00C77C26"/>
    <w:rsid w:val="00C81986"/>
    <w:rsid w:val="00C81C2C"/>
    <w:rsid w:val="00C836F6"/>
    <w:rsid w:val="00C8397D"/>
    <w:rsid w:val="00C83F96"/>
    <w:rsid w:val="00C84CE8"/>
    <w:rsid w:val="00C84F54"/>
    <w:rsid w:val="00C864AE"/>
    <w:rsid w:val="00C8739B"/>
    <w:rsid w:val="00C87F16"/>
    <w:rsid w:val="00C90586"/>
    <w:rsid w:val="00C9275E"/>
    <w:rsid w:val="00C92B43"/>
    <w:rsid w:val="00C94459"/>
    <w:rsid w:val="00C944A4"/>
    <w:rsid w:val="00C9459A"/>
    <w:rsid w:val="00C95C5D"/>
    <w:rsid w:val="00C96292"/>
    <w:rsid w:val="00C97C96"/>
    <w:rsid w:val="00C97DF1"/>
    <w:rsid w:val="00CA0278"/>
    <w:rsid w:val="00CA0960"/>
    <w:rsid w:val="00CA0D4D"/>
    <w:rsid w:val="00CA120D"/>
    <w:rsid w:val="00CA1CFB"/>
    <w:rsid w:val="00CA1E6E"/>
    <w:rsid w:val="00CA214B"/>
    <w:rsid w:val="00CA216C"/>
    <w:rsid w:val="00CA2A13"/>
    <w:rsid w:val="00CA2DA2"/>
    <w:rsid w:val="00CA36DD"/>
    <w:rsid w:val="00CA4B86"/>
    <w:rsid w:val="00CA4BA4"/>
    <w:rsid w:val="00CA5308"/>
    <w:rsid w:val="00CB0D8D"/>
    <w:rsid w:val="00CB1E0F"/>
    <w:rsid w:val="00CB2A5E"/>
    <w:rsid w:val="00CB2C6D"/>
    <w:rsid w:val="00CB2F30"/>
    <w:rsid w:val="00CB3467"/>
    <w:rsid w:val="00CB46AE"/>
    <w:rsid w:val="00CB497B"/>
    <w:rsid w:val="00CB4E6D"/>
    <w:rsid w:val="00CB503C"/>
    <w:rsid w:val="00CB522D"/>
    <w:rsid w:val="00CB5A64"/>
    <w:rsid w:val="00CB602B"/>
    <w:rsid w:val="00CB61AA"/>
    <w:rsid w:val="00CB63C6"/>
    <w:rsid w:val="00CB6AC2"/>
    <w:rsid w:val="00CB7F23"/>
    <w:rsid w:val="00CC2D56"/>
    <w:rsid w:val="00CC3042"/>
    <w:rsid w:val="00CC6B53"/>
    <w:rsid w:val="00CC6BFD"/>
    <w:rsid w:val="00CC7C52"/>
    <w:rsid w:val="00CC7E0C"/>
    <w:rsid w:val="00CD063E"/>
    <w:rsid w:val="00CD14CA"/>
    <w:rsid w:val="00CD1812"/>
    <w:rsid w:val="00CD2B9C"/>
    <w:rsid w:val="00CD3FD6"/>
    <w:rsid w:val="00CD40D0"/>
    <w:rsid w:val="00CD4464"/>
    <w:rsid w:val="00CD4DF0"/>
    <w:rsid w:val="00CD5B98"/>
    <w:rsid w:val="00CD5F1F"/>
    <w:rsid w:val="00CD602A"/>
    <w:rsid w:val="00CD61B1"/>
    <w:rsid w:val="00CD63AC"/>
    <w:rsid w:val="00CE0DB1"/>
    <w:rsid w:val="00CE301A"/>
    <w:rsid w:val="00CE38C4"/>
    <w:rsid w:val="00CE42AE"/>
    <w:rsid w:val="00CE539D"/>
    <w:rsid w:val="00CE556E"/>
    <w:rsid w:val="00CE7088"/>
    <w:rsid w:val="00CE7492"/>
    <w:rsid w:val="00CE7826"/>
    <w:rsid w:val="00CE7F38"/>
    <w:rsid w:val="00CF1537"/>
    <w:rsid w:val="00CF1946"/>
    <w:rsid w:val="00CF244D"/>
    <w:rsid w:val="00CF2EC2"/>
    <w:rsid w:val="00CF376D"/>
    <w:rsid w:val="00CF59F3"/>
    <w:rsid w:val="00CF5EC9"/>
    <w:rsid w:val="00CF731B"/>
    <w:rsid w:val="00D009D3"/>
    <w:rsid w:val="00D02A00"/>
    <w:rsid w:val="00D03AB7"/>
    <w:rsid w:val="00D04583"/>
    <w:rsid w:val="00D046AF"/>
    <w:rsid w:val="00D0483A"/>
    <w:rsid w:val="00D050DD"/>
    <w:rsid w:val="00D05383"/>
    <w:rsid w:val="00D05532"/>
    <w:rsid w:val="00D0716F"/>
    <w:rsid w:val="00D074E9"/>
    <w:rsid w:val="00D0779B"/>
    <w:rsid w:val="00D111E7"/>
    <w:rsid w:val="00D11CBA"/>
    <w:rsid w:val="00D1404B"/>
    <w:rsid w:val="00D14A42"/>
    <w:rsid w:val="00D15C8D"/>
    <w:rsid w:val="00D15F07"/>
    <w:rsid w:val="00D205AF"/>
    <w:rsid w:val="00D20831"/>
    <w:rsid w:val="00D2137C"/>
    <w:rsid w:val="00D215BD"/>
    <w:rsid w:val="00D21AF2"/>
    <w:rsid w:val="00D2258E"/>
    <w:rsid w:val="00D23495"/>
    <w:rsid w:val="00D23779"/>
    <w:rsid w:val="00D23C29"/>
    <w:rsid w:val="00D23E0E"/>
    <w:rsid w:val="00D24615"/>
    <w:rsid w:val="00D2578E"/>
    <w:rsid w:val="00D265DE"/>
    <w:rsid w:val="00D3015F"/>
    <w:rsid w:val="00D309CD"/>
    <w:rsid w:val="00D3171A"/>
    <w:rsid w:val="00D31ABD"/>
    <w:rsid w:val="00D3309E"/>
    <w:rsid w:val="00D33911"/>
    <w:rsid w:val="00D33A49"/>
    <w:rsid w:val="00D33FE4"/>
    <w:rsid w:val="00D343D4"/>
    <w:rsid w:val="00D349FA"/>
    <w:rsid w:val="00D34CD5"/>
    <w:rsid w:val="00D364E3"/>
    <w:rsid w:val="00D369B3"/>
    <w:rsid w:val="00D37D5F"/>
    <w:rsid w:val="00D40EFD"/>
    <w:rsid w:val="00D420C1"/>
    <w:rsid w:val="00D42A8E"/>
    <w:rsid w:val="00D440FB"/>
    <w:rsid w:val="00D44280"/>
    <w:rsid w:val="00D44896"/>
    <w:rsid w:val="00D45D99"/>
    <w:rsid w:val="00D46513"/>
    <w:rsid w:val="00D46C59"/>
    <w:rsid w:val="00D470A0"/>
    <w:rsid w:val="00D502E2"/>
    <w:rsid w:val="00D5117E"/>
    <w:rsid w:val="00D51A50"/>
    <w:rsid w:val="00D53479"/>
    <w:rsid w:val="00D53AC6"/>
    <w:rsid w:val="00D55AB8"/>
    <w:rsid w:val="00D568F6"/>
    <w:rsid w:val="00D60783"/>
    <w:rsid w:val="00D62709"/>
    <w:rsid w:val="00D637D9"/>
    <w:rsid w:val="00D63E3B"/>
    <w:rsid w:val="00D65149"/>
    <w:rsid w:val="00D674AE"/>
    <w:rsid w:val="00D67BF2"/>
    <w:rsid w:val="00D67D99"/>
    <w:rsid w:val="00D70125"/>
    <w:rsid w:val="00D71168"/>
    <w:rsid w:val="00D71505"/>
    <w:rsid w:val="00D71945"/>
    <w:rsid w:val="00D71C71"/>
    <w:rsid w:val="00D72A24"/>
    <w:rsid w:val="00D72DA3"/>
    <w:rsid w:val="00D748DC"/>
    <w:rsid w:val="00D74F4D"/>
    <w:rsid w:val="00D75613"/>
    <w:rsid w:val="00D80B56"/>
    <w:rsid w:val="00D80EA5"/>
    <w:rsid w:val="00D81582"/>
    <w:rsid w:val="00D82DBD"/>
    <w:rsid w:val="00D84855"/>
    <w:rsid w:val="00D86DA9"/>
    <w:rsid w:val="00D872A1"/>
    <w:rsid w:val="00D901A2"/>
    <w:rsid w:val="00D90240"/>
    <w:rsid w:val="00D911C4"/>
    <w:rsid w:val="00D92468"/>
    <w:rsid w:val="00D92BF4"/>
    <w:rsid w:val="00D93E8C"/>
    <w:rsid w:val="00D9579B"/>
    <w:rsid w:val="00D95841"/>
    <w:rsid w:val="00D958FC"/>
    <w:rsid w:val="00D97A5C"/>
    <w:rsid w:val="00DA269A"/>
    <w:rsid w:val="00DA3B1B"/>
    <w:rsid w:val="00DA4BA8"/>
    <w:rsid w:val="00DA5761"/>
    <w:rsid w:val="00DA6109"/>
    <w:rsid w:val="00DA6314"/>
    <w:rsid w:val="00DA6631"/>
    <w:rsid w:val="00DA6830"/>
    <w:rsid w:val="00DA79E6"/>
    <w:rsid w:val="00DA7E7C"/>
    <w:rsid w:val="00DA7F88"/>
    <w:rsid w:val="00DB0F16"/>
    <w:rsid w:val="00DB0F86"/>
    <w:rsid w:val="00DB29B2"/>
    <w:rsid w:val="00DB42AF"/>
    <w:rsid w:val="00DB43BD"/>
    <w:rsid w:val="00DB52DB"/>
    <w:rsid w:val="00DB5D9D"/>
    <w:rsid w:val="00DB60EF"/>
    <w:rsid w:val="00DB68F8"/>
    <w:rsid w:val="00DB6D63"/>
    <w:rsid w:val="00DC09FB"/>
    <w:rsid w:val="00DC11C4"/>
    <w:rsid w:val="00DC13FD"/>
    <w:rsid w:val="00DC14E8"/>
    <w:rsid w:val="00DC1683"/>
    <w:rsid w:val="00DC34E9"/>
    <w:rsid w:val="00DC5696"/>
    <w:rsid w:val="00DC5D90"/>
    <w:rsid w:val="00DC6280"/>
    <w:rsid w:val="00DC77A6"/>
    <w:rsid w:val="00DC7BAA"/>
    <w:rsid w:val="00DD015C"/>
    <w:rsid w:val="00DD0710"/>
    <w:rsid w:val="00DD09FB"/>
    <w:rsid w:val="00DD0AC3"/>
    <w:rsid w:val="00DD3153"/>
    <w:rsid w:val="00DD3324"/>
    <w:rsid w:val="00DD498E"/>
    <w:rsid w:val="00DD4D2B"/>
    <w:rsid w:val="00DD63B8"/>
    <w:rsid w:val="00DE0657"/>
    <w:rsid w:val="00DE2624"/>
    <w:rsid w:val="00DE2C7E"/>
    <w:rsid w:val="00DE3765"/>
    <w:rsid w:val="00DE4654"/>
    <w:rsid w:val="00DE601E"/>
    <w:rsid w:val="00DE6B82"/>
    <w:rsid w:val="00DE6ED5"/>
    <w:rsid w:val="00DF096A"/>
    <w:rsid w:val="00DF1BAD"/>
    <w:rsid w:val="00DF31A6"/>
    <w:rsid w:val="00DF3B3B"/>
    <w:rsid w:val="00DF435D"/>
    <w:rsid w:val="00DF59FF"/>
    <w:rsid w:val="00DF5EDD"/>
    <w:rsid w:val="00DF60EE"/>
    <w:rsid w:val="00DF65B7"/>
    <w:rsid w:val="00DF67F2"/>
    <w:rsid w:val="00DF6EDA"/>
    <w:rsid w:val="00DF7209"/>
    <w:rsid w:val="00DF74AA"/>
    <w:rsid w:val="00DF7836"/>
    <w:rsid w:val="00DF7D0C"/>
    <w:rsid w:val="00DF7D29"/>
    <w:rsid w:val="00E0047A"/>
    <w:rsid w:val="00E03C26"/>
    <w:rsid w:val="00E0677A"/>
    <w:rsid w:val="00E06CFA"/>
    <w:rsid w:val="00E07268"/>
    <w:rsid w:val="00E07DF2"/>
    <w:rsid w:val="00E10567"/>
    <w:rsid w:val="00E118A5"/>
    <w:rsid w:val="00E11E47"/>
    <w:rsid w:val="00E12730"/>
    <w:rsid w:val="00E1300E"/>
    <w:rsid w:val="00E131D2"/>
    <w:rsid w:val="00E13424"/>
    <w:rsid w:val="00E13CB4"/>
    <w:rsid w:val="00E151E2"/>
    <w:rsid w:val="00E15C61"/>
    <w:rsid w:val="00E16B26"/>
    <w:rsid w:val="00E17180"/>
    <w:rsid w:val="00E17383"/>
    <w:rsid w:val="00E17471"/>
    <w:rsid w:val="00E17E53"/>
    <w:rsid w:val="00E20B83"/>
    <w:rsid w:val="00E224F5"/>
    <w:rsid w:val="00E22F14"/>
    <w:rsid w:val="00E23024"/>
    <w:rsid w:val="00E24872"/>
    <w:rsid w:val="00E2532C"/>
    <w:rsid w:val="00E257B2"/>
    <w:rsid w:val="00E259F4"/>
    <w:rsid w:val="00E26D56"/>
    <w:rsid w:val="00E26EF9"/>
    <w:rsid w:val="00E26F47"/>
    <w:rsid w:val="00E27625"/>
    <w:rsid w:val="00E27B50"/>
    <w:rsid w:val="00E3241A"/>
    <w:rsid w:val="00E3283F"/>
    <w:rsid w:val="00E33E76"/>
    <w:rsid w:val="00E34331"/>
    <w:rsid w:val="00E36ADB"/>
    <w:rsid w:val="00E37A4C"/>
    <w:rsid w:val="00E411E6"/>
    <w:rsid w:val="00E41223"/>
    <w:rsid w:val="00E41894"/>
    <w:rsid w:val="00E41900"/>
    <w:rsid w:val="00E41D85"/>
    <w:rsid w:val="00E4244F"/>
    <w:rsid w:val="00E42731"/>
    <w:rsid w:val="00E429B0"/>
    <w:rsid w:val="00E4348D"/>
    <w:rsid w:val="00E446AB"/>
    <w:rsid w:val="00E44930"/>
    <w:rsid w:val="00E44E2E"/>
    <w:rsid w:val="00E45BC4"/>
    <w:rsid w:val="00E45EB4"/>
    <w:rsid w:val="00E4654F"/>
    <w:rsid w:val="00E46C45"/>
    <w:rsid w:val="00E50CE9"/>
    <w:rsid w:val="00E5162F"/>
    <w:rsid w:val="00E518BE"/>
    <w:rsid w:val="00E51C4D"/>
    <w:rsid w:val="00E51EFD"/>
    <w:rsid w:val="00E53748"/>
    <w:rsid w:val="00E56846"/>
    <w:rsid w:val="00E60472"/>
    <w:rsid w:val="00E611F3"/>
    <w:rsid w:val="00E6130F"/>
    <w:rsid w:val="00E61FEC"/>
    <w:rsid w:val="00E62248"/>
    <w:rsid w:val="00E62ADF"/>
    <w:rsid w:val="00E62B85"/>
    <w:rsid w:val="00E6375F"/>
    <w:rsid w:val="00E63A0F"/>
    <w:rsid w:val="00E64F29"/>
    <w:rsid w:val="00E66B04"/>
    <w:rsid w:val="00E66C73"/>
    <w:rsid w:val="00E6708D"/>
    <w:rsid w:val="00E67DF9"/>
    <w:rsid w:val="00E70965"/>
    <w:rsid w:val="00E7274B"/>
    <w:rsid w:val="00E73FA3"/>
    <w:rsid w:val="00E760DE"/>
    <w:rsid w:val="00E77088"/>
    <w:rsid w:val="00E800FC"/>
    <w:rsid w:val="00E80F7D"/>
    <w:rsid w:val="00E8318D"/>
    <w:rsid w:val="00E833EB"/>
    <w:rsid w:val="00E846BC"/>
    <w:rsid w:val="00E84E98"/>
    <w:rsid w:val="00E852D3"/>
    <w:rsid w:val="00E85DB3"/>
    <w:rsid w:val="00E86331"/>
    <w:rsid w:val="00E90083"/>
    <w:rsid w:val="00E91EA0"/>
    <w:rsid w:val="00E92718"/>
    <w:rsid w:val="00E93B5E"/>
    <w:rsid w:val="00E956AE"/>
    <w:rsid w:val="00E95E6E"/>
    <w:rsid w:val="00E9603A"/>
    <w:rsid w:val="00E96EBD"/>
    <w:rsid w:val="00E97071"/>
    <w:rsid w:val="00E97E9A"/>
    <w:rsid w:val="00EA024E"/>
    <w:rsid w:val="00EA0DEE"/>
    <w:rsid w:val="00EA1359"/>
    <w:rsid w:val="00EA46F9"/>
    <w:rsid w:val="00EA473D"/>
    <w:rsid w:val="00EA5B39"/>
    <w:rsid w:val="00EA5D17"/>
    <w:rsid w:val="00EA69E8"/>
    <w:rsid w:val="00EA6CFC"/>
    <w:rsid w:val="00EA7AA9"/>
    <w:rsid w:val="00EB21A3"/>
    <w:rsid w:val="00EB25B3"/>
    <w:rsid w:val="00EB2E5A"/>
    <w:rsid w:val="00EB378E"/>
    <w:rsid w:val="00EB3938"/>
    <w:rsid w:val="00EB3CC1"/>
    <w:rsid w:val="00EB453E"/>
    <w:rsid w:val="00EB59B7"/>
    <w:rsid w:val="00EB5B3F"/>
    <w:rsid w:val="00EB62BB"/>
    <w:rsid w:val="00EB71D0"/>
    <w:rsid w:val="00EC0CEF"/>
    <w:rsid w:val="00EC0DC1"/>
    <w:rsid w:val="00EC117B"/>
    <w:rsid w:val="00EC24A8"/>
    <w:rsid w:val="00EC2C92"/>
    <w:rsid w:val="00EC2E0E"/>
    <w:rsid w:val="00EC3C2D"/>
    <w:rsid w:val="00EC3F04"/>
    <w:rsid w:val="00EC63E4"/>
    <w:rsid w:val="00EC6B22"/>
    <w:rsid w:val="00EC6C84"/>
    <w:rsid w:val="00ED132F"/>
    <w:rsid w:val="00ED1778"/>
    <w:rsid w:val="00ED19B4"/>
    <w:rsid w:val="00ED29FC"/>
    <w:rsid w:val="00ED3B05"/>
    <w:rsid w:val="00ED3D3B"/>
    <w:rsid w:val="00ED48BA"/>
    <w:rsid w:val="00ED496C"/>
    <w:rsid w:val="00ED5225"/>
    <w:rsid w:val="00ED61F7"/>
    <w:rsid w:val="00ED73B7"/>
    <w:rsid w:val="00ED7436"/>
    <w:rsid w:val="00ED75F8"/>
    <w:rsid w:val="00ED7BE8"/>
    <w:rsid w:val="00EE0D00"/>
    <w:rsid w:val="00EE1513"/>
    <w:rsid w:val="00EE244A"/>
    <w:rsid w:val="00EE2882"/>
    <w:rsid w:val="00EE2B57"/>
    <w:rsid w:val="00EE41B3"/>
    <w:rsid w:val="00EE72CF"/>
    <w:rsid w:val="00EE7E12"/>
    <w:rsid w:val="00EF0897"/>
    <w:rsid w:val="00EF2625"/>
    <w:rsid w:val="00EF2AAB"/>
    <w:rsid w:val="00EF39D7"/>
    <w:rsid w:val="00EF3E31"/>
    <w:rsid w:val="00EF495F"/>
    <w:rsid w:val="00EF58FE"/>
    <w:rsid w:val="00EF5C64"/>
    <w:rsid w:val="00EF746A"/>
    <w:rsid w:val="00F00A4F"/>
    <w:rsid w:val="00F013C7"/>
    <w:rsid w:val="00F01B6E"/>
    <w:rsid w:val="00F02F3A"/>
    <w:rsid w:val="00F02FF9"/>
    <w:rsid w:val="00F03A5E"/>
    <w:rsid w:val="00F03F89"/>
    <w:rsid w:val="00F050A2"/>
    <w:rsid w:val="00F07A76"/>
    <w:rsid w:val="00F1138D"/>
    <w:rsid w:val="00F12D7E"/>
    <w:rsid w:val="00F134B2"/>
    <w:rsid w:val="00F13755"/>
    <w:rsid w:val="00F1626C"/>
    <w:rsid w:val="00F1635D"/>
    <w:rsid w:val="00F167FF"/>
    <w:rsid w:val="00F17340"/>
    <w:rsid w:val="00F17823"/>
    <w:rsid w:val="00F17857"/>
    <w:rsid w:val="00F21166"/>
    <w:rsid w:val="00F2322F"/>
    <w:rsid w:val="00F23252"/>
    <w:rsid w:val="00F25B64"/>
    <w:rsid w:val="00F274F1"/>
    <w:rsid w:val="00F3033D"/>
    <w:rsid w:val="00F30C1C"/>
    <w:rsid w:val="00F30DAD"/>
    <w:rsid w:val="00F32B50"/>
    <w:rsid w:val="00F32C12"/>
    <w:rsid w:val="00F33C12"/>
    <w:rsid w:val="00F344CC"/>
    <w:rsid w:val="00F35BEC"/>
    <w:rsid w:val="00F35F83"/>
    <w:rsid w:val="00F3605E"/>
    <w:rsid w:val="00F36282"/>
    <w:rsid w:val="00F36723"/>
    <w:rsid w:val="00F36874"/>
    <w:rsid w:val="00F373B5"/>
    <w:rsid w:val="00F37EA6"/>
    <w:rsid w:val="00F40353"/>
    <w:rsid w:val="00F407EB"/>
    <w:rsid w:val="00F411A4"/>
    <w:rsid w:val="00F412F4"/>
    <w:rsid w:val="00F4311E"/>
    <w:rsid w:val="00F43825"/>
    <w:rsid w:val="00F439E1"/>
    <w:rsid w:val="00F43A6B"/>
    <w:rsid w:val="00F43AFD"/>
    <w:rsid w:val="00F449BE"/>
    <w:rsid w:val="00F45AF3"/>
    <w:rsid w:val="00F45E43"/>
    <w:rsid w:val="00F46574"/>
    <w:rsid w:val="00F465C6"/>
    <w:rsid w:val="00F46617"/>
    <w:rsid w:val="00F466E9"/>
    <w:rsid w:val="00F50DEF"/>
    <w:rsid w:val="00F52F5F"/>
    <w:rsid w:val="00F5339B"/>
    <w:rsid w:val="00F533B0"/>
    <w:rsid w:val="00F5359E"/>
    <w:rsid w:val="00F53E75"/>
    <w:rsid w:val="00F55D63"/>
    <w:rsid w:val="00F56922"/>
    <w:rsid w:val="00F57241"/>
    <w:rsid w:val="00F61B2A"/>
    <w:rsid w:val="00F61C3C"/>
    <w:rsid w:val="00F6261E"/>
    <w:rsid w:val="00F62EEA"/>
    <w:rsid w:val="00F63F7C"/>
    <w:rsid w:val="00F6418A"/>
    <w:rsid w:val="00F64343"/>
    <w:rsid w:val="00F648F0"/>
    <w:rsid w:val="00F64912"/>
    <w:rsid w:val="00F649C3"/>
    <w:rsid w:val="00F64BC2"/>
    <w:rsid w:val="00F651D5"/>
    <w:rsid w:val="00F71908"/>
    <w:rsid w:val="00F72C40"/>
    <w:rsid w:val="00F7341F"/>
    <w:rsid w:val="00F7370F"/>
    <w:rsid w:val="00F74247"/>
    <w:rsid w:val="00F7467F"/>
    <w:rsid w:val="00F74F87"/>
    <w:rsid w:val="00F74FC4"/>
    <w:rsid w:val="00F7553B"/>
    <w:rsid w:val="00F76350"/>
    <w:rsid w:val="00F76933"/>
    <w:rsid w:val="00F769E6"/>
    <w:rsid w:val="00F77E5B"/>
    <w:rsid w:val="00F8075D"/>
    <w:rsid w:val="00F80CD6"/>
    <w:rsid w:val="00F80FA1"/>
    <w:rsid w:val="00F81803"/>
    <w:rsid w:val="00F82B1D"/>
    <w:rsid w:val="00F8630B"/>
    <w:rsid w:val="00F86BF7"/>
    <w:rsid w:val="00F8773A"/>
    <w:rsid w:val="00F90926"/>
    <w:rsid w:val="00F909F3"/>
    <w:rsid w:val="00F90DD9"/>
    <w:rsid w:val="00F90F96"/>
    <w:rsid w:val="00F91442"/>
    <w:rsid w:val="00F919FE"/>
    <w:rsid w:val="00F9266E"/>
    <w:rsid w:val="00F92ECB"/>
    <w:rsid w:val="00F92FF9"/>
    <w:rsid w:val="00F939C3"/>
    <w:rsid w:val="00F942EB"/>
    <w:rsid w:val="00FA074C"/>
    <w:rsid w:val="00FA08AF"/>
    <w:rsid w:val="00FA14D4"/>
    <w:rsid w:val="00FA2DF8"/>
    <w:rsid w:val="00FA3B95"/>
    <w:rsid w:val="00FA4090"/>
    <w:rsid w:val="00FA6466"/>
    <w:rsid w:val="00FA747B"/>
    <w:rsid w:val="00FA7C2F"/>
    <w:rsid w:val="00FB0570"/>
    <w:rsid w:val="00FB111B"/>
    <w:rsid w:val="00FB231F"/>
    <w:rsid w:val="00FB2A99"/>
    <w:rsid w:val="00FB3B1C"/>
    <w:rsid w:val="00FB3D74"/>
    <w:rsid w:val="00FB411C"/>
    <w:rsid w:val="00FB5AB4"/>
    <w:rsid w:val="00FB5BEC"/>
    <w:rsid w:val="00FB61CC"/>
    <w:rsid w:val="00FB6FFC"/>
    <w:rsid w:val="00FC1214"/>
    <w:rsid w:val="00FC266B"/>
    <w:rsid w:val="00FC4097"/>
    <w:rsid w:val="00FC44BF"/>
    <w:rsid w:val="00FC4B86"/>
    <w:rsid w:val="00FC5B97"/>
    <w:rsid w:val="00FC7D76"/>
    <w:rsid w:val="00FD0018"/>
    <w:rsid w:val="00FD0105"/>
    <w:rsid w:val="00FD012E"/>
    <w:rsid w:val="00FD0676"/>
    <w:rsid w:val="00FD1470"/>
    <w:rsid w:val="00FD55C4"/>
    <w:rsid w:val="00FD59E5"/>
    <w:rsid w:val="00FD6235"/>
    <w:rsid w:val="00FD64B4"/>
    <w:rsid w:val="00FD7100"/>
    <w:rsid w:val="00FE0086"/>
    <w:rsid w:val="00FE07A1"/>
    <w:rsid w:val="00FE0B07"/>
    <w:rsid w:val="00FE1CA6"/>
    <w:rsid w:val="00FE24FE"/>
    <w:rsid w:val="00FE25B5"/>
    <w:rsid w:val="00FE32CC"/>
    <w:rsid w:val="00FE33F8"/>
    <w:rsid w:val="00FE36AA"/>
    <w:rsid w:val="00FE3C3B"/>
    <w:rsid w:val="00FE46CA"/>
    <w:rsid w:val="00FE5A4D"/>
    <w:rsid w:val="00FE6769"/>
    <w:rsid w:val="00FE7D65"/>
    <w:rsid w:val="00FF1A7B"/>
    <w:rsid w:val="00FF3AB4"/>
    <w:rsid w:val="00FF42B9"/>
    <w:rsid w:val="00FF4A30"/>
    <w:rsid w:val="00FF66DC"/>
    <w:rsid w:val="00FF68EF"/>
    <w:rsid w:val="00FF6AB3"/>
    <w:rsid w:val="00FF76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D3B66"/>
  <w15:docId w15:val="{EC4908B9-A335-45BF-9D7C-45716482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76D"/>
  </w:style>
  <w:style w:type="paragraph" w:styleId="Footer">
    <w:name w:val="footer"/>
    <w:basedOn w:val="Normal"/>
    <w:link w:val="FooterChar"/>
    <w:uiPriority w:val="99"/>
    <w:unhideWhenUsed/>
    <w:rsid w:val="009A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76D"/>
  </w:style>
  <w:style w:type="character" w:styleId="Hyperlink">
    <w:name w:val="Hyperlink"/>
    <w:basedOn w:val="DefaultParagraphFont"/>
    <w:uiPriority w:val="99"/>
    <w:unhideWhenUsed/>
    <w:rsid w:val="00C55F08"/>
    <w:rPr>
      <w:color w:val="0563C1" w:themeColor="hyperlink"/>
      <w:u w:val="single"/>
    </w:rPr>
  </w:style>
  <w:style w:type="paragraph" w:styleId="ListParagraph">
    <w:name w:val="List Paragraph"/>
    <w:basedOn w:val="Normal"/>
    <w:uiPriority w:val="34"/>
    <w:qFormat/>
    <w:rsid w:val="00C55F08"/>
    <w:pPr>
      <w:ind w:left="720"/>
      <w:contextualSpacing/>
    </w:pPr>
  </w:style>
  <w:style w:type="paragraph" w:styleId="FootnoteText">
    <w:name w:val="footnote text"/>
    <w:basedOn w:val="Normal"/>
    <w:link w:val="FootnoteTextChar"/>
    <w:uiPriority w:val="99"/>
    <w:semiHidden/>
    <w:unhideWhenUsed/>
    <w:rsid w:val="007B51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156"/>
    <w:rPr>
      <w:sz w:val="20"/>
      <w:szCs w:val="20"/>
    </w:rPr>
  </w:style>
  <w:style w:type="character" w:styleId="FootnoteReference">
    <w:name w:val="footnote reference"/>
    <w:basedOn w:val="DefaultParagraphFont"/>
    <w:uiPriority w:val="99"/>
    <w:semiHidden/>
    <w:unhideWhenUsed/>
    <w:rsid w:val="007B5156"/>
    <w:rPr>
      <w:vertAlign w:val="superscript"/>
    </w:rPr>
  </w:style>
  <w:style w:type="table" w:styleId="TableGrid">
    <w:name w:val="Table Grid"/>
    <w:basedOn w:val="TableNormal"/>
    <w:uiPriority w:val="59"/>
    <w:rsid w:val="001C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0C"/>
    <w:rPr>
      <w:rFonts w:ascii="Segoe UI" w:hAnsi="Segoe UI" w:cs="Segoe UI"/>
      <w:sz w:val="18"/>
      <w:szCs w:val="18"/>
    </w:rPr>
  </w:style>
  <w:style w:type="character" w:styleId="CommentReference">
    <w:name w:val="annotation reference"/>
    <w:basedOn w:val="DefaultParagraphFont"/>
    <w:uiPriority w:val="99"/>
    <w:semiHidden/>
    <w:unhideWhenUsed/>
    <w:rsid w:val="00F64912"/>
    <w:rPr>
      <w:sz w:val="16"/>
      <w:szCs w:val="16"/>
    </w:rPr>
  </w:style>
  <w:style w:type="paragraph" w:styleId="CommentText">
    <w:name w:val="annotation text"/>
    <w:basedOn w:val="Normal"/>
    <w:link w:val="CommentTextChar"/>
    <w:uiPriority w:val="99"/>
    <w:unhideWhenUsed/>
    <w:rsid w:val="00F64912"/>
    <w:pPr>
      <w:spacing w:line="240" w:lineRule="auto"/>
    </w:pPr>
    <w:rPr>
      <w:sz w:val="20"/>
      <w:szCs w:val="20"/>
    </w:rPr>
  </w:style>
  <w:style w:type="character" w:customStyle="1" w:styleId="CommentTextChar">
    <w:name w:val="Comment Text Char"/>
    <w:basedOn w:val="DefaultParagraphFont"/>
    <w:link w:val="CommentText"/>
    <w:uiPriority w:val="99"/>
    <w:rsid w:val="00F64912"/>
    <w:rPr>
      <w:sz w:val="20"/>
      <w:szCs w:val="20"/>
    </w:rPr>
  </w:style>
  <w:style w:type="paragraph" w:styleId="CommentSubject">
    <w:name w:val="annotation subject"/>
    <w:basedOn w:val="CommentText"/>
    <w:next w:val="CommentText"/>
    <w:link w:val="CommentSubjectChar"/>
    <w:uiPriority w:val="99"/>
    <w:semiHidden/>
    <w:unhideWhenUsed/>
    <w:rsid w:val="00F64912"/>
    <w:rPr>
      <w:b/>
      <w:bCs/>
    </w:rPr>
  </w:style>
  <w:style w:type="character" w:customStyle="1" w:styleId="CommentSubjectChar">
    <w:name w:val="Comment Subject Char"/>
    <w:basedOn w:val="CommentTextChar"/>
    <w:link w:val="CommentSubject"/>
    <w:uiPriority w:val="99"/>
    <w:semiHidden/>
    <w:rsid w:val="00F64912"/>
    <w:rPr>
      <w:b/>
      <w:bCs/>
      <w:sz w:val="20"/>
      <w:szCs w:val="20"/>
    </w:rPr>
  </w:style>
  <w:style w:type="table" w:customStyle="1" w:styleId="TableGrid4">
    <w:name w:val="Table Grid4"/>
    <w:basedOn w:val="TableNormal"/>
    <w:next w:val="TableGrid"/>
    <w:uiPriority w:val="59"/>
    <w:rsid w:val="00C2600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60DE"/>
    <w:rPr>
      <w:color w:val="808080"/>
    </w:rPr>
  </w:style>
  <w:style w:type="paragraph" w:customStyle="1" w:styleId="EndNoteBibliography">
    <w:name w:val="EndNote Bibliography"/>
    <w:basedOn w:val="Normal"/>
    <w:link w:val="EndNoteBibliographyChar"/>
    <w:rsid w:val="009014A1"/>
    <w:pPr>
      <w:spacing w:line="240" w:lineRule="auto"/>
    </w:pPr>
    <w:rPr>
      <w:rFonts w:ascii="Calibri" w:eastAsiaTheme="minorEastAsia" w:hAnsi="Calibri"/>
      <w:noProof/>
      <w:lang w:eastAsia="zh-CN"/>
    </w:rPr>
  </w:style>
  <w:style w:type="character" w:customStyle="1" w:styleId="EndNoteBibliographyChar">
    <w:name w:val="EndNote Bibliography Char"/>
    <w:basedOn w:val="DefaultParagraphFont"/>
    <w:link w:val="EndNoteBibliography"/>
    <w:rsid w:val="009014A1"/>
    <w:rPr>
      <w:rFonts w:ascii="Calibri" w:eastAsiaTheme="minorEastAsia" w:hAnsi="Calibri"/>
      <w:noProof/>
      <w:lang w:eastAsia="zh-CN"/>
    </w:rPr>
  </w:style>
  <w:style w:type="paragraph" w:styleId="Revision">
    <w:name w:val="Revision"/>
    <w:hidden/>
    <w:uiPriority w:val="99"/>
    <w:semiHidden/>
    <w:rsid w:val="003F588F"/>
    <w:pPr>
      <w:spacing w:after="0" w:line="240" w:lineRule="auto"/>
    </w:pPr>
  </w:style>
  <w:style w:type="character" w:styleId="UnresolvedMention">
    <w:name w:val="Unresolved Mention"/>
    <w:basedOn w:val="DefaultParagraphFont"/>
    <w:uiPriority w:val="99"/>
    <w:semiHidden/>
    <w:unhideWhenUsed/>
    <w:rsid w:val="00DD498E"/>
    <w:rPr>
      <w:color w:val="605E5C"/>
      <w:shd w:val="clear" w:color="auto" w:fill="E1DFDD"/>
    </w:rPr>
  </w:style>
  <w:style w:type="paragraph" w:styleId="NormalWeb">
    <w:name w:val="Normal (Web)"/>
    <w:basedOn w:val="Normal"/>
    <w:uiPriority w:val="99"/>
    <w:unhideWhenUsed/>
    <w:rsid w:val="007C4BC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7C4BCF"/>
  </w:style>
  <w:style w:type="character" w:styleId="PageNumber">
    <w:name w:val="page number"/>
    <w:basedOn w:val="DefaultParagraphFont"/>
    <w:uiPriority w:val="99"/>
    <w:semiHidden/>
    <w:unhideWhenUsed/>
    <w:rsid w:val="00294950"/>
  </w:style>
  <w:style w:type="character" w:styleId="Emphasis">
    <w:name w:val="Emphasis"/>
    <w:basedOn w:val="DefaultParagraphFont"/>
    <w:uiPriority w:val="20"/>
    <w:qFormat/>
    <w:rsid w:val="0083339C"/>
    <w:rPr>
      <w:i/>
      <w:iCs/>
    </w:rPr>
  </w:style>
  <w:style w:type="character" w:customStyle="1" w:styleId="cf01">
    <w:name w:val="cf01"/>
    <w:basedOn w:val="DefaultParagraphFont"/>
    <w:rsid w:val="00001351"/>
    <w:rPr>
      <w:rFonts w:ascii="Segoe UI" w:hAnsi="Segoe UI" w:cs="Segoe UI" w:hint="default"/>
      <w:color w:val="222222"/>
      <w:sz w:val="18"/>
      <w:szCs w:val="18"/>
    </w:rPr>
  </w:style>
  <w:style w:type="character" w:customStyle="1" w:styleId="cf11">
    <w:name w:val="cf11"/>
    <w:basedOn w:val="DefaultParagraphFont"/>
    <w:rsid w:val="00001351"/>
    <w:rPr>
      <w:rFonts w:ascii="Segoe UI" w:hAnsi="Segoe UI" w:cs="Segoe UI" w:hint="default"/>
      <w:i/>
      <w:iCs/>
      <w:color w:val="222222"/>
      <w:sz w:val="18"/>
      <w:szCs w:val="18"/>
    </w:rPr>
  </w:style>
  <w:style w:type="paragraph" w:styleId="PlainText">
    <w:name w:val="Plain Text"/>
    <w:basedOn w:val="Normal"/>
    <w:link w:val="PlainTextChar"/>
    <w:uiPriority w:val="99"/>
    <w:semiHidden/>
    <w:unhideWhenUsed/>
    <w:rsid w:val="00A4191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A41912"/>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2546">
      <w:bodyDiv w:val="1"/>
      <w:marLeft w:val="0"/>
      <w:marRight w:val="0"/>
      <w:marTop w:val="0"/>
      <w:marBottom w:val="0"/>
      <w:divBdr>
        <w:top w:val="none" w:sz="0" w:space="0" w:color="auto"/>
        <w:left w:val="none" w:sz="0" w:space="0" w:color="auto"/>
        <w:bottom w:val="none" w:sz="0" w:space="0" w:color="auto"/>
        <w:right w:val="none" w:sz="0" w:space="0" w:color="auto"/>
      </w:divBdr>
      <w:divsChild>
        <w:div w:id="690768551">
          <w:marLeft w:val="0"/>
          <w:marRight w:val="0"/>
          <w:marTop w:val="0"/>
          <w:marBottom w:val="0"/>
          <w:divBdr>
            <w:top w:val="none" w:sz="0" w:space="0" w:color="auto"/>
            <w:left w:val="none" w:sz="0" w:space="0" w:color="auto"/>
            <w:bottom w:val="none" w:sz="0" w:space="0" w:color="auto"/>
            <w:right w:val="none" w:sz="0" w:space="0" w:color="auto"/>
          </w:divBdr>
          <w:divsChild>
            <w:div w:id="613056081">
              <w:marLeft w:val="0"/>
              <w:marRight w:val="0"/>
              <w:marTop w:val="0"/>
              <w:marBottom w:val="0"/>
              <w:divBdr>
                <w:top w:val="none" w:sz="0" w:space="0" w:color="auto"/>
                <w:left w:val="none" w:sz="0" w:space="0" w:color="auto"/>
                <w:bottom w:val="none" w:sz="0" w:space="0" w:color="auto"/>
                <w:right w:val="none" w:sz="0" w:space="0" w:color="auto"/>
              </w:divBdr>
              <w:divsChild>
                <w:div w:id="5765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7878">
      <w:bodyDiv w:val="1"/>
      <w:marLeft w:val="0"/>
      <w:marRight w:val="0"/>
      <w:marTop w:val="0"/>
      <w:marBottom w:val="0"/>
      <w:divBdr>
        <w:top w:val="none" w:sz="0" w:space="0" w:color="auto"/>
        <w:left w:val="none" w:sz="0" w:space="0" w:color="auto"/>
        <w:bottom w:val="none" w:sz="0" w:space="0" w:color="auto"/>
        <w:right w:val="none" w:sz="0" w:space="0" w:color="auto"/>
      </w:divBdr>
    </w:div>
    <w:div w:id="306984012">
      <w:bodyDiv w:val="1"/>
      <w:marLeft w:val="0"/>
      <w:marRight w:val="0"/>
      <w:marTop w:val="0"/>
      <w:marBottom w:val="0"/>
      <w:divBdr>
        <w:top w:val="none" w:sz="0" w:space="0" w:color="auto"/>
        <w:left w:val="none" w:sz="0" w:space="0" w:color="auto"/>
        <w:bottom w:val="none" w:sz="0" w:space="0" w:color="auto"/>
        <w:right w:val="none" w:sz="0" w:space="0" w:color="auto"/>
      </w:divBdr>
    </w:div>
    <w:div w:id="371418071">
      <w:bodyDiv w:val="1"/>
      <w:marLeft w:val="0"/>
      <w:marRight w:val="0"/>
      <w:marTop w:val="0"/>
      <w:marBottom w:val="0"/>
      <w:divBdr>
        <w:top w:val="none" w:sz="0" w:space="0" w:color="auto"/>
        <w:left w:val="none" w:sz="0" w:space="0" w:color="auto"/>
        <w:bottom w:val="none" w:sz="0" w:space="0" w:color="auto"/>
        <w:right w:val="none" w:sz="0" w:space="0" w:color="auto"/>
      </w:divBdr>
    </w:div>
    <w:div w:id="399866772">
      <w:bodyDiv w:val="1"/>
      <w:marLeft w:val="0"/>
      <w:marRight w:val="0"/>
      <w:marTop w:val="0"/>
      <w:marBottom w:val="0"/>
      <w:divBdr>
        <w:top w:val="none" w:sz="0" w:space="0" w:color="auto"/>
        <w:left w:val="none" w:sz="0" w:space="0" w:color="auto"/>
        <w:bottom w:val="none" w:sz="0" w:space="0" w:color="auto"/>
        <w:right w:val="none" w:sz="0" w:space="0" w:color="auto"/>
      </w:divBdr>
    </w:div>
    <w:div w:id="493647652">
      <w:bodyDiv w:val="1"/>
      <w:marLeft w:val="0"/>
      <w:marRight w:val="0"/>
      <w:marTop w:val="0"/>
      <w:marBottom w:val="0"/>
      <w:divBdr>
        <w:top w:val="none" w:sz="0" w:space="0" w:color="auto"/>
        <w:left w:val="none" w:sz="0" w:space="0" w:color="auto"/>
        <w:bottom w:val="none" w:sz="0" w:space="0" w:color="auto"/>
        <w:right w:val="none" w:sz="0" w:space="0" w:color="auto"/>
      </w:divBdr>
    </w:div>
    <w:div w:id="510796601">
      <w:bodyDiv w:val="1"/>
      <w:marLeft w:val="0"/>
      <w:marRight w:val="0"/>
      <w:marTop w:val="0"/>
      <w:marBottom w:val="0"/>
      <w:divBdr>
        <w:top w:val="none" w:sz="0" w:space="0" w:color="auto"/>
        <w:left w:val="none" w:sz="0" w:space="0" w:color="auto"/>
        <w:bottom w:val="none" w:sz="0" w:space="0" w:color="auto"/>
        <w:right w:val="none" w:sz="0" w:space="0" w:color="auto"/>
      </w:divBdr>
      <w:divsChild>
        <w:div w:id="984433309">
          <w:marLeft w:val="0"/>
          <w:marRight w:val="0"/>
          <w:marTop w:val="0"/>
          <w:marBottom w:val="0"/>
          <w:divBdr>
            <w:top w:val="none" w:sz="0" w:space="0" w:color="auto"/>
            <w:left w:val="none" w:sz="0" w:space="0" w:color="auto"/>
            <w:bottom w:val="none" w:sz="0" w:space="0" w:color="auto"/>
            <w:right w:val="none" w:sz="0" w:space="0" w:color="auto"/>
          </w:divBdr>
          <w:divsChild>
            <w:div w:id="1182862278">
              <w:marLeft w:val="0"/>
              <w:marRight w:val="0"/>
              <w:marTop w:val="0"/>
              <w:marBottom w:val="0"/>
              <w:divBdr>
                <w:top w:val="none" w:sz="0" w:space="0" w:color="auto"/>
                <w:left w:val="none" w:sz="0" w:space="0" w:color="auto"/>
                <w:bottom w:val="none" w:sz="0" w:space="0" w:color="auto"/>
                <w:right w:val="none" w:sz="0" w:space="0" w:color="auto"/>
              </w:divBdr>
              <w:divsChild>
                <w:div w:id="21001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0778">
      <w:bodyDiv w:val="1"/>
      <w:marLeft w:val="0"/>
      <w:marRight w:val="0"/>
      <w:marTop w:val="0"/>
      <w:marBottom w:val="0"/>
      <w:divBdr>
        <w:top w:val="none" w:sz="0" w:space="0" w:color="auto"/>
        <w:left w:val="none" w:sz="0" w:space="0" w:color="auto"/>
        <w:bottom w:val="none" w:sz="0" w:space="0" w:color="auto"/>
        <w:right w:val="none" w:sz="0" w:space="0" w:color="auto"/>
      </w:divBdr>
    </w:div>
    <w:div w:id="728385977">
      <w:bodyDiv w:val="1"/>
      <w:marLeft w:val="0"/>
      <w:marRight w:val="0"/>
      <w:marTop w:val="0"/>
      <w:marBottom w:val="0"/>
      <w:divBdr>
        <w:top w:val="none" w:sz="0" w:space="0" w:color="auto"/>
        <w:left w:val="none" w:sz="0" w:space="0" w:color="auto"/>
        <w:bottom w:val="none" w:sz="0" w:space="0" w:color="auto"/>
        <w:right w:val="none" w:sz="0" w:space="0" w:color="auto"/>
      </w:divBdr>
    </w:div>
    <w:div w:id="817262879">
      <w:bodyDiv w:val="1"/>
      <w:marLeft w:val="0"/>
      <w:marRight w:val="0"/>
      <w:marTop w:val="0"/>
      <w:marBottom w:val="0"/>
      <w:divBdr>
        <w:top w:val="none" w:sz="0" w:space="0" w:color="auto"/>
        <w:left w:val="none" w:sz="0" w:space="0" w:color="auto"/>
        <w:bottom w:val="none" w:sz="0" w:space="0" w:color="auto"/>
        <w:right w:val="none" w:sz="0" w:space="0" w:color="auto"/>
      </w:divBdr>
    </w:div>
    <w:div w:id="1048725970">
      <w:bodyDiv w:val="1"/>
      <w:marLeft w:val="0"/>
      <w:marRight w:val="0"/>
      <w:marTop w:val="0"/>
      <w:marBottom w:val="0"/>
      <w:divBdr>
        <w:top w:val="none" w:sz="0" w:space="0" w:color="auto"/>
        <w:left w:val="none" w:sz="0" w:space="0" w:color="auto"/>
        <w:bottom w:val="none" w:sz="0" w:space="0" w:color="auto"/>
        <w:right w:val="none" w:sz="0" w:space="0" w:color="auto"/>
      </w:divBdr>
    </w:div>
    <w:div w:id="1142768431">
      <w:bodyDiv w:val="1"/>
      <w:marLeft w:val="0"/>
      <w:marRight w:val="0"/>
      <w:marTop w:val="0"/>
      <w:marBottom w:val="0"/>
      <w:divBdr>
        <w:top w:val="none" w:sz="0" w:space="0" w:color="auto"/>
        <w:left w:val="none" w:sz="0" w:space="0" w:color="auto"/>
        <w:bottom w:val="none" w:sz="0" w:space="0" w:color="auto"/>
        <w:right w:val="none" w:sz="0" w:space="0" w:color="auto"/>
      </w:divBdr>
      <w:divsChild>
        <w:div w:id="1595479380">
          <w:marLeft w:val="0"/>
          <w:marRight w:val="0"/>
          <w:marTop w:val="0"/>
          <w:marBottom w:val="0"/>
          <w:divBdr>
            <w:top w:val="none" w:sz="0" w:space="0" w:color="auto"/>
            <w:left w:val="none" w:sz="0" w:space="0" w:color="auto"/>
            <w:bottom w:val="none" w:sz="0" w:space="0" w:color="auto"/>
            <w:right w:val="none" w:sz="0" w:space="0" w:color="auto"/>
          </w:divBdr>
          <w:divsChild>
            <w:div w:id="684674866">
              <w:marLeft w:val="0"/>
              <w:marRight w:val="0"/>
              <w:marTop w:val="0"/>
              <w:marBottom w:val="0"/>
              <w:divBdr>
                <w:top w:val="none" w:sz="0" w:space="0" w:color="auto"/>
                <w:left w:val="none" w:sz="0" w:space="0" w:color="auto"/>
                <w:bottom w:val="none" w:sz="0" w:space="0" w:color="auto"/>
                <w:right w:val="none" w:sz="0" w:space="0" w:color="auto"/>
              </w:divBdr>
              <w:divsChild>
                <w:div w:id="4001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8754">
      <w:bodyDiv w:val="1"/>
      <w:marLeft w:val="0"/>
      <w:marRight w:val="0"/>
      <w:marTop w:val="0"/>
      <w:marBottom w:val="0"/>
      <w:divBdr>
        <w:top w:val="none" w:sz="0" w:space="0" w:color="auto"/>
        <w:left w:val="none" w:sz="0" w:space="0" w:color="auto"/>
        <w:bottom w:val="none" w:sz="0" w:space="0" w:color="auto"/>
        <w:right w:val="none" w:sz="0" w:space="0" w:color="auto"/>
      </w:divBdr>
    </w:div>
    <w:div w:id="1403988714">
      <w:bodyDiv w:val="1"/>
      <w:marLeft w:val="0"/>
      <w:marRight w:val="0"/>
      <w:marTop w:val="0"/>
      <w:marBottom w:val="0"/>
      <w:divBdr>
        <w:top w:val="none" w:sz="0" w:space="0" w:color="auto"/>
        <w:left w:val="none" w:sz="0" w:space="0" w:color="auto"/>
        <w:bottom w:val="none" w:sz="0" w:space="0" w:color="auto"/>
        <w:right w:val="none" w:sz="0" w:space="0" w:color="auto"/>
      </w:divBdr>
    </w:div>
    <w:div w:id="1480918998">
      <w:bodyDiv w:val="1"/>
      <w:marLeft w:val="0"/>
      <w:marRight w:val="0"/>
      <w:marTop w:val="0"/>
      <w:marBottom w:val="0"/>
      <w:divBdr>
        <w:top w:val="none" w:sz="0" w:space="0" w:color="auto"/>
        <w:left w:val="none" w:sz="0" w:space="0" w:color="auto"/>
        <w:bottom w:val="none" w:sz="0" w:space="0" w:color="auto"/>
        <w:right w:val="none" w:sz="0" w:space="0" w:color="auto"/>
      </w:divBdr>
    </w:div>
    <w:div w:id="1534611355">
      <w:bodyDiv w:val="1"/>
      <w:marLeft w:val="0"/>
      <w:marRight w:val="0"/>
      <w:marTop w:val="0"/>
      <w:marBottom w:val="0"/>
      <w:divBdr>
        <w:top w:val="none" w:sz="0" w:space="0" w:color="auto"/>
        <w:left w:val="none" w:sz="0" w:space="0" w:color="auto"/>
        <w:bottom w:val="none" w:sz="0" w:space="0" w:color="auto"/>
        <w:right w:val="none" w:sz="0" w:space="0" w:color="auto"/>
      </w:divBdr>
    </w:div>
    <w:div w:id="1648852465">
      <w:bodyDiv w:val="1"/>
      <w:marLeft w:val="0"/>
      <w:marRight w:val="0"/>
      <w:marTop w:val="0"/>
      <w:marBottom w:val="0"/>
      <w:divBdr>
        <w:top w:val="none" w:sz="0" w:space="0" w:color="auto"/>
        <w:left w:val="none" w:sz="0" w:space="0" w:color="auto"/>
        <w:bottom w:val="none" w:sz="0" w:space="0" w:color="auto"/>
        <w:right w:val="none" w:sz="0" w:space="0" w:color="auto"/>
      </w:divBdr>
      <w:divsChild>
        <w:div w:id="1745296595">
          <w:marLeft w:val="0"/>
          <w:marRight w:val="0"/>
          <w:marTop w:val="0"/>
          <w:marBottom w:val="0"/>
          <w:divBdr>
            <w:top w:val="none" w:sz="0" w:space="0" w:color="auto"/>
            <w:left w:val="none" w:sz="0" w:space="0" w:color="auto"/>
            <w:bottom w:val="none" w:sz="0" w:space="0" w:color="auto"/>
            <w:right w:val="none" w:sz="0" w:space="0" w:color="auto"/>
          </w:divBdr>
          <w:divsChild>
            <w:div w:id="1335691557">
              <w:marLeft w:val="0"/>
              <w:marRight w:val="0"/>
              <w:marTop w:val="0"/>
              <w:marBottom w:val="0"/>
              <w:divBdr>
                <w:top w:val="none" w:sz="0" w:space="0" w:color="auto"/>
                <w:left w:val="none" w:sz="0" w:space="0" w:color="auto"/>
                <w:bottom w:val="none" w:sz="0" w:space="0" w:color="auto"/>
                <w:right w:val="none" w:sz="0" w:space="0" w:color="auto"/>
              </w:divBdr>
              <w:divsChild>
                <w:div w:id="9377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2576">
      <w:bodyDiv w:val="1"/>
      <w:marLeft w:val="0"/>
      <w:marRight w:val="0"/>
      <w:marTop w:val="0"/>
      <w:marBottom w:val="0"/>
      <w:divBdr>
        <w:top w:val="none" w:sz="0" w:space="0" w:color="auto"/>
        <w:left w:val="none" w:sz="0" w:space="0" w:color="auto"/>
        <w:bottom w:val="none" w:sz="0" w:space="0" w:color="auto"/>
        <w:right w:val="none" w:sz="0" w:space="0" w:color="auto"/>
      </w:divBdr>
      <w:divsChild>
        <w:div w:id="514000202">
          <w:marLeft w:val="0"/>
          <w:marRight w:val="0"/>
          <w:marTop w:val="0"/>
          <w:marBottom w:val="0"/>
          <w:divBdr>
            <w:top w:val="none" w:sz="0" w:space="0" w:color="auto"/>
            <w:left w:val="none" w:sz="0" w:space="0" w:color="auto"/>
            <w:bottom w:val="none" w:sz="0" w:space="0" w:color="auto"/>
            <w:right w:val="none" w:sz="0" w:space="0" w:color="auto"/>
          </w:divBdr>
          <w:divsChild>
            <w:div w:id="12342946">
              <w:marLeft w:val="0"/>
              <w:marRight w:val="0"/>
              <w:marTop w:val="0"/>
              <w:marBottom w:val="0"/>
              <w:divBdr>
                <w:top w:val="none" w:sz="0" w:space="0" w:color="auto"/>
                <w:left w:val="none" w:sz="0" w:space="0" w:color="auto"/>
                <w:bottom w:val="none" w:sz="0" w:space="0" w:color="auto"/>
                <w:right w:val="none" w:sz="0" w:space="0" w:color="auto"/>
              </w:divBdr>
              <w:divsChild>
                <w:div w:id="9216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30339">
      <w:bodyDiv w:val="1"/>
      <w:marLeft w:val="0"/>
      <w:marRight w:val="0"/>
      <w:marTop w:val="0"/>
      <w:marBottom w:val="0"/>
      <w:divBdr>
        <w:top w:val="none" w:sz="0" w:space="0" w:color="auto"/>
        <w:left w:val="none" w:sz="0" w:space="0" w:color="auto"/>
        <w:bottom w:val="none" w:sz="0" w:space="0" w:color="auto"/>
        <w:right w:val="none" w:sz="0" w:space="0" w:color="auto"/>
      </w:divBdr>
    </w:div>
    <w:div w:id="1801415664">
      <w:bodyDiv w:val="1"/>
      <w:marLeft w:val="0"/>
      <w:marRight w:val="0"/>
      <w:marTop w:val="0"/>
      <w:marBottom w:val="0"/>
      <w:divBdr>
        <w:top w:val="none" w:sz="0" w:space="0" w:color="auto"/>
        <w:left w:val="none" w:sz="0" w:space="0" w:color="auto"/>
        <w:bottom w:val="none" w:sz="0" w:space="0" w:color="auto"/>
        <w:right w:val="none" w:sz="0" w:space="0" w:color="auto"/>
      </w:divBdr>
    </w:div>
    <w:div w:id="1898320501">
      <w:bodyDiv w:val="1"/>
      <w:marLeft w:val="0"/>
      <w:marRight w:val="0"/>
      <w:marTop w:val="0"/>
      <w:marBottom w:val="0"/>
      <w:divBdr>
        <w:top w:val="none" w:sz="0" w:space="0" w:color="auto"/>
        <w:left w:val="none" w:sz="0" w:space="0" w:color="auto"/>
        <w:bottom w:val="none" w:sz="0" w:space="0" w:color="auto"/>
        <w:right w:val="none" w:sz="0" w:space="0" w:color="auto"/>
      </w:divBdr>
    </w:div>
    <w:div w:id="2122459026">
      <w:bodyDiv w:val="1"/>
      <w:marLeft w:val="0"/>
      <w:marRight w:val="0"/>
      <w:marTop w:val="0"/>
      <w:marBottom w:val="0"/>
      <w:divBdr>
        <w:top w:val="none" w:sz="0" w:space="0" w:color="auto"/>
        <w:left w:val="none" w:sz="0" w:space="0" w:color="auto"/>
        <w:bottom w:val="none" w:sz="0" w:space="0" w:color="auto"/>
        <w:right w:val="none" w:sz="0" w:space="0" w:color="auto"/>
      </w:divBdr>
      <w:divsChild>
        <w:div w:id="201477676">
          <w:marLeft w:val="0"/>
          <w:marRight w:val="0"/>
          <w:marTop w:val="0"/>
          <w:marBottom w:val="0"/>
          <w:divBdr>
            <w:top w:val="none" w:sz="0" w:space="0" w:color="auto"/>
            <w:left w:val="none" w:sz="0" w:space="0" w:color="auto"/>
            <w:bottom w:val="none" w:sz="0" w:space="0" w:color="auto"/>
            <w:right w:val="none" w:sz="0" w:space="0" w:color="auto"/>
          </w:divBdr>
          <w:divsChild>
            <w:div w:id="1407072914">
              <w:marLeft w:val="0"/>
              <w:marRight w:val="0"/>
              <w:marTop w:val="0"/>
              <w:marBottom w:val="0"/>
              <w:divBdr>
                <w:top w:val="none" w:sz="0" w:space="0" w:color="auto"/>
                <w:left w:val="none" w:sz="0" w:space="0" w:color="auto"/>
                <w:bottom w:val="none" w:sz="0" w:space="0" w:color="auto"/>
                <w:right w:val="none" w:sz="0" w:space="0" w:color="auto"/>
              </w:divBdr>
              <w:divsChild>
                <w:div w:id="1298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7888">
          <w:marLeft w:val="0"/>
          <w:marRight w:val="0"/>
          <w:marTop w:val="0"/>
          <w:marBottom w:val="0"/>
          <w:divBdr>
            <w:top w:val="none" w:sz="0" w:space="0" w:color="auto"/>
            <w:left w:val="none" w:sz="0" w:space="0" w:color="auto"/>
            <w:bottom w:val="none" w:sz="0" w:space="0" w:color="auto"/>
            <w:right w:val="none" w:sz="0" w:space="0" w:color="auto"/>
          </w:divBdr>
          <w:divsChild>
            <w:div w:id="933976591">
              <w:marLeft w:val="0"/>
              <w:marRight w:val="0"/>
              <w:marTop w:val="0"/>
              <w:marBottom w:val="0"/>
              <w:divBdr>
                <w:top w:val="none" w:sz="0" w:space="0" w:color="auto"/>
                <w:left w:val="none" w:sz="0" w:space="0" w:color="auto"/>
                <w:bottom w:val="none" w:sz="0" w:space="0" w:color="auto"/>
                <w:right w:val="none" w:sz="0" w:space="0" w:color="auto"/>
              </w:divBdr>
              <w:divsChild>
                <w:div w:id="1728647407">
                  <w:marLeft w:val="0"/>
                  <w:marRight w:val="0"/>
                  <w:marTop w:val="0"/>
                  <w:marBottom w:val="0"/>
                  <w:divBdr>
                    <w:top w:val="none" w:sz="0" w:space="0" w:color="auto"/>
                    <w:left w:val="none" w:sz="0" w:space="0" w:color="auto"/>
                    <w:bottom w:val="none" w:sz="0" w:space="0" w:color="auto"/>
                    <w:right w:val="none" w:sz="0" w:space="0" w:color="auto"/>
                  </w:divBdr>
                </w:div>
              </w:divsChild>
            </w:div>
            <w:div w:id="1621373121">
              <w:marLeft w:val="0"/>
              <w:marRight w:val="0"/>
              <w:marTop w:val="0"/>
              <w:marBottom w:val="0"/>
              <w:divBdr>
                <w:top w:val="none" w:sz="0" w:space="0" w:color="auto"/>
                <w:left w:val="none" w:sz="0" w:space="0" w:color="auto"/>
                <w:bottom w:val="none" w:sz="0" w:space="0" w:color="auto"/>
                <w:right w:val="none" w:sz="0" w:space="0" w:color="auto"/>
              </w:divBdr>
              <w:divsChild>
                <w:div w:id="15990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dutordoir@manchester.ac.uk" TargetMode="External"/><Relationship Id="rId13" Type="http://schemas.openxmlformats.org/officeDocument/2006/relationships/hyperlink" Target="javascript:void(0);" TargetMode="External"/><Relationship Id="rId18" Type="http://schemas.openxmlformats.org/officeDocument/2006/relationships/hyperlink" Target="https://www.gibsondunn.com/wp-content/uploads/2018/01/CAP-Convertible-Notes-Overview.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alamos.co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ngzeng@polyu.edu.hk"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mailto:liang.xu@manchester.ac.uk" TargetMode="External"/><Relationship Id="rId19" Type="http://schemas.openxmlformats.org/officeDocument/2006/relationships/hyperlink" Target="https://www.oaktreecapital.com/insights/insight-commentary/market-commentary/the-case-for-convertible-bonds%20" TargetMode="External"/><Relationship Id="rId4" Type="http://schemas.openxmlformats.org/officeDocument/2006/relationships/settings" Target="settings.xml"/><Relationship Id="rId9" Type="http://schemas.openxmlformats.org/officeDocument/2006/relationships/hyperlink" Target="mailto:k.pappas@liverpool.ac.uk"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61D2C5-C5D2-47A1-B00F-56D94F76E362}">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BE8B-E41E-4EFE-BF10-76E33F37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16609</Words>
  <Characters>94673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Dutordoir</dc:creator>
  <cp:keywords/>
  <dc:description/>
  <cp:lastModifiedBy>Pappas, Kostas</cp:lastModifiedBy>
  <cp:revision>6</cp:revision>
  <cp:lastPrinted>2022-12-22T12:19:00Z</cp:lastPrinted>
  <dcterms:created xsi:type="dcterms:W3CDTF">2022-12-26T19:24:00Z</dcterms:created>
  <dcterms:modified xsi:type="dcterms:W3CDTF">2023-02-22T21:55:00Z</dcterms:modified>
</cp:coreProperties>
</file>