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9631B" w14:textId="77777777" w:rsidR="00A40A08" w:rsidRDefault="00A40A08">
      <w:pPr>
        <w:rPr>
          <w:rFonts w:eastAsiaTheme="minorHAnsi"/>
          <w:lang w:eastAsia="en-US"/>
        </w:rPr>
      </w:pPr>
      <w:bookmarkStart w:id="0" w:name="_GoBack"/>
      <w:bookmarkEnd w:id="0"/>
    </w:p>
    <w:p w14:paraId="29CBBB15" w14:textId="77777777" w:rsidR="00A40A08" w:rsidRDefault="00A40A08">
      <w:pPr>
        <w:rPr>
          <w:rFonts w:eastAsiaTheme="minorHAnsi"/>
          <w:lang w:eastAsia="en-US"/>
        </w:rPr>
      </w:pPr>
    </w:p>
    <w:p w14:paraId="07D4D7EB" w14:textId="77777777" w:rsidR="00A40A08" w:rsidRDefault="00A40A08">
      <w:pPr>
        <w:rPr>
          <w:rFonts w:eastAsiaTheme="minorHAnsi"/>
          <w:lang w:eastAsia="en-US"/>
        </w:rPr>
      </w:pPr>
    </w:p>
    <w:p w14:paraId="0B6C0A32" w14:textId="77777777" w:rsidR="00A40A08" w:rsidRDefault="00A40A08">
      <w:pPr>
        <w:rPr>
          <w:rFonts w:eastAsiaTheme="minorHAnsi"/>
          <w:lang w:eastAsia="en-US"/>
        </w:rPr>
      </w:pPr>
    </w:p>
    <w:p w14:paraId="4ACFE001" w14:textId="77777777" w:rsidR="00A40A08" w:rsidRDefault="00A40A08">
      <w:pPr>
        <w:rPr>
          <w:rFonts w:eastAsiaTheme="minorHAnsi"/>
          <w:lang w:eastAsia="en-US"/>
        </w:rPr>
      </w:pPr>
    </w:p>
    <w:p w14:paraId="23D156EA" w14:textId="77777777" w:rsidR="00A40A08" w:rsidRDefault="00A40A08">
      <w:pPr>
        <w:rPr>
          <w:rFonts w:eastAsiaTheme="minorHAnsi"/>
          <w:lang w:eastAsia="en-US"/>
        </w:rPr>
      </w:pPr>
    </w:p>
    <w:p w14:paraId="31000C9A" w14:textId="77777777" w:rsidR="00A40A08" w:rsidRDefault="00A40A08">
      <w:pPr>
        <w:rPr>
          <w:rFonts w:eastAsiaTheme="minorHAnsi"/>
          <w:lang w:eastAsia="en-US"/>
        </w:rPr>
      </w:pPr>
    </w:p>
    <w:p w14:paraId="69F02F42" w14:textId="77777777" w:rsidR="00A40A08" w:rsidRDefault="00A40A08">
      <w:pPr>
        <w:rPr>
          <w:rFonts w:eastAsiaTheme="minorHAnsi"/>
          <w:lang w:eastAsia="en-US"/>
        </w:rPr>
      </w:pPr>
    </w:p>
    <w:p w14:paraId="3E51E379" w14:textId="77777777" w:rsidR="00A40A08" w:rsidRDefault="00A40A08">
      <w:pPr>
        <w:rPr>
          <w:rFonts w:eastAsiaTheme="minorHAnsi"/>
          <w:lang w:eastAsia="en-US"/>
        </w:rPr>
      </w:pPr>
    </w:p>
    <w:p w14:paraId="66907365" w14:textId="77777777" w:rsidR="00A40A08" w:rsidRDefault="00A40A08">
      <w:pPr>
        <w:rPr>
          <w:rFonts w:eastAsiaTheme="minorHAnsi"/>
          <w:lang w:eastAsia="en-US"/>
        </w:rPr>
      </w:pPr>
    </w:p>
    <w:p w14:paraId="4EA7CCBF" w14:textId="77777777" w:rsidR="00A40A08" w:rsidRDefault="00A40A08">
      <w:pPr>
        <w:rPr>
          <w:rFonts w:eastAsiaTheme="minorHAnsi"/>
          <w:lang w:eastAsia="en-US"/>
        </w:rPr>
      </w:pPr>
    </w:p>
    <w:p w14:paraId="16669A2D" w14:textId="77777777" w:rsidR="00A40A08" w:rsidRDefault="00A40A08">
      <w:pPr>
        <w:rPr>
          <w:rFonts w:eastAsiaTheme="minorHAnsi"/>
          <w:lang w:eastAsia="en-US"/>
        </w:rPr>
      </w:pPr>
    </w:p>
    <w:p w14:paraId="52722DD2" w14:textId="2EBCF16F" w:rsidR="00257A9D" w:rsidRDefault="00257A9D" w:rsidP="00A40A08">
      <w:pPr>
        <w:spacing w:line="480" w:lineRule="auto"/>
        <w:jc w:val="center"/>
        <w:rPr>
          <w:rFonts w:eastAsiaTheme="minorHAnsi"/>
          <w:lang w:eastAsia="en-US"/>
        </w:rPr>
      </w:pPr>
      <w:r w:rsidRPr="00257A9D">
        <w:rPr>
          <w:rFonts w:eastAsiaTheme="minorHAnsi"/>
          <w:lang w:eastAsia="en-US"/>
        </w:rPr>
        <w:t xml:space="preserve">Timing is </w:t>
      </w:r>
      <w:proofErr w:type="gramStart"/>
      <w:r w:rsidRPr="00257A9D">
        <w:rPr>
          <w:rFonts w:eastAsiaTheme="minorHAnsi"/>
          <w:lang w:eastAsia="en-US"/>
        </w:rPr>
        <w:t>Everything</w:t>
      </w:r>
      <w:proofErr w:type="gramEnd"/>
      <w:r w:rsidRPr="00257A9D">
        <w:rPr>
          <w:rFonts w:eastAsiaTheme="minorHAnsi"/>
          <w:lang w:eastAsia="en-US"/>
        </w:rPr>
        <w:t>: Developmental Changes in the Associations between Intergroup Contact and Bias</w:t>
      </w:r>
    </w:p>
    <w:p w14:paraId="218708A4" w14:textId="77777777" w:rsidR="00257A9D" w:rsidRDefault="00257A9D">
      <w:pPr>
        <w:rPr>
          <w:rFonts w:eastAsiaTheme="minorHAnsi"/>
          <w:lang w:eastAsia="en-US"/>
        </w:rPr>
      </w:pPr>
      <w:r>
        <w:rPr>
          <w:rFonts w:eastAsiaTheme="minorHAnsi"/>
          <w:lang w:eastAsia="en-US"/>
        </w:rPr>
        <w:br w:type="page"/>
      </w:r>
    </w:p>
    <w:p w14:paraId="6332CBAF" w14:textId="77777777" w:rsidR="00257A9D" w:rsidRDefault="00257A9D">
      <w:pPr>
        <w:rPr>
          <w:rFonts w:eastAsiaTheme="minorHAnsi"/>
          <w:lang w:eastAsia="en-US"/>
        </w:rPr>
      </w:pPr>
    </w:p>
    <w:p w14:paraId="2BDC7BEF" w14:textId="309B5755" w:rsidR="005F174B" w:rsidRPr="000761BF" w:rsidRDefault="005F174B" w:rsidP="005F174B">
      <w:pPr>
        <w:spacing w:line="480" w:lineRule="auto"/>
        <w:jc w:val="center"/>
        <w:rPr>
          <w:rFonts w:eastAsiaTheme="minorHAnsi"/>
          <w:b/>
          <w:lang w:eastAsia="en-US"/>
        </w:rPr>
      </w:pPr>
      <w:r w:rsidRPr="000761BF">
        <w:rPr>
          <w:rFonts w:eastAsiaTheme="minorHAnsi"/>
          <w:b/>
          <w:lang w:eastAsia="en-US"/>
        </w:rPr>
        <w:t>Abstract</w:t>
      </w:r>
    </w:p>
    <w:p w14:paraId="6D2F3316" w14:textId="60233F3A" w:rsidR="00345727" w:rsidRPr="00FA4EB9" w:rsidRDefault="005F174B" w:rsidP="005F174B">
      <w:pPr>
        <w:spacing w:line="480" w:lineRule="auto"/>
        <w:rPr>
          <w:rFonts w:eastAsiaTheme="minorHAnsi"/>
          <w:lang w:eastAsia="en-US"/>
        </w:rPr>
      </w:pPr>
      <w:r w:rsidRPr="00FA4EB9">
        <w:rPr>
          <w:rFonts w:eastAsiaTheme="minorHAnsi"/>
          <w:lang w:eastAsia="en-US"/>
        </w:rPr>
        <w:t xml:space="preserve">Identifying developmental patterns in the links between intergroup contact and bias is crucial for the development of effective strategies to combat negative intergroup attitudes and behaviors. </w:t>
      </w:r>
      <w:r w:rsidR="00345727" w:rsidRPr="00FA4EB9">
        <w:rPr>
          <w:rFonts w:eastAsiaTheme="minorHAnsi"/>
          <w:lang w:eastAsia="en-US"/>
        </w:rPr>
        <w:t>Using a novel exploratory approach, t</w:t>
      </w:r>
      <w:r w:rsidRPr="00FA4EB9">
        <w:rPr>
          <w:rFonts w:eastAsiaTheme="minorHAnsi"/>
          <w:lang w:eastAsia="en-US"/>
        </w:rPr>
        <w:t xml:space="preserve">he current study applied time-varying effects modeling (TVEM) to examine age-based changes in relations between intergroup contact and intergroup bias in a divided community. </w:t>
      </w:r>
      <w:r w:rsidR="00345727" w:rsidRPr="00FA4EB9">
        <w:rPr>
          <w:rFonts w:eastAsiaTheme="minorHAnsi"/>
          <w:lang w:eastAsia="en-US"/>
        </w:rPr>
        <w:t xml:space="preserve">TVEM enables estimation of the true nature of change, rather than a pre-determined change function. </w:t>
      </w:r>
      <w:r w:rsidRPr="00FA4EB9">
        <w:rPr>
          <w:rFonts w:eastAsiaTheme="minorHAnsi"/>
          <w:lang w:eastAsia="en-US"/>
        </w:rPr>
        <w:t>Participants included 667 youth (</w:t>
      </w:r>
      <w:r w:rsidRPr="00FA4EB9">
        <w:rPr>
          <w:rFonts w:eastAsiaTheme="minorHAnsi"/>
          <w:i/>
          <w:lang w:eastAsia="en-US"/>
        </w:rPr>
        <w:t>M</w:t>
      </w:r>
      <w:r w:rsidRPr="00FA4EB9">
        <w:rPr>
          <w:rFonts w:eastAsiaTheme="minorHAnsi"/>
          <w:lang w:eastAsia="en-US"/>
        </w:rPr>
        <w:t xml:space="preserve"> age = 15.74, </w:t>
      </w:r>
      <w:r w:rsidRPr="00FA4EB9">
        <w:rPr>
          <w:rFonts w:eastAsiaTheme="minorHAnsi"/>
          <w:i/>
          <w:lang w:eastAsia="en-US"/>
        </w:rPr>
        <w:t>SD</w:t>
      </w:r>
      <w:r w:rsidR="00B17AB8" w:rsidRPr="00FA4EB9">
        <w:rPr>
          <w:rFonts w:eastAsiaTheme="minorHAnsi"/>
          <w:lang w:eastAsia="en-US"/>
        </w:rPr>
        <w:t xml:space="preserve"> = 1.97</w:t>
      </w:r>
      <w:r w:rsidRPr="00FA4EB9">
        <w:rPr>
          <w:rFonts w:eastAsiaTheme="minorHAnsi"/>
          <w:lang w:eastAsia="en-US"/>
        </w:rPr>
        <w:t>) from Belfast, Northern Ireland</w:t>
      </w:r>
      <w:r w:rsidR="00345727" w:rsidRPr="00FA4EB9">
        <w:rPr>
          <w:rFonts w:eastAsiaTheme="minorHAnsi"/>
          <w:lang w:eastAsia="en-US"/>
        </w:rPr>
        <w:t>, a conflict-affected setting</w:t>
      </w:r>
      <w:r w:rsidRPr="00FA4EB9">
        <w:rPr>
          <w:rFonts w:eastAsiaTheme="minorHAnsi"/>
          <w:lang w:eastAsia="en-US"/>
        </w:rPr>
        <w:t xml:space="preserve">. </w:t>
      </w:r>
      <w:r w:rsidR="0018193B" w:rsidRPr="00FA4EB9">
        <w:rPr>
          <w:rFonts w:eastAsiaTheme="minorHAnsi"/>
          <w:lang w:eastAsia="en-US"/>
        </w:rPr>
        <w:t>First, t</w:t>
      </w:r>
      <w:r w:rsidRPr="00FA4EB9">
        <w:rPr>
          <w:rFonts w:eastAsiaTheme="minorHAnsi"/>
          <w:lang w:eastAsia="en-US"/>
        </w:rPr>
        <w:t xml:space="preserve">he results suggest no change in the relation between contact frequency and bias through adolescence. </w:t>
      </w:r>
      <w:r w:rsidR="0018193B" w:rsidRPr="00FA4EB9">
        <w:rPr>
          <w:rFonts w:eastAsiaTheme="minorHAnsi"/>
          <w:lang w:eastAsia="en-US"/>
        </w:rPr>
        <w:t xml:space="preserve">Second, </w:t>
      </w:r>
      <w:r w:rsidRPr="00FA4EB9">
        <w:rPr>
          <w:rFonts w:eastAsiaTheme="minorHAnsi"/>
          <w:lang w:eastAsia="en-US"/>
        </w:rPr>
        <w:t xml:space="preserve">results </w:t>
      </w:r>
      <w:r w:rsidR="0018193B" w:rsidRPr="00FA4EB9">
        <w:rPr>
          <w:rFonts w:eastAsiaTheme="minorHAnsi"/>
          <w:lang w:eastAsia="en-US"/>
        </w:rPr>
        <w:t xml:space="preserve">found </w:t>
      </w:r>
      <w:r w:rsidRPr="00FA4EB9">
        <w:rPr>
          <w:rFonts w:eastAsiaTheme="minorHAnsi"/>
          <w:lang w:eastAsia="en-US"/>
        </w:rPr>
        <w:t>the relation between contact quality and bias increases from</w:t>
      </w:r>
      <w:r w:rsidR="0018193B" w:rsidRPr="00FA4EB9">
        <w:rPr>
          <w:rFonts w:eastAsiaTheme="minorHAnsi"/>
          <w:lang w:eastAsia="en-US"/>
        </w:rPr>
        <w:t xml:space="preserve"> ages</w:t>
      </w:r>
      <w:r w:rsidRPr="00FA4EB9">
        <w:rPr>
          <w:rFonts w:eastAsiaTheme="minorHAnsi"/>
          <w:lang w:eastAsia="en-US"/>
        </w:rPr>
        <w:t xml:space="preserve"> 10-14 and then levels off</w:t>
      </w:r>
      <w:r w:rsidR="0018193B" w:rsidRPr="00FA4EB9">
        <w:rPr>
          <w:rFonts w:eastAsiaTheme="minorHAnsi"/>
          <w:lang w:eastAsia="en-US"/>
        </w:rPr>
        <w:t xml:space="preserve"> in later adolescence</w:t>
      </w:r>
      <w:r w:rsidRPr="00FA4EB9">
        <w:rPr>
          <w:rFonts w:eastAsiaTheme="minorHAnsi"/>
          <w:lang w:eastAsia="en-US"/>
        </w:rPr>
        <w:t xml:space="preserve">. </w:t>
      </w:r>
      <w:r w:rsidR="0018193B" w:rsidRPr="00FA4EB9">
        <w:rPr>
          <w:rFonts w:eastAsiaTheme="minorHAnsi"/>
          <w:lang w:eastAsia="en-US"/>
        </w:rPr>
        <w:t>Finally, d</w:t>
      </w:r>
      <w:r w:rsidRPr="00FA4EB9">
        <w:rPr>
          <w:rFonts w:eastAsiaTheme="minorHAnsi"/>
          <w:lang w:eastAsia="en-US"/>
        </w:rPr>
        <w:t xml:space="preserve">ifferences in </w:t>
      </w:r>
      <w:r w:rsidR="0018193B" w:rsidRPr="00FA4EB9">
        <w:rPr>
          <w:rFonts w:eastAsiaTheme="minorHAnsi"/>
          <w:lang w:eastAsia="en-US"/>
        </w:rPr>
        <w:t xml:space="preserve">the association between contact quality and bias </w:t>
      </w:r>
      <w:r w:rsidRPr="00FA4EB9">
        <w:rPr>
          <w:rFonts w:eastAsiaTheme="minorHAnsi"/>
          <w:lang w:eastAsia="en-US"/>
        </w:rPr>
        <w:t>between Catholics</w:t>
      </w:r>
      <w:r w:rsidR="00345727" w:rsidRPr="00FA4EB9">
        <w:rPr>
          <w:rFonts w:eastAsiaTheme="minorHAnsi"/>
          <w:lang w:eastAsia="en-US"/>
        </w:rPr>
        <w:t>, the historic minority group,</w:t>
      </w:r>
      <w:r w:rsidRPr="00FA4EB9">
        <w:rPr>
          <w:rFonts w:eastAsiaTheme="minorHAnsi"/>
          <w:lang w:eastAsia="en-US"/>
        </w:rPr>
        <w:t xml:space="preserve"> and Protestants</w:t>
      </w:r>
      <w:r w:rsidR="00345727" w:rsidRPr="00FA4EB9">
        <w:rPr>
          <w:rFonts w:eastAsiaTheme="minorHAnsi"/>
          <w:lang w:eastAsia="en-US"/>
        </w:rPr>
        <w:t>, the historic majority group,</w:t>
      </w:r>
      <w:r w:rsidRPr="00FA4EB9">
        <w:rPr>
          <w:rFonts w:eastAsiaTheme="minorHAnsi"/>
          <w:lang w:eastAsia="en-US"/>
        </w:rPr>
        <w:t xml:space="preserve"> also emerged. </w:t>
      </w:r>
      <w:r w:rsidR="00345727" w:rsidRPr="00FA4EB9">
        <w:rPr>
          <w:rFonts w:eastAsiaTheme="minorHAnsi"/>
          <w:lang w:eastAsia="en-US"/>
        </w:rPr>
        <w:t xml:space="preserve">The findings </w:t>
      </w:r>
      <w:r w:rsidR="00784CBA" w:rsidRPr="00FA4EB9">
        <w:rPr>
          <w:rFonts w:eastAsiaTheme="minorHAnsi"/>
          <w:lang w:eastAsia="en-US"/>
        </w:rPr>
        <w:t>offer</w:t>
      </w:r>
      <w:r w:rsidR="00345727" w:rsidRPr="00FA4EB9">
        <w:rPr>
          <w:rFonts w:eastAsiaTheme="minorHAnsi"/>
          <w:lang w:eastAsia="en-US"/>
        </w:rPr>
        <w:t xml:space="preserve"> unique insight into the developmental changes in contact and bias; through advanced exploratory modelling, greater insight and precision of age-related changes emerges. The paper concludes with implications for future research and implications for interventions for the nearly</w:t>
      </w:r>
      <w:r w:rsidR="00345727" w:rsidRPr="00FA4EB9">
        <w:t xml:space="preserve"> one-fifth of children worldwide growing up amid conflict.</w:t>
      </w:r>
    </w:p>
    <w:p w14:paraId="22070478" w14:textId="77777777" w:rsidR="00345727" w:rsidRPr="00FA4EB9" w:rsidRDefault="00345727">
      <w:pPr>
        <w:rPr>
          <w:rFonts w:eastAsiaTheme="minorHAnsi"/>
          <w:lang w:eastAsia="en-US"/>
        </w:rPr>
      </w:pPr>
      <w:r w:rsidRPr="00FA4EB9">
        <w:rPr>
          <w:rFonts w:eastAsiaTheme="minorHAnsi"/>
          <w:lang w:eastAsia="en-US"/>
        </w:rPr>
        <w:br w:type="page"/>
      </w:r>
    </w:p>
    <w:p w14:paraId="16BF1243" w14:textId="42286066" w:rsidR="00D54938" w:rsidRPr="000761BF" w:rsidRDefault="00D54938" w:rsidP="00D54938">
      <w:pPr>
        <w:spacing w:line="480" w:lineRule="auto"/>
        <w:jc w:val="center"/>
        <w:rPr>
          <w:rFonts w:eastAsiaTheme="minorHAnsi"/>
          <w:b/>
          <w:lang w:eastAsia="en-US"/>
        </w:rPr>
      </w:pPr>
      <w:r w:rsidRPr="000761BF">
        <w:rPr>
          <w:rFonts w:eastAsiaTheme="minorHAnsi"/>
          <w:b/>
          <w:lang w:eastAsia="en-US"/>
        </w:rPr>
        <w:lastRenderedPageBreak/>
        <w:t xml:space="preserve">Timing is </w:t>
      </w:r>
      <w:proofErr w:type="gramStart"/>
      <w:r w:rsidRPr="000761BF">
        <w:rPr>
          <w:rFonts w:eastAsiaTheme="minorHAnsi"/>
          <w:b/>
          <w:lang w:eastAsia="en-US"/>
        </w:rPr>
        <w:t>Everything</w:t>
      </w:r>
      <w:proofErr w:type="gramEnd"/>
      <w:r w:rsidRPr="000761BF">
        <w:rPr>
          <w:rFonts w:eastAsiaTheme="minorHAnsi"/>
          <w:b/>
          <w:lang w:eastAsia="en-US"/>
        </w:rPr>
        <w:t>: Developmental Changes in the Associations between Intergroup Contact and Bias</w:t>
      </w:r>
    </w:p>
    <w:p w14:paraId="39CE4D5E" w14:textId="77777777" w:rsidR="000761BF" w:rsidRDefault="003F4A6B" w:rsidP="003F4A6B">
      <w:pPr>
        <w:spacing w:line="480" w:lineRule="auto"/>
        <w:ind w:firstLine="720"/>
        <w:rPr>
          <w:rFonts w:eastAsia="Times New Roman"/>
        </w:rPr>
      </w:pPr>
      <w:r w:rsidRPr="00FA4EB9">
        <w:rPr>
          <w:rFonts w:eastAsia="Times New Roman"/>
        </w:rPr>
        <w:t>The vast literature on i</w:t>
      </w:r>
      <w:r w:rsidR="00F4594F" w:rsidRPr="00FA4EB9">
        <w:rPr>
          <w:rFonts w:eastAsia="Times New Roman"/>
        </w:rPr>
        <w:t xml:space="preserve">ntergroup contact suggests </w:t>
      </w:r>
      <w:r w:rsidRPr="00FA4EB9">
        <w:rPr>
          <w:rFonts w:eastAsia="Times New Roman"/>
        </w:rPr>
        <w:t xml:space="preserve">positive contact is associated with </w:t>
      </w:r>
      <w:r w:rsidR="0009005B" w:rsidRPr="00FA4EB9">
        <w:rPr>
          <w:rFonts w:eastAsia="Times New Roman"/>
        </w:rPr>
        <w:t>more positive</w:t>
      </w:r>
      <w:r w:rsidRPr="00FA4EB9">
        <w:rPr>
          <w:rFonts w:eastAsia="Times New Roman"/>
        </w:rPr>
        <w:t xml:space="preserve"> intergroup attitudes (Al </w:t>
      </w:r>
      <w:proofErr w:type="spellStart"/>
      <w:r w:rsidRPr="00FA4EB9">
        <w:rPr>
          <w:rFonts w:eastAsia="Times New Roman"/>
        </w:rPr>
        <w:t>Ramiah</w:t>
      </w:r>
      <w:proofErr w:type="spellEnd"/>
      <w:r w:rsidRPr="00FA4EB9">
        <w:rPr>
          <w:rFonts w:eastAsia="Times New Roman"/>
        </w:rPr>
        <w:t xml:space="preserve"> &amp; </w:t>
      </w:r>
      <w:proofErr w:type="spellStart"/>
      <w:r w:rsidRPr="00FA4EB9">
        <w:rPr>
          <w:rFonts w:eastAsia="Times New Roman"/>
        </w:rPr>
        <w:t>Hewstone</w:t>
      </w:r>
      <w:proofErr w:type="spellEnd"/>
      <w:r w:rsidRPr="00FA4EB9">
        <w:rPr>
          <w:rFonts w:eastAsia="Times New Roman"/>
        </w:rPr>
        <w:t xml:space="preserve">, 2013; Brown &amp; </w:t>
      </w:r>
      <w:proofErr w:type="spellStart"/>
      <w:r w:rsidRPr="00FA4EB9">
        <w:rPr>
          <w:rFonts w:eastAsia="Times New Roman"/>
        </w:rPr>
        <w:t>Hewstone</w:t>
      </w:r>
      <w:proofErr w:type="spellEnd"/>
      <w:r w:rsidRPr="00FA4EB9">
        <w:rPr>
          <w:rFonts w:eastAsia="Times New Roman"/>
        </w:rPr>
        <w:t xml:space="preserve">, 2005; Pettigrew &amp; </w:t>
      </w:r>
      <w:proofErr w:type="spellStart"/>
      <w:r w:rsidRPr="00FA4EB9">
        <w:rPr>
          <w:rFonts w:eastAsia="Times New Roman"/>
        </w:rPr>
        <w:t>Tropp</w:t>
      </w:r>
      <w:proofErr w:type="spellEnd"/>
      <w:r w:rsidRPr="00FA4EB9">
        <w:rPr>
          <w:rFonts w:eastAsia="Times New Roman"/>
        </w:rPr>
        <w:t>, 2006).</w:t>
      </w:r>
      <w:r w:rsidR="00F4594F" w:rsidRPr="00FA4EB9">
        <w:rPr>
          <w:rFonts w:eastAsia="Times New Roman"/>
        </w:rPr>
        <w:t xml:space="preserve"> M</w:t>
      </w:r>
      <w:r w:rsidRPr="00FA4EB9">
        <w:rPr>
          <w:rFonts w:eastAsia="Times New Roman"/>
        </w:rPr>
        <w:t>eta-analyses have established the overall effect of contact and also identified the mediating mechanisms that explain this link</w:t>
      </w:r>
      <w:r w:rsidR="0009005B" w:rsidRPr="00FA4EB9">
        <w:rPr>
          <w:rFonts w:eastAsia="Times New Roman"/>
        </w:rPr>
        <w:t xml:space="preserve"> (e.g., Pettigrew &amp; </w:t>
      </w:r>
      <w:proofErr w:type="spellStart"/>
      <w:r w:rsidR="0009005B" w:rsidRPr="00FA4EB9">
        <w:rPr>
          <w:rFonts w:eastAsia="Times New Roman"/>
        </w:rPr>
        <w:t>Tropp</w:t>
      </w:r>
      <w:proofErr w:type="spellEnd"/>
      <w:r w:rsidR="0009005B" w:rsidRPr="00FA4EB9">
        <w:rPr>
          <w:rFonts w:eastAsia="Times New Roman"/>
        </w:rPr>
        <w:t>, 2008)</w:t>
      </w:r>
      <w:r w:rsidRPr="00FA4EB9">
        <w:rPr>
          <w:rFonts w:eastAsia="Times New Roman"/>
        </w:rPr>
        <w:t xml:space="preserve">. </w:t>
      </w:r>
      <w:r w:rsidR="0009005B" w:rsidRPr="00FA4EB9">
        <w:rPr>
          <w:rFonts w:eastAsia="Times New Roman"/>
        </w:rPr>
        <w:t>Previous</w:t>
      </w:r>
      <w:r w:rsidRPr="00FA4EB9">
        <w:rPr>
          <w:rFonts w:eastAsia="Times New Roman"/>
        </w:rPr>
        <w:t xml:space="preserve"> research </w:t>
      </w:r>
      <w:r>
        <w:rPr>
          <w:rFonts w:eastAsia="Times New Roman"/>
        </w:rPr>
        <w:t xml:space="preserve">has also identified moderators of contact, most notably that </w:t>
      </w:r>
      <w:r w:rsidRPr="00FB3554">
        <w:rPr>
          <w:rFonts w:eastAsia="Times New Roman"/>
        </w:rPr>
        <w:t>the success of contact depends on contact quality, or the degree to which the contact is cooperative, promotes equal status between groups and promotes intergroup friendships (</w:t>
      </w:r>
      <w:proofErr w:type="spellStart"/>
      <w:r w:rsidR="004E020E" w:rsidRPr="00FB3554">
        <w:rPr>
          <w:color w:val="000000" w:themeColor="text1"/>
          <w:kern w:val="24"/>
        </w:rPr>
        <w:t>Allport</w:t>
      </w:r>
      <w:proofErr w:type="spellEnd"/>
      <w:r w:rsidR="004E020E" w:rsidRPr="00FB3554">
        <w:rPr>
          <w:color w:val="000000" w:themeColor="text1"/>
          <w:kern w:val="24"/>
        </w:rPr>
        <w:t xml:space="preserve">, 1954; </w:t>
      </w:r>
      <w:proofErr w:type="spellStart"/>
      <w:r w:rsidR="004E020E" w:rsidRPr="00FB3554">
        <w:rPr>
          <w:color w:val="000000" w:themeColor="text1"/>
          <w:kern w:val="24"/>
        </w:rPr>
        <w:t>Tausch</w:t>
      </w:r>
      <w:proofErr w:type="spellEnd"/>
      <w:r w:rsidR="004E020E" w:rsidRPr="00FB3554">
        <w:rPr>
          <w:color w:val="000000" w:themeColor="text1"/>
          <w:kern w:val="24"/>
        </w:rPr>
        <w:t xml:space="preserve">, Tam, </w:t>
      </w:r>
      <w:proofErr w:type="spellStart"/>
      <w:r w:rsidR="004E020E" w:rsidRPr="00FB3554">
        <w:rPr>
          <w:color w:val="000000" w:themeColor="text1"/>
          <w:kern w:val="24"/>
        </w:rPr>
        <w:t>Hewstone</w:t>
      </w:r>
      <w:proofErr w:type="spellEnd"/>
      <w:r w:rsidR="004E020E" w:rsidRPr="00FB3554">
        <w:rPr>
          <w:color w:val="000000" w:themeColor="text1"/>
          <w:kern w:val="24"/>
        </w:rPr>
        <w:t xml:space="preserve">, </w:t>
      </w:r>
      <w:proofErr w:type="spellStart"/>
      <w:r w:rsidR="004E020E" w:rsidRPr="00FB3554">
        <w:rPr>
          <w:color w:val="000000" w:themeColor="text1"/>
          <w:kern w:val="24"/>
        </w:rPr>
        <w:t>Kenworthy</w:t>
      </w:r>
      <w:proofErr w:type="spellEnd"/>
      <w:r w:rsidR="004E020E" w:rsidRPr="00FB3554">
        <w:rPr>
          <w:color w:val="000000" w:themeColor="text1"/>
          <w:kern w:val="24"/>
        </w:rPr>
        <w:t>, &amp; Cairns, 2007</w:t>
      </w:r>
      <w:r w:rsidRPr="00FB3554">
        <w:rPr>
          <w:rFonts w:eastAsia="Times New Roman"/>
          <w:color w:val="222222"/>
        </w:rPr>
        <w:t>)</w:t>
      </w:r>
      <w:r w:rsidRPr="00FB3554">
        <w:rPr>
          <w:rFonts w:eastAsia="Times New Roman"/>
        </w:rPr>
        <w:t>. Growing out of social psychological</w:t>
      </w:r>
      <w:r>
        <w:rPr>
          <w:rFonts w:eastAsia="Times New Roman"/>
        </w:rPr>
        <w:t xml:space="preserve"> </w:t>
      </w:r>
      <w:r w:rsidR="008A16CA">
        <w:rPr>
          <w:rFonts w:eastAsia="Times New Roman"/>
        </w:rPr>
        <w:t>traditions, much of this research</w:t>
      </w:r>
      <w:r>
        <w:rPr>
          <w:rFonts w:eastAsia="Times New Roman"/>
        </w:rPr>
        <w:t xml:space="preserve"> focuses on adult populations and utilizes cross-sectional and experimental designs. </w:t>
      </w:r>
    </w:p>
    <w:p w14:paraId="4C35A39C" w14:textId="190D8DA5" w:rsidR="003F4A6B" w:rsidRPr="00FA4EB9" w:rsidRDefault="003F4A6B" w:rsidP="003F4A6B">
      <w:pPr>
        <w:spacing w:line="480" w:lineRule="auto"/>
        <w:ind w:firstLine="720"/>
        <w:rPr>
          <w:rFonts w:eastAsiaTheme="minorHAnsi"/>
          <w:lang w:eastAsia="en-US"/>
        </w:rPr>
      </w:pPr>
      <w:r>
        <w:rPr>
          <w:rFonts w:eastAsia="Times New Roman"/>
        </w:rPr>
        <w:t xml:space="preserve">More recently, researchers have expanded this work to understand the development of </w:t>
      </w:r>
      <w:r w:rsidRPr="00FA4EB9">
        <w:rPr>
          <w:rFonts w:eastAsia="Times New Roman"/>
        </w:rPr>
        <w:t xml:space="preserve">intergroup processes and how social processes such as contact </w:t>
      </w:r>
      <w:r w:rsidR="008A16CA" w:rsidRPr="00FA4EB9">
        <w:rPr>
          <w:rFonts w:eastAsia="Times New Roman"/>
        </w:rPr>
        <w:t xml:space="preserve">affect the development of intergroup </w:t>
      </w:r>
      <w:r w:rsidRPr="00FA4EB9">
        <w:rPr>
          <w:rFonts w:eastAsia="Times New Roman"/>
        </w:rPr>
        <w:t>attitudes (e.g. Christ et al., 2014; Merrilees et al., 2018)</w:t>
      </w:r>
      <w:r w:rsidR="00FF2851">
        <w:rPr>
          <w:rFonts w:eastAsia="Times New Roman"/>
        </w:rPr>
        <w:t>, including assessing these processes in adolescents</w:t>
      </w:r>
      <w:r w:rsidRPr="00FA4EB9">
        <w:rPr>
          <w:rFonts w:eastAsia="Times New Roman"/>
        </w:rPr>
        <w:t xml:space="preserve">. These models of change generally rely on the </w:t>
      </w:r>
      <w:r w:rsidR="000761BF" w:rsidRPr="00FA4EB9">
        <w:rPr>
          <w:rFonts w:eastAsia="Times New Roman"/>
        </w:rPr>
        <w:t>assumption</w:t>
      </w:r>
      <w:r w:rsidRPr="00FA4EB9">
        <w:rPr>
          <w:rFonts w:eastAsia="Times New Roman"/>
        </w:rPr>
        <w:t xml:space="preserve"> of linear models, suggesting that if social processes and their outcomes change, they do so in uniform ways, simply going up or down throughout the tested age-period. The current study extends these developmental models by applying</w:t>
      </w:r>
      <w:r w:rsidR="000761BF" w:rsidRPr="00FA4EB9">
        <w:rPr>
          <w:rFonts w:eastAsia="Times New Roman"/>
        </w:rPr>
        <w:t xml:space="preserve"> an exploratory</w:t>
      </w:r>
      <w:r w:rsidRPr="00FA4EB9">
        <w:rPr>
          <w:rFonts w:eastAsia="Times New Roman"/>
        </w:rPr>
        <w:t xml:space="preserve"> time-varying effects </w:t>
      </w:r>
      <w:r w:rsidRPr="002A5DC9">
        <w:rPr>
          <w:rFonts w:eastAsia="Times New Roman"/>
        </w:rPr>
        <w:t xml:space="preserve">modeling (TVEM; </w:t>
      </w:r>
      <w:r w:rsidRPr="002A5DC9">
        <w:t xml:space="preserve">Tan, </w:t>
      </w:r>
      <w:proofErr w:type="spellStart"/>
      <w:r w:rsidRPr="002A5DC9">
        <w:t>Shiyko</w:t>
      </w:r>
      <w:proofErr w:type="spellEnd"/>
      <w:r w:rsidRPr="002A5DC9">
        <w:t xml:space="preserve">, Li, Li, &amp; </w:t>
      </w:r>
      <w:proofErr w:type="spellStart"/>
      <w:r w:rsidRPr="002A5DC9">
        <w:t>Dierker</w:t>
      </w:r>
      <w:proofErr w:type="spellEnd"/>
      <w:r w:rsidRPr="002A5DC9">
        <w:t>, 2012</w:t>
      </w:r>
      <w:r w:rsidRPr="002A5DC9">
        <w:rPr>
          <w:rFonts w:eastAsia="Times New Roman"/>
        </w:rPr>
        <w:t xml:space="preserve">) to the relation between contact and intergroup bias </w:t>
      </w:r>
      <w:r w:rsidR="00166923">
        <w:rPr>
          <w:rFonts w:eastAsia="Times New Roman"/>
        </w:rPr>
        <w:t>throughout</w:t>
      </w:r>
      <w:r w:rsidR="00FB3554" w:rsidRPr="002A5DC9">
        <w:rPr>
          <w:rFonts w:eastAsia="Times New Roman"/>
        </w:rPr>
        <w:t xml:space="preserve"> adolescence</w:t>
      </w:r>
      <w:r w:rsidRPr="002A5DC9">
        <w:rPr>
          <w:rFonts w:eastAsia="Times New Roman"/>
        </w:rPr>
        <w:t xml:space="preserve">. </w:t>
      </w:r>
      <w:r w:rsidRPr="002A5DC9">
        <w:rPr>
          <w:rFonts w:eastAsiaTheme="minorHAnsi"/>
          <w:lang w:eastAsia="en-US"/>
        </w:rPr>
        <w:t>TVEM allows for the examination of age as a moderator using a semi</w:t>
      </w:r>
      <w:r w:rsidRPr="00817A07">
        <w:rPr>
          <w:rFonts w:eastAsiaTheme="minorHAnsi"/>
          <w:lang w:eastAsia="en-US"/>
        </w:rPr>
        <w:t xml:space="preserve">-parametric approach that estimates regression coefficients as functions of continuous time. </w:t>
      </w:r>
      <w:r>
        <w:rPr>
          <w:rFonts w:eastAsiaTheme="minorHAnsi"/>
          <w:lang w:eastAsia="en-US"/>
        </w:rPr>
        <w:t>In other words, one of the major advantages of the</w:t>
      </w:r>
      <w:r w:rsidRPr="00817A07">
        <w:rPr>
          <w:rFonts w:eastAsiaTheme="minorHAnsi"/>
          <w:lang w:eastAsia="en-US"/>
        </w:rPr>
        <w:t xml:space="preserve"> TVEM approach is that investigators do not have to specify a change function (e.g. linear, quadratic, cubic)</w:t>
      </w:r>
      <w:r w:rsidR="00FD64F4">
        <w:rPr>
          <w:rFonts w:eastAsiaTheme="minorHAnsi"/>
          <w:lang w:eastAsia="en-US"/>
        </w:rPr>
        <w:t>;</w:t>
      </w:r>
      <w:r w:rsidR="00F24DA3">
        <w:rPr>
          <w:rFonts w:eastAsiaTheme="minorHAnsi"/>
          <w:lang w:eastAsia="en-US"/>
        </w:rPr>
        <w:t xml:space="preserve"> instead the true nature of change</w:t>
      </w:r>
      <w:r w:rsidR="00FD64F4">
        <w:rPr>
          <w:rFonts w:eastAsiaTheme="minorHAnsi"/>
          <w:lang w:eastAsia="en-US"/>
        </w:rPr>
        <w:t>,</w:t>
      </w:r>
      <w:r w:rsidR="00F24DA3">
        <w:rPr>
          <w:rFonts w:eastAsiaTheme="minorHAnsi"/>
          <w:lang w:eastAsia="en-US"/>
        </w:rPr>
        <w:t xml:space="preserve"> </w:t>
      </w:r>
      <w:r w:rsidR="00FD64F4">
        <w:rPr>
          <w:rFonts w:eastAsiaTheme="minorHAnsi"/>
          <w:lang w:eastAsia="en-US"/>
        </w:rPr>
        <w:t>which</w:t>
      </w:r>
      <w:r w:rsidR="00F24DA3">
        <w:rPr>
          <w:rFonts w:eastAsiaTheme="minorHAnsi"/>
          <w:lang w:eastAsia="en-US"/>
        </w:rPr>
        <w:t xml:space="preserve"> might </w:t>
      </w:r>
      <w:r w:rsidR="00F24DA3">
        <w:rPr>
          <w:rFonts w:eastAsiaTheme="minorHAnsi"/>
          <w:lang w:eastAsia="en-US"/>
        </w:rPr>
        <w:lastRenderedPageBreak/>
        <w:t>deviate from these specific patterns</w:t>
      </w:r>
      <w:r w:rsidR="00FD64F4">
        <w:rPr>
          <w:rFonts w:eastAsiaTheme="minorHAnsi"/>
          <w:lang w:eastAsia="en-US"/>
        </w:rPr>
        <w:t>,</w:t>
      </w:r>
      <w:r w:rsidR="00F24DA3">
        <w:rPr>
          <w:rFonts w:eastAsiaTheme="minorHAnsi"/>
          <w:lang w:eastAsia="en-US"/>
        </w:rPr>
        <w:t xml:space="preserve"> can </w:t>
      </w:r>
      <w:r w:rsidR="00F24DA3" w:rsidRPr="00FA4EB9">
        <w:rPr>
          <w:rFonts w:eastAsiaTheme="minorHAnsi"/>
          <w:lang w:eastAsia="en-US"/>
        </w:rPr>
        <w:t>be captured</w:t>
      </w:r>
      <w:r w:rsidRPr="00FA4EB9">
        <w:rPr>
          <w:rFonts w:eastAsiaTheme="minorHAnsi"/>
          <w:lang w:eastAsia="en-US"/>
        </w:rPr>
        <w:t>.</w:t>
      </w:r>
      <w:r w:rsidR="000761BF" w:rsidRPr="00FA4EB9">
        <w:rPr>
          <w:rFonts w:eastAsiaTheme="minorHAnsi"/>
          <w:lang w:eastAsia="en-US"/>
        </w:rPr>
        <w:t xml:space="preserve"> Thus, TVEM approach has the benefit of allowing researchers to accurately visualize and capture age-related changes across developmental periods. This exploratory, nuanced understanding of change has implications for evaluating theory and developing intervention efforts. </w:t>
      </w:r>
    </w:p>
    <w:p w14:paraId="65BB105A" w14:textId="67B3DED2" w:rsidR="003F4A6B" w:rsidRPr="00FA4EB9" w:rsidRDefault="000761BF" w:rsidP="006A3B18">
      <w:pPr>
        <w:spacing w:line="480" w:lineRule="auto"/>
        <w:ind w:firstLine="720"/>
      </w:pPr>
      <w:r w:rsidRPr="00FA4EB9">
        <w:t xml:space="preserve">The exploratory modelling approach, however, is guided by theories from a developmental intergroup framework (Abrams &amp; Killen, 2014). </w:t>
      </w:r>
      <w:r w:rsidR="003F4A6B" w:rsidRPr="00FA4EB9">
        <w:t xml:space="preserve">Recent models of change in prejudice and intergroup attitudes have </w:t>
      </w:r>
      <w:r w:rsidR="00D93EBB" w:rsidRPr="00FA4EB9">
        <w:t>combined</w:t>
      </w:r>
      <w:r w:rsidR="003F4A6B" w:rsidRPr="00FA4EB9">
        <w:t xml:space="preserve"> </w:t>
      </w:r>
      <w:r w:rsidR="00D17041" w:rsidRPr="00FA4EB9">
        <w:t xml:space="preserve">research from </w:t>
      </w:r>
      <w:r w:rsidR="003F4A6B" w:rsidRPr="00FA4EB9">
        <w:t xml:space="preserve">social psychology with the models of change in cognition and social processes </w:t>
      </w:r>
      <w:r w:rsidR="003F4A6B" w:rsidRPr="00F24DA3">
        <w:t xml:space="preserve">from developmental </w:t>
      </w:r>
      <w:r w:rsidR="00D17041">
        <w:t>psychology</w:t>
      </w:r>
      <w:r w:rsidR="003F4A6B" w:rsidRPr="00F24DA3">
        <w:rPr>
          <w:bCs/>
        </w:rPr>
        <w:t>.</w:t>
      </w:r>
      <w:r w:rsidR="003F4A6B" w:rsidRPr="00F24DA3">
        <w:rPr>
          <w:b/>
        </w:rPr>
        <w:t xml:space="preserve"> </w:t>
      </w:r>
      <w:r w:rsidR="003F4A6B" w:rsidRPr="00F24DA3">
        <w:t xml:space="preserve">These models have advanced our understanding of how changes in social cognition, social identity, patterns of intergroup contact and group norms </w:t>
      </w:r>
      <w:r w:rsidR="00D17041">
        <w:t>impact</w:t>
      </w:r>
      <w:r w:rsidR="003F4A6B" w:rsidRPr="00F24DA3">
        <w:t xml:space="preserve"> youth develop</w:t>
      </w:r>
      <w:r w:rsidR="00D17041">
        <w:t>ment of</w:t>
      </w:r>
      <w:r w:rsidR="003F4A6B" w:rsidRPr="00F24DA3">
        <w:t xml:space="preserve"> intergroup attitudes (Bennett &amp; Sani, 2004; </w:t>
      </w:r>
      <w:proofErr w:type="spellStart"/>
      <w:r w:rsidR="003F4A6B" w:rsidRPr="00F24DA3">
        <w:t>Bigler</w:t>
      </w:r>
      <w:proofErr w:type="spellEnd"/>
      <w:r w:rsidR="003F4A6B" w:rsidRPr="00F24DA3">
        <w:t xml:space="preserve"> &amp; </w:t>
      </w:r>
      <w:proofErr w:type="spellStart"/>
      <w:r w:rsidR="003F4A6B" w:rsidRPr="00F24DA3">
        <w:t>Liben</w:t>
      </w:r>
      <w:proofErr w:type="spellEnd"/>
      <w:r w:rsidR="003F4A6B" w:rsidRPr="00F24DA3">
        <w:t xml:space="preserve">, 2007; Levy &amp; Killen, 2008; </w:t>
      </w:r>
      <w:proofErr w:type="spellStart"/>
      <w:r w:rsidR="003F4A6B" w:rsidRPr="00F24DA3">
        <w:t>Nasie</w:t>
      </w:r>
      <w:proofErr w:type="spellEnd"/>
      <w:r w:rsidR="003F4A6B" w:rsidRPr="00F24DA3">
        <w:t xml:space="preserve">, Diamond, &amp; Bar-Tal, 2015; </w:t>
      </w:r>
      <w:proofErr w:type="spellStart"/>
      <w:r w:rsidR="003F4A6B" w:rsidRPr="00F24DA3">
        <w:t>Nesdale</w:t>
      </w:r>
      <w:proofErr w:type="spellEnd"/>
      <w:r w:rsidR="003F4A6B" w:rsidRPr="00F24DA3">
        <w:t>, 2004). For example, the social cognitive model (</w:t>
      </w:r>
      <w:proofErr w:type="spellStart"/>
      <w:r w:rsidR="003F4A6B" w:rsidRPr="00F24DA3">
        <w:t>Aboud</w:t>
      </w:r>
      <w:proofErr w:type="spellEnd"/>
      <w:r w:rsidR="003F4A6B" w:rsidRPr="00F24DA3">
        <w:t xml:space="preserve">, 1988; </w:t>
      </w:r>
      <w:proofErr w:type="spellStart"/>
      <w:r w:rsidR="003F4A6B" w:rsidRPr="00F24DA3">
        <w:t>Aboud</w:t>
      </w:r>
      <w:proofErr w:type="spellEnd"/>
      <w:r w:rsidR="003F4A6B" w:rsidRPr="00F24DA3">
        <w:t xml:space="preserve"> &amp; Doyle, 1996) suggests</w:t>
      </w:r>
      <w:r w:rsidR="003F4A6B">
        <w:t xml:space="preserve"> that children’s prejudice increases until age 7 and then declines as children develop cognitive abilities that help them perceive individual differences. Social </w:t>
      </w:r>
      <w:r w:rsidR="00490AFD">
        <w:t>i</w:t>
      </w:r>
      <w:r w:rsidR="003F4A6B">
        <w:t xml:space="preserve">dentity </w:t>
      </w:r>
      <w:r w:rsidR="00490AFD">
        <w:t>d</w:t>
      </w:r>
      <w:r w:rsidR="003F4A6B">
        <w:t xml:space="preserve">evelopment </w:t>
      </w:r>
      <w:r w:rsidR="00490AFD">
        <w:t>t</w:t>
      </w:r>
      <w:r w:rsidR="00D17041">
        <w:t>heory (</w:t>
      </w:r>
      <w:proofErr w:type="spellStart"/>
      <w:r w:rsidR="00D17041">
        <w:t>Nesdale</w:t>
      </w:r>
      <w:proofErr w:type="spellEnd"/>
      <w:r w:rsidR="00D17041">
        <w:t xml:space="preserve">, 2004) </w:t>
      </w:r>
      <w:r w:rsidR="003F4A6B">
        <w:t>suggests that youths’ increasing awareness of social relationships impacts their attitudes, and thus the model of change depends on context</w:t>
      </w:r>
      <w:r w:rsidR="003F4A6B" w:rsidRPr="00FF1363">
        <w:t xml:space="preserve">. </w:t>
      </w:r>
      <w:proofErr w:type="spellStart"/>
      <w:r w:rsidR="003F4A6B" w:rsidRPr="00FF1363">
        <w:t>Raabe</w:t>
      </w:r>
      <w:proofErr w:type="spellEnd"/>
      <w:r w:rsidR="003F4A6B" w:rsidRPr="00FF1363">
        <w:t xml:space="preserve"> and </w:t>
      </w:r>
      <w:proofErr w:type="spellStart"/>
      <w:r w:rsidR="003F4A6B" w:rsidRPr="00FF1363">
        <w:t>Beelmann</w:t>
      </w:r>
      <w:proofErr w:type="spellEnd"/>
      <w:r w:rsidR="003F4A6B" w:rsidRPr="00FF1363">
        <w:t xml:space="preserve"> (2011) found that while developmental patterns of change in prejudice appeared </w:t>
      </w:r>
      <w:r w:rsidR="003F4A6B" w:rsidRPr="00FA4EB9">
        <w:t xml:space="preserve">in childhood, no clear trend </w:t>
      </w:r>
      <w:r w:rsidR="00D17041" w:rsidRPr="00FA4EB9">
        <w:t xml:space="preserve">emerged </w:t>
      </w:r>
      <w:r w:rsidR="003F4A6B" w:rsidRPr="00FA4EB9">
        <w:t xml:space="preserve">in adolescence suggesting the importance of individual differences due to context effects. </w:t>
      </w:r>
      <w:r w:rsidR="006A3B18" w:rsidRPr="00FA4EB9">
        <w:t xml:space="preserve">For example, </w:t>
      </w:r>
      <w:r w:rsidR="003F4A6B" w:rsidRPr="00FA4EB9">
        <w:t>Merrilees et al.</w:t>
      </w:r>
      <w:r w:rsidR="00643F51" w:rsidRPr="00FA4EB9">
        <w:t xml:space="preserve"> </w:t>
      </w:r>
      <w:r w:rsidR="003F4A6B" w:rsidRPr="00FA4EB9">
        <w:t>(2018) found that</w:t>
      </w:r>
      <w:r w:rsidR="00FD64F4" w:rsidRPr="00FA4EB9">
        <w:t xml:space="preserve"> above and beyond individual contact experiences, neighborhood-level contact quantity and quality </w:t>
      </w:r>
      <w:r w:rsidR="00D17041" w:rsidRPr="00FA4EB9">
        <w:t>predict</w:t>
      </w:r>
      <w:r w:rsidR="00D90C1D" w:rsidRPr="00FA4EB9">
        <w:t>ed</w:t>
      </w:r>
      <w:r w:rsidR="003F4A6B" w:rsidRPr="00FA4EB9">
        <w:t xml:space="preserve"> trajectories of intergroup bias through adolescence</w:t>
      </w:r>
      <w:r w:rsidR="006A3B18" w:rsidRPr="00FA4EB9">
        <w:t>.</w:t>
      </w:r>
      <w:r w:rsidR="003F4A6B" w:rsidRPr="00FA4EB9">
        <w:t xml:space="preserve"> </w:t>
      </w:r>
    </w:p>
    <w:p w14:paraId="546F4448" w14:textId="27F326B4" w:rsidR="003F4A6B" w:rsidRDefault="00D17041" w:rsidP="006F4ED9">
      <w:pPr>
        <w:spacing w:line="480" w:lineRule="auto"/>
        <w:ind w:firstLine="720"/>
      </w:pPr>
      <w:r>
        <w:t>Examining</w:t>
      </w:r>
      <w:r w:rsidR="003F4A6B" w:rsidRPr="00EF6AE3">
        <w:t xml:space="preserve"> contact in adolescence may be especially important given the changes in cognitive abilities and the emerging importance of social relationships during this </w:t>
      </w:r>
      <w:r w:rsidR="00643F51" w:rsidRPr="00EF6AE3">
        <w:t>period</w:t>
      </w:r>
      <w:r w:rsidR="003F4A6B" w:rsidRPr="00EF6AE3">
        <w:t xml:space="preserve">. For </w:t>
      </w:r>
      <w:r w:rsidR="003F4A6B" w:rsidRPr="00EF6AE3">
        <w:lastRenderedPageBreak/>
        <w:t xml:space="preserve">example, research has shown that </w:t>
      </w:r>
      <w:r w:rsidR="00970964">
        <w:t xml:space="preserve">adolescents </w:t>
      </w:r>
      <w:r w:rsidR="003F4A6B" w:rsidRPr="00EF6AE3">
        <w:t>are increasingly aware of and incorporate social norms into their attitudes and behaviors (</w:t>
      </w:r>
      <w:r w:rsidR="00643F51" w:rsidRPr="00EF6AE3">
        <w:t xml:space="preserve">McKeown &amp; Taylor, 2018; </w:t>
      </w:r>
      <w:proofErr w:type="spellStart"/>
      <w:r w:rsidR="003F4A6B" w:rsidRPr="00EF6AE3">
        <w:t>Mulvey</w:t>
      </w:r>
      <w:proofErr w:type="spellEnd"/>
      <w:r w:rsidR="003F4A6B" w:rsidRPr="00EF6AE3">
        <w:t xml:space="preserve">, </w:t>
      </w:r>
      <w:proofErr w:type="spellStart"/>
      <w:r w:rsidR="003F4A6B" w:rsidRPr="00EF6AE3">
        <w:t>Hitti</w:t>
      </w:r>
      <w:proofErr w:type="spellEnd"/>
      <w:r w:rsidR="003F4A6B" w:rsidRPr="00EF6AE3">
        <w:t xml:space="preserve">, Rutland, Abrams, &amp; Killen, 2014; </w:t>
      </w:r>
      <w:proofErr w:type="spellStart"/>
      <w:r w:rsidR="003F4A6B" w:rsidRPr="00EF6AE3">
        <w:t>Schiefer</w:t>
      </w:r>
      <w:proofErr w:type="spellEnd"/>
      <w:r w:rsidR="003F4A6B" w:rsidRPr="00EF6AE3">
        <w:t xml:space="preserve">, </w:t>
      </w:r>
      <w:proofErr w:type="spellStart"/>
      <w:r w:rsidR="003F4A6B" w:rsidRPr="00EF6AE3">
        <w:t>Mӧllering</w:t>
      </w:r>
      <w:proofErr w:type="spellEnd"/>
      <w:r w:rsidR="003F4A6B" w:rsidRPr="00EF6AE3">
        <w:t xml:space="preserve">, Daniel, </w:t>
      </w:r>
      <w:proofErr w:type="spellStart"/>
      <w:r w:rsidR="003F4A6B" w:rsidRPr="00EF6AE3">
        <w:t>Benish</w:t>
      </w:r>
      <w:proofErr w:type="spellEnd"/>
      <w:r w:rsidR="003F4A6B" w:rsidRPr="00EF6AE3">
        <w:t xml:space="preserve">-Weisman, &amp; </w:t>
      </w:r>
      <w:proofErr w:type="spellStart"/>
      <w:r w:rsidR="003F4A6B" w:rsidRPr="00EF6AE3">
        <w:t>Boehnke</w:t>
      </w:r>
      <w:proofErr w:type="spellEnd"/>
      <w:r w:rsidR="003F4A6B" w:rsidRPr="00EF6AE3">
        <w:t xml:space="preserve">, 2010). </w:t>
      </w:r>
      <w:proofErr w:type="spellStart"/>
      <w:r w:rsidR="00FD1A2B">
        <w:t>Wolfer</w:t>
      </w:r>
      <w:proofErr w:type="spellEnd"/>
      <w:r w:rsidR="00FD1A2B">
        <w:t xml:space="preserve">, </w:t>
      </w:r>
      <w:proofErr w:type="spellStart"/>
      <w:r w:rsidR="00FD1A2B">
        <w:t>Schmid</w:t>
      </w:r>
      <w:proofErr w:type="spellEnd"/>
      <w:r w:rsidR="00FD1A2B">
        <w:t xml:space="preserve">, </w:t>
      </w:r>
      <w:proofErr w:type="spellStart"/>
      <w:r w:rsidR="00FD1A2B">
        <w:t>Hewstone</w:t>
      </w:r>
      <w:proofErr w:type="spellEnd"/>
      <w:r w:rsidR="00FD1A2B">
        <w:t>, and</w:t>
      </w:r>
      <w:r w:rsidR="003F4A6B" w:rsidRPr="00EF6AE3">
        <w:t xml:space="preserve"> van </w:t>
      </w:r>
      <w:proofErr w:type="spellStart"/>
      <w:r w:rsidR="003F4A6B" w:rsidRPr="00EF6AE3">
        <w:t>Zalk</w:t>
      </w:r>
      <w:proofErr w:type="spellEnd"/>
      <w:r w:rsidR="003F4A6B" w:rsidRPr="00EF6AE3">
        <w:t xml:space="preserve"> (2016) examine</w:t>
      </w:r>
      <w:r w:rsidR="00FD1A2B">
        <w:t>d</w:t>
      </w:r>
      <w:r w:rsidR="003F4A6B" w:rsidRPr="00EF6AE3">
        <w:t xml:space="preserve"> the relations between contact and attitudes </w:t>
      </w:r>
      <w:r w:rsidR="00FF2851">
        <w:t xml:space="preserve">toward other ethnic groups </w:t>
      </w:r>
      <w:r w:rsidR="003F4A6B" w:rsidRPr="00EF6AE3">
        <w:t>from adolescence through early adulthood</w:t>
      </w:r>
      <w:r w:rsidR="00FF2851">
        <w:t xml:space="preserve"> in Western Europe</w:t>
      </w:r>
      <w:r w:rsidR="003F4A6B" w:rsidRPr="00EF6AE3">
        <w:t>. They found that</w:t>
      </w:r>
      <w:r w:rsidR="003F4A6B">
        <w:t xml:space="preserve"> positive intergroup contact predicted </w:t>
      </w:r>
      <w:r w:rsidR="00025E88">
        <w:t xml:space="preserve">positive </w:t>
      </w:r>
      <w:r w:rsidR="003F4A6B">
        <w:t xml:space="preserve">changes in intergroup attitudes in adolescence and that </w:t>
      </w:r>
      <w:r w:rsidR="00025E88">
        <w:t xml:space="preserve">positive changes in </w:t>
      </w:r>
      <w:r w:rsidR="003F4A6B">
        <w:t>intergroup attitudes buffer</w:t>
      </w:r>
      <w:r w:rsidR="00643F51">
        <w:t>ed</w:t>
      </w:r>
      <w:r w:rsidR="003F4A6B">
        <w:t xml:space="preserve"> against a decline in intergroup contact that </w:t>
      </w:r>
      <w:r w:rsidR="00DF2BD1">
        <w:t>occurred</w:t>
      </w:r>
      <w:r w:rsidR="003F4A6B">
        <w:t xml:space="preserve"> in adulthood. </w:t>
      </w:r>
      <w:proofErr w:type="spellStart"/>
      <w:r w:rsidR="003F4A6B">
        <w:t>Titzmann</w:t>
      </w:r>
      <w:proofErr w:type="spellEnd"/>
      <w:r w:rsidR="003F4A6B">
        <w:t xml:space="preserve">, </w:t>
      </w:r>
      <w:proofErr w:type="spellStart"/>
      <w:r w:rsidR="003F4A6B">
        <w:t>Brenick</w:t>
      </w:r>
      <w:proofErr w:type="spellEnd"/>
      <w:r w:rsidR="003F4A6B">
        <w:t xml:space="preserve">, and </w:t>
      </w:r>
      <w:proofErr w:type="spellStart"/>
      <w:r w:rsidR="003F4A6B">
        <w:t>Silbereisen</w:t>
      </w:r>
      <w:proofErr w:type="spellEnd"/>
      <w:r w:rsidR="003F4A6B">
        <w:t xml:space="preserve"> (2015) found differences in linear trajectories of negative prejudice based </w:t>
      </w:r>
      <w:r w:rsidR="00FD1A2B">
        <w:t xml:space="preserve">on whether </w:t>
      </w:r>
      <w:r w:rsidR="003F4A6B">
        <w:t>German adolescents</w:t>
      </w:r>
      <w:r w:rsidR="00FD1A2B">
        <w:t xml:space="preserve"> had an</w:t>
      </w:r>
      <w:r w:rsidR="003F4A6B">
        <w:t xml:space="preserve"> immigrant friend over the study period. Most notably </w:t>
      </w:r>
      <w:r w:rsidR="00EF6AE3">
        <w:t>youth</w:t>
      </w:r>
      <w:r w:rsidR="003F4A6B">
        <w:t xml:space="preserve"> who gained a friendship over the study period decreased in negative prejudice. </w:t>
      </w:r>
      <w:r w:rsidR="002C132B">
        <w:t xml:space="preserve">Other research </w:t>
      </w:r>
      <w:r w:rsidR="004376E0">
        <w:t xml:space="preserve">on university students in Northern Ireland </w:t>
      </w:r>
      <w:r w:rsidR="002C132B">
        <w:t xml:space="preserve">has shown that the earlier out-group friendships are formed, the more likely friendships with members of the out-group will continue in later life, and </w:t>
      </w:r>
      <w:r w:rsidR="00AA4F9A">
        <w:t xml:space="preserve">that </w:t>
      </w:r>
      <w:r w:rsidR="002C132B">
        <w:t xml:space="preserve">these </w:t>
      </w:r>
      <w:r w:rsidR="00AA4F9A">
        <w:t xml:space="preserve">links </w:t>
      </w:r>
      <w:r w:rsidR="00071815">
        <w:t>between</w:t>
      </w:r>
      <w:r w:rsidR="002C132B">
        <w:t xml:space="preserve"> intergroup contact and friendship indirectly decrease bias (Al </w:t>
      </w:r>
      <w:proofErr w:type="spellStart"/>
      <w:r w:rsidR="002C132B">
        <w:t>Ramiah</w:t>
      </w:r>
      <w:proofErr w:type="spellEnd"/>
      <w:r w:rsidR="002C132B">
        <w:t xml:space="preserve">, </w:t>
      </w:r>
      <w:proofErr w:type="spellStart"/>
      <w:r w:rsidR="002C132B">
        <w:t>Hewstone</w:t>
      </w:r>
      <w:proofErr w:type="spellEnd"/>
      <w:r w:rsidR="002C132B">
        <w:t xml:space="preserve">, </w:t>
      </w:r>
      <w:proofErr w:type="spellStart"/>
      <w:r w:rsidR="002C132B">
        <w:t>Voci</w:t>
      </w:r>
      <w:proofErr w:type="spellEnd"/>
      <w:r w:rsidR="002C132B">
        <w:t>, Cairns, &amp; Hughes</w:t>
      </w:r>
      <w:r w:rsidR="00490AFD">
        <w:t>,</w:t>
      </w:r>
      <w:r w:rsidR="002C132B">
        <w:t xml:space="preserve"> 2013). </w:t>
      </w:r>
      <w:r w:rsidR="003F4A6B">
        <w:t xml:space="preserve">The current study will extend these developmental findings regarding the association between intergroup contact and intergroup attitudes by assessing links over continuous time. Examining patterns of change over continuous time could identify key shifts or points </w:t>
      </w:r>
      <w:r w:rsidR="00AA4F9A">
        <w:t>over development</w:t>
      </w:r>
      <w:r w:rsidR="003F4A6B">
        <w:t xml:space="preserve"> during which contact intervention could be particularly </w:t>
      </w:r>
      <w:r w:rsidR="003F4A6B" w:rsidRPr="00EF6AE3">
        <w:t>impactful (</w:t>
      </w:r>
      <w:r w:rsidR="00490AFD" w:rsidRPr="00EF6AE3">
        <w:t>Tan et al., 2012).</w:t>
      </w:r>
      <w:r w:rsidR="003F4A6B">
        <w:t xml:space="preserve"> </w:t>
      </w:r>
    </w:p>
    <w:p w14:paraId="45679741" w14:textId="192EE4CF" w:rsidR="004D32CE" w:rsidRDefault="004D32CE" w:rsidP="003F4A6B">
      <w:pPr>
        <w:spacing w:line="480" w:lineRule="auto"/>
        <w:ind w:firstLine="720"/>
      </w:pPr>
      <w:r>
        <w:t xml:space="preserve">Contact quality and contact </w:t>
      </w:r>
      <w:r w:rsidR="00DA185B">
        <w:t>quantity</w:t>
      </w:r>
      <w:r>
        <w:t xml:space="preserve"> are examined independently in the current study as </w:t>
      </w:r>
      <w:r w:rsidR="00DA185B">
        <w:t xml:space="preserve">frequent contact does not necessarily ensure positive contact. </w:t>
      </w:r>
      <w:r w:rsidR="002B3ED9">
        <w:t xml:space="preserve">Frequent negative contact experiences have been shown to be predictive of affective (feelings and emotions) and cognitive (stereotyping) prejudice </w:t>
      </w:r>
      <w:r w:rsidR="004376E0">
        <w:t xml:space="preserve">in emerging adults </w:t>
      </w:r>
      <w:r w:rsidR="002B3ED9">
        <w:t>(</w:t>
      </w:r>
      <w:proofErr w:type="spellStart"/>
      <w:r w:rsidR="002B3ED9">
        <w:t>Aberson</w:t>
      </w:r>
      <w:proofErr w:type="spellEnd"/>
      <w:r w:rsidR="002B3ED9">
        <w:t xml:space="preserve">, </w:t>
      </w:r>
      <w:r w:rsidR="002B3ED9" w:rsidRPr="00AA4F9A">
        <w:t>2015)</w:t>
      </w:r>
      <w:r w:rsidR="002B3ED9">
        <w:t xml:space="preserve">, and negative contact can have </w:t>
      </w:r>
      <w:r w:rsidR="002B3ED9" w:rsidRPr="00FA4EB9">
        <w:t xml:space="preserve">more </w:t>
      </w:r>
      <w:r w:rsidR="002B3ED9" w:rsidRPr="00FA4EB9">
        <w:lastRenderedPageBreak/>
        <w:t xml:space="preserve">long lasting effects than positive contact. </w:t>
      </w:r>
      <w:r w:rsidR="002B3ED9" w:rsidRPr="00FA4EB9">
        <w:rPr>
          <w:rFonts w:eastAsia="Times New Roman"/>
        </w:rPr>
        <w:t xml:space="preserve">Barlow et al. (2012) found that low quality contact, which involves </w:t>
      </w:r>
      <w:r w:rsidR="002B3ED9" w:rsidRPr="00FA4EB9">
        <w:rPr>
          <w:rFonts w:eastAsia="Times New Roman"/>
          <w:highlight w:val="white"/>
        </w:rPr>
        <w:t>negative emotions (e.g. uncomfortableness, anger, fear) of group members</w:t>
      </w:r>
      <w:r w:rsidR="002B3ED9" w:rsidRPr="00FA4EB9">
        <w:rPr>
          <w:rFonts w:eastAsia="Times New Roman"/>
        </w:rPr>
        <w:t xml:space="preserve">, </w:t>
      </w:r>
      <w:r w:rsidR="00A665FC" w:rsidRPr="00FA4EB9">
        <w:rPr>
          <w:rFonts w:eastAsia="Times New Roman"/>
        </w:rPr>
        <w:t>negatively affect</w:t>
      </w:r>
      <w:r w:rsidR="00DF2BD1">
        <w:rPr>
          <w:rFonts w:eastAsia="Times New Roman"/>
        </w:rPr>
        <w:t>ed</w:t>
      </w:r>
      <w:r w:rsidR="002B3ED9" w:rsidRPr="00FA4EB9">
        <w:rPr>
          <w:rFonts w:eastAsia="Times New Roman"/>
        </w:rPr>
        <w:t xml:space="preserve"> intergroup attitudes</w:t>
      </w:r>
      <w:r w:rsidR="00A665FC" w:rsidRPr="00FA4EB9">
        <w:rPr>
          <w:rFonts w:eastAsia="Times New Roman"/>
        </w:rPr>
        <w:t xml:space="preserve">; detrimental effects of poor quality contact were also found for </w:t>
      </w:r>
      <w:r w:rsidR="002B3ED9" w:rsidRPr="00FA4EB9">
        <w:rPr>
          <w:rFonts w:eastAsia="Times New Roman"/>
        </w:rPr>
        <w:t>physiological and psychological health</w:t>
      </w:r>
      <w:r w:rsidR="004376E0">
        <w:rPr>
          <w:rFonts w:eastAsia="Times New Roman"/>
        </w:rPr>
        <w:t xml:space="preserve"> in </w:t>
      </w:r>
      <w:r w:rsidR="009A622B">
        <w:rPr>
          <w:rFonts w:eastAsia="Times New Roman"/>
        </w:rPr>
        <w:t xml:space="preserve">a large age span of </w:t>
      </w:r>
      <w:r w:rsidR="004376E0">
        <w:rPr>
          <w:rFonts w:eastAsia="Times New Roman"/>
        </w:rPr>
        <w:t>adults</w:t>
      </w:r>
      <w:r w:rsidR="002B3ED9" w:rsidRPr="00FA4EB9">
        <w:rPr>
          <w:rFonts w:eastAsia="Times New Roman"/>
        </w:rPr>
        <w:t xml:space="preserve">. </w:t>
      </w:r>
      <w:r w:rsidR="00B24DCE" w:rsidRPr="00FA4EB9">
        <w:rPr>
          <w:rFonts w:eastAsia="Times New Roman"/>
        </w:rPr>
        <w:t xml:space="preserve">This is important to consider in the context of </w:t>
      </w:r>
      <w:r w:rsidR="00922D62" w:rsidRPr="00FA4EB9">
        <w:rPr>
          <w:rFonts w:eastAsia="Times New Roman"/>
        </w:rPr>
        <w:t xml:space="preserve">intergroup contact during </w:t>
      </w:r>
      <w:r w:rsidR="00B24DCE" w:rsidRPr="00FA4EB9">
        <w:rPr>
          <w:rFonts w:eastAsia="Times New Roman"/>
        </w:rPr>
        <w:t>adolescence as the educational environment</w:t>
      </w:r>
      <w:r w:rsidR="00493703" w:rsidRPr="00FA4EB9">
        <w:rPr>
          <w:rFonts w:eastAsia="Times New Roman"/>
        </w:rPr>
        <w:t xml:space="preserve"> and subsequent transition</w:t>
      </w:r>
      <w:r w:rsidR="00B24DCE" w:rsidRPr="00FA4EB9">
        <w:rPr>
          <w:rFonts w:eastAsia="Times New Roman"/>
        </w:rPr>
        <w:t xml:space="preserve"> allow for </w:t>
      </w:r>
      <w:r w:rsidR="00493703" w:rsidRPr="00FA4EB9">
        <w:rPr>
          <w:rFonts w:eastAsia="Times New Roman"/>
        </w:rPr>
        <w:t>variability in</w:t>
      </w:r>
      <w:r w:rsidR="00B24DCE" w:rsidRPr="00FA4EB9">
        <w:rPr>
          <w:rFonts w:eastAsia="Times New Roman"/>
        </w:rPr>
        <w:t xml:space="preserve"> </w:t>
      </w:r>
      <w:r w:rsidR="00A479B0" w:rsidRPr="00FA4EB9">
        <w:rPr>
          <w:rFonts w:eastAsia="Times New Roman"/>
        </w:rPr>
        <w:t xml:space="preserve">quantity </w:t>
      </w:r>
      <w:r w:rsidR="00BB0F6B" w:rsidRPr="00FA4EB9">
        <w:rPr>
          <w:rFonts w:eastAsia="Times New Roman"/>
        </w:rPr>
        <w:t xml:space="preserve">of </w:t>
      </w:r>
      <w:r w:rsidR="00B24DCE" w:rsidRPr="00FA4EB9">
        <w:rPr>
          <w:rFonts w:eastAsia="Times New Roman"/>
        </w:rPr>
        <w:t xml:space="preserve">intergroup contact, though do not guarantee that </w:t>
      </w:r>
      <w:r w:rsidR="00493703" w:rsidRPr="00FA4EB9">
        <w:rPr>
          <w:rFonts w:eastAsia="Times New Roman"/>
        </w:rPr>
        <w:t xml:space="preserve">any </w:t>
      </w:r>
      <w:r w:rsidR="00922D62" w:rsidRPr="00FA4EB9">
        <w:rPr>
          <w:rFonts w:eastAsia="Times New Roman"/>
        </w:rPr>
        <w:t>such</w:t>
      </w:r>
      <w:r w:rsidR="00B24DCE" w:rsidRPr="00FA4EB9">
        <w:rPr>
          <w:rFonts w:eastAsia="Times New Roman"/>
        </w:rPr>
        <w:t xml:space="preserve"> interactions are positive </w:t>
      </w:r>
      <w:r w:rsidR="00AA4F9A" w:rsidRPr="00FA4EB9">
        <w:rPr>
          <w:rFonts w:eastAsia="Times New Roman"/>
        </w:rPr>
        <w:t xml:space="preserve">or </w:t>
      </w:r>
      <w:r w:rsidR="009B4CE5" w:rsidRPr="00FA4EB9">
        <w:rPr>
          <w:rFonts w:eastAsia="Times New Roman"/>
        </w:rPr>
        <w:t xml:space="preserve">promoting of </w:t>
      </w:r>
      <w:r w:rsidR="009B4CE5" w:rsidRPr="006129A1">
        <w:rPr>
          <w:rFonts w:eastAsia="Times New Roman"/>
        </w:rPr>
        <w:t>friendship</w:t>
      </w:r>
      <w:r w:rsidR="00B24DCE" w:rsidRPr="006129A1">
        <w:rPr>
          <w:rFonts w:eastAsia="Times New Roman"/>
        </w:rPr>
        <w:t xml:space="preserve">. </w:t>
      </w:r>
    </w:p>
    <w:p w14:paraId="20F62A09" w14:textId="279BF544" w:rsidR="003F4A6B" w:rsidRPr="00177061" w:rsidRDefault="003F4A6B" w:rsidP="003F4A6B">
      <w:pPr>
        <w:spacing w:line="480" w:lineRule="auto"/>
        <w:ind w:firstLine="720"/>
      </w:pPr>
      <w:r w:rsidRPr="009E0900">
        <w:rPr>
          <w:rFonts w:eastAsia="Times New Roman"/>
        </w:rPr>
        <w:t>Research has</w:t>
      </w:r>
      <w:r w:rsidR="0024434F" w:rsidRPr="009E0900">
        <w:rPr>
          <w:rFonts w:eastAsia="Times New Roman"/>
        </w:rPr>
        <w:t xml:space="preserve"> </w:t>
      </w:r>
      <w:r w:rsidRPr="009E0900">
        <w:rPr>
          <w:rFonts w:eastAsia="Times New Roman"/>
        </w:rPr>
        <w:t xml:space="preserve">shown that the effects of intergroup contact are not the same for majority and minority group members. </w:t>
      </w:r>
      <w:proofErr w:type="spellStart"/>
      <w:r w:rsidRPr="009E0900">
        <w:rPr>
          <w:rFonts w:eastAsia="Times New Roman"/>
        </w:rPr>
        <w:t>Tropp</w:t>
      </w:r>
      <w:proofErr w:type="spellEnd"/>
      <w:r w:rsidRPr="009E0900">
        <w:rPr>
          <w:rFonts w:eastAsia="Times New Roman"/>
        </w:rPr>
        <w:t xml:space="preserve"> and Pettigrew (2005) found that the relation between contact and prejudice reduction is weaker for minority groups compared to majority groups. This makes sense given</w:t>
      </w:r>
      <w:r w:rsidRPr="009E0900">
        <w:t xml:space="preserve"> that contact or anticipation of it, may lead to increased intergroup anxiety. Status differences between groups, a history of conflict, or perceived threats all increase intergroup anxiety and lead to poor assumptions about these interactions (Stephan, 2014).</w:t>
      </w:r>
      <w:r w:rsidRPr="009E0900">
        <w:rPr>
          <w:rFonts w:eastAsia="Times New Roman"/>
        </w:rPr>
        <w:t xml:space="preserve"> </w:t>
      </w:r>
      <w:r w:rsidR="00BB0F6B" w:rsidRPr="009E0900">
        <w:rPr>
          <w:rFonts w:eastAsia="Times New Roman"/>
        </w:rPr>
        <w:t>For example, r</w:t>
      </w:r>
      <w:r w:rsidR="00FE4450" w:rsidRPr="009E0900">
        <w:rPr>
          <w:rFonts w:eastAsia="Times New Roman"/>
        </w:rPr>
        <w:t>esearch has shown that direct cross-ethnic friendships have predicted positive out-group evaluations over</w:t>
      </w:r>
      <w:r w:rsidR="00BB0F6B" w:rsidRPr="009E0900">
        <w:rPr>
          <w:rFonts w:eastAsia="Times New Roman"/>
        </w:rPr>
        <w:t>-</w:t>
      </w:r>
      <w:r w:rsidR="00FE4450" w:rsidRPr="009E0900">
        <w:rPr>
          <w:rFonts w:eastAsia="Times New Roman"/>
        </w:rPr>
        <w:t>time for majority German middle school children,</w:t>
      </w:r>
      <w:r w:rsidR="00FE4450">
        <w:rPr>
          <w:rFonts w:eastAsia="Times New Roman"/>
        </w:rPr>
        <w:t xml:space="preserve"> though not for minority Turkish middle school children (</w:t>
      </w:r>
      <w:r w:rsidR="0098024B">
        <w:rPr>
          <w:rFonts w:eastAsia="Times New Roman"/>
        </w:rPr>
        <w:t xml:space="preserve">ages 7-11; </w:t>
      </w:r>
      <w:proofErr w:type="spellStart"/>
      <w:r w:rsidR="00BB0F6B">
        <w:rPr>
          <w:rFonts w:eastAsia="Times New Roman"/>
        </w:rPr>
        <w:t>Feddes</w:t>
      </w:r>
      <w:proofErr w:type="spellEnd"/>
      <w:r w:rsidR="00BB0F6B">
        <w:rPr>
          <w:rFonts w:eastAsia="Times New Roman"/>
        </w:rPr>
        <w:t xml:space="preserve">, </w:t>
      </w:r>
      <w:proofErr w:type="spellStart"/>
      <w:r w:rsidR="00BB0F6B">
        <w:rPr>
          <w:rFonts w:eastAsia="Times New Roman"/>
        </w:rPr>
        <w:t>Noack</w:t>
      </w:r>
      <w:proofErr w:type="spellEnd"/>
      <w:r w:rsidR="00BB0F6B">
        <w:rPr>
          <w:rFonts w:eastAsia="Times New Roman"/>
        </w:rPr>
        <w:t>, &amp; Rutland, 2009</w:t>
      </w:r>
      <w:r w:rsidR="00FE4450">
        <w:rPr>
          <w:rFonts w:eastAsia="Times New Roman"/>
        </w:rPr>
        <w:t xml:space="preserve">). </w:t>
      </w:r>
      <w:proofErr w:type="spellStart"/>
      <w:r>
        <w:t>Liebkind</w:t>
      </w:r>
      <w:proofErr w:type="spellEnd"/>
      <w:r>
        <w:t xml:space="preserve">, </w:t>
      </w:r>
      <w:proofErr w:type="spellStart"/>
      <w:r>
        <w:t>Mähönen</w:t>
      </w:r>
      <w:proofErr w:type="spellEnd"/>
      <w:r>
        <w:t xml:space="preserve">, </w:t>
      </w:r>
      <w:proofErr w:type="spellStart"/>
      <w:r>
        <w:t>Solares</w:t>
      </w:r>
      <w:proofErr w:type="spellEnd"/>
      <w:r>
        <w:t xml:space="preserve">, </w:t>
      </w:r>
      <w:proofErr w:type="spellStart"/>
      <w:r>
        <w:t>Solheim</w:t>
      </w:r>
      <w:proofErr w:type="spellEnd"/>
      <w:r>
        <w:t xml:space="preserve">, and </w:t>
      </w:r>
      <w:proofErr w:type="spellStart"/>
      <w:r>
        <w:t>Jasinskaja</w:t>
      </w:r>
      <w:proofErr w:type="spellEnd"/>
      <w:r>
        <w:rPr>
          <w:rFonts w:ascii="Cambria Math" w:hAnsi="Cambria Math" w:cs="Cambria Math"/>
        </w:rPr>
        <w:t>‐</w:t>
      </w:r>
      <w:r>
        <w:t xml:space="preserve">Lahti (2014) examined both developmental and group-based differences in adolescents’ </w:t>
      </w:r>
      <w:r w:rsidR="0098024B">
        <w:t xml:space="preserve">(ages 13-19) </w:t>
      </w:r>
      <w:r>
        <w:t xml:space="preserve">reactions to a prejudice reduction program in mixed classrooms in Finland. They found that the </w:t>
      </w:r>
      <w:r w:rsidR="005A24ED">
        <w:t xml:space="preserve">positive </w:t>
      </w:r>
      <w:r>
        <w:t>effect of the intervention was significant for both majority Finnish and minority immigrant students</w:t>
      </w:r>
      <w:r w:rsidR="00AA4F9A">
        <w:t>,</w:t>
      </w:r>
      <w:r>
        <w:t xml:space="preserve"> but it was strongest for the youngest group of students. They also found an unexpected increase in post-intervention intergroup anxiety for the oldest group. The authors hypothesize</w:t>
      </w:r>
      <w:r w:rsidR="005A24ED">
        <w:t>d</w:t>
      </w:r>
      <w:r>
        <w:t xml:space="preserve"> that this unexpected finding could have been due to the</w:t>
      </w:r>
      <w:r w:rsidR="005A24ED">
        <w:t xml:space="preserve"> fact that</w:t>
      </w:r>
      <w:r>
        <w:t xml:space="preserve"> </w:t>
      </w:r>
      <w:r w:rsidR="005A24ED">
        <w:t>adolescent</w:t>
      </w:r>
      <w:r w:rsidR="00DE6A8E">
        <w:t>s</w:t>
      </w:r>
      <w:r w:rsidR="005A24ED">
        <w:t xml:space="preserve"> have </w:t>
      </w:r>
      <w:r>
        <w:t xml:space="preserve">increased awareness </w:t>
      </w:r>
      <w:r>
        <w:lastRenderedPageBreak/>
        <w:t>and processing of social information</w:t>
      </w:r>
      <w:r w:rsidR="005A24ED">
        <w:t>.</w:t>
      </w:r>
      <w:r>
        <w:t xml:space="preserve"> </w:t>
      </w:r>
      <w:r w:rsidRPr="00431CDE">
        <w:rPr>
          <w:rFonts w:eastAsia="Times New Roman"/>
        </w:rPr>
        <w:t xml:space="preserve">In sum, research has indicated that intergroup interactions do not result in equivalent experiences </w:t>
      </w:r>
      <w:r w:rsidR="002B3ED9">
        <w:rPr>
          <w:rFonts w:eastAsia="Times New Roman"/>
        </w:rPr>
        <w:t>for</w:t>
      </w:r>
      <w:r w:rsidRPr="00431CDE">
        <w:rPr>
          <w:rFonts w:eastAsia="Times New Roman"/>
        </w:rPr>
        <w:t xml:space="preserve"> majority and minority group members and there are likely </w:t>
      </w:r>
      <w:r>
        <w:rPr>
          <w:rFonts w:eastAsia="Times New Roman"/>
        </w:rPr>
        <w:t xml:space="preserve">stronger effects of contact on majority group members. There </w:t>
      </w:r>
      <w:r w:rsidR="004720A5">
        <w:rPr>
          <w:rFonts w:eastAsia="Times New Roman"/>
        </w:rPr>
        <w:t xml:space="preserve">may also be </w:t>
      </w:r>
      <w:r>
        <w:rPr>
          <w:rFonts w:eastAsia="Times New Roman"/>
        </w:rPr>
        <w:t xml:space="preserve">developmental </w:t>
      </w:r>
      <w:r w:rsidR="00B73A80">
        <w:rPr>
          <w:rFonts w:eastAsia="Times New Roman"/>
        </w:rPr>
        <w:t xml:space="preserve">and context-based </w:t>
      </w:r>
      <w:r>
        <w:rPr>
          <w:rFonts w:eastAsia="Times New Roman"/>
        </w:rPr>
        <w:t xml:space="preserve">processes that moderate these </w:t>
      </w:r>
      <w:r w:rsidRPr="00177061">
        <w:rPr>
          <w:rFonts w:eastAsia="Times New Roman"/>
        </w:rPr>
        <w:t>effects.</w:t>
      </w:r>
    </w:p>
    <w:p w14:paraId="09366CB2" w14:textId="7D3B330E" w:rsidR="00345727" w:rsidRPr="00177061" w:rsidRDefault="00345727" w:rsidP="00345727">
      <w:pPr>
        <w:spacing w:line="480" w:lineRule="auto"/>
      </w:pPr>
      <w:r w:rsidRPr="00177061">
        <w:t>Growing up in Northern Ireland</w:t>
      </w:r>
    </w:p>
    <w:p w14:paraId="677EDEA8" w14:textId="2AA2F9EA" w:rsidR="00B03B90" w:rsidRPr="00177061" w:rsidRDefault="00345727" w:rsidP="00177061">
      <w:pPr>
        <w:autoSpaceDE w:val="0"/>
        <w:autoSpaceDN w:val="0"/>
        <w:adjustRightInd w:val="0"/>
        <w:spacing w:line="480" w:lineRule="auto"/>
        <w:ind w:firstLine="720"/>
      </w:pPr>
      <w:r w:rsidRPr="00177061">
        <w:t xml:space="preserve">The current study will use an exploratory approach to examine developmental shifts in relations between quality and quantity contact and intergroup bias in adolescents in Belfast, Northern Ireland. Despite the signing of the Belfast/Good Friday Agreement in 1998, many areas of Belfast remain divided following the Troubles. </w:t>
      </w:r>
      <w:r w:rsidR="0009005B" w:rsidRPr="00177061">
        <w:t>The Troubles was a 30-</w:t>
      </w:r>
      <w:r w:rsidRPr="00177061">
        <w:t xml:space="preserve">year period between the late 1960s and the 1990s during which two main </w:t>
      </w:r>
      <w:proofErr w:type="spellStart"/>
      <w:r w:rsidRPr="00177061">
        <w:t>ethnopolitical</w:t>
      </w:r>
      <w:proofErr w:type="spellEnd"/>
      <w:r w:rsidRPr="00177061">
        <w:t xml:space="preserve"> groups were in conflict over the constitutional state of Northern Ireland (Cairns &amp; Darby, 1998). These two groups are colloquially </w:t>
      </w:r>
      <w:r w:rsidR="00FC38FA" w:rsidRPr="00177061">
        <w:t xml:space="preserve">referred to as a Catholic or Protestant </w:t>
      </w:r>
      <w:r w:rsidR="0018193B" w:rsidRPr="00177061">
        <w:t>‘community background’</w:t>
      </w:r>
      <w:r w:rsidRPr="00177061">
        <w:t xml:space="preserve">. Protestants, the historic majority group in terms of numbers and relative power, tend to want to preserve Northern Ireland’s place in the United Kingdom, and Catholics, the historic minority group in terms of numbers and relative power, tend to support a unification with the Republic of Ireland. </w:t>
      </w:r>
      <w:r w:rsidR="00B03B90" w:rsidRPr="00177061">
        <w:t xml:space="preserve">For example, throughout the 1970’s, the government prevented Catholics from having the same access to housing, education, and thus wealth, compared to Protestants (Darby, 1976). Subsequent legislation was enacted to try to correct this historic exclusion, including the </w:t>
      </w:r>
      <w:r w:rsidR="00B03B90" w:rsidRPr="00177061">
        <w:rPr>
          <w:rFonts w:eastAsiaTheme="minorHAnsi"/>
          <w:lang w:eastAsia="en-US"/>
        </w:rPr>
        <w:t>Fair Employment Acts of 1976 and 1989 and the Housing Executive responsible for allocation of social housing as previous local councils had discriminated against Catholics (Smith &amp;</w:t>
      </w:r>
      <w:r w:rsidR="00177061">
        <w:rPr>
          <w:rFonts w:eastAsiaTheme="minorHAnsi"/>
          <w:lang w:eastAsia="en-US"/>
        </w:rPr>
        <w:t xml:space="preserve"> </w:t>
      </w:r>
      <w:r w:rsidR="00B03B90" w:rsidRPr="00177061">
        <w:rPr>
          <w:rFonts w:eastAsiaTheme="minorHAnsi"/>
          <w:lang w:eastAsia="en-US"/>
        </w:rPr>
        <w:t>Chambers, 1991).</w:t>
      </w:r>
    </w:p>
    <w:p w14:paraId="1AC1C217" w14:textId="68371186" w:rsidR="00B03B90" w:rsidRPr="00177061" w:rsidRDefault="00B03B90" w:rsidP="00B03B90">
      <w:pPr>
        <w:spacing w:line="480" w:lineRule="auto"/>
        <w:ind w:firstLine="720"/>
      </w:pPr>
      <w:r w:rsidRPr="00177061">
        <w:t>In part due to Catholic communities organizing for civil and human rights in the 1960s, a</w:t>
      </w:r>
      <w:r w:rsidR="00345727" w:rsidRPr="00177061">
        <w:t xml:space="preserve">rmed conflict escalated between state forces, paramilitary groups, and civilians resulting in </w:t>
      </w:r>
      <w:r w:rsidR="00345727" w:rsidRPr="00177061">
        <w:lastRenderedPageBreak/>
        <w:t xml:space="preserve">3,600 deaths, 20,000-30,000 imprisoned, and roughly 50,000 reported as injured (Cairns &amp; Darby, 1998; Cairns, Wilson, Gallagher, &amp; </w:t>
      </w:r>
      <w:proofErr w:type="spellStart"/>
      <w:r w:rsidR="00345727" w:rsidRPr="00177061">
        <w:t>Trew</w:t>
      </w:r>
      <w:proofErr w:type="spellEnd"/>
      <w:r w:rsidR="00345727" w:rsidRPr="00177061">
        <w:t xml:space="preserve">, 1995; </w:t>
      </w:r>
      <w:proofErr w:type="spellStart"/>
      <w:r w:rsidR="00345727" w:rsidRPr="00177061">
        <w:t>McEvoy</w:t>
      </w:r>
      <w:proofErr w:type="spellEnd"/>
      <w:r w:rsidR="00345727" w:rsidRPr="00177061">
        <w:t xml:space="preserve"> &amp; Shirlow, 2009). Like many other conflicts around the world, the signing of the peace agreement marked an increase in general security, but intergroup tension remains and spikes in violence occur periodically.</w:t>
      </w:r>
      <w:r w:rsidR="006A7CEF" w:rsidRPr="00177061">
        <w:t xml:space="preserve"> For example, youth continue to be exposed to intergroup violence and participate in such acts (Taylor, </w:t>
      </w:r>
      <w:proofErr w:type="spellStart"/>
      <w:r w:rsidR="006A7CEF" w:rsidRPr="00177061">
        <w:t>Merrilees</w:t>
      </w:r>
      <w:proofErr w:type="spellEnd"/>
      <w:r w:rsidR="006A7CEF" w:rsidRPr="00177061">
        <w:t xml:space="preserve">, </w:t>
      </w:r>
      <w:proofErr w:type="spellStart"/>
      <w:r w:rsidR="006A7CEF" w:rsidRPr="00177061">
        <w:t>Goeke</w:t>
      </w:r>
      <w:proofErr w:type="spellEnd"/>
      <w:r w:rsidR="006A7CEF" w:rsidRPr="00177061">
        <w:t>-Morey, Shirlow, &amp; Cummings, 2016).</w:t>
      </w:r>
    </w:p>
    <w:p w14:paraId="64A8B184" w14:textId="1A27DDB4" w:rsidR="00B03B90" w:rsidRPr="00177061" w:rsidRDefault="00B03B90" w:rsidP="00B03B90">
      <w:pPr>
        <w:spacing w:line="480" w:lineRule="auto"/>
        <w:ind w:firstLine="720"/>
      </w:pPr>
      <w:r w:rsidRPr="00177061">
        <w:t xml:space="preserve">In this post-accord period, daily life is largely segregated. For example, 95% of the youth in Northern Ireland were attending either Protestant or Catholic schools consistent with their ethno-political identities (Northern Ireland Council of Education, as cited in Stringer, et al., 2009). Although there has been progress, residential segregation also persists; </w:t>
      </w:r>
      <w:r w:rsidRPr="00177061">
        <w:rPr>
          <w:rFonts w:eastAsiaTheme="minorHAnsi"/>
          <w:lang w:eastAsia="en-US"/>
        </w:rPr>
        <w:t xml:space="preserve">that is, 90% of people in Northern Ireland live in an area that is homogenously Catholic or Protestant (Chartered Institute of Housing, 2015). </w:t>
      </w:r>
      <w:r w:rsidR="00396EBE" w:rsidRPr="00177061">
        <w:rPr>
          <w:rFonts w:eastAsiaTheme="minorHAnsi"/>
          <w:lang w:eastAsia="en-US"/>
        </w:rPr>
        <w:t xml:space="preserve">Moreover, children are aware of Catholic and Protestant identities </w:t>
      </w:r>
      <w:r w:rsidR="00263C1B">
        <w:rPr>
          <w:rFonts w:eastAsiaTheme="minorHAnsi"/>
          <w:lang w:eastAsia="en-US"/>
        </w:rPr>
        <w:t xml:space="preserve">at least </w:t>
      </w:r>
      <w:r w:rsidR="00396EBE" w:rsidRPr="00177061">
        <w:rPr>
          <w:rFonts w:eastAsiaTheme="minorHAnsi"/>
          <w:lang w:eastAsia="en-US"/>
        </w:rPr>
        <w:t xml:space="preserve">by age 5 (Taylor, </w:t>
      </w:r>
      <w:proofErr w:type="spellStart"/>
      <w:r w:rsidR="00396EBE" w:rsidRPr="00177061">
        <w:rPr>
          <w:rFonts w:eastAsiaTheme="minorHAnsi"/>
          <w:lang w:eastAsia="en-US"/>
        </w:rPr>
        <w:t>Dautel</w:t>
      </w:r>
      <w:proofErr w:type="spellEnd"/>
      <w:r w:rsidR="00396EBE" w:rsidRPr="00177061">
        <w:rPr>
          <w:rFonts w:eastAsiaTheme="minorHAnsi"/>
          <w:lang w:eastAsia="en-US"/>
        </w:rPr>
        <w:t xml:space="preserve">, &amp; Rylander, 2020). </w:t>
      </w:r>
      <w:r w:rsidR="006A7CEF" w:rsidRPr="00177061">
        <w:rPr>
          <w:rFonts w:eastAsiaTheme="minorHAnsi"/>
          <w:lang w:eastAsia="en-US"/>
        </w:rPr>
        <w:t>This demographic landscape shapes opportunities for intergroup contact among youth in Northern Ireland.</w:t>
      </w:r>
    </w:p>
    <w:p w14:paraId="52EC0721" w14:textId="0D19A10C" w:rsidR="0009005B" w:rsidRPr="00177061" w:rsidRDefault="00345727" w:rsidP="00345727">
      <w:pPr>
        <w:spacing w:line="480" w:lineRule="auto"/>
        <w:ind w:firstLine="720"/>
      </w:pPr>
      <w:r w:rsidRPr="00177061">
        <w:t>Drawing on previous literature suggesting the increasing awareness of and importance of contact in the early adolescence period, we expect that the relation between intergroup contact and intergroup bias to change with age in adolescence.</w:t>
      </w:r>
      <w:r w:rsidR="0009005B" w:rsidRPr="00177061">
        <w:t xml:space="preserve"> Capitalizing on the exploratory approach to estimate </w:t>
      </w:r>
      <w:r w:rsidRPr="00177061">
        <w:t>the function of change</w:t>
      </w:r>
      <w:r w:rsidR="0009005B" w:rsidRPr="00177061">
        <w:t xml:space="preserve"> in these constructs</w:t>
      </w:r>
      <w:r w:rsidRPr="00177061">
        <w:t xml:space="preserve"> in continuous time</w:t>
      </w:r>
      <w:r w:rsidR="0009005B" w:rsidRPr="00177061">
        <w:t>, our models are not constrained to linear, quadratic, etc. change. To our knowledge, this is the first time a flexible change function has been applied in this area of research; therefore, we do not have a priori predictors of the shape or direction of change in intergroup contact (quality and frequency) and intergroup bias</w:t>
      </w:r>
      <w:r w:rsidRPr="00177061">
        <w:t xml:space="preserve">. </w:t>
      </w:r>
    </w:p>
    <w:p w14:paraId="17ABC908" w14:textId="2E4D1C27" w:rsidR="00345727" w:rsidRPr="00177061" w:rsidRDefault="006A7CEF" w:rsidP="00345727">
      <w:pPr>
        <w:spacing w:line="480" w:lineRule="auto"/>
        <w:ind w:firstLine="720"/>
      </w:pPr>
      <w:r w:rsidRPr="00177061">
        <w:rPr>
          <w:rFonts w:eastAsiaTheme="minorHAnsi"/>
          <w:lang w:eastAsia="en-US"/>
        </w:rPr>
        <w:lastRenderedPageBreak/>
        <w:t xml:space="preserve">As the numbers of the two communities have become relatively even across the population of Northern Ireland (approximately 41% Catholic, 42% Protestant and 17% declaring no religion; </w:t>
      </w:r>
      <w:r w:rsidR="00B448F3">
        <w:rPr>
          <w:rFonts w:eastAsiaTheme="minorHAnsi"/>
          <w:lang w:eastAsia="en-US"/>
        </w:rPr>
        <w:t>Northern Ireland Statistics and Research Agency, 2011</w:t>
      </w:r>
      <w:r w:rsidRPr="00177061">
        <w:rPr>
          <w:rFonts w:eastAsiaTheme="minorHAnsi"/>
          <w:lang w:eastAsia="en-US"/>
        </w:rPr>
        <w:t xml:space="preserve">CITE), consistent with past research (Schulz &amp; Taylor, 2018), </w:t>
      </w:r>
      <w:r w:rsidR="0009005B" w:rsidRPr="00177061">
        <w:rPr>
          <w:rFonts w:eastAsia="Times New Roman"/>
        </w:rPr>
        <w:t xml:space="preserve">the current study also examines patterns of change for </w:t>
      </w:r>
      <w:r w:rsidR="0018193B" w:rsidRPr="00177061">
        <w:rPr>
          <w:rFonts w:eastAsia="Times New Roman"/>
        </w:rPr>
        <w:t xml:space="preserve">youth from a </w:t>
      </w:r>
      <w:r w:rsidR="0009005B" w:rsidRPr="00177061">
        <w:rPr>
          <w:rFonts w:eastAsia="Times New Roman"/>
        </w:rPr>
        <w:t>Protestant (</w:t>
      </w:r>
      <w:r w:rsidRPr="00177061">
        <w:rPr>
          <w:rFonts w:eastAsia="Times New Roman"/>
        </w:rPr>
        <w:t xml:space="preserve">historic </w:t>
      </w:r>
      <w:r w:rsidR="0009005B" w:rsidRPr="00177061">
        <w:rPr>
          <w:rFonts w:eastAsia="Times New Roman"/>
        </w:rPr>
        <w:t xml:space="preserve">majority) </w:t>
      </w:r>
      <w:r w:rsidR="0018193B" w:rsidRPr="00177061">
        <w:rPr>
          <w:rFonts w:eastAsia="Times New Roman"/>
        </w:rPr>
        <w:t>and Catholic</w:t>
      </w:r>
      <w:r w:rsidR="0009005B" w:rsidRPr="00177061">
        <w:rPr>
          <w:rFonts w:eastAsia="Times New Roman"/>
        </w:rPr>
        <w:t xml:space="preserve"> (</w:t>
      </w:r>
      <w:r w:rsidRPr="00177061">
        <w:rPr>
          <w:rFonts w:eastAsia="Times New Roman"/>
        </w:rPr>
        <w:t xml:space="preserve">historic </w:t>
      </w:r>
      <w:r w:rsidR="0009005B" w:rsidRPr="00177061">
        <w:rPr>
          <w:rFonts w:eastAsia="Times New Roman"/>
        </w:rPr>
        <w:t xml:space="preserve">minority) </w:t>
      </w:r>
      <w:r w:rsidR="0018193B" w:rsidRPr="00177061">
        <w:rPr>
          <w:rFonts w:eastAsia="Times New Roman"/>
        </w:rPr>
        <w:t xml:space="preserve">community background </w:t>
      </w:r>
      <w:r w:rsidR="0009005B" w:rsidRPr="00177061">
        <w:rPr>
          <w:rFonts w:eastAsia="Times New Roman"/>
        </w:rPr>
        <w:t xml:space="preserve">separately. </w:t>
      </w:r>
      <w:r w:rsidRPr="00177061">
        <w:rPr>
          <w:rFonts w:eastAsia="Times New Roman"/>
        </w:rPr>
        <w:t>Given the nature of intergroup relations in Belfast and d</w:t>
      </w:r>
      <w:r w:rsidR="00345727" w:rsidRPr="00177061">
        <w:t>rawing from previous literature</w:t>
      </w:r>
      <w:r w:rsidR="00396EBE" w:rsidRPr="00177061">
        <w:t xml:space="preserve"> </w:t>
      </w:r>
      <w:r w:rsidR="00396EBE" w:rsidRPr="00177061">
        <w:rPr>
          <w:rFonts w:eastAsia="Times New Roman"/>
        </w:rPr>
        <w:t>in which the relation between contact and prejudice reduction is stronger for majority groups</w:t>
      </w:r>
      <w:r w:rsidR="0009005B" w:rsidRPr="00177061">
        <w:t>,</w:t>
      </w:r>
      <w:r w:rsidR="00345727" w:rsidRPr="00177061">
        <w:t xml:space="preserve"> we expect the relation between contact and intergroup bias to be stronger for Protestants compared to Catholics. </w:t>
      </w:r>
    </w:p>
    <w:p w14:paraId="6942FFB1" w14:textId="77777777" w:rsidR="003F4A6B" w:rsidRPr="00C37967" w:rsidRDefault="003F4A6B" w:rsidP="007B06FC">
      <w:pPr>
        <w:spacing w:line="480" w:lineRule="auto"/>
        <w:jc w:val="center"/>
        <w:rPr>
          <w:b/>
        </w:rPr>
      </w:pPr>
      <w:r>
        <w:rPr>
          <w:b/>
        </w:rPr>
        <w:t>M</w:t>
      </w:r>
      <w:r w:rsidRPr="00C37967">
        <w:rPr>
          <w:b/>
        </w:rPr>
        <w:t>ethod</w:t>
      </w:r>
    </w:p>
    <w:p w14:paraId="4A581905" w14:textId="77777777" w:rsidR="003F4A6B" w:rsidRPr="00C37967" w:rsidRDefault="003F4A6B" w:rsidP="003F4A6B">
      <w:pPr>
        <w:spacing w:line="480" w:lineRule="auto"/>
        <w:rPr>
          <w:b/>
        </w:rPr>
      </w:pPr>
      <w:r w:rsidRPr="00362B37">
        <w:rPr>
          <w:b/>
        </w:rPr>
        <w:t>Participants</w:t>
      </w:r>
    </w:p>
    <w:p w14:paraId="036D6038" w14:textId="03A6A58C" w:rsidR="003F4A6B" w:rsidRDefault="003F4A6B" w:rsidP="003F4A6B">
      <w:pPr>
        <w:spacing w:line="480" w:lineRule="auto"/>
      </w:pPr>
      <w:r w:rsidRPr="00C37967">
        <w:tab/>
      </w:r>
      <w:r w:rsidR="009C40E7" w:rsidRPr="00177061">
        <w:t xml:space="preserve">These data are drawn from the </w:t>
      </w:r>
      <w:r w:rsidRPr="00177061">
        <w:t xml:space="preserve">final two waves of a six wave longitudinal study of the effects of political violence on youth in Belfast. </w:t>
      </w:r>
      <w:r w:rsidR="009C40E7" w:rsidRPr="00177061">
        <w:t>The waves were selected because they were the only measurement occasion in which these variables were assessed. In the current analyses, participants included 667 youth</w:t>
      </w:r>
      <w:r w:rsidR="008565FD" w:rsidRPr="00177061">
        <w:t>, aged</w:t>
      </w:r>
      <w:r w:rsidRPr="00177061">
        <w:t xml:space="preserve"> 15.74 (</w:t>
      </w:r>
      <w:r w:rsidRPr="00177061">
        <w:rPr>
          <w:i/>
        </w:rPr>
        <w:t>SD</w:t>
      </w:r>
      <w:r w:rsidR="008565FD" w:rsidRPr="00177061">
        <w:t xml:space="preserve"> = 1.97)</w:t>
      </w:r>
      <w:r w:rsidRPr="00177061">
        <w:t xml:space="preserve"> and 16.82 (</w:t>
      </w:r>
      <w:r w:rsidRPr="00177061">
        <w:rPr>
          <w:i/>
        </w:rPr>
        <w:t>SD</w:t>
      </w:r>
      <w:r w:rsidR="008565FD" w:rsidRPr="00177061">
        <w:t xml:space="preserve"> = 2.00) years old in each wave, evenly split by gender</w:t>
      </w:r>
      <w:r w:rsidRPr="00177061">
        <w:t>. Reflecting the demographics of Northern Ireland</w:t>
      </w:r>
      <w:r w:rsidR="008565FD" w:rsidRPr="00177061">
        <w:t xml:space="preserve">, all participants were White; </w:t>
      </w:r>
      <w:r w:rsidRPr="00177061">
        <w:t>there was a slight over-representation of the Protestant community (62%) compared to the Catholic community (38%). Roughly two-thirds of the participating families were headed by single females, consistent with the demographics of the larger area</w:t>
      </w:r>
      <w:r w:rsidR="004B5732" w:rsidRPr="00177061">
        <w:t>.</w:t>
      </w:r>
      <w:r w:rsidRPr="00177061">
        <w:t xml:space="preserve"> Seventy-eight percent of the sample was retained between waves. </w:t>
      </w:r>
    </w:p>
    <w:p w14:paraId="1610E684" w14:textId="77777777" w:rsidR="003F4A6B" w:rsidRPr="00C37967" w:rsidRDefault="003F4A6B" w:rsidP="003F4A6B">
      <w:pPr>
        <w:spacing w:line="480" w:lineRule="auto"/>
        <w:rPr>
          <w:b/>
        </w:rPr>
      </w:pPr>
      <w:r w:rsidRPr="00C37967">
        <w:rPr>
          <w:b/>
        </w:rPr>
        <w:t>Procedures</w:t>
      </w:r>
    </w:p>
    <w:p w14:paraId="216802D6" w14:textId="589EB9A5" w:rsidR="003F4A6B" w:rsidRPr="00362B37" w:rsidRDefault="003F4A6B" w:rsidP="003F4A6B">
      <w:pPr>
        <w:spacing w:line="480" w:lineRule="auto"/>
        <w:rPr>
          <w:lang w:val="en-GB"/>
        </w:rPr>
      </w:pPr>
      <w:r>
        <w:tab/>
        <w:t xml:space="preserve">Participants were drawn from relatively homogenous neighborhoods based on Catholic/Protestant affiliation of residents, levels of conflict and violence experienced during and </w:t>
      </w:r>
      <w:r>
        <w:lastRenderedPageBreak/>
        <w:t>after the Troubles, and on socio-economic status. An expert demographer identified neighborhoods using data on</w:t>
      </w:r>
      <w:r w:rsidRPr="005D7E4B">
        <w:t xml:space="preserve"> historical politically-motivated death rates during the Troubles, as well as sectarian crime reports to the Police Service of Northern Ireland, (Shirlow &amp; </w:t>
      </w:r>
      <w:proofErr w:type="spellStart"/>
      <w:r w:rsidRPr="005D7E4B">
        <w:t>Murtagh</w:t>
      </w:r>
      <w:proofErr w:type="spellEnd"/>
      <w:r w:rsidRPr="005D7E4B">
        <w:t xml:space="preserve">, 2006). </w:t>
      </w:r>
      <w:r w:rsidRPr="00362B37">
        <w:t xml:space="preserve">All study areas were working class and ranked in the lowest quarter of social deprivation </w:t>
      </w:r>
      <w:r w:rsidR="002A19D7">
        <w:t xml:space="preserve">(e.g. </w:t>
      </w:r>
      <w:r w:rsidRPr="00362B37">
        <w:t xml:space="preserve">access to basic services, </w:t>
      </w:r>
      <w:r>
        <w:t>schools, education and housing</w:t>
      </w:r>
      <w:r w:rsidR="002A19D7">
        <w:t>)</w:t>
      </w:r>
      <w:r>
        <w:t xml:space="preserve">. </w:t>
      </w:r>
      <w:r w:rsidR="002A19D7">
        <w:t>Community leaders and families were sent letters informing them of the study as an examination of</w:t>
      </w:r>
      <w:r w:rsidR="002A19D7" w:rsidRPr="0037080B">
        <w:t xml:space="preserve"> </w:t>
      </w:r>
      <w:r w:rsidR="002A19D7" w:rsidRPr="0037080B">
        <w:rPr>
          <w:lang w:val="en-GB"/>
        </w:rPr>
        <w:t xml:space="preserve">political and community </w:t>
      </w:r>
      <w:r w:rsidR="002A19D7" w:rsidRPr="00177061">
        <w:rPr>
          <w:lang w:val="en-GB"/>
        </w:rPr>
        <w:t xml:space="preserve">conflict, family relationships, and child development. Interviewers </w:t>
      </w:r>
      <w:r w:rsidRPr="00177061">
        <w:rPr>
          <w:lang w:val="en-GB"/>
        </w:rPr>
        <w:t xml:space="preserve">followed up through door-to-door visits to </w:t>
      </w:r>
      <w:r w:rsidR="002A19D7" w:rsidRPr="00177061">
        <w:rPr>
          <w:lang w:val="en-GB"/>
        </w:rPr>
        <w:t>assess eligibility</w:t>
      </w:r>
      <w:r w:rsidRPr="00177061">
        <w:rPr>
          <w:lang w:val="en-GB"/>
        </w:rPr>
        <w:t xml:space="preserve"> and </w:t>
      </w:r>
      <w:r w:rsidR="002A19D7" w:rsidRPr="00177061">
        <w:rPr>
          <w:lang w:val="en-GB"/>
        </w:rPr>
        <w:t>interest</w:t>
      </w:r>
      <w:r w:rsidRPr="00177061">
        <w:rPr>
          <w:lang w:val="en-GB"/>
        </w:rPr>
        <w:t xml:space="preserve">. </w:t>
      </w:r>
      <w:r w:rsidR="002A19D7" w:rsidRPr="00177061">
        <w:t>F</w:t>
      </w:r>
      <w:r w:rsidRPr="00177061">
        <w:t>amilies</w:t>
      </w:r>
      <w:r w:rsidR="008565FD" w:rsidRPr="00177061">
        <w:t xml:space="preserve"> </w:t>
      </w:r>
      <w:r w:rsidRPr="00177061">
        <w:t>with a child in the target age range (10-17 years old) were recruited to participate</w:t>
      </w:r>
      <w:r w:rsidR="008565FD" w:rsidRPr="00177061">
        <w:t xml:space="preserve"> (for greater detail about the sampling, see </w:t>
      </w:r>
      <w:r w:rsidR="008565FD" w:rsidRPr="00177061">
        <w:rPr>
          <w:i/>
        </w:rPr>
        <w:t>Author Identifying Citation</w:t>
      </w:r>
      <w:r w:rsidR="008565FD" w:rsidRPr="00177061">
        <w:t>)</w:t>
      </w:r>
      <w:r w:rsidRPr="00177061">
        <w:t xml:space="preserve">. Interviewers from a local market research firm completed all interviews </w:t>
      </w:r>
      <w:r w:rsidR="002A19D7" w:rsidRPr="00177061">
        <w:t xml:space="preserve">via face-to-face interview in the participants’ homes </w:t>
      </w:r>
      <w:r w:rsidRPr="00177061">
        <w:t xml:space="preserve">with </w:t>
      </w:r>
      <w:r w:rsidR="008565FD" w:rsidRPr="00177061">
        <w:t>youth</w:t>
      </w:r>
      <w:r w:rsidRPr="00177061">
        <w:t xml:space="preserve"> interviews lasting appro</w:t>
      </w:r>
      <w:r w:rsidR="002A19D7" w:rsidRPr="00177061">
        <w:t>ximately 45 minutes</w:t>
      </w:r>
      <w:r w:rsidR="002A19D7">
        <w:t>. T</w:t>
      </w:r>
      <w:r w:rsidRPr="005F40E9">
        <w:t xml:space="preserve">he family received modest compensation </w:t>
      </w:r>
      <w:r>
        <w:t>at each time point. P</w:t>
      </w:r>
      <w:r w:rsidRPr="005F40E9">
        <w:t xml:space="preserve">rocedures were approved by the Human Subjects Review Boards at all participating universities. </w:t>
      </w:r>
    </w:p>
    <w:p w14:paraId="2E419E04" w14:textId="77777777" w:rsidR="003F4A6B" w:rsidRPr="005F40E9" w:rsidRDefault="003F4A6B" w:rsidP="003F4A6B">
      <w:pPr>
        <w:spacing w:line="480" w:lineRule="auto"/>
        <w:rPr>
          <w:b/>
        </w:rPr>
      </w:pPr>
      <w:r w:rsidRPr="005F40E9">
        <w:rPr>
          <w:b/>
        </w:rPr>
        <w:t>Measures</w:t>
      </w:r>
    </w:p>
    <w:p w14:paraId="2657C3DD" w14:textId="5902BC8A" w:rsidR="003F4A6B" w:rsidRPr="007D628E" w:rsidRDefault="003F4A6B" w:rsidP="003F4A6B">
      <w:pPr>
        <w:spacing w:line="480" w:lineRule="auto"/>
        <w:ind w:firstLine="720"/>
      </w:pPr>
      <w:r w:rsidRPr="00096D9C">
        <w:rPr>
          <w:b/>
        </w:rPr>
        <w:t>Intergroup bias</w:t>
      </w:r>
      <w:r w:rsidRPr="00096D9C">
        <w:t>. Youth</w:t>
      </w:r>
      <w:r w:rsidRPr="005F40E9">
        <w:t xml:space="preserve"> responded to </w:t>
      </w:r>
      <w:r>
        <w:t xml:space="preserve">two “feeling thermometer” </w:t>
      </w:r>
      <w:r w:rsidR="00FD64F4">
        <w:t>items</w:t>
      </w:r>
      <w:r>
        <w:t xml:space="preserve"> used to create a score of </w:t>
      </w:r>
      <w:r w:rsidRPr="005F40E9">
        <w:t xml:space="preserve">intergroup </w:t>
      </w:r>
      <w:r w:rsidRPr="007D628E">
        <w:t xml:space="preserve">attitudes (Cairns, </w:t>
      </w:r>
      <w:proofErr w:type="spellStart"/>
      <w:r w:rsidRPr="007D628E">
        <w:t>Kenworthy</w:t>
      </w:r>
      <w:proofErr w:type="spellEnd"/>
      <w:r w:rsidRPr="007D628E">
        <w:t xml:space="preserve">, Campbell, &amp; </w:t>
      </w:r>
      <w:proofErr w:type="spellStart"/>
      <w:r w:rsidRPr="007D628E">
        <w:t>Hewstone</w:t>
      </w:r>
      <w:proofErr w:type="spellEnd"/>
      <w:r w:rsidRPr="007D628E">
        <w:t>, 2006). Participants rated how 0 (</w:t>
      </w:r>
      <w:r w:rsidRPr="007D628E">
        <w:rPr>
          <w:i/>
        </w:rPr>
        <w:t>unfavorable</w:t>
      </w:r>
      <w:r w:rsidRPr="007D628E">
        <w:t>) to 100 (</w:t>
      </w:r>
      <w:r w:rsidRPr="007D628E">
        <w:rPr>
          <w:i/>
        </w:rPr>
        <w:t>favorable</w:t>
      </w:r>
      <w:r w:rsidRPr="007D628E">
        <w:t>) they felt towards the Protestant and Catholic communities. A difference score was calculated</w:t>
      </w:r>
      <w:r w:rsidR="005A275D">
        <w:t>, which we used as our measure of intergroup bias,</w:t>
      </w:r>
      <w:r w:rsidRPr="007D628E">
        <w:t xml:space="preserve"> such that the degree of intergroup bias reflects the difference between a favorable </w:t>
      </w:r>
      <w:proofErr w:type="gramStart"/>
      <w:r w:rsidR="00AC0E71">
        <w:t>rating</w:t>
      </w:r>
      <w:proofErr w:type="gramEnd"/>
      <w:r w:rsidRPr="007D628E">
        <w:t xml:space="preserve"> of the individual’s in-group compared to the out-group, ranging from -100 to 100. Higher scores indicate positive in-group bias. This approach to intergroup bias has been widely used in Northern Ireland (Cairns et al., 2006).</w:t>
      </w:r>
    </w:p>
    <w:p w14:paraId="1001C8E9" w14:textId="69DD968E" w:rsidR="003F4A6B" w:rsidRPr="00177061" w:rsidRDefault="003F4A6B" w:rsidP="003F4A6B">
      <w:pPr>
        <w:spacing w:line="480" w:lineRule="auto"/>
        <w:ind w:firstLine="720"/>
      </w:pPr>
      <w:r w:rsidRPr="007D628E">
        <w:rPr>
          <w:b/>
        </w:rPr>
        <w:lastRenderedPageBreak/>
        <w:t>Frequency of intergroup</w:t>
      </w:r>
      <w:r w:rsidRPr="00096D9C">
        <w:rPr>
          <w:b/>
        </w:rPr>
        <w:t xml:space="preserve"> contact</w:t>
      </w:r>
      <w:r w:rsidRPr="00096D9C">
        <w:t>. To</w:t>
      </w:r>
      <w:r>
        <w:t xml:space="preserve"> assess contact frequency, a</w:t>
      </w:r>
      <w:r w:rsidRPr="00852F86">
        <w:t xml:space="preserve">dolescents responded to four items that asked “how often do you interact with people from the other community in each other’s homes / at school / in your neighborhood / through extra-curricular activities such as sports </w:t>
      </w:r>
      <w:r w:rsidRPr="00177061">
        <w:t>or community service.” Responses could range from 0 (</w:t>
      </w:r>
      <w:r w:rsidRPr="00177061">
        <w:rPr>
          <w:i/>
        </w:rPr>
        <w:t>never</w:t>
      </w:r>
      <w:r w:rsidRPr="00177061">
        <w:t>) to 4 (</w:t>
      </w:r>
      <w:r w:rsidRPr="00177061">
        <w:rPr>
          <w:i/>
        </w:rPr>
        <w:t>very often</w:t>
      </w:r>
      <w:r w:rsidRPr="00177061">
        <w:t>) and were summed for a composite score. Cronbach’s alphas were good (Time 1 α = .82, Time 2 α = .86).</w:t>
      </w:r>
    </w:p>
    <w:p w14:paraId="2F853B08" w14:textId="098A3448" w:rsidR="003F4A6B" w:rsidRDefault="003F4A6B" w:rsidP="003F4A6B">
      <w:pPr>
        <w:spacing w:line="480" w:lineRule="auto"/>
        <w:ind w:firstLine="720"/>
      </w:pPr>
      <w:r w:rsidRPr="00177061">
        <w:rPr>
          <w:b/>
        </w:rPr>
        <w:t>Quality of intergroup contact</w:t>
      </w:r>
      <w:r w:rsidRPr="00177061">
        <w:t xml:space="preserve">. Participants rated the </w:t>
      </w:r>
      <w:r w:rsidR="005C5F7B" w:rsidRPr="00177061">
        <w:t xml:space="preserve">overall </w:t>
      </w:r>
      <w:r w:rsidRPr="00177061">
        <w:t xml:space="preserve">quality of intergroup contact </w:t>
      </w:r>
      <w:r w:rsidR="0018193B" w:rsidRPr="00177061">
        <w:t xml:space="preserve">with the </w:t>
      </w:r>
      <w:r w:rsidRPr="00177061">
        <w:t xml:space="preserve">other </w:t>
      </w:r>
      <w:r w:rsidR="0018193B" w:rsidRPr="00177061">
        <w:t>community</w:t>
      </w:r>
      <w:r w:rsidR="00FD64F4" w:rsidRPr="00177061">
        <w:t xml:space="preserve"> using a five</w:t>
      </w:r>
      <w:r w:rsidRPr="00177061">
        <w:t xml:space="preserve">-item measure (Dixon et al., 2010). They rated the degree to which their contact experiences were friendly, cooperative, </w:t>
      </w:r>
      <w:r w:rsidR="005C5F7B" w:rsidRPr="00177061">
        <w:t xml:space="preserve">pleasant, and that the </w:t>
      </w:r>
      <w:r w:rsidRPr="00177061">
        <w:t>par</w:t>
      </w:r>
      <w:r w:rsidR="005C5F7B" w:rsidRPr="00177061">
        <w:t>ticipants interacted as equals</w:t>
      </w:r>
      <w:r w:rsidR="00F95813">
        <w:t>,</w:t>
      </w:r>
      <w:r w:rsidR="005C5F7B" w:rsidRPr="00177061">
        <w:t xml:space="preserve"> </w:t>
      </w:r>
      <w:r w:rsidRPr="00177061">
        <w:t>and the contact was close and intimate using a 5-point Likert scale from 0 (</w:t>
      </w:r>
      <w:r w:rsidRPr="00177061">
        <w:rPr>
          <w:i/>
        </w:rPr>
        <w:t>never</w:t>
      </w:r>
      <w:r w:rsidRPr="00177061">
        <w:t>) to 4 (</w:t>
      </w:r>
      <w:r w:rsidRPr="00177061">
        <w:rPr>
          <w:i/>
        </w:rPr>
        <w:t>always</w:t>
      </w:r>
      <w:r>
        <w:t>). Responses were summed and higher scores indicated better quality of contact with excellent internal consistencies (Time 1</w:t>
      </w:r>
      <w:r w:rsidRPr="00501C1D">
        <w:t xml:space="preserve"> </w:t>
      </w:r>
      <w:r>
        <w:t>α = .99, Time 2 α = .99).</w:t>
      </w:r>
    </w:p>
    <w:p w14:paraId="25367813" w14:textId="77777777" w:rsidR="003F4A6B" w:rsidRDefault="003F4A6B" w:rsidP="003F4A6B">
      <w:pPr>
        <w:rPr>
          <w:b/>
        </w:rPr>
      </w:pPr>
    </w:p>
    <w:p w14:paraId="35A94665" w14:textId="77777777" w:rsidR="003F4A6B" w:rsidRDefault="003F4A6B" w:rsidP="003F4A6B">
      <w:pPr>
        <w:spacing w:line="480" w:lineRule="auto"/>
        <w:jc w:val="center"/>
        <w:rPr>
          <w:b/>
        </w:rPr>
      </w:pPr>
      <w:r>
        <w:rPr>
          <w:b/>
        </w:rPr>
        <w:t>Results</w:t>
      </w:r>
    </w:p>
    <w:p w14:paraId="39FE7432" w14:textId="77777777" w:rsidR="003F4A6B" w:rsidRDefault="003F4A6B" w:rsidP="003F4A6B">
      <w:pPr>
        <w:spacing w:line="480" w:lineRule="auto"/>
        <w:rPr>
          <w:b/>
        </w:rPr>
      </w:pPr>
      <w:r w:rsidRPr="00EE692D">
        <w:rPr>
          <w:b/>
        </w:rPr>
        <w:t>Descriptive Statistics</w:t>
      </w:r>
    </w:p>
    <w:p w14:paraId="71BC8464" w14:textId="21C90741" w:rsidR="003F4A6B" w:rsidRPr="00EE692D" w:rsidRDefault="003F4A6B" w:rsidP="003F4A6B">
      <w:pPr>
        <w:spacing w:line="480" w:lineRule="auto"/>
      </w:pPr>
      <w:r>
        <w:rPr>
          <w:b/>
        </w:rPr>
        <w:tab/>
      </w:r>
      <w:r w:rsidRPr="00EE692D">
        <w:t xml:space="preserve">Means, standard deviations and </w:t>
      </w:r>
      <w:r>
        <w:t xml:space="preserve">bi-variate correlations are presented in Table 1 by wave. Because age is measured in months </w:t>
      </w:r>
      <w:r w:rsidR="007D628E">
        <w:t xml:space="preserve">(based on birth date and month interviewed) </w:t>
      </w:r>
      <w:r>
        <w:t xml:space="preserve">to capture continuous time, presenting the data by age is not possible. </w:t>
      </w:r>
    </w:p>
    <w:p w14:paraId="682FF58C" w14:textId="77777777" w:rsidR="003F4A6B" w:rsidRPr="00EE692D" w:rsidRDefault="003F4A6B" w:rsidP="003F4A6B">
      <w:pPr>
        <w:spacing w:line="480" w:lineRule="auto"/>
        <w:rPr>
          <w:b/>
        </w:rPr>
      </w:pPr>
      <w:r w:rsidRPr="00EE692D">
        <w:rPr>
          <w:b/>
        </w:rPr>
        <w:t>Time Varying Effects Models</w:t>
      </w:r>
    </w:p>
    <w:p w14:paraId="3397B8CD" w14:textId="33F089BA" w:rsidR="00D50240" w:rsidRPr="00D50240" w:rsidRDefault="003F4A6B" w:rsidP="00D50240">
      <w:pPr>
        <w:spacing w:line="480" w:lineRule="auto"/>
        <w:ind w:firstLine="720"/>
      </w:pPr>
      <w:r>
        <w:t xml:space="preserve">All analyses were modeled using the TVEM SAS </w:t>
      </w:r>
      <w:r w:rsidRPr="00CE6DDF">
        <w:t xml:space="preserve">Macro </w:t>
      </w:r>
      <w:r w:rsidRPr="00A049F0">
        <w:t>(Li et al., 201</w:t>
      </w:r>
      <w:r w:rsidR="00F355F1">
        <w:t>7)</w:t>
      </w:r>
      <w:r w:rsidRPr="00A049F0">
        <w:t xml:space="preserve">. </w:t>
      </w:r>
      <w:r w:rsidR="00D50240" w:rsidRPr="00D50240">
        <w:t xml:space="preserve">In order to model regression intercepts and coefficients as a smooth function of time, TVEM uses a spline-based approach to split a function of time into intervals that are based on a number of dividing points (knots). Polynomial terms are used to estimate the specific shape of change for each interval, as TVEM does not force a specific shape of change on intercepts or slopes (e.g., linear, quadratic). The only </w:t>
      </w:r>
      <w:r w:rsidR="00BF147F">
        <w:t xml:space="preserve">assumption made by TVEM is </w:t>
      </w:r>
      <w:r w:rsidR="00D50240" w:rsidRPr="00D50240">
        <w:t>for the entire sample</w:t>
      </w:r>
      <w:r w:rsidR="00CF459D">
        <w:t>,</w:t>
      </w:r>
      <w:r w:rsidR="00D50240" w:rsidRPr="00D50240">
        <w:t xml:space="preserve"> </w:t>
      </w:r>
      <w:r w:rsidR="00BF147F">
        <w:t xml:space="preserve">change over time is </w:t>
      </w:r>
      <w:r w:rsidR="00D50240" w:rsidRPr="00D50240">
        <w:lastRenderedPageBreak/>
        <w:t xml:space="preserve">continuous rather than discontinuous. This </w:t>
      </w:r>
      <w:proofErr w:type="spellStart"/>
      <w:r w:rsidR="00D50240" w:rsidRPr="00D50240">
        <w:t>nonparametic</w:t>
      </w:r>
      <w:proofErr w:type="spellEnd"/>
      <w:r w:rsidR="00D50240" w:rsidRPr="00D50240">
        <w:t xml:space="preserve"> approach is particularly useful in synthesizing nonlinear or complex patterns of change that are present in longitudinal data. </w:t>
      </w:r>
    </w:p>
    <w:p w14:paraId="68DB6E5C" w14:textId="6AB735BE" w:rsidR="00CB3E4A" w:rsidRDefault="00D50240" w:rsidP="00CB3E4A">
      <w:pPr>
        <w:spacing w:line="480" w:lineRule="auto"/>
        <w:ind w:firstLine="720"/>
      </w:pPr>
      <w:r w:rsidRPr="00D50240">
        <w:t xml:space="preserve">A curvilinear estimate of the slope function, with a 95% confidence interval, is created by TVEM (Tan et al., 2012). Relating to the specified age represented on the x-axis, any point on the curve signifies the relation between the predictor (e.g. quality or quantity of contact) and the outcome (e.g. intergroup bias). If the confidence interval does not include zero at a particular point in time, a significant relation is indicated; if the confidence intervals do not overlap over time, a significant slope is indicated (Lanza, </w:t>
      </w:r>
      <w:proofErr w:type="spellStart"/>
      <w:r w:rsidRPr="00D50240">
        <w:t>Vasilenko</w:t>
      </w:r>
      <w:proofErr w:type="spellEnd"/>
      <w:r w:rsidRPr="00D50240">
        <w:t>, Liu, Li, &amp; Piper, 2014).</w:t>
      </w:r>
      <w:r w:rsidR="00AD2727">
        <w:t xml:space="preserve"> </w:t>
      </w:r>
      <w:r w:rsidR="003F4A6B" w:rsidRPr="00A049F0">
        <w:t>TVEM</w:t>
      </w:r>
      <w:r w:rsidR="003F4A6B">
        <w:t xml:space="preserve"> results are depicted in graphical form as tables of coefficients would be too large to incorporate.</w:t>
      </w:r>
    </w:p>
    <w:p w14:paraId="12EBFA91" w14:textId="10248A61" w:rsidR="003F4A6B" w:rsidRDefault="003F4A6B" w:rsidP="00CB3E4A">
      <w:pPr>
        <w:spacing w:line="480" w:lineRule="auto"/>
        <w:ind w:firstLine="720"/>
      </w:pPr>
      <w:r>
        <w:t xml:space="preserve">For all models the P-spline </w:t>
      </w:r>
      <w:r w:rsidR="00BF147F">
        <w:t>(</w:t>
      </w:r>
      <w:r w:rsidR="00BF147F" w:rsidRPr="00D50240">
        <w:t xml:space="preserve">penalized truncated power spline) </w:t>
      </w:r>
      <w:r>
        <w:t>method was</w:t>
      </w:r>
      <w:r w:rsidR="00CB3E4A">
        <w:t xml:space="preserve"> presented as</w:t>
      </w:r>
      <w:r w:rsidR="00BF147F" w:rsidRPr="00D50240">
        <w:t xml:space="preserve"> </w:t>
      </w:r>
      <w:r w:rsidR="00CB3E4A" w:rsidRPr="00D50240">
        <w:t xml:space="preserve">P-spline utilizes information criteria to balance model fit with parsimony, thus automatically selecting the amount of knots to create the best model that does not </w:t>
      </w:r>
      <w:proofErr w:type="spellStart"/>
      <w:r w:rsidR="00CB3E4A" w:rsidRPr="00D50240">
        <w:t>overfit</w:t>
      </w:r>
      <w:proofErr w:type="spellEnd"/>
      <w:r w:rsidR="00CB3E4A" w:rsidRPr="00D50240">
        <w:t xml:space="preserve"> the data.</w:t>
      </w:r>
      <w:r w:rsidR="00CB3E4A">
        <w:t xml:space="preserve"> </w:t>
      </w:r>
      <w:r w:rsidR="00CB3E4A" w:rsidRPr="00D50240">
        <w:t>B-spline (</w:t>
      </w:r>
      <w:proofErr w:type="spellStart"/>
      <w:r w:rsidR="00CB3E4A" w:rsidRPr="00D50240">
        <w:t>unpenalized</w:t>
      </w:r>
      <w:proofErr w:type="spellEnd"/>
      <w:r w:rsidR="00CB3E4A" w:rsidRPr="00D50240">
        <w:t xml:space="preserve"> truncated power spline)</w:t>
      </w:r>
      <w:r w:rsidR="00BF147F" w:rsidRPr="00D50240">
        <w:t xml:space="preserve"> requires the researcher to, in an iterative manner, manually compare models with varying amounts of knots for every individual time-varying effect. </w:t>
      </w:r>
      <w:r>
        <w:t>The B-spline method with random effects was also explored</w:t>
      </w:r>
      <w:r w:rsidR="004B5732">
        <w:t>,</w:t>
      </w:r>
      <w:r>
        <w:t xml:space="preserve"> but the final model chosen by the fit statistics did not differ greatly to the patterns in the P-spline model, thus, the results of the P-spline models are presented here. </w:t>
      </w:r>
    </w:p>
    <w:p w14:paraId="01F84613" w14:textId="22E050BB" w:rsidR="003F4A6B" w:rsidRDefault="003F4A6B" w:rsidP="003F4A6B">
      <w:pPr>
        <w:spacing w:line="480" w:lineRule="auto"/>
        <w:ind w:firstLine="720"/>
      </w:pPr>
      <w:r>
        <w:t>Figure 1 represents the changing value of the outcome variable, intergroup bias, which appears to increase from age 12 to about age 16 at which point it levels off or slightly decrease</w:t>
      </w:r>
      <w:r w:rsidR="004B5732">
        <w:t>s</w:t>
      </w:r>
      <w:r>
        <w:t xml:space="preserve"> until age 19. The large tail on the confidence band around age 20 is likely the result of the smaller sample at these ages. </w:t>
      </w:r>
    </w:p>
    <w:p w14:paraId="2CA4FFA0" w14:textId="33D41D61" w:rsidR="003F4A6B" w:rsidRDefault="003F4A6B" w:rsidP="003F4A6B">
      <w:pPr>
        <w:spacing w:line="480" w:lineRule="auto"/>
        <w:ind w:firstLine="720"/>
      </w:pPr>
      <w:r>
        <w:t xml:space="preserve">The line in Figure 2 represents the value of the regression coefficient between contact frequency and intergroup bias. </w:t>
      </w:r>
      <w:r w:rsidR="00A665FC" w:rsidRPr="00E03948">
        <w:t>C</w:t>
      </w:r>
      <w:r w:rsidRPr="00E03948">
        <w:t xml:space="preserve">hange over time seems to reflect a decrease </w:t>
      </w:r>
      <w:r w:rsidR="00A665FC" w:rsidRPr="00E03948">
        <w:t>across</w:t>
      </w:r>
      <w:r w:rsidRPr="00E03948">
        <w:t xml:space="preserve"> adolescence</w:t>
      </w:r>
      <w:r w:rsidR="00A665FC" w:rsidRPr="00E03948">
        <w:t xml:space="preserve">; </w:t>
      </w:r>
      <w:r w:rsidR="00A665FC" w:rsidRPr="00E03948">
        <w:lastRenderedPageBreak/>
        <w:t>that is,</w:t>
      </w:r>
      <w:r w:rsidRPr="00E03948">
        <w:t xml:space="preserve"> contact frequency goes from having a positive relation (more contact, more bias) to a negative rela</w:t>
      </w:r>
      <w:r w:rsidR="00A665FC" w:rsidRPr="00E03948">
        <w:t xml:space="preserve">tion (more contact, less bias) with intergroup bias around </w:t>
      </w:r>
      <w:r w:rsidRPr="00E03948">
        <w:t>age 19.</w:t>
      </w:r>
      <w:r w:rsidR="00A665FC" w:rsidRPr="00E03948">
        <w:t xml:space="preserve"> T</w:t>
      </w:r>
      <w:r w:rsidRPr="00E03948">
        <w:t xml:space="preserve">he </w:t>
      </w:r>
      <w:r>
        <w:t>95% confidence band includes zero for the entire period measured</w:t>
      </w:r>
      <w:r w:rsidR="00A665FC">
        <w:t>, however,</w:t>
      </w:r>
      <w:r>
        <w:t xml:space="preserve"> suggesting the value is not significantly different from zero</w:t>
      </w:r>
      <w:r w:rsidR="00F355F1">
        <w:t>.</w:t>
      </w:r>
      <w:r>
        <w:t xml:space="preserve"> </w:t>
      </w:r>
    </w:p>
    <w:p w14:paraId="50EF63DC" w14:textId="3FAFD930" w:rsidR="003F4A6B" w:rsidRDefault="003F4A6B" w:rsidP="003F4A6B">
      <w:pPr>
        <w:spacing w:line="480" w:lineRule="auto"/>
        <w:ind w:firstLine="720"/>
      </w:pPr>
      <w:r>
        <w:t>Similarly</w:t>
      </w:r>
      <w:r w:rsidR="004B5732">
        <w:t>,</w:t>
      </w:r>
      <w:r>
        <w:t xml:space="preserve"> the line in Figure 3 represents the change in the relation between contact quality and intergroup bias through adolescence. As youth age through early adolescence</w:t>
      </w:r>
      <w:r w:rsidR="004B5732">
        <w:t>,</w:t>
      </w:r>
      <w:r>
        <w:t xml:space="preserve"> the relation between contact quality and intergroup bias </w:t>
      </w:r>
      <w:r w:rsidR="00063FEA">
        <w:t xml:space="preserve">is negative (higher quality contact, less bias) and gets stronger </w:t>
      </w:r>
      <w:r>
        <w:t>until about age 15</w:t>
      </w:r>
      <w:r w:rsidR="004B5732">
        <w:t>,</w:t>
      </w:r>
      <w:r>
        <w:t xml:space="preserve"> at which points it seems to get slightly weaker until age 19. Again</w:t>
      </w:r>
      <w:r w:rsidR="00CF459D">
        <w:t>,</w:t>
      </w:r>
      <w:r>
        <w:t xml:space="preserve"> the large tail around ages 19-20 likely reflects the smaller sample and larger standard errors at these ages. </w:t>
      </w:r>
    </w:p>
    <w:p w14:paraId="0AD6CB63" w14:textId="1BBAB963" w:rsidR="003F4A6B" w:rsidRPr="0064160B" w:rsidRDefault="003F4A6B" w:rsidP="003F4A6B">
      <w:pPr>
        <w:spacing w:line="480" w:lineRule="auto"/>
      </w:pPr>
      <w:r>
        <w:tab/>
      </w:r>
      <w:r w:rsidRPr="000D45D6">
        <w:t xml:space="preserve">We also examined changes in the values of the coefficients over age for </w:t>
      </w:r>
      <w:r w:rsidR="0018193B" w:rsidRPr="000D45D6">
        <w:t>Protestant (</w:t>
      </w:r>
      <w:r w:rsidR="00FC38FA" w:rsidRPr="000D45D6">
        <w:t xml:space="preserve">historic </w:t>
      </w:r>
      <w:r w:rsidRPr="000D45D6">
        <w:t>majority</w:t>
      </w:r>
      <w:r w:rsidR="0018193B" w:rsidRPr="000D45D6">
        <w:t>)</w:t>
      </w:r>
      <w:r w:rsidRPr="000D45D6">
        <w:t xml:space="preserve"> and </w:t>
      </w:r>
      <w:r w:rsidR="0018193B" w:rsidRPr="000D45D6">
        <w:t>Catholic (</w:t>
      </w:r>
      <w:r w:rsidR="00FC38FA" w:rsidRPr="000D45D6">
        <w:t xml:space="preserve">historic </w:t>
      </w:r>
      <w:r w:rsidRPr="000D45D6">
        <w:t>minority</w:t>
      </w:r>
      <w:r w:rsidR="0018193B" w:rsidRPr="000D45D6">
        <w:t>)</w:t>
      </w:r>
      <w:r w:rsidRPr="000D45D6">
        <w:t xml:space="preserve"> groups separately. The patterns for change in intergroup bias and contact </w:t>
      </w:r>
      <w:r w:rsidRPr="000D45D6">
        <w:rPr>
          <w:i/>
        </w:rPr>
        <w:t>frequency</w:t>
      </w:r>
      <w:r w:rsidRPr="000D45D6">
        <w:t xml:space="preserve"> did not appear to differ from each other or from the full sample patterns so they are omitted for simplicity. The patterns of change for the relation between contact </w:t>
      </w:r>
      <w:r w:rsidRPr="000D45D6">
        <w:rPr>
          <w:i/>
        </w:rPr>
        <w:t>quality</w:t>
      </w:r>
      <w:r w:rsidRPr="000D45D6">
        <w:t xml:space="preserve"> and intergroup bias</w:t>
      </w:r>
      <w:r w:rsidR="004B5732" w:rsidRPr="000D45D6">
        <w:t>, however,</w:t>
      </w:r>
      <w:r w:rsidRPr="000D45D6">
        <w:t xml:space="preserve"> did appear to show </w:t>
      </w:r>
      <w:r>
        <w:t>potential differences between the Protestants a</w:t>
      </w:r>
      <w:r w:rsidR="005C5F7B">
        <w:t>n</w:t>
      </w:r>
      <w:r w:rsidR="00FC38FA">
        <w:t>d Catholics</w:t>
      </w:r>
      <w:r>
        <w:t xml:space="preserve">.  Figure 4 shows the two graphs representing the change in coefficients </w:t>
      </w:r>
      <w:r w:rsidR="00FC38FA">
        <w:t>by community background</w:t>
      </w:r>
      <w:r>
        <w:t>. For both groups</w:t>
      </w:r>
      <w:r w:rsidR="004B5732">
        <w:t>,</w:t>
      </w:r>
      <w:r>
        <w:t xml:space="preserve"> contact quality seems to be increasing in strength until around age 14</w:t>
      </w:r>
      <w:r w:rsidR="004B5732">
        <w:t>,</w:t>
      </w:r>
      <w:r>
        <w:t xml:space="preserve"> at which point Catholic youth level off. Protestant youth, on the other hand, seem to show a weakening of the relation between contact quality and intergroup bias until the end of the adolescence period. </w:t>
      </w:r>
      <w:r w:rsidR="00FC38FA" w:rsidRPr="0064160B">
        <w:t xml:space="preserve">That is, for both groups </w:t>
      </w:r>
      <w:r w:rsidR="006F5EDD" w:rsidRPr="0064160B">
        <w:t xml:space="preserve">the strength of the relation between </w:t>
      </w:r>
      <w:r w:rsidR="00FC38FA" w:rsidRPr="0064160B">
        <w:t xml:space="preserve">contact quality </w:t>
      </w:r>
      <w:r w:rsidR="006F5EDD" w:rsidRPr="0064160B">
        <w:t>and</w:t>
      </w:r>
      <w:r w:rsidR="00FC38FA" w:rsidRPr="0064160B">
        <w:t xml:space="preserve"> bias</w:t>
      </w:r>
      <w:r w:rsidR="006F5EDD" w:rsidRPr="0064160B">
        <w:t xml:space="preserve"> got stronger</w:t>
      </w:r>
      <w:r w:rsidR="00FC38FA" w:rsidRPr="0064160B">
        <w:t xml:space="preserve"> through early adolescence. In later adolescence, that effect stayed low and plateaued for the historic minority group; for the historic majority group, the effect of quality contact on bias weakened</w:t>
      </w:r>
      <w:r w:rsidR="0064160B" w:rsidRPr="0064160B">
        <w:t xml:space="preserve"> through middle adolescence</w:t>
      </w:r>
      <w:r w:rsidR="00FC38FA" w:rsidRPr="0064160B">
        <w:t xml:space="preserve">. </w:t>
      </w:r>
    </w:p>
    <w:p w14:paraId="3CF49360" w14:textId="0DC6AE0F" w:rsidR="001167CF" w:rsidRPr="001167CF" w:rsidRDefault="001167CF" w:rsidP="001167CF">
      <w:pPr>
        <w:spacing w:line="480" w:lineRule="auto"/>
        <w:jc w:val="center"/>
        <w:rPr>
          <w:b/>
        </w:rPr>
      </w:pPr>
      <w:r w:rsidRPr="001167CF">
        <w:rPr>
          <w:b/>
        </w:rPr>
        <w:lastRenderedPageBreak/>
        <w:t>Discussion</w:t>
      </w:r>
    </w:p>
    <w:p w14:paraId="5C6A4B37" w14:textId="4D92BDEC" w:rsidR="00A268F2" w:rsidRPr="00E03948" w:rsidRDefault="001167CF" w:rsidP="001167CF">
      <w:pPr>
        <w:spacing w:line="480" w:lineRule="auto"/>
        <w:ind w:firstLine="720"/>
      </w:pPr>
      <w:r w:rsidRPr="001167CF">
        <w:t xml:space="preserve">The </w:t>
      </w:r>
      <w:r>
        <w:t>current study examined how the relation</w:t>
      </w:r>
      <w:r w:rsidR="00232E3A">
        <w:t>s</w:t>
      </w:r>
      <w:r>
        <w:t xml:space="preserve"> between contact frequency</w:t>
      </w:r>
      <w:r w:rsidR="00232E3A">
        <w:t xml:space="preserve"> and</w:t>
      </w:r>
      <w:r w:rsidR="00CF459D">
        <w:t xml:space="preserve"> c</w:t>
      </w:r>
      <w:r w:rsidR="00C45374">
        <w:t>ontact</w:t>
      </w:r>
      <w:r>
        <w:t xml:space="preserve"> quality</w:t>
      </w:r>
      <w:r w:rsidR="00232E3A">
        <w:t xml:space="preserve"> with </w:t>
      </w:r>
      <w:r>
        <w:t xml:space="preserve">intergroup bias change </w:t>
      </w:r>
      <w:r w:rsidR="00232E3A">
        <w:t xml:space="preserve">over adolescence using </w:t>
      </w:r>
      <w:r w:rsidR="00232E3A" w:rsidRPr="00E03948">
        <w:t xml:space="preserve">an exploratory </w:t>
      </w:r>
      <w:r w:rsidRPr="00E03948">
        <w:t xml:space="preserve">approach that does not impose a parametric model to the data. </w:t>
      </w:r>
      <w:r w:rsidR="00205034" w:rsidRPr="00E03948">
        <w:t xml:space="preserve">In other words, we looked at age as a moderator that does not have to take a linear or quadratic form. </w:t>
      </w:r>
      <w:r w:rsidR="0018193B" w:rsidRPr="00E03948">
        <w:t xml:space="preserve">Differing from recent parametric approaches that have examined the changes in contact and intergroup </w:t>
      </w:r>
      <w:r w:rsidR="0018193B">
        <w:t>attitudes (Christ et al., 2014</w:t>
      </w:r>
      <w:r w:rsidR="0018193B" w:rsidRPr="006070D6">
        <w:t xml:space="preserve">; Merrilees et al., 2018; </w:t>
      </w:r>
      <w:proofErr w:type="spellStart"/>
      <w:r w:rsidR="0018193B" w:rsidRPr="006070D6">
        <w:t>Wolfer</w:t>
      </w:r>
      <w:proofErr w:type="spellEnd"/>
      <w:r w:rsidR="0018193B" w:rsidRPr="006070D6">
        <w:t xml:space="preserve"> et al., 2016</w:t>
      </w:r>
      <w:r w:rsidR="0018193B" w:rsidRPr="00E03948">
        <w:t>), the focus of the current paper is less on the environmental or neighborhood contextual effects, and more on estimating the nature of change in these constructs across an important developmental period.</w:t>
      </w:r>
      <w:r w:rsidRPr="00E03948">
        <w:t xml:space="preserve"> </w:t>
      </w:r>
      <w:r w:rsidR="00232E3A" w:rsidRPr="00E03948">
        <w:t xml:space="preserve">This approach provides a more nuanced and dynamic visualization for how these constructs change across adolescence, which may help refine theory or shape intervention timing. </w:t>
      </w:r>
    </w:p>
    <w:p w14:paraId="1A6F7DA9" w14:textId="5526C8A3" w:rsidR="004F7D6D" w:rsidRDefault="00E15524" w:rsidP="001167CF">
      <w:pPr>
        <w:spacing w:line="480" w:lineRule="auto"/>
        <w:ind w:firstLine="720"/>
      </w:pPr>
      <w:r>
        <w:t xml:space="preserve">The current results suggest that </w:t>
      </w:r>
      <w:r w:rsidR="004F7D6D">
        <w:t>within th</w:t>
      </w:r>
      <w:r w:rsidR="00A268F2">
        <w:t>ese</w:t>
      </w:r>
      <w:r w:rsidR="004F7D6D">
        <w:t xml:space="preserve"> divided </w:t>
      </w:r>
      <w:r w:rsidR="00A268F2">
        <w:t xml:space="preserve">neighborhoods </w:t>
      </w:r>
      <w:r w:rsidR="004F7D6D">
        <w:t xml:space="preserve">in Belfast, </w:t>
      </w:r>
      <w:r>
        <w:t xml:space="preserve">intergroup bias increases until middle </w:t>
      </w:r>
      <w:r w:rsidRPr="00E03948">
        <w:t>adolescence</w:t>
      </w:r>
      <w:r w:rsidR="00A268F2" w:rsidRPr="00E03948">
        <w:t>,</w:t>
      </w:r>
      <w:r w:rsidRPr="00E03948">
        <w:t xml:space="preserve"> at which point it levels off. </w:t>
      </w:r>
      <w:r w:rsidR="004F7D6D" w:rsidRPr="00E03948">
        <w:t xml:space="preserve">These results are consistent with </w:t>
      </w:r>
      <w:r w:rsidR="00565416" w:rsidRPr="00E03948">
        <w:t>social identity development theory</w:t>
      </w:r>
      <w:r w:rsidR="004F7D6D" w:rsidRPr="00E03948">
        <w:t xml:space="preserve"> </w:t>
      </w:r>
      <w:r w:rsidR="00396EBE" w:rsidRPr="00E03948">
        <w:t>(</w:t>
      </w:r>
      <w:proofErr w:type="spellStart"/>
      <w:r w:rsidR="00396EBE" w:rsidRPr="00E03948">
        <w:t>Nesdale</w:t>
      </w:r>
      <w:proofErr w:type="spellEnd"/>
      <w:r w:rsidR="00396EBE" w:rsidRPr="00E03948">
        <w:t xml:space="preserve">, 2004), </w:t>
      </w:r>
      <w:r w:rsidR="004F7D6D" w:rsidRPr="00E03948">
        <w:t xml:space="preserve">and </w:t>
      </w:r>
      <w:r w:rsidR="004F7D6D">
        <w:t xml:space="preserve">the importance of context given the nature of segregation and division within these communities. </w:t>
      </w:r>
      <w:r w:rsidR="00A268F2">
        <w:t>The majority of y</w:t>
      </w:r>
      <w:r w:rsidR="004F7D6D">
        <w:t>outh in Belfast are living in segregated neighborhood</w:t>
      </w:r>
      <w:r w:rsidR="00565416">
        <w:t>s</w:t>
      </w:r>
      <w:r w:rsidR="004F7D6D">
        <w:t xml:space="preserve"> and attend</w:t>
      </w:r>
      <w:r w:rsidR="00977EC3">
        <w:t>ing school</w:t>
      </w:r>
      <w:r w:rsidR="00565416">
        <w:t>s</w:t>
      </w:r>
      <w:r w:rsidR="00977EC3">
        <w:t xml:space="preserve"> with </w:t>
      </w:r>
      <w:proofErr w:type="spellStart"/>
      <w:r w:rsidR="00396EBE">
        <w:t>in</w:t>
      </w:r>
      <w:r w:rsidR="00977EC3">
        <w:t>group</w:t>
      </w:r>
      <w:proofErr w:type="spellEnd"/>
      <w:r w:rsidR="00396EBE">
        <w:t xml:space="preserve"> member</w:t>
      </w:r>
      <w:r w:rsidR="00977EC3">
        <w:t>. As they enter adolescence</w:t>
      </w:r>
      <w:r w:rsidR="00A268F2">
        <w:t>,</w:t>
      </w:r>
      <w:r w:rsidR="00977EC3">
        <w:t xml:space="preserve"> norms about segregation and intergroup attitudes are likely to become increasingly important an</w:t>
      </w:r>
      <w:r w:rsidR="00493703">
        <w:t>d</w:t>
      </w:r>
      <w:r w:rsidR="00977EC3">
        <w:t xml:space="preserve"> incorporated into their attitudes about others</w:t>
      </w:r>
      <w:r w:rsidR="00825FFF">
        <w:t xml:space="preserve"> (McKeown &amp; Taylor, 2018)</w:t>
      </w:r>
      <w:r w:rsidR="00977EC3">
        <w:t xml:space="preserve">. </w:t>
      </w:r>
    </w:p>
    <w:p w14:paraId="7368372C" w14:textId="69594AE5" w:rsidR="00B16550" w:rsidRDefault="00E15524" w:rsidP="001167CF">
      <w:pPr>
        <w:spacing w:line="480" w:lineRule="auto"/>
        <w:ind w:firstLine="720"/>
      </w:pPr>
      <w:r>
        <w:t xml:space="preserve">The results for contact frequency suggest that there could be a trend such that more contact is related to less bias once youth are in middle adolescence, but the confidence bands include zero for all ages captured in this sample. The large confidence bands around this effect could indicate high levels of variability across </w:t>
      </w:r>
      <w:r w:rsidR="004F7D6D">
        <w:t>youth</w:t>
      </w:r>
      <w:r>
        <w:t xml:space="preserve"> that should be further </w:t>
      </w:r>
      <w:r w:rsidRPr="00E03948">
        <w:t xml:space="preserve">explored. </w:t>
      </w:r>
      <w:r w:rsidR="00825FFF" w:rsidRPr="00E03948">
        <w:t xml:space="preserve">For </w:t>
      </w:r>
      <w:r w:rsidR="00825FFF" w:rsidRPr="00E03948">
        <w:lastRenderedPageBreak/>
        <w:t>example, it could be that opportunities for contact vary across neighborhood; future research with greater diversity across a larger number of areas could examine this possibility. Another</w:t>
      </w:r>
      <w:r w:rsidRPr="00E03948">
        <w:t xml:space="preserve"> </w:t>
      </w:r>
      <w:r>
        <w:t xml:space="preserve">possibility is that the effect that frequency of </w:t>
      </w:r>
      <w:r w:rsidRPr="00E03948">
        <w:t xml:space="preserve">contact has depends on the quality of the contact </w:t>
      </w:r>
      <w:r w:rsidR="004F7D6D" w:rsidRPr="00E03948">
        <w:t>or other variabl</w:t>
      </w:r>
      <w:r w:rsidR="006C07DD" w:rsidRPr="00E03948">
        <w:t>e</w:t>
      </w:r>
      <w:r w:rsidR="00565416" w:rsidRPr="00E03948">
        <w:t>s</w:t>
      </w:r>
      <w:r w:rsidR="006C07DD" w:rsidRPr="00E03948">
        <w:t xml:space="preserve"> moderating these associations</w:t>
      </w:r>
      <w:r w:rsidRPr="00E03948">
        <w:t>.</w:t>
      </w:r>
      <w:r w:rsidR="006C07DD" w:rsidRPr="00E03948">
        <w:t xml:space="preserve"> </w:t>
      </w:r>
      <w:r w:rsidR="00825FFF" w:rsidRPr="00E03948">
        <w:t>That is, the negative contact has been shown to have an enduring effect (</w:t>
      </w:r>
      <w:proofErr w:type="spellStart"/>
      <w:r w:rsidR="00825FFF" w:rsidRPr="00E03948">
        <w:t>Paolini</w:t>
      </w:r>
      <w:proofErr w:type="spellEnd"/>
      <w:r w:rsidR="00825FFF" w:rsidRPr="00E03948">
        <w:t xml:space="preserve">, Harwood, &amp; Rubin, 2010). Therefore, </w:t>
      </w:r>
      <w:r w:rsidR="006C07DD" w:rsidRPr="00E03948">
        <w:t xml:space="preserve">the </w:t>
      </w:r>
      <w:r w:rsidR="006C07DD">
        <w:t xml:space="preserve">impact of high frequency and high quality contact would likely have an opposite effect on prejudice compared to contact that is high frequency and low quality (Barlow et al., 2012). </w:t>
      </w:r>
    </w:p>
    <w:p w14:paraId="3F1904B8" w14:textId="118CF854" w:rsidR="00646E13" w:rsidRPr="00E03948" w:rsidRDefault="000A6385" w:rsidP="006347C3">
      <w:pPr>
        <w:spacing w:line="480" w:lineRule="auto"/>
        <w:ind w:firstLine="720"/>
      </w:pPr>
      <w:r>
        <w:t>The relation between quality of contact and bias appears to get stronger until middle adolescence</w:t>
      </w:r>
      <w:r w:rsidR="00B16550">
        <w:t xml:space="preserve"> at which point, around age 16</w:t>
      </w:r>
      <w:r w:rsidR="00565416">
        <w:t>,</w:t>
      </w:r>
      <w:r w:rsidR="00B16550">
        <w:t xml:space="preserve"> it starts to </w:t>
      </w:r>
      <w:r w:rsidR="006347C3">
        <w:t xml:space="preserve">level off or </w:t>
      </w:r>
      <w:r w:rsidR="00B16550">
        <w:t>get weaker</w:t>
      </w:r>
      <w:r w:rsidR="00942767">
        <w:t xml:space="preserve"> (See Figure 3)</w:t>
      </w:r>
      <w:r w:rsidR="00B16550">
        <w:t>. This pattern of results is likely the product of both social cognitive processing changes in this age period coupled with changes in the school system.</w:t>
      </w:r>
      <w:r w:rsidR="006347C3">
        <w:t xml:space="preserve"> As predicted by theories suggesting the increasing importance of social contexts through adolescence (Abrams &amp; Rutland, 2008; </w:t>
      </w:r>
      <w:proofErr w:type="spellStart"/>
      <w:r w:rsidR="006347C3">
        <w:t>Nesdale</w:t>
      </w:r>
      <w:proofErr w:type="spellEnd"/>
      <w:r w:rsidR="006347C3">
        <w:t xml:space="preserve">, 2004), </w:t>
      </w:r>
      <w:r w:rsidR="00C45374">
        <w:t>t</w:t>
      </w:r>
      <w:r w:rsidR="00565416">
        <w:t>hese</w:t>
      </w:r>
      <w:r w:rsidR="00646E13">
        <w:t xml:space="preserve"> shifts are likely due to both changes in context, such as leaving formal education</w:t>
      </w:r>
      <w:r w:rsidR="00565416">
        <w:t xml:space="preserve"> at this age</w:t>
      </w:r>
      <w:r w:rsidR="00646E13">
        <w:t>, and social cognitive changes associated with brain development.</w:t>
      </w:r>
      <w:r w:rsidR="00B056E0">
        <w:t xml:space="preserve"> Significant changes in social-cognitive awareness are occurring through adolescence (Blakemore &amp; Chou</w:t>
      </w:r>
      <w:r w:rsidR="004D64BB">
        <w:t>d</w:t>
      </w:r>
      <w:r w:rsidR="00B056E0">
        <w:t xml:space="preserve">hury, 2006). </w:t>
      </w:r>
      <w:r w:rsidR="00C87F5D">
        <w:t xml:space="preserve">For example, </w:t>
      </w:r>
      <w:r w:rsidR="00FD7BA6">
        <w:t xml:space="preserve">Foulkes, Leung, </w:t>
      </w:r>
      <w:proofErr w:type="spellStart"/>
      <w:r w:rsidR="00FD7BA6">
        <w:t>Fuhrmann</w:t>
      </w:r>
      <w:proofErr w:type="spellEnd"/>
      <w:r w:rsidR="00FD7BA6">
        <w:t>, Knoll, &amp; Blakemore</w:t>
      </w:r>
      <w:r w:rsidR="002D4188">
        <w:t xml:space="preserve"> (2018)</w:t>
      </w:r>
      <w:r w:rsidR="00FD7BA6">
        <w:t xml:space="preserve"> found that </w:t>
      </w:r>
      <w:r w:rsidR="00C87F5D">
        <w:t xml:space="preserve">children, </w:t>
      </w:r>
      <w:r w:rsidR="00565416">
        <w:t xml:space="preserve">young and middle </w:t>
      </w:r>
      <w:r w:rsidR="00C87F5D">
        <w:t>adolescents</w:t>
      </w:r>
      <w:r w:rsidR="00FD7BA6">
        <w:t xml:space="preserve"> </w:t>
      </w:r>
      <w:r w:rsidR="00370ACC">
        <w:t xml:space="preserve">(compared to </w:t>
      </w:r>
      <w:r w:rsidR="00565416">
        <w:t xml:space="preserve">later adolescents and emerging </w:t>
      </w:r>
      <w:r w:rsidR="00565416" w:rsidRPr="00E03948">
        <w:t>adults</w:t>
      </w:r>
      <w:r w:rsidR="00370ACC" w:rsidRPr="00E03948">
        <w:t xml:space="preserve">) </w:t>
      </w:r>
      <w:r w:rsidR="00FD7BA6" w:rsidRPr="00E03948">
        <w:t>w</w:t>
      </w:r>
      <w:r w:rsidR="00370ACC" w:rsidRPr="00E03948">
        <w:t>ere more likely to change their ratings of a social behavior based o</w:t>
      </w:r>
      <w:r w:rsidR="00565416" w:rsidRPr="00E03948">
        <w:t>n how others rated the same event, suggesting the impact of social norms on youths’ attitudes through middle adolescence.</w:t>
      </w:r>
      <w:r w:rsidR="002A3A38" w:rsidRPr="00E03948">
        <w:t xml:space="preserve"> These results demonstrate how more flexible estimates of how these constructs change with age may help to refine these social and developmental theories on intergroup relations.</w:t>
      </w:r>
    </w:p>
    <w:p w14:paraId="419FD0A4" w14:textId="09146C09" w:rsidR="006C07DD" w:rsidRDefault="006C07DD" w:rsidP="00666E3C">
      <w:pPr>
        <w:spacing w:line="480" w:lineRule="auto"/>
        <w:ind w:firstLine="720"/>
      </w:pPr>
      <w:r>
        <w:lastRenderedPageBreak/>
        <w:t xml:space="preserve">There also appear to be differences in the relation between contact quality and intergroup bias for Catholics and Protestants over this age period. For both Catholic and Protestant youth, the relation between contact quality and bias gets stronger between 12 and 14. Around age 14 the impact of contact seems to get weaker for </w:t>
      </w:r>
      <w:r w:rsidR="00EF7DFE">
        <w:t xml:space="preserve">Protestant </w:t>
      </w:r>
      <w:r>
        <w:t>youth</w:t>
      </w:r>
      <w:r w:rsidR="008C6BF8">
        <w:t>,</w:t>
      </w:r>
      <w:r>
        <w:t xml:space="preserve"> but remain</w:t>
      </w:r>
      <w:r w:rsidR="0031146A">
        <w:t>s</w:t>
      </w:r>
      <w:r>
        <w:t xml:space="preserve"> stable for </w:t>
      </w:r>
      <w:r w:rsidR="00EF7DFE">
        <w:t>Catholic</w:t>
      </w:r>
      <w:r>
        <w:t xml:space="preserve"> youth. Given the previously documented weaker impacts of contact for minority </w:t>
      </w:r>
      <w:r w:rsidR="002F36E7">
        <w:t>group members (</w:t>
      </w:r>
      <w:proofErr w:type="spellStart"/>
      <w:r w:rsidR="00EF7DFE">
        <w:t>Tropp</w:t>
      </w:r>
      <w:proofErr w:type="spellEnd"/>
      <w:r w:rsidR="00EF7DFE">
        <w:t xml:space="preserve"> &amp; Pettigrew, 2005)</w:t>
      </w:r>
      <w:r>
        <w:t xml:space="preserve">, the current findings might suggest an age period at which youths’ awareness of their </w:t>
      </w:r>
      <w:r w:rsidR="00EF7DFE">
        <w:t xml:space="preserve">group </w:t>
      </w:r>
      <w:r>
        <w:t xml:space="preserve">status is </w:t>
      </w:r>
      <w:r w:rsidR="002F36E7">
        <w:t xml:space="preserve">particularly salient. </w:t>
      </w:r>
      <w:r w:rsidR="00EF7DFE">
        <w:t xml:space="preserve">In this case, the effect of contact quality is getting weaker for the historical majority </w:t>
      </w:r>
      <w:r w:rsidR="00C60461">
        <w:t xml:space="preserve">group. Group status within Northern Ireland has been described as a “double majority” </w:t>
      </w:r>
      <w:r w:rsidR="00C60461" w:rsidRPr="00515362">
        <w:t>because Catholics are in the numeric majority on the island of Ireland</w:t>
      </w:r>
      <w:r w:rsidR="0031146A">
        <w:t>, though</w:t>
      </w:r>
      <w:r w:rsidR="00C60461" w:rsidRPr="00515362">
        <w:t xml:space="preserve"> Protestants maintain a slight majority within Northern Ireland</w:t>
      </w:r>
      <w:r w:rsidR="00B47B4A">
        <w:t xml:space="preserve"> (Mac </w:t>
      </w:r>
      <w:proofErr w:type="spellStart"/>
      <w:r w:rsidR="00B47B4A">
        <w:t>Ginty</w:t>
      </w:r>
      <w:proofErr w:type="spellEnd"/>
      <w:r w:rsidR="00B47B4A">
        <w:t>,</w:t>
      </w:r>
      <w:r w:rsidR="00F60A64">
        <w:t xml:space="preserve"> Muldoon, &amp; Ferguson,</w:t>
      </w:r>
      <w:r w:rsidR="00B47B4A">
        <w:t xml:space="preserve"> 2007)</w:t>
      </w:r>
      <w:r w:rsidR="00C60461">
        <w:t>. Since the signing of the peace agreement, Catholics have been gaining in number as well as gaining cultural rights through the peace process. These gains could be felt by Protestants as threatening, heightening their perceptions of themselves as the relative minority</w:t>
      </w:r>
      <w:r w:rsidR="00825FFF">
        <w:t xml:space="preserve"> (e.g. </w:t>
      </w:r>
      <w:proofErr w:type="spellStart"/>
      <w:r w:rsidR="00825FFF">
        <w:t>Goeke</w:t>
      </w:r>
      <w:proofErr w:type="spellEnd"/>
      <w:r w:rsidR="00825FFF">
        <w:t xml:space="preserve">-Morey et </w:t>
      </w:r>
      <w:r w:rsidR="007B06FC">
        <w:t>al., 2015)</w:t>
      </w:r>
      <w:r w:rsidR="00C60461">
        <w:t xml:space="preserve">. </w:t>
      </w:r>
    </w:p>
    <w:p w14:paraId="3D8D81D6" w14:textId="2F3EAA70" w:rsidR="00F3403E" w:rsidRPr="00E03948" w:rsidRDefault="00141650" w:rsidP="00141650">
      <w:pPr>
        <w:spacing w:line="480" w:lineRule="auto"/>
        <w:ind w:firstLine="720"/>
      </w:pPr>
      <w:r>
        <w:t>The findings of the current study must be considered keeping in mind the limitations of the sample and methodology.</w:t>
      </w:r>
      <w:r w:rsidR="00B16C43">
        <w:t xml:space="preserve"> </w:t>
      </w:r>
      <w:r w:rsidR="00CC7F51">
        <w:t xml:space="preserve">Although not a limitation, per se, it should be noted that the results presented here are exploratory in nature and should be replicated with different samples. </w:t>
      </w:r>
      <w:r w:rsidR="00B16C43">
        <w:t xml:space="preserve">The </w:t>
      </w:r>
      <w:r w:rsidR="00B16C43" w:rsidRPr="00E03948">
        <w:t>correlational d</w:t>
      </w:r>
      <w:r w:rsidR="00EB0943" w:rsidRPr="00E03948">
        <w:t>ata limits any conclusions regarding</w:t>
      </w:r>
      <w:r w:rsidR="00B16C43" w:rsidRPr="00E03948">
        <w:t xml:space="preserve"> cause</w:t>
      </w:r>
      <w:r w:rsidR="00EB0943" w:rsidRPr="00E03948">
        <w:t xml:space="preserve"> and directionality</w:t>
      </w:r>
      <w:r w:rsidR="00257E47" w:rsidRPr="00E03948">
        <w:t>; more robust measures of constructs, such as intergroup bias</w:t>
      </w:r>
      <w:r w:rsidR="002A3A38" w:rsidRPr="00E03948">
        <w:t xml:space="preserve"> or negative contact</w:t>
      </w:r>
      <w:r w:rsidR="00257E47" w:rsidRPr="00E03948">
        <w:t>, might also be employed</w:t>
      </w:r>
      <w:r w:rsidR="002A3A38" w:rsidRPr="00E03948">
        <w:t xml:space="preserve"> in future research</w:t>
      </w:r>
      <w:r w:rsidR="00257E47" w:rsidRPr="00E03948">
        <w:t>. A</w:t>
      </w:r>
      <w:r w:rsidR="00EB0943" w:rsidRPr="00E03948">
        <w:t>lthough</w:t>
      </w:r>
      <w:r w:rsidR="00D25DAA" w:rsidRPr="00E03948">
        <w:t xml:space="preserve"> the analyses presented here </w:t>
      </w:r>
      <w:r w:rsidR="00E850B0" w:rsidRPr="00E03948">
        <w:t xml:space="preserve">include </w:t>
      </w:r>
      <w:r w:rsidR="00D25DAA" w:rsidRPr="00E03948">
        <w:t xml:space="preserve">two waves </w:t>
      </w:r>
      <w:r w:rsidR="005C5F7B" w:rsidRPr="00E03948">
        <w:t xml:space="preserve">in which </w:t>
      </w:r>
      <w:r w:rsidR="00513B16" w:rsidRPr="00E03948">
        <w:t>contact was assessed</w:t>
      </w:r>
      <w:r w:rsidR="00D25DAA" w:rsidRPr="00E03948">
        <w:t>, the presentation of the figures represents changes that are across participants in the sample. Future research including assessment of these changes with more waves of data could help tease apart within</w:t>
      </w:r>
      <w:r w:rsidR="00396EBE" w:rsidRPr="00E03948">
        <w:t>- and between-</w:t>
      </w:r>
      <w:r w:rsidR="00D25DAA" w:rsidRPr="00E03948">
        <w:t>person changes.</w:t>
      </w:r>
      <w:r w:rsidR="00396EBE" w:rsidRPr="00E03948">
        <w:t xml:space="preserve"> </w:t>
      </w:r>
    </w:p>
    <w:p w14:paraId="0C1AAAD2" w14:textId="698125E2" w:rsidR="00232E3A" w:rsidRDefault="00396EBE" w:rsidP="00D653EA">
      <w:pPr>
        <w:spacing w:line="480" w:lineRule="auto"/>
        <w:ind w:firstLine="720"/>
      </w:pPr>
      <w:r w:rsidRPr="00E03948">
        <w:lastRenderedPageBreak/>
        <w:t>This research has practice implications as c</w:t>
      </w:r>
      <w:r w:rsidR="00B7349B" w:rsidRPr="00E03948">
        <w:t xml:space="preserve">ontact strategies are commonly used to bring youth together in historically divided societies such as in the Middle East, </w:t>
      </w:r>
      <w:r w:rsidRPr="00E03948">
        <w:t>the Former Yugoslavia</w:t>
      </w:r>
      <w:r w:rsidR="00B7349B" w:rsidRPr="00E03948">
        <w:t>, and Northern Ireland (McK</w:t>
      </w:r>
      <w:r w:rsidRPr="00E03948">
        <w:t>eown &amp; Cairns, 2012).</w:t>
      </w:r>
      <w:r w:rsidR="00F629B5" w:rsidRPr="00E03948">
        <w:t xml:space="preserve"> H</w:t>
      </w:r>
      <w:r w:rsidR="00B7349B" w:rsidRPr="00E03948">
        <w:t xml:space="preserve">ighlighting the </w:t>
      </w:r>
      <w:r w:rsidR="00F629B5" w:rsidRPr="00E03948">
        <w:t xml:space="preserve">changing </w:t>
      </w:r>
      <w:r w:rsidR="00F629B5">
        <w:t>relations between</w:t>
      </w:r>
      <w:r w:rsidR="00B7349B">
        <w:t xml:space="preserve"> contact and intergroup attitudes could provide valuable information regarding the best time to implement such programs. </w:t>
      </w:r>
      <w:r w:rsidR="00CC7F51">
        <w:t xml:space="preserve">The current study </w:t>
      </w:r>
      <w:r w:rsidR="00276F33">
        <w:t xml:space="preserve">provides initial evidence that there are developmental changes in how intergroup contact </w:t>
      </w:r>
      <w:r w:rsidR="008C6BF8">
        <w:t xml:space="preserve">relates to </w:t>
      </w:r>
      <w:r w:rsidR="00276F33">
        <w:t xml:space="preserve">intergroup bias from early through late adolescence and </w:t>
      </w:r>
      <w:r w:rsidR="008C6BF8">
        <w:t xml:space="preserve">that </w:t>
      </w:r>
      <w:r w:rsidR="00276F33">
        <w:t xml:space="preserve">there may be differences in these changes based on group status. </w:t>
      </w:r>
      <w:r w:rsidR="002A3A38">
        <w:t xml:space="preserve">For example, the current results suggest that focusing contact programming between the ages of 12 and 14 could be particularly important, whereas contact occurring after age 14 may not be as impactful. Importantly, this paper demonstrates that </w:t>
      </w:r>
      <w:r w:rsidR="00565416">
        <w:t xml:space="preserve">these patterns might not follow the linear patterns that are often assessed </w:t>
      </w:r>
      <w:r w:rsidR="0042125A">
        <w:t xml:space="preserve">through </w:t>
      </w:r>
      <w:r w:rsidR="00565416">
        <w:t xml:space="preserve">approaches that </w:t>
      </w:r>
      <w:r w:rsidR="00B7349B">
        <w:t>impose</w:t>
      </w:r>
      <w:r w:rsidR="00232E3A">
        <w:t xml:space="preserve"> such models to the data. </w:t>
      </w:r>
    </w:p>
    <w:p w14:paraId="346A6314" w14:textId="11EF3272" w:rsidR="002A3A38" w:rsidRPr="00E03948" w:rsidRDefault="00276F33" w:rsidP="00E03948">
      <w:pPr>
        <w:spacing w:line="480" w:lineRule="auto"/>
        <w:ind w:firstLine="720"/>
      </w:pPr>
      <w:r>
        <w:t>These findings</w:t>
      </w:r>
      <w:r w:rsidR="008C6BF8">
        <w:t>,</w:t>
      </w:r>
      <w:r w:rsidR="00565416">
        <w:t xml:space="preserve"> and the general approach to assessing contact and intergroup attitudes</w:t>
      </w:r>
      <w:r w:rsidR="008C6BF8">
        <w:t>,</w:t>
      </w:r>
      <w:r w:rsidR="00565416">
        <w:t xml:space="preserve"> </w:t>
      </w:r>
      <w:r>
        <w:t>could help inform the timing of contact-based interventions that are common in communities working toward peace promotion in divided communities.</w:t>
      </w:r>
      <w:r w:rsidR="00B7349B">
        <w:t xml:space="preserve"> Given the exploratory nature of this method of analysis, future studie</w:t>
      </w:r>
      <w:r w:rsidR="00232E3A">
        <w:t>s should consider applying time-</w:t>
      </w:r>
      <w:r w:rsidR="00B7349B">
        <w:t xml:space="preserve">varying effects modeling to other contexts of intergroup contact to build a larger base of knowledge regarding potential </w:t>
      </w:r>
      <w:r w:rsidR="00B7349B" w:rsidRPr="00E03948">
        <w:t xml:space="preserve">developmental shifts in the impact of contact through adolescence. </w:t>
      </w:r>
    </w:p>
    <w:p w14:paraId="49586055" w14:textId="1ECA9128" w:rsidR="007401D1" w:rsidRPr="00E03948" w:rsidRDefault="002A3A38" w:rsidP="007401D1">
      <w:pPr>
        <w:spacing w:line="480" w:lineRule="auto"/>
        <w:ind w:firstLine="720"/>
      </w:pPr>
      <w:r w:rsidRPr="00E03948">
        <w:rPr>
          <w:rFonts w:eastAsiaTheme="minorHAnsi"/>
          <w:lang w:eastAsia="en-US"/>
        </w:rPr>
        <w:t xml:space="preserve">The findings offer unique insight into the developmental changes in contact and bias; through advanced exploratory modelling, greater insight and precision of age-related changes emerges. </w:t>
      </w:r>
      <w:r w:rsidR="00E03948" w:rsidRPr="00E03948">
        <w:rPr>
          <w:rFonts w:eastAsiaTheme="minorHAnsi"/>
          <w:lang w:eastAsia="en-US"/>
        </w:rPr>
        <w:t>F</w:t>
      </w:r>
      <w:r w:rsidRPr="00E03948">
        <w:rPr>
          <w:rFonts w:eastAsiaTheme="minorHAnsi"/>
          <w:lang w:eastAsia="en-US"/>
        </w:rPr>
        <w:t xml:space="preserve">uture research </w:t>
      </w:r>
      <w:r w:rsidR="00E03948" w:rsidRPr="00E03948">
        <w:rPr>
          <w:rFonts w:eastAsiaTheme="minorHAnsi"/>
          <w:lang w:eastAsia="en-US"/>
        </w:rPr>
        <w:t>utilizing exploratory models that do not impose preconceived models to the data</w:t>
      </w:r>
      <w:r w:rsidR="002D2161">
        <w:rPr>
          <w:rFonts w:eastAsiaTheme="minorHAnsi"/>
          <w:lang w:eastAsia="en-US"/>
        </w:rPr>
        <w:t>,</w:t>
      </w:r>
      <w:r w:rsidR="00E03948" w:rsidRPr="00E03948">
        <w:rPr>
          <w:rFonts w:eastAsiaTheme="minorHAnsi"/>
          <w:lang w:eastAsia="en-US"/>
        </w:rPr>
        <w:t xml:space="preserve"> but </w:t>
      </w:r>
      <w:r w:rsidR="002D2161">
        <w:rPr>
          <w:rFonts w:eastAsiaTheme="minorHAnsi"/>
          <w:lang w:eastAsia="en-US"/>
        </w:rPr>
        <w:t xml:space="preserve">instead </w:t>
      </w:r>
      <w:r w:rsidR="00E03948" w:rsidRPr="00E03948">
        <w:rPr>
          <w:rFonts w:eastAsiaTheme="minorHAnsi"/>
          <w:lang w:eastAsia="en-US"/>
        </w:rPr>
        <w:t>allow</w:t>
      </w:r>
      <w:r w:rsidR="002D2161">
        <w:rPr>
          <w:rFonts w:eastAsiaTheme="minorHAnsi"/>
          <w:lang w:eastAsia="en-US"/>
        </w:rPr>
        <w:t xml:space="preserve"> for</w:t>
      </w:r>
      <w:r w:rsidR="00E03948" w:rsidRPr="00E03948">
        <w:rPr>
          <w:rFonts w:eastAsiaTheme="minorHAnsi"/>
          <w:lang w:eastAsia="en-US"/>
        </w:rPr>
        <w:t xml:space="preserve"> the change in relationships between variables </w:t>
      </w:r>
      <w:r w:rsidR="002D2161">
        <w:rPr>
          <w:rFonts w:eastAsiaTheme="minorHAnsi"/>
          <w:lang w:eastAsia="en-US"/>
        </w:rPr>
        <w:t xml:space="preserve">to </w:t>
      </w:r>
      <w:r w:rsidR="00E03948" w:rsidRPr="00E03948">
        <w:rPr>
          <w:rFonts w:eastAsiaTheme="minorHAnsi"/>
          <w:lang w:eastAsia="en-US"/>
        </w:rPr>
        <w:t>emerge in dynamic patterns</w:t>
      </w:r>
      <w:r w:rsidR="002D2161">
        <w:rPr>
          <w:rFonts w:eastAsiaTheme="minorHAnsi"/>
          <w:lang w:eastAsia="en-US"/>
        </w:rPr>
        <w:t>,</w:t>
      </w:r>
      <w:r w:rsidR="00E03948" w:rsidRPr="00E03948">
        <w:rPr>
          <w:rFonts w:eastAsiaTheme="minorHAnsi"/>
          <w:lang w:eastAsia="en-US"/>
        </w:rPr>
        <w:t xml:space="preserve"> may highlight both similarities and differences across various contexts of intergroup divide. These findings will have important </w:t>
      </w:r>
      <w:r w:rsidRPr="00E03948">
        <w:rPr>
          <w:rFonts w:eastAsiaTheme="minorHAnsi"/>
          <w:lang w:eastAsia="en-US"/>
        </w:rPr>
        <w:t xml:space="preserve">implications for </w:t>
      </w:r>
      <w:r w:rsidR="00E03948" w:rsidRPr="00E03948">
        <w:rPr>
          <w:rFonts w:eastAsiaTheme="minorHAnsi"/>
          <w:lang w:eastAsia="en-US"/>
        </w:rPr>
        <w:t xml:space="preserve">the timing of </w:t>
      </w:r>
      <w:r w:rsidRPr="00E03948">
        <w:rPr>
          <w:rFonts w:eastAsiaTheme="minorHAnsi"/>
          <w:lang w:eastAsia="en-US"/>
        </w:rPr>
        <w:t xml:space="preserve">interventions </w:t>
      </w:r>
      <w:r w:rsidRPr="00E03948">
        <w:rPr>
          <w:rFonts w:eastAsiaTheme="minorHAnsi"/>
          <w:lang w:eastAsia="en-US"/>
        </w:rPr>
        <w:lastRenderedPageBreak/>
        <w:t>for the nearly</w:t>
      </w:r>
      <w:r w:rsidRPr="00E03948">
        <w:t xml:space="preserve"> one-fifth of children worldwide growing up amid conflict</w:t>
      </w:r>
      <w:r w:rsidR="007401D1">
        <w:t xml:space="preserve"> </w:t>
      </w:r>
      <w:r w:rsidR="007401D1" w:rsidRPr="00E03948">
        <w:t xml:space="preserve">(Save the Children, 2019). </w:t>
      </w:r>
    </w:p>
    <w:p w14:paraId="7067BDE5" w14:textId="47F7F81C" w:rsidR="002A3A38" w:rsidRPr="00E03948" w:rsidRDefault="00E03948" w:rsidP="00D653EA">
      <w:pPr>
        <w:spacing w:line="480" w:lineRule="auto"/>
        <w:ind w:firstLine="720"/>
      </w:pPr>
      <w:r w:rsidRPr="00E03948">
        <w:t xml:space="preserve"> </w:t>
      </w:r>
    </w:p>
    <w:p w14:paraId="12B69E91" w14:textId="77777777" w:rsidR="00C50D44" w:rsidRDefault="00C50D44">
      <w:r>
        <w:br w:type="page"/>
      </w:r>
    </w:p>
    <w:p w14:paraId="02EDE4B7" w14:textId="77777777" w:rsidR="00C50D44" w:rsidRPr="005C5F7B" w:rsidRDefault="00C50D44" w:rsidP="00C50D44">
      <w:pPr>
        <w:spacing w:line="480" w:lineRule="auto"/>
        <w:jc w:val="center"/>
        <w:rPr>
          <w:b/>
        </w:rPr>
      </w:pPr>
      <w:r w:rsidRPr="005C5F7B">
        <w:rPr>
          <w:b/>
        </w:rPr>
        <w:lastRenderedPageBreak/>
        <w:t>References</w:t>
      </w:r>
    </w:p>
    <w:p w14:paraId="7B6BF141" w14:textId="77777777" w:rsidR="00C50D44" w:rsidRPr="00C50D44" w:rsidRDefault="00C50D44" w:rsidP="00C50D44">
      <w:pPr>
        <w:spacing w:line="480" w:lineRule="auto"/>
        <w:ind w:left="720" w:hanging="720"/>
      </w:pPr>
      <w:r w:rsidRPr="00C50D44">
        <w:rPr>
          <w:rFonts w:ascii="Calibri" w:hAnsi="Calibri" w:cs="Calibri"/>
        </w:rPr>
        <w:t>﻿</w:t>
      </w:r>
      <w:proofErr w:type="spellStart"/>
      <w:r w:rsidRPr="00C50D44">
        <w:t>Aberson</w:t>
      </w:r>
      <w:proofErr w:type="spellEnd"/>
      <w:r w:rsidRPr="00C50D44">
        <w:t xml:space="preserve">, C. L. (2015). Positive intergroup contact, negative intergroup contact, and threat as predictors of cognitive and affective dimensions of prejudice. </w:t>
      </w:r>
      <w:r w:rsidRPr="002C22AF">
        <w:rPr>
          <w:i/>
          <w:iCs/>
        </w:rPr>
        <w:t>Group Processes &amp; Intergroup Relations</w:t>
      </w:r>
      <w:r w:rsidRPr="00C50D44">
        <w:t xml:space="preserve">, </w:t>
      </w:r>
      <w:r w:rsidRPr="002C22AF">
        <w:rPr>
          <w:i/>
          <w:iCs/>
        </w:rPr>
        <w:t>18</w:t>
      </w:r>
      <w:r w:rsidRPr="00C50D44">
        <w:t xml:space="preserve">(6), 743–760. </w:t>
      </w:r>
      <w:proofErr w:type="gramStart"/>
      <w:r w:rsidRPr="00C50D44">
        <w:t>doi:</w:t>
      </w:r>
      <w:proofErr w:type="gramEnd"/>
      <w:r w:rsidRPr="00C50D44">
        <w:t>10.1177/1368430214556699</w:t>
      </w:r>
    </w:p>
    <w:p w14:paraId="77135455" w14:textId="77777777" w:rsidR="00C50D44" w:rsidRPr="00C50D44" w:rsidRDefault="00C50D44" w:rsidP="00C50D44">
      <w:pPr>
        <w:spacing w:line="480" w:lineRule="auto"/>
        <w:ind w:left="720" w:hanging="720"/>
      </w:pPr>
      <w:proofErr w:type="spellStart"/>
      <w:r w:rsidRPr="00C50D44">
        <w:t>Aboud</w:t>
      </w:r>
      <w:proofErr w:type="spellEnd"/>
      <w:r w:rsidRPr="00C50D44">
        <w:t xml:space="preserve">, F. (1988). </w:t>
      </w:r>
      <w:r w:rsidRPr="00C50D44">
        <w:rPr>
          <w:i/>
        </w:rPr>
        <w:t>Children and prejudice</w:t>
      </w:r>
      <w:r w:rsidRPr="00C50D44">
        <w:t>. Oxford: Blackwell.</w:t>
      </w:r>
    </w:p>
    <w:p w14:paraId="0BAAFACA" w14:textId="77777777" w:rsidR="00232E3A" w:rsidRDefault="00C50D44" w:rsidP="00232E3A">
      <w:pPr>
        <w:spacing w:line="480" w:lineRule="auto"/>
        <w:ind w:left="720" w:hanging="720"/>
      </w:pPr>
      <w:proofErr w:type="spellStart"/>
      <w:r w:rsidRPr="00C50D44">
        <w:t>Aboud</w:t>
      </w:r>
      <w:proofErr w:type="spellEnd"/>
      <w:r w:rsidRPr="00C50D44">
        <w:t>, F. E., &amp; Doyle, A. (1996). Parental and peer influences on children's racial attitudes.</w:t>
      </w:r>
      <w:r w:rsidRPr="00C50D44">
        <w:rPr>
          <w:i/>
          <w:iCs/>
        </w:rPr>
        <w:t xml:space="preserve"> International Journal of Intercultural Relations, 20</w:t>
      </w:r>
      <w:r w:rsidRPr="00C50D44">
        <w:t xml:space="preserve">(3-4), 371-383. </w:t>
      </w:r>
      <w:proofErr w:type="gramStart"/>
      <w:r w:rsidRPr="00C50D44">
        <w:t>do</w:t>
      </w:r>
      <w:r w:rsidR="00232E3A">
        <w:t>i:</w:t>
      </w:r>
      <w:proofErr w:type="gramEnd"/>
      <w:r w:rsidR="00232E3A">
        <w:t xml:space="preserve">10.1016/0147-1767(96)00024-7 </w:t>
      </w:r>
    </w:p>
    <w:p w14:paraId="29F6DBB8" w14:textId="0104A956" w:rsidR="00232E3A" w:rsidRPr="00232E3A" w:rsidRDefault="00232E3A" w:rsidP="00232E3A">
      <w:pPr>
        <w:spacing w:line="480" w:lineRule="auto"/>
        <w:ind w:left="720" w:hanging="720"/>
      </w:pPr>
      <w:r w:rsidRPr="00232E3A">
        <w:rPr>
          <w:color w:val="000000" w:themeColor="text1"/>
          <w:shd w:val="clear" w:color="auto" w:fill="FFFFFF"/>
          <w:lang w:val="de-DE" w:eastAsia="en-US"/>
        </w:rPr>
        <w:t>Abrams</w:t>
      </w:r>
      <w:r w:rsidRPr="00DC0DBB">
        <w:rPr>
          <w:color w:val="000000" w:themeColor="text1"/>
          <w:shd w:val="clear" w:color="auto" w:fill="FFFFFF"/>
          <w:lang w:val="de-DE" w:eastAsia="en-US"/>
        </w:rPr>
        <w:t>, D., &amp; Killen, M. (2014). Social exclusion of children: Developmental origins of prejudice.</w:t>
      </w:r>
      <w:r w:rsidRPr="00384868">
        <w:rPr>
          <w:color w:val="000000" w:themeColor="text1"/>
          <w:shd w:val="clear" w:color="auto" w:fill="FFFFFF"/>
          <w:lang w:val="de-DE" w:eastAsia="en-US"/>
        </w:rPr>
        <w:t> </w:t>
      </w:r>
      <w:r w:rsidRPr="00DC0DBB">
        <w:rPr>
          <w:i/>
          <w:iCs/>
          <w:color w:val="000000" w:themeColor="text1"/>
          <w:lang w:val="de-DE" w:eastAsia="en-US"/>
        </w:rPr>
        <w:t>Journal of Social Issues</w:t>
      </w:r>
      <w:r w:rsidRPr="00DC0DBB">
        <w:rPr>
          <w:color w:val="000000" w:themeColor="text1"/>
          <w:shd w:val="clear" w:color="auto" w:fill="FFFFFF"/>
          <w:lang w:val="de-DE" w:eastAsia="en-US"/>
        </w:rPr>
        <w:t>,</w:t>
      </w:r>
      <w:r w:rsidRPr="00384868">
        <w:rPr>
          <w:color w:val="000000" w:themeColor="text1"/>
          <w:shd w:val="clear" w:color="auto" w:fill="FFFFFF"/>
          <w:lang w:val="de-DE" w:eastAsia="en-US"/>
        </w:rPr>
        <w:t> </w:t>
      </w:r>
      <w:r w:rsidRPr="00DC0DBB">
        <w:rPr>
          <w:i/>
          <w:iCs/>
          <w:color w:val="000000" w:themeColor="text1"/>
          <w:lang w:val="de-DE" w:eastAsia="en-US"/>
        </w:rPr>
        <w:t>70</w:t>
      </w:r>
      <w:r w:rsidRPr="00DC0DBB">
        <w:rPr>
          <w:color w:val="000000" w:themeColor="text1"/>
          <w:shd w:val="clear" w:color="auto" w:fill="FFFFFF"/>
          <w:lang w:val="de-DE" w:eastAsia="en-US"/>
        </w:rPr>
        <w:t>(1), 1-11.</w:t>
      </w:r>
      <w:r w:rsidRPr="00384868">
        <w:rPr>
          <w:color w:val="000000" w:themeColor="text1"/>
          <w:shd w:val="clear" w:color="auto" w:fill="FFFFFF"/>
          <w:lang w:val="de-DE" w:eastAsia="en-US"/>
        </w:rPr>
        <w:t xml:space="preserve"> </w:t>
      </w:r>
      <w:r>
        <w:rPr>
          <w:color w:val="000000" w:themeColor="text1"/>
          <w:shd w:val="clear" w:color="auto" w:fill="FFFFFF"/>
          <w:lang w:val="de-DE" w:eastAsia="en-US"/>
        </w:rPr>
        <w:t>doi:</w:t>
      </w:r>
      <w:r w:rsidR="007021E2" w:rsidRPr="007021E2">
        <w:rPr>
          <w:color w:val="000000" w:themeColor="text1"/>
          <w:shd w:val="clear" w:color="auto" w:fill="FFFFFF"/>
          <w:lang w:val="de-DE" w:eastAsia="en-US"/>
        </w:rPr>
        <w:t>10.1111/josi.12043</w:t>
      </w:r>
    </w:p>
    <w:p w14:paraId="31897854" w14:textId="1D0A7597" w:rsidR="00C50D44" w:rsidRPr="00C50D44" w:rsidRDefault="00C50D44" w:rsidP="00C50D44">
      <w:pPr>
        <w:spacing w:line="480" w:lineRule="auto"/>
        <w:ind w:left="720" w:hanging="720"/>
      </w:pPr>
      <w:r w:rsidRPr="00C50D44">
        <w:t xml:space="preserve">Abrams, D., &amp; Rutland, A. (2008). The development of subjective group dynamics. In S. R. Levy, M. Killen (Eds.), </w:t>
      </w:r>
      <w:proofErr w:type="gramStart"/>
      <w:r w:rsidRPr="00C50D44">
        <w:rPr>
          <w:i/>
          <w:iCs/>
        </w:rPr>
        <w:t>Intergroup</w:t>
      </w:r>
      <w:proofErr w:type="gramEnd"/>
      <w:r w:rsidRPr="00C50D44">
        <w:rPr>
          <w:i/>
          <w:iCs/>
        </w:rPr>
        <w:t xml:space="preserve"> attitudes and relations in childhood through adulthood; intergroup attitudes and relations in childhood through adulthood</w:t>
      </w:r>
      <w:r w:rsidRPr="00C50D44">
        <w:t xml:space="preserve"> (pp. 47-65)</w:t>
      </w:r>
      <w:r w:rsidR="007D0753">
        <w:t>.</w:t>
      </w:r>
      <w:r w:rsidRPr="00C50D44">
        <w:t xml:space="preserve"> New York, NY</w:t>
      </w:r>
      <w:r w:rsidR="007D0753">
        <w:t xml:space="preserve">: </w:t>
      </w:r>
      <w:r w:rsidR="007D0753" w:rsidRPr="00C50D44">
        <w:t>Oxford University Press</w:t>
      </w:r>
      <w:r w:rsidR="007D0753">
        <w:t xml:space="preserve">. Chapter xii, 274 Pages. </w:t>
      </w:r>
      <w:r w:rsidRPr="00C50D44">
        <w:t xml:space="preserve"> </w:t>
      </w:r>
    </w:p>
    <w:p w14:paraId="01DA09A2" w14:textId="354DD362" w:rsidR="00C50D44" w:rsidRPr="00C50D44" w:rsidRDefault="00C50D44" w:rsidP="00C50D44">
      <w:pPr>
        <w:spacing w:line="480" w:lineRule="auto"/>
        <w:ind w:left="720" w:hanging="720"/>
      </w:pPr>
      <w:proofErr w:type="spellStart"/>
      <w:r w:rsidRPr="00C50D44">
        <w:t>Allport</w:t>
      </w:r>
      <w:proofErr w:type="spellEnd"/>
      <w:r w:rsidRPr="00C50D44">
        <w:t xml:space="preserve">, G. W. (1954). </w:t>
      </w:r>
      <w:r w:rsidRPr="00C50D44">
        <w:rPr>
          <w:i/>
          <w:iCs/>
        </w:rPr>
        <w:t>The nature of prejudice.</w:t>
      </w:r>
      <w:r w:rsidRPr="00C50D44">
        <w:t xml:space="preserve"> </w:t>
      </w:r>
      <w:r w:rsidR="00A10FA0">
        <w:t>Reading, MA: Addison Wesley.</w:t>
      </w:r>
    </w:p>
    <w:p w14:paraId="24B03A89" w14:textId="05B332EB" w:rsidR="00C50D44" w:rsidRPr="00C50D44" w:rsidRDefault="00C50D44" w:rsidP="00C50D44">
      <w:pPr>
        <w:spacing w:line="480" w:lineRule="auto"/>
        <w:ind w:left="720" w:hanging="720"/>
      </w:pPr>
      <w:r w:rsidRPr="00C50D44">
        <w:t xml:space="preserve">Al </w:t>
      </w:r>
      <w:proofErr w:type="spellStart"/>
      <w:r w:rsidRPr="00C50D44">
        <w:t>Ramiah</w:t>
      </w:r>
      <w:proofErr w:type="spellEnd"/>
      <w:r w:rsidRPr="00C50D44">
        <w:t xml:space="preserve">, A., &amp; </w:t>
      </w:r>
      <w:proofErr w:type="spellStart"/>
      <w:r w:rsidRPr="00C50D44">
        <w:t>Hewstone</w:t>
      </w:r>
      <w:proofErr w:type="spellEnd"/>
      <w:r w:rsidRPr="00C50D44">
        <w:t>, M. (2013). Intergroup contact as a tool for reducing, resolving, and preventing intergroup conflict: Evidence, limitations, and potential.</w:t>
      </w:r>
      <w:r w:rsidRPr="00C50D44">
        <w:rPr>
          <w:i/>
          <w:iCs/>
        </w:rPr>
        <w:t xml:space="preserve"> American Psychologist, 68</w:t>
      </w:r>
      <w:r w:rsidRPr="00C50D44">
        <w:t xml:space="preserve">(7), 527-542. </w:t>
      </w:r>
      <w:proofErr w:type="gramStart"/>
      <w:r w:rsidRPr="00C50D44">
        <w:t>doi:</w:t>
      </w:r>
      <w:proofErr w:type="gramEnd"/>
      <w:r w:rsidRPr="00C50D44">
        <w:t>10.1037/a0032603.</w:t>
      </w:r>
    </w:p>
    <w:p w14:paraId="17C25378" w14:textId="77777777" w:rsidR="00C50D44" w:rsidRPr="00C50D44" w:rsidRDefault="00C50D44" w:rsidP="00C50D44">
      <w:pPr>
        <w:spacing w:line="480" w:lineRule="auto"/>
        <w:ind w:left="720" w:hanging="720"/>
      </w:pPr>
      <w:r w:rsidRPr="00C50D44">
        <w:t xml:space="preserve">Al </w:t>
      </w:r>
      <w:proofErr w:type="spellStart"/>
      <w:r w:rsidRPr="00C50D44">
        <w:t>Ramiah</w:t>
      </w:r>
      <w:proofErr w:type="spellEnd"/>
      <w:r w:rsidRPr="00C50D44">
        <w:t xml:space="preserve">, A., </w:t>
      </w:r>
      <w:proofErr w:type="spellStart"/>
      <w:r w:rsidRPr="00C50D44">
        <w:t>Hewstone</w:t>
      </w:r>
      <w:proofErr w:type="spellEnd"/>
      <w:r w:rsidRPr="00C50D44">
        <w:t xml:space="preserve">, M., </w:t>
      </w:r>
      <w:proofErr w:type="spellStart"/>
      <w:r w:rsidRPr="00C50D44">
        <w:t>Voci</w:t>
      </w:r>
      <w:proofErr w:type="spellEnd"/>
      <w:r w:rsidRPr="00C50D44">
        <w:t xml:space="preserve">, A., Cairns, E., &amp; Hughes, J. (2013). It’s never too late for “us” to meet “them”: Prior intergroup friendships moderate the impact of later intergroup friendships in educational settings. </w:t>
      </w:r>
      <w:r w:rsidRPr="00C50D44">
        <w:rPr>
          <w:i/>
          <w:iCs/>
        </w:rPr>
        <w:t>British Journal of Educational Psychology, 83</w:t>
      </w:r>
      <w:r w:rsidRPr="00C50D44">
        <w:t>(1), 57-75. doi:10.1111/j.2044-8279.2011.02054.x</w:t>
      </w:r>
    </w:p>
    <w:p w14:paraId="1508E7D5" w14:textId="1C555289" w:rsidR="00C50D44" w:rsidRPr="00C50D44" w:rsidRDefault="00C50D44" w:rsidP="00C50D44">
      <w:pPr>
        <w:spacing w:line="480" w:lineRule="auto"/>
        <w:ind w:left="720" w:hanging="720"/>
      </w:pPr>
      <w:r w:rsidRPr="00C50D44">
        <w:lastRenderedPageBreak/>
        <w:t xml:space="preserve">Barlow, F. K., </w:t>
      </w:r>
      <w:proofErr w:type="spellStart"/>
      <w:r w:rsidRPr="00C50D44">
        <w:t>Paolini</w:t>
      </w:r>
      <w:proofErr w:type="spellEnd"/>
      <w:r w:rsidRPr="00C50D44">
        <w:t xml:space="preserve">, S., Pedersen, A., </w:t>
      </w:r>
      <w:proofErr w:type="spellStart"/>
      <w:r w:rsidRPr="00C50D44">
        <w:t>Hornsey</w:t>
      </w:r>
      <w:proofErr w:type="spellEnd"/>
      <w:r w:rsidRPr="00C50D44">
        <w:t xml:space="preserve">, M. J., </w:t>
      </w:r>
      <w:proofErr w:type="spellStart"/>
      <w:r w:rsidRPr="00C50D44">
        <w:t>Radke</w:t>
      </w:r>
      <w:proofErr w:type="spellEnd"/>
      <w:r w:rsidRPr="00C50D44">
        <w:t>, H. R. M., Harwood, J</w:t>
      </w:r>
      <w:proofErr w:type="gramStart"/>
      <w:r w:rsidRPr="00C50D44">
        <w:t>., . . .</w:t>
      </w:r>
      <w:proofErr w:type="gramEnd"/>
      <w:r w:rsidRPr="00C50D44">
        <w:t xml:space="preserve"> Sibley, C. G. (2012). The contact caveat: Negative contact predicts increased prejudice more than positive contact predicts reduced prejudice.</w:t>
      </w:r>
      <w:r w:rsidRPr="00C50D44">
        <w:rPr>
          <w:i/>
          <w:iCs/>
        </w:rPr>
        <w:t xml:space="preserve"> Personality and Social Psychology Bulletin, 38</w:t>
      </w:r>
      <w:r w:rsidRPr="00C50D44">
        <w:t xml:space="preserve">(12), 1629-1643. </w:t>
      </w:r>
      <w:proofErr w:type="gramStart"/>
      <w:r w:rsidR="007D0753">
        <w:t>doi:</w:t>
      </w:r>
      <w:proofErr w:type="gramEnd"/>
      <w:r w:rsidR="007D0753" w:rsidRPr="007D0753">
        <w:t>10.1177/0146167212457953</w:t>
      </w:r>
    </w:p>
    <w:p w14:paraId="11B28390" w14:textId="19781522" w:rsidR="00C50D44" w:rsidRPr="00C50D44" w:rsidRDefault="00C50D44" w:rsidP="00C50D44">
      <w:pPr>
        <w:spacing w:line="480" w:lineRule="auto"/>
        <w:ind w:left="720" w:hanging="720"/>
      </w:pPr>
      <w:r w:rsidRPr="00C50D44">
        <w:t>Bennett, M</w:t>
      </w:r>
      <w:r w:rsidR="007D0753">
        <w:t>.</w:t>
      </w:r>
      <w:r w:rsidRPr="00C50D44">
        <w:t xml:space="preserve">, &amp; Sani, F. (2004). </w:t>
      </w:r>
      <w:r w:rsidRPr="00C50D44">
        <w:rPr>
          <w:i/>
        </w:rPr>
        <w:t>T</w:t>
      </w:r>
      <w:r w:rsidRPr="00C50D44">
        <w:rPr>
          <w:i/>
          <w:iCs/>
        </w:rPr>
        <w:t xml:space="preserve">he </w:t>
      </w:r>
      <w:r w:rsidR="007D0753">
        <w:rPr>
          <w:i/>
          <w:iCs/>
        </w:rPr>
        <w:t>d</w:t>
      </w:r>
      <w:r w:rsidRPr="00C50D44">
        <w:rPr>
          <w:i/>
          <w:iCs/>
        </w:rPr>
        <w:t>evelopment of the</w:t>
      </w:r>
      <w:r w:rsidR="007D0753">
        <w:rPr>
          <w:i/>
          <w:iCs/>
        </w:rPr>
        <w:t xml:space="preserve"> s</w:t>
      </w:r>
      <w:r w:rsidRPr="00C50D44">
        <w:rPr>
          <w:i/>
          <w:iCs/>
        </w:rPr>
        <w:t xml:space="preserve">ocial </w:t>
      </w:r>
      <w:r w:rsidR="007D0753">
        <w:rPr>
          <w:i/>
          <w:iCs/>
        </w:rPr>
        <w:t>s</w:t>
      </w:r>
      <w:r w:rsidRPr="00C50D44">
        <w:rPr>
          <w:i/>
          <w:iCs/>
        </w:rPr>
        <w:t>elf</w:t>
      </w:r>
      <w:r w:rsidRPr="00C50D44">
        <w:t>. New York, NY: Psychology Press.</w:t>
      </w:r>
    </w:p>
    <w:p w14:paraId="4677E26A" w14:textId="23281109" w:rsidR="004C5FC6" w:rsidRDefault="00C50D44" w:rsidP="004C5FC6">
      <w:pPr>
        <w:spacing w:line="480" w:lineRule="auto"/>
        <w:ind w:left="720" w:hanging="720"/>
        <w:rPr>
          <w:b/>
          <w:lang w:val="it-IT"/>
        </w:rPr>
      </w:pPr>
      <w:proofErr w:type="spellStart"/>
      <w:r w:rsidRPr="00C50D44">
        <w:t>Bigler</w:t>
      </w:r>
      <w:proofErr w:type="spellEnd"/>
      <w:r w:rsidRPr="00C50D44">
        <w:t xml:space="preserve">, R. S., &amp; </w:t>
      </w:r>
      <w:proofErr w:type="spellStart"/>
      <w:r w:rsidRPr="00C50D44">
        <w:t>Liben</w:t>
      </w:r>
      <w:proofErr w:type="spellEnd"/>
      <w:r w:rsidRPr="00C50D44">
        <w:t>, L. S. (2007). Developmental intergroup theory: Explaining and reducing children's social stereotyping and prejudice.</w:t>
      </w:r>
      <w:r w:rsidRPr="00C50D44">
        <w:rPr>
          <w:i/>
          <w:iCs/>
        </w:rPr>
        <w:t xml:space="preserve"> Current Directions in Psychological Science, 16</w:t>
      </w:r>
      <w:r w:rsidRPr="00C50D44">
        <w:t>(3), 162-166. doi:10.1111/j.1467-8721.2007.00496.x</w:t>
      </w:r>
    </w:p>
    <w:p w14:paraId="78D3B3D8" w14:textId="340D96A6" w:rsidR="00C50D44" w:rsidRPr="00C50D44" w:rsidRDefault="00C50D44" w:rsidP="004C5FC6">
      <w:pPr>
        <w:spacing w:line="480" w:lineRule="auto"/>
        <w:ind w:left="720" w:hanging="720"/>
        <w:rPr>
          <w:color w:val="5B9BD5" w:themeColor="accent1"/>
        </w:rPr>
      </w:pPr>
      <w:r w:rsidRPr="00C50D44">
        <w:t>Blakemore, S., &amp; Choudhury, S. (2006). Development of the adolescent brain: Implications for executive function and social cognition.</w:t>
      </w:r>
      <w:r w:rsidRPr="00C50D44">
        <w:rPr>
          <w:i/>
          <w:iCs/>
        </w:rPr>
        <w:t xml:space="preserve"> Journal of Child Psychology and Psychiatry, 47</w:t>
      </w:r>
      <w:r w:rsidRPr="00C50D44">
        <w:t>(3-4), 296-312. doi:10.1111/j.1469-7610.2006.01611.x</w:t>
      </w:r>
    </w:p>
    <w:p w14:paraId="6CA74C7E" w14:textId="021A4B72" w:rsidR="00C50D44" w:rsidRPr="00C50D44" w:rsidRDefault="00C50D44" w:rsidP="00C50D44">
      <w:pPr>
        <w:spacing w:line="480" w:lineRule="auto"/>
        <w:ind w:left="720" w:hanging="720"/>
      </w:pPr>
      <w:r w:rsidRPr="00C50D44">
        <w:t xml:space="preserve">Brown, R., &amp; </w:t>
      </w:r>
      <w:proofErr w:type="spellStart"/>
      <w:r w:rsidRPr="00C50D44">
        <w:t>Hewstone</w:t>
      </w:r>
      <w:proofErr w:type="spellEnd"/>
      <w:r w:rsidRPr="00C50D44">
        <w:t xml:space="preserve">, M. (2005). An integrative theory of intergroup contact. </w:t>
      </w:r>
      <w:r w:rsidRPr="00C50D44">
        <w:rPr>
          <w:i/>
          <w:iCs/>
        </w:rPr>
        <w:t xml:space="preserve">Advances in </w:t>
      </w:r>
      <w:r w:rsidR="00187B2F">
        <w:rPr>
          <w:i/>
          <w:iCs/>
        </w:rPr>
        <w:t>E</w:t>
      </w:r>
      <w:r w:rsidRPr="00C50D44">
        <w:rPr>
          <w:i/>
          <w:iCs/>
        </w:rPr>
        <w:t xml:space="preserve">xperimental </w:t>
      </w:r>
      <w:r w:rsidR="00187B2F">
        <w:rPr>
          <w:i/>
          <w:iCs/>
        </w:rPr>
        <w:t>S</w:t>
      </w:r>
      <w:r w:rsidRPr="00C50D44">
        <w:rPr>
          <w:i/>
          <w:iCs/>
        </w:rPr>
        <w:t xml:space="preserve">ocial </w:t>
      </w:r>
      <w:r w:rsidR="00187B2F">
        <w:rPr>
          <w:i/>
          <w:iCs/>
        </w:rPr>
        <w:t>P</w:t>
      </w:r>
      <w:r w:rsidRPr="00C50D44">
        <w:rPr>
          <w:i/>
          <w:iCs/>
        </w:rPr>
        <w:t>sychology</w:t>
      </w:r>
      <w:r w:rsidR="00187B2F">
        <w:t>. (</w:t>
      </w:r>
      <w:r w:rsidRPr="002C22AF">
        <w:t>vol. 37</w:t>
      </w:r>
      <w:r w:rsidR="00187B2F">
        <w:t xml:space="preserve">, </w:t>
      </w:r>
      <w:r w:rsidRPr="00C50D44">
        <w:t>pp. 255-343)</w:t>
      </w:r>
      <w:r w:rsidR="00187B2F">
        <w:t>.</w:t>
      </w:r>
      <w:r w:rsidRPr="00C50D44">
        <w:t xml:space="preserve"> </w:t>
      </w:r>
      <w:r w:rsidR="00187B2F" w:rsidRPr="00C50D44">
        <w:t>San Diego, CA</w:t>
      </w:r>
      <w:r w:rsidR="00187B2F">
        <w:t>:</w:t>
      </w:r>
      <w:r w:rsidR="00187B2F" w:rsidRPr="00C50D44">
        <w:t xml:space="preserve"> </w:t>
      </w:r>
      <w:r w:rsidRPr="00C50D44">
        <w:t>Elsevier Academic Press.</w:t>
      </w:r>
    </w:p>
    <w:p w14:paraId="692E74AF" w14:textId="45CCF2D6" w:rsidR="00C50D44" w:rsidRPr="00C50D44" w:rsidRDefault="00C50D44" w:rsidP="00C50D44">
      <w:pPr>
        <w:spacing w:line="480" w:lineRule="auto"/>
        <w:ind w:left="720" w:hanging="720"/>
      </w:pPr>
      <w:r w:rsidRPr="00C50D44">
        <w:t xml:space="preserve">Cairns, E. &amp; Darby, J. (1998). The conflict in Northern Ireland: Causes, consequences and controls. </w:t>
      </w:r>
      <w:r w:rsidRPr="00C50D44">
        <w:rPr>
          <w:i/>
        </w:rPr>
        <w:t>American Psychologist</w:t>
      </w:r>
      <w:r w:rsidRPr="00C50D44">
        <w:t xml:space="preserve">, </w:t>
      </w:r>
      <w:r w:rsidRPr="002C22AF">
        <w:rPr>
          <w:i/>
          <w:iCs/>
        </w:rPr>
        <w:t>53</w:t>
      </w:r>
      <w:r w:rsidR="00187B2F">
        <w:t xml:space="preserve">(7), </w:t>
      </w:r>
      <w:r w:rsidRPr="00C50D44">
        <w:t>754-760. doi:10.1037/0003-066X.53.7.754</w:t>
      </w:r>
    </w:p>
    <w:p w14:paraId="363F419B" w14:textId="77777777" w:rsidR="00C50D44" w:rsidRPr="00C50D44" w:rsidRDefault="00C50D44" w:rsidP="002C22AF">
      <w:pPr>
        <w:spacing w:line="480" w:lineRule="auto"/>
        <w:ind w:left="720" w:hanging="720"/>
      </w:pPr>
      <w:r w:rsidRPr="00C50D44">
        <w:t xml:space="preserve">Cairns, E., </w:t>
      </w:r>
      <w:proofErr w:type="spellStart"/>
      <w:r w:rsidRPr="00C50D44">
        <w:t>Kenworthy</w:t>
      </w:r>
      <w:proofErr w:type="spellEnd"/>
      <w:r w:rsidRPr="00C50D44">
        <w:t xml:space="preserve">, J., Campbell, A., &amp; </w:t>
      </w:r>
      <w:proofErr w:type="spellStart"/>
      <w:r w:rsidRPr="00C50D44">
        <w:t>Hewstone</w:t>
      </w:r>
      <w:proofErr w:type="spellEnd"/>
      <w:r w:rsidRPr="00C50D44">
        <w:t xml:space="preserve">, M. (2006). The role of in-group identification, religious group membership and intergroup conflict in moderating in-group and out-group affect. </w:t>
      </w:r>
      <w:r w:rsidRPr="00C50D44">
        <w:rPr>
          <w:i/>
        </w:rPr>
        <w:t>British Journal of Social Psychology, 45</w:t>
      </w:r>
      <w:r w:rsidRPr="00C50D44">
        <w:t xml:space="preserve">, 701–716. </w:t>
      </w:r>
      <w:proofErr w:type="gramStart"/>
      <w:r w:rsidRPr="00C50D44">
        <w:t>doi:</w:t>
      </w:r>
      <w:proofErr w:type="gramEnd"/>
      <w:r w:rsidRPr="00C50D44">
        <w:t>10.1348/014466605X69850</w:t>
      </w:r>
    </w:p>
    <w:p w14:paraId="18DE923C" w14:textId="77777777" w:rsidR="00C50D44" w:rsidRPr="00C50D44" w:rsidRDefault="00C50D44" w:rsidP="00C50D44">
      <w:pPr>
        <w:spacing w:line="480" w:lineRule="auto"/>
        <w:ind w:left="720" w:hanging="720"/>
      </w:pPr>
      <w:r w:rsidRPr="00C50D44">
        <w:t xml:space="preserve">Cairns, E., Wilson, R., Gallagher, T., &amp; </w:t>
      </w:r>
      <w:proofErr w:type="spellStart"/>
      <w:r w:rsidRPr="00C50D44">
        <w:t>Trew</w:t>
      </w:r>
      <w:proofErr w:type="spellEnd"/>
      <w:r w:rsidRPr="00C50D44">
        <w:t xml:space="preserve">, K. (1995). Psychology’s contribution to understanding the conflict in Northern Ireland. </w:t>
      </w:r>
      <w:r w:rsidRPr="00C50D44">
        <w:rPr>
          <w:i/>
        </w:rPr>
        <w:t>Peace and Conflict: Journal of Peace</w:t>
      </w:r>
    </w:p>
    <w:p w14:paraId="2D9CBC40" w14:textId="77777777" w:rsidR="00C50D44" w:rsidRDefault="00C50D44" w:rsidP="00C50D44">
      <w:pPr>
        <w:spacing w:line="480" w:lineRule="auto"/>
        <w:ind w:left="720"/>
      </w:pPr>
      <w:r w:rsidRPr="00C50D44">
        <w:rPr>
          <w:i/>
        </w:rPr>
        <w:lastRenderedPageBreak/>
        <w:t xml:space="preserve">Psychology, 1, </w:t>
      </w:r>
      <w:r w:rsidRPr="00C50D44">
        <w:t xml:space="preserve">131-148. </w:t>
      </w:r>
      <w:proofErr w:type="gramStart"/>
      <w:r w:rsidRPr="00C50D44">
        <w:t>doi:</w:t>
      </w:r>
      <w:proofErr w:type="gramEnd"/>
      <w:r w:rsidRPr="00C50D44">
        <w:t>10.1207/s15327949pac0102_3</w:t>
      </w:r>
    </w:p>
    <w:p w14:paraId="0C4F7543" w14:textId="49C9302F" w:rsidR="00372379" w:rsidRPr="00C50D44" w:rsidRDefault="00372379" w:rsidP="00372379">
      <w:pPr>
        <w:spacing w:line="480" w:lineRule="auto"/>
        <w:ind w:left="720" w:hanging="720"/>
      </w:pPr>
      <w:r w:rsidRPr="00372379">
        <w:t>Chartered Institute of Housing Northern Ireland. (2015).</w:t>
      </w:r>
      <w:r>
        <w:rPr>
          <w:i/>
        </w:rPr>
        <w:t xml:space="preserve"> Rethinking Social Housing Final Report.</w:t>
      </w:r>
    </w:p>
    <w:p w14:paraId="70EE9C6B" w14:textId="77777777" w:rsidR="00C50D44" w:rsidRPr="00C50D44" w:rsidRDefault="00C50D44" w:rsidP="005C5F7B">
      <w:pPr>
        <w:autoSpaceDE w:val="0"/>
        <w:autoSpaceDN w:val="0"/>
        <w:adjustRightInd w:val="0"/>
        <w:spacing w:line="480" w:lineRule="auto"/>
        <w:ind w:left="720" w:hanging="720"/>
      </w:pPr>
      <w:r w:rsidRPr="00C50D44">
        <w:t xml:space="preserve">Christ, O., </w:t>
      </w:r>
      <w:proofErr w:type="spellStart"/>
      <w:r w:rsidRPr="00C50D44">
        <w:t>Schmid</w:t>
      </w:r>
      <w:proofErr w:type="spellEnd"/>
      <w:r w:rsidRPr="00C50D44">
        <w:t xml:space="preserve">, K., </w:t>
      </w:r>
      <w:proofErr w:type="spellStart"/>
      <w:r w:rsidRPr="00C50D44">
        <w:t>Lolliot</w:t>
      </w:r>
      <w:proofErr w:type="spellEnd"/>
      <w:r w:rsidRPr="00C50D44">
        <w:t xml:space="preserve">, S., Swart, H., </w:t>
      </w:r>
      <w:proofErr w:type="spellStart"/>
      <w:r w:rsidRPr="00C50D44">
        <w:t>Stolle</w:t>
      </w:r>
      <w:proofErr w:type="spellEnd"/>
      <w:r w:rsidRPr="00C50D44">
        <w:t xml:space="preserve">, D., </w:t>
      </w:r>
      <w:proofErr w:type="spellStart"/>
      <w:r w:rsidRPr="00C50D44">
        <w:t>Tausch</w:t>
      </w:r>
      <w:proofErr w:type="spellEnd"/>
      <w:r w:rsidRPr="00C50D44">
        <w:t>, N</w:t>
      </w:r>
      <w:proofErr w:type="gramStart"/>
      <w:r w:rsidRPr="00C50D44">
        <w:t>., . . .</w:t>
      </w:r>
      <w:proofErr w:type="gramEnd"/>
      <w:r w:rsidRPr="00C50D44">
        <w:t xml:space="preserve"> </w:t>
      </w:r>
      <w:proofErr w:type="spellStart"/>
      <w:r w:rsidRPr="00C50D44">
        <w:t>Hewstone</w:t>
      </w:r>
      <w:proofErr w:type="spellEnd"/>
      <w:r w:rsidRPr="00C50D44">
        <w:t>, M. (2014). Contextual effect of positive intergroup contact on outgroup prejudice.</w:t>
      </w:r>
      <w:r w:rsidRPr="00C50D44">
        <w:rPr>
          <w:i/>
          <w:iCs/>
        </w:rPr>
        <w:t xml:space="preserve"> PNAS Proceedings of the National Academy of Sciences of the United States of America, 111</w:t>
      </w:r>
      <w:r w:rsidRPr="00C50D44">
        <w:t>(11), 3996-4000. doi:10.1073/pnas.1320901111</w:t>
      </w:r>
    </w:p>
    <w:p w14:paraId="0CF3A56B" w14:textId="77777777" w:rsidR="00C50D44" w:rsidRPr="00C50D44" w:rsidRDefault="00C50D44" w:rsidP="005C5F7B">
      <w:pPr>
        <w:autoSpaceDE w:val="0"/>
        <w:autoSpaceDN w:val="0"/>
        <w:adjustRightInd w:val="0"/>
        <w:spacing w:line="480" w:lineRule="auto"/>
        <w:ind w:left="720" w:hanging="720"/>
      </w:pPr>
      <w:r w:rsidRPr="00C50D44">
        <w:t xml:space="preserve">Dixon, J., </w:t>
      </w:r>
      <w:proofErr w:type="spellStart"/>
      <w:r w:rsidRPr="00C50D44">
        <w:t>Durrheim</w:t>
      </w:r>
      <w:proofErr w:type="spellEnd"/>
      <w:r w:rsidRPr="00C50D44">
        <w:t xml:space="preserve">, K., </w:t>
      </w:r>
      <w:proofErr w:type="spellStart"/>
      <w:r w:rsidRPr="00C50D44">
        <w:t>Tredoux</w:t>
      </w:r>
      <w:proofErr w:type="spellEnd"/>
      <w:r w:rsidRPr="00C50D44">
        <w:t xml:space="preserve">, C., </w:t>
      </w:r>
      <w:proofErr w:type="spellStart"/>
      <w:r w:rsidRPr="00C50D44">
        <w:t>Tropp</w:t>
      </w:r>
      <w:proofErr w:type="spellEnd"/>
      <w:r w:rsidRPr="00C50D44">
        <w:t xml:space="preserve">, L., Clack, B., &amp; Eaton, L. (2010). A paradox of integration? Interracial contact, prejudice reduction, and perceptions of racial discrimination. </w:t>
      </w:r>
      <w:r w:rsidRPr="00C50D44">
        <w:rPr>
          <w:i/>
        </w:rPr>
        <w:t>Journal of Social Issues</w:t>
      </w:r>
      <w:r w:rsidRPr="00C50D44">
        <w:t xml:space="preserve">, </w:t>
      </w:r>
      <w:r w:rsidRPr="00C50D44">
        <w:rPr>
          <w:i/>
        </w:rPr>
        <w:t>66</w:t>
      </w:r>
      <w:r w:rsidRPr="00C50D44">
        <w:t>, 401-416. doi:10.1111/j.1540-4560.2010.01652.x</w:t>
      </w:r>
    </w:p>
    <w:p w14:paraId="7A1DA6C0" w14:textId="77777777" w:rsidR="00C50D44" w:rsidRPr="00C50D44" w:rsidRDefault="00C50D44" w:rsidP="00C50D44">
      <w:pPr>
        <w:spacing w:line="480" w:lineRule="auto"/>
        <w:ind w:left="720" w:hanging="720"/>
        <w:outlineLvl w:val="0"/>
      </w:pPr>
      <w:proofErr w:type="spellStart"/>
      <w:r w:rsidRPr="00C50D44">
        <w:t>Feddes</w:t>
      </w:r>
      <w:proofErr w:type="spellEnd"/>
      <w:r w:rsidRPr="00C50D44">
        <w:t xml:space="preserve">, A. R., </w:t>
      </w:r>
      <w:proofErr w:type="spellStart"/>
      <w:r w:rsidRPr="00C50D44">
        <w:t>Noack</w:t>
      </w:r>
      <w:proofErr w:type="spellEnd"/>
      <w:r w:rsidRPr="00C50D44">
        <w:t>, P., &amp; Rutland, A. (2009). Direct and extended friendship effects on minority and majority children’s interethnic attitudes: A longitudinal study.</w:t>
      </w:r>
      <w:r w:rsidRPr="00C50D44">
        <w:rPr>
          <w:i/>
          <w:iCs/>
        </w:rPr>
        <w:t xml:space="preserve"> Child Development, 80</w:t>
      </w:r>
      <w:r w:rsidRPr="00C50D44">
        <w:t>(2), 377-390. doi:10.1111/j.1467-8624.2009.01266.x</w:t>
      </w:r>
    </w:p>
    <w:p w14:paraId="5E930C62" w14:textId="4B3470B2" w:rsidR="00C50D44" w:rsidRPr="00C50D44" w:rsidRDefault="00C50D44" w:rsidP="00C50D44">
      <w:pPr>
        <w:spacing w:line="480" w:lineRule="auto"/>
        <w:ind w:left="720" w:hanging="720"/>
        <w:outlineLvl w:val="0"/>
      </w:pPr>
      <w:r w:rsidRPr="00C50D44">
        <w:t xml:space="preserve">Foulkes, L., Leung, J. T., </w:t>
      </w:r>
      <w:proofErr w:type="spellStart"/>
      <w:r w:rsidRPr="00C50D44">
        <w:t>Fuhrmann</w:t>
      </w:r>
      <w:proofErr w:type="spellEnd"/>
      <w:r w:rsidRPr="00C50D44">
        <w:t>, D., Knoll, L. J., &amp; Blakemore, S. (2018). Age differences in the prosocial influence effect.</w:t>
      </w:r>
      <w:r w:rsidRPr="00C50D44">
        <w:rPr>
          <w:i/>
          <w:iCs/>
        </w:rPr>
        <w:t xml:space="preserve"> Developmental Science,</w:t>
      </w:r>
      <w:r w:rsidR="00187B2F">
        <w:rPr>
          <w:i/>
          <w:iCs/>
        </w:rPr>
        <w:t xml:space="preserve"> 21</w:t>
      </w:r>
      <w:r w:rsidR="00187B2F">
        <w:t>(6).</w:t>
      </w:r>
      <w:r w:rsidRPr="00C50D44">
        <w:rPr>
          <w:i/>
          <w:iCs/>
        </w:rPr>
        <w:t xml:space="preserve"> </w:t>
      </w:r>
      <w:r w:rsidRPr="00C50D44">
        <w:t>doi:10.1111/desc.12666</w:t>
      </w:r>
    </w:p>
    <w:p w14:paraId="4A4EF686" w14:textId="058D7E0E" w:rsidR="00C50D44" w:rsidRPr="00C50D44" w:rsidRDefault="00C50D44" w:rsidP="00C50D44">
      <w:pPr>
        <w:autoSpaceDE w:val="0"/>
        <w:autoSpaceDN w:val="0"/>
        <w:adjustRightInd w:val="0"/>
        <w:spacing w:line="480" w:lineRule="auto"/>
        <w:ind w:left="720" w:hanging="720"/>
      </w:pPr>
      <w:proofErr w:type="spellStart"/>
      <w:r w:rsidRPr="00C50D44">
        <w:t>Goeke</w:t>
      </w:r>
      <w:proofErr w:type="spellEnd"/>
      <w:r w:rsidRPr="00C50D44">
        <w:t xml:space="preserve">-Morey, M.C., Cairns, E., </w:t>
      </w:r>
      <w:r w:rsidRPr="002C22AF">
        <w:rPr>
          <w:bCs/>
        </w:rPr>
        <w:t>Taylor, L.K.</w:t>
      </w:r>
      <w:r w:rsidRPr="00AD2727">
        <w:rPr>
          <w:bCs/>
        </w:rPr>
        <w:t>,</w:t>
      </w:r>
      <w:r w:rsidRPr="00C50D44">
        <w:t xml:space="preserve"> </w:t>
      </w:r>
      <w:proofErr w:type="spellStart"/>
      <w:r w:rsidRPr="00C50D44">
        <w:t>Merrilees</w:t>
      </w:r>
      <w:proofErr w:type="spellEnd"/>
      <w:r w:rsidRPr="00C50D44">
        <w:t xml:space="preserve">, C.E., Shirlow, P., &amp;. Cummings, E M. (2015). Predictors of strength of in-group identity in Northern Ireland: Impact of past sectarian conflict, relative deprivation, and church attendance. </w:t>
      </w:r>
      <w:r w:rsidRPr="00C50D44">
        <w:rPr>
          <w:i/>
          <w:color w:val="000000"/>
        </w:rPr>
        <w:t>Journal of Community &amp; Applied Social Psychology</w:t>
      </w:r>
      <w:r w:rsidRPr="00C50D44">
        <w:t xml:space="preserve">, </w:t>
      </w:r>
      <w:r w:rsidRPr="00C50D44">
        <w:rPr>
          <w:i/>
        </w:rPr>
        <w:t>25</w:t>
      </w:r>
      <w:r w:rsidRPr="00C50D44">
        <w:t>(4), 283-295.</w:t>
      </w:r>
      <w:r w:rsidR="00187B2F">
        <w:t xml:space="preserve"> doi:</w:t>
      </w:r>
      <w:r w:rsidR="00187B2F" w:rsidRPr="00187B2F">
        <w:t>10.1002/casp.2211</w:t>
      </w:r>
    </w:p>
    <w:p w14:paraId="5254543C" w14:textId="2BE505E3" w:rsidR="00C50D44" w:rsidRPr="00C50D44" w:rsidRDefault="00C50D44" w:rsidP="00C50D44">
      <w:pPr>
        <w:autoSpaceDE w:val="0"/>
        <w:autoSpaceDN w:val="0"/>
        <w:adjustRightInd w:val="0"/>
        <w:spacing w:line="480" w:lineRule="auto"/>
        <w:ind w:left="720" w:hanging="720"/>
      </w:pPr>
      <w:r w:rsidRPr="0051285E">
        <w:rPr>
          <w:lang w:val="es-CO"/>
        </w:rPr>
        <w:t xml:space="preserve">Lanza, S. T., </w:t>
      </w:r>
      <w:proofErr w:type="spellStart"/>
      <w:r w:rsidRPr="0051285E">
        <w:rPr>
          <w:lang w:val="es-CO"/>
        </w:rPr>
        <w:t>Vasilenko</w:t>
      </w:r>
      <w:proofErr w:type="spellEnd"/>
      <w:r w:rsidRPr="0051285E">
        <w:rPr>
          <w:lang w:val="es-CO"/>
        </w:rPr>
        <w:t xml:space="preserve">, S. A., </w:t>
      </w:r>
      <w:proofErr w:type="spellStart"/>
      <w:r w:rsidRPr="0051285E">
        <w:rPr>
          <w:lang w:val="es-CO"/>
        </w:rPr>
        <w:t>Liu</w:t>
      </w:r>
      <w:proofErr w:type="spellEnd"/>
      <w:r w:rsidRPr="0051285E">
        <w:rPr>
          <w:lang w:val="es-CO"/>
        </w:rPr>
        <w:t xml:space="preserve">, X., Li, R., &amp; </w:t>
      </w:r>
      <w:proofErr w:type="spellStart"/>
      <w:r w:rsidRPr="0051285E">
        <w:rPr>
          <w:lang w:val="es-CO"/>
        </w:rPr>
        <w:t>Piper</w:t>
      </w:r>
      <w:proofErr w:type="spellEnd"/>
      <w:r w:rsidRPr="0051285E">
        <w:rPr>
          <w:lang w:val="es-CO"/>
        </w:rPr>
        <w:t xml:space="preserve">, M. E. (2014). </w:t>
      </w:r>
      <w:r w:rsidRPr="00C50D44">
        <w:t xml:space="preserve">Advancing the understanding of craving during smoking cessation attempts: A demonstration of the </w:t>
      </w:r>
      <w:r w:rsidRPr="00C50D44">
        <w:lastRenderedPageBreak/>
        <w:t xml:space="preserve">time-varying effect model. </w:t>
      </w:r>
      <w:r w:rsidRPr="002C22AF">
        <w:rPr>
          <w:i/>
          <w:iCs/>
        </w:rPr>
        <w:t>Nicotine &amp; Tobacco Research, 16</w:t>
      </w:r>
      <w:r w:rsidRPr="00C50D44">
        <w:t>(2, Suppl. 2), S127–S134.</w:t>
      </w:r>
      <w:r w:rsidR="0022213D">
        <w:t xml:space="preserve"> </w:t>
      </w:r>
      <w:proofErr w:type="gramStart"/>
      <w:r w:rsidR="0022213D" w:rsidRPr="002C22AF">
        <w:rPr>
          <w:color w:val="000000" w:themeColor="text1"/>
        </w:rPr>
        <w:t>doi</w:t>
      </w:r>
      <w:proofErr w:type="gramEnd"/>
      <w:r w:rsidR="0022213D" w:rsidRPr="002C22AF">
        <w:rPr>
          <w:color w:val="000000" w:themeColor="text1"/>
        </w:rPr>
        <w:t>:</w:t>
      </w:r>
      <w:hyperlink r:id="rId7" w:history="1">
        <w:r w:rsidRPr="002C22AF">
          <w:rPr>
            <w:rStyle w:val="Hyperlink"/>
            <w:color w:val="000000" w:themeColor="text1"/>
            <w:u w:val="none"/>
          </w:rPr>
          <w:t>10.1093/</w:t>
        </w:r>
        <w:proofErr w:type="spellStart"/>
        <w:r w:rsidRPr="002C22AF">
          <w:rPr>
            <w:rStyle w:val="Hyperlink"/>
            <w:color w:val="000000" w:themeColor="text1"/>
            <w:u w:val="none"/>
          </w:rPr>
          <w:t>ntr</w:t>
        </w:r>
        <w:proofErr w:type="spellEnd"/>
        <w:r w:rsidRPr="002C22AF">
          <w:rPr>
            <w:rStyle w:val="Hyperlink"/>
            <w:color w:val="000000" w:themeColor="text1"/>
            <w:u w:val="none"/>
          </w:rPr>
          <w:t>/ntt128</w:t>
        </w:r>
      </w:hyperlink>
    </w:p>
    <w:p w14:paraId="45126D0A" w14:textId="5E331741" w:rsidR="00C50D44" w:rsidRDefault="00C50D44" w:rsidP="00C50D44">
      <w:pPr>
        <w:widowControl w:val="0"/>
        <w:autoSpaceDE w:val="0"/>
        <w:autoSpaceDN w:val="0"/>
        <w:adjustRightInd w:val="0"/>
        <w:spacing w:line="480" w:lineRule="auto"/>
        <w:ind w:left="720" w:hanging="720"/>
      </w:pPr>
      <w:r w:rsidRPr="00C50D44">
        <w:t xml:space="preserve">Levy, S. R., &amp; Killen, M. (2008). Intergroup attitudes and relations in childhood through adulthood: An introduction. </w:t>
      </w:r>
      <w:r w:rsidRPr="00C50D44">
        <w:rPr>
          <w:i/>
          <w:iCs/>
        </w:rPr>
        <w:t xml:space="preserve">Intergroup Attitudes and Relations in Childhood </w:t>
      </w:r>
      <w:proofErr w:type="gramStart"/>
      <w:r w:rsidRPr="00C50D44">
        <w:rPr>
          <w:i/>
          <w:iCs/>
        </w:rPr>
        <w:t>Through</w:t>
      </w:r>
      <w:proofErr w:type="gramEnd"/>
      <w:r w:rsidRPr="00C50D44">
        <w:rPr>
          <w:i/>
          <w:iCs/>
        </w:rPr>
        <w:t xml:space="preserve"> Adulthood.</w:t>
      </w:r>
      <w:r w:rsidRPr="00C50D44">
        <w:t xml:space="preserve"> (pp. 3-15)</w:t>
      </w:r>
      <w:r w:rsidR="0022213D">
        <w:t>.</w:t>
      </w:r>
      <w:r w:rsidRPr="00C50D44">
        <w:t xml:space="preserve"> New York, NY</w:t>
      </w:r>
      <w:r w:rsidR="0022213D">
        <w:t xml:space="preserve">: </w:t>
      </w:r>
      <w:r w:rsidR="0022213D" w:rsidRPr="00C50D44">
        <w:t>Oxford University Press</w:t>
      </w:r>
      <w:r w:rsidRPr="00C50D44">
        <w:t>.</w:t>
      </w:r>
    </w:p>
    <w:p w14:paraId="2DE0696E" w14:textId="50B7DC0D" w:rsidR="00F355F1" w:rsidRPr="00F355F1" w:rsidRDefault="00F355F1" w:rsidP="00C50D44">
      <w:pPr>
        <w:widowControl w:val="0"/>
        <w:autoSpaceDE w:val="0"/>
        <w:autoSpaceDN w:val="0"/>
        <w:adjustRightInd w:val="0"/>
        <w:spacing w:line="480" w:lineRule="auto"/>
        <w:ind w:left="720" w:hanging="720"/>
      </w:pPr>
      <w:r w:rsidRPr="00F355F1">
        <w:t xml:space="preserve">Li, R., </w:t>
      </w:r>
      <w:proofErr w:type="spellStart"/>
      <w:r w:rsidRPr="00F355F1">
        <w:t>Dziak</w:t>
      </w:r>
      <w:proofErr w:type="spellEnd"/>
      <w:r w:rsidRPr="00F355F1">
        <w:t>, J. J., Tan, X., Huang, L., Wagner, A. T., &amp; Yang, J. (2017). </w:t>
      </w:r>
      <w:r w:rsidRPr="00F355F1">
        <w:rPr>
          <w:i/>
          <w:iCs/>
        </w:rPr>
        <w:t>TVEM (time-varying effect model) SAS macro users’ guide</w:t>
      </w:r>
      <w:r w:rsidRPr="00F355F1">
        <w:t> (Version 3.1.1). University Park: The Methodology Center, Penn State. Retrieved from </w:t>
      </w:r>
      <w:hyperlink r:id="rId8" w:history="1">
        <w:r w:rsidRPr="00F355F1">
          <w:t>http://methodology.psu.edu</w:t>
        </w:r>
      </w:hyperlink>
    </w:p>
    <w:p w14:paraId="37C6F14A" w14:textId="0684F636" w:rsidR="00C50D44" w:rsidRPr="00C50D44" w:rsidRDefault="00C50D44" w:rsidP="00C50D44">
      <w:pPr>
        <w:widowControl w:val="0"/>
        <w:autoSpaceDE w:val="0"/>
        <w:autoSpaceDN w:val="0"/>
        <w:adjustRightInd w:val="0"/>
        <w:spacing w:line="480" w:lineRule="auto"/>
        <w:ind w:left="720" w:hanging="720"/>
      </w:pPr>
      <w:proofErr w:type="spellStart"/>
      <w:r w:rsidRPr="00C50D44">
        <w:t>Liebkind</w:t>
      </w:r>
      <w:proofErr w:type="spellEnd"/>
      <w:r w:rsidRPr="00C50D44">
        <w:t xml:space="preserve">, K., </w:t>
      </w:r>
      <w:proofErr w:type="spellStart"/>
      <w:r w:rsidRPr="00C50D44">
        <w:t>Mähönen</w:t>
      </w:r>
      <w:proofErr w:type="spellEnd"/>
      <w:r w:rsidRPr="00C50D44">
        <w:t xml:space="preserve">, T. A., </w:t>
      </w:r>
      <w:proofErr w:type="spellStart"/>
      <w:r w:rsidRPr="00C50D44">
        <w:t>Solares</w:t>
      </w:r>
      <w:proofErr w:type="spellEnd"/>
      <w:r w:rsidRPr="00C50D44">
        <w:t xml:space="preserve">, E., </w:t>
      </w:r>
      <w:proofErr w:type="spellStart"/>
      <w:r w:rsidRPr="00C50D44">
        <w:t>Solheim</w:t>
      </w:r>
      <w:proofErr w:type="spellEnd"/>
      <w:r w:rsidRPr="00C50D44">
        <w:t xml:space="preserve">, E., &amp; </w:t>
      </w:r>
      <w:proofErr w:type="spellStart"/>
      <w:r w:rsidRPr="00C50D44">
        <w:t>Jasinskaja</w:t>
      </w:r>
      <w:proofErr w:type="spellEnd"/>
      <w:r w:rsidRPr="00C50D44">
        <w:rPr>
          <w:rFonts w:ascii="Cambria Math" w:hAnsi="Cambria Math" w:cs="Cambria Math"/>
        </w:rPr>
        <w:t>‐</w:t>
      </w:r>
      <w:r w:rsidRPr="00C50D44">
        <w:t>Lahti, I. (2014). Prejudice</w:t>
      </w:r>
      <w:r w:rsidRPr="00C50D44">
        <w:rPr>
          <w:rFonts w:ascii="Cambria Math" w:hAnsi="Cambria Math" w:cs="Cambria Math"/>
        </w:rPr>
        <w:t>‐</w:t>
      </w:r>
      <w:r w:rsidRPr="00C50D44">
        <w:t>reduction in culturally mixed classrooms: The development and assessment of a theory</w:t>
      </w:r>
      <w:r w:rsidRPr="00C50D44">
        <w:rPr>
          <w:rFonts w:ascii="Cambria Math" w:hAnsi="Cambria Math" w:cs="Cambria Math"/>
        </w:rPr>
        <w:t>‐</w:t>
      </w:r>
      <w:r w:rsidRPr="00C50D44">
        <w:t xml:space="preserve">driven intervention among majority and minority youth in </w:t>
      </w:r>
      <w:r w:rsidR="0022213D">
        <w:t>F</w:t>
      </w:r>
      <w:r w:rsidRPr="00C50D44">
        <w:t>inland.</w:t>
      </w:r>
      <w:r w:rsidRPr="00C50D44">
        <w:rPr>
          <w:i/>
          <w:iCs/>
        </w:rPr>
        <w:t xml:space="preserve"> Journal of Community &amp; Applied Social Psychology, 24</w:t>
      </w:r>
      <w:r w:rsidRPr="00C50D44">
        <w:t>(4), 325-339. doi:10.1002/casp.2168</w:t>
      </w:r>
    </w:p>
    <w:p w14:paraId="662363A5" w14:textId="35E625F2" w:rsidR="00C50D44" w:rsidRPr="00C50D44" w:rsidRDefault="00C50D44" w:rsidP="00C50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720" w:hanging="720"/>
      </w:pPr>
      <w:r w:rsidRPr="00C50D44">
        <w:t xml:space="preserve">Mac </w:t>
      </w:r>
      <w:proofErr w:type="spellStart"/>
      <w:r w:rsidRPr="00C50D44">
        <w:t>Ginty</w:t>
      </w:r>
      <w:proofErr w:type="spellEnd"/>
      <w:r w:rsidRPr="00C50D44">
        <w:t xml:space="preserve">, R., Muldoon, O. T., &amp; Ferguson, N. (2007). No war, no peace: Northern </w:t>
      </w:r>
      <w:r w:rsidR="0022213D">
        <w:t>I</w:t>
      </w:r>
      <w:r w:rsidRPr="00C50D44">
        <w:t>reland after the agreement.</w:t>
      </w:r>
      <w:r w:rsidRPr="00C50D44">
        <w:rPr>
          <w:i/>
          <w:iCs/>
        </w:rPr>
        <w:t xml:space="preserve"> Political Psychology, 28</w:t>
      </w:r>
      <w:r w:rsidRPr="00C50D44">
        <w:t xml:space="preserve">(1), 1-11. doi:10.1111/j.1467-9221.2007.00548.x </w:t>
      </w:r>
    </w:p>
    <w:p w14:paraId="76B2A0E2" w14:textId="77777777" w:rsidR="00C50D44" w:rsidRPr="00C50D44" w:rsidRDefault="00C50D44" w:rsidP="00C50D44">
      <w:pPr>
        <w:widowControl w:val="0"/>
        <w:autoSpaceDE w:val="0"/>
        <w:autoSpaceDN w:val="0"/>
        <w:adjustRightInd w:val="0"/>
        <w:spacing w:line="480" w:lineRule="auto"/>
        <w:ind w:left="720" w:hanging="720"/>
      </w:pPr>
      <w:r w:rsidRPr="00C50D44">
        <w:t>McEvoy, K., &amp; Shirlow, P. (2009). Re-imagining DDR ex-combatants, leadership and moral agency in conflict transformation.</w:t>
      </w:r>
      <w:r w:rsidRPr="00C50D44">
        <w:rPr>
          <w:i/>
          <w:iCs/>
        </w:rPr>
        <w:t xml:space="preserve"> Theoretical Criminology, 13</w:t>
      </w:r>
      <w:r w:rsidRPr="00C50D44">
        <w:t xml:space="preserve">(1), 31-59. </w:t>
      </w:r>
      <w:proofErr w:type="gramStart"/>
      <w:r w:rsidRPr="00C50D44">
        <w:t>doi:</w:t>
      </w:r>
      <w:proofErr w:type="gramEnd"/>
      <w:r w:rsidRPr="00C50D44">
        <w:t>10.1177/1362480608100172</w:t>
      </w:r>
    </w:p>
    <w:p w14:paraId="3DD2E62D" w14:textId="2809A08E" w:rsidR="00C50D44" w:rsidRPr="00C50D44" w:rsidRDefault="00C50D44" w:rsidP="00C50D44">
      <w:pPr>
        <w:widowControl w:val="0"/>
        <w:autoSpaceDE w:val="0"/>
        <w:autoSpaceDN w:val="0"/>
        <w:adjustRightInd w:val="0"/>
        <w:spacing w:line="480" w:lineRule="auto"/>
        <w:ind w:left="720" w:hanging="720"/>
      </w:pPr>
      <w:r w:rsidRPr="00C50D44">
        <w:t xml:space="preserve">McKeown, S., &amp; Cairns, E. (2012). Peacemaking youth </w:t>
      </w:r>
      <w:proofErr w:type="spellStart"/>
      <w:r w:rsidRPr="00C50D44">
        <w:t>programmes</w:t>
      </w:r>
      <w:proofErr w:type="spellEnd"/>
      <w:r w:rsidRPr="00C50D44">
        <w:t xml:space="preserve"> in </w:t>
      </w:r>
      <w:r w:rsidR="0022213D">
        <w:t>N</w:t>
      </w:r>
      <w:r w:rsidRPr="00C50D44">
        <w:t xml:space="preserve">orthern </w:t>
      </w:r>
      <w:r w:rsidR="0022213D">
        <w:t>I</w:t>
      </w:r>
      <w:r w:rsidRPr="00C50D44">
        <w:t>reland.</w:t>
      </w:r>
      <w:r w:rsidRPr="00C50D44">
        <w:rPr>
          <w:i/>
          <w:iCs/>
        </w:rPr>
        <w:t xml:space="preserve"> Journal of Aggression, Conflict and Peace Research, 4</w:t>
      </w:r>
      <w:r w:rsidRPr="00C50D44">
        <w:t xml:space="preserve">(2), 69-75. </w:t>
      </w:r>
      <w:proofErr w:type="gramStart"/>
      <w:r w:rsidRPr="00C50D44">
        <w:t>doi:</w:t>
      </w:r>
      <w:proofErr w:type="gramEnd"/>
      <w:r w:rsidRPr="00C50D44">
        <w:t>10.1108/17596591211208274.</w:t>
      </w:r>
    </w:p>
    <w:p w14:paraId="5ED531B9" w14:textId="1C95C471" w:rsidR="00C50D44" w:rsidRPr="00C50D44" w:rsidRDefault="00C50D44" w:rsidP="00C50D44">
      <w:pPr>
        <w:autoSpaceDE w:val="0"/>
        <w:autoSpaceDN w:val="0"/>
        <w:adjustRightInd w:val="0"/>
        <w:spacing w:line="480" w:lineRule="auto"/>
        <w:ind w:left="720" w:hanging="720"/>
        <w:rPr>
          <w:bCs/>
          <w:color w:val="000000"/>
        </w:rPr>
      </w:pPr>
      <w:r w:rsidRPr="00C50D44">
        <w:rPr>
          <w:lang w:val="en-GB"/>
        </w:rPr>
        <w:t>McKeown, S. &amp; Taylor, L.K. (2018). Perceived peer and school norm effects on youth antisocial and prosocial behaviours through intergroup contact in Northern Ireland</w:t>
      </w:r>
      <w:r w:rsidRPr="00C50D44">
        <w:rPr>
          <w:color w:val="000000"/>
        </w:rPr>
        <w:t xml:space="preserve">. </w:t>
      </w:r>
      <w:r w:rsidRPr="00C50D44">
        <w:rPr>
          <w:bCs/>
          <w:i/>
          <w:color w:val="000000"/>
        </w:rPr>
        <w:t>British Journal of Social Psychology</w:t>
      </w:r>
      <w:r w:rsidRPr="00C50D44">
        <w:rPr>
          <w:bCs/>
          <w:color w:val="000000"/>
        </w:rPr>
        <w:t>, 57(3), 652-665.</w:t>
      </w:r>
      <w:r w:rsidR="0022213D">
        <w:rPr>
          <w:bCs/>
          <w:color w:val="000000"/>
        </w:rPr>
        <w:t xml:space="preserve"> doi:</w:t>
      </w:r>
      <w:r w:rsidR="0022213D" w:rsidRPr="0022213D">
        <w:rPr>
          <w:bCs/>
          <w:color w:val="000000"/>
        </w:rPr>
        <w:t>10.1111/bjso.12257</w:t>
      </w:r>
    </w:p>
    <w:p w14:paraId="33E17D32" w14:textId="14612DCC" w:rsidR="00C50D44" w:rsidRPr="002C22AF" w:rsidRDefault="00C50D44" w:rsidP="00C50D44">
      <w:pPr>
        <w:widowControl w:val="0"/>
        <w:autoSpaceDE w:val="0"/>
        <w:autoSpaceDN w:val="0"/>
        <w:adjustRightInd w:val="0"/>
        <w:spacing w:line="480" w:lineRule="auto"/>
        <w:ind w:left="720" w:hanging="720"/>
        <w:rPr>
          <w:color w:val="000000" w:themeColor="text1"/>
          <w:u w:val="single"/>
        </w:rPr>
      </w:pPr>
      <w:r w:rsidRPr="00C50D44">
        <w:lastRenderedPageBreak/>
        <w:t xml:space="preserve">Merrilees, C. E., Taylor, L. K., Baird, R., </w:t>
      </w:r>
      <w:proofErr w:type="spellStart"/>
      <w:r w:rsidRPr="00C50D44">
        <w:t>Goeke</w:t>
      </w:r>
      <w:proofErr w:type="spellEnd"/>
      <w:r w:rsidRPr="00C50D44">
        <w:t>-Morey, M., Shirlow, P., &amp; Cummings, E. M. (2018). Neighborhood effects of intergroup contact on change in youth intergroup bias.</w:t>
      </w:r>
      <w:r w:rsidRPr="00C50D44">
        <w:rPr>
          <w:i/>
          <w:iCs/>
        </w:rPr>
        <w:t xml:space="preserve"> Journal of Youth and Adolescence, 47</w:t>
      </w:r>
      <w:r w:rsidRPr="00C50D44">
        <w:t>(1), 77-8</w:t>
      </w:r>
      <w:r w:rsidRPr="007021E2">
        <w:t>7</w:t>
      </w:r>
      <w:r w:rsidRPr="00372379">
        <w:rPr>
          <w:color w:val="000000" w:themeColor="text1"/>
        </w:rPr>
        <w:t xml:space="preserve">. </w:t>
      </w:r>
      <w:hyperlink r:id="rId9" w:history="1">
        <w:proofErr w:type="gramStart"/>
        <w:r w:rsidR="0022213D" w:rsidRPr="00372379">
          <w:rPr>
            <w:color w:val="000000" w:themeColor="text1"/>
          </w:rPr>
          <w:t>doi:</w:t>
        </w:r>
        <w:proofErr w:type="gramEnd"/>
        <w:r w:rsidRPr="00372379">
          <w:rPr>
            <w:color w:val="000000" w:themeColor="text1"/>
          </w:rPr>
          <w:t>10.1007/s10964-017-0684-6</w:t>
        </w:r>
      </w:hyperlink>
    </w:p>
    <w:p w14:paraId="6C8CABB9" w14:textId="77777777" w:rsidR="00C50D44" w:rsidRPr="00C50D44" w:rsidRDefault="00C50D44" w:rsidP="00C50D44">
      <w:pPr>
        <w:widowControl w:val="0"/>
        <w:autoSpaceDE w:val="0"/>
        <w:autoSpaceDN w:val="0"/>
        <w:adjustRightInd w:val="0"/>
        <w:spacing w:line="480" w:lineRule="auto"/>
        <w:ind w:left="720" w:hanging="720"/>
      </w:pPr>
      <w:proofErr w:type="spellStart"/>
      <w:r w:rsidRPr="00C50D44">
        <w:t>Mulvey</w:t>
      </w:r>
      <w:proofErr w:type="spellEnd"/>
      <w:r w:rsidRPr="00C50D44">
        <w:t xml:space="preserve">, K. L., </w:t>
      </w:r>
      <w:proofErr w:type="spellStart"/>
      <w:r w:rsidRPr="00C50D44">
        <w:t>Hitti</w:t>
      </w:r>
      <w:proofErr w:type="spellEnd"/>
      <w:r w:rsidRPr="00C50D44">
        <w:t xml:space="preserve">, A., Rutland, A., Abrams, D., &amp; Killen, M. (2014). Context differences in children’s </w:t>
      </w:r>
      <w:proofErr w:type="spellStart"/>
      <w:r w:rsidRPr="00C50D44">
        <w:t>ingroup</w:t>
      </w:r>
      <w:proofErr w:type="spellEnd"/>
      <w:r w:rsidRPr="00C50D44">
        <w:t xml:space="preserve"> preferences.</w:t>
      </w:r>
      <w:r w:rsidRPr="00C50D44">
        <w:rPr>
          <w:i/>
          <w:iCs/>
        </w:rPr>
        <w:t xml:space="preserve"> Developmental Psychology, 50</w:t>
      </w:r>
      <w:r w:rsidRPr="00C50D44">
        <w:t xml:space="preserve">(5), 1507-1519. </w:t>
      </w:r>
      <w:proofErr w:type="gramStart"/>
      <w:r w:rsidRPr="00C50D44">
        <w:t>doi:</w:t>
      </w:r>
      <w:proofErr w:type="gramEnd"/>
      <w:r w:rsidRPr="00C50D44">
        <w:t>10.1037/a0035593</w:t>
      </w:r>
    </w:p>
    <w:p w14:paraId="6BA4B9C3" w14:textId="6F26A626" w:rsidR="00C50D44" w:rsidRPr="00C50D44" w:rsidRDefault="00C50D44" w:rsidP="00C50D44">
      <w:pPr>
        <w:widowControl w:val="0"/>
        <w:autoSpaceDE w:val="0"/>
        <w:autoSpaceDN w:val="0"/>
        <w:adjustRightInd w:val="0"/>
        <w:spacing w:line="480" w:lineRule="auto"/>
        <w:ind w:left="720" w:hanging="720"/>
      </w:pPr>
      <w:proofErr w:type="spellStart"/>
      <w:r w:rsidRPr="00C50D44">
        <w:t>Nasie</w:t>
      </w:r>
      <w:proofErr w:type="spellEnd"/>
      <w:r w:rsidRPr="00C50D44">
        <w:t xml:space="preserve">, M., Diamond, A. H, &amp; Bar-Tal, D. (2015). Young children in intractable conflicts: The Israeli case. </w:t>
      </w:r>
      <w:r w:rsidRPr="00C50D44">
        <w:rPr>
          <w:i/>
        </w:rPr>
        <w:t>Personality and Social Psychology Review</w:t>
      </w:r>
      <w:r w:rsidRPr="00C50D44">
        <w:t xml:space="preserve">, 1-28. </w:t>
      </w:r>
      <w:proofErr w:type="gramStart"/>
      <w:r w:rsidRPr="00C50D44">
        <w:t>doi:</w:t>
      </w:r>
      <w:proofErr w:type="gramEnd"/>
      <w:r w:rsidRPr="00C50D44">
        <w:t>10.1177/1088868315607800</w:t>
      </w:r>
    </w:p>
    <w:p w14:paraId="29775ADD" w14:textId="77777777" w:rsidR="00C50D44" w:rsidRDefault="00C50D44" w:rsidP="00C50D44">
      <w:pPr>
        <w:autoSpaceDE w:val="0"/>
        <w:autoSpaceDN w:val="0"/>
        <w:adjustRightInd w:val="0"/>
        <w:spacing w:line="480" w:lineRule="auto"/>
        <w:ind w:left="720" w:hanging="720"/>
      </w:pPr>
      <w:proofErr w:type="spellStart"/>
      <w:r w:rsidRPr="00C50D44">
        <w:t>Nesdale</w:t>
      </w:r>
      <w:proofErr w:type="spellEnd"/>
      <w:r w:rsidRPr="00C50D44">
        <w:t xml:space="preserve">, D. (2004). Social identity processes and children’s ethnic prejudice. In M. Bennett &amp; F. Sani (Eds.), </w:t>
      </w:r>
      <w:proofErr w:type="gramStart"/>
      <w:r w:rsidRPr="00C50D44">
        <w:rPr>
          <w:i/>
        </w:rPr>
        <w:t>The</w:t>
      </w:r>
      <w:proofErr w:type="gramEnd"/>
      <w:r w:rsidRPr="00C50D44">
        <w:rPr>
          <w:i/>
        </w:rPr>
        <w:t xml:space="preserve"> Development of the Social Self, </w:t>
      </w:r>
      <w:r w:rsidRPr="00C50D44">
        <w:t xml:space="preserve">(pp. 219 – 246). London: Psychology </w:t>
      </w:r>
      <w:r w:rsidRPr="00372379">
        <w:t>Press.</w:t>
      </w:r>
    </w:p>
    <w:p w14:paraId="49BEEFE5" w14:textId="4F9353D5" w:rsidR="00425012" w:rsidRPr="00372379" w:rsidRDefault="00372379" w:rsidP="00372379">
      <w:pPr>
        <w:autoSpaceDE w:val="0"/>
        <w:autoSpaceDN w:val="0"/>
        <w:adjustRightInd w:val="0"/>
        <w:spacing w:line="480" w:lineRule="auto"/>
        <w:ind w:left="720" w:hanging="720"/>
      </w:pPr>
      <w:r>
        <w:t xml:space="preserve">Northern Ireland Statistics and Research Agency Census 2011: Key Statistics for Northern Ireland. </w:t>
      </w:r>
    </w:p>
    <w:p w14:paraId="5CDAC0F1" w14:textId="5C2F5E2E" w:rsidR="004C5FC6" w:rsidRPr="00EB2915" w:rsidRDefault="00825FFF" w:rsidP="00EB2915">
      <w:pPr>
        <w:spacing w:line="480" w:lineRule="auto"/>
        <w:ind w:left="720" w:hanging="720"/>
        <w:rPr>
          <w:rFonts w:eastAsiaTheme="minorHAnsi"/>
          <w:lang w:eastAsia="en-US"/>
        </w:rPr>
      </w:pPr>
      <w:proofErr w:type="spellStart"/>
      <w:r w:rsidRPr="00825FFF">
        <w:t>Paolini</w:t>
      </w:r>
      <w:proofErr w:type="spellEnd"/>
      <w:r w:rsidRPr="00825FFF">
        <w:t xml:space="preserve">, S., Harwood, J., &amp; Rubin, M. (2010). </w:t>
      </w:r>
      <w:r w:rsidRPr="00825FFF">
        <w:rPr>
          <w:rFonts w:eastAsiaTheme="minorHAnsi"/>
          <w:bCs/>
          <w:lang w:eastAsia="en-US"/>
        </w:rPr>
        <w:t xml:space="preserve">Negative intergroup contact makes group memberships salient: Explaining why intergroup conflict endures. </w:t>
      </w:r>
      <w:r w:rsidRPr="00825FFF">
        <w:rPr>
          <w:rFonts w:eastAsiaTheme="minorHAnsi"/>
          <w:bCs/>
          <w:i/>
          <w:lang w:eastAsia="en-US"/>
        </w:rPr>
        <w:t>Personality and Social Psychology Bulletin, 36</w:t>
      </w:r>
      <w:r w:rsidRPr="00825FFF">
        <w:rPr>
          <w:rFonts w:eastAsiaTheme="minorHAnsi"/>
          <w:bCs/>
          <w:lang w:eastAsia="en-US"/>
        </w:rPr>
        <w:t>(12), 1723-1738.doi</w:t>
      </w:r>
      <w:r w:rsidRPr="00825FFF">
        <w:rPr>
          <w:rFonts w:eastAsiaTheme="minorHAnsi"/>
          <w:lang w:eastAsia="en-US"/>
        </w:rPr>
        <w:t>: 10.1177/0146167210388667</w:t>
      </w:r>
    </w:p>
    <w:p w14:paraId="62E58ED9" w14:textId="5EC1F825" w:rsidR="00C50D44" w:rsidRDefault="00C50D44" w:rsidP="00C50D44">
      <w:pPr>
        <w:spacing w:line="480" w:lineRule="auto"/>
        <w:ind w:left="720" w:hanging="720"/>
      </w:pPr>
      <w:r w:rsidRPr="00C50D44">
        <w:t xml:space="preserve">Pettigrew, T. F., &amp; </w:t>
      </w:r>
      <w:proofErr w:type="spellStart"/>
      <w:r w:rsidRPr="00C50D44">
        <w:t>Tropp</w:t>
      </w:r>
      <w:proofErr w:type="spellEnd"/>
      <w:r w:rsidRPr="00C50D44">
        <w:t>, L. R. (2006). A meta-analytic test of intergroup contact theory.</w:t>
      </w:r>
      <w:r w:rsidRPr="00C50D44">
        <w:rPr>
          <w:i/>
          <w:iCs/>
        </w:rPr>
        <w:t xml:space="preserve"> Journal of Personality and Social Psychology, 90</w:t>
      </w:r>
      <w:r w:rsidRPr="00C50D44">
        <w:t>(5), 751-783. doi:10.1037/0022-3514.90.5.751</w:t>
      </w:r>
    </w:p>
    <w:p w14:paraId="52598419" w14:textId="310EAA12" w:rsidR="007021E2" w:rsidRPr="00EB2915" w:rsidRDefault="007021E2" w:rsidP="007021E2">
      <w:pPr>
        <w:spacing w:line="480" w:lineRule="auto"/>
        <w:ind w:left="720" w:hanging="720"/>
      </w:pPr>
      <w:r w:rsidRPr="007021E2">
        <w:t xml:space="preserve">Pettigrew, T. F., &amp; </w:t>
      </w:r>
      <w:proofErr w:type="spellStart"/>
      <w:r w:rsidRPr="007021E2">
        <w:t>Tropp</w:t>
      </w:r>
      <w:proofErr w:type="spellEnd"/>
      <w:r w:rsidRPr="007021E2">
        <w:t>, L. R. (2008). How does intergroup contact reduce prejudice? Meta-analytic tests of three mediators. </w:t>
      </w:r>
      <w:r w:rsidRPr="007021E2">
        <w:rPr>
          <w:i/>
          <w:iCs/>
        </w:rPr>
        <w:t>European Journal of Social Psychology, 38</w:t>
      </w:r>
      <w:r w:rsidRPr="007021E2">
        <w:t>(6), 922–934. </w:t>
      </w:r>
      <w:hyperlink r:id="rId10" w:tgtFrame="_blank" w:history="1">
        <w:r w:rsidRPr="00EB2915">
          <w:rPr>
            <w:rStyle w:val="Hyperlink"/>
            <w:color w:val="auto"/>
            <w:u w:val="none"/>
          </w:rPr>
          <w:t>doi:10.1002/ejsp.504</w:t>
        </w:r>
      </w:hyperlink>
    </w:p>
    <w:p w14:paraId="03FB87E4" w14:textId="77777777" w:rsidR="002A3A38" w:rsidRDefault="00C50D44" w:rsidP="002A3A38">
      <w:pPr>
        <w:spacing w:line="480" w:lineRule="auto"/>
        <w:ind w:left="720" w:hanging="720"/>
      </w:pPr>
      <w:proofErr w:type="spellStart"/>
      <w:r w:rsidRPr="00C50D44">
        <w:lastRenderedPageBreak/>
        <w:t>Raabe</w:t>
      </w:r>
      <w:proofErr w:type="spellEnd"/>
      <w:r w:rsidRPr="00C50D44">
        <w:t xml:space="preserve">, T., &amp; </w:t>
      </w:r>
      <w:proofErr w:type="spellStart"/>
      <w:r w:rsidRPr="00C50D44">
        <w:t>Beelmann</w:t>
      </w:r>
      <w:proofErr w:type="spellEnd"/>
      <w:r w:rsidRPr="00C50D44">
        <w:t>, A. (2011). Development of ethnic, racial, and national prejudice in childhood and adolescence: A multinational meta</w:t>
      </w:r>
      <w:r w:rsidRPr="00C50D44">
        <w:rPr>
          <w:rFonts w:ascii="Cambria Math" w:hAnsi="Cambria Math" w:cs="Cambria Math"/>
        </w:rPr>
        <w:t>‐</w:t>
      </w:r>
      <w:r w:rsidRPr="00C50D44">
        <w:t>analysis of age differences.</w:t>
      </w:r>
      <w:r w:rsidRPr="00C50D44">
        <w:rPr>
          <w:i/>
          <w:iCs/>
        </w:rPr>
        <w:t xml:space="preserve"> Child Development, 82</w:t>
      </w:r>
      <w:r w:rsidRPr="00C50D44">
        <w:t>(6), 1715-1737. doi:1</w:t>
      </w:r>
      <w:r w:rsidR="002A3A38">
        <w:t>0.1111/j.1467-8624.2011.01668.x</w:t>
      </w:r>
    </w:p>
    <w:p w14:paraId="7B3DCF00" w14:textId="203D02D3" w:rsidR="002A3A38" w:rsidRDefault="002A3A38" w:rsidP="00EB2915">
      <w:pPr>
        <w:spacing w:line="480" w:lineRule="auto"/>
        <w:ind w:left="720" w:hanging="720"/>
      </w:pPr>
      <w:r>
        <w:rPr>
          <w:color w:val="000000" w:themeColor="text1"/>
        </w:rPr>
        <w:t xml:space="preserve">Save the Children (2019). </w:t>
      </w:r>
      <w:r w:rsidRPr="00384868">
        <w:rPr>
          <w:color w:val="000000" w:themeColor="text1"/>
        </w:rPr>
        <w:t>Stop the war on children- Protecting children in 21</w:t>
      </w:r>
      <w:r w:rsidRPr="00384868">
        <w:rPr>
          <w:color w:val="000000" w:themeColor="text1"/>
          <w:vertAlign w:val="superscript"/>
        </w:rPr>
        <w:t>st</w:t>
      </w:r>
      <w:r w:rsidRPr="00384868">
        <w:rPr>
          <w:color w:val="000000" w:themeColor="text1"/>
        </w:rPr>
        <w:t xml:space="preserve"> century conf</w:t>
      </w:r>
      <w:r>
        <w:rPr>
          <w:color w:val="000000" w:themeColor="text1"/>
        </w:rPr>
        <w:t>lict; Save the Children Report. Retrieved from</w:t>
      </w:r>
      <w:r w:rsidRPr="00384868">
        <w:rPr>
          <w:color w:val="000000" w:themeColor="text1"/>
        </w:rPr>
        <w:t xml:space="preserve"> https://www.savethechildren.org.uk/content/dam/gb/reports/stop_the_war_on_children_report_2019.pdf</w:t>
      </w:r>
    </w:p>
    <w:p w14:paraId="4C822FCC" w14:textId="23C758E9" w:rsidR="00C50D44" w:rsidRPr="00C50D44" w:rsidRDefault="00C50D44" w:rsidP="00C50D44">
      <w:pPr>
        <w:spacing w:line="480" w:lineRule="auto"/>
        <w:ind w:left="360" w:right="-720" w:hanging="360"/>
      </w:pPr>
      <w:proofErr w:type="spellStart"/>
      <w:r w:rsidRPr="00C50D44">
        <w:t>Schiefer</w:t>
      </w:r>
      <w:proofErr w:type="spellEnd"/>
      <w:r w:rsidRPr="00C50D44">
        <w:t xml:space="preserve">, D., </w:t>
      </w:r>
      <w:proofErr w:type="spellStart"/>
      <w:r w:rsidRPr="00C50D44">
        <w:t>Möllering</w:t>
      </w:r>
      <w:proofErr w:type="spellEnd"/>
      <w:r w:rsidRPr="00C50D44">
        <w:t xml:space="preserve">, A., Daniel, E., </w:t>
      </w:r>
      <w:proofErr w:type="spellStart"/>
      <w:r w:rsidRPr="00C50D44">
        <w:t>Benish</w:t>
      </w:r>
      <w:proofErr w:type="spellEnd"/>
      <w:r w:rsidRPr="00C50D44">
        <w:t xml:space="preserve">-Weisman, M., &amp; </w:t>
      </w:r>
      <w:proofErr w:type="spellStart"/>
      <w:r w:rsidRPr="00C50D44">
        <w:t>Boehnke</w:t>
      </w:r>
      <w:proofErr w:type="spellEnd"/>
      <w:r w:rsidRPr="00C50D44">
        <w:t>, K. (2010). Cultural values and outgroup negativity: A cross-cultural analysis of early and late adolescents.</w:t>
      </w:r>
      <w:r w:rsidRPr="00C50D44">
        <w:rPr>
          <w:i/>
          <w:iCs/>
        </w:rPr>
        <w:t xml:space="preserve"> European Journal of Social Psychology, 40</w:t>
      </w:r>
      <w:r w:rsidRPr="00C50D44">
        <w:t xml:space="preserve">(4), 635-651. </w:t>
      </w:r>
      <w:r w:rsidR="0022213D">
        <w:t>doi:</w:t>
      </w:r>
      <w:r w:rsidR="0022213D" w:rsidRPr="0022213D">
        <w:t>10.1002/ejsp.745</w:t>
      </w:r>
    </w:p>
    <w:p w14:paraId="3970846B" w14:textId="389408E1" w:rsidR="00C50D44" w:rsidRPr="00C50D44" w:rsidRDefault="00C50D44" w:rsidP="00C50D44">
      <w:pPr>
        <w:spacing w:line="480" w:lineRule="auto"/>
        <w:ind w:left="720" w:hanging="720"/>
      </w:pPr>
      <w:r w:rsidRPr="00C50D44">
        <w:t xml:space="preserve">Shirlow, P. &amp; </w:t>
      </w:r>
      <w:proofErr w:type="spellStart"/>
      <w:r w:rsidRPr="00C50D44">
        <w:t>Murtagh</w:t>
      </w:r>
      <w:proofErr w:type="spellEnd"/>
      <w:r w:rsidRPr="00C50D44">
        <w:t xml:space="preserve">, B. (2006). </w:t>
      </w:r>
      <w:r w:rsidRPr="00C50D44">
        <w:rPr>
          <w:i/>
        </w:rPr>
        <w:t xml:space="preserve">Belfast: Segregation, </w:t>
      </w:r>
      <w:r w:rsidR="0022213D">
        <w:rPr>
          <w:i/>
        </w:rPr>
        <w:t>v</w:t>
      </w:r>
      <w:r w:rsidRPr="00C50D44">
        <w:rPr>
          <w:i/>
        </w:rPr>
        <w:t xml:space="preserve">iolence and the </w:t>
      </w:r>
      <w:r w:rsidR="0022213D">
        <w:rPr>
          <w:i/>
        </w:rPr>
        <w:t>c</w:t>
      </w:r>
      <w:r w:rsidRPr="00C50D44">
        <w:rPr>
          <w:i/>
        </w:rPr>
        <w:t>ity</w:t>
      </w:r>
      <w:r w:rsidRPr="00C50D44">
        <w:t>. London: Pluto Press.</w:t>
      </w:r>
    </w:p>
    <w:p w14:paraId="56132F7F" w14:textId="3912107A" w:rsidR="006A7CEF" w:rsidRDefault="006A7CEF" w:rsidP="00C50D44">
      <w:pPr>
        <w:spacing w:line="480" w:lineRule="auto"/>
        <w:ind w:left="720" w:hanging="720"/>
      </w:pPr>
      <w:r w:rsidRPr="00DF7AC2">
        <w:rPr>
          <w:color w:val="000000"/>
        </w:rPr>
        <w:t xml:space="preserve">Schulz, M. &amp; </w:t>
      </w:r>
      <w:r w:rsidRPr="006A7CEF">
        <w:rPr>
          <w:color w:val="000000"/>
        </w:rPr>
        <w:t>Taylor, L.K</w:t>
      </w:r>
      <w:r w:rsidRPr="00DF7AC2">
        <w:rPr>
          <w:color w:val="000000"/>
        </w:rPr>
        <w:t>. (2018).</w:t>
      </w:r>
      <w:r w:rsidRPr="00DF7AC2">
        <w:t xml:space="preserve"> </w:t>
      </w:r>
      <w:r w:rsidRPr="00DF7AC2">
        <w:rPr>
          <w:rFonts w:eastAsia="Tahoma"/>
          <w:color w:val="000000"/>
        </w:rPr>
        <w:t>The processes underlying the quality contact with the primary out-group and in-group importance on support for the Syrian resettlement in a post-accord context</w:t>
      </w:r>
      <w:r w:rsidRPr="00DF7AC2">
        <w:rPr>
          <w:color w:val="000000"/>
        </w:rPr>
        <w:t xml:space="preserve">. </w:t>
      </w:r>
      <w:r w:rsidRPr="00DF7AC2">
        <w:rPr>
          <w:i/>
          <w:lang w:val="en-GB"/>
        </w:rPr>
        <w:t>Peace and Conflict: Journal of Peace Psychology</w:t>
      </w:r>
      <w:r w:rsidRPr="00DF7AC2">
        <w:rPr>
          <w:color w:val="000000"/>
        </w:rPr>
        <w:t xml:space="preserve">, </w:t>
      </w:r>
      <w:r w:rsidRPr="00DF7AC2">
        <w:rPr>
          <w:rStyle w:val="Emphasis"/>
        </w:rPr>
        <w:t>24</w:t>
      </w:r>
      <w:r w:rsidRPr="00DF7AC2">
        <w:t>(3), 306-314.</w:t>
      </w:r>
    </w:p>
    <w:p w14:paraId="6D2C6211" w14:textId="69C61969" w:rsidR="003D6772" w:rsidRDefault="003D6772" w:rsidP="00C50D44">
      <w:pPr>
        <w:spacing w:line="480" w:lineRule="auto"/>
        <w:ind w:left="720" w:hanging="720"/>
      </w:pPr>
      <w:r>
        <w:t>Smith, D.</w:t>
      </w:r>
      <w:r w:rsidR="009B5785">
        <w:t xml:space="preserve"> J</w:t>
      </w:r>
      <w:r>
        <w:t>, &amp; Chambers,</w:t>
      </w:r>
      <w:r w:rsidR="009B5785">
        <w:t xml:space="preserve"> G. A.</w:t>
      </w:r>
      <w:r>
        <w:t xml:space="preserve"> (1991). </w:t>
      </w:r>
      <w:r>
        <w:rPr>
          <w:i/>
          <w:iCs/>
        </w:rPr>
        <w:t>Inequality in Northern Ireland</w:t>
      </w:r>
      <w:r>
        <w:t>. Oxford: Clarendon Press.</w:t>
      </w:r>
    </w:p>
    <w:p w14:paraId="2C94D883" w14:textId="77777777" w:rsidR="00C50D44" w:rsidRPr="00C50D44" w:rsidRDefault="00C50D44" w:rsidP="00C50D44">
      <w:pPr>
        <w:spacing w:line="480" w:lineRule="auto"/>
        <w:ind w:left="720" w:hanging="720"/>
      </w:pPr>
      <w:r w:rsidRPr="00C50D44">
        <w:t>Stephan, W. G. (2014). Intergroup anxiety: Theory, research, and practice.</w:t>
      </w:r>
      <w:r w:rsidRPr="00C50D44">
        <w:rPr>
          <w:i/>
          <w:iCs/>
        </w:rPr>
        <w:t xml:space="preserve"> Personality and Social Psychology Review, 18</w:t>
      </w:r>
      <w:r w:rsidRPr="00C50D44">
        <w:t xml:space="preserve">(3), 239-255. </w:t>
      </w:r>
      <w:proofErr w:type="gramStart"/>
      <w:r w:rsidRPr="00C50D44">
        <w:t>doi:</w:t>
      </w:r>
      <w:proofErr w:type="gramEnd"/>
      <w:r w:rsidRPr="00C50D44">
        <w:t>10.1177/1088868314530518</w:t>
      </w:r>
    </w:p>
    <w:p w14:paraId="6542D2AF" w14:textId="142BA3A1" w:rsidR="00C50D44" w:rsidRPr="00C50D44" w:rsidRDefault="00C50D44" w:rsidP="00C50D44">
      <w:pPr>
        <w:spacing w:line="480" w:lineRule="auto"/>
        <w:ind w:left="720" w:hanging="720"/>
      </w:pPr>
      <w:r w:rsidRPr="00C50D44">
        <w:t xml:space="preserve">Stringer, M., </w:t>
      </w:r>
      <w:proofErr w:type="spellStart"/>
      <w:r w:rsidRPr="00C50D44">
        <w:t>Irwing</w:t>
      </w:r>
      <w:proofErr w:type="spellEnd"/>
      <w:r w:rsidRPr="00C50D44">
        <w:t xml:space="preserve">, P., Giles, M., </w:t>
      </w:r>
      <w:proofErr w:type="spellStart"/>
      <w:r w:rsidRPr="00C50D44">
        <w:t>McClenahan</w:t>
      </w:r>
      <w:proofErr w:type="spellEnd"/>
      <w:r w:rsidRPr="00C50D44">
        <w:t xml:space="preserve">, C., Wilson, R., &amp; Hunter, J. A. (2009). Intergroup contact, friendship quality and political attitudes in integrated and segregated schools in </w:t>
      </w:r>
      <w:r w:rsidR="0022213D">
        <w:t>N</w:t>
      </w:r>
      <w:r w:rsidRPr="00C50D44">
        <w:t xml:space="preserve">orthern </w:t>
      </w:r>
      <w:r w:rsidR="0022213D">
        <w:t>I</w:t>
      </w:r>
      <w:r w:rsidRPr="00C50D44">
        <w:t>reland.</w:t>
      </w:r>
      <w:r w:rsidRPr="00C50D44">
        <w:rPr>
          <w:i/>
          <w:iCs/>
        </w:rPr>
        <w:t xml:space="preserve"> British Journal of Educational Psychology, 79</w:t>
      </w:r>
      <w:r w:rsidRPr="00C50D44">
        <w:t xml:space="preserve">(2), 239-257. </w:t>
      </w:r>
      <w:proofErr w:type="gramStart"/>
      <w:r w:rsidRPr="00C50D44">
        <w:t>doi:</w:t>
      </w:r>
      <w:proofErr w:type="gramEnd"/>
      <w:r w:rsidRPr="00C50D44">
        <w:t>10.1348/978185408X368878</w:t>
      </w:r>
    </w:p>
    <w:p w14:paraId="4F996D26" w14:textId="69310BDC" w:rsidR="00C50D44" w:rsidRPr="00C50D44" w:rsidRDefault="00C50D44" w:rsidP="00C50D44">
      <w:pPr>
        <w:spacing w:line="480" w:lineRule="auto"/>
        <w:ind w:left="720" w:hanging="720"/>
      </w:pPr>
      <w:r w:rsidRPr="00C50D44">
        <w:lastRenderedPageBreak/>
        <w:t xml:space="preserve">Tan, X., </w:t>
      </w:r>
      <w:proofErr w:type="spellStart"/>
      <w:r w:rsidRPr="00C50D44">
        <w:t>Shiyko</w:t>
      </w:r>
      <w:proofErr w:type="spellEnd"/>
      <w:r w:rsidRPr="00C50D44">
        <w:t xml:space="preserve">, M. P., Li, R., Li, Y., &amp; </w:t>
      </w:r>
      <w:proofErr w:type="spellStart"/>
      <w:r w:rsidRPr="00C50D44">
        <w:t>Dierker</w:t>
      </w:r>
      <w:proofErr w:type="spellEnd"/>
      <w:r w:rsidRPr="00C50D44">
        <w:t>, L. (2012). A time-varying effect model for intensive longitudinal data.</w:t>
      </w:r>
      <w:r w:rsidRPr="00C50D44">
        <w:rPr>
          <w:i/>
          <w:iCs/>
        </w:rPr>
        <w:t xml:space="preserve"> Psychological Methods, 17</w:t>
      </w:r>
      <w:r w:rsidRPr="00C50D44">
        <w:t xml:space="preserve">(1), 61-77. </w:t>
      </w:r>
      <w:proofErr w:type="gramStart"/>
      <w:r w:rsidRPr="00C50D44">
        <w:t>doi:</w:t>
      </w:r>
      <w:proofErr w:type="gramEnd"/>
      <w:r w:rsidRPr="00C50D44">
        <w:t>10.1037/a0025814</w:t>
      </w:r>
    </w:p>
    <w:p w14:paraId="37FFEEC9" w14:textId="77777777" w:rsidR="00396EBE" w:rsidRDefault="00C50D44" w:rsidP="00396EBE">
      <w:pPr>
        <w:spacing w:line="480" w:lineRule="auto"/>
        <w:ind w:left="720" w:hanging="720"/>
      </w:pPr>
      <w:proofErr w:type="spellStart"/>
      <w:r w:rsidRPr="00C50D44">
        <w:t>Tausch</w:t>
      </w:r>
      <w:proofErr w:type="spellEnd"/>
      <w:r w:rsidRPr="00C50D44">
        <w:t xml:space="preserve">, N., Tam, T., </w:t>
      </w:r>
      <w:proofErr w:type="spellStart"/>
      <w:r w:rsidRPr="00C50D44">
        <w:t>Hewstone</w:t>
      </w:r>
      <w:proofErr w:type="spellEnd"/>
      <w:r w:rsidRPr="00C50D44">
        <w:t xml:space="preserve">, M., </w:t>
      </w:r>
      <w:proofErr w:type="spellStart"/>
      <w:r w:rsidRPr="00C50D44">
        <w:t>Kenworthy</w:t>
      </w:r>
      <w:proofErr w:type="spellEnd"/>
      <w:r w:rsidRPr="00C50D44">
        <w:t>, J., &amp; Cairns, E. (2007). Individual-level and group-level mediators of contact effects in Northern Ireland: The moderating role of social identification.</w:t>
      </w:r>
      <w:r w:rsidRPr="00C50D44">
        <w:rPr>
          <w:i/>
          <w:iCs/>
        </w:rPr>
        <w:t xml:space="preserve"> British Journal of Social Psychology, 46</w:t>
      </w:r>
      <w:r w:rsidRPr="00C50D44">
        <w:t xml:space="preserve">(3), 541-556. </w:t>
      </w:r>
      <w:proofErr w:type="gramStart"/>
      <w:r w:rsidRPr="00C50D44">
        <w:t>doi:</w:t>
      </w:r>
      <w:proofErr w:type="gramEnd"/>
      <w:r w:rsidRPr="00C50D44">
        <w:t>10.1348/014466606X155150</w:t>
      </w:r>
    </w:p>
    <w:p w14:paraId="0CD20066" w14:textId="5FA212A5" w:rsidR="00396EBE" w:rsidRPr="00396EBE" w:rsidRDefault="00396EBE" w:rsidP="00396EBE">
      <w:pPr>
        <w:spacing w:line="480" w:lineRule="auto"/>
        <w:ind w:left="720" w:hanging="720"/>
      </w:pPr>
      <w:r w:rsidRPr="00396EBE">
        <w:t>Taylor, L.K.,</w:t>
      </w:r>
      <w:r w:rsidRPr="00DF7AC2">
        <w:t xml:space="preserve"> </w:t>
      </w:r>
      <w:proofErr w:type="spellStart"/>
      <w:r w:rsidRPr="00DF7AC2">
        <w:t>Dautel</w:t>
      </w:r>
      <w:proofErr w:type="spellEnd"/>
      <w:r w:rsidRPr="00DF7AC2">
        <w:t>, J., &amp; Rylander, R. (2020). Symbols and labels: Children’s awareness of social categories in a divided society.</w:t>
      </w:r>
      <w:r w:rsidRPr="00DF7AC2">
        <w:rPr>
          <w:b/>
        </w:rPr>
        <w:t xml:space="preserve"> </w:t>
      </w:r>
      <w:r w:rsidRPr="00DF7AC2">
        <w:rPr>
          <w:i/>
          <w:color w:val="000000"/>
        </w:rPr>
        <w:t>Journal of Community Psychology.</w:t>
      </w:r>
    </w:p>
    <w:p w14:paraId="0DF4FFA4" w14:textId="5AA93A76" w:rsidR="006A7CEF" w:rsidRPr="00DF7AC2" w:rsidRDefault="006A7CEF" w:rsidP="006A7CEF">
      <w:pPr>
        <w:spacing w:line="480" w:lineRule="auto"/>
        <w:ind w:left="720" w:hanging="720"/>
      </w:pPr>
      <w:r w:rsidRPr="006A7CEF">
        <w:rPr>
          <w:color w:val="000000"/>
        </w:rPr>
        <w:t>Taylor, L.K.,</w:t>
      </w:r>
      <w:r w:rsidRPr="00DF7AC2">
        <w:rPr>
          <w:color w:val="000000"/>
        </w:rPr>
        <w:t xml:space="preserve"> </w:t>
      </w:r>
      <w:proofErr w:type="spellStart"/>
      <w:r w:rsidRPr="00DF7AC2">
        <w:rPr>
          <w:color w:val="000000"/>
        </w:rPr>
        <w:t>Merrilees</w:t>
      </w:r>
      <w:proofErr w:type="spellEnd"/>
      <w:r w:rsidRPr="00DF7AC2">
        <w:rPr>
          <w:color w:val="000000"/>
        </w:rPr>
        <w:t xml:space="preserve">, C.E., </w:t>
      </w:r>
      <w:proofErr w:type="spellStart"/>
      <w:r w:rsidRPr="00DF7AC2">
        <w:rPr>
          <w:color w:val="000000"/>
        </w:rPr>
        <w:t>Goeke</w:t>
      </w:r>
      <w:proofErr w:type="spellEnd"/>
      <w:r w:rsidRPr="00DF7AC2">
        <w:rPr>
          <w:color w:val="000000"/>
        </w:rPr>
        <w:t xml:space="preserve">-Morey, M.C., Shirlow, P., &amp; Cummings, E.M. (2016). </w:t>
      </w:r>
      <w:r w:rsidRPr="00DF7AC2">
        <w:t>Trajectories of adolescent aggression and family cohesion: The potential to perpetuate or ameliorate political conflict</w:t>
      </w:r>
      <w:r w:rsidRPr="00DF7AC2">
        <w:rPr>
          <w:color w:val="000000"/>
        </w:rPr>
        <w:t xml:space="preserve">. </w:t>
      </w:r>
      <w:r w:rsidRPr="00DF7AC2">
        <w:rPr>
          <w:i/>
          <w:color w:val="000000"/>
        </w:rPr>
        <w:t xml:space="preserve">Journal of Clinical Child and Adolescent Psychology, </w:t>
      </w:r>
      <w:r w:rsidRPr="00DF7AC2">
        <w:rPr>
          <w:i/>
          <w:color w:val="000000"/>
          <w:shd w:val="clear" w:color="auto" w:fill="FFFFFF"/>
        </w:rPr>
        <w:t>45</w:t>
      </w:r>
      <w:r w:rsidRPr="00DF7AC2">
        <w:rPr>
          <w:color w:val="000000"/>
          <w:shd w:val="clear" w:color="auto" w:fill="FFFFFF"/>
        </w:rPr>
        <w:t>(2), 114-28.</w:t>
      </w:r>
    </w:p>
    <w:p w14:paraId="490F0424" w14:textId="19A0F5DA" w:rsidR="00C50D44" w:rsidRPr="00C50D44" w:rsidRDefault="00C50D44" w:rsidP="00C50D44">
      <w:pPr>
        <w:spacing w:line="480" w:lineRule="auto"/>
        <w:ind w:left="720" w:hanging="720"/>
      </w:pPr>
      <w:proofErr w:type="spellStart"/>
      <w:r w:rsidRPr="00C50D44">
        <w:t>Titzmann</w:t>
      </w:r>
      <w:proofErr w:type="spellEnd"/>
      <w:r w:rsidRPr="00C50D44">
        <w:t xml:space="preserve">, P. F., </w:t>
      </w:r>
      <w:proofErr w:type="spellStart"/>
      <w:r w:rsidRPr="00C50D44">
        <w:t>Brenick</w:t>
      </w:r>
      <w:proofErr w:type="spellEnd"/>
      <w:r w:rsidRPr="00C50D44">
        <w:t xml:space="preserve">, A., &amp; </w:t>
      </w:r>
      <w:proofErr w:type="spellStart"/>
      <w:r w:rsidRPr="00C50D44">
        <w:t>Silbereisen</w:t>
      </w:r>
      <w:proofErr w:type="spellEnd"/>
      <w:r w:rsidRPr="00C50D44">
        <w:t>, R. K. (2015). Friendships fighting prejudice: A longitudinal perspective on adolescents' cross-group friendships with immigrants.</w:t>
      </w:r>
      <w:r w:rsidRPr="00C50D44">
        <w:rPr>
          <w:i/>
          <w:iCs/>
        </w:rPr>
        <w:t xml:space="preserve"> Journal of Youth and Adolescence, 44</w:t>
      </w:r>
      <w:r w:rsidRPr="00C50D44">
        <w:t xml:space="preserve">(6), 1318-1331. </w:t>
      </w:r>
      <w:proofErr w:type="gramStart"/>
      <w:r w:rsidRPr="00C50D44">
        <w:t>doi:</w:t>
      </w:r>
      <w:proofErr w:type="gramEnd"/>
      <w:r w:rsidRPr="00C50D44">
        <w:t>10.1007/s10964-015-0256-6</w:t>
      </w:r>
    </w:p>
    <w:p w14:paraId="601EA940" w14:textId="77777777" w:rsidR="00C50D44" w:rsidRPr="00C50D44" w:rsidRDefault="00C50D44" w:rsidP="00C50D44">
      <w:pPr>
        <w:spacing w:line="480" w:lineRule="auto"/>
        <w:ind w:left="720" w:hanging="720"/>
      </w:pPr>
      <w:proofErr w:type="spellStart"/>
      <w:r w:rsidRPr="00C50D44">
        <w:t>Tropp</w:t>
      </w:r>
      <w:proofErr w:type="spellEnd"/>
      <w:r w:rsidRPr="00C50D44">
        <w:t>, L. R., &amp; Pettigrew, T. F. (2005). Relationships between intergroup contact and prejudice among minority and majority status groups.</w:t>
      </w:r>
      <w:r w:rsidRPr="00C50D44">
        <w:rPr>
          <w:i/>
          <w:iCs/>
        </w:rPr>
        <w:t xml:space="preserve"> Psychological Science, 16</w:t>
      </w:r>
      <w:r w:rsidRPr="00C50D44">
        <w:t xml:space="preserve">(12), 951-957. doi:10.1111/j.1467-9280.2005.01643.x  </w:t>
      </w:r>
    </w:p>
    <w:p w14:paraId="134FE3BB" w14:textId="77777777" w:rsidR="00C50D44" w:rsidRPr="00C50D44" w:rsidRDefault="00C50D44" w:rsidP="00C50D44">
      <w:pPr>
        <w:spacing w:line="480" w:lineRule="auto"/>
        <w:ind w:left="720" w:hanging="720"/>
      </w:pPr>
      <w:proofErr w:type="spellStart"/>
      <w:r w:rsidRPr="00C50D44">
        <w:t>Wölfer</w:t>
      </w:r>
      <w:proofErr w:type="spellEnd"/>
      <w:r w:rsidRPr="00C50D44">
        <w:t xml:space="preserve">, R., </w:t>
      </w:r>
      <w:proofErr w:type="spellStart"/>
      <w:r w:rsidRPr="00C50D44">
        <w:t>Schmid</w:t>
      </w:r>
      <w:proofErr w:type="spellEnd"/>
      <w:r w:rsidRPr="00C50D44">
        <w:t xml:space="preserve">, K., </w:t>
      </w:r>
      <w:proofErr w:type="spellStart"/>
      <w:r w:rsidRPr="00C50D44">
        <w:t>Hewstone</w:t>
      </w:r>
      <w:proofErr w:type="spellEnd"/>
      <w:r w:rsidRPr="00C50D44">
        <w:t xml:space="preserve">, M., &amp; van </w:t>
      </w:r>
      <w:proofErr w:type="spellStart"/>
      <w:r w:rsidRPr="00C50D44">
        <w:t>Zalk</w:t>
      </w:r>
      <w:proofErr w:type="spellEnd"/>
      <w:r w:rsidRPr="00C50D44">
        <w:t>, M. (2016). Developmental dynamics of intergroup contact and intergroup attitudes: Long-term effects in adolescence and early adulthood.</w:t>
      </w:r>
      <w:r w:rsidRPr="00C50D44">
        <w:rPr>
          <w:i/>
          <w:iCs/>
        </w:rPr>
        <w:t xml:space="preserve"> Child Development, 87</w:t>
      </w:r>
      <w:r w:rsidRPr="00C50D44">
        <w:t>(5), 1466-1478. doi:10.1111/cdev.12598</w:t>
      </w:r>
    </w:p>
    <w:p w14:paraId="7A1670E9" w14:textId="77777777" w:rsidR="00D653EA" w:rsidRDefault="00D653EA" w:rsidP="00D653EA">
      <w:pPr>
        <w:spacing w:line="480" w:lineRule="auto"/>
        <w:ind w:firstLine="720"/>
      </w:pPr>
    </w:p>
    <w:p w14:paraId="686C3BDE" w14:textId="21AE56F5" w:rsidR="00D41AF8" w:rsidRDefault="00D41AF8">
      <w:r>
        <w:br w:type="page"/>
      </w:r>
    </w:p>
    <w:p w14:paraId="4FAD5132" w14:textId="77777777" w:rsidR="00D41AF8" w:rsidRDefault="00D41AF8">
      <w:pPr>
        <w:sectPr w:rsidR="00D41AF8" w:rsidSect="00A40A0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pPr>
    </w:p>
    <w:tbl>
      <w:tblPr>
        <w:tblStyle w:val="TableGrid"/>
        <w:tblW w:w="13275" w:type="dxa"/>
        <w:tblLook w:val="04A0" w:firstRow="1" w:lastRow="0" w:firstColumn="1" w:lastColumn="0" w:noHBand="0" w:noVBand="1"/>
      </w:tblPr>
      <w:tblGrid>
        <w:gridCol w:w="2335"/>
        <w:gridCol w:w="1094"/>
        <w:gridCol w:w="1094"/>
        <w:gridCol w:w="1094"/>
        <w:gridCol w:w="1094"/>
        <w:gridCol w:w="1094"/>
        <w:gridCol w:w="1094"/>
        <w:gridCol w:w="1094"/>
        <w:gridCol w:w="1094"/>
        <w:gridCol w:w="1094"/>
        <w:gridCol w:w="1094"/>
      </w:tblGrid>
      <w:tr w:rsidR="00B37131" w14:paraId="6E2D143A" w14:textId="77777777" w:rsidTr="00366938">
        <w:trPr>
          <w:trHeight w:val="389"/>
        </w:trPr>
        <w:tc>
          <w:tcPr>
            <w:tcW w:w="13275" w:type="dxa"/>
            <w:gridSpan w:val="11"/>
            <w:tcBorders>
              <w:top w:val="nil"/>
              <w:left w:val="nil"/>
              <w:bottom w:val="nil"/>
              <w:right w:val="nil"/>
            </w:tcBorders>
            <w:vAlign w:val="center"/>
          </w:tcPr>
          <w:p w14:paraId="510955CA" w14:textId="77777777" w:rsidR="00B37131" w:rsidRPr="007D0C94" w:rsidRDefault="00B37131" w:rsidP="00366938">
            <w:pPr>
              <w:rPr>
                <w:b/>
                <w:bCs/>
                <w:sz w:val="22"/>
                <w:szCs w:val="22"/>
              </w:rPr>
            </w:pPr>
            <w:r w:rsidRPr="007D0C94">
              <w:rPr>
                <w:b/>
                <w:bCs/>
                <w:sz w:val="22"/>
                <w:szCs w:val="22"/>
              </w:rPr>
              <w:lastRenderedPageBreak/>
              <w:t>Table 1</w:t>
            </w:r>
          </w:p>
        </w:tc>
      </w:tr>
      <w:tr w:rsidR="00B37131" w14:paraId="5D030BCC" w14:textId="77777777" w:rsidTr="00366938">
        <w:trPr>
          <w:trHeight w:val="389"/>
        </w:trPr>
        <w:tc>
          <w:tcPr>
            <w:tcW w:w="13275" w:type="dxa"/>
            <w:gridSpan w:val="11"/>
            <w:tcBorders>
              <w:top w:val="nil"/>
              <w:left w:val="nil"/>
              <w:bottom w:val="single" w:sz="4" w:space="0" w:color="auto"/>
              <w:right w:val="nil"/>
            </w:tcBorders>
            <w:vAlign w:val="center"/>
          </w:tcPr>
          <w:p w14:paraId="526DE550" w14:textId="77777777" w:rsidR="00B37131" w:rsidRPr="007723B7" w:rsidRDefault="00B37131" w:rsidP="00366938">
            <w:pPr>
              <w:rPr>
                <w:i/>
                <w:iCs/>
                <w:sz w:val="22"/>
                <w:szCs w:val="22"/>
              </w:rPr>
            </w:pPr>
            <w:r w:rsidRPr="007723B7">
              <w:rPr>
                <w:i/>
                <w:iCs/>
                <w:sz w:val="22"/>
                <w:szCs w:val="22"/>
              </w:rPr>
              <w:t>Means, Standard Deviations, and Bivariate Correlations</w:t>
            </w:r>
          </w:p>
        </w:tc>
      </w:tr>
      <w:tr w:rsidR="00B37131" w14:paraId="34ADF122" w14:textId="77777777" w:rsidTr="00366938">
        <w:trPr>
          <w:trHeight w:val="389"/>
        </w:trPr>
        <w:tc>
          <w:tcPr>
            <w:tcW w:w="2335" w:type="dxa"/>
            <w:tcBorders>
              <w:left w:val="nil"/>
              <w:bottom w:val="single" w:sz="4" w:space="0" w:color="auto"/>
              <w:right w:val="nil"/>
            </w:tcBorders>
          </w:tcPr>
          <w:p w14:paraId="58E873DD" w14:textId="77777777" w:rsidR="00B37131" w:rsidRPr="007723B7" w:rsidRDefault="00B37131" w:rsidP="00366938">
            <w:pPr>
              <w:rPr>
                <w:sz w:val="22"/>
                <w:szCs w:val="22"/>
              </w:rPr>
            </w:pPr>
          </w:p>
        </w:tc>
        <w:tc>
          <w:tcPr>
            <w:tcW w:w="1094" w:type="dxa"/>
            <w:tcBorders>
              <w:left w:val="nil"/>
              <w:right w:val="nil"/>
            </w:tcBorders>
            <w:vAlign w:val="center"/>
          </w:tcPr>
          <w:p w14:paraId="68B1CE8F" w14:textId="77777777" w:rsidR="00B37131" w:rsidRPr="007723B7" w:rsidRDefault="00B37131" w:rsidP="00366938">
            <w:pPr>
              <w:jc w:val="center"/>
              <w:rPr>
                <w:sz w:val="22"/>
                <w:szCs w:val="22"/>
              </w:rPr>
            </w:pPr>
            <w:r w:rsidRPr="007723B7">
              <w:rPr>
                <w:sz w:val="22"/>
                <w:szCs w:val="22"/>
              </w:rPr>
              <w:t>1</w:t>
            </w:r>
          </w:p>
        </w:tc>
        <w:tc>
          <w:tcPr>
            <w:tcW w:w="1094" w:type="dxa"/>
            <w:tcBorders>
              <w:left w:val="nil"/>
              <w:right w:val="nil"/>
            </w:tcBorders>
            <w:vAlign w:val="center"/>
          </w:tcPr>
          <w:p w14:paraId="084E25A9" w14:textId="77777777" w:rsidR="00B37131" w:rsidRPr="007723B7" w:rsidRDefault="00B37131" w:rsidP="00366938">
            <w:pPr>
              <w:jc w:val="center"/>
              <w:rPr>
                <w:sz w:val="22"/>
                <w:szCs w:val="22"/>
              </w:rPr>
            </w:pPr>
            <w:r w:rsidRPr="007723B7">
              <w:rPr>
                <w:sz w:val="22"/>
                <w:szCs w:val="22"/>
              </w:rPr>
              <w:t>2</w:t>
            </w:r>
          </w:p>
        </w:tc>
        <w:tc>
          <w:tcPr>
            <w:tcW w:w="1094" w:type="dxa"/>
            <w:tcBorders>
              <w:left w:val="nil"/>
              <w:right w:val="nil"/>
            </w:tcBorders>
            <w:vAlign w:val="center"/>
          </w:tcPr>
          <w:p w14:paraId="3907727A" w14:textId="77777777" w:rsidR="00B37131" w:rsidRPr="007723B7" w:rsidRDefault="00B37131" w:rsidP="00366938">
            <w:pPr>
              <w:jc w:val="center"/>
              <w:rPr>
                <w:sz w:val="22"/>
                <w:szCs w:val="22"/>
              </w:rPr>
            </w:pPr>
            <w:r w:rsidRPr="007723B7">
              <w:rPr>
                <w:sz w:val="22"/>
                <w:szCs w:val="22"/>
              </w:rPr>
              <w:t>3</w:t>
            </w:r>
          </w:p>
        </w:tc>
        <w:tc>
          <w:tcPr>
            <w:tcW w:w="1094" w:type="dxa"/>
            <w:tcBorders>
              <w:left w:val="nil"/>
              <w:right w:val="nil"/>
            </w:tcBorders>
            <w:vAlign w:val="center"/>
          </w:tcPr>
          <w:p w14:paraId="6DBF80FE" w14:textId="77777777" w:rsidR="00B37131" w:rsidRPr="007723B7" w:rsidRDefault="00B37131" w:rsidP="00366938">
            <w:pPr>
              <w:jc w:val="center"/>
              <w:rPr>
                <w:sz w:val="22"/>
                <w:szCs w:val="22"/>
              </w:rPr>
            </w:pPr>
            <w:r w:rsidRPr="007723B7">
              <w:rPr>
                <w:sz w:val="22"/>
                <w:szCs w:val="22"/>
              </w:rPr>
              <w:t>4</w:t>
            </w:r>
          </w:p>
        </w:tc>
        <w:tc>
          <w:tcPr>
            <w:tcW w:w="1094" w:type="dxa"/>
            <w:tcBorders>
              <w:left w:val="nil"/>
              <w:right w:val="nil"/>
            </w:tcBorders>
            <w:vAlign w:val="center"/>
          </w:tcPr>
          <w:p w14:paraId="66C485D5" w14:textId="77777777" w:rsidR="00B37131" w:rsidRPr="007723B7" w:rsidRDefault="00B37131" w:rsidP="00366938">
            <w:pPr>
              <w:jc w:val="center"/>
              <w:rPr>
                <w:sz w:val="22"/>
                <w:szCs w:val="22"/>
              </w:rPr>
            </w:pPr>
            <w:r w:rsidRPr="007723B7">
              <w:rPr>
                <w:sz w:val="22"/>
                <w:szCs w:val="22"/>
              </w:rPr>
              <w:t>5</w:t>
            </w:r>
          </w:p>
        </w:tc>
        <w:tc>
          <w:tcPr>
            <w:tcW w:w="1094" w:type="dxa"/>
            <w:tcBorders>
              <w:left w:val="nil"/>
              <w:right w:val="nil"/>
            </w:tcBorders>
            <w:vAlign w:val="center"/>
          </w:tcPr>
          <w:p w14:paraId="1C4F3C6F" w14:textId="77777777" w:rsidR="00B37131" w:rsidRPr="007723B7" w:rsidRDefault="00B37131" w:rsidP="00366938">
            <w:pPr>
              <w:jc w:val="center"/>
              <w:rPr>
                <w:sz w:val="22"/>
                <w:szCs w:val="22"/>
              </w:rPr>
            </w:pPr>
            <w:r w:rsidRPr="007723B7">
              <w:rPr>
                <w:sz w:val="22"/>
                <w:szCs w:val="22"/>
              </w:rPr>
              <w:t>6</w:t>
            </w:r>
          </w:p>
        </w:tc>
        <w:tc>
          <w:tcPr>
            <w:tcW w:w="1094" w:type="dxa"/>
            <w:tcBorders>
              <w:left w:val="nil"/>
              <w:right w:val="nil"/>
            </w:tcBorders>
            <w:vAlign w:val="center"/>
          </w:tcPr>
          <w:p w14:paraId="26CE3210" w14:textId="77777777" w:rsidR="00B37131" w:rsidRPr="007723B7" w:rsidRDefault="00B37131" w:rsidP="00366938">
            <w:pPr>
              <w:jc w:val="center"/>
              <w:rPr>
                <w:sz w:val="22"/>
                <w:szCs w:val="22"/>
              </w:rPr>
            </w:pPr>
            <w:r w:rsidRPr="007723B7">
              <w:rPr>
                <w:sz w:val="22"/>
                <w:szCs w:val="22"/>
              </w:rPr>
              <w:t>7</w:t>
            </w:r>
          </w:p>
        </w:tc>
        <w:tc>
          <w:tcPr>
            <w:tcW w:w="1094" w:type="dxa"/>
            <w:tcBorders>
              <w:left w:val="nil"/>
              <w:right w:val="nil"/>
            </w:tcBorders>
            <w:vAlign w:val="center"/>
          </w:tcPr>
          <w:p w14:paraId="4F634B15" w14:textId="77777777" w:rsidR="00B37131" w:rsidRPr="007723B7" w:rsidRDefault="00B37131" w:rsidP="00366938">
            <w:pPr>
              <w:jc w:val="center"/>
              <w:rPr>
                <w:sz w:val="22"/>
                <w:szCs w:val="22"/>
              </w:rPr>
            </w:pPr>
            <w:r w:rsidRPr="007723B7">
              <w:rPr>
                <w:sz w:val="22"/>
                <w:szCs w:val="22"/>
              </w:rPr>
              <w:t>8</w:t>
            </w:r>
          </w:p>
        </w:tc>
        <w:tc>
          <w:tcPr>
            <w:tcW w:w="1094" w:type="dxa"/>
            <w:tcBorders>
              <w:left w:val="nil"/>
              <w:right w:val="nil"/>
            </w:tcBorders>
            <w:vAlign w:val="center"/>
          </w:tcPr>
          <w:p w14:paraId="2F44321B" w14:textId="77777777" w:rsidR="00B37131" w:rsidRPr="007723B7" w:rsidRDefault="00B37131" w:rsidP="00366938">
            <w:pPr>
              <w:jc w:val="center"/>
              <w:rPr>
                <w:sz w:val="22"/>
                <w:szCs w:val="22"/>
              </w:rPr>
            </w:pPr>
            <w:r w:rsidRPr="007723B7">
              <w:rPr>
                <w:sz w:val="22"/>
                <w:szCs w:val="22"/>
              </w:rPr>
              <w:t>9</w:t>
            </w:r>
          </w:p>
        </w:tc>
        <w:tc>
          <w:tcPr>
            <w:tcW w:w="1094" w:type="dxa"/>
            <w:tcBorders>
              <w:left w:val="nil"/>
              <w:right w:val="nil"/>
            </w:tcBorders>
            <w:vAlign w:val="center"/>
          </w:tcPr>
          <w:p w14:paraId="6643089A" w14:textId="77777777" w:rsidR="00B37131" w:rsidRPr="007723B7" w:rsidRDefault="00B37131" w:rsidP="00366938">
            <w:pPr>
              <w:jc w:val="center"/>
              <w:rPr>
                <w:sz w:val="22"/>
                <w:szCs w:val="22"/>
              </w:rPr>
            </w:pPr>
            <w:r w:rsidRPr="007723B7">
              <w:rPr>
                <w:sz w:val="22"/>
                <w:szCs w:val="22"/>
              </w:rPr>
              <w:t>10</w:t>
            </w:r>
          </w:p>
        </w:tc>
      </w:tr>
      <w:tr w:rsidR="00B37131" w14:paraId="3182C6C9" w14:textId="77777777" w:rsidTr="00366938">
        <w:trPr>
          <w:trHeight w:val="389"/>
        </w:trPr>
        <w:tc>
          <w:tcPr>
            <w:tcW w:w="13275" w:type="dxa"/>
            <w:gridSpan w:val="11"/>
            <w:tcBorders>
              <w:left w:val="nil"/>
              <w:bottom w:val="nil"/>
              <w:right w:val="nil"/>
            </w:tcBorders>
            <w:vAlign w:val="center"/>
          </w:tcPr>
          <w:p w14:paraId="1008827E" w14:textId="77777777" w:rsidR="00B37131" w:rsidRPr="007723B7" w:rsidRDefault="00B37131" w:rsidP="00366938">
            <w:pPr>
              <w:rPr>
                <w:sz w:val="22"/>
                <w:szCs w:val="22"/>
              </w:rPr>
            </w:pPr>
            <w:r w:rsidRPr="007723B7">
              <w:rPr>
                <w:sz w:val="22"/>
                <w:szCs w:val="22"/>
              </w:rPr>
              <w:t>Wave 5</w:t>
            </w:r>
          </w:p>
        </w:tc>
      </w:tr>
      <w:tr w:rsidR="00B37131" w14:paraId="5E5C02AE" w14:textId="77777777" w:rsidTr="00366938">
        <w:trPr>
          <w:trHeight w:val="389"/>
        </w:trPr>
        <w:tc>
          <w:tcPr>
            <w:tcW w:w="2335" w:type="dxa"/>
            <w:tcBorders>
              <w:top w:val="nil"/>
              <w:left w:val="nil"/>
              <w:bottom w:val="nil"/>
              <w:right w:val="nil"/>
            </w:tcBorders>
            <w:vAlign w:val="center"/>
          </w:tcPr>
          <w:p w14:paraId="0110CA8A" w14:textId="77777777" w:rsidR="00B37131" w:rsidRPr="007723B7" w:rsidRDefault="00B37131" w:rsidP="00366938">
            <w:pPr>
              <w:rPr>
                <w:sz w:val="22"/>
                <w:szCs w:val="22"/>
              </w:rPr>
            </w:pPr>
            <w:r>
              <w:rPr>
                <w:sz w:val="22"/>
                <w:szCs w:val="22"/>
              </w:rPr>
              <w:t xml:space="preserve">  </w:t>
            </w:r>
            <w:r w:rsidRPr="007723B7">
              <w:rPr>
                <w:sz w:val="22"/>
                <w:szCs w:val="22"/>
              </w:rPr>
              <w:t>1. Age</w:t>
            </w:r>
          </w:p>
        </w:tc>
        <w:tc>
          <w:tcPr>
            <w:tcW w:w="1094" w:type="dxa"/>
            <w:tcBorders>
              <w:top w:val="nil"/>
              <w:left w:val="nil"/>
              <w:bottom w:val="nil"/>
              <w:right w:val="nil"/>
            </w:tcBorders>
            <w:vAlign w:val="center"/>
          </w:tcPr>
          <w:p w14:paraId="7C36C87A" w14:textId="77777777" w:rsidR="00B37131" w:rsidRPr="007723B7" w:rsidRDefault="00B37131" w:rsidP="00366938">
            <w:pPr>
              <w:jc w:val="center"/>
              <w:rPr>
                <w:sz w:val="22"/>
                <w:szCs w:val="22"/>
              </w:rPr>
            </w:pPr>
            <w:r w:rsidRPr="007723B7">
              <w:rPr>
                <w:sz w:val="22"/>
                <w:szCs w:val="22"/>
              </w:rPr>
              <w:t>-</w:t>
            </w:r>
          </w:p>
        </w:tc>
        <w:tc>
          <w:tcPr>
            <w:tcW w:w="1094" w:type="dxa"/>
            <w:tcBorders>
              <w:top w:val="nil"/>
              <w:left w:val="nil"/>
              <w:bottom w:val="nil"/>
              <w:right w:val="nil"/>
            </w:tcBorders>
            <w:vAlign w:val="center"/>
          </w:tcPr>
          <w:p w14:paraId="5CB5E0F0" w14:textId="77777777" w:rsidR="00B37131" w:rsidRPr="007723B7" w:rsidRDefault="00B37131" w:rsidP="00366938">
            <w:pPr>
              <w:jc w:val="center"/>
              <w:rPr>
                <w:sz w:val="22"/>
                <w:szCs w:val="22"/>
              </w:rPr>
            </w:pPr>
          </w:p>
        </w:tc>
        <w:tc>
          <w:tcPr>
            <w:tcW w:w="1094" w:type="dxa"/>
            <w:tcBorders>
              <w:top w:val="nil"/>
              <w:left w:val="nil"/>
              <w:bottom w:val="nil"/>
              <w:right w:val="nil"/>
            </w:tcBorders>
            <w:vAlign w:val="center"/>
          </w:tcPr>
          <w:p w14:paraId="48833CDD" w14:textId="77777777" w:rsidR="00B37131" w:rsidRPr="007723B7" w:rsidRDefault="00B37131" w:rsidP="00366938">
            <w:pPr>
              <w:jc w:val="center"/>
              <w:rPr>
                <w:sz w:val="22"/>
                <w:szCs w:val="22"/>
              </w:rPr>
            </w:pPr>
          </w:p>
        </w:tc>
        <w:tc>
          <w:tcPr>
            <w:tcW w:w="1094" w:type="dxa"/>
            <w:tcBorders>
              <w:top w:val="nil"/>
              <w:left w:val="nil"/>
              <w:bottom w:val="nil"/>
              <w:right w:val="nil"/>
            </w:tcBorders>
            <w:vAlign w:val="center"/>
          </w:tcPr>
          <w:p w14:paraId="6DC2D6C7" w14:textId="77777777" w:rsidR="00B37131" w:rsidRPr="007723B7" w:rsidRDefault="00B37131" w:rsidP="00366938">
            <w:pPr>
              <w:jc w:val="center"/>
              <w:rPr>
                <w:sz w:val="22"/>
                <w:szCs w:val="22"/>
              </w:rPr>
            </w:pPr>
          </w:p>
        </w:tc>
        <w:tc>
          <w:tcPr>
            <w:tcW w:w="1094" w:type="dxa"/>
            <w:tcBorders>
              <w:top w:val="nil"/>
              <w:left w:val="nil"/>
              <w:bottom w:val="nil"/>
              <w:right w:val="nil"/>
            </w:tcBorders>
            <w:vAlign w:val="center"/>
          </w:tcPr>
          <w:p w14:paraId="66B69118" w14:textId="77777777" w:rsidR="00B37131" w:rsidRPr="007723B7" w:rsidRDefault="00B37131" w:rsidP="00366938">
            <w:pPr>
              <w:jc w:val="center"/>
              <w:rPr>
                <w:sz w:val="22"/>
                <w:szCs w:val="22"/>
              </w:rPr>
            </w:pPr>
          </w:p>
        </w:tc>
        <w:tc>
          <w:tcPr>
            <w:tcW w:w="1094" w:type="dxa"/>
            <w:tcBorders>
              <w:top w:val="nil"/>
              <w:left w:val="nil"/>
              <w:bottom w:val="nil"/>
              <w:right w:val="nil"/>
            </w:tcBorders>
            <w:vAlign w:val="center"/>
          </w:tcPr>
          <w:p w14:paraId="04E928DA" w14:textId="77777777" w:rsidR="00B37131" w:rsidRPr="007723B7" w:rsidRDefault="00B37131" w:rsidP="00366938">
            <w:pPr>
              <w:jc w:val="center"/>
              <w:rPr>
                <w:sz w:val="22"/>
                <w:szCs w:val="22"/>
              </w:rPr>
            </w:pPr>
          </w:p>
        </w:tc>
        <w:tc>
          <w:tcPr>
            <w:tcW w:w="1094" w:type="dxa"/>
            <w:tcBorders>
              <w:top w:val="nil"/>
              <w:left w:val="nil"/>
              <w:bottom w:val="nil"/>
              <w:right w:val="nil"/>
            </w:tcBorders>
            <w:vAlign w:val="center"/>
          </w:tcPr>
          <w:p w14:paraId="7FD0F295" w14:textId="77777777" w:rsidR="00B37131" w:rsidRPr="007723B7" w:rsidRDefault="00B37131" w:rsidP="00366938">
            <w:pPr>
              <w:jc w:val="center"/>
              <w:rPr>
                <w:sz w:val="22"/>
                <w:szCs w:val="22"/>
              </w:rPr>
            </w:pPr>
          </w:p>
        </w:tc>
        <w:tc>
          <w:tcPr>
            <w:tcW w:w="1094" w:type="dxa"/>
            <w:tcBorders>
              <w:top w:val="nil"/>
              <w:left w:val="nil"/>
              <w:bottom w:val="nil"/>
              <w:right w:val="nil"/>
            </w:tcBorders>
            <w:vAlign w:val="center"/>
          </w:tcPr>
          <w:p w14:paraId="0DF73199" w14:textId="77777777" w:rsidR="00B37131" w:rsidRPr="007723B7" w:rsidRDefault="00B37131" w:rsidP="00366938">
            <w:pPr>
              <w:jc w:val="center"/>
              <w:rPr>
                <w:sz w:val="22"/>
                <w:szCs w:val="22"/>
              </w:rPr>
            </w:pPr>
          </w:p>
        </w:tc>
        <w:tc>
          <w:tcPr>
            <w:tcW w:w="1094" w:type="dxa"/>
            <w:tcBorders>
              <w:top w:val="nil"/>
              <w:left w:val="nil"/>
              <w:bottom w:val="nil"/>
              <w:right w:val="nil"/>
            </w:tcBorders>
            <w:vAlign w:val="center"/>
          </w:tcPr>
          <w:p w14:paraId="5F366A9C" w14:textId="77777777" w:rsidR="00B37131" w:rsidRPr="007723B7" w:rsidRDefault="00B37131" w:rsidP="00366938">
            <w:pPr>
              <w:jc w:val="center"/>
              <w:rPr>
                <w:sz w:val="22"/>
                <w:szCs w:val="22"/>
              </w:rPr>
            </w:pPr>
          </w:p>
        </w:tc>
        <w:tc>
          <w:tcPr>
            <w:tcW w:w="1094" w:type="dxa"/>
            <w:tcBorders>
              <w:top w:val="nil"/>
              <w:left w:val="nil"/>
              <w:bottom w:val="nil"/>
              <w:right w:val="nil"/>
            </w:tcBorders>
            <w:vAlign w:val="center"/>
          </w:tcPr>
          <w:p w14:paraId="45A4CD12" w14:textId="77777777" w:rsidR="00B37131" w:rsidRPr="007723B7" w:rsidRDefault="00B37131" w:rsidP="00366938">
            <w:pPr>
              <w:jc w:val="center"/>
              <w:rPr>
                <w:sz w:val="22"/>
                <w:szCs w:val="22"/>
              </w:rPr>
            </w:pPr>
          </w:p>
        </w:tc>
      </w:tr>
      <w:tr w:rsidR="00B37131" w14:paraId="17B83687" w14:textId="77777777" w:rsidTr="00366938">
        <w:trPr>
          <w:trHeight w:val="389"/>
        </w:trPr>
        <w:tc>
          <w:tcPr>
            <w:tcW w:w="2335" w:type="dxa"/>
            <w:tcBorders>
              <w:top w:val="nil"/>
              <w:left w:val="nil"/>
              <w:bottom w:val="nil"/>
              <w:right w:val="nil"/>
            </w:tcBorders>
            <w:vAlign w:val="center"/>
          </w:tcPr>
          <w:p w14:paraId="0ADFB092" w14:textId="77777777" w:rsidR="00B37131" w:rsidRPr="007723B7" w:rsidRDefault="00B37131" w:rsidP="00366938">
            <w:pPr>
              <w:rPr>
                <w:sz w:val="22"/>
                <w:szCs w:val="22"/>
              </w:rPr>
            </w:pPr>
            <w:r>
              <w:rPr>
                <w:sz w:val="22"/>
                <w:szCs w:val="22"/>
              </w:rPr>
              <w:t xml:space="preserve">  </w:t>
            </w:r>
            <w:r w:rsidRPr="007723B7">
              <w:rPr>
                <w:sz w:val="22"/>
                <w:szCs w:val="22"/>
              </w:rPr>
              <w:t>2. Contact Frequency</w:t>
            </w:r>
          </w:p>
        </w:tc>
        <w:tc>
          <w:tcPr>
            <w:tcW w:w="1094" w:type="dxa"/>
            <w:tcBorders>
              <w:top w:val="nil"/>
              <w:left w:val="nil"/>
              <w:bottom w:val="nil"/>
              <w:right w:val="nil"/>
            </w:tcBorders>
            <w:vAlign w:val="center"/>
          </w:tcPr>
          <w:p w14:paraId="42857EF8" w14:textId="77777777" w:rsidR="00B37131" w:rsidRPr="007723B7" w:rsidRDefault="00B37131" w:rsidP="00366938">
            <w:pPr>
              <w:jc w:val="center"/>
              <w:rPr>
                <w:sz w:val="22"/>
                <w:szCs w:val="22"/>
              </w:rPr>
            </w:pPr>
            <w:r w:rsidRPr="007723B7">
              <w:rPr>
                <w:sz w:val="22"/>
                <w:szCs w:val="22"/>
              </w:rPr>
              <w:t>-0.03</w:t>
            </w:r>
          </w:p>
        </w:tc>
        <w:tc>
          <w:tcPr>
            <w:tcW w:w="1094" w:type="dxa"/>
            <w:tcBorders>
              <w:top w:val="nil"/>
              <w:left w:val="nil"/>
              <w:bottom w:val="nil"/>
              <w:right w:val="nil"/>
            </w:tcBorders>
            <w:vAlign w:val="center"/>
          </w:tcPr>
          <w:p w14:paraId="1664D733" w14:textId="77777777" w:rsidR="00B37131" w:rsidRPr="007723B7" w:rsidRDefault="00B37131" w:rsidP="00366938">
            <w:pPr>
              <w:jc w:val="center"/>
              <w:rPr>
                <w:sz w:val="22"/>
                <w:szCs w:val="22"/>
              </w:rPr>
            </w:pPr>
            <w:r w:rsidRPr="007723B7">
              <w:rPr>
                <w:sz w:val="22"/>
                <w:szCs w:val="22"/>
              </w:rPr>
              <w:t>-</w:t>
            </w:r>
          </w:p>
        </w:tc>
        <w:tc>
          <w:tcPr>
            <w:tcW w:w="1094" w:type="dxa"/>
            <w:tcBorders>
              <w:top w:val="nil"/>
              <w:left w:val="nil"/>
              <w:bottom w:val="nil"/>
              <w:right w:val="nil"/>
            </w:tcBorders>
            <w:vAlign w:val="center"/>
          </w:tcPr>
          <w:p w14:paraId="35A0709B" w14:textId="77777777" w:rsidR="00B37131" w:rsidRPr="007723B7" w:rsidRDefault="00B37131" w:rsidP="00366938">
            <w:pPr>
              <w:jc w:val="center"/>
              <w:rPr>
                <w:sz w:val="22"/>
                <w:szCs w:val="22"/>
              </w:rPr>
            </w:pPr>
          </w:p>
        </w:tc>
        <w:tc>
          <w:tcPr>
            <w:tcW w:w="1094" w:type="dxa"/>
            <w:tcBorders>
              <w:top w:val="nil"/>
              <w:left w:val="nil"/>
              <w:bottom w:val="nil"/>
              <w:right w:val="nil"/>
            </w:tcBorders>
            <w:vAlign w:val="center"/>
          </w:tcPr>
          <w:p w14:paraId="670CC32C" w14:textId="77777777" w:rsidR="00B37131" w:rsidRPr="007723B7" w:rsidRDefault="00B37131" w:rsidP="00366938">
            <w:pPr>
              <w:jc w:val="center"/>
              <w:rPr>
                <w:sz w:val="22"/>
                <w:szCs w:val="22"/>
              </w:rPr>
            </w:pPr>
          </w:p>
        </w:tc>
        <w:tc>
          <w:tcPr>
            <w:tcW w:w="1094" w:type="dxa"/>
            <w:tcBorders>
              <w:top w:val="nil"/>
              <w:left w:val="nil"/>
              <w:bottom w:val="nil"/>
              <w:right w:val="nil"/>
            </w:tcBorders>
            <w:vAlign w:val="center"/>
          </w:tcPr>
          <w:p w14:paraId="6FA85928" w14:textId="77777777" w:rsidR="00B37131" w:rsidRPr="007723B7" w:rsidRDefault="00B37131" w:rsidP="00366938">
            <w:pPr>
              <w:jc w:val="center"/>
              <w:rPr>
                <w:sz w:val="22"/>
                <w:szCs w:val="22"/>
              </w:rPr>
            </w:pPr>
          </w:p>
        </w:tc>
        <w:tc>
          <w:tcPr>
            <w:tcW w:w="1094" w:type="dxa"/>
            <w:tcBorders>
              <w:top w:val="nil"/>
              <w:left w:val="nil"/>
              <w:bottom w:val="nil"/>
              <w:right w:val="nil"/>
            </w:tcBorders>
            <w:vAlign w:val="center"/>
          </w:tcPr>
          <w:p w14:paraId="28713C22" w14:textId="77777777" w:rsidR="00B37131" w:rsidRPr="007723B7" w:rsidRDefault="00B37131" w:rsidP="00366938">
            <w:pPr>
              <w:jc w:val="center"/>
              <w:rPr>
                <w:sz w:val="22"/>
                <w:szCs w:val="22"/>
              </w:rPr>
            </w:pPr>
          </w:p>
        </w:tc>
        <w:tc>
          <w:tcPr>
            <w:tcW w:w="1094" w:type="dxa"/>
            <w:tcBorders>
              <w:top w:val="nil"/>
              <w:left w:val="nil"/>
              <w:bottom w:val="nil"/>
              <w:right w:val="nil"/>
            </w:tcBorders>
            <w:vAlign w:val="center"/>
          </w:tcPr>
          <w:p w14:paraId="1B1CADB5" w14:textId="77777777" w:rsidR="00B37131" w:rsidRPr="007723B7" w:rsidRDefault="00B37131" w:rsidP="00366938">
            <w:pPr>
              <w:jc w:val="center"/>
              <w:rPr>
                <w:sz w:val="22"/>
                <w:szCs w:val="22"/>
              </w:rPr>
            </w:pPr>
          </w:p>
        </w:tc>
        <w:tc>
          <w:tcPr>
            <w:tcW w:w="1094" w:type="dxa"/>
            <w:tcBorders>
              <w:top w:val="nil"/>
              <w:left w:val="nil"/>
              <w:bottom w:val="nil"/>
              <w:right w:val="nil"/>
            </w:tcBorders>
            <w:vAlign w:val="center"/>
          </w:tcPr>
          <w:p w14:paraId="3640CBED" w14:textId="77777777" w:rsidR="00B37131" w:rsidRPr="007723B7" w:rsidRDefault="00B37131" w:rsidP="00366938">
            <w:pPr>
              <w:jc w:val="center"/>
              <w:rPr>
                <w:sz w:val="22"/>
                <w:szCs w:val="22"/>
              </w:rPr>
            </w:pPr>
          </w:p>
        </w:tc>
        <w:tc>
          <w:tcPr>
            <w:tcW w:w="1094" w:type="dxa"/>
            <w:tcBorders>
              <w:top w:val="nil"/>
              <w:left w:val="nil"/>
              <w:bottom w:val="nil"/>
              <w:right w:val="nil"/>
            </w:tcBorders>
            <w:vAlign w:val="center"/>
          </w:tcPr>
          <w:p w14:paraId="6EDC0E66" w14:textId="77777777" w:rsidR="00B37131" w:rsidRPr="007723B7" w:rsidRDefault="00B37131" w:rsidP="00366938">
            <w:pPr>
              <w:jc w:val="center"/>
              <w:rPr>
                <w:sz w:val="22"/>
                <w:szCs w:val="22"/>
              </w:rPr>
            </w:pPr>
          </w:p>
        </w:tc>
        <w:tc>
          <w:tcPr>
            <w:tcW w:w="1094" w:type="dxa"/>
            <w:tcBorders>
              <w:top w:val="nil"/>
              <w:left w:val="nil"/>
              <w:bottom w:val="nil"/>
              <w:right w:val="nil"/>
            </w:tcBorders>
            <w:vAlign w:val="center"/>
          </w:tcPr>
          <w:p w14:paraId="0B214DF4" w14:textId="77777777" w:rsidR="00B37131" w:rsidRPr="007723B7" w:rsidRDefault="00B37131" w:rsidP="00366938">
            <w:pPr>
              <w:jc w:val="center"/>
              <w:rPr>
                <w:sz w:val="22"/>
                <w:szCs w:val="22"/>
              </w:rPr>
            </w:pPr>
          </w:p>
        </w:tc>
      </w:tr>
      <w:tr w:rsidR="00B37131" w14:paraId="37973C67" w14:textId="77777777" w:rsidTr="00366938">
        <w:trPr>
          <w:trHeight w:val="389"/>
        </w:trPr>
        <w:tc>
          <w:tcPr>
            <w:tcW w:w="2335" w:type="dxa"/>
            <w:tcBorders>
              <w:top w:val="nil"/>
              <w:left w:val="nil"/>
              <w:bottom w:val="nil"/>
              <w:right w:val="nil"/>
            </w:tcBorders>
            <w:vAlign w:val="center"/>
          </w:tcPr>
          <w:p w14:paraId="111084F4" w14:textId="77777777" w:rsidR="00B37131" w:rsidRPr="007723B7" w:rsidRDefault="00B37131" w:rsidP="00366938">
            <w:pPr>
              <w:rPr>
                <w:sz w:val="22"/>
                <w:szCs w:val="22"/>
              </w:rPr>
            </w:pPr>
            <w:r>
              <w:rPr>
                <w:sz w:val="22"/>
                <w:szCs w:val="22"/>
              </w:rPr>
              <w:t xml:space="preserve">  </w:t>
            </w:r>
            <w:r w:rsidRPr="007723B7">
              <w:rPr>
                <w:sz w:val="22"/>
                <w:szCs w:val="22"/>
              </w:rPr>
              <w:t>3. Contact Quality</w:t>
            </w:r>
          </w:p>
        </w:tc>
        <w:tc>
          <w:tcPr>
            <w:tcW w:w="1094" w:type="dxa"/>
            <w:tcBorders>
              <w:top w:val="nil"/>
              <w:left w:val="nil"/>
              <w:bottom w:val="nil"/>
              <w:right w:val="nil"/>
            </w:tcBorders>
            <w:vAlign w:val="center"/>
          </w:tcPr>
          <w:p w14:paraId="41C9490D" w14:textId="77777777" w:rsidR="00B37131" w:rsidRPr="007723B7" w:rsidRDefault="00B37131" w:rsidP="00366938">
            <w:pPr>
              <w:jc w:val="center"/>
              <w:rPr>
                <w:sz w:val="22"/>
                <w:szCs w:val="22"/>
              </w:rPr>
            </w:pPr>
            <w:r w:rsidRPr="007723B7">
              <w:rPr>
                <w:sz w:val="22"/>
                <w:szCs w:val="22"/>
              </w:rPr>
              <w:t>-0.02</w:t>
            </w:r>
          </w:p>
        </w:tc>
        <w:tc>
          <w:tcPr>
            <w:tcW w:w="1094" w:type="dxa"/>
            <w:tcBorders>
              <w:top w:val="nil"/>
              <w:left w:val="nil"/>
              <w:bottom w:val="nil"/>
              <w:right w:val="nil"/>
            </w:tcBorders>
            <w:vAlign w:val="center"/>
          </w:tcPr>
          <w:p w14:paraId="62044B57" w14:textId="77777777" w:rsidR="00B37131" w:rsidRPr="007723B7" w:rsidRDefault="00B37131" w:rsidP="00366938">
            <w:pPr>
              <w:jc w:val="center"/>
              <w:rPr>
                <w:sz w:val="22"/>
                <w:szCs w:val="22"/>
              </w:rPr>
            </w:pPr>
            <w:r w:rsidRPr="007723B7">
              <w:rPr>
                <w:sz w:val="22"/>
                <w:szCs w:val="22"/>
              </w:rPr>
              <w:t>0.74***</w:t>
            </w:r>
          </w:p>
        </w:tc>
        <w:tc>
          <w:tcPr>
            <w:tcW w:w="1094" w:type="dxa"/>
            <w:tcBorders>
              <w:top w:val="nil"/>
              <w:left w:val="nil"/>
              <w:bottom w:val="nil"/>
              <w:right w:val="nil"/>
            </w:tcBorders>
            <w:vAlign w:val="center"/>
          </w:tcPr>
          <w:p w14:paraId="59CB3DB8" w14:textId="77777777" w:rsidR="00B37131" w:rsidRPr="007723B7" w:rsidRDefault="00B37131" w:rsidP="00366938">
            <w:pPr>
              <w:jc w:val="center"/>
              <w:rPr>
                <w:sz w:val="22"/>
                <w:szCs w:val="22"/>
              </w:rPr>
            </w:pPr>
            <w:r w:rsidRPr="007723B7">
              <w:rPr>
                <w:sz w:val="22"/>
                <w:szCs w:val="22"/>
              </w:rPr>
              <w:t>-</w:t>
            </w:r>
          </w:p>
        </w:tc>
        <w:tc>
          <w:tcPr>
            <w:tcW w:w="1094" w:type="dxa"/>
            <w:tcBorders>
              <w:top w:val="nil"/>
              <w:left w:val="nil"/>
              <w:bottom w:val="nil"/>
              <w:right w:val="nil"/>
            </w:tcBorders>
            <w:vAlign w:val="center"/>
          </w:tcPr>
          <w:p w14:paraId="650B9202" w14:textId="77777777" w:rsidR="00B37131" w:rsidRPr="007723B7" w:rsidRDefault="00B37131" w:rsidP="00366938">
            <w:pPr>
              <w:jc w:val="center"/>
              <w:rPr>
                <w:sz w:val="22"/>
                <w:szCs w:val="22"/>
              </w:rPr>
            </w:pPr>
          </w:p>
        </w:tc>
        <w:tc>
          <w:tcPr>
            <w:tcW w:w="1094" w:type="dxa"/>
            <w:tcBorders>
              <w:top w:val="nil"/>
              <w:left w:val="nil"/>
              <w:bottom w:val="nil"/>
              <w:right w:val="nil"/>
            </w:tcBorders>
            <w:vAlign w:val="center"/>
          </w:tcPr>
          <w:p w14:paraId="07ED5296" w14:textId="77777777" w:rsidR="00B37131" w:rsidRPr="007723B7" w:rsidRDefault="00B37131" w:rsidP="00366938">
            <w:pPr>
              <w:jc w:val="center"/>
              <w:rPr>
                <w:sz w:val="22"/>
                <w:szCs w:val="22"/>
              </w:rPr>
            </w:pPr>
          </w:p>
        </w:tc>
        <w:tc>
          <w:tcPr>
            <w:tcW w:w="1094" w:type="dxa"/>
            <w:tcBorders>
              <w:top w:val="nil"/>
              <w:left w:val="nil"/>
              <w:bottom w:val="nil"/>
              <w:right w:val="nil"/>
            </w:tcBorders>
            <w:vAlign w:val="center"/>
          </w:tcPr>
          <w:p w14:paraId="368601A2" w14:textId="77777777" w:rsidR="00B37131" w:rsidRPr="007723B7" w:rsidRDefault="00B37131" w:rsidP="00366938">
            <w:pPr>
              <w:jc w:val="center"/>
              <w:rPr>
                <w:sz w:val="22"/>
                <w:szCs w:val="22"/>
              </w:rPr>
            </w:pPr>
          </w:p>
        </w:tc>
        <w:tc>
          <w:tcPr>
            <w:tcW w:w="1094" w:type="dxa"/>
            <w:tcBorders>
              <w:top w:val="nil"/>
              <w:left w:val="nil"/>
              <w:bottom w:val="nil"/>
              <w:right w:val="nil"/>
            </w:tcBorders>
            <w:vAlign w:val="center"/>
          </w:tcPr>
          <w:p w14:paraId="4DF98615" w14:textId="77777777" w:rsidR="00B37131" w:rsidRPr="007723B7" w:rsidRDefault="00B37131" w:rsidP="00366938">
            <w:pPr>
              <w:jc w:val="center"/>
              <w:rPr>
                <w:sz w:val="22"/>
                <w:szCs w:val="22"/>
              </w:rPr>
            </w:pPr>
          </w:p>
        </w:tc>
        <w:tc>
          <w:tcPr>
            <w:tcW w:w="1094" w:type="dxa"/>
            <w:tcBorders>
              <w:top w:val="nil"/>
              <w:left w:val="nil"/>
              <w:bottom w:val="nil"/>
              <w:right w:val="nil"/>
            </w:tcBorders>
            <w:vAlign w:val="center"/>
          </w:tcPr>
          <w:p w14:paraId="7899B27C" w14:textId="77777777" w:rsidR="00B37131" w:rsidRPr="007723B7" w:rsidRDefault="00B37131" w:rsidP="00366938">
            <w:pPr>
              <w:jc w:val="center"/>
              <w:rPr>
                <w:sz w:val="22"/>
                <w:szCs w:val="22"/>
              </w:rPr>
            </w:pPr>
          </w:p>
        </w:tc>
        <w:tc>
          <w:tcPr>
            <w:tcW w:w="1094" w:type="dxa"/>
            <w:tcBorders>
              <w:top w:val="nil"/>
              <w:left w:val="nil"/>
              <w:bottom w:val="nil"/>
              <w:right w:val="nil"/>
            </w:tcBorders>
            <w:vAlign w:val="center"/>
          </w:tcPr>
          <w:p w14:paraId="3B613D9A" w14:textId="77777777" w:rsidR="00B37131" w:rsidRPr="007723B7" w:rsidRDefault="00B37131" w:rsidP="00366938">
            <w:pPr>
              <w:jc w:val="center"/>
              <w:rPr>
                <w:sz w:val="22"/>
                <w:szCs w:val="22"/>
              </w:rPr>
            </w:pPr>
          </w:p>
        </w:tc>
        <w:tc>
          <w:tcPr>
            <w:tcW w:w="1094" w:type="dxa"/>
            <w:tcBorders>
              <w:top w:val="nil"/>
              <w:left w:val="nil"/>
              <w:bottom w:val="nil"/>
              <w:right w:val="nil"/>
            </w:tcBorders>
            <w:vAlign w:val="center"/>
          </w:tcPr>
          <w:p w14:paraId="1C850ED8" w14:textId="77777777" w:rsidR="00B37131" w:rsidRPr="007723B7" w:rsidRDefault="00B37131" w:rsidP="00366938">
            <w:pPr>
              <w:jc w:val="center"/>
              <w:rPr>
                <w:sz w:val="22"/>
                <w:szCs w:val="22"/>
              </w:rPr>
            </w:pPr>
          </w:p>
        </w:tc>
      </w:tr>
      <w:tr w:rsidR="00B37131" w14:paraId="1C15065E" w14:textId="77777777" w:rsidTr="00366938">
        <w:trPr>
          <w:trHeight w:val="389"/>
        </w:trPr>
        <w:tc>
          <w:tcPr>
            <w:tcW w:w="2335" w:type="dxa"/>
            <w:tcBorders>
              <w:top w:val="nil"/>
              <w:left w:val="nil"/>
              <w:bottom w:val="single" w:sz="4" w:space="0" w:color="auto"/>
              <w:right w:val="nil"/>
            </w:tcBorders>
            <w:vAlign w:val="center"/>
          </w:tcPr>
          <w:p w14:paraId="3FF4FD48" w14:textId="77777777" w:rsidR="00B37131" w:rsidRPr="007723B7" w:rsidRDefault="00B37131" w:rsidP="00366938">
            <w:pPr>
              <w:rPr>
                <w:sz w:val="22"/>
                <w:szCs w:val="22"/>
              </w:rPr>
            </w:pPr>
            <w:r>
              <w:rPr>
                <w:sz w:val="22"/>
                <w:szCs w:val="22"/>
              </w:rPr>
              <w:t xml:space="preserve">  </w:t>
            </w:r>
            <w:r w:rsidRPr="007723B7">
              <w:rPr>
                <w:sz w:val="22"/>
                <w:szCs w:val="22"/>
              </w:rPr>
              <w:t>4. Bias</w:t>
            </w:r>
          </w:p>
        </w:tc>
        <w:tc>
          <w:tcPr>
            <w:tcW w:w="1094" w:type="dxa"/>
            <w:tcBorders>
              <w:top w:val="nil"/>
              <w:left w:val="nil"/>
              <w:bottom w:val="single" w:sz="4" w:space="0" w:color="auto"/>
              <w:right w:val="nil"/>
            </w:tcBorders>
            <w:vAlign w:val="center"/>
          </w:tcPr>
          <w:p w14:paraId="34A58009" w14:textId="77777777" w:rsidR="00B37131" w:rsidRPr="007723B7" w:rsidRDefault="00B37131" w:rsidP="00366938">
            <w:pPr>
              <w:jc w:val="center"/>
              <w:rPr>
                <w:sz w:val="22"/>
                <w:szCs w:val="22"/>
              </w:rPr>
            </w:pPr>
            <w:r w:rsidRPr="007723B7">
              <w:rPr>
                <w:sz w:val="22"/>
                <w:szCs w:val="22"/>
              </w:rPr>
              <w:t>0.03</w:t>
            </w:r>
          </w:p>
        </w:tc>
        <w:tc>
          <w:tcPr>
            <w:tcW w:w="1094" w:type="dxa"/>
            <w:tcBorders>
              <w:top w:val="nil"/>
              <w:left w:val="nil"/>
              <w:bottom w:val="single" w:sz="4" w:space="0" w:color="auto"/>
              <w:right w:val="nil"/>
            </w:tcBorders>
            <w:vAlign w:val="center"/>
          </w:tcPr>
          <w:p w14:paraId="4C2D9AAE" w14:textId="77777777" w:rsidR="00B37131" w:rsidRPr="007723B7" w:rsidRDefault="00B37131" w:rsidP="00366938">
            <w:pPr>
              <w:jc w:val="center"/>
              <w:rPr>
                <w:sz w:val="22"/>
                <w:szCs w:val="22"/>
              </w:rPr>
            </w:pPr>
            <w:r w:rsidRPr="007723B7">
              <w:rPr>
                <w:sz w:val="22"/>
                <w:szCs w:val="22"/>
              </w:rPr>
              <w:t>-0.32***</w:t>
            </w:r>
          </w:p>
        </w:tc>
        <w:tc>
          <w:tcPr>
            <w:tcW w:w="1094" w:type="dxa"/>
            <w:tcBorders>
              <w:top w:val="nil"/>
              <w:left w:val="nil"/>
              <w:bottom w:val="single" w:sz="4" w:space="0" w:color="auto"/>
              <w:right w:val="nil"/>
            </w:tcBorders>
            <w:vAlign w:val="center"/>
          </w:tcPr>
          <w:p w14:paraId="0C93F502" w14:textId="77777777" w:rsidR="00B37131" w:rsidRPr="007723B7" w:rsidRDefault="00B37131" w:rsidP="00366938">
            <w:pPr>
              <w:jc w:val="center"/>
              <w:rPr>
                <w:sz w:val="22"/>
                <w:szCs w:val="22"/>
              </w:rPr>
            </w:pPr>
            <w:r w:rsidRPr="007723B7">
              <w:rPr>
                <w:sz w:val="22"/>
                <w:szCs w:val="22"/>
              </w:rPr>
              <w:t>-0.48***</w:t>
            </w:r>
          </w:p>
        </w:tc>
        <w:tc>
          <w:tcPr>
            <w:tcW w:w="1094" w:type="dxa"/>
            <w:tcBorders>
              <w:top w:val="nil"/>
              <w:left w:val="nil"/>
              <w:bottom w:val="single" w:sz="4" w:space="0" w:color="auto"/>
              <w:right w:val="nil"/>
            </w:tcBorders>
            <w:vAlign w:val="center"/>
          </w:tcPr>
          <w:p w14:paraId="232B0181" w14:textId="77777777" w:rsidR="00B37131" w:rsidRPr="007723B7" w:rsidRDefault="00B37131" w:rsidP="00366938">
            <w:pPr>
              <w:jc w:val="center"/>
              <w:rPr>
                <w:sz w:val="22"/>
                <w:szCs w:val="22"/>
              </w:rPr>
            </w:pPr>
            <w:r w:rsidRPr="007723B7">
              <w:rPr>
                <w:sz w:val="22"/>
                <w:szCs w:val="22"/>
              </w:rPr>
              <w:t>-</w:t>
            </w:r>
          </w:p>
        </w:tc>
        <w:tc>
          <w:tcPr>
            <w:tcW w:w="1094" w:type="dxa"/>
            <w:tcBorders>
              <w:top w:val="nil"/>
              <w:left w:val="nil"/>
              <w:bottom w:val="single" w:sz="4" w:space="0" w:color="auto"/>
              <w:right w:val="nil"/>
            </w:tcBorders>
            <w:vAlign w:val="center"/>
          </w:tcPr>
          <w:p w14:paraId="43E5790C" w14:textId="77777777" w:rsidR="00B37131" w:rsidRPr="007723B7" w:rsidRDefault="00B37131" w:rsidP="00366938">
            <w:pPr>
              <w:jc w:val="center"/>
              <w:rPr>
                <w:sz w:val="22"/>
                <w:szCs w:val="22"/>
              </w:rPr>
            </w:pPr>
          </w:p>
        </w:tc>
        <w:tc>
          <w:tcPr>
            <w:tcW w:w="1094" w:type="dxa"/>
            <w:tcBorders>
              <w:top w:val="nil"/>
              <w:left w:val="nil"/>
              <w:bottom w:val="single" w:sz="4" w:space="0" w:color="auto"/>
              <w:right w:val="nil"/>
            </w:tcBorders>
            <w:vAlign w:val="center"/>
          </w:tcPr>
          <w:p w14:paraId="55618A43" w14:textId="77777777" w:rsidR="00B37131" w:rsidRPr="007723B7" w:rsidRDefault="00B37131" w:rsidP="00366938">
            <w:pPr>
              <w:jc w:val="center"/>
              <w:rPr>
                <w:sz w:val="22"/>
                <w:szCs w:val="22"/>
              </w:rPr>
            </w:pPr>
          </w:p>
        </w:tc>
        <w:tc>
          <w:tcPr>
            <w:tcW w:w="1094" w:type="dxa"/>
            <w:tcBorders>
              <w:top w:val="nil"/>
              <w:left w:val="nil"/>
              <w:bottom w:val="single" w:sz="4" w:space="0" w:color="auto"/>
              <w:right w:val="nil"/>
            </w:tcBorders>
            <w:vAlign w:val="center"/>
          </w:tcPr>
          <w:p w14:paraId="1A02226E" w14:textId="77777777" w:rsidR="00B37131" w:rsidRPr="007723B7" w:rsidRDefault="00B37131" w:rsidP="00366938">
            <w:pPr>
              <w:jc w:val="center"/>
              <w:rPr>
                <w:sz w:val="22"/>
                <w:szCs w:val="22"/>
              </w:rPr>
            </w:pPr>
          </w:p>
        </w:tc>
        <w:tc>
          <w:tcPr>
            <w:tcW w:w="1094" w:type="dxa"/>
            <w:tcBorders>
              <w:top w:val="nil"/>
              <w:left w:val="nil"/>
              <w:bottom w:val="single" w:sz="4" w:space="0" w:color="auto"/>
              <w:right w:val="nil"/>
            </w:tcBorders>
            <w:vAlign w:val="center"/>
          </w:tcPr>
          <w:p w14:paraId="5EEF93A0" w14:textId="77777777" w:rsidR="00B37131" w:rsidRPr="007723B7" w:rsidRDefault="00B37131" w:rsidP="00366938">
            <w:pPr>
              <w:jc w:val="center"/>
              <w:rPr>
                <w:sz w:val="22"/>
                <w:szCs w:val="22"/>
              </w:rPr>
            </w:pPr>
          </w:p>
        </w:tc>
        <w:tc>
          <w:tcPr>
            <w:tcW w:w="1094" w:type="dxa"/>
            <w:tcBorders>
              <w:top w:val="nil"/>
              <w:left w:val="nil"/>
              <w:bottom w:val="single" w:sz="4" w:space="0" w:color="auto"/>
              <w:right w:val="nil"/>
            </w:tcBorders>
            <w:vAlign w:val="center"/>
          </w:tcPr>
          <w:p w14:paraId="27FF4DC6" w14:textId="77777777" w:rsidR="00B37131" w:rsidRPr="007723B7" w:rsidRDefault="00B37131" w:rsidP="00366938">
            <w:pPr>
              <w:jc w:val="center"/>
              <w:rPr>
                <w:sz w:val="22"/>
                <w:szCs w:val="22"/>
              </w:rPr>
            </w:pPr>
          </w:p>
        </w:tc>
        <w:tc>
          <w:tcPr>
            <w:tcW w:w="1094" w:type="dxa"/>
            <w:tcBorders>
              <w:top w:val="nil"/>
              <w:left w:val="nil"/>
              <w:bottom w:val="single" w:sz="4" w:space="0" w:color="auto"/>
              <w:right w:val="nil"/>
            </w:tcBorders>
            <w:vAlign w:val="center"/>
          </w:tcPr>
          <w:p w14:paraId="085766F2" w14:textId="77777777" w:rsidR="00B37131" w:rsidRPr="007723B7" w:rsidRDefault="00B37131" w:rsidP="00366938">
            <w:pPr>
              <w:jc w:val="center"/>
              <w:rPr>
                <w:sz w:val="22"/>
                <w:szCs w:val="22"/>
              </w:rPr>
            </w:pPr>
          </w:p>
        </w:tc>
      </w:tr>
      <w:tr w:rsidR="00B37131" w14:paraId="7A7FFCF7" w14:textId="77777777" w:rsidTr="00366938">
        <w:trPr>
          <w:trHeight w:val="389"/>
        </w:trPr>
        <w:tc>
          <w:tcPr>
            <w:tcW w:w="13275" w:type="dxa"/>
            <w:gridSpan w:val="11"/>
            <w:tcBorders>
              <w:top w:val="single" w:sz="4" w:space="0" w:color="auto"/>
              <w:left w:val="nil"/>
              <w:bottom w:val="nil"/>
              <w:right w:val="nil"/>
            </w:tcBorders>
            <w:vAlign w:val="center"/>
          </w:tcPr>
          <w:p w14:paraId="6DA1FD51" w14:textId="77777777" w:rsidR="00B37131" w:rsidRPr="007723B7" w:rsidRDefault="00B37131" w:rsidP="00366938">
            <w:pPr>
              <w:rPr>
                <w:sz w:val="22"/>
                <w:szCs w:val="22"/>
              </w:rPr>
            </w:pPr>
            <w:r w:rsidRPr="007723B7">
              <w:rPr>
                <w:sz w:val="22"/>
                <w:szCs w:val="22"/>
              </w:rPr>
              <w:t>Wave 6</w:t>
            </w:r>
          </w:p>
        </w:tc>
      </w:tr>
      <w:tr w:rsidR="00B37131" w14:paraId="403B232F" w14:textId="77777777" w:rsidTr="00366938">
        <w:trPr>
          <w:trHeight w:val="389"/>
        </w:trPr>
        <w:tc>
          <w:tcPr>
            <w:tcW w:w="2335" w:type="dxa"/>
            <w:tcBorders>
              <w:top w:val="nil"/>
              <w:left w:val="nil"/>
              <w:bottom w:val="nil"/>
              <w:right w:val="nil"/>
            </w:tcBorders>
            <w:vAlign w:val="center"/>
          </w:tcPr>
          <w:p w14:paraId="1B188957" w14:textId="77777777" w:rsidR="00B37131" w:rsidRPr="007723B7" w:rsidRDefault="00B37131" w:rsidP="00366938">
            <w:pPr>
              <w:rPr>
                <w:sz w:val="22"/>
                <w:szCs w:val="22"/>
              </w:rPr>
            </w:pPr>
            <w:r>
              <w:rPr>
                <w:sz w:val="22"/>
                <w:szCs w:val="22"/>
              </w:rPr>
              <w:t xml:space="preserve">  </w:t>
            </w:r>
            <w:r w:rsidRPr="007723B7">
              <w:rPr>
                <w:sz w:val="22"/>
                <w:szCs w:val="22"/>
              </w:rPr>
              <w:t>5. Age</w:t>
            </w:r>
          </w:p>
        </w:tc>
        <w:tc>
          <w:tcPr>
            <w:tcW w:w="1094" w:type="dxa"/>
            <w:tcBorders>
              <w:top w:val="nil"/>
              <w:left w:val="nil"/>
              <w:bottom w:val="nil"/>
              <w:right w:val="nil"/>
            </w:tcBorders>
            <w:vAlign w:val="center"/>
          </w:tcPr>
          <w:p w14:paraId="1759A0F4" w14:textId="77777777" w:rsidR="00B37131" w:rsidRPr="007723B7" w:rsidRDefault="00B37131" w:rsidP="00366938">
            <w:pPr>
              <w:jc w:val="center"/>
              <w:rPr>
                <w:sz w:val="22"/>
                <w:szCs w:val="22"/>
              </w:rPr>
            </w:pPr>
            <w:r w:rsidRPr="007723B7">
              <w:rPr>
                <w:sz w:val="22"/>
                <w:szCs w:val="22"/>
              </w:rPr>
              <w:t>0.95***</w:t>
            </w:r>
          </w:p>
        </w:tc>
        <w:tc>
          <w:tcPr>
            <w:tcW w:w="1094" w:type="dxa"/>
            <w:tcBorders>
              <w:top w:val="nil"/>
              <w:left w:val="nil"/>
              <w:bottom w:val="nil"/>
              <w:right w:val="nil"/>
            </w:tcBorders>
            <w:vAlign w:val="center"/>
          </w:tcPr>
          <w:p w14:paraId="64807C04" w14:textId="77777777" w:rsidR="00B37131" w:rsidRPr="007723B7" w:rsidRDefault="00B37131" w:rsidP="00366938">
            <w:pPr>
              <w:jc w:val="center"/>
              <w:rPr>
                <w:sz w:val="22"/>
                <w:szCs w:val="22"/>
              </w:rPr>
            </w:pPr>
            <w:r w:rsidRPr="007723B7">
              <w:rPr>
                <w:sz w:val="22"/>
                <w:szCs w:val="22"/>
              </w:rPr>
              <w:t>-0.06</w:t>
            </w:r>
          </w:p>
        </w:tc>
        <w:tc>
          <w:tcPr>
            <w:tcW w:w="1094" w:type="dxa"/>
            <w:tcBorders>
              <w:top w:val="nil"/>
              <w:left w:val="nil"/>
              <w:bottom w:val="nil"/>
              <w:right w:val="nil"/>
            </w:tcBorders>
            <w:vAlign w:val="center"/>
          </w:tcPr>
          <w:p w14:paraId="30229B51" w14:textId="77777777" w:rsidR="00B37131" w:rsidRPr="007723B7" w:rsidRDefault="00B37131" w:rsidP="00366938">
            <w:pPr>
              <w:jc w:val="center"/>
              <w:rPr>
                <w:sz w:val="22"/>
                <w:szCs w:val="22"/>
              </w:rPr>
            </w:pPr>
            <w:r w:rsidRPr="007723B7">
              <w:rPr>
                <w:sz w:val="22"/>
                <w:szCs w:val="22"/>
              </w:rPr>
              <w:t>0.00</w:t>
            </w:r>
          </w:p>
        </w:tc>
        <w:tc>
          <w:tcPr>
            <w:tcW w:w="1094" w:type="dxa"/>
            <w:tcBorders>
              <w:top w:val="nil"/>
              <w:left w:val="nil"/>
              <w:bottom w:val="nil"/>
              <w:right w:val="nil"/>
            </w:tcBorders>
            <w:vAlign w:val="center"/>
          </w:tcPr>
          <w:p w14:paraId="3AAD418D" w14:textId="77777777" w:rsidR="00B37131" w:rsidRPr="007723B7" w:rsidRDefault="00B37131" w:rsidP="00366938">
            <w:pPr>
              <w:jc w:val="center"/>
              <w:rPr>
                <w:sz w:val="22"/>
                <w:szCs w:val="22"/>
              </w:rPr>
            </w:pPr>
            <w:r w:rsidRPr="007723B7">
              <w:rPr>
                <w:sz w:val="22"/>
                <w:szCs w:val="22"/>
              </w:rPr>
              <w:t>0.03</w:t>
            </w:r>
          </w:p>
        </w:tc>
        <w:tc>
          <w:tcPr>
            <w:tcW w:w="1094" w:type="dxa"/>
            <w:tcBorders>
              <w:top w:val="nil"/>
              <w:left w:val="nil"/>
              <w:bottom w:val="nil"/>
              <w:right w:val="nil"/>
            </w:tcBorders>
            <w:vAlign w:val="center"/>
          </w:tcPr>
          <w:p w14:paraId="23B890DF" w14:textId="77777777" w:rsidR="00B37131" w:rsidRPr="007723B7" w:rsidRDefault="00B37131" w:rsidP="00366938">
            <w:pPr>
              <w:jc w:val="center"/>
              <w:rPr>
                <w:sz w:val="22"/>
                <w:szCs w:val="22"/>
              </w:rPr>
            </w:pPr>
            <w:r w:rsidRPr="007723B7">
              <w:rPr>
                <w:sz w:val="22"/>
                <w:szCs w:val="22"/>
              </w:rPr>
              <w:t>-</w:t>
            </w:r>
          </w:p>
        </w:tc>
        <w:tc>
          <w:tcPr>
            <w:tcW w:w="1094" w:type="dxa"/>
            <w:tcBorders>
              <w:top w:val="nil"/>
              <w:left w:val="nil"/>
              <w:bottom w:val="nil"/>
              <w:right w:val="nil"/>
            </w:tcBorders>
            <w:vAlign w:val="center"/>
          </w:tcPr>
          <w:p w14:paraId="7A9A7BE5" w14:textId="77777777" w:rsidR="00B37131" w:rsidRPr="007723B7" w:rsidRDefault="00B37131" w:rsidP="00366938">
            <w:pPr>
              <w:jc w:val="center"/>
              <w:rPr>
                <w:sz w:val="22"/>
                <w:szCs w:val="22"/>
              </w:rPr>
            </w:pPr>
          </w:p>
        </w:tc>
        <w:tc>
          <w:tcPr>
            <w:tcW w:w="1094" w:type="dxa"/>
            <w:tcBorders>
              <w:top w:val="nil"/>
              <w:left w:val="nil"/>
              <w:bottom w:val="nil"/>
              <w:right w:val="nil"/>
            </w:tcBorders>
            <w:vAlign w:val="center"/>
          </w:tcPr>
          <w:p w14:paraId="13900BF0" w14:textId="77777777" w:rsidR="00B37131" w:rsidRPr="007723B7" w:rsidRDefault="00B37131" w:rsidP="00366938">
            <w:pPr>
              <w:jc w:val="center"/>
              <w:rPr>
                <w:sz w:val="22"/>
                <w:szCs w:val="22"/>
              </w:rPr>
            </w:pPr>
          </w:p>
        </w:tc>
        <w:tc>
          <w:tcPr>
            <w:tcW w:w="1094" w:type="dxa"/>
            <w:tcBorders>
              <w:top w:val="nil"/>
              <w:left w:val="nil"/>
              <w:bottom w:val="nil"/>
              <w:right w:val="nil"/>
            </w:tcBorders>
            <w:vAlign w:val="center"/>
          </w:tcPr>
          <w:p w14:paraId="1826A086" w14:textId="77777777" w:rsidR="00B37131" w:rsidRPr="007723B7" w:rsidRDefault="00B37131" w:rsidP="00366938">
            <w:pPr>
              <w:jc w:val="center"/>
              <w:rPr>
                <w:sz w:val="22"/>
                <w:szCs w:val="22"/>
              </w:rPr>
            </w:pPr>
          </w:p>
        </w:tc>
        <w:tc>
          <w:tcPr>
            <w:tcW w:w="1094" w:type="dxa"/>
            <w:tcBorders>
              <w:top w:val="nil"/>
              <w:left w:val="nil"/>
              <w:bottom w:val="nil"/>
              <w:right w:val="nil"/>
            </w:tcBorders>
            <w:vAlign w:val="center"/>
          </w:tcPr>
          <w:p w14:paraId="1CE90036" w14:textId="77777777" w:rsidR="00B37131" w:rsidRPr="007723B7" w:rsidRDefault="00B37131" w:rsidP="00366938">
            <w:pPr>
              <w:jc w:val="center"/>
              <w:rPr>
                <w:sz w:val="22"/>
                <w:szCs w:val="22"/>
              </w:rPr>
            </w:pPr>
          </w:p>
        </w:tc>
        <w:tc>
          <w:tcPr>
            <w:tcW w:w="1094" w:type="dxa"/>
            <w:tcBorders>
              <w:top w:val="nil"/>
              <w:left w:val="nil"/>
              <w:bottom w:val="nil"/>
              <w:right w:val="nil"/>
            </w:tcBorders>
            <w:vAlign w:val="center"/>
          </w:tcPr>
          <w:p w14:paraId="31B9CEB1" w14:textId="77777777" w:rsidR="00B37131" w:rsidRPr="007723B7" w:rsidRDefault="00B37131" w:rsidP="00366938">
            <w:pPr>
              <w:jc w:val="center"/>
              <w:rPr>
                <w:sz w:val="22"/>
                <w:szCs w:val="22"/>
              </w:rPr>
            </w:pPr>
          </w:p>
        </w:tc>
      </w:tr>
      <w:tr w:rsidR="00B37131" w14:paraId="458F48E3" w14:textId="77777777" w:rsidTr="00366938">
        <w:trPr>
          <w:trHeight w:val="389"/>
        </w:trPr>
        <w:tc>
          <w:tcPr>
            <w:tcW w:w="2335" w:type="dxa"/>
            <w:tcBorders>
              <w:top w:val="nil"/>
              <w:left w:val="nil"/>
              <w:bottom w:val="nil"/>
              <w:right w:val="nil"/>
            </w:tcBorders>
            <w:vAlign w:val="center"/>
          </w:tcPr>
          <w:p w14:paraId="37C19578" w14:textId="77777777" w:rsidR="00B37131" w:rsidRPr="007723B7" w:rsidRDefault="00B37131" w:rsidP="00366938">
            <w:pPr>
              <w:rPr>
                <w:sz w:val="22"/>
                <w:szCs w:val="22"/>
              </w:rPr>
            </w:pPr>
            <w:r>
              <w:rPr>
                <w:sz w:val="22"/>
                <w:szCs w:val="22"/>
              </w:rPr>
              <w:t xml:space="preserve">  </w:t>
            </w:r>
            <w:r w:rsidRPr="007723B7">
              <w:rPr>
                <w:sz w:val="22"/>
                <w:szCs w:val="22"/>
              </w:rPr>
              <w:t>6. Contact Frequency</w:t>
            </w:r>
          </w:p>
        </w:tc>
        <w:tc>
          <w:tcPr>
            <w:tcW w:w="1094" w:type="dxa"/>
            <w:tcBorders>
              <w:top w:val="nil"/>
              <w:left w:val="nil"/>
              <w:bottom w:val="nil"/>
              <w:right w:val="nil"/>
            </w:tcBorders>
            <w:vAlign w:val="center"/>
          </w:tcPr>
          <w:p w14:paraId="188FFCCE" w14:textId="77777777" w:rsidR="00B37131" w:rsidRPr="007723B7" w:rsidRDefault="00B37131" w:rsidP="00366938">
            <w:pPr>
              <w:jc w:val="center"/>
              <w:rPr>
                <w:sz w:val="22"/>
                <w:szCs w:val="22"/>
              </w:rPr>
            </w:pPr>
            <w:r w:rsidRPr="007723B7">
              <w:rPr>
                <w:sz w:val="22"/>
                <w:szCs w:val="22"/>
              </w:rPr>
              <w:t>-0.07</w:t>
            </w:r>
          </w:p>
        </w:tc>
        <w:tc>
          <w:tcPr>
            <w:tcW w:w="1094" w:type="dxa"/>
            <w:tcBorders>
              <w:top w:val="nil"/>
              <w:left w:val="nil"/>
              <w:bottom w:val="nil"/>
              <w:right w:val="nil"/>
            </w:tcBorders>
            <w:vAlign w:val="center"/>
          </w:tcPr>
          <w:p w14:paraId="66E22700" w14:textId="77777777" w:rsidR="00B37131" w:rsidRPr="007723B7" w:rsidRDefault="00B37131" w:rsidP="00366938">
            <w:pPr>
              <w:jc w:val="center"/>
              <w:rPr>
                <w:sz w:val="22"/>
                <w:szCs w:val="22"/>
              </w:rPr>
            </w:pPr>
            <w:r w:rsidRPr="007723B7">
              <w:rPr>
                <w:sz w:val="22"/>
                <w:szCs w:val="22"/>
              </w:rPr>
              <w:t>0.48***</w:t>
            </w:r>
          </w:p>
        </w:tc>
        <w:tc>
          <w:tcPr>
            <w:tcW w:w="1094" w:type="dxa"/>
            <w:tcBorders>
              <w:top w:val="nil"/>
              <w:left w:val="nil"/>
              <w:bottom w:val="nil"/>
              <w:right w:val="nil"/>
            </w:tcBorders>
            <w:vAlign w:val="center"/>
          </w:tcPr>
          <w:p w14:paraId="0CFF25BC" w14:textId="77777777" w:rsidR="00B37131" w:rsidRPr="007723B7" w:rsidRDefault="00B37131" w:rsidP="00366938">
            <w:pPr>
              <w:jc w:val="center"/>
              <w:rPr>
                <w:sz w:val="22"/>
                <w:szCs w:val="22"/>
              </w:rPr>
            </w:pPr>
            <w:r w:rsidRPr="007723B7">
              <w:rPr>
                <w:sz w:val="22"/>
                <w:szCs w:val="22"/>
              </w:rPr>
              <w:t>0.47***</w:t>
            </w:r>
          </w:p>
        </w:tc>
        <w:tc>
          <w:tcPr>
            <w:tcW w:w="1094" w:type="dxa"/>
            <w:tcBorders>
              <w:top w:val="nil"/>
              <w:left w:val="nil"/>
              <w:bottom w:val="nil"/>
              <w:right w:val="nil"/>
            </w:tcBorders>
            <w:vAlign w:val="center"/>
          </w:tcPr>
          <w:p w14:paraId="33576501" w14:textId="77777777" w:rsidR="00B37131" w:rsidRPr="007723B7" w:rsidRDefault="00B37131" w:rsidP="00366938">
            <w:pPr>
              <w:jc w:val="center"/>
              <w:rPr>
                <w:sz w:val="22"/>
                <w:szCs w:val="22"/>
              </w:rPr>
            </w:pPr>
            <w:r w:rsidRPr="007723B7">
              <w:rPr>
                <w:sz w:val="22"/>
                <w:szCs w:val="22"/>
              </w:rPr>
              <w:t>-0.35***</w:t>
            </w:r>
          </w:p>
        </w:tc>
        <w:tc>
          <w:tcPr>
            <w:tcW w:w="1094" w:type="dxa"/>
            <w:tcBorders>
              <w:top w:val="nil"/>
              <w:left w:val="nil"/>
              <w:bottom w:val="nil"/>
              <w:right w:val="nil"/>
            </w:tcBorders>
            <w:vAlign w:val="center"/>
          </w:tcPr>
          <w:p w14:paraId="3ACAAAAF" w14:textId="77777777" w:rsidR="00B37131" w:rsidRPr="007723B7" w:rsidRDefault="00B37131" w:rsidP="00366938">
            <w:pPr>
              <w:jc w:val="center"/>
              <w:rPr>
                <w:sz w:val="22"/>
                <w:szCs w:val="22"/>
              </w:rPr>
            </w:pPr>
            <w:r w:rsidRPr="007723B7">
              <w:rPr>
                <w:sz w:val="22"/>
                <w:szCs w:val="22"/>
              </w:rPr>
              <w:t>-0.05</w:t>
            </w:r>
          </w:p>
        </w:tc>
        <w:tc>
          <w:tcPr>
            <w:tcW w:w="1094" w:type="dxa"/>
            <w:tcBorders>
              <w:top w:val="nil"/>
              <w:left w:val="nil"/>
              <w:bottom w:val="nil"/>
              <w:right w:val="nil"/>
            </w:tcBorders>
            <w:vAlign w:val="center"/>
          </w:tcPr>
          <w:p w14:paraId="0C02D4D1" w14:textId="77777777" w:rsidR="00B37131" w:rsidRPr="007723B7" w:rsidRDefault="00B37131" w:rsidP="00366938">
            <w:pPr>
              <w:jc w:val="center"/>
              <w:rPr>
                <w:sz w:val="22"/>
                <w:szCs w:val="22"/>
              </w:rPr>
            </w:pPr>
            <w:r w:rsidRPr="007723B7">
              <w:rPr>
                <w:sz w:val="22"/>
                <w:szCs w:val="22"/>
              </w:rPr>
              <w:t>-</w:t>
            </w:r>
          </w:p>
        </w:tc>
        <w:tc>
          <w:tcPr>
            <w:tcW w:w="1094" w:type="dxa"/>
            <w:tcBorders>
              <w:top w:val="nil"/>
              <w:left w:val="nil"/>
              <w:bottom w:val="nil"/>
              <w:right w:val="nil"/>
            </w:tcBorders>
            <w:vAlign w:val="center"/>
          </w:tcPr>
          <w:p w14:paraId="63AB1636" w14:textId="77777777" w:rsidR="00B37131" w:rsidRPr="007723B7" w:rsidRDefault="00B37131" w:rsidP="00366938">
            <w:pPr>
              <w:jc w:val="center"/>
              <w:rPr>
                <w:sz w:val="22"/>
                <w:szCs w:val="22"/>
              </w:rPr>
            </w:pPr>
          </w:p>
        </w:tc>
        <w:tc>
          <w:tcPr>
            <w:tcW w:w="1094" w:type="dxa"/>
            <w:tcBorders>
              <w:top w:val="nil"/>
              <w:left w:val="nil"/>
              <w:bottom w:val="nil"/>
              <w:right w:val="nil"/>
            </w:tcBorders>
            <w:vAlign w:val="center"/>
          </w:tcPr>
          <w:p w14:paraId="35800FFA" w14:textId="77777777" w:rsidR="00B37131" w:rsidRPr="007723B7" w:rsidRDefault="00B37131" w:rsidP="00366938">
            <w:pPr>
              <w:jc w:val="center"/>
              <w:rPr>
                <w:sz w:val="22"/>
                <w:szCs w:val="22"/>
              </w:rPr>
            </w:pPr>
          </w:p>
        </w:tc>
        <w:tc>
          <w:tcPr>
            <w:tcW w:w="1094" w:type="dxa"/>
            <w:tcBorders>
              <w:top w:val="nil"/>
              <w:left w:val="nil"/>
              <w:bottom w:val="nil"/>
              <w:right w:val="nil"/>
            </w:tcBorders>
            <w:vAlign w:val="center"/>
          </w:tcPr>
          <w:p w14:paraId="0CF1B50D" w14:textId="77777777" w:rsidR="00B37131" w:rsidRPr="007723B7" w:rsidRDefault="00B37131" w:rsidP="00366938">
            <w:pPr>
              <w:jc w:val="center"/>
              <w:rPr>
                <w:sz w:val="22"/>
                <w:szCs w:val="22"/>
              </w:rPr>
            </w:pPr>
          </w:p>
        </w:tc>
        <w:tc>
          <w:tcPr>
            <w:tcW w:w="1094" w:type="dxa"/>
            <w:tcBorders>
              <w:top w:val="nil"/>
              <w:left w:val="nil"/>
              <w:bottom w:val="nil"/>
              <w:right w:val="nil"/>
            </w:tcBorders>
            <w:vAlign w:val="center"/>
          </w:tcPr>
          <w:p w14:paraId="2FBB7549" w14:textId="77777777" w:rsidR="00B37131" w:rsidRPr="007723B7" w:rsidRDefault="00B37131" w:rsidP="00366938">
            <w:pPr>
              <w:jc w:val="center"/>
              <w:rPr>
                <w:sz w:val="22"/>
                <w:szCs w:val="22"/>
              </w:rPr>
            </w:pPr>
          </w:p>
        </w:tc>
      </w:tr>
      <w:tr w:rsidR="00B37131" w14:paraId="173D3B27" w14:textId="77777777" w:rsidTr="00366938">
        <w:trPr>
          <w:trHeight w:val="389"/>
        </w:trPr>
        <w:tc>
          <w:tcPr>
            <w:tcW w:w="2335" w:type="dxa"/>
            <w:tcBorders>
              <w:top w:val="nil"/>
              <w:left w:val="nil"/>
              <w:bottom w:val="nil"/>
              <w:right w:val="nil"/>
            </w:tcBorders>
            <w:vAlign w:val="center"/>
          </w:tcPr>
          <w:p w14:paraId="24EBFE5D" w14:textId="77777777" w:rsidR="00B37131" w:rsidRPr="007723B7" w:rsidRDefault="00B37131" w:rsidP="00366938">
            <w:pPr>
              <w:rPr>
                <w:sz w:val="22"/>
                <w:szCs w:val="22"/>
              </w:rPr>
            </w:pPr>
            <w:r>
              <w:rPr>
                <w:sz w:val="22"/>
                <w:szCs w:val="22"/>
              </w:rPr>
              <w:t xml:space="preserve">  </w:t>
            </w:r>
            <w:r w:rsidRPr="007723B7">
              <w:rPr>
                <w:sz w:val="22"/>
                <w:szCs w:val="22"/>
              </w:rPr>
              <w:t>7. Contact Quality</w:t>
            </w:r>
          </w:p>
        </w:tc>
        <w:tc>
          <w:tcPr>
            <w:tcW w:w="1094" w:type="dxa"/>
            <w:tcBorders>
              <w:top w:val="nil"/>
              <w:left w:val="nil"/>
              <w:bottom w:val="nil"/>
              <w:right w:val="nil"/>
            </w:tcBorders>
            <w:vAlign w:val="center"/>
          </w:tcPr>
          <w:p w14:paraId="0C89FDB8" w14:textId="77777777" w:rsidR="00B37131" w:rsidRPr="007723B7" w:rsidRDefault="00B37131" w:rsidP="00366938">
            <w:pPr>
              <w:jc w:val="center"/>
              <w:rPr>
                <w:sz w:val="22"/>
                <w:szCs w:val="22"/>
              </w:rPr>
            </w:pPr>
            <w:r w:rsidRPr="007723B7">
              <w:rPr>
                <w:sz w:val="22"/>
                <w:szCs w:val="22"/>
              </w:rPr>
              <w:t>-0.05</w:t>
            </w:r>
          </w:p>
        </w:tc>
        <w:tc>
          <w:tcPr>
            <w:tcW w:w="1094" w:type="dxa"/>
            <w:tcBorders>
              <w:top w:val="nil"/>
              <w:left w:val="nil"/>
              <w:bottom w:val="nil"/>
              <w:right w:val="nil"/>
            </w:tcBorders>
            <w:vAlign w:val="center"/>
          </w:tcPr>
          <w:p w14:paraId="24D73DB5" w14:textId="77777777" w:rsidR="00B37131" w:rsidRPr="007723B7" w:rsidRDefault="00B37131" w:rsidP="00366938">
            <w:pPr>
              <w:jc w:val="center"/>
              <w:rPr>
                <w:sz w:val="22"/>
                <w:szCs w:val="22"/>
              </w:rPr>
            </w:pPr>
            <w:r w:rsidRPr="007723B7">
              <w:rPr>
                <w:sz w:val="22"/>
                <w:szCs w:val="22"/>
              </w:rPr>
              <w:t>0.47***</w:t>
            </w:r>
          </w:p>
        </w:tc>
        <w:tc>
          <w:tcPr>
            <w:tcW w:w="1094" w:type="dxa"/>
            <w:tcBorders>
              <w:top w:val="nil"/>
              <w:left w:val="nil"/>
              <w:bottom w:val="nil"/>
              <w:right w:val="nil"/>
            </w:tcBorders>
            <w:vAlign w:val="center"/>
          </w:tcPr>
          <w:p w14:paraId="706715A1" w14:textId="77777777" w:rsidR="00B37131" w:rsidRPr="007723B7" w:rsidRDefault="00B37131" w:rsidP="00366938">
            <w:pPr>
              <w:jc w:val="center"/>
              <w:rPr>
                <w:sz w:val="22"/>
                <w:szCs w:val="22"/>
              </w:rPr>
            </w:pPr>
            <w:r w:rsidRPr="007723B7">
              <w:rPr>
                <w:sz w:val="22"/>
                <w:szCs w:val="22"/>
              </w:rPr>
              <w:t>0.68***</w:t>
            </w:r>
          </w:p>
        </w:tc>
        <w:tc>
          <w:tcPr>
            <w:tcW w:w="1094" w:type="dxa"/>
            <w:tcBorders>
              <w:top w:val="nil"/>
              <w:left w:val="nil"/>
              <w:bottom w:val="nil"/>
              <w:right w:val="nil"/>
            </w:tcBorders>
            <w:vAlign w:val="center"/>
          </w:tcPr>
          <w:p w14:paraId="3DB5A944" w14:textId="77777777" w:rsidR="00B37131" w:rsidRPr="007723B7" w:rsidRDefault="00B37131" w:rsidP="00366938">
            <w:pPr>
              <w:jc w:val="center"/>
              <w:rPr>
                <w:sz w:val="22"/>
                <w:szCs w:val="22"/>
              </w:rPr>
            </w:pPr>
            <w:r w:rsidRPr="007723B7">
              <w:rPr>
                <w:sz w:val="22"/>
                <w:szCs w:val="22"/>
              </w:rPr>
              <w:t>-0.49***</w:t>
            </w:r>
          </w:p>
        </w:tc>
        <w:tc>
          <w:tcPr>
            <w:tcW w:w="1094" w:type="dxa"/>
            <w:tcBorders>
              <w:top w:val="nil"/>
              <w:left w:val="nil"/>
              <w:bottom w:val="nil"/>
              <w:right w:val="nil"/>
            </w:tcBorders>
            <w:vAlign w:val="center"/>
          </w:tcPr>
          <w:p w14:paraId="7D2B5F34" w14:textId="77777777" w:rsidR="00B37131" w:rsidRPr="007723B7" w:rsidRDefault="00B37131" w:rsidP="00366938">
            <w:pPr>
              <w:jc w:val="center"/>
              <w:rPr>
                <w:sz w:val="22"/>
                <w:szCs w:val="22"/>
              </w:rPr>
            </w:pPr>
            <w:r w:rsidRPr="007723B7">
              <w:rPr>
                <w:sz w:val="22"/>
                <w:szCs w:val="22"/>
              </w:rPr>
              <w:t>-0.02</w:t>
            </w:r>
          </w:p>
        </w:tc>
        <w:tc>
          <w:tcPr>
            <w:tcW w:w="1094" w:type="dxa"/>
            <w:tcBorders>
              <w:top w:val="nil"/>
              <w:left w:val="nil"/>
              <w:bottom w:val="nil"/>
              <w:right w:val="nil"/>
            </w:tcBorders>
            <w:vAlign w:val="center"/>
          </w:tcPr>
          <w:p w14:paraId="03F0555D" w14:textId="77777777" w:rsidR="00B37131" w:rsidRPr="007723B7" w:rsidRDefault="00B37131" w:rsidP="00366938">
            <w:pPr>
              <w:jc w:val="center"/>
              <w:rPr>
                <w:sz w:val="22"/>
                <w:szCs w:val="22"/>
              </w:rPr>
            </w:pPr>
            <w:r w:rsidRPr="007723B7">
              <w:rPr>
                <w:sz w:val="22"/>
                <w:szCs w:val="22"/>
              </w:rPr>
              <w:t>0.74***</w:t>
            </w:r>
          </w:p>
        </w:tc>
        <w:tc>
          <w:tcPr>
            <w:tcW w:w="1094" w:type="dxa"/>
            <w:tcBorders>
              <w:top w:val="nil"/>
              <w:left w:val="nil"/>
              <w:bottom w:val="nil"/>
              <w:right w:val="nil"/>
            </w:tcBorders>
            <w:vAlign w:val="center"/>
          </w:tcPr>
          <w:p w14:paraId="360793D9" w14:textId="77777777" w:rsidR="00B37131" w:rsidRPr="007723B7" w:rsidRDefault="00B37131" w:rsidP="00366938">
            <w:pPr>
              <w:jc w:val="center"/>
              <w:rPr>
                <w:sz w:val="22"/>
                <w:szCs w:val="22"/>
              </w:rPr>
            </w:pPr>
            <w:r w:rsidRPr="007723B7">
              <w:rPr>
                <w:sz w:val="22"/>
                <w:szCs w:val="22"/>
              </w:rPr>
              <w:t>-</w:t>
            </w:r>
          </w:p>
        </w:tc>
        <w:tc>
          <w:tcPr>
            <w:tcW w:w="1094" w:type="dxa"/>
            <w:tcBorders>
              <w:top w:val="nil"/>
              <w:left w:val="nil"/>
              <w:bottom w:val="nil"/>
              <w:right w:val="nil"/>
            </w:tcBorders>
            <w:vAlign w:val="center"/>
          </w:tcPr>
          <w:p w14:paraId="5BBFB51C" w14:textId="77777777" w:rsidR="00B37131" w:rsidRPr="007723B7" w:rsidRDefault="00B37131" w:rsidP="00366938">
            <w:pPr>
              <w:jc w:val="center"/>
              <w:rPr>
                <w:sz w:val="22"/>
                <w:szCs w:val="22"/>
              </w:rPr>
            </w:pPr>
          </w:p>
        </w:tc>
        <w:tc>
          <w:tcPr>
            <w:tcW w:w="1094" w:type="dxa"/>
            <w:tcBorders>
              <w:top w:val="nil"/>
              <w:left w:val="nil"/>
              <w:bottom w:val="nil"/>
              <w:right w:val="nil"/>
            </w:tcBorders>
            <w:vAlign w:val="center"/>
          </w:tcPr>
          <w:p w14:paraId="6493E5BC" w14:textId="77777777" w:rsidR="00B37131" w:rsidRPr="007723B7" w:rsidRDefault="00B37131" w:rsidP="00366938">
            <w:pPr>
              <w:jc w:val="center"/>
              <w:rPr>
                <w:sz w:val="22"/>
                <w:szCs w:val="22"/>
              </w:rPr>
            </w:pPr>
          </w:p>
        </w:tc>
        <w:tc>
          <w:tcPr>
            <w:tcW w:w="1094" w:type="dxa"/>
            <w:tcBorders>
              <w:top w:val="nil"/>
              <w:left w:val="nil"/>
              <w:bottom w:val="nil"/>
              <w:right w:val="nil"/>
            </w:tcBorders>
            <w:vAlign w:val="center"/>
          </w:tcPr>
          <w:p w14:paraId="18E15316" w14:textId="77777777" w:rsidR="00B37131" w:rsidRPr="007723B7" w:rsidRDefault="00B37131" w:rsidP="00366938">
            <w:pPr>
              <w:jc w:val="center"/>
              <w:rPr>
                <w:sz w:val="22"/>
                <w:szCs w:val="22"/>
              </w:rPr>
            </w:pPr>
          </w:p>
        </w:tc>
      </w:tr>
      <w:tr w:rsidR="00B37131" w14:paraId="5530107F" w14:textId="77777777" w:rsidTr="00366938">
        <w:trPr>
          <w:trHeight w:val="389"/>
        </w:trPr>
        <w:tc>
          <w:tcPr>
            <w:tcW w:w="2335" w:type="dxa"/>
            <w:tcBorders>
              <w:top w:val="nil"/>
              <w:left w:val="nil"/>
              <w:bottom w:val="nil"/>
              <w:right w:val="nil"/>
            </w:tcBorders>
            <w:vAlign w:val="center"/>
          </w:tcPr>
          <w:p w14:paraId="2312F793" w14:textId="77777777" w:rsidR="00B37131" w:rsidRPr="007723B7" w:rsidRDefault="00B37131" w:rsidP="00366938">
            <w:pPr>
              <w:rPr>
                <w:sz w:val="22"/>
                <w:szCs w:val="22"/>
              </w:rPr>
            </w:pPr>
            <w:r>
              <w:rPr>
                <w:sz w:val="22"/>
                <w:szCs w:val="22"/>
              </w:rPr>
              <w:t xml:space="preserve">  </w:t>
            </w:r>
            <w:r w:rsidRPr="007723B7">
              <w:rPr>
                <w:sz w:val="22"/>
                <w:szCs w:val="22"/>
              </w:rPr>
              <w:t>8. Bias</w:t>
            </w:r>
          </w:p>
        </w:tc>
        <w:tc>
          <w:tcPr>
            <w:tcW w:w="1094" w:type="dxa"/>
            <w:tcBorders>
              <w:top w:val="nil"/>
              <w:left w:val="nil"/>
              <w:bottom w:val="nil"/>
              <w:right w:val="nil"/>
            </w:tcBorders>
            <w:vAlign w:val="center"/>
          </w:tcPr>
          <w:p w14:paraId="29B082EB" w14:textId="77777777" w:rsidR="00B37131" w:rsidRPr="007723B7" w:rsidRDefault="00B37131" w:rsidP="00366938">
            <w:pPr>
              <w:jc w:val="center"/>
              <w:rPr>
                <w:sz w:val="22"/>
                <w:szCs w:val="22"/>
              </w:rPr>
            </w:pPr>
            <w:r w:rsidRPr="007723B7">
              <w:rPr>
                <w:sz w:val="22"/>
                <w:szCs w:val="22"/>
              </w:rPr>
              <w:t>0.06</w:t>
            </w:r>
          </w:p>
        </w:tc>
        <w:tc>
          <w:tcPr>
            <w:tcW w:w="1094" w:type="dxa"/>
            <w:tcBorders>
              <w:top w:val="nil"/>
              <w:left w:val="nil"/>
              <w:bottom w:val="nil"/>
              <w:right w:val="nil"/>
            </w:tcBorders>
            <w:vAlign w:val="center"/>
          </w:tcPr>
          <w:p w14:paraId="739B33E8" w14:textId="77777777" w:rsidR="00B37131" w:rsidRPr="007723B7" w:rsidRDefault="00B37131" w:rsidP="00366938">
            <w:pPr>
              <w:jc w:val="center"/>
              <w:rPr>
                <w:sz w:val="22"/>
                <w:szCs w:val="22"/>
              </w:rPr>
            </w:pPr>
            <w:r w:rsidRPr="007723B7">
              <w:rPr>
                <w:sz w:val="22"/>
                <w:szCs w:val="22"/>
              </w:rPr>
              <w:t>-0.29***</w:t>
            </w:r>
          </w:p>
        </w:tc>
        <w:tc>
          <w:tcPr>
            <w:tcW w:w="1094" w:type="dxa"/>
            <w:tcBorders>
              <w:top w:val="nil"/>
              <w:left w:val="nil"/>
              <w:bottom w:val="nil"/>
              <w:right w:val="nil"/>
            </w:tcBorders>
            <w:vAlign w:val="center"/>
          </w:tcPr>
          <w:p w14:paraId="24233083" w14:textId="77777777" w:rsidR="00B37131" w:rsidRPr="007723B7" w:rsidRDefault="00B37131" w:rsidP="00366938">
            <w:pPr>
              <w:jc w:val="center"/>
              <w:rPr>
                <w:sz w:val="22"/>
                <w:szCs w:val="22"/>
              </w:rPr>
            </w:pPr>
            <w:r w:rsidRPr="007723B7">
              <w:rPr>
                <w:sz w:val="22"/>
                <w:szCs w:val="22"/>
              </w:rPr>
              <w:t>-0.49***</w:t>
            </w:r>
          </w:p>
        </w:tc>
        <w:tc>
          <w:tcPr>
            <w:tcW w:w="1094" w:type="dxa"/>
            <w:tcBorders>
              <w:top w:val="nil"/>
              <w:left w:val="nil"/>
              <w:bottom w:val="nil"/>
              <w:right w:val="nil"/>
            </w:tcBorders>
            <w:vAlign w:val="center"/>
          </w:tcPr>
          <w:p w14:paraId="7508D459" w14:textId="77777777" w:rsidR="00B37131" w:rsidRPr="007723B7" w:rsidRDefault="00B37131" w:rsidP="00366938">
            <w:pPr>
              <w:jc w:val="center"/>
              <w:rPr>
                <w:sz w:val="22"/>
                <w:szCs w:val="22"/>
              </w:rPr>
            </w:pPr>
            <w:r w:rsidRPr="007723B7">
              <w:rPr>
                <w:sz w:val="22"/>
                <w:szCs w:val="22"/>
              </w:rPr>
              <w:t>0.79***</w:t>
            </w:r>
          </w:p>
        </w:tc>
        <w:tc>
          <w:tcPr>
            <w:tcW w:w="1094" w:type="dxa"/>
            <w:tcBorders>
              <w:top w:val="nil"/>
              <w:left w:val="nil"/>
              <w:bottom w:val="nil"/>
              <w:right w:val="nil"/>
            </w:tcBorders>
            <w:vAlign w:val="center"/>
          </w:tcPr>
          <w:p w14:paraId="6EC75476" w14:textId="77777777" w:rsidR="00B37131" w:rsidRPr="007723B7" w:rsidRDefault="00B37131" w:rsidP="00366938">
            <w:pPr>
              <w:jc w:val="center"/>
              <w:rPr>
                <w:sz w:val="22"/>
                <w:szCs w:val="22"/>
              </w:rPr>
            </w:pPr>
            <w:r w:rsidRPr="007723B7">
              <w:rPr>
                <w:sz w:val="22"/>
                <w:szCs w:val="22"/>
              </w:rPr>
              <w:t>0.06</w:t>
            </w:r>
          </w:p>
        </w:tc>
        <w:tc>
          <w:tcPr>
            <w:tcW w:w="1094" w:type="dxa"/>
            <w:tcBorders>
              <w:top w:val="nil"/>
              <w:left w:val="nil"/>
              <w:bottom w:val="nil"/>
              <w:right w:val="nil"/>
            </w:tcBorders>
            <w:vAlign w:val="center"/>
          </w:tcPr>
          <w:p w14:paraId="70003610" w14:textId="77777777" w:rsidR="00B37131" w:rsidRPr="007723B7" w:rsidRDefault="00B37131" w:rsidP="00366938">
            <w:pPr>
              <w:jc w:val="center"/>
              <w:rPr>
                <w:sz w:val="22"/>
                <w:szCs w:val="22"/>
              </w:rPr>
            </w:pPr>
            <w:r w:rsidRPr="007723B7">
              <w:rPr>
                <w:sz w:val="22"/>
                <w:szCs w:val="22"/>
              </w:rPr>
              <w:t>-0.39***</w:t>
            </w:r>
          </w:p>
        </w:tc>
        <w:tc>
          <w:tcPr>
            <w:tcW w:w="1094" w:type="dxa"/>
            <w:tcBorders>
              <w:top w:val="nil"/>
              <w:left w:val="nil"/>
              <w:bottom w:val="nil"/>
              <w:right w:val="nil"/>
            </w:tcBorders>
            <w:vAlign w:val="center"/>
          </w:tcPr>
          <w:p w14:paraId="5327061D" w14:textId="77777777" w:rsidR="00B37131" w:rsidRPr="007723B7" w:rsidRDefault="00B37131" w:rsidP="00366938">
            <w:pPr>
              <w:jc w:val="center"/>
              <w:rPr>
                <w:sz w:val="22"/>
                <w:szCs w:val="22"/>
              </w:rPr>
            </w:pPr>
            <w:r w:rsidRPr="007723B7">
              <w:rPr>
                <w:sz w:val="22"/>
                <w:szCs w:val="22"/>
              </w:rPr>
              <w:t>-0.58***</w:t>
            </w:r>
          </w:p>
        </w:tc>
        <w:tc>
          <w:tcPr>
            <w:tcW w:w="1094" w:type="dxa"/>
            <w:tcBorders>
              <w:top w:val="nil"/>
              <w:left w:val="nil"/>
              <w:bottom w:val="nil"/>
              <w:right w:val="nil"/>
            </w:tcBorders>
            <w:vAlign w:val="center"/>
          </w:tcPr>
          <w:p w14:paraId="1B225B95" w14:textId="77777777" w:rsidR="00B37131" w:rsidRPr="007723B7" w:rsidRDefault="00B37131" w:rsidP="00366938">
            <w:pPr>
              <w:jc w:val="center"/>
              <w:rPr>
                <w:sz w:val="22"/>
                <w:szCs w:val="22"/>
              </w:rPr>
            </w:pPr>
            <w:r w:rsidRPr="007723B7">
              <w:rPr>
                <w:sz w:val="22"/>
                <w:szCs w:val="22"/>
              </w:rPr>
              <w:t>-</w:t>
            </w:r>
          </w:p>
        </w:tc>
        <w:tc>
          <w:tcPr>
            <w:tcW w:w="1094" w:type="dxa"/>
            <w:tcBorders>
              <w:top w:val="nil"/>
              <w:left w:val="nil"/>
              <w:bottom w:val="nil"/>
              <w:right w:val="nil"/>
            </w:tcBorders>
            <w:vAlign w:val="center"/>
          </w:tcPr>
          <w:p w14:paraId="10201CD4" w14:textId="77777777" w:rsidR="00B37131" w:rsidRPr="007723B7" w:rsidRDefault="00B37131" w:rsidP="00366938">
            <w:pPr>
              <w:jc w:val="center"/>
              <w:rPr>
                <w:sz w:val="22"/>
                <w:szCs w:val="22"/>
              </w:rPr>
            </w:pPr>
          </w:p>
        </w:tc>
        <w:tc>
          <w:tcPr>
            <w:tcW w:w="1094" w:type="dxa"/>
            <w:tcBorders>
              <w:top w:val="nil"/>
              <w:left w:val="nil"/>
              <w:bottom w:val="nil"/>
              <w:right w:val="nil"/>
            </w:tcBorders>
            <w:vAlign w:val="center"/>
          </w:tcPr>
          <w:p w14:paraId="3AFE9F3F" w14:textId="77777777" w:rsidR="00B37131" w:rsidRPr="007723B7" w:rsidRDefault="00B37131" w:rsidP="00366938">
            <w:pPr>
              <w:jc w:val="center"/>
              <w:rPr>
                <w:sz w:val="22"/>
                <w:szCs w:val="22"/>
              </w:rPr>
            </w:pPr>
          </w:p>
        </w:tc>
      </w:tr>
      <w:tr w:rsidR="00B37131" w14:paraId="0E5E12E0" w14:textId="77777777" w:rsidTr="00366938">
        <w:trPr>
          <w:trHeight w:val="389"/>
        </w:trPr>
        <w:tc>
          <w:tcPr>
            <w:tcW w:w="2335" w:type="dxa"/>
            <w:tcBorders>
              <w:top w:val="nil"/>
              <w:left w:val="nil"/>
              <w:bottom w:val="nil"/>
              <w:right w:val="nil"/>
            </w:tcBorders>
            <w:vAlign w:val="center"/>
          </w:tcPr>
          <w:p w14:paraId="2FF5C575" w14:textId="77777777" w:rsidR="00B37131" w:rsidRPr="007723B7" w:rsidRDefault="00B37131" w:rsidP="00366938">
            <w:pPr>
              <w:rPr>
                <w:sz w:val="22"/>
                <w:szCs w:val="22"/>
              </w:rPr>
            </w:pPr>
            <w:r>
              <w:rPr>
                <w:sz w:val="22"/>
                <w:szCs w:val="22"/>
              </w:rPr>
              <w:t xml:space="preserve">  </w:t>
            </w:r>
            <w:r w:rsidRPr="007723B7">
              <w:rPr>
                <w:sz w:val="22"/>
                <w:szCs w:val="22"/>
              </w:rPr>
              <w:t>9. Gender</w:t>
            </w:r>
          </w:p>
        </w:tc>
        <w:tc>
          <w:tcPr>
            <w:tcW w:w="1094" w:type="dxa"/>
            <w:tcBorders>
              <w:top w:val="nil"/>
              <w:left w:val="nil"/>
              <w:bottom w:val="nil"/>
              <w:right w:val="nil"/>
            </w:tcBorders>
            <w:vAlign w:val="center"/>
          </w:tcPr>
          <w:p w14:paraId="02A4F3DF" w14:textId="77777777" w:rsidR="00B37131" w:rsidRPr="007723B7" w:rsidRDefault="00B37131" w:rsidP="00366938">
            <w:pPr>
              <w:jc w:val="center"/>
              <w:rPr>
                <w:sz w:val="22"/>
                <w:szCs w:val="22"/>
              </w:rPr>
            </w:pPr>
            <w:r w:rsidRPr="007723B7">
              <w:rPr>
                <w:sz w:val="22"/>
                <w:szCs w:val="22"/>
              </w:rPr>
              <w:t>-0.00</w:t>
            </w:r>
          </w:p>
        </w:tc>
        <w:tc>
          <w:tcPr>
            <w:tcW w:w="1094" w:type="dxa"/>
            <w:tcBorders>
              <w:top w:val="nil"/>
              <w:left w:val="nil"/>
              <w:bottom w:val="nil"/>
              <w:right w:val="nil"/>
            </w:tcBorders>
            <w:vAlign w:val="center"/>
          </w:tcPr>
          <w:p w14:paraId="0D2C67BD" w14:textId="77777777" w:rsidR="00B37131" w:rsidRPr="007723B7" w:rsidRDefault="00B37131" w:rsidP="00366938">
            <w:pPr>
              <w:jc w:val="center"/>
              <w:rPr>
                <w:sz w:val="22"/>
                <w:szCs w:val="22"/>
              </w:rPr>
            </w:pPr>
            <w:r w:rsidRPr="007723B7">
              <w:rPr>
                <w:sz w:val="22"/>
                <w:szCs w:val="22"/>
              </w:rPr>
              <w:t>0.10*</w:t>
            </w:r>
          </w:p>
        </w:tc>
        <w:tc>
          <w:tcPr>
            <w:tcW w:w="1094" w:type="dxa"/>
            <w:tcBorders>
              <w:top w:val="nil"/>
              <w:left w:val="nil"/>
              <w:bottom w:val="nil"/>
              <w:right w:val="nil"/>
            </w:tcBorders>
            <w:vAlign w:val="center"/>
          </w:tcPr>
          <w:p w14:paraId="7B947A34" w14:textId="77777777" w:rsidR="00B37131" w:rsidRPr="007723B7" w:rsidRDefault="00B37131" w:rsidP="00366938">
            <w:pPr>
              <w:jc w:val="center"/>
              <w:rPr>
                <w:sz w:val="22"/>
                <w:szCs w:val="22"/>
              </w:rPr>
            </w:pPr>
            <w:r w:rsidRPr="007723B7">
              <w:rPr>
                <w:sz w:val="22"/>
                <w:szCs w:val="22"/>
              </w:rPr>
              <w:t>0.13**</w:t>
            </w:r>
          </w:p>
        </w:tc>
        <w:tc>
          <w:tcPr>
            <w:tcW w:w="1094" w:type="dxa"/>
            <w:tcBorders>
              <w:top w:val="nil"/>
              <w:left w:val="nil"/>
              <w:bottom w:val="nil"/>
              <w:right w:val="nil"/>
            </w:tcBorders>
            <w:vAlign w:val="center"/>
          </w:tcPr>
          <w:p w14:paraId="0A2104BC" w14:textId="77777777" w:rsidR="00B37131" w:rsidRPr="007723B7" w:rsidRDefault="00B37131" w:rsidP="00366938">
            <w:pPr>
              <w:jc w:val="center"/>
              <w:rPr>
                <w:sz w:val="22"/>
                <w:szCs w:val="22"/>
              </w:rPr>
            </w:pPr>
            <w:r w:rsidRPr="007723B7">
              <w:rPr>
                <w:sz w:val="22"/>
                <w:szCs w:val="22"/>
              </w:rPr>
              <w:t>-0.13**</w:t>
            </w:r>
          </w:p>
        </w:tc>
        <w:tc>
          <w:tcPr>
            <w:tcW w:w="1094" w:type="dxa"/>
            <w:tcBorders>
              <w:top w:val="nil"/>
              <w:left w:val="nil"/>
              <w:bottom w:val="nil"/>
              <w:right w:val="nil"/>
            </w:tcBorders>
            <w:vAlign w:val="center"/>
          </w:tcPr>
          <w:p w14:paraId="2FBF6190" w14:textId="77777777" w:rsidR="00B37131" w:rsidRPr="007723B7" w:rsidRDefault="00B37131" w:rsidP="00366938">
            <w:pPr>
              <w:jc w:val="center"/>
              <w:rPr>
                <w:sz w:val="22"/>
                <w:szCs w:val="22"/>
              </w:rPr>
            </w:pPr>
            <w:r w:rsidRPr="007723B7">
              <w:rPr>
                <w:sz w:val="22"/>
                <w:szCs w:val="22"/>
              </w:rPr>
              <w:t>-0.00</w:t>
            </w:r>
          </w:p>
        </w:tc>
        <w:tc>
          <w:tcPr>
            <w:tcW w:w="1094" w:type="dxa"/>
            <w:tcBorders>
              <w:top w:val="nil"/>
              <w:left w:val="nil"/>
              <w:bottom w:val="nil"/>
              <w:right w:val="nil"/>
            </w:tcBorders>
            <w:vAlign w:val="center"/>
          </w:tcPr>
          <w:p w14:paraId="5C0E8CCE" w14:textId="77777777" w:rsidR="00B37131" w:rsidRPr="007723B7" w:rsidRDefault="00B37131" w:rsidP="00366938">
            <w:pPr>
              <w:jc w:val="center"/>
              <w:rPr>
                <w:sz w:val="22"/>
                <w:szCs w:val="22"/>
              </w:rPr>
            </w:pPr>
            <w:r w:rsidRPr="007723B7">
              <w:rPr>
                <w:sz w:val="22"/>
                <w:szCs w:val="22"/>
              </w:rPr>
              <w:t>0.16***</w:t>
            </w:r>
          </w:p>
        </w:tc>
        <w:tc>
          <w:tcPr>
            <w:tcW w:w="1094" w:type="dxa"/>
            <w:tcBorders>
              <w:top w:val="nil"/>
              <w:left w:val="nil"/>
              <w:bottom w:val="nil"/>
              <w:right w:val="nil"/>
            </w:tcBorders>
            <w:vAlign w:val="center"/>
          </w:tcPr>
          <w:p w14:paraId="353C9D38" w14:textId="77777777" w:rsidR="00B37131" w:rsidRPr="007723B7" w:rsidRDefault="00B37131" w:rsidP="00366938">
            <w:pPr>
              <w:jc w:val="center"/>
              <w:rPr>
                <w:sz w:val="22"/>
                <w:szCs w:val="22"/>
              </w:rPr>
            </w:pPr>
            <w:r w:rsidRPr="007723B7">
              <w:rPr>
                <w:sz w:val="22"/>
                <w:szCs w:val="22"/>
              </w:rPr>
              <w:t>0.14**</w:t>
            </w:r>
          </w:p>
        </w:tc>
        <w:tc>
          <w:tcPr>
            <w:tcW w:w="1094" w:type="dxa"/>
            <w:tcBorders>
              <w:top w:val="nil"/>
              <w:left w:val="nil"/>
              <w:bottom w:val="nil"/>
              <w:right w:val="nil"/>
            </w:tcBorders>
            <w:vAlign w:val="center"/>
          </w:tcPr>
          <w:p w14:paraId="716833C6" w14:textId="77777777" w:rsidR="00B37131" w:rsidRPr="007723B7" w:rsidRDefault="00B37131" w:rsidP="00366938">
            <w:pPr>
              <w:jc w:val="center"/>
              <w:rPr>
                <w:sz w:val="22"/>
                <w:szCs w:val="22"/>
              </w:rPr>
            </w:pPr>
            <w:r w:rsidRPr="007723B7">
              <w:rPr>
                <w:sz w:val="22"/>
                <w:szCs w:val="22"/>
              </w:rPr>
              <w:t>-0.16***</w:t>
            </w:r>
          </w:p>
        </w:tc>
        <w:tc>
          <w:tcPr>
            <w:tcW w:w="1094" w:type="dxa"/>
            <w:tcBorders>
              <w:top w:val="nil"/>
              <w:left w:val="nil"/>
              <w:bottom w:val="nil"/>
              <w:right w:val="nil"/>
            </w:tcBorders>
            <w:vAlign w:val="center"/>
          </w:tcPr>
          <w:p w14:paraId="4597293E" w14:textId="77777777" w:rsidR="00B37131" w:rsidRPr="007723B7" w:rsidRDefault="00B37131" w:rsidP="00366938">
            <w:pPr>
              <w:jc w:val="center"/>
              <w:rPr>
                <w:sz w:val="22"/>
                <w:szCs w:val="22"/>
              </w:rPr>
            </w:pPr>
            <w:r w:rsidRPr="007723B7">
              <w:rPr>
                <w:sz w:val="22"/>
                <w:szCs w:val="22"/>
              </w:rPr>
              <w:t>-</w:t>
            </w:r>
          </w:p>
        </w:tc>
        <w:tc>
          <w:tcPr>
            <w:tcW w:w="1094" w:type="dxa"/>
            <w:tcBorders>
              <w:top w:val="nil"/>
              <w:left w:val="nil"/>
              <w:bottom w:val="nil"/>
              <w:right w:val="nil"/>
            </w:tcBorders>
            <w:vAlign w:val="center"/>
          </w:tcPr>
          <w:p w14:paraId="5316022B" w14:textId="77777777" w:rsidR="00B37131" w:rsidRPr="007723B7" w:rsidRDefault="00B37131" w:rsidP="00366938">
            <w:pPr>
              <w:jc w:val="center"/>
              <w:rPr>
                <w:sz w:val="22"/>
                <w:szCs w:val="22"/>
              </w:rPr>
            </w:pPr>
          </w:p>
        </w:tc>
      </w:tr>
      <w:tr w:rsidR="00B37131" w14:paraId="46A2F800" w14:textId="77777777" w:rsidTr="00366938">
        <w:trPr>
          <w:trHeight w:val="389"/>
        </w:trPr>
        <w:tc>
          <w:tcPr>
            <w:tcW w:w="2335" w:type="dxa"/>
            <w:tcBorders>
              <w:top w:val="nil"/>
              <w:left w:val="nil"/>
              <w:right w:val="nil"/>
            </w:tcBorders>
            <w:vAlign w:val="center"/>
          </w:tcPr>
          <w:p w14:paraId="4A06DA64" w14:textId="77777777" w:rsidR="00B37131" w:rsidRPr="007723B7" w:rsidRDefault="00B37131" w:rsidP="00366938">
            <w:pPr>
              <w:rPr>
                <w:sz w:val="22"/>
                <w:szCs w:val="22"/>
              </w:rPr>
            </w:pPr>
            <w:r>
              <w:rPr>
                <w:sz w:val="22"/>
                <w:szCs w:val="22"/>
              </w:rPr>
              <w:t xml:space="preserve">  </w:t>
            </w:r>
            <w:r w:rsidRPr="007723B7">
              <w:rPr>
                <w:sz w:val="22"/>
                <w:szCs w:val="22"/>
              </w:rPr>
              <w:t>10. Ethnicity</w:t>
            </w:r>
          </w:p>
        </w:tc>
        <w:tc>
          <w:tcPr>
            <w:tcW w:w="1094" w:type="dxa"/>
            <w:tcBorders>
              <w:top w:val="nil"/>
              <w:left w:val="nil"/>
              <w:right w:val="nil"/>
            </w:tcBorders>
            <w:vAlign w:val="center"/>
          </w:tcPr>
          <w:p w14:paraId="03F4FEF4" w14:textId="77777777" w:rsidR="00B37131" w:rsidRPr="007723B7" w:rsidRDefault="00B37131" w:rsidP="00366938">
            <w:pPr>
              <w:jc w:val="center"/>
              <w:rPr>
                <w:sz w:val="22"/>
                <w:szCs w:val="22"/>
              </w:rPr>
            </w:pPr>
            <w:r w:rsidRPr="007723B7">
              <w:rPr>
                <w:sz w:val="22"/>
                <w:szCs w:val="22"/>
              </w:rPr>
              <w:t>-0.01</w:t>
            </w:r>
          </w:p>
        </w:tc>
        <w:tc>
          <w:tcPr>
            <w:tcW w:w="1094" w:type="dxa"/>
            <w:tcBorders>
              <w:top w:val="nil"/>
              <w:left w:val="nil"/>
              <w:right w:val="nil"/>
            </w:tcBorders>
            <w:vAlign w:val="center"/>
          </w:tcPr>
          <w:p w14:paraId="68E59B33" w14:textId="77777777" w:rsidR="00B37131" w:rsidRPr="007723B7" w:rsidRDefault="00B37131" w:rsidP="00366938">
            <w:pPr>
              <w:jc w:val="center"/>
              <w:rPr>
                <w:sz w:val="22"/>
                <w:szCs w:val="22"/>
              </w:rPr>
            </w:pPr>
            <w:r w:rsidRPr="007723B7">
              <w:rPr>
                <w:sz w:val="22"/>
                <w:szCs w:val="22"/>
              </w:rPr>
              <w:t>0.30***</w:t>
            </w:r>
          </w:p>
        </w:tc>
        <w:tc>
          <w:tcPr>
            <w:tcW w:w="1094" w:type="dxa"/>
            <w:tcBorders>
              <w:top w:val="nil"/>
              <w:left w:val="nil"/>
              <w:right w:val="nil"/>
            </w:tcBorders>
            <w:vAlign w:val="center"/>
          </w:tcPr>
          <w:p w14:paraId="4B7FD515" w14:textId="77777777" w:rsidR="00B37131" w:rsidRPr="007723B7" w:rsidRDefault="00B37131" w:rsidP="00366938">
            <w:pPr>
              <w:jc w:val="center"/>
              <w:rPr>
                <w:sz w:val="22"/>
                <w:szCs w:val="22"/>
              </w:rPr>
            </w:pPr>
            <w:r w:rsidRPr="007723B7">
              <w:rPr>
                <w:sz w:val="22"/>
                <w:szCs w:val="22"/>
              </w:rPr>
              <w:t>0.52***</w:t>
            </w:r>
          </w:p>
        </w:tc>
        <w:tc>
          <w:tcPr>
            <w:tcW w:w="1094" w:type="dxa"/>
            <w:tcBorders>
              <w:top w:val="nil"/>
              <w:left w:val="nil"/>
              <w:right w:val="nil"/>
            </w:tcBorders>
            <w:vAlign w:val="center"/>
          </w:tcPr>
          <w:p w14:paraId="021E7381" w14:textId="77777777" w:rsidR="00B37131" w:rsidRPr="007723B7" w:rsidRDefault="00B37131" w:rsidP="00366938">
            <w:pPr>
              <w:jc w:val="center"/>
              <w:rPr>
                <w:sz w:val="22"/>
                <w:szCs w:val="22"/>
              </w:rPr>
            </w:pPr>
            <w:r w:rsidRPr="007723B7">
              <w:rPr>
                <w:sz w:val="22"/>
                <w:szCs w:val="22"/>
              </w:rPr>
              <w:t>-0.22***</w:t>
            </w:r>
          </w:p>
        </w:tc>
        <w:tc>
          <w:tcPr>
            <w:tcW w:w="1094" w:type="dxa"/>
            <w:tcBorders>
              <w:top w:val="nil"/>
              <w:left w:val="nil"/>
              <w:right w:val="nil"/>
            </w:tcBorders>
            <w:vAlign w:val="center"/>
          </w:tcPr>
          <w:p w14:paraId="6541CC6A" w14:textId="77777777" w:rsidR="00B37131" w:rsidRPr="007723B7" w:rsidRDefault="00B37131" w:rsidP="00366938">
            <w:pPr>
              <w:jc w:val="center"/>
              <w:rPr>
                <w:sz w:val="22"/>
                <w:szCs w:val="22"/>
              </w:rPr>
            </w:pPr>
            <w:r w:rsidRPr="007723B7">
              <w:rPr>
                <w:sz w:val="22"/>
                <w:szCs w:val="22"/>
              </w:rPr>
              <w:t>-0.01</w:t>
            </w:r>
          </w:p>
        </w:tc>
        <w:tc>
          <w:tcPr>
            <w:tcW w:w="1094" w:type="dxa"/>
            <w:tcBorders>
              <w:top w:val="nil"/>
              <w:left w:val="nil"/>
              <w:right w:val="nil"/>
            </w:tcBorders>
            <w:vAlign w:val="center"/>
          </w:tcPr>
          <w:p w14:paraId="284BF353" w14:textId="77777777" w:rsidR="00B37131" w:rsidRPr="007723B7" w:rsidRDefault="00B37131" w:rsidP="00366938">
            <w:pPr>
              <w:jc w:val="center"/>
              <w:rPr>
                <w:sz w:val="22"/>
                <w:szCs w:val="22"/>
              </w:rPr>
            </w:pPr>
            <w:r w:rsidRPr="007723B7">
              <w:rPr>
                <w:sz w:val="22"/>
                <w:szCs w:val="22"/>
              </w:rPr>
              <w:t>0.25***</w:t>
            </w:r>
          </w:p>
        </w:tc>
        <w:tc>
          <w:tcPr>
            <w:tcW w:w="1094" w:type="dxa"/>
            <w:tcBorders>
              <w:top w:val="nil"/>
              <w:left w:val="nil"/>
              <w:right w:val="nil"/>
            </w:tcBorders>
            <w:vAlign w:val="center"/>
          </w:tcPr>
          <w:p w14:paraId="04C28874" w14:textId="77777777" w:rsidR="00B37131" w:rsidRPr="007723B7" w:rsidRDefault="00B37131" w:rsidP="00366938">
            <w:pPr>
              <w:jc w:val="center"/>
              <w:rPr>
                <w:sz w:val="22"/>
                <w:szCs w:val="22"/>
              </w:rPr>
            </w:pPr>
            <w:r w:rsidRPr="007723B7">
              <w:rPr>
                <w:sz w:val="22"/>
                <w:szCs w:val="22"/>
              </w:rPr>
              <w:t>0.44***</w:t>
            </w:r>
          </w:p>
        </w:tc>
        <w:tc>
          <w:tcPr>
            <w:tcW w:w="1094" w:type="dxa"/>
            <w:tcBorders>
              <w:top w:val="nil"/>
              <w:left w:val="nil"/>
              <w:right w:val="nil"/>
            </w:tcBorders>
            <w:vAlign w:val="center"/>
          </w:tcPr>
          <w:p w14:paraId="35F980B0" w14:textId="77777777" w:rsidR="00B37131" w:rsidRPr="007723B7" w:rsidRDefault="00B37131" w:rsidP="00366938">
            <w:pPr>
              <w:jc w:val="center"/>
              <w:rPr>
                <w:sz w:val="22"/>
                <w:szCs w:val="22"/>
              </w:rPr>
            </w:pPr>
            <w:r w:rsidRPr="007723B7">
              <w:rPr>
                <w:sz w:val="22"/>
                <w:szCs w:val="22"/>
              </w:rPr>
              <w:t>-0.15**</w:t>
            </w:r>
          </w:p>
        </w:tc>
        <w:tc>
          <w:tcPr>
            <w:tcW w:w="1094" w:type="dxa"/>
            <w:tcBorders>
              <w:top w:val="nil"/>
              <w:left w:val="nil"/>
              <w:right w:val="nil"/>
            </w:tcBorders>
            <w:vAlign w:val="center"/>
          </w:tcPr>
          <w:p w14:paraId="3FCAC2C5" w14:textId="77777777" w:rsidR="00B37131" w:rsidRPr="007723B7" w:rsidRDefault="00B37131" w:rsidP="00366938">
            <w:pPr>
              <w:jc w:val="center"/>
              <w:rPr>
                <w:sz w:val="22"/>
                <w:szCs w:val="22"/>
              </w:rPr>
            </w:pPr>
            <w:r w:rsidRPr="007723B7">
              <w:rPr>
                <w:sz w:val="22"/>
                <w:szCs w:val="22"/>
              </w:rPr>
              <w:t>0.03</w:t>
            </w:r>
          </w:p>
        </w:tc>
        <w:tc>
          <w:tcPr>
            <w:tcW w:w="1094" w:type="dxa"/>
            <w:tcBorders>
              <w:top w:val="nil"/>
              <w:left w:val="nil"/>
              <w:right w:val="nil"/>
            </w:tcBorders>
            <w:vAlign w:val="center"/>
          </w:tcPr>
          <w:p w14:paraId="609EC972" w14:textId="77777777" w:rsidR="00B37131" w:rsidRPr="007723B7" w:rsidRDefault="00B37131" w:rsidP="00366938">
            <w:pPr>
              <w:jc w:val="center"/>
              <w:rPr>
                <w:sz w:val="22"/>
                <w:szCs w:val="22"/>
              </w:rPr>
            </w:pPr>
            <w:r w:rsidRPr="007723B7">
              <w:rPr>
                <w:sz w:val="22"/>
                <w:szCs w:val="22"/>
              </w:rPr>
              <w:t>-</w:t>
            </w:r>
          </w:p>
        </w:tc>
      </w:tr>
      <w:tr w:rsidR="00B37131" w14:paraId="3C6083AB" w14:textId="77777777" w:rsidTr="00366938">
        <w:trPr>
          <w:trHeight w:val="389"/>
        </w:trPr>
        <w:tc>
          <w:tcPr>
            <w:tcW w:w="2335" w:type="dxa"/>
            <w:tcBorders>
              <w:left w:val="nil"/>
              <w:right w:val="nil"/>
            </w:tcBorders>
            <w:vAlign w:val="center"/>
          </w:tcPr>
          <w:p w14:paraId="7510ECD1" w14:textId="77777777" w:rsidR="00B37131" w:rsidRPr="007723B7" w:rsidRDefault="00B37131" w:rsidP="00366938">
            <w:pPr>
              <w:rPr>
                <w:sz w:val="22"/>
                <w:szCs w:val="22"/>
              </w:rPr>
            </w:pPr>
            <w:r w:rsidRPr="007723B7">
              <w:rPr>
                <w:sz w:val="22"/>
                <w:szCs w:val="22"/>
              </w:rPr>
              <w:t>Mean (SD)</w:t>
            </w:r>
          </w:p>
        </w:tc>
        <w:tc>
          <w:tcPr>
            <w:tcW w:w="1094" w:type="dxa"/>
            <w:tcBorders>
              <w:left w:val="nil"/>
              <w:right w:val="nil"/>
            </w:tcBorders>
            <w:vAlign w:val="center"/>
          </w:tcPr>
          <w:p w14:paraId="2559FF72" w14:textId="77777777" w:rsidR="00B37131" w:rsidRPr="007723B7" w:rsidRDefault="00B37131" w:rsidP="00366938">
            <w:pPr>
              <w:jc w:val="center"/>
              <w:rPr>
                <w:sz w:val="22"/>
                <w:szCs w:val="22"/>
              </w:rPr>
            </w:pPr>
            <w:r w:rsidRPr="003A2173">
              <w:rPr>
                <w:sz w:val="22"/>
                <w:szCs w:val="22"/>
              </w:rPr>
              <w:t>16.39</w:t>
            </w:r>
            <w:r w:rsidRPr="007723B7">
              <w:rPr>
                <w:sz w:val="22"/>
                <w:szCs w:val="22"/>
              </w:rPr>
              <w:t xml:space="preserve"> (2.04)</w:t>
            </w:r>
          </w:p>
        </w:tc>
        <w:tc>
          <w:tcPr>
            <w:tcW w:w="1094" w:type="dxa"/>
            <w:tcBorders>
              <w:left w:val="nil"/>
              <w:right w:val="nil"/>
            </w:tcBorders>
            <w:vAlign w:val="center"/>
          </w:tcPr>
          <w:p w14:paraId="08A97316" w14:textId="77777777" w:rsidR="00B37131" w:rsidRPr="007723B7" w:rsidRDefault="00B37131" w:rsidP="00366938">
            <w:pPr>
              <w:jc w:val="center"/>
              <w:rPr>
                <w:sz w:val="22"/>
                <w:szCs w:val="22"/>
              </w:rPr>
            </w:pPr>
            <w:r w:rsidRPr="007723B7">
              <w:rPr>
                <w:sz w:val="22"/>
                <w:szCs w:val="22"/>
              </w:rPr>
              <w:t>2.23 (3.27)</w:t>
            </w:r>
          </w:p>
        </w:tc>
        <w:tc>
          <w:tcPr>
            <w:tcW w:w="1094" w:type="dxa"/>
            <w:tcBorders>
              <w:left w:val="nil"/>
              <w:right w:val="nil"/>
            </w:tcBorders>
            <w:vAlign w:val="center"/>
          </w:tcPr>
          <w:p w14:paraId="67B0CF15" w14:textId="77777777" w:rsidR="00B37131" w:rsidRPr="007723B7" w:rsidRDefault="00B37131" w:rsidP="00366938">
            <w:pPr>
              <w:jc w:val="center"/>
              <w:rPr>
                <w:sz w:val="22"/>
                <w:szCs w:val="22"/>
              </w:rPr>
            </w:pPr>
            <w:r w:rsidRPr="007723B7">
              <w:rPr>
                <w:sz w:val="22"/>
                <w:szCs w:val="22"/>
              </w:rPr>
              <w:t>6.16</w:t>
            </w:r>
          </w:p>
          <w:p w14:paraId="05054C66" w14:textId="77777777" w:rsidR="00B37131" w:rsidRPr="007723B7" w:rsidRDefault="00B37131" w:rsidP="00366938">
            <w:pPr>
              <w:jc w:val="center"/>
              <w:rPr>
                <w:sz w:val="22"/>
                <w:szCs w:val="22"/>
              </w:rPr>
            </w:pPr>
            <w:r w:rsidRPr="007723B7">
              <w:rPr>
                <w:sz w:val="22"/>
                <w:szCs w:val="22"/>
              </w:rPr>
              <w:t>(7.54)</w:t>
            </w:r>
          </w:p>
        </w:tc>
        <w:tc>
          <w:tcPr>
            <w:tcW w:w="1094" w:type="dxa"/>
            <w:tcBorders>
              <w:left w:val="nil"/>
              <w:right w:val="nil"/>
            </w:tcBorders>
            <w:vAlign w:val="center"/>
          </w:tcPr>
          <w:p w14:paraId="37508A85" w14:textId="77777777" w:rsidR="00B37131" w:rsidRPr="007723B7" w:rsidRDefault="00B37131" w:rsidP="00366938">
            <w:pPr>
              <w:jc w:val="center"/>
              <w:rPr>
                <w:sz w:val="22"/>
                <w:szCs w:val="22"/>
              </w:rPr>
            </w:pPr>
            <w:r w:rsidRPr="007723B7">
              <w:rPr>
                <w:sz w:val="22"/>
                <w:szCs w:val="22"/>
              </w:rPr>
              <w:t>34.23</w:t>
            </w:r>
          </w:p>
          <w:p w14:paraId="27DEE344" w14:textId="77777777" w:rsidR="00B37131" w:rsidRPr="007723B7" w:rsidRDefault="00B37131" w:rsidP="00366938">
            <w:pPr>
              <w:jc w:val="center"/>
              <w:rPr>
                <w:sz w:val="22"/>
                <w:szCs w:val="22"/>
              </w:rPr>
            </w:pPr>
            <w:r w:rsidRPr="007723B7">
              <w:rPr>
                <w:sz w:val="22"/>
                <w:szCs w:val="22"/>
              </w:rPr>
              <w:t>(30.35)</w:t>
            </w:r>
          </w:p>
        </w:tc>
        <w:tc>
          <w:tcPr>
            <w:tcW w:w="1094" w:type="dxa"/>
            <w:tcBorders>
              <w:left w:val="nil"/>
              <w:right w:val="nil"/>
            </w:tcBorders>
            <w:vAlign w:val="center"/>
          </w:tcPr>
          <w:p w14:paraId="2CC15E1A" w14:textId="77777777" w:rsidR="00B37131" w:rsidRPr="007723B7" w:rsidRDefault="00B37131" w:rsidP="00366938">
            <w:pPr>
              <w:jc w:val="center"/>
              <w:rPr>
                <w:sz w:val="22"/>
                <w:szCs w:val="22"/>
              </w:rPr>
            </w:pPr>
            <w:r w:rsidRPr="007723B7">
              <w:rPr>
                <w:sz w:val="22"/>
                <w:szCs w:val="22"/>
              </w:rPr>
              <w:t>17.26</w:t>
            </w:r>
          </w:p>
          <w:p w14:paraId="1143E058" w14:textId="77777777" w:rsidR="00B37131" w:rsidRPr="007723B7" w:rsidRDefault="00B37131" w:rsidP="00366938">
            <w:pPr>
              <w:jc w:val="center"/>
              <w:rPr>
                <w:sz w:val="22"/>
                <w:szCs w:val="22"/>
              </w:rPr>
            </w:pPr>
            <w:r w:rsidRPr="007723B7">
              <w:rPr>
                <w:sz w:val="22"/>
                <w:szCs w:val="22"/>
              </w:rPr>
              <w:t>(2.04)</w:t>
            </w:r>
          </w:p>
        </w:tc>
        <w:tc>
          <w:tcPr>
            <w:tcW w:w="1094" w:type="dxa"/>
            <w:tcBorders>
              <w:left w:val="nil"/>
              <w:right w:val="nil"/>
            </w:tcBorders>
            <w:vAlign w:val="center"/>
          </w:tcPr>
          <w:p w14:paraId="74023BB9" w14:textId="77777777" w:rsidR="00B37131" w:rsidRPr="003A2173" w:rsidRDefault="00B37131" w:rsidP="00366938">
            <w:pPr>
              <w:jc w:val="center"/>
              <w:rPr>
                <w:sz w:val="22"/>
                <w:szCs w:val="22"/>
              </w:rPr>
            </w:pPr>
            <w:r w:rsidRPr="003A2173">
              <w:rPr>
                <w:sz w:val="22"/>
                <w:szCs w:val="22"/>
              </w:rPr>
              <w:t>2.07</w:t>
            </w:r>
          </w:p>
          <w:p w14:paraId="14BA2B69" w14:textId="77777777" w:rsidR="00B37131" w:rsidRPr="007723B7" w:rsidRDefault="00B37131" w:rsidP="00366938">
            <w:pPr>
              <w:jc w:val="center"/>
              <w:rPr>
                <w:sz w:val="22"/>
                <w:szCs w:val="22"/>
              </w:rPr>
            </w:pPr>
            <w:r w:rsidRPr="007723B7">
              <w:rPr>
                <w:sz w:val="22"/>
                <w:szCs w:val="22"/>
              </w:rPr>
              <w:t>(3.12)</w:t>
            </w:r>
          </w:p>
        </w:tc>
        <w:tc>
          <w:tcPr>
            <w:tcW w:w="1094" w:type="dxa"/>
            <w:tcBorders>
              <w:left w:val="nil"/>
              <w:right w:val="nil"/>
            </w:tcBorders>
            <w:vAlign w:val="center"/>
          </w:tcPr>
          <w:p w14:paraId="452010B8" w14:textId="77777777" w:rsidR="00B37131" w:rsidRPr="007723B7" w:rsidRDefault="00B37131" w:rsidP="00366938">
            <w:pPr>
              <w:jc w:val="center"/>
              <w:rPr>
                <w:sz w:val="22"/>
                <w:szCs w:val="22"/>
              </w:rPr>
            </w:pPr>
            <w:r w:rsidRPr="007723B7">
              <w:rPr>
                <w:sz w:val="22"/>
                <w:szCs w:val="22"/>
              </w:rPr>
              <w:t>6.16</w:t>
            </w:r>
          </w:p>
          <w:p w14:paraId="7A2E37CF" w14:textId="77777777" w:rsidR="00B37131" w:rsidRPr="007723B7" w:rsidRDefault="00B37131" w:rsidP="00366938">
            <w:pPr>
              <w:jc w:val="center"/>
              <w:rPr>
                <w:sz w:val="22"/>
                <w:szCs w:val="22"/>
              </w:rPr>
            </w:pPr>
            <w:r w:rsidRPr="007723B7">
              <w:rPr>
                <w:sz w:val="22"/>
                <w:szCs w:val="22"/>
              </w:rPr>
              <w:t>(6.97)</w:t>
            </w:r>
          </w:p>
        </w:tc>
        <w:tc>
          <w:tcPr>
            <w:tcW w:w="1094" w:type="dxa"/>
            <w:tcBorders>
              <w:left w:val="nil"/>
              <w:right w:val="nil"/>
            </w:tcBorders>
            <w:vAlign w:val="center"/>
          </w:tcPr>
          <w:p w14:paraId="5A1FFFA7" w14:textId="77777777" w:rsidR="00B37131" w:rsidRPr="007723B7" w:rsidRDefault="00B37131" w:rsidP="00366938">
            <w:pPr>
              <w:jc w:val="center"/>
              <w:rPr>
                <w:sz w:val="22"/>
                <w:szCs w:val="22"/>
              </w:rPr>
            </w:pPr>
            <w:r w:rsidRPr="007723B7">
              <w:rPr>
                <w:sz w:val="22"/>
                <w:szCs w:val="22"/>
              </w:rPr>
              <w:t>34.27</w:t>
            </w:r>
          </w:p>
          <w:p w14:paraId="189F8276" w14:textId="77777777" w:rsidR="00B37131" w:rsidRPr="007723B7" w:rsidRDefault="00B37131" w:rsidP="00366938">
            <w:pPr>
              <w:jc w:val="center"/>
              <w:rPr>
                <w:sz w:val="22"/>
                <w:szCs w:val="22"/>
              </w:rPr>
            </w:pPr>
            <w:r w:rsidRPr="007723B7">
              <w:rPr>
                <w:sz w:val="22"/>
                <w:szCs w:val="22"/>
              </w:rPr>
              <w:t>(31.58)</w:t>
            </w:r>
          </w:p>
        </w:tc>
        <w:tc>
          <w:tcPr>
            <w:tcW w:w="1094" w:type="dxa"/>
            <w:tcBorders>
              <w:left w:val="nil"/>
              <w:right w:val="nil"/>
            </w:tcBorders>
            <w:vAlign w:val="center"/>
          </w:tcPr>
          <w:p w14:paraId="3A5CA5B6" w14:textId="77777777" w:rsidR="00B37131" w:rsidRPr="007723B7" w:rsidRDefault="00B37131" w:rsidP="00366938">
            <w:pPr>
              <w:jc w:val="center"/>
              <w:rPr>
                <w:sz w:val="22"/>
                <w:szCs w:val="22"/>
              </w:rPr>
            </w:pPr>
            <w:r w:rsidRPr="007723B7">
              <w:rPr>
                <w:sz w:val="22"/>
                <w:szCs w:val="22"/>
              </w:rPr>
              <w:t>0.50</w:t>
            </w:r>
          </w:p>
          <w:p w14:paraId="0F4DFD7A" w14:textId="77777777" w:rsidR="00B37131" w:rsidRPr="007723B7" w:rsidRDefault="00B37131" w:rsidP="00366938">
            <w:pPr>
              <w:jc w:val="center"/>
              <w:rPr>
                <w:sz w:val="22"/>
                <w:szCs w:val="22"/>
              </w:rPr>
            </w:pPr>
            <w:r w:rsidRPr="007723B7">
              <w:rPr>
                <w:sz w:val="22"/>
                <w:szCs w:val="22"/>
              </w:rPr>
              <w:t>(0.50)</w:t>
            </w:r>
          </w:p>
        </w:tc>
        <w:tc>
          <w:tcPr>
            <w:tcW w:w="1094" w:type="dxa"/>
            <w:tcBorders>
              <w:left w:val="nil"/>
              <w:right w:val="nil"/>
            </w:tcBorders>
            <w:vAlign w:val="center"/>
          </w:tcPr>
          <w:p w14:paraId="3E01FA4D" w14:textId="77777777" w:rsidR="00B37131" w:rsidRPr="007723B7" w:rsidRDefault="00B37131" w:rsidP="00366938">
            <w:pPr>
              <w:jc w:val="center"/>
              <w:rPr>
                <w:sz w:val="22"/>
                <w:szCs w:val="22"/>
              </w:rPr>
            </w:pPr>
            <w:r w:rsidRPr="007723B7">
              <w:rPr>
                <w:sz w:val="22"/>
                <w:szCs w:val="22"/>
              </w:rPr>
              <w:t>0.35</w:t>
            </w:r>
          </w:p>
          <w:p w14:paraId="6CEC32AA" w14:textId="77777777" w:rsidR="00B37131" w:rsidRPr="007723B7" w:rsidRDefault="00B37131" w:rsidP="00366938">
            <w:pPr>
              <w:jc w:val="center"/>
              <w:rPr>
                <w:sz w:val="22"/>
                <w:szCs w:val="22"/>
              </w:rPr>
            </w:pPr>
            <w:r w:rsidRPr="007723B7">
              <w:rPr>
                <w:sz w:val="22"/>
                <w:szCs w:val="22"/>
              </w:rPr>
              <w:t>(0.48)</w:t>
            </w:r>
          </w:p>
        </w:tc>
      </w:tr>
      <w:tr w:rsidR="00B37131" w14:paraId="7278976C" w14:textId="77777777" w:rsidTr="00366938">
        <w:trPr>
          <w:trHeight w:val="389"/>
        </w:trPr>
        <w:tc>
          <w:tcPr>
            <w:tcW w:w="2335" w:type="dxa"/>
            <w:tcBorders>
              <w:left w:val="nil"/>
              <w:right w:val="nil"/>
            </w:tcBorders>
            <w:vAlign w:val="center"/>
          </w:tcPr>
          <w:p w14:paraId="5DA7FDC7" w14:textId="77777777" w:rsidR="00B37131" w:rsidRPr="007723B7" w:rsidRDefault="00B37131" w:rsidP="00366938">
            <w:pPr>
              <w:rPr>
                <w:sz w:val="22"/>
                <w:szCs w:val="22"/>
              </w:rPr>
            </w:pPr>
            <w:r w:rsidRPr="007723B7">
              <w:rPr>
                <w:sz w:val="22"/>
                <w:szCs w:val="22"/>
              </w:rPr>
              <w:t>Range</w:t>
            </w:r>
          </w:p>
        </w:tc>
        <w:tc>
          <w:tcPr>
            <w:tcW w:w="1094" w:type="dxa"/>
            <w:tcBorders>
              <w:left w:val="nil"/>
              <w:right w:val="nil"/>
            </w:tcBorders>
            <w:vAlign w:val="center"/>
          </w:tcPr>
          <w:p w14:paraId="10BFA026" w14:textId="77777777" w:rsidR="00B37131" w:rsidRPr="007723B7" w:rsidRDefault="00B37131" w:rsidP="00366938">
            <w:pPr>
              <w:jc w:val="center"/>
              <w:rPr>
                <w:sz w:val="22"/>
                <w:szCs w:val="22"/>
              </w:rPr>
            </w:pPr>
            <w:r w:rsidRPr="007723B7">
              <w:rPr>
                <w:sz w:val="22"/>
                <w:szCs w:val="22"/>
              </w:rPr>
              <w:t>10.83-20.67</w:t>
            </w:r>
          </w:p>
        </w:tc>
        <w:tc>
          <w:tcPr>
            <w:tcW w:w="1094" w:type="dxa"/>
            <w:tcBorders>
              <w:left w:val="nil"/>
              <w:right w:val="nil"/>
            </w:tcBorders>
            <w:vAlign w:val="center"/>
          </w:tcPr>
          <w:p w14:paraId="226F9804" w14:textId="77777777" w:rsidR="00B37131" w:rsidRPr="007723B7" w:rsidRDefault="00B37131" w:rsidP="00366938">
            <w:pPr>
              <w:jc w:val="center"/>
              <w:rPr>
                <w:sz w:val="22"/>
                <w:szCs w:val="22"/>
              </w:rPr>
            </w:pPr>
            <w:r w:rsidRPr="007723B7">
              <w:rPr>
                <w:sz w:val="22"/>
                <w:szCs w:val="22"/>
              </w:rPr>
              <w:t>0-16</w:t>
            </w:r>
          </w:p>
        </w:tc>
        <w:tc>
          <w:tcPr>
            <w:tcW w:w="1094" w:type="dxa"/>
            <w:tcBorders>
              <w:left w:val="nil"/>
              <w:right w:val="nil"/>
            </w:tcBorders>
            <w:vAlign w:val="center"/>
          </w:tcPr>
          <w:p w14:paraId="2E278C7F" w14:textId="77777777" w:rsidR="00B37131" w:rsidRPr="007723B7" w:rsidRDefault="00B37131" w:rsidP="00366938">
            <w:pPr>
              <w:jc w:val="center"/>
              <w:rPr>
                <w:sz w:val="22"/>
                <w:szCs w:val="22"/>
              </w:rPr>
            </w:pPr>
            <w:r w:rsidRPr="007723B7">
              <w:rPr>
                <w:sz w:val="22"/>
                <w:szCs w:val="22"/>
              </w:rPr>
              <w:t>0-20</w:t>
            </w:r>
          </w:p>
        </w:tc>
        <w:tc>
          <w:tcPr>
            <w:tcW w:w="1094" w:type="dxa"/>
            <w:tcBorders>
              <w:left w:val="nil"/>
              <w:right w:val="nil"/>
            </w:tcBorders>
            <w:vAlign w:val="center"/>
          </w:tcPr>
          <w:p w14:paraId="3E45C312" w14:textId="77777777" w:rsidR="00B37131" w:rsidRPr="007723B7" w:rsidRDefault="00B37131" w:rsidP="00366938">
            <w:pPr>
              <w:jc w:val="center"/>
              <w:rPr>
                <w:sz w:val="22"/>
                <w:szCs w:val="22"/>
              </w:rPr>
            </w:pPr>
            <w:r w:rsidRPr="007723B7">
              <w:rPr>
                <w:sz w:val="22"/>
                <w:szCs w:val="22"/>
              </w:rPr>
              <w:t>-35 - 100</w:t>
            </w:r>
          </w:p>
        </w:tc>
        <w:tc>
          <w:tcPr>
            <w:tcW w:w="1094" w:type="dxa"/>
            <w:tcBorders>
              <w:left w:val="nil"/>
              <w:right w:val="nil"/>
            </w:tcBorders>
            <w:vAlign w:val="center"/>
          </w:tcPr>
          <w:p w14:paraId="155968B3" w14:textId="77777777" w:rsidR="00B37131" w:rsidRPr="007723B7" w:rsidRDefault="00B37131" w:rsidP="00366938">
            <w:pPr>
              <w:jc w:val="center"/>
              <w:rPr>
                <w:sz w:val="22"/>
                <w:szCs w:val="22"/>
              </w:rPr>
            </w:pPr>
            <w:r w:rsidRPr="007723B7">
              <w:rPr>
                <w:sz w:val="22"/>
                <w:szCs w:val="22"/>
              </w:rPr>
              <w:t>11.33-21.17</w:t>
            </w:r>
          </w:p>
        </w:tc>
        <w:tc>
          <w:tcPr>
            <w:tcW w:w="1094" w:type="dxa"/>
            <w:tcBorders>
              <w:left w:val="nil"/>
              <w:right w:val="nil"/>
            </w:tcBorders>
            <w:vAlign w:val="center"/>
          </w:tcPr>
          <w:p w14:paraId="221268BB" w14:textId="77777777" w:rsidR="00B37131" w:rsidRPr="007723B7" w:rsidRDefault="00B37131" w:rsidP="00366938">
            <w:pPr>
              <w:jc w:val="center"/>
              <w:rPr>
                <w:sz w:val="22"/>
                <w:szCs w:val="22"/>
              </w:rPr>
            </w:pPr>
            <w:r w:rsidRPr="007723B7">
              <w:rPr>
                <w:sz w:val="22"/>
                <w:szCs w:val="22"/>
              </w:rPr>
              <w:t>0-13</w:t>
            </w:r>
          </w:p>
        </w:tc>
        <w:tc>
          <w:tcPr>
            <w:tcW w:w="1094" w:type="dxa"/>
            <w:tcBorders>
              <w:left w:val="nil"/>
              <w:right w:val="nil"/>
            </w:tcBorders>
            <w:vAlign w:val="center"/>
          </w:tcPr>
          <w:p w14:paraId="37488F46" w14:textId="77777777" w:rsidR="00B37131" w:rsidRPr="007723B7" w:rsidRDefault="00B37131" w:rsidP="00366938">
            <w:pPr>
              <w:jc w:val="center"/>
              <w:rPr>
                <w:sz w:val="22"/>
                <w:szCs w:val="22"/>
              </w:rPr>
            </w:pPr>
            <w:r w:rsidRPr="007723B7">
              <w:rPr>
                <w:sz w:val="22"/>
                <w:szCs w:val="22"/>
              </w:rPr>
              <w:t>0-20</w:t>
            </w:r>
          </w:p>
        </w:tc>
        <w:tc>
          <w:tcPr>
            <w:tcW w:w="1094" w:type="dxa"/>
            <w:tcBorders>
              <w:left w:val="nil"/>
              <w:right w:val="nil"/>
            </w:tcBorders>
            <w:vAlign w:val="center"/>
          </w:tcPr>
          <w:p w14:paraId="75AD32E3" w14:textId="77777777" w:rsidR="00B37131" w:rsidRPr="007723B7" w:rsidRDefault="00B37131" w:rsidP="00366938">
            <w:pPr>
              <w:tabs>
                <w:tab w:val="left" w:pos="626"/>
              </w:tabs>
              <w:jc w:val="center"/>
              <w:rPr>
                <w:sz w:val="22"/>
                <w:szCs w:val="22"/>
              </w:rPr>
            </w:pPr>
            <w:r w:rsidRPr="007723B7">
              <w:rPr>
                <w:sz w:val="22"/>
                <w:szCs w:val="22"/>
              </w:rPr>
              <w:t>-30-100</w:t>
            </w:r>
          </w:p>
        </w:tc>
        <w:tc>
          <w:tcPr>
            <w:tcW w:w="1094" w:type="dxa"/>
            <w:tcBorders>
              <w:left w:val="nil"/>
              <w:right w:val="nil"/>
            </w:tcBorders>
            <w:vAlign w:val="center"/>
          </w:tcPr>
          <w:p w14:paraId="10863317" w14:textId="77777777" w:rsidR="00B37131" w:rsidRPr="007723B7" w:rsidRDefault="00B37131" w:rsidP="00366938">
            <w:pPr>
              <w:jc w:val="center"/>
              <w:rPr>
                <w:sz w:val="22"/>
                <w:szCs w:val="22"/>
              </w:rPr>
            </w:pPr>
          </w:p>
        </w:tc>
        <w:tc>
          <w:tcPr>
            <w:tcW w:w="1094" w:type="dxa"/>
            <w:tcBorders>
              <w:left w:val="nil"/>
              <w:right w:val="nil"/>
            </w:tcBorders>
            <w:vAlign w:val="center"/>
          </w:tcPr>
          <w:p w14:paraId="0762C051" w14:textId="77777777" w:rsidR="00B37131" w:rsidRPr="007723B7" w:rsidRDefault="00B37131" w:rsidP="00366938">
            <w:pPr>
              <w:jc w:val="center"/>
              <w:rPr>
                <w:sz w:val="22"/>
                <w:szCs w:val="22"/>
              </w:rPr>
            </w:pPr>
          </w:p>
        </w:tc>
      </w:tr>
    </w:tbl>
    <w:p w14:paraId="576CF1E6" w14:textId="77777777" w:rsidR="00D41AF8" w:rsidRDefault="00D41AF8">
      <w:pPr>
        <w:sectPr w:rsidR="00D41AF8" w:rsidSect="00D41AF8">
          <w:pgSz w:w="15840" w:h="12240" w:orient="landscape"/>
          <w:pgMar w:top="1440" w:right="1440" w:bottom="1440" w:left="1440" w:header="720" w:footer="720" w:gutter="0"/>
          <w:cols w:space="720"/>
          <w:docGrid w:linePitch="360"/>
        </w:sectPr>
      </w:pPr>
      <w:r w:rsidRPr="002A4B8B">
        <w:rPr>
          <w:i/>
          <w:iCs/>
        </w:rPr>
        <w:t xml:space="preserve">Note. *p &lt;.05. **p &lt; .01. ***p &lt; .001 </w:t>
      </w:r>
      <w:r w:rsidR="00BF74CD">
        <w:br w:type="page"/>
      </w:r>
    </w:p>
    <w:p w14:paraId="6F272A64" w14:textId="580BCAB9" w:rsidR="00BF74CD" w:rsidRDefault="00BF74CD"/>
    <w:p w14:paraId="31C21011" w14:textId="77777777" w:rsidR="000D2FC3" w:rsidRDefault="000D2FC3">
      <w:pPr>
        <w:rPr>
          <w:noProof/>
          <w:lang w:eastAsia="en-US"/>
        </w:rPr>
      </w:pPr>
    </w:p>
    <w:p w14:paraId="1B7285BF" w14:textId="77777777" w:rsidR="000D2FC3" w:rsidRDefault="000D2FC3"/>
    <w:p w14:paraId="1381A1FE" w14:textId="77777777" w:rsidR="000D2FC3" w:rsidRDefault="000D2FC3"/>
    <w:p w14:paraId="57337310" w14:textId="77777777" w:rsidR="000D2FC3" w:rsidRDefault="000D2FC3" w:rsidP="000D2FC3">
      <w:pPr>
        <w:spacing w:line="480" w:lineRule="auto"/>
        <w:rPr>
          <w:i/>
        </w:rPr>
      </w:pPr>
    </w:p>
    <w:p w14:paraId="6BD20227" w14:textId="77777777" w:rsidR="000D2FC3" w:rsidRDefault="000D2FC3" w:rsidP="000D2FC3">
      <w:pPr>
        <w:spacing w:line="480" w:lineRule="auto"/>
        <w:rPr>
          <w:i/>
        </w:rPr>
      </w:pPr>
    </w:p>
    <w:p w14:paraId="72A98E19" w14:textId="6F222C99" w:rsidR="000D2FC3" w:rsidRDefault="000D2FC3" w:rsidP="000D2FC3">
      <w:pPr>
        <w:spacing w:line="480" w:lineRule="auto"/>
        <w:rPr>
          <w:i/>
        </w:rPr>
      </w:pPr>
      <w:r>
        <w:rPr>
          <w:noProof/>
          <w:lang w:val="en-GB" w:eastAsia="en-GB"/>
        </w:rPr>
        <w:drawing>
          <wp:inline distT="0" distB="0" distL="0" distR="0" wp14:anchorId="0D15E6A4" wp14:editId="02D10581">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09183992" w14:textId="77777777" w:rsidR="000D2FC3" w:rsidRPr="000D2FC3" w:rsidRDefault="000D2FC3" w:rsidP="000D2FC3">
      <w:pPr>
        <w:spacing w:line="480" w:lineRule="auto"/>
      </w:pPr>
      <w:r w:rsidRPr="000D2FC3">
        <w:rPr>
          <w:i/>
        </w:rPr>
        <w:t>Figure 1</w:t>
      </w:r>
      <w:r w:rsidRPr="000D2FC3">
        <w:t xml:space="preserve">. Changes in intergroup bias through adolescence. </w:t>
      </w:r>
    </w:p>
    <w:p w14:paraId="5AA0C1FF" w14:textId="4456F64B" w:rsidR="00BF74CD" w:rsidRDefault="00BF74CD">
      <w:r>
        <w:br w:type="page"/>
      </w:r>
    </w:p>
    <w:p w14:paraId="06A91F5A" w14:textId="2184F5AF" w:rsidR="00931149" w:rsidRDefault="00931149" w:rsidP="001167CF">
      <w:pPr>
        <w:spacing w:line="480" w:lineRule="auto"/>
        <w:ind w:firstLine="720"/>
        <w:jc w:val="center"/>
      </w:pPr>
      <w:r>
        <w:rPr>
          <w:noProof/>
          <w:lang w:val="en-GB" w:eastAsia="en-GB"/>
        </w:rPr>
        <w:lastRenderedPageBreak/>
        <w:drawing>
          <wp:inline distT="0" distB="0" distL="0" distR="0" wp14:anchorId="5C99BAA1" wp14:editId="7E5EC3FC">
            <wp:extent cx="5305425" cy="3979069"/>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09699" cy="3982274"/>
                    </a:xfrm>
                    <a:prstGeom prst="rect">
                      <a:avLst/>
                    </a:prstGeom>
                    <a:noFill/>
                    <a:ln>
                      <a:noFill/>
                    </a:ln>
                  </pic:spPr>
                </pic:pic>
              </a:graphicData>
            </a:graphic>
          </wp:inline>
        </w:drawing>
      </w:r>
    </w:p>
    <w:p w14:paraId="4EC69D5C" w14:textId="77777777" w:rsidR="00931149" w:rsidRPr="00931149" w:rsidRDefault="00931149" w:rsidP="00931149"/>
    <w:p w14:paraId="07ECEB36" w14:textId="77777777" w:rsidR="00931149" w:rsidRPr="00931149" w:rsidRDefault="00931149" w:rsidP="00931149"/>
    <w:p w14:paraId="04D1EC41" w14:textId="270837A8" w:rsidR="00931149" w:rsidRDefault="00931149" w:rsidP="00931149"/>
    <w:p w14:paraId="014BF4FD" w14:textId="6529A780" w:rsidR="00931149" w:rsidRDefault="00931149" w:rsidP="00931149">
      <w:pPr>
        <w:tabs>
          <w:tab w:val="left" w:pos="6510"/>
        </w:tabs>
      </w:pPr>
      <w:r>
        <w:tab/>
      </w:r>
    </w:p>
    <w:p w14:paraId="3A6821D3" w14:textId="0EB1BBC8" w:rsidR="000D2FC3" w:rsidRPr="002A098A" w:rsidRDefault="000D2FC3" w:rsidP="000D2FC3">
      <w:pPr>
        <w:spacing w:line="480" w:lineRule="auto"/>
      </w:pPr>
      <w:r w:rsidRPr="00BF74CD">
        <w:rPr>
          <w:i/>
        </w:rPr>
        <w:t>Figure 2</w:t>
      </w:r>
      <w:r>
        <w:t xml:space="preserve">. Changes in the relation between contact frequency and intergroup bias through adolescence. </w:t>
      </w:r>
    </w:p>
    <w:p w14:paraId="0A0BC9D2" w14:textId="77777777" w:rsidR="00931149" w:rsidRDefault="00931149"/>
    <w:p w14:paraId="650602B4" w14:textId="32A2A5CF" w:rsidR="00B16550" w:rsidRDefault="00B16550" w:rsidP="00931149">
      <w:pPr>
        <w:tabs>
          <w:tab w:val="left" w:pos="6510"/>
        </w:tabs>
      </w:pPr>
    </w:p>
    <w:p w14:paraId="3054304C" w14:textId="69F6AB55" w:rsidR="00CB4246" w:rsidRDefault="00B16550">
      <w:r>
        <w:rPr>
          <w:noProof/>
          <w:lang w:val="en-GB" w:eastAsia="en-GB"/>
        </w:rPr>
        <w:lastRenderedPageBreak/>
        <w:drawing>
          <wp:inline distT="0" distB="0" distL="0" distR="0" wp14:anchorId="7957262A" wp14:editId="0E5C0749">
            <wp:extent cx="5076825" cy="3807619"/>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78828" cy="3809121"/>
                    </a:xfrm>
                    <a:prstGeom prst="rect">
                      <a:avLst/>
                    </a:prstGeom>
                    <a:noFill/>
                    <a:ln>
                      <a:noFill/>
                    </a:ln>
                  </pic:spPr>
                </pic:pic>
              </a:graphicData>
            </a:graphic>
          </wp:inline>
        </w:drawing>
      </w:r>
    </w:p>
    <w:p w14:paraId="46AFF5AB" w14:textId="77777777" w:rsidR="00B16550" w:rsidRDefault="00B16550"/>
    <w:p w14:paraId="67708706" w14:textId="537DA2A0" w:rsidR="00B16550" w:rsidRDefault="00B16550" w:rsidP="00B16550">
      <w:pPr>
        <w:tabs>
          <w:tab w:val="left" w:pos="6510"/>
        </w:tabs>
      </w:pPr>
      <w:r>
        <w:rPr>
          <w:i/>
        </w:rPr>
        <w:t>Figure 3</w:t>
      </w:r>
      <w:r>
        <w:t>. Changes in the relation between contact quality and intergroup bias through adolescence.</w:t>
      </w:r>
    </w:p>
    <w:p w14:paraId="74ACDADD" w14:textId="59AFC1F0" w:rsidR="00CB4246" w:rsidRDefault="00CB4246">
      <w:r>
        <w:br w:type="page"/>
      </w:r>
    </w:p>
    <w:p w14:paraId="39DB9D2B" w14:textId="77777777" w:rsidR="00CB4246" w:rsidRDefault="00CB4246" w:rsidP="00931149">
      <w:pPr>
        <w:tabs>
          <w:tab w:val="left" w:pos="6510"/>
        </w:tabs>
        <w:rPr>
          <w:i/>
        </w:rPr>
        <w:sectPr w:rsidR="00CB4246" w:rsidSect="00D41AF8">
          <w:pgSz w:w="12240" w:h="15840"/>
          <w:pgMar w:top="1440" w:right="1440" w:bottom="1440" w:left="1440" w:header="720" w:footer="720" w:gutter="0"/>
          <w:cols w:space="720"/>
          <w:docGrid w:linePitch="360"/>
        </w:sectPr>
      </w:pPr>
    </w:p>
    <w:p w14:paraId="71D331AC" w14:textId="128B7985" w:rsidR="001167CF" w:rsidRDefault="00CB4246" w:rsidP="00CB4246">
      <w:pPr>
        <w:tabs>
          <w:tab w:val="left" w:pos="1725"/>
        </w:tabs>
      </w:pPr>
      <w:r>
        <w:lastRenderedPageBreak/>
        <w:tab/>
      </w:r>
    </w:p>
    <w:p w14:paraId="0BC18CD5" w14:textId="7A2065DB" w:rsidR="00CB4246" w:rsidRDefault="00CB4246" w:rsidP="00CB4246">
      <w:pPr>
        <w:tabs>
          <w:tab w:val="left" w:pos="1725"/>
        </w:tabs>
      </w:pPr>
      <w:r>
        <w:rPr>
          <w:noProof/>
          <w:lang w:val="en-GB" w:eastAsia="en-GB"/>
        </w:rPr>
        <w:drawing>
          <wp:inline distT="0" distB="0" distL="0" distR="0" wp14:anchorId="1B446C9F" wp14:editId="78067FFC">
            <wp:extent cx="3987800" cy="2990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87800" cy="2990850"/>
                    </a:xfrm>
                    <a:prstGeom prst="rect">
                      <a:avLst/>
                    </a:prstGeom>
                    <a:noFill/>
                    <a:ln>
                      <a:noFill/>
                    </a:ln>
                  </pic:spPr>
                </pic:pic>
              </a:graphicData>
            </a:graphic>
          </wp:inline>
        </w:drawing>
      </w:r>
      <w:r>
        <w:rPr>
          <w:noProof/>
          <w:lang w:val="en-GB" w:eastAsia="en-GB"/>
        </w:rPr>
        <w:drawing>
          <wp:inline distT="0" distB="0" distL="0" distR="0" wp14:anchorId="3607952E" wp14:editId="41D8BE65">
            <wp:extent cx="3964940" cy="29737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74183" cy="2980637"/>
                    </a:xfrm>
                    <a:prstGeom prst="rect">
                      <a:avLst/>
                    </a:prstGeom>
                    <a:noFill/>
                    <a:ln>
                      <a:noFill/>
                    </a:ln>
                  </pic:spPr>
                </pic:pic>
              </a:graphicData>
            </a:graphic>
          </wp:inline>
        </w:drawing>
      </w:r>
    </w:p>
    <w:p w14:paraId="358F3128" w14:textId="77777777" w:rsidR="00CB4246" w:rsidRPr="00CB4246" w:rsidRDefault="00CB4246" w:rsidP="00CB4246"/>
    <w:p w14:paraId="47F0877B" w14:textId="515DAD3D" w:rsidR="00CB4246" w:rsidRDefault="00CB4246" w:rsidP="00CB4246"/>
    <w:p w14:paraId="36A9E000" w14:textId="1ADAD1A3" w:rsidR="00CB4246" w:rsidRDefault="00CB4246" w:rsidP="00CB4246">
      <w:pPr>
        <w:tabs>
          <w:tab w:val="left" w:pos="6510"/>
        </w:tabs>
      </w:pPr>
      <w:r w:rsidRPr="00CB4246">
        <w:rPr>
          <w:i/>
        </w:rPr>
        <w:t>Figure 4</w:t>
      </w:r>
      <w:r>
        <w:t>. Changes in relation</w:t>
      </w:r>
      <w:r w:rsidR="002C22AF">
        <w:t>s</w:t>
      </w:r>
      <w:r>
        <w:t xml:space="preserve"> between contact quality and bias for </w:t>
      </w:r>
      <w:r w:rsidR="002F36E7">
        <w:t xml:space="preserve">Protestant </w:t>
      </w:r>
      <w:r>
        <w:t xml:space="preserve">(left) and </w:t>
      </w:r>
      <w:r w:rsidR="002F36E7">
        <w:t xml:space="preserve">Catholic </w:t>
      </w:r>
      <w:r>
        <w:t>(right) adolescents.</w:t>
      </w:r>
    </w:p>
    <w:p w14:paraId="11CBD19C" w14:textId="77777777" w:rsidR="00CB4246" w:rsidRPr="00CB4246" w:rsidRDefault="00CB4246" w:rsidP="00CB4246">
      <w:pPr>
        <w:ind w:firstLine="720"/>
      </w:pPr>
    </w:p>
    <w:sectPr w:rsidR="00CB4246" w:rsidRPr="00CB4246" w:rsidSect="00CB4246">
      <w:pgSz w:w="15840" w:h="12240" w:orient="landscape"/>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15333D" w16cid:durableId="225555C5"/>
  <w16cid:commentId w16cid:paraId="6003DBC0" w16cid:durableId="22567C2B"/>
  <w16cid:commentId w16cid:paraId="780E8796" w16cid:durableId="225681A7"/>
  <w16cid:commentId w16cid:paraId="6A719DF7" w16cid:durableId="225555C6"/>
  <w16cid:commentId w16cid:paraId="284C3411" w16cid:durableId="225555C7"/>
  <w16cid:commentId w16cid:paraId="47746CC4" w16cid:durableId="22567257"/>
  <w16cid:commentId w16cid:paraId="649A99C4" w16cid:durableId="225555C8"/>
  <w16cid:commentId w16cid:paraId="5637AC58" w16cid:durableId="225555C9"/>
  <w16cid:commentId w16cid:paraId="366F9187" w16cid:durableId="2256714B"/>
  <w16cid:commentId w16cid:paraId="1A98F143" w16cid:durableId="225555CA"/>
  <w16cid:commentId w16cid:paraId="6B5EAC5A" w16cid:durableId="225555CB"/>
  <w16cid:commentId w16cid:paraId="51AA619A" w16cid:durableId="225555CC"/>
  <w16cid:commentId w16cid:paraId="6CBF9DE9" w16cid:durableId="225555CD"/>
  <w16cid:commentId w16cid:paraId="04360535" w16cid:durableId="225555CE"/>
  <w16cid:commentId w16cid:paraId="6D82B1F2" w16cid:durableId="225555CF"/>
  <w16cid:commentId w16cid:paraId="016979CE" w16cid:durableId="225555D0"/>
  <w16cid:commentId w16cid:paraId="74407B28" w16cid:durableId="225555D1"/>
  <w16cid:commentId w16cid:paraId="37F1C619" w16cid:durableId="225555D2"/>
  <w16cid:commentId w16cid:paraId="552A87E8" w16cid:durableId="225555D3"/>
  <w16cid:commentId w16cid:paraId="3CDED716" w16cid:durableId="225555D4"/>
  <w16cid:commentId w16cid:paraId="4A62A4B9" w16cid:durableId="22567D92"/>
  <w16cid:commentId w16cid:paraId="3A03209F" w16cid:durableId="22567DAA"/>
  <w16cid:commentId w16cid:paraId="3F5E683C" w16cid:durableId="225555D5"/>
  <w16cid:commentId w16cid:paraId="0624584C" w16cid:durableId="225555D6"/>
  <w16cid:commentId w16cid:paraId="7DAD668B" w16cid:durableId="22567E04"/>
  <w16cid:commentId w16cid:paraId="244FFA55" w16cid:durableId="225555D7"/>
  <w16cid:commentId w16cid:paraId="684B1015" w16cid:durableId="225555D8"/>
  <w16cid:commentId w16cid:paraId="296AC14A" w16cid:durableId="225555D9"/>
  <w16cid:commentId w16cid:paraId="0273B0E3" w16cid:durableId="22567E8B"/>
  <w16cid:commentId w16cid:paraId="01382E64" w16cid:durableId="225555DA"/>
  <w16cid:commentId w16cid:paraId="21317A0F" w16cid:durableId="225555DB"/>
  <w16cid:commentId w16cid:paraId="7CA7EB6D" w16cid:durableId="225555DC"/>
  <w16cid:commentId w16cid:paraId="2B796E25" w16cid:durableId="225555DD"/>
  <w16cid:commentId w16cid:paraId="6566DECF" w16cid:durableId="225555DE"/>
  <w16cid:commentId w16cid:paraId="5073E5AD" w16cid:durableId="22567AB3"/>
  <w16cid:commentId w16cid:paraId="57AF698C" w16cid:durableId="225555DF"/>
  <w16cid:commentId w16cid:paraId="5FC03ECF" w16cid:durableId="225555E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F1D84" w14:textId="77777777" w:rsidR="0097193C" w:rsidRDefault="0097193C" w:rsidP="003B6B39">
      <w:r>
        <w:separator/>
      </w:r>
    </w:p>
  </w:endnote>
  <w:endnote w:type="continuationSeparator" w:id="0">
    <w:p w14:paraId="677032A1" w14:textId="77777777" w:rsidR="0097193C" w:rsidRDefault="0097193C" w:rsidP="003B6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7E135" w14:textId="77777777" w:rsidR="00F06B6D" w:rsidRDefault="00F06B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7C723" w14:textId="77777777" w:rsidR="00F06B6D" w:rsidRDefault="00F06B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E91DE" w14:textId="77777777" w:rsidR="00F06B6D" w:rsidRDefault="00F06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9D90B" w14:textId="77777777" w:rsidR="0097193C" w:rsidRDefault="0097193C" w:rsidP="003B6B39">
      <w:r>
        <w:separator/>
      </w:r>
    </w:p>
  </w:footnote>
  <w:footnote w:type="continuationSeparator" w:id="0">
    <w:p w14:paraId="61A56134" w14:textId="77777777" w:rsidR="0097193C" w:rsidRDefault="0097193C" w:rsidP="003B6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8C68A" w14:textId="77777777" w:rsidR="00F06B6D" w:rsidRDefault="00F06B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117282"/>
      <w:docPartObj>
        <w:docPartGallery w:val="Page Numbers (Top of Page)"/>
        <w:docPartUnique/>
      </w:docPartObj>
    </w:sdtPr>
    <w:sdtEndPr>
      <w:rPr>
        <w:noProof/>
      </w:rPr>
    </w:sdtEndPr>
    <w:sdtContent>
      <w:p w14:paraId="4FA28FD0" w14:textId="5C7A2A28" w:rsidR="00366938" w:rsidRDefault="00366938" w:rsidP="00F06B6D">
        <w:pPr>
          <w:pStyle w:val="Header"/>
        </w:pPr>
        <w:r>
          <w:t xml:space="preserve">INTERGROUP CONTACT AND BIAS                                                        </w:t>
        </w:r>
        <w:r w:rsidR="00F06B6D">
          <w:t xml:space="preserve">                              </w:t>
        </w:r>
        <w:r>
          <w:fldChar w:fldCharType="begin"/>
        </w:r>
        <w:r>
          <w:instrText xml:space="preserve"> PAGE   \* MERGEFORMAT </w:instrText>
        </w:r>
        <w:r>
          <w:fldChar w:fldCharType="separate"/>
        </w:r>
        <w:r w:rsidR="006C6749">
          <w:rPr>
            <w:noProof/>
          </w:rPr>
          <w:t>20</w:t>
        </w:r>
        <w:r>
          <w:rPr>
            <w:noProof/>
          </w:rPr>
          <w:fldChar w:fldCharType="end"/>
        </w:r>
      </w:p>
    </w:sdtContent>
  </w:sdt>
  <w:p w14:paraId="5872D6F5" w14:textId="77777777" w:rsidR="00366938" w:rsidRDefault="003669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72A15" w14:textId="318A41E8" w:rsidR="00366938" w:rsidRDefault="00366938">
    <w:pPr>
      <w:pStyle w:val="Header"/>
    </w:pPr>
    <w:r>
      <w:t>Running head: INTERGROUP CONTACT AND BIAS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O"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A14"/>
    <w:rsid w:val="00002D90"/>
    <w:rsid w:val="00014CDF"/>
    <w:rsid w:val="00025E88"/>
    <w:rsid w:val="00035DCA"/>
    <w:rsid w:val="000375D3"/>
    <w:rsid w:val="00052EF6"/>
    <w:rsid w:val="00056800"/>
    <w:rsid w:val="000619B5"/>
    <w:rsid w:val="00063FEA"/>
    <w:rsid w:val="00071815"/>
    <w:rsid w:val="000761BF"/>
    <w:rsid w:val="0008057F"/>
    <w:rsid w:val="0008496C"/>
    <w:rsid w:val="0009005B"/>
    <w:rsid w:val="00096D9C"/>
    <w:rsid w:val="000A6385"/>
    <w:rsid w:val="000D2FC3"/>
    <w:rsid w:val="000D45D6"/>
    <w:rsid w:val="000E093B"/>
    <w:rsid w:val="000E3A0B"/>
    <w:rsid w:val="00104321"/>
    <w:rsid w:val="001120F7"/>
    <w:rsid w:val="001167CF"/>
    <w:rsid w:val="00121120"/>
    <w:rsid w:val="001246D2"/>
    <w:rsid w:val="0013235F"/>
    <w:rsid w:val="00141650"/>
    <w:rsid w:val="0014349D"/>
    <w:rsid w:val="001512EA"/>
    <w:rsid w:val="0015293F"/>
    <w:rsid w:val="001603A0"/>
    <w:rsid w:val="001655E6"/>
    <w:rsid w:val="0016561F"/>
    <w:rsid w:val="00166923"/>
    <w:rsid w:val="00174EE4"/>
    <w:rsid w:val="00177061"/>
    <w:rsid w:val="0018193B"/>
    <w:rsid w:val="00187B2F"/>
    <w:rsid w:val="001B5CF9"/>
    <w:rsid w:val="001E5757"/>
    <w:rsid w:val="001F6377"/>
    <w:rsid w:val="0020434E"/>
    <w:rsid w:val="00205034"/>
    <w:rsid w:val="00210D89"/>
    <w:rsid w:val="0022213D"/>
    <w:rsid w:val="002312CA"/>
    <w:rsid w:val="00232E3A"/>
    <w:rsid w:val="0024434F"/>
    <w:rsid w:val="00257A9D"/>
    <w:rsid w:val="00257D9D"/>
    <w:rsid w:val="00257E47"/>
    <w:rsid w:val="00263C1B"/>
    <w:rsid w:val="00267025"/>
    <w:rsid w:val="00273481"/>
    <w:rsid w:val="00276F33"/>
    <w:rsid w:val="00281956"/>
    <w:rsid w:val="002824D1"/>
    <w:rsid w:val="00282909"/>
    <w:rsid w:val="00293E98"/>
    <w:rsid w:val="0029716B"/>
    <w:rsid w:val="002A0BE1"/>
    <w:rsid w:val="002A1475"/>
    <w:rsid w:val="002A155F"/>
    <w:rsid w:val="002A19D7"/>
    <w:rsid w:val="002A3A38"/>
    <w:rsid w:val="002A460E"/>
    <w:rsid w:val="002A5DC9"/>
    <w:rsid w:val="002B3ED9"/>
    <w:rsid w:val="002C132B"/>
    <w:rsid w:val="002C22AF"/>
    <w:rsid w:val="002C4834"/>
    <w:rsid w:val="002C63E6"/>
    <w:rsid w:val="002D12B9"/>
    <w:rsid w:val="002D2161"/>
    <w:rsid w:val="002D4188"/>
    <w:rsid w:val="002E7352"/>
    <w:rsid w:val="002F36E7"/>
    <w:rsid w:val="00301D76"/>
    <w:rsid w:val="0030574A"/>
    <w:rsid w:val="0031146A"/>
    <w:rsid w:val="00313EAD"/>
    <w:rsid w:val="003266BF"/>
    <w:rsid w:val="00341B8A"/>
    <w:rsid w:val="00345727"/>
    <w:rsid w:val="00357CE4"/>
    <w:rsid w:val="00362B37"/>
    <w:rsid w:val="003649CE"/>
    <w:rsid w:val="00366938"/>
    <w:rsid w:val="00370A1C"/>
    <w:rsid w:val="00370ACC"/>
    <w:rsid w:val="00372379"/>
    <w:rsid w:val="00393A03"/>
    <w:rsid w:val="00396EBE"/>
    <w:rsid w:val="003A5452"/>
    <w:rsid w:val="003B1623"/>
    <w:rsid w:val="003B6B39"/>
    <w:rsid w:val="003C14AC"/>
    <w:rsid w:val="003C4318"/>
    <w:rsid w:val="003D6772"/>
    <w:rsid w:val="003E4A63"/>
    <w:rsid w:val="003F1687"/>
    <w:rsid w:val="003F4A6B"/>
    <w:rsid w:val="003F66E3"/>
    <w:rsid w:val="003F74BE"/>
    <w:rsid w:val="0041108D"/>
    <w:rsid w:val="00412035"/>
    <w:rsid w:val="0042125A"/>
    <w:rsid w:val="00425012"/>
    <w:rsid w:val="00431CDE"/>
    <w:rsid w:val="004376E0"/>
    <w:rsid w:val="004414CC"/>
    <w:rsid w:val="004720A5"/>
    <w:rsid w:val="00484CA2"/>
    <w:rsid w:val="0048683F"/>
    <w:rsid w:val="00490AFD"/>
    <w:rsid w:val="00492171"/>
    <w:rsid w:val="00493703"/>
    <w:rsid w:val="004A7F7C"/>
    <w:rsid w:val="004B04D9"/>
    <w:rsid w:val="004B0904"/>
    <w:rsid w:val="004B5732"/>
    <w:rsid w:val="004B5B4C"/>
    <w:rsid w:val="004B712F"/>
    <w:rsid w:val="004C1457"/>
    <w:rsid w:val="004C5FC6"/>
    <w:rsid w:val="004D32CE"/>
    <w:rsid w:val="004D64BB"/>
    <w:rsid w:val="004E020E"/>
    <w:rsid w:val="004E20ED"/>
    <w:rsid w:val="004F77D2"/>
    <w:rsid w:val="004F7D6D"/>
    <w:rsid w:val="005014D8"/>
    <w:rsid w:val="005067B1"/>
    <w:rsid w:val="0051285E"/>
    <w:rsid w:val="00513B16"/>
    <w:rsid w:val="00515362"/>
    <w:rsid w:val="005309C1"/>
    <w:rsid w:val="005315E2"/>
    <w:rsid w:val="00534E25"/>
    <w:rsid w:val="00536C03"/>
    <w:rsid w:val="005465B6"/>
    <w:rsid w:val="00555598"/>
    <w:rsid w:val="00556BE2"/>
    <w:rsid w:val="00565416"/>
    <w:rsid w:val="005808CF"/>
    <w:rsid w:val="005852EC"/>
    <w:rsid w:val="00595718"/>
    <w:rsid w:val="005A24ED"/>
    <w:rsid w:val="005A275D"/>
    <w:rsid w:val="005C2F94"/>
    <w:rsid w:val="005C45F6"/>
    <w:rsid w:val="005C5F7B"/>
    <w:rsid w:val="005E2785"/>
    <w:rsid w:val="005F174B"/>
    <w:rsid w:val="005F424A"/>
    <w:rsid w:val="005F4EFF"/>
    <w:rsid w:val="005F5DC6"/>
    <w:rsid w:val="006070D6"/>
    <w:rsid w:val="006129A1"/>
    <w:rsid w:val="0061510E"/>
    <w:rsid w:val="0061659B"/>
    <w:rsid w:val="00621B60"/>
    <w:rsid w:val="00621FE6"/>
    <w:rsid w:val="006347C3"/>
    <w:rsid w:val="0064160B"/>
    <w:rsid w:val="00643F51"/>
    <w:rsid w:val="00646E13"/>
    <w:rsid w:val="00661787"/>
    <w:rsid w:val="0066315D"/>
    <w:rsid w:val="00666E3C"/>
    <w:rsid w:val="00682ED1"/>
    <w:rsid w:val="006957E4"/>
    <w:rsid w:val="006A2C43"/>
    <w:rsid w:val="006A3B18"/>
    <w:rsid w:val="006A7CEF"/>
    <w:rsid w:val="006C07DD"/>
    <w:rsid w:val="006C6749"/>
    <w:rsid w:val="006F4ED9"/>
    <w:rsid w:val="006F5EDD"/>
    <w:rsid w:val="007021E2"/>
    <w:rsid w:val="00705E54"/>
    <w:rsid w:val="00735D2D"/>
    <w:rsid w:val="007401D1"/>
    <w:rsid w:val="00741E48"/>
    <w:rsid w:val="00750153"/>
    <w:rsid w:val="007507D3"/>
    <w:rsid w:val="00757FF5"/>
    <w:rsid w:val="00763D22"/>
    <w:rsid w:val="007652F2"/>
    <w:rsid w:val="007813C0"/>
    <w:rsid w:val="00782263"/>
    <w:rsid w:val="00783569"/>
    <w:rsid w:val="00784CBA"/>
    <w:rsid w:val="00791CAE"/>
    <w:rsid w:val="00793F2E"/>
    <w:rsid w:val="007B06FC"/>
    <w:rsid w:val="007B58A9"/>
    <w:rsid w:val="007C3272"/>
    <w:rsid w:val="007D0753"/>
    <w:rsid w:val="007D5772"/>
    <w:rsid w:val="007D628E"/>
    <w:rsid w:val="007E0D3E"/>
    <w:rsid w:val="007E49E5"/>
    <w:rsid w:val="007E605D"/>
    <w:rsid w:val="00800F0B"/>
    <w:rsid w:val="00804658"/>
    <w:rsid w:val="00804A63"/>
    <w:rsid w:val="00817A07"/>
    <w:rsid w:val="00825FFF"/>
    <w:rsid w:val="0083615C"/>
    <w:rsid w:val="00853ECA"/>
    <w:rsid w:val="008565FD"/>
    <w:rsid w:val="00856B40"/>
    <w:rsid w:val="00862554"/>
    <w:rsid w:val="00883736"/>
    <w:rsid w:val="00891E4D"/>
    <w:rsid w:val="008943C4"/>
    <w:rsid w:val="008A16CA"/>
    <w:rsid w:val="008C0D7C"/>
    <w:rsid w:val="008C443D"/>
    <w:rsid w:val="008C6BF8"/>
    <w:rsid w:val="008C73B5"/>
    <w:rsid w:val="008D6566"/>
    <w:rsid w:val="008E4BC8"/>
    <w:rsid w:val="008F4AF6"/>
    <w:rsid w:val="008F5E39"/>
    <w:rsid w:val="008F6A79"/>
    <w:rsid w:val="0090366D"/>
    <w:rsid w:val="00912BC1"/>
    <w:rsid w:val="00915F83"/>
    <w:rsid w:val="0092207D"/>
    <w:rsid w:val="00922D62"/>
    <w:rsid w:val="00924B03"/>
    <w:rsid w:val="00931149"/>
    <w:rsid w:val="00942767"/>
    <w:rsid w:val="009612ED"/>
    <w:rsid w:val="0096293E"/>
    <w:rsid w:val="009665B4"/>
    <w:rsid w:val="00966AE5"/>
    <w:rsid w:val="00970065"/>
    <w:rsid w:val="0097049F"/>
    <w:rsid w:val="00970964"/>
    <w:rsid w:val="0097193C"/>
    <w:rsid w:val="0097553A"/>
    <w:rsid w:val="00977EC3"/>
    <w:rsid w:val="0098024B"/>
    <w:rsid w:val="009837AB"/>
    <w:rsid w:val="00991769"/>
    <w:rsid w:val="009A622B"/>
    <w:rsid w:val="009B1AA7"/>
    <w:rsid w:val="009B2B42"/>
    <w:rsid w:val="009B4CE5"/>
    <w:rsid w:val="009B5785"/>
    <w:rsid w:val="009C1EF1"/>
    <w:rsid w:val="009C40E7"/>
    <w:rsid w:val="009C7069"/>
    <w:rsid w:val="009C769A"/>
    <w:rsid w:val="009E0900"/>
    <w:rsid w:val="009E28C7"/>
    <w:rsid w:val="009F1291"/>
    <w:rsid w:val="00A049F0"/>
    <w:rsid w:val="00A07621"/>
    <w:rsid w:val="00A10FA0"/>
    <w:rsid w:val="00A268F2"/>
    <w:rsid w:val="00A31578"/>
    <w:rsid w:val="00A40A08"/>
    <w:rsid w:val="00A434F2"/>
    <w:rsid w:val="00A479B0"/>
    <w:rsid w:val="00A50CFC"/>
    <w:rsid w:val="00A635E5"/>
    <w:rsid w:val="00A641AD"/>
    <w:rsid w:val="00A66378"/>
    <w:rsid w:val="00A665FC"/>
    <w:rsid w:val="00A666D4"/>
    <w:rsid w:val="00AA1BA3"/>
    <w:rsid w:val="00AA2083"/>
    <w:rsid w:val="00AA4F9A"/>
    <w:rsid w:val="00AB0C95"/>
    <w:rsid w:val="00AC0E71"/>
    <w:rsid w:val="00AD2727"/>
    <w:rsid w:val="00AF6DB0"/>
    <w:rsid w:val="00B03B90"/>
    <w:rsid w:val="00B056E0"/>
    <w:rsid w:val="00B16550"/>
    <w:rsid w:val="00B16C43"/>
    <w:rsid w:val="00B1796B"/>
    <w:rsid w:val="00B17A14"/>
    <w:rsid w:val="00B17AB8"/>
    <w:rsid w:val="00B24260"/>
    <w:rsid w:val="00B24DCE"/>
    <w:rsid w:val="00B37131"/>
    <w:rsid w:val="00B43F10"/>
    <w:rsid w:val="00B448F3"/>
    <w:rsid w:val="00B46176"/>
    <w:rsid w:val="00B4636C"/>
    <w:rsid w:val="00B47B4A"/>
    <w:rsid w:val="00B6084E"/>
    <w:rsid w:val="00B7349B"/>
    <w:rsid w:val="00B73A80"/>
    <w:rsid w:val="00B915DA"/>
    <w:rsid w:val="00BA78D4"/>
    <w:rsid w:val="00BB0F6B"/>
    <w:rsid w:val="00BB5BA0"/>
    <w:rsid w:val="00BD219F"/>
    <w:rsid w:val="00BF147F"/>
    <w:rsid w:val="00BF73AF"/>
    <w:rsid w:val="00BF74CD"/>
    <w:rsid w:val="00C0122B"/>
    <w:rsid w:val="00C23DE7"/>
    <w:rsid w:val="00C45374"/>
    <w:rsid w:val="00C475A3"/>
    <w:rsid w:val="00C50D44"/>
    <w:rsid w:val="00C60461"/>
    <w:rsid w:val="00C8230D"/>
    <w:rsid w:val="00C87F5D"/>
    <w:rsid w:val="00C9438E"/>
    <w:rsid w:val="00C97C06"/>
    <w:rsid w:val="00CA4118"/>
    <w:rsid w:val="00CA66E4"/>
    <w:rsid w:val="00CA765D"/>
    <w:rsid w:val="00CB3E4A"/>
    <w:rsid w:val="00CB4246"/>
    <w:rsid w:val="00CB58A2"/>
    <w:rsid w:val="00CC63EB"/>
    <w:rsid w:val="00CC7F51"/>
    <w:rsid w:val="00CE772E"/>
    <w:rsid w:val="00CF459D"/>
    <w:rsid w:val="00D02A69"/>
    <w:rsid w:val="00D16479"/>
    <w:rsid w:val="00D17041"/>
    <w:rsid w:val="00D17207"/>
    <w:rsid w:val="00D25DAA"/>
    <w:rsid w:val="00D324FF"/>
    <w:rsid w:val="00D369B4"/>
    <w:rsid w:val="00D41AF8"/>
    <w:rsid w:val="00D50240"/>
    <w:rsid w:val="00D54938"/>
    <w:rsid w:val="00D653EA"/>
    <w:rsid w:val="00D65CB2"/>
    <w:rsid w:val="00D90C1D"/>
    <w:rsid w:val="00D93EBB"/>
    <w:rsid w:val="00DA0E86"/>
    <w:rsid w:val="00DA185B"/>
    <w:rsid w:val="00DB2876"/>
    <w:rsid w:val="00DB2CEA"/>
    <w:rsid w:val="00DC201C"/>
    <w:rsid w:val="00DC4A43"/>
    <w:rsid w:val="00DE6A8E"/>
    <w:rsid w:val="00DF2BD1"/>
    <w:rsid w:val="00DF435D"/>
    <w:rsid w:val="00DF714E"/>
    <w:rsid w:val="00E03948"/>
    <w:rsid w:val="00E0516F"/>
    <w:rsid w:val="00E15524"/>
    <w:rsid w:val="00E27D5A"/>
    <w:rsid w:val="00E34CEB"/>
    <w:rsid w:val="00E56916"/>
    <w:rsid w:val="00E63B1A"/>
    <w:rsid w:val="00E671D2"/>
    <w:rsid w:val="00E67238"/>
    <w:rsid w:val="00E80F5F"/>
    <w:rsid w:val="00E850B0"/>
    <w:rsid w:val="00E85CE7"/>
    <w:rsid w:val="00E9316C"/>
    <w:rsid w:val="00E962EC"/>
    <w:rsid w:val="00EA4FEE"/>
    <w:rsid w:val="00EA7038"/>
    <w:rsid w:val="00EB0943"/>
    <w:rsid w:val="00EB2915"/>
    <w:rsid w:val="00EB6B47"/>
    <w:rsid w:val="00EC3814"/>
    <w:rsid w:val="00EE586F"/>
    <w:rsid w:val="00EE692D"/>
    <w:rsid w:val="00EF4FA5"/>
    <w:rsid w:val="00EF6AE3"/>
    <w:rsid w:val="00EF7DFE"/>
    <w:rsid w:val="00F0479A"/>
    <w:rsid w:val="00F06B6D"/>
    <w:rsid w:val="00F21448"/>
    <w:rsid w:val="00F24DA3"/>
    <w:rsid w:val="00F254F6"/>
    <w:rsid w:val="00F30FEE"/>
    <w:rsid w:val="00F3403E"/>
    <w:rsid w:val="00F355F1"/>
    <w:rsid w:val="00F428F2"/>
    <w:rsid w:val="00F43A97"/>
    <w:rsid w:val="00F4594F"/>
    <w:rsid w:val="00F57938"/>
    <w:rsid w:val="00F60A64"/>
    <w:rsid w:val="00F629B5"/>
    <w:rsid w:val="00F64FC4"/>
    <w:rsid w:val="00F7209B"/>
    <w:rsid w:val="00F76E25"/>
    <w:rsid w:val="00F87293"/>
    <w:rsid w:val="00F91A09"/>
    <w:rsid w:val="00F95813"/>
    <w:rsid w:val="00F95F5D"/>
    <w:rsid w:val="00F973C0"/>
    <w:rsid w:val="00F97693"/>
    <w:rsid w:val="00FA0B0B"/>
    <w:rsid w:val="00FA4EB9"/>
    <w:rsid w:val="00FB3554"/>
    <w:rsid w:val="00FC32B7"/>
    <w:rsid w:val="00FC38FA"/>
    <w:rsid w:val="00FD0979"/>
    <w:rsid w:val="00FD1A2B"/>
    <w:rsid w:val="00FD64F4"/>
    <w:rsid w:val="00FD7A20"/>
    <w:rsid w:val="00FD7BA6"/>
    <w:rsid w:val="00FD7E9A"/>
    <w:rsid w:val="00FE2058"/>
    <w:rsid w:val="00FE4450"/>
    <w:rsid w:val="00FF1363"/>
    <w:rsid w:val="00FF2851"/>
    <w:rsid w:val="00FF7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CA597"/>
  <w15:chartTrackingRefBased/>
  <w15:docId w15:val="{B1DA7528-0EA1-4D86-9F02-138E519E1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A14"/>
    <w:rPr>
      <w:rFonts w:ascii="Times New Roman" w:eastAsia="Batang" w:hAnsi="Times New Roman" w:cs="Times New Roman"/>
      <w:sz w:val="24"/>
      <w:szCs w:val="24"/>
      <w:lang w:eastAsia="ko-KR"/>
    </w:rPr>
  </w:style>
  <w:style w:type="paragraph" w:styleId="Heading2">
    <w:name w:val="heading 2"/>
    <w:basedOn w:val="Normal"/>
    <w:next w:val="Normal"/>
    <w:link w:val="Heading2Char"/>
    <w:uiPriority w:val="9"/>
    <w:unhideWhenUsed/>
    <w:qFormat/>
    <w:rsid w:val="007E0D3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B17A14"/>
    <w:pPr>
      <w:pBdr>
        <w:top w:val="nil"/>
        <w:left w:val="nil"/>
        <w:bottom w:val="nil"/>
        <w:right w:val="nil"/>
        <w:between w:val="nil"/>
      </w:pBdr>
    </w:pPr>
    <w:rPr>
      <w:rFonts w:ascii="Arial" w:hAnsi="Arial" w:cs="Arial"/>
      <w:color w:val="000000"/>
      <w:sz w:val="20"/>
      <w:szCs w:val="20"/>
      <w:lang w:val="en" w:eastAsia="en-US"/>
    </w:rPr>
  </w:style>
  <w:style w:type="character" w:customStyle="1" w:styleId="CommentTextChar">
    <w:name w:val="Comment Text Char"/>
    <w:basedOn w:val="DefaultParagraphFont"/>
    <w:link w:val="CommentText"/>
    <w:uiPriority w:val="99"/>
    <w:rsid w:val="00B17A14"/>
    <w:rPr>
      <w:rFonts w:ascii="Arial" w:eastAsia="Batang" w:hAnsi="Arial" w:cs="Arial"/>
      <w:color w:val="000000"/>
      <w:sz w:val="20"/>
      <w:szCs w:val="20"/>
      <w:lang w:val="en"/>
    </w:rPr>
  </w:style>
  <w:style w:type="character" w:styleId="CommentReference">
    <w:name w:val="annotation reference"/>
    <w:basedOn w:val="DefaultParagraphFont"/>
    <w:uiPriority w:val="99"/>
    <w:semiHidden/>
    <w:unhideWhenUsed/>
    <w:rsid w:val="00B17A14"/>
    <w:rPr>
      <w:sz w:val="16"/>
      <w:szCs w:val="16"/>
    </w:rPr>
  </w:style>
  <w:style w:type="paragraph" w:styleId="CommentSubject">
    <w:name w:val="annotation subject"/>
    <w:basedOn w:val="CommentText"/>
    <w:next w:val="CommentText"/>
    <w:link w:val="CommentSubjectChar"/>
    <w:uiPriority w:val="99"/>
    <w:semiHidden/>
    <w:unhideWhenUsed/>
    <w:rsid w:val="00B17A14"/>
    <w:pPr>
      <w:pBdr>
        <w:top w:val="none" w:sz="0" w:space="0" w:color="auto"/>
        <w:left w:val="none" w:sz="0" w:space="0" w:color="auto"/>
        <w:bottom w:val="none" w:sz="0" w:space="0" w:color="auto"/>
        <w:right w:val="none" w:sz="0" w:space="0" w:color="auto"/>
        <w:between w:val="none" w:sz="0" w:space="0" w:color="auto"/>
      </w:pBdr>
    </w:pPr>
    <w:rPr>
      <w:rFonts w:ascii="Times New Roman" w:hAnsi="Times New Roman" w:cs="Times New Roman"/>
      <w:b/>
      <w:bCs/>
      <w:color w:val="auto"/>
      <w:lang w:val="en-US" w:eastAsia="ko-KR"/>
    </w:rPr>
  </w:style>
  <w:style w:type="character" w:customStyle="1" w:styleId="CommentSubjectChar">
    <w:name w:val="Comment Subject Char"/>
    <w:basedOn w:val="CommentTextChar"/>
    <w:link w:val="CommentSubject"/>
    <w:uiPriority w:val="99"/>
    <w:semiHidden/>
    <w:rsid w:val="00B17A14"/>
    <w:rPr>
      <w:rFonts w:ascii="Times New Roman" w:eastAsia="Batang" w:hAnsi="Times New Roman" w:cs="Times New Roman"/>
      <w:b/>
      <w:bCs/>
      <w:color w:val="000000"/>
      <w:sz w:val="20"/>
      <w:szCs w:val="20"/>
      <w:lang w:val="en" w:eastAsia="ko-KR"/>
    </w:rPr>
  </w:style>
  <w:style w:type="paragraph" w:styleId="BalloonText">
    <w:name w:val="Balloon Text"/>
    <w:basedOn w:val="Normal"/>
    <w:link w:val="BalloonTextChar"/>
    <w:uiPriority w:val="99"/>
    <w:semiHidden/>
    <w:unhideWhenUsed/>
    <w:rsid w:val="00B17A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A14"/>
    <w:rPr>
      <w:rFonts w:ascii="Segoe UI" w:eastAsia="Batang" w:hAnsi="Segoe UI" w:cs="Segoe UI"/>
      <w:sz w:val="18"/>
      <w:szCs w:val="18"/>
      <w:lang w:eastAsia="ko-KR"/>
    </w:rPr>
  </w:style>
  <w:style w:type="character" w:styleId="Hyperlink">
    <w:name w:val="Hyperlink"/>
    <w:basedOn w:val="DefaultParagraphFont"/>
    <w:uiPriority w:val="99"/>
    <w:unhideWhenUsed/>
    <w:rsid w:val="001167CF"/>
    <w:rPr>
      <w:color w:val="0563C1" w:themeColor="hyperlink"/>
      <w:u w:val="single"/>
    </w:rPr>
  </w:style>
  <w:style w:type="character" w:customStyle="1" w:styleId="Heading2Char">
    <w:name w:val="Heading 2 Char"/>
    <w:basedOn w:val="DefaultParagraphFont"/>
    <w:link w:val="Heading2"/>
    <w:uiPriority w:val="9"/>
    <w:rsid w:val="007E0D3E"/>
    <w:rPr>
      <w:rFonts w:asciiTheme="majorHAnsi" w:eastAsiaTheme="majorEastAsia" w:hAnsiTheme="majorHAnsi" w:cstheme="majorBidi"/>
      <w:color w:val="2E74B5" w:themeColor="accent1" w:themeShade="BF"/>
      <w:sz w:val="26"/>
      <w:szCs w:val="26"/>
      <w:lang w:eastAsia="ko-KR"/>
    </w:rPr>
  </w:style>
  <w:style w:type="paragraph" w:styleId="Revision">
    <w:name w:val="Revision"/>
    <w:hidden/>
    <w:uiPriority w:val="99"/>
    <w:semiHidden/>
    <w:rsid w:val="00D93EBB"/>
    <w:rPr>
      <w:rFonts w:ascii="Times New Roman" w:eastAsia="Batang" w:hAnsi="Times New Roman" w:cs="Times New Roman"/>
      <w:sz w:val="24"/>
      <w:szCs w:val="24"/>
      <w:lang w:eastAsia="ko-KR"/>
    </w:rPr>
  </w:style>
  <w:style w:type="table" w:styleId="TableGrid">
    <w:name w:val="Table Grid"/>
    <w:basedOn w:val="TableNormal"/>
    <w:uiPriority w:val="39"/>
    <w:rsid w:val="00D41AF8"/>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6B39"/>
    <w:pPr>
      <w:tabs>
        <w:tab w:val="center" w:pos="4680"/>
        <w:tab w:val="right" w:pos="9360"/>
      </w:tabs>
    </w:pPr>
  </w:style>
  <w:style w:type="character" w:customStyle="1" w:styleId="HeaderChar">
    <w:name w:val="Header Char"/>
    <w:basedOn w:val="DefaultParagraphFont"/>
    <w:link w:val="Header"/>
    <w:uiPriority w:val="99"/>
    <w:rsid w:val="003B6B39"/>
    <w:rPr>
      <w:rFonts w:ascii="Times New Roman" w:eastAsia="Batang" w:hAnsi="Times New Roman" w:cs="Times New Roman"/>
      <w:sz w:val="24"/>
      <w:szCs w:val="24"/>
      <w:lang w:eastAsia="ko-KR"/>
    </w:rPr>
  </w:style>
  <w:style w:type="paragraph" w:styleId="Footer">
    <w:name w:val="footer"/>
    <w:basedOn w:val="Normal"/>
    <w:link w:val="FooterChar"/>
    <w:uiPriority w:val="99"/>
    <w:unhideWhenUsed/>
    <w:rsid w:val="003B6B39"/>
    <w:pPr>
      <w:tabs>
        <w:tab w:val="center" w:pos="4680"/>
        <w:tab w:val="right" w:pos="9360"/>
      </w:tabs>
    </w:pPr>
  </w:style>
  <w:style w:type="character" w:customStyle="1" w:styleId="FooterChar">
    <w:name w:val="Footer Char"/>
    <w:basedOn w:val="DefaultParagraphFont"/>
    <w:link w:val="Footer"/>
    <w:uiPriority w:val="99"/>
    <w:rsid w:val="003B6B39"/>
    <w:rPr>
      <w:rFonts w:ascii="Times New Roman" w:eastAsia="Batang" w:hAnsi="Times New Roman" w:cs="Times New Roman"/>
      <w:sz w:val="24"/>
      <w:szCs w:val="24"/>
      <w:lang w:eastAsia="ko-KR"/>
    </w:rPr>
  </w:style>
  <w:style w:type="character" w:customStyle="1" w:styleId="UnresolvedMention1">
    <w:name w:val="Unresolved Mention1"/>
    <w:basedOn w:val="DefaultParagraphFont"/>
    <w:uiPriority w:val="99"/>
    <w:semiHidden/>
    <w:unhideWhenUsed/>
    <w:rsid w:val="00D50240"/>
    <w:rPr>
      <w:color w:val="605E5C"/>
      <w:shd w:val="clear" w:color="auto" w:fill="E1DFDD"/>
    </w:rPr>
  </w:style>
  <w:style w:type="character" w:customStyle="1" w:styleId="UnresolvedMention2">
    <w:name w:val="Unresolved Mention2"/>
    <w:basedOn w:val="DefaultParagraphFont"/>
    <w:uiPriority w:val="99"/>
    <w:semiHidden/>
    <w:unhideWhenUsed/>
    <w:rsid w:val="007D0753"/>
    <w:rPr>
      <w:color w:val="605E5C"/>
      <w:shd w:val="clear" w:color="auto" w:fill="E1DFDD"/>
    </w:rPr>
  </w:style>
  <w:style w:type="character" w:styleId="FollowedHyperlink">
    <w:name w:val="FollowedHyperlink"/>
    <w:basedOn w:val="DefaultParagraphFont"/>
    <w:uiPriority w:val="99"/>
    <w:semiHidden/>
    <w:unhideWhenUsed/>
    <w:rsid w:val="00187B2F"/>
    <w:rPr>
      <w:color w:val="954F72" w:themeColor="followedHyperlink"/>
      <w:u w:val="single"/>
    </w:rPr>
  </w:style>
  <w:style w:type="character" w:styleId="Emphasis">
    <w:name w:val="Emphasis"/>
    <w:uiPriority w:val="20"/>
    <w:qFormat/>
    <w:rsid w:val="006A7CEF"/>
    <w:rPr>
      <w:i/>
      <w:iCs/>
    </w:rPr>
  </w:style>
  <w:style w:type="character" w:styleId="Strong">
    <w:name w:val="Strong"/>
    <w:uiPriority w:val="22"/>
    <w:qFormat/>
    <w:rsid w:val="005C5F7B"/>
    <w:rPr>
      <w:b/>
      <w:bCs/>
    </w:rPr>
  </w:style>
  <w:style w:type="character" w:customStyle="1" w:styleId="a">
    <w:name w:val="_"/>
    <w:basedOn w:val="DefaultParagraphFont"/>
    <w:rsid w:val="00052EF6"/>
  </w:style>
  <w:style w:type="character" w:customStyle="1" w:styleId="ff4">
    <w:name w:val="ff4"/>
    <w:basedOn w:val="DefaultParagraphFont"/>
    <w:rsid w:val="00052EF6"/>
  </w:style>
  <w:style w:type="character" w:customStyle="1" w:styleId="ff7">
    <w:name w:val="ff7"/>
    <w:basedOn w:val="DefaultParagraphFont"/>
    <w:rsid w:val="00052EF6"/>
  </w:style>
  <w:style w:type="character" w:customStyle="1" w:styleId="ff5">
    <w:name w:val="ff5"/>
    <w:basedOn w:val="DefaultParagraphFont"/>
    <w:rsid w:val="00E9316C"/>
  </w:style>
  <w:style w:type="character" w:customStyle="1" w:styleId="lsf">
    <w:name w:val="lsf"/>
    <w:basedOn w:val="DefaultParagraphFont"/>
    <w:rsid w:val="00E9316C"/>
  </w:style>
  <w:style w:type="character" w:customStyle="1" w:styleId="ff3">
    <w:name w:val="ff3"/>
    <w:basedOn w:val="DefaultParagraphFont"/>
    <w:rsid w:val="00E9316C"/>
  </w:style>
  <w:style w:type="character" w:customStyle="1" w:styleId="lse">
    <w:name w:val="lse"/>
    <w:basedOn w:val="DefaultParagraphFont"/>
    <w:rsid w:val="00E9316C"/>
  </w:style>
  <w:style w:type="character" w:customStyle="1" w:styleId="UnresolvedMention">
    <w:name w:val="Unresolved Mention"/>
    <w:basedOn w:val="DefaultParagraphFont"/>
    <w:uiPriority w:val="99"/>
    <w:semiHidden/>
    <w:unhideWhenUsed/>
    <w:rsid w:val="007021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883377">
      <w:bodyDiv w:val="1"/>
      <w:marLeft w:val="0"/>
      <w:marRight w:val="0"/>
      <w:marTop w:val="0"/>
      <w:marBottom w:val="0"/>
      <w:divBdr>
        <w:top w:val="none" w:sz="0" w:space="0" w:color="auto"/>
        <w:left w:val="none" w:sz="0" w:space="0" w:color="auto"/>
        <w:bottom w:val="none" w:sz="0" w:space="0" w:color="auto"/>
        <w:right w:val="none" w:sz="0" w:space="0" w:color="auto"/>
      </w:divBdr>
    </w:div>
    <w:div w:id="773718511">
      <w:bodyDiv w:val="1"/>
      <w:marLeft w:val="0"/>
      <w:marRight w:val="0"/>
      <w:marTop w:val="0"/>
      <w:marBottom w:val="0"/>
      <w:divBdr>
        <w:top w:val="none" w:sz="0" w:space="0" w:color="auto"/>
        <w:left w:val="none" w:sz="0" w:space="0" w:color="auto"/>
        <w:bottom w:val="none" w:sz="0" w:space="0" w:color="auto"/>
        <w:right w:val="none" w:sz="0" w:space="0" w:color="auto"/>
      </w:divBdr>
    </w:div>
    <w:div w:id="822358516">
      <w:bodyDiv w:val="1"/>
      <w:marLeft w:val="0"/>
      <w:marRight w:val="0"/>
      <w:marTop w:val="0"/>
      <w:marBottom w:val="0"/>
      <w:divBdr>
        <w:top w:val="none" w:sz="0" w:space="0" w:color="auto"/>
        <w:left w:val="none" w:sz="0" w:space="0" w:color="auto"/>
        <w:bottom w:val="none" w:sz="0" w:space="0" w:color="auto"/>
        <w:right w:val="none" w:sz="0" w:space="0" w:color="auto"/>
      </w:divBdr>
    </w:div>
    <w:div w:id="1099957794">
      <w:bodyDiv w:val="1"/>
      <w:marLeft w:val="0"/>
      <w:marRight w:val="0"/>
      <w:marTop w:val="0"/>
      <w:marBottom w:val="0"/>
      <w:divBdr>
        <w:top w:val="none" w:sz="0" w:space="0" w:color="auto"/>
        <w:left w:val="none" w:sz="0" w:space="0" w:color="auto"/>
        <w:bottom w:val="none" w:sz="0" w:space="0" w:color="auto"/>
        <w:right w:val="none" w:sz="0" w:space="0" w:color="auto"/>
      </w:divBdr>
    </w:div>
    <w:div w:id="1288241580">
      <w:bodyDiv w:val="1"/>
      <w:marLeft w:val="0"/>
      <w:marRight w:val="0"/>
      <w:marTop w:val="0"/>
      <w:marBottom w:val="0"/>
      <w:divBdr>
        <w:top w:val="none" w:sz="0" w:space="0" w:color="auto"/>
        <w:left w:val="none" w:sz="0" w:space="0" w:color="auto"/>
        <w:bottom w:val="none" w:sz="0" w:space="0" w:color="auto"/>
        <w:right w:val="none" w:sz="0" w:space="0" w:color="auto"/>
      </w:divBdr>
    </w:div>
    <w:div w:id="1432432997">
      <w:bodyDiv w:val="1"/>
      <w:marLeft w:val="0"/>
      <w:marRight w:val="0"/>
      <w:marTop w:val="0"/>
      <w:marBottom w:val="0"/>
      <w:divBdr>
        <w:top w:val="none" w:sz="0" w:space="0" w:color="auto"/>
        <w:left w:val="none" w:sz="0" w:space="0" w:color="auto"/>
        <w:bottom w:val="none" w:sz="0" w:space="0" w:color="auto"/>
        <w:right w:val="none" w:sz="0" w:space="0" w:color="auto"/>
      </w:divBdr>
    </w:div>
    <w:div w:id="1468430728">
      <w:bodyDiv w:val="1"/>
      <w:marLeft w:val="0"/>
      <w:marRight w:val="0"/>
      <w:marTop w:val="0"/>
      <w:marBottom w:val="0"/>
      <w:divBdr>
        <w:top w:val="none" w:sz="0" w:space="0" w:color="auto"/>
        <w:left w:val="none" w:sz="0" w:space="0" w:color="auto"/>
        <w:bottom w:val="none" w:sz="0" w:space="0" w:color="auto"/>
        <w:right w:val="none" w:sz="0" w:space="0" w:color="auto"/>
      </w:divBdr>
    </w:div>
    <w:div w:id="1626882902">
      <w:bodyDiv w:val="1"/>
      <w:marLeft w:val="0"/>
      <w:marRight w:val="0"/>
      <w:marTop w:val="0"/>
      <w:marBottom w:val="0"/>
      <w:divBdr>
        <w:top w:val="none" w:sz="0" w:space="0" w:color="auto"/>
        <w:left w:val="none" w:sz="0" w:space="0" w:color="auto"/>
        <w:bottom w:val="none" w:sz="0" w:space="0" w:color="auto"/>
        <w:right w:val="none" w:sz="0" w:space="0" w:color="auto"/>
      </w:divBdr>
    </w:div>
    <w:div w:id="1675448337">
      <w:bodyDiv w:val="1"/>
      <w:marLeft w:val="0"/>
      <w:marRight w:val="0"/>
      <w:marTop w:val="0"/>
      <w:marBottom w:val="0"/>
      <w:divBdr>
        <w:top w:val="none" w:sz="0" w:space="0" w:color="auto"/>
        <w:left w:val="none" w:sz="0" w:space="0" w:color="auto"/>
        <w:bottom w:val="none" w:sz="0" w:space="0" w:color="auto"/>
        <w:right w:val="none" w:sz="0" w:space="0" w:color="auto"/>
      </w:divBdr>
    </w:div>
    <w:div w:id="1915049244">
      <w:bodyDiv w:val="1"/>
      <w:marLeft w:val="0"/>
      <w:marRight w:val="0"/>
      <w:marTop w:val="0"/>
      <w:marBottom w:val="0"/>
      <w:divBdr>
        <w:top w:val="none" w:sz="0" w:space="0" w:color="auto"/>
        <w:left w:val="none" w:sz="0" w:space="0" w:color="auto"/>
        <w:bottom w:val="none" w:sz="0" w:space="0" w:color="auto"/>
        <w:right w:val="none" w:sz="0" w:space="0" w:color="auto"/>
      </w:divBdr>
    </w:div>
    <w:div w:id="193327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thodology.psu.edu/" TargetMode="External"/><Relationship Id="rId13" Type="http://schemas.openxmlformats.org/officeDocument/2006/relationships/footer" Target="footer1.xml"/><Relationship Id="rId18" Type="http://schemas.openxmlformats.org/officeDocument/2006/relationships/image" Target="media/image2.emf"/><Relationship Id="rId3" Type="http://schemas.openxmlformats.org/officeDocument/2006/relationships/settings" Target="settings.xml"/><Relationship Id="rId21" Type="http://schemas.openxmlformats.org/officeDocument/2006/relationships/image" Target="media/image5.emf"/><Relationship Id="rId7" Type="http://schemas.openxmlformats.org/officeDocument/2006/relationships/hyperlink" Target="http://dx.doi.org/10.1093/ntr/ntt128" TargetMode="External"/><Relationship Id="rId12" Type="http://schemas.openxmlformats.org/officeDocument/2006/relationships/header" Target="header2.xml"/><Relationship Id="rId1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24"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psycnet.apa.org/doi/10.1002/ejsp.504" TargetMode="External"/><Relationship Id="rId19"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http://dx.doi.org/10.1007/s10964-017-0684-6"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B9397-C574-4395-B8BA-7F5619FD7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6642</Words>
  <Characters>37866</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SUNY Geneseo</Company>
  <LinksUpToDate>false</LinksUpToDate>
  <CharactersWithSpaces>44420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Merrilees</dc:creator>
  <cp:keywords/>
  <dc:description/>
  <cp:lastModifiedBy>Shirlow, Peter</cp:lastModifiedBy>
  <cp:revision>2</cp:revision>
  <cp:lastPrinted>2019-08-13T16:59:00Z</cp:lastPrinted>
  <dcterms:created xsi:type="dcterms:W3CDTF">2023-06-07T10:51:00Z</dcterms:created>
  <dcterms:modified xsi:type="dcterms:W3CDTF">2023-06-07T10:51:00Z</dcterms:modified>
</cp:coreProperties>
</file>