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B8F8" w14:textId="77777777" w:rsidR="006C2722" w:rsidRDefault="006C2722" w:rsidP="006C2722">
      <w:pPr>
        <w:spacing w:line="480" w:lineRule="auto"/>
        <w:jc w:val="center"/>
        <w:rPr>
          <w:b/>
        </w:rPr>
      </w:pPr>
    </w:p>
    <w:p w14:paraId="40CBAE66" w14:textId="77777777" w:rsidR="006C2722" w:rsidRDefault="006C2722" w:rsidP="006C2722">
      <w:pPr>
        <w:spacing w:line="480" w:lineRule="auto"/>
        <w:jc w:val="center"/>
        <w:rPr>
          <w:b/>
        </w:rPr>
      </w:pPr>
    </w:p>
    <w:p w14:paraId="1F753823" w14:textId="77777777" w:rsidR="006C2722" w:rsidRDefault="006C2722" w:rsidP="006C2722">
      <w:pPr>
        <w:spacing w:line="480" w:lineRule="auto"/>
        <w:jc w:val="center"/>
        <w:rPr>
          <w:b/>
        </w:rPr>
      </w:pPr>
    </w:p>
    <w:p w14:paraId="050699A0" w14:textId="6E60A60F" w:rsidR="002F448B" w:rsidRPr="006C2722" w:rsidRDefault="00203AB9" w:rsidP="006C2722">
      <w:pPr>
        <w:spacing w:line="480" w:lineRule="auto"/>
        <w:jc w:val="center"/>
        <w:rPr>
          <w:sz w:val="28"/>
        </w:rPr>
      </w:pPr>
      <w:r w:rsidRPr="006C2722">
        <w:rPr>
          <w:sz w:val="28"/>
        </w:rPr>
        <w:t xml:space="preserve">Occupational inequalities in </w:t>
      </w:r>
      <w:r w:rsidR="00830177" w:rsidRPr="006C2722">
        <w:rPr>
          <w:sz w:val="28"/>
        </w:rPr>
        <w:t xml:space="preserve">the </w:t>
      </w:r>
      <w:r w:rsidR="009A4374" w:rsidRPr="006C2722">
        <w:rPr>
          <w:sz w:val="28"/>
        </w:rPr>
        <w:t>prevalence</w:t>
      </w:r>
      <w:r w:rsidRPr="006C2722">
        <w:rPr>
          <w:sz w:val="28"/>
        </w:rPr>
        <w:t xml:space="preserve"> of COVID-19: </w:t>
      </w:r>
      <w:r w:rsidR="002941A0" w:rsidRPr="006C2722">
        <w:rPr>
          <w:sz w:val="28"/>
        </w:rPr>
        <w:t xml:space="preserve">A longitudinal </w:t>
      </w:r>
      <w:r w:rsidR="00224426" w:rsidRPr="006C2722">
        <w:rPr>
          <w:sz w:val="28"/>
        </w:rPr>
        <w:t>observational study of</w:t>
      </w:r>
      <w:r w:rsidRPr="006C2722">
        <w:rPr>
          <w:sz w:val="28"/>
        </w:rPr>
        <w:t xml:space="preserve"> </w:t>
      </w:r>
      <w:r w:rsidR="002941A0" w:rsidRPr="006C2722">
        <w:rPr>
          <w:sz w:val="28"/>
        </w:rPr>
        <w:t>England</w:t>
      </w:r>
      <w:r w:rsidRPr="006C2722">
        <w:rPr>
          <w:sz w:val="28"/>
        </w:rPr>
        <w:t>, August 2020 to January 2021</w:t>
      </w:r>
    </w:p>
    <w:p w14:paraId="0CCF7E85" w14:textId="77777777" w:rsidR="006C2722" w:rsidRPr="003E3DA8" w:rsidRDefault="006C2722" w:rsidP="006C2722">
      <w:pPr>
        <w:spacing w:line="480" w:lineRule="auto"/>
        <w:jc w:val="center"/>
        <w:rPr>
          <w:b/>
        </w:rPr>
      </w:pPr>
    </w:p>
    <w:p w14:paraId="6840C48B" w14:textId="476CD79D" w:rsidR="00F360F7" w:rsidRDefault="00494503" w:rsidP="000A1B54">
      <w:pPr>
        <w:spacing w:line="480" w:lineRule="auto"/>
      </w:pPr>
      <w:r w:rsidRPr="002941A0">
        <w:t xml:space="preserve">Mark </w:t>
      </w:r>
      <w:r w:rsidR="002941A0">
        <w:t xml:space="preserve">A. </w:t>
      </w:r>
      <w:r w:rsidRPr="002941A0">
        <w:t>Green</w:t>
      </w:r>
      <w:r w:rsidR="00F360F7">
        <w:rPr>
          <w:vertAlign w:val="superscript"/>
        </w:rPr>
        <w:t>1</w:t>
      </w:r>
      <w:r w:rsidR="00F360F7" w:rsidRPr="006C2722">
        <w:t>*</w:t>
      </w:r>
      <w:r w:rsidR="00F360F7">
        <w:t xml:space="preserve"> &amp; Malcolm G. Semple</w:t>
      </w:r>
      <w:r w:rsidR="00F360F7">
        <w:rPr>
          <w:vertAlign w:val="superscript"/>
        </w:rPr>
        <w:t>2</w:t>
      </w:r>
      <w:r w:rsidR="00F360F7">
        <w:t>.</w:t>
      </w:r>
    </w:p>
    <w:p w14:paraId="1F1AB84C" w14:textId="77777777" w:rsidR="006C2722" w:rsidRDefault="006C2722" w:rsidP="000A1B54">
      <w:pPr>
        <w:spacing w:line="480" w:lineRule="auto"/>
      </w:pPr>
    </w:p>
    <w:p w14:paraId="694053FB" w14:textId="13721538" w:rsidR="00C044CD" w:rsidRDefault="00F360F7" w:rsidP="000A1B54">
      <w:pPr>
        <w:spacing w:line="480" w:lineRule="auto"/>
      </w:pPr>
      <w:r>
        <w:rPr>
          <w:vertAlign w:val="superscript"/>
        </w:rPr>
        <w:t>1</w:t>
      </w:r>
      <w:r w:rsidR="00C044CD" w:rsidRPr="002941A0">
        <w:t xml:space="preserve"> </w:t>
      </w:r>
      <w:r w:rsidR="002941A0" w:rsidRPr="002941A0">
        <w:t xml:space="preserve">Department of Geography &amp; Planning, </w:t>
      </w:r>
      <w:r w:rsidR="005A7D5F" w:rsidRPr="002941A0">
        <w:t xml:space="preserve">University of Liverpool, </w:t>
      </w:r>
      <w:r w:rsidR="002941A0" w:rsidRPr="002941A0">
        <w:t>Liverpool, UK</w:t>
      </w:r>
    </w:p>
    <w:p w14:paraId="63E2C19D" w14:textId="0890821D" w:rsidR="005A7D5F" w:rsidRDefault="00F360F7" w:rsidP="000A1B54">
      <w:pPr>
        <w:spacing w:line="480" w:lineRule="auto"/>
      </w:pPr>
      <w:r w:rsidRPr="006C2722">
        <w:rPr>
          <w:vertAlign w:val="superscript"/>
        </w:rPr>
        <w:t>2</w:t>
      </w:r>
      <w:r w:rsidR="00300430">
        <w:t xml:space="preserve"> </w:t>
      </w:r>
      <w:r w:rsidR="005A7D5F" w:rsidRPr="005A7D5F">
        <w:t>NIHR Health Protection Research Unit in Emerging and Zoonotic Infections, Institute of Infection Veterinary and Ecological Sciences, University of Liverpool, Liverpool, UK</w:t>
      </w:r>
      <w:r w:rsidR="003E6E97">
        <w:t xml:space="preserve"> </w:t>
      </w:r>
    </w:p>
    <w:p w14:paraId="0225B48F" w14:textId="77777777" w:rsidR="006C2722" w:rsidRDefault="006C2722" w:rsidP="000A1B54">
      <w:pPr>
        <w:spacing w:line="480" w:lineRule="auto"/>
      </w:pPr>
    </w:p>
    <w:p w14:paraId="4DFCFBC7" w14:textId="04DB1EC4" w:rsidR="00F360F7" w:rsidRDefault="00F360F7" w:rsidP="000A1B54">
      <w:pPr>
        <w:spacing w:line="480" w:lineRule="auto"/>
      </w:pPr>
      <w:r>
        <w:t xml:space="preserve">* Corresponding author. Email: </w:t>
      </w:r>
      <w:hyperlink r:id="rId8" w:history="1">
        <w:r w:rsidR="00E07F54" w:rsidRPr="004C688C">
          <w:rPr>
            <w:rStyle w:val="Hyperlink"/>
          </w:rPr>
          <w:t>mark.green@liverpool.ac.uk</w:t>
        </w:r>
      </w:hyperlink>
      <w:r w:rsidR="00E07F54">
        <w:t xml:space="preserve"> (MAG)</w:t>
      </w:r>
    </w:p>
    <w:p w14:paraId="1451D544" w14:textId="77777777" w:rsidR="00E0759C" w:rsidRDefault="00E0759C" w:rsidP="000A1B54">
      <w:pPr>
        <w:spacing w:line="480" w:lineRule="auto"/>
        <w:rPr>
          <w:b/>
        </w:rPr>
      </w:pPr>
    </w:p>
    <w:p w14:paraId="03461D01" w14:textId="2D82F731" w:rsidR="006C2722" w:rsidRDefault="006C2722" w:rsidP="000A1B54">
      <w:pPr>
        <w:spacing w:line="480" w:lineRule="auto"/>
        <w:rPr>
          <w:b/>
        </w:rPr>
        <w:sectPr w:rsidR="006C2722" w:rsidSect="000A1B54">
          <w:footerReference w:type="even" r:id="rId9"/>
          <w:footerReference w:type="default" r:id="rId10"/>
          <w:pgSz w:w="11906" w:h="16838"/>
          <w:pgMar w:top="1440" w:right="1440" w:bottom="1440" w:left="1440" w:header="708" w:footer="708" w:gutter="0"/>
          <w:lnNumType w:countBy="1" w:restart="continuous"/>
          <w:cols w:space="708"/>
          <w:docGrid w:linePitch="360"/>
        </w:sectPr>
      </w:pPr>
    </w:p>
    <w:p w14:paraId="328D87A7" w14:textId="149A6CA1" w:rsidR="00717060" w:rsidRPr="00E07F54" w:rsidRDefault="002941A0" w:rsidP="000A1B54">
      <w:pPr>
        <w:spacing w:line="480" w:lineRule="auto"/>
        <w:rPr>
          <w:b/>
          <w:sz w:val="36"/>
          <w:szCs w:val="36"/>
        </w:rPr>
      </w:pPr>
      <w:r w:rsidRPr="00E07F54">
        <w:rPr>
          <w:b/>
          <w:sz w:val="36"/>
          <w:szCs w:val="36"/>
        </w:rPr>
        <w:lastRenderedPageBreak/>
        <w:t>Abstract</w:t>
      </w:r>
    </w:p>
    <w:p w14:paraId="4DFDA004" w14:textId="2CA2E999" w:rsidR="00830177" w:rsidRDefault="005220D5" w:rsidP="000A1B54">
      <w:pPr>
        <w:spacing w:line="480" w:lineRule="auto"/>
      </w:pPr>
      <w:r>
        <w:t xml:space="preserve">The COVID-19 pandemic has reinforced, amplified and created new health inequalities. </w:t>
      </w:r>
      <w:r w:rsidR="007E1BC8">
        <w:t>Examining</w:t>
      </w:r>
      <w:r>
        <w:t xml:space="preserve"> how COVID-19 prevalence varies by measures of work and occupation</w:t>
      </w:r>
      <w:r w:rsidR="00CB3E2E">
        <w:t xml:space="preserve"> </w:t>
      </w:r>
      <w:r w:rsidR="007E1BC8">
        <w:t>may help to understand these inequalities</w:t>
      </w:r>
      <w:r w:rsidR="00CB3E2E">
        <w:t xml:space="preserve">. </w:t>
      </w:r>
      <w:r w:rsidR="005A7D5F">
        <w:t>The aim of the study is to evaluate how occupational inequalities in the prevalence of COVID-19 varies across England and their possible explanatory factors.</w:t>
      </w:r>
      <w:r w:rsidR="000A1B54">
        <w:t xml:space="preserve"> </w:t>
      </w:r>
      <w:r w:rsidR="005A7D5F">
        <w:t xml:space="preserve">We used </w:t>
      </w:r>
      <w:r w:rsidR="00AD26F0">
        <w:t xml:space="preserve">data for </w:t>
      </w:r>
      <w:r w:rsidR="00B20B5F">
        <w:t xml:space="preserve">363,651 individuals (2,178,835 observations) aged 18 years and over between </w:t>
      </w:r>
      <w:r w:rsidR="00AD26F0">
        <w:t>1</w:t>
      </w:r>
      <w:r w:rsidR="00AD26F0" w:rsidRPr="00AD59CD">
        <w:rPr>
          <w:vertAlign w:val="superscript"/>
        </w:rPr>
        <w:t>st</w:t>
      </w:r>
      <w:r w:rsidR="00AD26F0">
        <w:t xml:space="preserve"> May 2020 </w:t>
      </w:r>
      <w:r w:rsidR="00B20B5F">
        <w:t>and</w:t>
      </w:r>
      <w:r w:rsidR="00AD26F0">
        <w:t xml:space="preserve"> 31</w:t>
      </w:r>
      <w:r w:rsidR="00AD26F0" w:rsidRPr="00AD59CD">
        <w:rPr>
          <w:vertAlign w:val="superscript"/>
        </w:rPr>
        <w:t>st</w:t>
      </w:r>
      <w:r w:rsidR="00AD26F0">
        <w:t xml:space="preserve"> January 2021 from the </w:t>
      </w:r>
      <w:r w:rsidR="00BF0B40">
        <w:t xml:space="preserve">Office for National Statistics </w:t>
      </w:r>
      <w:r w:rsidR="00AD26F0">
        <w:t>Covid Infection Survey</w:t>
      </w:r>
      <w:r w:rsidR="00AA2BBB">
        <w:t xml:space="preserve">, </w:t>
      </w:r>
      <w:r w:rsidR="00AD26F0">
        <w:t xml:space="preserve">a representative longitudinal survey of individuals in England. </w:t>
      </w:r>
      <w:r w:rsidR="004F43FD">
        <w:t>We focus on two measures of work; employment status for all adults, and work sector of individuals currently working. Multi-level binomial regression models were used to estimate the likelihood of testing positive of COVID-19</w:t>
      </w:r>
      <w:r w:rsidR="00CB3E2E">
        <w:t>, adjusting for known explanatory covariates</w:t>
      </w:r>
      <w:r w:rsidR="004F43FD">
        <w:t xml:space="preserve">. </w:t>
      </w:r>
      <w:r w:rsidR="00AD26F0">
        <w:t>0.9% of participants tested positive for COVID-19 over the study period. COVID-19 prevalence was higher among adults who were students or furloughed (i.e., temporarily not working). Among adults currently working, COVID-19 prevalence was highest in adults employed in the hospitality sector, with higher prevalence for individuals employed in transport, social care, retail, health care and educational sectors.</w:t>
      </w:r>
      <w:r w:rsidR="004F43FD">
        <w:t xml:space="preserve"> </w:t>
      </w:r>
      <w:r w:rsidR="00CB3E2E">
        <w:t>Inequalities by work were not consistent over time.</w:t>
      </w:r>
      <w:r w:rsidR="000A1B54">
        <w:t xml:space="preserve"> </w:t>
      </w:r>
      <w:r w:rsidR="007268CF">
        <w:t>We find an</w:t>
      </w:r>
      <w:r w:rsidR="00FB2DE1">
        <w:t xml:space="preserve"> unequal distribution of </w:t>
      </w:r>
      <w:r w:rsidR="004E6A15">
        <w:t>infections</w:t>
      </w:r>
      <w:r w:rsidR="00FB2DE1">
        <w:t xml:space="preserve"> relating to COVID-19</w:t>
      </w:r>
      <w:r w:rsidR="007268CF">
        <w:t xml:space="preserve"> by work and employment status. </w:t>
      </w:r>
      <w:r w:rsidR="00C51EB8">
        <w:t>While o</w:t>
      </w:r>
      <w:r w:rsidR="007268CF">
        <w:t>ur findings demonstrate the need for greater workplace interventions to protect employees</w:t>
      </w:r>
      <w:r w:rsidR="00C51EB8">
        <w:t xml:space="preserve"> tailored to their specific work sector needs</w:t>
      </w:r>
      <w:r w:rsidR="007268CF">
        <w:t xml:space="preserve">, </w:t>
      </w:r>
      <w:r w:rsidR="00C51EB8">
        <w:t>focusing on employment alone ignores the importance of</w:t>
      </w:r>
      <w:r w:rsidR="00E33683">
        <w:t xml:space="preserve"> SARS-CoV-2 transmission outside of </w:t>
      </w:r>
      <w:r w:rsidR="00C51EB8">
        <w:t xml:space="preserve">employed </w:t>
      </w:r>
      <w:r w:rsidR="00E33683">
        <w:t>work</w:t>
      </w:r>
      <w:r w:rsidR="007E1BC8">
        <w:t xml:space="preserve"> (i.e., furloughed and student populations)</w:t>
      </w:r>
      <w:r w:rsidR="00E33683">
        <w:t xml:space="preserve">. </w:t>
      </w:r>
    </w:p>
    <w:p w14:paraId="15F08C07" w14:textId="77777777" w:rsidR="005220D5" w:rsidRDefault="005220D5" w:rsidP="000A1B54">
      <w:pPr>
        <w:spacing w:line="480" w:lineRule="auto"/>
      </w:pPr>
      <w:r w:rsidRPr="005220D5">
        <w:rPr>
          <w:b/>
        </w:rPr>
        <w:t>Keywords</w:t>
      </w:r>
      <w:r>
        <w:t>: COVID-19; occupation; work; inequality; England.</w:t>
      </w:r>
    </w:p>
    <w:p w14:paraId="4838A276" w14:textId="77777777" w:rsidR="00717060" w:rsidRDefault="00717060" w:rsidP="000A1B54">
      <w:pPr>
        <w:spacing w:line="480" w:lineRule="auto"/>
      </w:pPr>
    </w:p>
    <w:p w14:paraId="3FBD725E" w14:textId="77777777" w:rsidR="005220D5" w:rsidRDefault="005220D5" w:rsidP="000A1B54">
      <w:pPr>
        <w:spacing w:line="480" w:lineRule="auto"/>
        <w:rPr>
          <w:b/>
        </w:rPr>
        <w:sectPr w:rsidR="005220D5" w:rsidSect="000A1B54">
          <w:pgSz w:w="11906" w:h="16838"/>
          <w:pgMar w:top="1440" w:right="1440" w:bottom="1440" w:left="1440" w:header="708" w:footer="708" w:gutter="0"/>
          <w:lnNumType w:countBy="1" w:restart="continuous"/>
          <w:cols w:space="708"/>
          <w:docGrid w:linePitch="360"/>
        </w:sectPr>
      </w:pPr>
    </w:p>
    <w:p w14:paraId="61D95065" w14:textId="77777777" w:rsidR="003E3DA8" w:rsidRPr="00055DCB" w:rsidRDefault="003E3DA8" w:rsidP="000A1B54">
      <w:pPr>
        <w:spacing w:line="480" w:lineRule="auto"/>
        <w:rPr>
          <w:b/>
          <w:sz w:val="36"/>
          <w:szCs w:val="36"/>
        </w:rPr>
      </w:pPr>
      <w:r w:rsidRPr="00055DCB">
        <w:rPr>
          <w:b/>
          <w:sz w:val="36"/>
          <w:szCs w:val="36"/>
        </w:rPr>
        <w:lastRenderedPageBreak/>
        <w:t>Introduction</w:t>
      </w:r>
    </w:p>
    <w:p w14:paraId="68EE2122" w14:textId="42E08697" w:rsidR="00B030F7" w:rsidRDefault="00B030F7" w:rsidP="000A1B54">
      <w:pPr>
        <w:spacing w:line="480" w:lineRule="auto"/>
      </w:pPr>
      <w:r>
        <w:t>The social</w:t>
      </w:r>
      <w:r w:rsidR="003A1BD6">
        <w:t>, health</w:t>
      </w:r>
      <w:r>
        <w:t xml:space="preserve"> and economic impacts resulting from the spread of Severe Acute Respiratory Syndrome Coronavirus-2 (SARS-CoV-2)</w:t>
      </w:r>
      <w:r w:rsidR="003A1BD6">
        <w:t xml:space="preserve">, and restrictions aimed at managing its spread, have been unprecedented in scale and scope. In England, as in </w:t>
      </w:r>
      <w:r w:rsidR="008B659A">
        <w:t xml:space="preserve">many </w:t>
      </w:r>
      <w:r w:rsidR="003A1BD6">
        <w:t xml:space="preserve">countries, the impacts of Coronavirus disease 2019 (COVID-19) resulting from SARS-CoV-2 have been unevenly felt across populations. </w:t>
      </w:r>
      <w:r w:rsidR="001F5381">
        <w:t>H</w:t>
      </w:r>
      <w:r w:rsidR="009C5F58">
        <w:t>ospitalisation and m</w:t>
      </w:r>
      <w:r w:rsidR="003A1BD6">
        <w:t>ortality</w:t>
      </w:r>
      <w:r w:rsidR="00821E17">
        <w:t xml:space="preserve"> </w:t>
      </w:r>
      <w:r w:rsidR="000B3B22">
        <w:t xml:space="preserve">outcomes </w:t>
      </w:r>
      <w:r w:rsidR="008B659A">
        <w:t xml:space="preserve">related to COVID-19 </w:t>
      </w:r>
      <w:r w:rsidR="003A1BD6">
        <w:t>ha</w:t>
      </w:r>
      <w:r w:rsidR="00821E17">
        <w:t>ve</w:t>
      </w:r>
      <w:r w:rsidR="003A1BD6">
        <w:t xml:space="preserve"> been </w:t>
      </w:r>
      <w:r w:rsidR="000B3B22">
        <w:t>higher</w:t>
      </w:r>
      <w:r w:rsidR="003A1BD6">
        <w:t xml:space="preserve"> in older populations, </w:t>
      </w:r>
      <w:r w:rsidR="000B3B22">
        <w:t xml:space="preserve">males, </w:t>
      </w:r>
      <w:r w:rsidR="003A1BD6">
        <w:t>Black and Asian ethnic groups, and deprived communities</w:t>
      </w:r>
      <w:r w:rsidR="003A5E3F">
        <w:t xml:space="preserve"> </w:t>
      </w:r>
      <w:r w:rsidR="003A5E3F">
        <w:fldChar w:fldCharType="begin" w:fldLock="1"/>
      </w:r>
      <w:r w:rsidR="00862209">
        <w:instrText>ADDIN CSL_CITATION {"citationItems":[{"id":"ITEM-1","itemData":{"URL":"https://www.gov.uk/government/publications/second-quarterly-report-on-progress-to-address-covid-19-health-inequalities","author":[{"dropping-particle":"","family":"HM Government","given":"","non-dropping-particle":"","parse-names":false,"suffix":""}],"id":"ITEM-1","issued":{"date-parts":[["2021"]]},"title":"Second quarterly report on progress to address COVID-19 health inequalities","type":"webpage"},"uris":["http://www.mendeley.com/documents/?uuid=c7794d96-6544-41f0-b70b-ae4d1fa6f78b","http://www.mendeley.com/documents/?uuid=3df5855a-19ea-4e5c-8510-e457ede6e32b"]},{"id":"ITEM-2","itemData":{"URL":"https://assets.publishing.service.gov.uk/government/uploads/system/uploads/attachment_data/file/908434/Disparities_in_the_risk_and_outcomes_of_COVID_August_2020_update.pdf","author":[{"dropping-particle":"","family":"Public Health England","given":"","non-dropping-particle":"","parse-names":false,"suffix":""}],"id":"ITEM-2","issued":{"date-parts":[["2020"]]},"title":"Disparities in the risk and outcomes of COVID-19","type":"webpage"},"uris":["http://www.mendeley.com/documents/?uuid=8d5900ab-1bf2-484a-8f3f-811bcd3ee4a6","http://www.mendeley.com/documents/?uuid=e2fab306-a9dc-4f9f-9268-c1a36ffb67c0"]},{"id":"ITEM-3","itemData":{"DOI":"https://doi.org/10.1111/1475-5890.12228","abstract":"Abstract The economic and public health crisis created by the COVID-19 pandemic has exposed existing inequalities between ethnic groups in England and Wales, as well as creating new ones. We draw on current mortality and case data, alongside pre-crisis labour force data, to investigate the relative vulnerability of different ethnic groups to adverse health and economic impacts. After accounting for differences in population structure and regional concentration, we show that most minority groups suffered excess mortality compared with the white British majority group. Differences in underlying health conditions such as diabetes may play a role; so too may occupational exposure to the virus, given the very different labour market profiles of ethnic groups. Distinctive patterns of occupational concentration also highlight the vulnerability of some groups to the economic consequences of social distancing measures, with Bangladeshi and Pakistani men particularly likely to be employed in occupations directly affected by the UK's ‘lockdown’. We show that differences in household structures and inequalities in access to savings mean that a number of minority groups are also less able to weather short-term shocks to their income. Documenting these immediate consequences of the crisis reveals the potential for inequalities to become entrenched in the longer term.","author":[{"dropping-particle":"","family":"Platt","given":"Lucinda","non-dropping-particle":"","parse-names":false,"suffix":""},{"dropping-particle":"","family":"Warwick","given":"Ross","non-dropping-particle":"","parse-names":false,"suffix":""}],"container-title":"Fiscal Studies","id":"ITEM-3","issue":"2","issued":{"date-parts":[["2020"]]},"page":"259-289","title":"COVID-19 and Ethnic Inequalities in England and Wales","type":"article-journal","volume":"41"},"uris":["http://www.mendeley.com/documents/?uuid=701bfcbf-082f-4c65-a866-ecd147072856","http://www.mendeley.com/documents/?uuid=9bd1e7ac-5eb3-4784-aa61-a705ea0bd8fe"]},{"id":"ITEM-4","itemData":{"DOI":"10.1136/bmj.m1985","abstract":"Objective To characterise the clinical features of patients admitted to hospital with coronavirus disease 2019 (covid-19) in the United Kingdom during the growth phase of the first wave of this outbreak who were enrolled in the International Severe Acute Respiratory and emerging Infections Consortium (ISARIC) World Health Organization (WHO) Clinical Characterisation Protocol UK (CCP-UK) study, and to explore risk factors associated with mortality in hospital.Design Prospective observational cohort study with rapid data gathering and near real time analysis.Setting 208 acute care hospitals in England, Wales, and Scotland between 6 February and 19 April 2020. A case report form developed by ISARIC and WHO was used to collect clinical data. A minimal follow-up time of two weeks (to 3 May 2020) allowed most patients to complete their hospital admission.Participants 20 133 hospital inpatients with covid-19.Main outcome measures Admission to critical care (high dependency unit or intensive care unit) and mortality in hospital.Results The median age of patients admitted to hospital with covid-19, or with a diagnosis of covid-19 made in hospital, was 73 years (interquartile range 58-82, range 0-104). More men were admitted than women (men 60%, n=12 068; women 40%, n=8065). The median duration of symptoms before admission was 4 days (interquartile range 1-8). The commonest comorbidities were chronic cardiac disease (31%, 5469/17 702), uncomplicated diabetes (21%, 3650/17 599), non-asthmatic chronic pulmonary disease (18%, 3128/17 634), and chronic kidney disease (16%, 2830/17 506); 23% (4161/18 525) had no reported major comorbidity. Overall, 41% (8199/20 133) of patients were discharged alive, 26% (5165/20 133) died, and 34% (6769/20 133) continued to receive care at the reporting date. 17% (3001/18 183) required admission to high dependency or intensive care units; of these, 28% (826/3001) were discharged alive, 32% (958/3001) died, and 41% (1217/3001) continued to receive care at the reporting date. Of those receiving mechanical ventilation, 17% (276/1658) were discharged alive, 37% (618/1658) died, and 46% (764/1658) remained in hospital. Increasing age, male sex, and comorbidities including chronic cardiac disease, non-asthmatic chronic pulmonary disease, chronic kidney disease, liver disease and obesity were associated with higher mortality in hospital.Conclusions ISARIC WHO CCP-UK is a large prospective cohort study of patients in hospital with covid-19. …","author":[{"dropping-particle":"","family":"Docherty","given":"Annemarie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S","non-dropping-particle":"","parse-names":false,"suffix":""},{"dropping-particle":"","family":"Ho","given":"Antonia","non-dropping-particle":"","parse-names":false,"suffix":""},{"dropping-particle":"","family":"Russell","given":"Clark D","non-dropping-particle":"","parse-names":false,"suffix":""},{"dropping-particle":"","family":"Dunning","given":"Jake","non-dropping-particle":"","parse-names":false,"suffix":""},{"dropping-particle":"","family":"Openshaw","given":"Peter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Kenneth","non-dropping-particle":"","parse-names":false,"suffix":""},{"dropping-particle":"","family":"Semple","given":"Malcolm G","non-dropping-particle":"","parse-names":false,"suffix":""}],"container-title":"BMJ","id":"ITEM-4","issued":{"date-parts":[["2020"]]},"title":"Features of 20 133 UK patients in hospital with covid-19 using the ISARIC WHO Clinical Characterisation Protocol: prospective observational cohort study","type":"article-journal","volume":"369"},"uris":["http://www.mendeley.com/documents/?uuid=212bcd8d-2a5b-45d7-9393-ef20c10037ab","http://www.mendeley.com/documents/?uuid=3ed74849-c03a-45b0-ae7f-aa16b5714289"]},{"id":"ITEM-5","itemData":{"DOI":"10.1136/bmj.n376","author":[{"dropping-particle":"","family":"Whitehead","given":"Margaret","non-dropping-particle":"","parse-names":false,"suffix":""},{"dropping-particle":"","family":"Taylor-Robinson","given":"David","non-dropping-particle":"","parse-names":false,"suffix":""},{"dropping-particle":"","family":"Barr","given":"Ben","non-dropping-particle":"","parse-names":false,"suffix":""}],"container-title":"BMJ","id":"ITEM-5","issued":{"date-parts":[["2021"]]},"publisher":"BMJ Publishing Group Ltd","title":"Poverty, health, and covid-19","type":"article-journal","volume":"372"},"uris":["http://www.mendeley.com/documents/?uuid=00f3897d-8b75-4e4d-806f-2225efb644d2","http://www.mendeley.com/documents/?uuid=370f6113-4ec2-4949-b87d-cf13178853d6"]},{"id":"ITEM-6","itemData":{"author":[{"dropping-particle":"","family":"Harrison","given":"Ewen M","non-dropping-particle":"","parse-names":false,"suffix":""},{"dropping-particle":"","family":"Docherty","given":"Annemarie B","non-dropping-particle":"","parse-names":false,"suffix":""},{"dropping-particle":"","family":"Barr","given":"Benjamin","non-dropping-particle":"","parse-names":false,"suffix":""},{"dropping-particle":"","family":"Buchan","given":"Iain","non-dropping-particle":"","parse-names":false,"suffix":""},{"dropping-particle":"","family":"Carson","given":"Gail","non-dropping-particle":"","parse-names":false,"suffix":""},{"dropping-particle":"","family":"Drake","given":"Tom M","non-dropping-particle":"","parse-names":false,"suffix":""},{"dropping-particle":"","family":"Dunning","given":"Jake","non-dropping-particle":"","parse-names":false,"suffix":""},{"dropping-particle":"","family":"Fairfield","given":"Cameron J","non-dropping-particle":"","parse-names":false,"suffix":""},{"dropping-particle":"","family":"Gamble","given":"Carrol","non-dropping-particle":"","parse-names":false,"suffix":""},{"dropping-particle":"","family":"Green","given":"Christopher A","non-dropping-particle":"","parse-names":false,"suffix":""},{"dropping-particle":"","family":"Griffiths","given":"Chris","non-dropping-particle":"","parse-names":false,"suffix":""},{"dropping-particle":"","family":"Halpin","given":"Sophie","non-dropping-particle":"","parse-names":false,"suffix":""},{"dropping-particle":"","family":"Hardwick","given":"Hayley E","non-dropping-particle":"","parse-names":false,"suffix":""},{"dropping-particle":"","family":"Ho","given":"Antonia","non-dropping-particle":"","parse-names":false,"suffix":""},{"dropping-particle":"","family":"Holden","given":"Karl A","non-dropping-particle":"","parse-names":false,"suffix":""},{"dropping-particle":"","family":"Hollinghurst","given":"Joe","non-dropping-particle":"","parse-names":false,"suffix":""},{"dropping-particle":"","family":"Horby","given":"Peter W","non-dropping-particle":"","parse-names":false,"suffix":""},{"dropping-particle":"","family":"Jackson","given":"Clare","non-dropping-particle":"","parse-names":false,"suffix":""},{"dropping-particle":"","family":"Katikireddi","given":"Srinivasa Vittal","non-dropping-particle":"","parse-names":false,"suffix":""},{"dropping-particle":"","family":"Knight","given":"Stephen","non-dropping-particle":"","parse-names":false,"suffix":""},{"dropping-particle":"","family":"Lyons","given":"Ronan A","non-dropping-particle":"","parse-names":false,"suffix":""},{"dropping-particle":"","family":"MacMahon","given":"James","non-dropping-particle":"","parse-names":false,"suffix":""},{"dropping-particle":"","family":"Mclean","given":"Kenneth A","non-dropping-particle":"","parse-names":false,"suffix":""},{"dropping-particle":"","family":"Merson","given":"Laura","non-dropping-particle":"","parse-names":false,"suffix":""},{"dropping-particle":"","family":"Murphy","given":"Derek","non-dropping-particle":"","parse-names":false,"suffix":""},{"dropping-particle":"","family":"Nguyen-Van-Tam","given":"Jonathan S","non-dropping-particle":"","parse-names":false,"suffix":""},{"dropping-particle":"","family":"Norman","given":"Lisa","non-dropping-particle":"","parse-names":false,"suffix":""},{"dropping-particle":"","family":"Olliaro","given":"Piero L","non-dropping-particle":"","parse-names":false,"suffix":""},{"dropping-particle":"","family":"Pareek","given":"Manish","non-dropping-particle":"","parse-names":false,"suffix":""},{"dropping-particle":"","family":"Piroddi","given":"Roberta","non-dropping-particle":"","parse-names":false,"suffix":""},{"dropping-particle":"","family":"Pius","given":"Riinu","non-dropping-particle":"","parse-names":false,"suffix":""},{"dropping-particle":"","family":"Read","given":"Jonathan M","non-dropping-particle":"","parse-names":false,"suffix":""},{"dropping-particle":"","family":"Russell","given":"Clark D","non-dropping-particle":"","parse-names":false,"suffix":""},{"dropping-particle":"","family":"Sattar","given":"Naveed","non-dropping-particle":"","parse-names":false,"suffix":""},{"dropping-particle":"","family":"Shaw","given":"Catherine A","non-dropping-particle":"","parse-names":false,"suffix":""},{"dropping-particle":"","family":"Sheikh","given":"Aziz","non-dropping-particle":"","parse-names":false,"suffix":""},{"dropping-particle":"","family":"Sinha","given":"Ian P","non-dropping-particle":"","parse-names":false,"suffix":""},{"dropping-particle":"","family":"Swann","given":"Olivia","non-dropping-particle":"","parse-names":false,"suffix":""},{"dropping-particle":"","family":"Taylor-Robinson","given":"David","non-dropping-particle":"","parse-names":false,"suffix":""},{"dropping-particle":"","family":"Thomas","given":"Daniel","non-dropping-particle":"","parse-names":false,"suffix":""},{"dropping-particle":"","family":"Turtle","given":"Lance","non-dropping-particle":"","parse-names":false,"suffix":""},{"dropping-particle":"","family":"Openshaw","given":"Peter JM","non-dropping-particle":"","parse-names":false,"suffix":""},{"dropping-particle":"","family":"Baillie","given":"J. Kenneth","non-dropping-particle":"","parse-names":false,"suffix":""},{"dropping-particle":"","family":"Semple","given":"Malcolm G","non-dropping-particle":"","parse-names":false,"suffix":""},{"dropping-particle":"","family":"ISARIC4C Investigators","given":"","non-dropping-particle":"","parse-names":false,"suffix":""}],"container-title":"SSRN","id":"ITEM-6","issued":{"date-parts":[["2021"]]},"title":"Ethnicity and Outcomes from COVID-19: The ISARIC CCP-UK Prospective Observational Cohort Study of Hospitalised Patients","type":"article-journal"},"uris":["http://www.mendeley.com/documents/?uuid=266e1b13-4198-4aaf-b53f-b1b0ecfe8968","http://www.mendeley.com/documents/?uuid=ecab95a7-4bda-4484-ba86-7b6980af0ab0"]}],"mendeley":{"formattedCitation":"(1–6)","plainTextFormattedCitation":"(1–6)","previouslyFormattedCitation":"(1–6)"},"properties":{"noteIndex":0},"schema":"https://github.com/citation-style-language/schema/raw/master/csl-citation.json"}</w:instrText>
      </w:r>
      <w:r w:rsidR="003A5E3F">
        <w:fldChar w:fldCharType="separate"/>
      </w:r>
      <w:r w:rsidR="000A1B54" w:rsidRPr="000A1B54">
        <w:rPr>
          <w:noProof/>
        </w:rPr>
        <w:t>(1–6)</w:t>
      </w:r>
      <w:r w:rsidR="003A5E3F">
        <w:fldChar w:fldCharType="end"/>
      </w:r>
      <w:r w:rsidR="003A1BD6">
        <w:t xml:space="preserve">. </w:t>
      </w:r>
      <w:r w:rsidR="00D94FE1">
        <w:t xml:space="preserve">Understanding and tackling </w:t>
      </w:r>
      <w:r w:rsidR="003A5E3F">
        <w:t>the</w:t>
      </w:r>
      <w:r w:rsidR="00D94FE1">
        <w:t xml:space="preserve"> social inequalities </w:t>
      </w:r>
      <w:r w:rsidR="003A5E3F">
        <w:t xml:space="preserve">arising from and amplified by COVID-19 </w:t>
      </w:r>
      <w:r w:rsidR="00D94FE1">
        <w:t xml:space="preserve">remains a </w:t>
      </w:r>
      <w:r w:rsidR="003A5E3F">
        <w:t>core</w:t>
      </w:r>
      <w:r w:rsidR="00D94FE1">
        <w:t xml:space="preserve"> </w:t>
      </w:r>
      <w:r w:rsidR="008B659A">
        <w:t>UK G</w:t>
      </w:r>
      <w:r w:rsidR="00D94FE1">
        <w:t xml:space="preserve">overnment priority. </w:t>
      </w:r>
    </w:p>
    <w:p w14:paraId="25451281" w14:textId="232E4B55" w:rsidR="008B659A" w:rsidRDefault="001B18AB" w:rsidP="000A1B54">
      <w:pPr>
        <w:spacing w:line="480" w:lineRule="auto"/>
      </w:pPr>
      <w:r>
        <w:t xml:space="preserve">As our personal and social lives have had to adapt to the COVID-19 pandemic, so </w:t>
      </w:r>
      <w:r w:rsidR="0082422E">
        <w:t>too</w:t>
      </w:r>
      <w:r>
        <w:t xml:space="preserve"> has our economic, work and employment circumstances to minimise</w:t>
      </w:r>
      <w:r w:rsidR="001F5381">
        <w:t xml:space="preserve"> the</w:t>
      </w:r>
      <w:r>
        <w:t xml:space="preserve"> transmission of SARS-CoV-2. </w:t>
      </w:r>
      <w:r w:rsidR="002F7162">
        <w:t>Many employment roles were ‘furloughed’</w:t>
      </w:r>
      <w:r w:rsidR="00CC7D2A">
        <w:t xml:space="preserve"> (</w:t>
      </w:r>
      <w:r w:rsidR="0082422E">
        <w:t xml:space="preserve">i.e., </w:t>
      </w:r>
      <w:r w:rsidR="00CC7D2A">
        <w:t>temporary unemployment)</w:t>
      </w:r>
      <w:r w:rsidR="002F7162">
        <w:t xml:space="preserve">, with </w:t>
      </w:r>
      <w:r w:rsidR="000A289E">
        <w:t>salaries</w:t>
      </w:r>
      <w:r w:rsidR="002F7162">
        <w:t xml:space="preserve"> being covered by the </w:t>
      </w:r>
      <w:r w:rsidR="008B659A">
        <w:t>UK G</w:t>
      </w:r>
      <w:r w:rsidR="002F7162">
        <w:t xml:space="preserve">overnment if an employer did not </w:t>
      </w:r>
      <w:r w:rsidR="008B659A">
        <w:t>terminate jobs</w:t>
      </w:r>
      <w:r w:rsidR="002F7162">
        <w:t xml:space="preserve">. </w:t>
      </w:r>
      <w:r w:rsidR="00B030F7">
        <w:t xml:space="preserve">Some occupation </w:t>
      </w:r>
      <w:r>
        <w:t>roles</w:t>
      </w:r>
      <w:r w:rsidR="00B030F7">
        <w:t xml:space="preserve"> </w:t>
      </w:r>
      <w:r w:rsidR="002F7162">
        <w:t>adapted so that individuals could</w:t>
      </w:r>
      <w:r w:rsidR="00B030F7">
        <w:t xml:space="preserve"> work from home</w:t>
      </w:r>
      <w:r>
        <w:t>, whereas others were</w:t>
      </w:r>
      <w:r w:rsidR="00B030F7">
        <w:t xml:space="preserve"> </w:t>
      </w:r>
      <w:r w:rsidR="00821E17">
        <w:t xml:space="preserve">able to </w:t>
      </w:r>
      <w:r w:rsidR="00B030F7">
        <w:t xml:space="preserve">introduce </w:t>
      </w:r>
      <w:r>
        <w:t xml:space="preserve">protective </w:t>
      </w:r>
      <w:r w:rsidR="00B030F7">
        <w:t xml:space="preserve">social distancing measures. </w:t>
      </w:r>
      <w:r>
        <w:t>However, not all occupations were able adapt to either of these strategies</w:t>
      </w:r>
      <w:r w:rsidR="008B659A">
        <w:t xml:space="preserve"> resulting in different population-level exposures to SARS-CoV-2</w:t>
      </w:r>
      <w:r w:rsidR="002F7162">
        <w:t xml:space="preserve">. </w:t>
      </w:r>
    </w:p>
    <w:p w14:paraId="3C81BC04" w14:textId="78C0B851" w:rsidR="008B659A" w:rsidRDefault="002F7162" w:rsidP="000A1B54">
      <w:pPr>
        <w:spacing w:line="480" w:lineRule="auto"/>
      </w:pPr>
      <w:r>
        <w:t>Emerging evidence has demonstrated that</w:t>
      </w:r>
      <w:r w:rsidR="001B18AB">
        <w:t xml:space="preserve"> </w:t>
      </w:r>
      <w:r>
        <w:t xml:space="preserve">‘essential’ </w:t>
      </w:r>
      <w:r w:rsidR="003A5E3F">
        <w:t>occupations</w:t>
      </w:r>
      <w:r>
        <w:t xml:space="preserve"> </w:t>
      </w:r>
      <w:r w:rsidR="003A5E3F">
        <w:t xml:space="preserve">who work directly with patients </w:t>
      </w:r>
      <w:r>
        <w:t xml:space="preserve">(e.g., health or social care workers), groups unable to work from home (e.g., transport or manufacturing occupations), or occupations with ‘front facing’ roles </w:t>
      </w:r>
      <w:r w:rsidR="00BC0EF2">
        <w:t xml:space="preserve">where individuals are routinely exposed to others </w:t>
      </w:r>
      <w:r>
        <w:t>(e.g., supermarket workers</w:t>
      </w:r>
      <w:r w:rsidR="00BC0EF2">
        <w:t xml:space="preserve"> or teachers</w:t>
      </w:r>
      <w:r>
        <w:t xml:space="preserve">) were at greater risk of severe </w:t>
      </w:r>
      <w:r w:rsidR="00E45BE2">
        <w:t xml:space="preserve">COVID-19 </w:t>
      </w:r>
      <w:r>
        <w:t>outcomes</w:t>
      </w:r>
      <w:r w:rsidR="00BC0EF2">
        <w:t xml:space="preserve"> including mortality</w:t>
      </w:r>
      <w:r>
        <w:t xml:space="preserve"> </w:t>
      </w:r>
      <w:r>
        <w:fldChar w:fldCharType="begin" w:fldLock="1"/>
      </w:r>
      <w:r w:rsidR="00862209">
        <w:instrText>ADDIN CSL_CITATION {"citationItems":[{"id":"ITEM-1","itemData":{"DOI":"10.1136/oemed-2020-106731","abstract":"Objectives To investigate severe COVID-19 risk by occupational group.Methods Baseline UK Biobank data (2006–10) for England were linked to SARS-CoV-2 test results from Public Health England (16 March to 26 July 2020). Included participants were employed or self-employed at baseline, alive and aged &amp;amp;lt;65 years in 2020. Poisson regression models were adjusted sequentially for baseline demographic, socioeconomic, work-related, health, and lifestyle-related risk factors to assess risk ratios (RRs) for testing positive in hospital or death due to COVID-19 by three occupational classification schemes (including Standard Occupation Classification (SOC) 2000).Results Of 120 075 participants, 271 had severe COVID-19. Relative to non-essential workers, healthcare workers (RR 7.43, 95% CI 5.52 to 10.00), social and education workers (RR 1.84, 95% CI 1.21 to 2.82) and other essential workers (RR 1.60, 95% CI 1.05 to 2.45) had a higher risk of severe COVID-19. Using more detailed groupings, medical support staff (RR 8.70, 95% CI 4.87 to 15.55), social care (RR 2.46, 95% CI 1.47 to 4.14) and transport workers (RR 2.20, 95% CI 1.21 to 4.00) had the highest risk within the broader groups. Compared with white non-essential workers, non-white non-essential workers had a higher risk (RR 3.27, 95% CI 1.90 to 5.62) and non-white essential workers had the highest risk (RR 8.34, 95% CI 5.17 to 13.47). Using SOC 2000 major groups, associate professional and technical occupations, personal service occupations and plant and machine operatives had a higher risk, compared with managers and senior officials.Conclusions Essential workers have a higher risk of severe COVID-19. These findings underscore the need for national and organisational policies and practices that protect and support workers with an elevated risk of severe COVID-19.Data may be obtained from a third party and are not publicly available. This research has been conducted using the UK Biobank Resource (https://www.ukbiobank.ac.uk/; application No 41686 &amp;amp;amp; 17333).","author":[{"dropping-particle":"","family":"Mutambudzi","given":"Miriam","non-dropping-particle":"","parse-names":false,"suffix":""},{"dropping-particle":"","family":"Niedwiedz","given":"Claire","non-dropping-particle":"","parse-names":false,"suffix":""},{"dropping-particle":"","family":"Macdonald","given":"Ewan Beaton","non-dropping-particle":"","parse-names":false,"suffix":""},{"dropping-particle":"","family":"Leyland","given":"Alastair","non-dropping-particle":"","parse-names":false,"suffix":""},{"dropping-particle":"","family":"Mair","given":"Frances","non-dropping-particle":"","parse-names":false,"suffix":""},{"dropping-particle":"","family":"Anderson","given":"Jana","non-dropping-particle":"","parse-names":false,"suffix":""},{"dropping-particle":"","family":"Celis-Morales","given":"Carlos","non-dropping-particle":"","parse-names":false,"suffix":""},{"dropping-particle":"","family":"Cleland","given":"John","non-dropping-particle":"","parse-names":false,"suffix":""},{"dropping-particle":"","family":"Forbes","given":"John","non-dropping-particle":"","parse-names":false,"suffix":""},{"dropping-particle":"","family":"Gill","given":"Jason","non-dropping-particle":"","parse-names":false,"suffix":""},{"dropping-particle":"","family":"Hastie","given":"Claire","non-dropping-particle":"","parse-names":false,"suffix":""},{"dropping-particle":"","family":"Ho","given":"Frederick","non-dropping-particle":"","parse-names":false,"suffix":""},{"dropping-particle":"","family":"Jani","given":"Bhautesh","non-dropping-particle":"","parse-names":false,"suffix":""},{"dropping-particle":"","family":"Mackay","given":"Daniel F","non-dropping-particle":"","parse-names":false,"suffix":""},{"dropping-particle":"","family":"Nicholl","given":"Barbara","non-dropping-particle":"","parse-names":false,"suffix":""},{"dropping-particle":"","family":"O&amp;#039;Donnell","given":"Catherine","non-dropping-particle":"","parse-names":false,"suffix":""},{"dropping-particle":"","family":"Sattar","given":"Naveed","non-dropping-particle":"","parse-names":false,"suffix":""},{"dropping-particle":"","family":"Welsh","given":"Paul","non-dropping-particle":"","parse-names":false,"suffix":""},{"dropping-particle":"","family":"Pell","given":"Jill P","non-dropping-particle":"","parse-names":false,"suffix":""},{"dropping-particle":"","family":"Katikireddi","given":"Srinivasa Vittal","non-dropping-particle":"","parse-names":false,"suffix":""},{"dropping-particle":"","family":"Demou","given":"Evangelia","non-dropping-particle":"","parse-names":false,"suffix":""}],"container-title":"Occupational and Environmental Medicine","id":"ITEM-1","issue":"5","issued":{"date-parts":[["2021","5","1"]]},"page":"307 LP  - 314","title":"Occupation and risk of severe COVID-19: prospective cohort study of 120 075 UK Biobank participants","type":"article-journal","volume":"78"},"uris":["http://www.mendeley.com/documents/?uuid=b775ae46-c82c-4db1-aaaa-c2bec4959d93","http://www.mendeley.com/documents/?uuid=838805c3-7d73-48b4-976e-a4bd0df450bd"]},{"id":"ITEM-2","itemData":{"URL":"https://www.ons.gov.uk/peoplepopulationandcommunity/healthandsocialcare/causesofdeath/bulletins/coronaviruscovid19relateddeathsbyoccupationenglandandwales/deathsregisteredbetween9marchand28december2020","author":[{"dropping-particle":"","family":"ONS","given":"","non-dropping-particle":"","parse-names":false,"suffix":""}],"id":"ITEM-2","issued":{"date-parts":[["2021"]]},"title":"Coronavirus (COVID-19) related deaths by occupation, England and Wales: deaths registered between 9 March and 28 December 2020","type":"webpage"},"uris":["http://www.mendeley.com/documents/?uuid=a352cdf6-6d7f-4668-9992-d148fe82dcb6","http://www.mendeley.com/documents/?uuid=18334c74-31fe-4482-9133-a9ed424ebd4d"]},{"id":"ITEM-3","itemData":{"DOI":"https://doi.org/10.2807/1560-7917.ES.2020.25.50.2001884","author":[{"dropping-particle":"","family":"Gier","given":"Brechje","non-dropping-particle":"de","parse-names":false,"suffix":""},{"dropping-particle":"","family":"Oliveira Bressane Lima","given":"Priscila","non-dropping-particle":"de","parse-names":false,"suffix":""},{"dropping-particle":"","family":"Gaalen","given":"Rolina D","non-dropping-particle":"van","parse-names":false,"suffix":""},{"dropping-particle":"","family":"Boer","given":"Pieter T","non-dropping-particle":"de","parse-names":false,"suffix":""},{"dropping-particle":"","family":"Alblas","given":"Jeroen","non-dropping-particle":"","parse-names":false,"suffix":""},{"dropping-particle":"","family":"Ruijten","given":"Marc","non-dropping-particle":"","parse-names":false,"suffix":""},{"dropping-particle":"","family":"Gageldonk-Lafeber","given":"Arianne B","non-dropping-particle":"van","parse-names":false,"suffix":""},{"dropping-particle":"","family":"Waegemaekers","given":"Toos","non-dropping-particle":"","parse-names":false,"suffix":""},{"dropping-particle":"","family":"Schreijer","given":"Anja","non-dropping-particle":"","parse-names":false,"suffix":""},{"dropping-particle":"","family":"Hof","given":"Susan","non-dropping-particle":"van den","parse-names":false,"suffix":""},{"dropping-particle":"","family":"Hahné","given":"Susan J M","non-dropping-particle":"","parse-names":false,"suffix":""}],"container-title":"Eurosurveillance","id":"ITEM-3","issue":"50","issued":{"date-parts":[["2020"]]},"title":"Occupation- and age-associated risk of SARS-CoV-2 test positivity, the Netherlands, June to October 2020","type":"article-journal","volume":"25"},"uris":["http://www.mendeley.com/documents/?uuid=47a93ec0-8a83-4868-b133-9ed5a0830239","http://www.mendeley.com/documents/?uuid=a366c38d-5bd2-49f1-ae7b-a0d01ba4d686"]},{"id":"ITEM-4","itemData":{"DOI":"10.1101/2021.01.21.21250266","abstract":"Background Though SARS-CoV-2 outbreaks have been documented in occupational settings and though there is speculation that essential workers face heightened risks for COVID-19, occupational differences in excess mortality have, to date, not been examined. Such information could point to opportunities for intervention, such as workplace modifications and prioritization of vaccine distribution.Methods and findings Using death records from the California Department of Public Health, we estimated excess mortality among Californians 18{\\textendash}65 years of age by occupational sector and occupation, with additional stratification of the sector analysis by race/ethnicity. During the COVID-19 pandemic, working age adults experienced a 22% increase in mortality compared to historical periods. Relative excess mortality was highest in food/agriculture workers (39% increase), transportation/logistics workers (28% increase), facilities (27%) and manufacturing workers (23% increase). Latino Californians experienced a 36% increase in mortality, with a 59% increase among Latino food/agriculture workers. Black Californians experienced a 28% increase in mortality, with a 36% increase for Black retail workers. Asian Californians experienced an 18% increase, with a 40% increase among Asian healthcare workers. Excess mortality among White working-age Californians increased by 6%, with a 16% increase among White food/agriculture workers.Conclusions Certain occupational sectors have been associated with high excess mortality during the pandemic, particularly among racial and ethnic groups also disproportionately affected by COVID-19. In-person essential work is a likely venue of transmission of coronavirus infection and must be addressed through strict enforcement of health orders in workplace settings and protection of in-person workers. Vaccine distribution prioritizing in-person essential workers will be important for reducing excess COVID mortality.Competing Interest StatementThe authors have declared no competing interest.Funding StatementDr Riley{\\textquoteright}s work was supported by a training grant from the NIA: T32AG049663. Dr Bibbins-Domingo{\\textquoteright}s work was supported by institutional funding.Author DeclarationsI confirm all relevant ethical guidelines have been followed, and any necessary IRB and/or ethics committee approvals have been obtained.YesThe details of the IRB/oversight body that provided approval or exemption for the research described are …","author":[{"dropping-particle":"","family":"Chen","given":"Yea-Hung","non-dropping-particle":"","parse-names":false,"suffix":""},{"dropping-particle":"","family":"Glymour","given":"Maria","non-dropping-particle":"","parse-names":false,"suffix":""},{"dropping-particle":"","family":"Riley","given":"Alicia","non-dropping-particle":"","parse-names":false,"suffix":""},{"dropping-particle":"","family":"Balmes","given":"John","non-dropping-particle":"","parse-names":false,"suffix":""},{"dropping-particle":"","family":"Duchowny","given":"Kate","non-dropping-particle":"","parse-names":false,"suffix":""},{"dropping-particle":"","family":"Harrison","given":"Robert","non-dropping-particle":"","parse-names":false,"suffix":""},{"dropping-particle":"","family":"Matthay","given":"Ellicott","non-dropping-particle":"","parse-names":false,"suffix":""},{"dropping-particle":"","family":"Bibbins-Domingo","given":"Kirsten","non-dropping-particle":"","parse-names":false,"suffix":""}],"container-title":"medRxiv","id":"ITEM-4","issued":{"date-parts":[["2021"]]},"title":"Excess mortality associated with the COVID-19 pandemic among Californians 18-65 years of age, by occupational sector and occupation: March through October 2020","type":"article-journal"},"uris":["http://www.mendeley.com/documents/?uuid=8728a3a5-a797-4e2f-8e4a-640c41c83e1a","http://www.mendeley.com/documents/?uuid=b5372446-fbfc-493f-82c6-0455d43f7c5c"]},{"id":"ITEM-5","itemData":{"DOI":"https://doi.org/10.1016/j.ijid.2021.01.013","ISSN":"1201-9712","abstract":"Background\nThe COVID-19 pandemic has focused attention on the challenges and risks faced by frontline healthcare workers (HCW). This study aimed to describe the clinical outcomes and risk factors for SARS-CoV-2 infection in HCW.\nMethods\nThree databases were surveyed and 328 articles were identified. Of these, 225 articles did not meet inclusion criteria; therefore, 97 full-text article were reviewed. Finally, after further revision, 30 articles were included in the systematic review and 28 were used for meta-analysis.\nResults\nTwenty-eight studies were identified involving 119,883 patients. The mean age of the patients was 38.37 years (95% CI 36.72–40.03) and males comprised 21.4% (95% CI 12.4–34.2) of the population of HCW. The percentage of HCW who tested positive for COVID-19 was 51.7% (95% CI 34.7–68.2). The total prevalence of comorbidities in seven studies was 18.4% (95% CI 15.5–21.7). The most prevalent symptoms were fever 27.5% (95% CI 17.6–40.3) and cough 26.1% (95% CI 18.1–36). The prevalence of hospitalisation was 15.1% (95% CI 5.6–35) in 13 studies and of death was 1.5% (95% CI 0.5–3.9) in 12 studies. Comparisons of HCW with and without infection showed an increased relative risk for COVID-19 related to personal protective equipment, workplace setting, profession, exposure, contacts, and testing.\nConclusion\nA significant number of HCW were reported to be infected with COVID-19 during the first 6 months of the COVID-19 pandemic, with a prevalence of hospitalisation of 15.1% and mortality of 1.5%. Further data are needed to track the continued risks in HCW as the pandemic evolves and health systems adapt.","author":[{"dropping-particle":"","family":"Gholami","given":"Mandana","non-dropping-particle":"","parse-names":false,"suffix":""},{"dropping-particle":"","family":"Fawad","given":"Iman","non-dropping-particle":"","parse-names":false,"suffix":""},{"dropping-particle":"","family":"Shadan","given":"Sidra","non-dropping-particle":"","parse-names":false,"suffix":""},{"dropping-particle":"","family":"Rowaiee","given":"Rashed","non-dropping-particle":"","parse-names":false,"suffix":""},{"dropping-particle":"","family":"Ghanem","given":"HedaietAllah","non-dropping-particle":"","parse-names":false,"suffix":""},{"dropping-particle":"","family":"Hassan Khamis","given":"Amar","non-dropping-particle":"","parse-names":false,"suffix":""},{"dropping-particle":"","family":"Ho","given":"Samuel B","non-dropping-particle":"","parse-names":false,"suffix":""}],"container-title":"International Journal of Infectious Diseases","id":"ITEM-5","issued":{"date-parts":[["2021"]]},"page":"335-346","title":"COVID-19 and healthcare workers: A systematic review and meta-analysis","type":"article-journal","volume":"104"},"uris":["http://www.mendeley.com/documents/?uuid=500d0289-5027-4db5-bdf9-4e89c9f7dbd7","http://www.mendeley.com/documents/?uuid=41824bc5-24c9-44d4-9742-1878c2f22740"]},{"id":"ITEM-6","itemData":{"URL":"https://www.ons.gov.uk/employmentandlabourmarket/peopleinwork/employmentandemployeetypes/articles/whichoccupationshavethehighestpotentialexposuretothecoronaviruscovid19/2020-05-11","author":[{"dropping-particle":"","family":"ONS","given":"","non-dropping-particle":"","parse-names":false,"suffix":""}],"id":"ITEM-6","issued":{"date-parts":[["2020"]]},"title":"Which occupations have the highest potential exposure to the coronavirus (COVID-19)?","type":"webpage"},"uris":["http://www.mendeley.com/documents/?uuid=c8af148e-c0b1-491a-a71d-125e9efaad14","http://www.mendeley.com/documents/?uuid=faa1a147-8fe2-4e93-a0dd-5a99fb34dc86"]},{"id":"ITEM-7","itemData":{"URL":"https://www.gov.uk/government/publications/emg-covid-19-risk-by-occupation-and-workplace-11-february-2021","author":[{"dropping-particle":"","family":"HM Government","given":"","non-dropping-particle":"","parse-names":false,"suffix":""}],"id":"ITEM-7","issued":{"date-parts":[["2021"]]},"title":"COVID-19 risk by occupation and workplace, 11 February 2021","type":"webpage"},"uris":["http://www.mendeley.com/documents/?uuid=0dfbd800-bfe5-454f-afd7-5c76499f6203","http://www.mendeley.com/documents/?uuid=e24ae5ec-d5c1-46a2-85a1-46a76cf01a3c"]},{"id":"ITEM-8","itemData":{"abstract":"Objectives To estimate occupational differences in COVID-19 mortality and test whether these are confounded by factors such as regional differences, ethnicity and education or due to non-workplace factors, such as deprivation or prepandemic health.Methods Using a cohort study of over 14 million people aged 40{\\textendash}64 years living in England, we analysed occupational differences in death involving COVID-19, assessed between 24 January 2020 and 28 December 2020.We estimated age-standardised mortality rates (ASMRs) per 100 000 person-years at risk stratified by sex and occupation. We estimated the effect of occupation on COVID-19 mortality using Cox proportional hazard models adjusted for confounding factors. We further adjusted for non-workplace factors and interpreted the residual effects of occupation as being due to workplace exposures to SARS-CoV-2.Results In men, the ASMRs were highest among those working as taxi and cab drivers or chauffeurs at 119.7 deaths per 100 000 (95% CI 98.0 to 141.4), followed by other elementary occupations at 106.5 (84.5 to 132.4) and care workers and home carers at 99.2 (74.5 to 129.4). Adjusting for confounding factors strongly attenuated the HRs for many occupations, but many remained at elevated risk. Adjusting for living conditions reduced further the HRs, and many occupations were no longer at excess risk. For most occupations, confounding factors and mediators other than workplace exposure to SARS-CoV-2 explained 70\\%{\\textendash}80% of the excess age-adjusted occupational differences.Conclusions Working conditions play a role in COVID-19 mortality, particularly in occupations involving contact with patients or the public. However, there is also a substantial contribution from non-workplace factors.Data may be obtained from a third party and are not publicly available. The data used in this study are available on the Office for National Statistics (ONS) Secure Research Service for Accredited researchers as the Public Health Research Database. Researchers can apply for accreditation through the Research Accreditation Service.","author":[{"dropping-particle":"","family":"Nafilyan","given":"Vahe","non-dropping-particle":"","parse-names":false,"suffix":""},{"dropping-particle":"","family":"Pawelek","given":"Piotr","non-dropping-particle":"","parse-names":false,"suffix":""},{"dropping-particle":"","family":"Ayoubkhani","given":"Daniel","non-dropping-particle":"","parse-names":false,"suffix":""},{"dropping-particle":"","family":"Rhodes","given":"Sarah","non-dropping-particle":"","parse-names":false,"suffix":""},{"dropping-particle":"","family":"Pembrey","given":"Lucy","non-dropping-particle":"","parse-names":false,"suffix":""},{"dropping-particle":"","family":"Matz","given":"Melissa","non-dropping-particle":"","parse-names":false,"suffix":""},{"dropping-particle":"","family":"Coleman","given":"Michel","non-dropping-particle":"","parse-names":false,"suffix":""},{"dropping-particle":"","family":"Allemani","given":"Claudia","non-dropping-particle":"","parse-names":false,"suffix":""},{"dropping-particle":"","family":"Windsor-Shellard","given":"Ben","non-dropping-particle":"","parse-names":false,"suffix":""},{"dropping-particle":"","family":"Tongeren","given":"Martie","non-dropping-particle":"van","parse-names":false,"suffix":""},{"dropping-particle":"","family":"Pearce","given":"Neil","non-dropping-particle":"","parse-names":false,"suffix":""}],"container-title":"Occupational and Environmental Medicine","id":"ITEM-8","issue":"7","issued":{"date-parts":[["2022"]]},"page":"433-441","title":"Occupation and COVID-19 mortality in England: a national linked data study of 14.3 million adults","type":"article-journal","volume":"79"},"uris":["http://www.mendeley.com/documents/?uuid=dafe395f-ff76-4426-b4a9-c1c605351a14","http://www.mendeley.com/documents/?uuid=6824c101-a4df-4c81-92d7-7df194e4e0e4"]}],"mendeley":{"formattedCitation":"(7–14)","plainTextFormattedCitation":"(7–14)","previouslyFormattedCitation":"(7–14)"},"properties":{"noteIndex":0},"schema":"https://github.com/citation-style-language/schema/raw/master/csl-citation.json"}</w:instrText>
      </w:r>
      <w:r>
        <w:fldChar w:fldCharType="separate"/>
      </w:r>
      <w:r w:rsidR="00E45BE2" w:rsidRPr="00E45BE2">
        <w:rPr>
          <w:noProof/>
        </w:rPr>
        <w:t>(7–14)</w:t>
      </w:r>
      <w:r>
        <w:fldChar w:fldCharType="end"/>
      </w:r>
      <w:r>
        <w:t xml:space="preserve">. </w:t>
      </w:r>
      <w:r w:rsidR="00E45BE2">
        <w:t>Most of this existing research has focused on severe outcomes or a narrow range of occupations/work sectors, meaning that we have less evidence of how SARS-CoV-2 infections vary across occupations</w:t>
      </w:r>
      <w:r w:rsidR="001F5381">
        <w:t xml:space="preserve"> or work settings</w:t>
      </w:r>
      <w:r w:rsidR="00E45BE2">
        <w:t xml:space="preserve">. Preventing infections and exposure to SARS-CoV-2 </w:t>
      </w:r>
      <w:r w:rsidR="001F5381">
        <w:t>will help to</w:t>
      </w:r>
      <w:r w:rsidR="00E45BE2">
        <w:t xml:space="preserve"> reduc</w:t>
      </w:r>
      <w:r w:rsidR="001F5381">
        <w:t>e</w:t>
      </w:r>
      <w:r w:rsidR="00E45BE2">
        <w:t xml:space="preserve"> severe COVID-19 outcomes. Understanding which occupations had </w:t>
      </w:r>
      <w:r w:rsidR="00E45BE2">
        <w:lastRenderedPageBreak/>
        <w:t xml:space="preserve">higher or lower infections is imperative for designing preventative work-place interventions for managing COVID-19 </w:t>
      </w:r>
      <w:r w:rsidR="001F5381">
        <w:t>and</w:t>
      </w:r>
      <w:r w:rsidR="00E45BE2">
        <w:t xml:space="preserve"> preparing for future pandemics. </w:t>
      </w:r>
    </w:p>
    <w:p w14:paraId="127A0B84" w14:textId="06B28AF9" w:rsidR="00B030F7" w:rsidRDefault="00576895" w:rsidP="000A1B54">
      <w:pPr>
        <w:spacing w:line="480" w:lineRule="auto"/>
      </w:pPr>
      <w:r>
        <w:t>O</w:t>
      </w:r>
      <w:r w:rsidR="00CC7D2A">
        <w:t>ccupation</w:t>
      </w:r>
      <w:r>
        <w:t>al status</w:t>
      </w:r>
      <w:r w:rsidR="00CC7D2A">
        <w:t xml:space="preserve"> intersect</w:t>
      </w:r>
      <w:r>
        <w:t>s</w:t>
      </w:r>
      <w:r w:rsidR="00CC7D2A">
        <w:t xml:space="preserve"> with age, sex, ethnicity and deprivation</w:t>
      </w:r>
      <w:r>
        <w:t>. For example, individuals from deprived neighbourhoods or Black and Asian ethnic</w:t>
      </w:r>
      <w:r w:rsidR="001F5381">
        <w:t xml:space="preserve"> groups</w:t>
      </w:r>
      <w:r>
        <w:t xml:space="preserve"> are more likely to </w:t>
      </w:r>
      <w:r w:rsidR="009279AF">
        <w:t xml:space="preserve">be employed in occupations that were unable to work from home or </w:t>
      </w:r>
      <w:r w:rsidR="00422686">
        <w:t xml:space="preserve">in ‘essential’ </w:t>
      </w:r>
      <w:r w:rsidR="001F5381">
        <w:t xml:space="preserve">front facing </w:t>
      </w:r>
      <w:r w:rsidR="009279AF">
        <w:t xml:space="preserve">roles </w:t>
      </w:r>
      <w:r w:rsidR="009279AF">
        <w:fldChar w:fldCharType="begin" w:fldLock="1"/>
      </w:r>
      <w:r w:rsidR="00862209">
        <w:instrText>ADDIN CSL_CITATION {"citationItems":[{"id":"ITEM-1","itemData":{"DOI":"https://doi.org/10.1111/1475-5890.12228","abstract":"Abstract The economic and public health crisis created by the COVID-19 pandemic has exposed existing inequalities between ethnic groups in England and Wales, as well as creating new ones. We draw on current mortality and case data, alongside pre-crisis labour force data, to investigate the relative vulnerability of different ethnic groups to adverse health and economic impacts. After accounting for differences in population structure and regional concentration, we show that most minority groups suffered excess mortality compared with the white British majority group. Differences in underlying health conditions such as diabetes may play a role; so too may occupational exposure to the virus, given the very different labour market profiles of ethnic groups. Distinctive patterns of occupational concentration also highlight the vulnerability of some groups to the economic consequences of social distancing measures, with Bangladeshi and Pakistani men particularly likely to be employed in occupations directly affected by the UK's ‘lockdown’. We show that differences in household structures and inequalities in access to savings mean that a number of minority groups are also less able to weather short-term shocks to their income. Documenting these immediate consequences of the crisis reveals the potential for inequalities to become entrenched in the longer term.","author":[{"dropping-particle":"","family":"Platt","given":"Lucinda","non-dropping-particle":"","parse-names":false,"suffix":""},{"dropping-particle":"","family":"Warwick","given":"Ross","non-dropping-particle":"","parse-names":false,"suffix":""}],"container-title":"Fiscal Studies","id":"ITEM-1","issue":"2","issued":{"date-parts":[["2020"]]},"page":"259-289","title":"COVID-19 and Ethnic Inequalities in England and Wales","type":"article-journal","volume":"41"},"uris":["http://www.mendeley.com/documents/?uuid=701bfcbf-082f-4c65-a866-ecd147072856"]},{"id":"ITEM-2","itemData":{"author":[{"dropping-particle":"","family":"Witteveen","given":"Dirk","non-dropping-particle":"","parse-names":false,"suffix":""}],"container-title":"Research in Social Stratification and Mobility","id":"ITEM-2","issued":{"date-parts":[["2020"]]},"page":"100551","title":"Sociodemographic inequality in exposure to COVID-19-induced economic hardship in the United Kingdom","type":"article-journal","volume":"69"},"uris":["http://www.mendeley.com/documents/?uuid=cb6e00a8-ff5e-4bb5-8089-37327ff9719d"]}],"mendeley":{"formattedCitation":"(3,15)","plainTextFormattedCitation":"(3,15)","previouslyFormattedCitation":"(3,15)"},"properties":{"noteIndex":0},"schema":"https://github.com/citation-style-language/schema/raw/master/csl-citation.json"}</w:instrText>
      </w:r>
      <w:r w:rsidR="009279AF">
        <w:fldChar w:fldCharType="separate"/>
      </w:r>
      <w:r w:rsidR="00422686" w:rsidRPr="00422686">
        <w:rPr>
          <w:noProof/>
        </w:rPr>
        <w:t>(3,15)</w:t>
      </w:r>
      <w:r w:rsidR="009279AF">
        <w:fldChar w:fldCharType="end"/>
      </w:r>
      <w:r w:rsidR="009279AF">
        <w:t>;</w:t>
      </w:r>
      <w:r>
        <w:t xml:space="preserve"> the same groups who have seen higher hospitalisations and mortality related to COVID-19</w:t>
      </w:r>
      <w:r w:rsidR="009279AF">
        <w:t>.</w:t>
      </w:r>
      <w:r>
        <w:t xml:space="preserve"> </w:t>
      </w:r>
      <w:r w:rsidR="00422686">
        <w:t>O</w:t>
      </w:r>
      <w:r>
        <w:t>ccupation</w:t>
      </w:r>
      <w:r w:rsidR="00422686">
        <w:t xml:space="preserve"> type is therefore a fundamental driver of exposure to</w:t>
      </w:r>
      <w:r>
        <w:t xml:space="preserve"> SARS-CoV-2</w:t>
      </w:r>
      <w:r w:rsidR="00422686">
        <w:t xml:space="preserve"> in employed populations</w:t>
      </w:r>
      <w:r>
        <w:t xml:space="preserve">, meaning that occupation may </w:t>
      </w:r>
      <w:r w:rsidR="00CC7D2A">
        <w:t>partly explain or amplify health inequalities</w:t>
      </w:r>
      <w:r w:rsidR="001F5381">
        <w:t xml:space="preserve"> relating to COVID-19</w:t>
      </w:r>
      <w:r>
        <w:t xml:space="preserve"> </w:t>
      </w:r>
      <w:r w:rsidR="00CC7D2A">
        <w:fldChar w:fldCharType="begin" w:fldLock="1"/>
      </w:r>
      <w:r w:rsidR="00055DCB">
        <w:instrText>ADDIN CSL_CITATION {"citationItems":[{"id":"ITEM-1","itemData":{"author":[{"dropping-particle":"","family":"Paremoer","given":"L","non-dropping-particle":"","parse-names":false,"suffix":""},{"dropping-particle":"","family":"Nandi","given":"S","non-dropping-particle":"","parse-names":false,"suffix":""},{"dropping-particle":"","family":"Serag","given":"H","non-dropping-particle":"","parse-names":false,"suffix":""},{"dropping-particle":"","family":"Baum","given":"F","non-dropping-particle":"","parse-names":false,"suffix":""}],"container-title":"BMJ","id":"ITEM-1","issued":{"date-parts":[["2021"]]},"page":"n129","title":"Covid-19 pandemic and the social determinants of health","type":"article-journal","volume":"372"},"uris":["http://www.mendeley.com/documents/?uuid=2af9a4c0-b9c0-4ea9-8d7b-c38aa9a91a84","http://www.mendeley.com/documents/?uuid=fce79ed7-e86b-4433-882b-8fc000633824"]},{"id":"ITEM-2","itemData":{"DOI":"10.1136/bmj.n376","author":[{"dropping-particle":"","family":"Whitehead","given":"Margaret","non-dropping-particle":"","parse-names":false,"suffix":""},{"dropping-particle":"","family":"Taylor-Robinson","given":"David","non-dropping-particle":"","parse-names":false,"suffix":""},{"dropping-particle":"","family":"Barr","given":"Ben","non-dropping-particle":"","parse-names":false,"suffix":""}],"container-title":"BMJ","id":"ITEM-2","issued":{"date-parts":[["2021"]]},"publisher":"BMJ Publishing Group Ltd","title":"Poverty, health, and covid-19","type":"article-journal","volume":"372"},"uris":["http://www.mendeley.com/documents/?uuid=370f6113-4ec2-4949-b87d-cf13178853d6","http://www.mendeley.com/documents/?uuid=00f3897d-8b75-4e4d-806f-2225efb644d2"]}],"mendeley":{"formattedCitation":"(5,16)","plainTextFormattedCitation":"(5,16)","previouslyFormattedCitation":"(5,16)"},"properties":{"noteIndex":0},"schema":"https://github.com/citation-style-language/schema/raw/master/csl-citation.json"}</w:instrText>
      </w:r>
      <w:r w:rsidR="00CC7D2A">
        <w:fldChar w:fldCharType="separate"/>
      </w:r>
      <w:r w:rsidR="00422686" w:rsidRPr="00422686">
        <w:rPr>
          <w:noProof/>
        </w:rPr>
        <w:t>(5,16)</w:t>
      </w:r>
      <w:r w:rsidR="00CC7D2A">
        <w:fldChar w:fldCharType="end"/>
      </w:r>
      <w:r w:rsidR="00CC7D2A">
        <w:t xml:space="preserve">. </w:t>
      </w:r>
      <w:r w:rsidR="001B18AB">
        <w:t>As such, the ability of work to adapt</w:t>
      </w:r>
      <w:r w:rsidR="00F75EFD">
        <w:t xml:space="preserve"> or</w:t>
      </w:r>
      <w:r w:rsidR="001B18AB">
        <w:t xml:space="preserve"> change </w:t>
      </w:r>
      <w:r w:rsidR="00F75EFD">
        <w:t>within</w:t>
      </w:r>
      <w:r w:rsidR="001B18AB">
        <w:t xml:space="preserve"> government restrictions w</w:t>
      </w:r>
      <w:r w:rsidR="000F4C67">
        <w:t>as</w:t>
      </w:r>
      <w:r w:rsidR="001B18AB">
        <w:t xml:space="preserve"> </w:t>
      </w:r>
      <w:r w:rsidR="000F4C67">
        <w:t>experienced</w:t>
      </w:r>
      <w:r w:rsidR="001B18AB">
        <w:t xml:space="preserve"> </w:t>
      </w:r>
      <w:r w:rsidR="000F4C67">
        <w:t xml:space="preserve">unevenly </w:t>
      </w:r>
      <w:r w:rsidR="001B18AB">
        <w:t>across the population</w:t>
      </w:r>
      <w:r w:rsidR="00830177">
        <w:t xml:space="preserve"> and may </w:t>
      </w:r>
      <w:r w:rsidR="002F7162">
        <w:t>partly explain the pathways through which social inequalities in</w:t>
      </w:r>
      <w:r w:rsidR="00830177">
        <w:t xml:space="preserve"> COVID-19</w:t>
      </w:r>
      <w:r w:rsidR="002F7162">
        <w:t xml:space="preserve"> have materialised</w:t>
      </w:r>
      <w:r w:rsidR="001B18AB">
        <w:t>.</w:t>
      </w:r>
      <w:r w:rsidR="00402079">
        <w:t xml:space="preserve"> Identify</w:t>
      </w:r>
      <w:r w:rsidR="00CC7D2A">
        <w:t>ing</w:t>
      </w:r>
      <w:r w:rsidR="00402079">
        <w:t xml:space="preserve"> </w:t>
      </w:r>
      <w:r w:rsidR="001F5381">
        <w:t xml:space="preserve">which </w:t>
      </w:r>
      <w:r w:rsidR="00402079">
        <w:t xml:space="preserve">work sectors </w:t>
      </w:r>
      <w:r w:rsidR="001F5381">
        <w:t xml:space="preserve">are </w:t>
      </w:r>
      <w:r w:rsidR="00402079">
        <w:t xml:space="preserve">at highest risk </w:t>
      </w:r>
      <w:r w:rsidR="00422686">
        <w:t>can help us to</w:t>
      </w:r>
      <w:r w:rsidR="00402079">
        <w:t xml:space="preserve"> design social distancing and preventative </w:t>
      </w:r>
      <w:r w:rsidR="001F5381">
        <w:t xml:space="preserve">measures </w:t>
      </w:r>
      <w:r w:rsidR="00422686">
        <w:t>beyond</w:t>
      </w:r>
      <w:r w:rsidR="00402079">
        <w:t xml:space="preserve"> vaccin</w:t>
      </w:r>
      <w:r w:rsidR="00422686">
        <w:t>ation that could</w:t>
      </w:r>
      <w:r w:rsidR="001F5381">
        <w:t xml:space="preserve"> potentially</w:t>
      </w:r>
      <w:r w:rsidR="00422686">
        <w:t xml:space="preserve"> narrow health inequalities</w:t>
      </w:r>
      <w:r w:rsidR="00402079">
        <w:t xml:space="preserve"> </w:t>
      </w:r>
      <w:r w:rsidR="00402079">
        <w:fldChar w:fldCharType="begin" w:fldLock="1"/>
      </w:r>
      <w:r w:rsidR="00862209">
        <w:instrText>ADDIN CSL_CITATION {"citationItems":[{"id":"ITEM-1","itemData":{"DOI":"10.1101/2020.07.25.20156471","abstract":"Background In the absence of a vaccine, SARS-CoV-2 transmission has been controlled by preventing person-to-person interactions via social distancing measures. In order to re-open parts of society, policy-makers need to consider how combinations of measures will affect transmission and understand the trade-offs between them.Methods We use age-specific social contact data, together with epidemiological data, to quantify the components of the COVID-19 reproduction number. We estimate the impact of social distancing policies on the reproduction number by turning contacts on and off based on context and age. We focus on the impact of re-opening schools against a background of wider social distancing measures.Results We demonstrate that pre-collected social contact data can be used to provide a time-varying estimate of the reproduction number (R). We find that following lockdown (when R=0.7 (95% CI 0.6, 0.8)), opening primary schools as a modest impact on transmission (R = 0.89 (95%CI: 0.82 - 0.97)) as long as other social interactions are not increased. Opening secondary and primary schools is predicted to have a larger impact (R = 1.22, 95%CI: 1.02 - 1.53)). Contact tracing and COVID security can be used to mitigate the impact of increased social mixing to some extent, however social distancing measures are still required to control transmission.Conclusions Our approach has been widely used by policy-makers to project the impact of social distancing measures and assess the trade-offs between them. Effective social distancing, contact tracing and COVID-security are required if all age groups are to return to school while controlling transmission.Competing Interest StatementThe authors have declared no competing interest.Funding StatementThe authors gratefully acknowledge comments and discussions from the members of the Scientific Pandemic Influenza Group on Modelling (SPI-M) for useful comments and discussions. Funding: EBP is supported by the National Institute for Health Research Health Protection Research Unit (NIHR HPRU) in Evaluation of Interventions at the University of Bristol, MJK is supported by NIHR grant MEMVIEER NIHR200411, LD is supported by The Alan Turing Institute EPSRC EP/N510129/1, and MRC grant MC/PC/19067. Author DeclarationsI confirm all relevant ethical guidelines have been followed, and any necessary IRB and/or ethics committee approvals have been obtained.YesThe details of the IRB/oversight body that provided approval or exemption fo…","author":[{"dropping-particle":"","family":"Brooks-Pollock","given":"Ellen","non-dropping-particle":"","parse-names":false,"suffix":""},{"dropping-particle":"","family":"Read","given":"Jonathan M","non-dropping-particle":"","parse-names":false,"suffix":""},{"dropping-particle":"","family":"McLean","given":"Angela R","non-dropping-particle":"","parse-names":false,"suffix":""},{"dropping-particle":"","family":"Keeling","given":"Matt J","non-dropping-particle":"","parse-names":false,"suffix":""},{"dropping-particle":"","family":"Danon","given":"Leon","non-dropping-particle":"","parse-names":false,"suffix":""}],"container-title":"medRxiv","id":"ITEM-1","issued":{"date-parts":[["2021"]]},"title":"Mapping social distancing measures to the reproduction number for COVID-19","type":"article-journal"},"uris":["http://www.mendeley.com/documents/?uuid=97453c35-1fce-4c66-97db-7b5041b049c6","http://www.mendeley.com/documents/?uuid=b2b3f412-f951-4911-baab-676fa6fbc077"]}],"mendeley":{"formattedCitation":"(17)","plainTextFormattedCitation":"(17)","previouslyFormattedCitation":"(17)"},"properties":{"noteIndex":0},"schema":"https://github.com/citation-style-language/schema/raw/master/csl-citation.json"}</w:instrText>
      </w:r>
      <w:r w:rsidR="00402079">
        <w:fldChar w:fldCharType="separate"/>
      </w:r>
      <w:r w:rsidR="00422686" w:rsidRPr="00422686">
        <w:rPr>
          <w:noProof/>
        </w:rPr>
        <w:t>(17)</w:t>
      </w:r>
      <w:r w:rsidR="00402079">
        <w:fldChar w:fldCharType="end"/>
      </w:r>
      <w:r w:rsidR="00402079">
        <w:t>.</w:t>
      </w:r>
    </w:p>
    <w:p w14:paraId="6F188B96" w14:textId="30F65397" w:rsidR="00333D81" w:rsidRDefault="00821E17" w:rsidP="000A1B54">
      <w:pPr>
        <w:spacing w:line="480" w:lineRule="auto"/>
      </w:pPr>
      <w:r>
        <w:t>The aim of th</w:t>
      </w:r>
      <w:r w:rsidR="000F4C67">
        <w:t>is</w:t>
      </w:r>
      <w:r>
        <w:t xml:space="preserve"> study is </w:t>
      </w:r>
      <w:bookmarkStart w:id="0" w:name="_Hlk107823696"/>
      <w:r>
        <w:t>to evaluate how occupational inequalities in the prevalence of COVID-19 var</w:t>
      </w:r>
      <w:r w:rsidR="004E6A15">
        <w:t>y</w:t>
      </w:r>
      <w:r>
        <w:t xml:space="preserve"> across England and their possible explanatory factors</w:t>
      </w:r>
      <w:bookmarkEnd w:id="0"/>
      <w:r>
        <w:t xml:space="preserve">. </w:t>
      </w:r>
      <w:r w:rsidR="00990BD0">
        <w:t>We address several limitations in the literature investigating this issue. First, t</w:t>
      </w:r>
      <w:r w:rsidR="001B18AB">
        <w:t xml:space="preserve">here is a paucity of evidence on the extent of risks of </w:t>
      </w:r>
      <w:r w:rsidR="00D94FE1">
        <w:t xml:space="preserve">COVID-19 by </w:t>
      </w:r>
      <w:r w:rsidR="00591EBD">
        <w:t xml:space="preserve">granular </w:t>
      </w:r>
      <w:r w:rsidR="00D94FE1">
        <w:t>occupational groups</w:t>
      </w:r>
      <w:r w:rsidR="00F75EFD">
        <w:t xml:space="preserve"> </w:t>
      </w:r>
      <w:r w:rsidR="00591EBD">
        <w:t>or work sectors</w:t>
      </w:r>
      <w:r w:rsidR="00D94FE1">
        <w:t xml:space="preserve">. Second, </w:t>
      </w:r>
      <w:r w:rsidR="00922689">
        <w:t>evidence derived from ‘testing’ data are biased due to self-selection</w:t>
      </w:r>
      <w:r w:rsidR="00F75EFD">
        <w:t xml:space="preserve"> (i.e., focusing on individuals with symptoms</w:t>
      </w:r>
      <w:r w:rsidR="001F5381">
        <w:t xml:space="preserve"> or who are engaged in testing</w:t>
      </w:r>
      <w:r w:rsidR="00F75EFD">
        <w:t>)</w:t>
      </w:r>
      <w:r w:rsidR="00922689">
        <w:t>. We tackle this through using a novel survey where participants were all tested irrespective of symptoms</w:t>
      </w:r>
      <w:r w:rsidR="00D94FE1">
        <w:t>.</w:t>
      </w:r>
      <w:r w:rsidR="00922689">
        <w:t xml:space="preserve"> Third, our large survey helps accommodate issues relating to the rarity of events, allowing for detailed investigations into occupational inequalities in COVID-19. </w:t>
      </w:r>
      <w:r w:rsidR="00CE39D4">
        <w:t xml:space="preserve">Finally, we consider how trends in occupational inequalities changed throughout our study period to examine if </w:t>
      </w:r>
      <w:r w:rsidR="00CD239E">
        <w:t xml:space="preserve">certain time periods produced differences in infection risk across occupational groups. </w:t>
      </w:r>
    </w:p>
    <w:p w14:paraId="1BAFE205" w14:textId="77777777" w:rsidR="003E3DA8" w:rsidRDefault="003E3DA8" w:rsidP="000A1B54">
      <w:pPr>
        <w:spacing w:line="480" w:lineRule="auto"/>
      </w:pPr>
    </w:p>
    <w:p w14:paraId="457E9C47" w14:textId="69A6DC7B" w:rsidR="003E3DA8" w:rsidRPr="004D790B" w:rsidRDefault="00373741" w:rsidP="000A1B54">
      <w:pPr>
        <w:spacing w:line="480" w:lineRule="auto"/>
        <w:rPr>
          <w:b/>
          <w:sz w:val="36"/>
          <w:szCs w:val="36"/>
        </w:rPr>
      </w:pPr>
      <w:r w:rsidRPr="004D790B">
        <w:rPr>
          <w:b/>
          <w:sz w:val="36"/>
          <w:szCs w:val="36"/>
        </w:rPr>
        <w:lastRenderedPageBreak/>
        <w:t>Materials and Methods</w:t>
      </w:r>
    </w:p>
    <w:p w14:paraId="253E2E0E" w14:textId="77777777" w:rsidR="003E3DA8" w:rsidRPr="004D790B" w:rsidRDefault="003E3DA8" w:rsidP="000A1B54">
      <w:pPr>
        <w:spacing w:line="480" w:lineRule="auto"/>
        <w:rPr>
          <w:b/>
          <w:sz w:val="32"/>
          <w:szCs w:val="32"/>
        </w:rPr>
      </w:pPr>
      <w:r w:rsidRPr="004D790B">
        <w:rPr>
          <w:b/>
          <w:sz w:val="32"/>
          <w:szCs w:val="32"/>
        </w:rPr>
        <w:t>Data</w:t>
      </w:r>
    </w:p>
    <w:p w14:paraId="73CAB3CF" w14:textId="11A6C072" w:rsidR="00A3462E" w:rsidRDefault="00F927A6" w:rsidP="000A1B54">
      <w:pPr>
        <w:spacing w:line="480" w:lineRule="auto"/>
      </w:pPr>
      <w:bookmarkStart w:id="1" w:name="_Hlk107823532"/>
      <w:r>
        <w:t xml:space="preserve">The </w:t>
      </w:r>
      <w:r w:rsidR="00BF0B40">
        <w:t>Office for National Statistics (</w:t>
      </w:r>
      <w:r w:rsidR="003E3DA8">
        <w:t>ONS</w:t>
      </w:r>
      <w:r w:rsidR="00BF0B40">
        <w:t>)</w:t>
      </w:r>
      <w:r w:rsidR="003E3DA8">
        <w:t xml:space="preserve"> </w:t>
      </w:r>
      <w:r w:rsidR="00F75EFD">
        <w:t>Covid</w:t>
      </w:r>
      <w:r w:rsidR="003E3DA8">
        <w:t xml:space="preserve"> Infection Survey</w:t>
      </w:r>
      <w:r w:rsidR="00154F9F">
        <w:t xml:space="preserve"> </w:t>
      </w:r>
      <w:r>
        <w:t xml:space="preserve">(CIS) </w:t>
      </w:r>
      <w:r w:rsidR="00154F9F">
        <w:t>was used</w:t>
      </w:r>
      <w:r>
        <w:t xml:space="preserve"> </w:t>
      </w:r>
      <w:r w:rsidR="000C7AB1">
        <w:t xml:space="preserve">as </w:t>
      </w:r>
      <w:r w:rsidR="00264A60">
        <w:t>our</w:t>
      </w:r>
      <w:r w:rsidR="000C7AB1">
        <w:t xml:space="preserve"> data source</w:t>
      </w:r>
      <w:r>
        <w:t xml:space="preserve">. The CIS </w:t>
      </w:r>
      <w:r w:rsidR="00154F9F">
        <w:t>is</w:t>
      </w:r>
      <w:r w:rsidR="006A2766">
        <w:t xml:space="preserve"> a </w:t>
      </w:r>
      <w:r w:rsidR="000C7AB1">
        <w:t xml:space="preserve">representative </w:t>
      </w:r>
      <w:r w:rsidR="006A2766">
        <w:t>random sample survey</w:t>
      </w:r>
      <w:r w:rsidR="00D12AAB">
        <w:t xml:space="preserve"> of the population </w:t>
      </w:r>
      <w:r w:rsidR="00AD59CD">
        <w:t xml:space="preserve">in England </w:t>
      </w:r>
      <w:r w:rsidR="00D12AAB">
        <w:t xml:space="preserve">used to </w:t>
      </w:r>
      <w:r>
        <w:t>monitor trends in</w:t>
      </w:r>
      <w:r w:rsidR="00D12AAB">
        <w:t xml:space="preserve"> COVID-19</w:t>
      </w:r>
      <w:r w:rsidR="00F213D2">
        <w:t xml:space="preserve"> </w:t>
      </w:r>
      <w:r w:rsidR="00264A60">
        <w:fldChar w:fldCharType="begin" w:fldLock="1"/>
      </w:r>
      <w:r w:rsidR="00862209">
        <w:instrText>ADDIN CSL_CITATION {"citationItems":[{"id":"ITEM-1","itemData":{"author":[{"dropping-particle":"","family":"ONS","given":"","non-dropping-particle":"","parse-names":false,"suffix":""}],"id":"ITEM-1","issued":{"date-parts":[["2022"]]},"title":"Coronavirus (COVID-19) Infection Survey: methods and further information","type":"webpage"},"uris":["http://www.mendeley.com/documents/?uuid=1d276f6d-340e-439f-a2ac-b402b4848f06","http://www.mendeley.com/documents/?uuid=1319da55-f523-4b11-ab02-8321b48286af"]}],"mendeley":{"formattedCitation":"(18)","plainTextFormattedCitation":"(18)","previouslyFormattedCitation":"(18)"},"properties":{"noteIndex":0},"schema":"https://github.com/citation-style-language/schema/raw/master/csl-citation.json"}</w:instrText>
      </w:r>
      <w:r w:rsidR="00264A60">
        <w:fldChar w:fldCharType="separate"/>
      </w:r>
      <w:r w:rsidR="00422686" w:rsidRPr="00422686">
        <w:rPr>
          <w:noProof/>
        </w:rPr>
        <w:t>(18)</w:t>
      </w:r>
      <w:r w:rsidR="00264A60">
        <w:fldChar w:fldCharType="end"/>
      </w:r>
      <w:r w:rsidR="003E3DA8">
        <w:t>.</w:t>
      </w:r>
      <w:r w:rsidR="00013BD5">
        <w:t xml:space="preserve"> </w:t>
      </w:r>
      <w:r w:rsidR="002757BC">
        <w:t xml:space="preserve">While </w:t>
      </w:r>
      <w:r w:rsidR="002757BC" w:rsidRPr="002757BC">
        <w:t xml:space="preserve">primarily used </w:t>
      </w:r>
      <w:r w:rsidR="002757BC">
        <w:t xml:space="preserve">as a </w:t>
      </w:r>
      <w:r w:rsidR="002757BC" w:rsidRPr="002757BC">
        <w:t xml:space="preserve">surveillance </w:t>
      </w:r>
      <w:r w:rsidR="002757BC">
        <w:t>tool for</w:t>
      </w:r>
      <w:r w:rsidR="002757BC" w:rsidRPr="002757BC">
        <w:t xml:space="preserve"> COVID-19, CIS was also designed so that the data could be re-used by researchers </w:t>
      </w:r>
      <w:r w:rsidR="00A3462E">
        <w:t>as a secondary data resource for</w:t>
      </w:r>
      <w:r w:rsidR="002757BC" w:rsidRPr="002757BC">
        <w:t xml:space="preserve"> </w:t>
      </w:r>
      <w:r w:rsidR="00A3462E">
        <w:t>understanding</w:t>
      </w:r>
      <w:r w:rsidR="002757BC" w:rsidRPr="002757BC">
        <w:t xml:space="preserve"> population health issues relating to the pandemic</w:t>
      </w:r>
      <w:r w:rsidR="002757BC">
        <w:t xml:space="preserve">. Secondary </w:t>
      </w:r>
      <w:r w:rsidR="00A3462E">
        <w:t xml:space="preserve">data are useful resources since they allow for efficient collection of large and complex data that saves time and costs over primary data collection </w:t>
      </w:r>
      <w:r w:rsidR="002757BC">
        <w:fldChar w:fldCharType="begin" w:fldLock="1"/>
      </w:r>
      <w:r w:rsidR="00862209">
        <w:instrText>ADDIN CSL_CITATION {"citationItems":[{"id":"ITEM-1","itemData":{"author":[{"dropping-particle":"","family":"Sorensen","given":"H T","non-dropping-particle":"","parse-names":false,"suffix":""},{"dropping-particle":"","family":"Sabroe","given":"S","non-dropping-particle":"","parse-names":false,"suffix":""},{"dropping-particle":"","family":"Olsen","given":"J","non-dropping-particle":"","parse-names":false,"suffix":""}],"container-title":"International Journal of Epidemiology","id":"ITEM-1","issue":"2","issued":{"date-parts":[["1996"]]},"page":"435-442","title":"A Framework for Evaluation of Secondary Data Sources for Epidemiological Research","type":"article-journal","volume":"25"},"uris":["http://www.mendeley.com/documents/?uuid=d93a1c1b-1651-4ca1-b707-26ab8c95d0b1","http://www.mendeley.com/documents/?uuid=5abcf752-f898-4ca2-b9e6-b5290e202585"]}],"mendeley":{"formattedCitation":"(19)","plainTextFormattedCitation":"(19)","previouslyFormattedCitation":"(19)"},"properties":{"noteIndex":0},"schema":"https://github.com/citation-style-language/schema/raw/master/csl-citation.json"}</w:instrText>
      </w:r>
      <w:r w:rsidR="002757BC">
        <w:fldChar w:fldCharType="separate"/>
      </w:r>
      <w:r w:rsidR="00422686" w:rsidRPr="00422686">
        <w:rPr>
          <w:noProof/>
        </w:rPr>
        <w:t>(19)</w:t>
      </w:r>
      <w:r w:rsidR="002757BC">
        <w:fldChar w:fldCharType="end"/>
      </w:r>
      <w:r w:rsidR="002757BC">
        <w:t>.</w:t>
      </w:r>
      <w:r w:rsidR="00A3462E">
        <w:t xml:space="preserve"> This is valuable for our study since (i) the rarity of our outcome (0.9% in this study) means we require a large sample size to </w:t>
      </w:r>
      <w:r w:rsidR="001F5381">
        <w:t>find robust associations</w:t>
      </w:r>
      <w:r w:rsidR="00A3462E">
        <w:t xml:space="preserve">, and (ii) the CIS was designed to collect a national-level representative sample that minimises selection bias meaning our findings can be generalisable. </w:t>
      </w:r>
    </w:p>
    <w:bookmarkEnd w:id="1"/>
    <w:p w14:paraId="5D7995E4" w14:textId="3B356ECE" w:rsidR="00F927A6" w:rsidRDefault="00F927A6" w:rsidP="000A1B54">
      <w:pPr>
        <w:spacing w:line="480" w:lineRule="auto"/>
      </w:pPr>
      <w:r>
        <w:t>I</w:t>
      </w:r>
      <w:r w:rsidR="00264A60">
        <w:t>n the CIS, i</w:t>
      </w:r>
      <w:r>
        <w:t xml:space="preserve">ndividuals </w:t>
      </w:r>
      <w:r w:rsidR="004E6A15">
        <w:t>are invited</w:t>
      </w:r>
      <w:r>
        <w:t xml:space="preserve"> take a </w:t>
      </w:r>
      <w:r w:rsidR="001F5381">
        <w:t xml:space="preserve">SARS-CoV-2 </w:t>
      </w:r>
      <w:r>
        <w:t>test irrespective of whether they have symptoms or not, allowing an estimate of overall COVID-19 prevalence.</w:t>
      </w:r>
      <w:r w:rsidR="00264A60">
        <w:t xml:space="preserve"> </w:t>
      </w:r>
      <w:bookmarkStart w:id="2" w:name="_Hlk107823617"/>
      <w:r w:rsidR="00264A60">
        <w:t>This helps to minimise issues in</w:t>
      </w:r>
      <w:r w:rsidR="002757BC">
        <w:t xml:space="preserve"> secondary data based on</w:t>
      </w:r>
      <w:r w:rsidR="003A1BAC">
        <w:t xml:space="preserve"> self-reported</w:t>
      </w:r>
      <w:r w:rsidR="00264A60">
        <w:t xml:space="preserve"> testing records </w:t>
      </w:r>
      <w:r w:rsidR="002757BC">
        <w:t>due to selection bias in who tests and who registers tests</w:t>
      </w:r>
      <w:r w:rsidR="00264A60">
        <w:t xml:space="preserve"> </w:t>
      </w:r>
      <w:r w:rsidR="002757BC">
        <w:fldChar w:fldCharType="begin" w:fldLock="1"/>
      </w:r>
      <w:r w:rsidR="00862209">
        <w:instrText>ADDIN CSL_CITATION {"citationItems":[{"id":"ITEM-1","itemData":{"DOI":"10.1101/2021.02.10.21251256","abstract":"Objective To explore social and spatial inequalities in uptake and case-detection of rapid lateral flow SARS-CoV-2 antigen tests (LFTs) offered to people without symptoms of COVID-19.Design Observational study.Setting Liverpool, UK.Participants 496 784 residents.Intervention Free LFTs to all people living and working in Liverpool (6th November 2020 to 31st January 2021).Main outcome measures Residents who received a LFT, residents who had multiple LFTs, and positive test results.Results 214 525 residents (43%) received a LFT identifying 5557 individuals as positive cases of COVID-19 (1.3%) between 6th November 2020 and 31st January 2021. 89 047 residents had more than one test (18%). Uptake was highest in November when there was military assistance. High uptake was observed again in the week preceding Christmas and was sustained into a national lockdown. Overall uptake and repeat testing were lower among males (e.g. 40% uptake over the whole period), Black Asian and other Minority Ethnic groups (e.g. 27% uptake for {\\textquoteleft}Mixed{\\textquoteright} ethnicity) and in the most deprived areas (e.g. 32% uptake in most deprived areas). These population groups were also more likely to have received positive tests for COVID-19. Spatial regression models demonstrated that uptake and repeat testing were lower in areas of higher deprivation, areas located further from test sites and areas containing populations less confident in the using Internet technologies. Positive tests were spatially clustered in deprived areas.Conclusions Large-scale voluntary asymptomatic community testing saw social, ethnic, and spatial inequalities in an {\\textquoteleft}inverse care{\\textquoteright} pattern, but with an added digital exclusion factor. COVID-19 testing and support to isolate need to be more accessible to the vulnerable communities most impacted by the pandemic, including non-digital means of access.What is already known on this topicTesting asymptomatic individuals with rapid lateral flow SARS-CoV-2 antigen devices detects the most infectious individuals who otherwise would have been unaware they were likely to infect others.Liverpool (UK) conducted the world{\\textquoteright}s first whole population, open-access, voluntary asymptomatic testing programme for COVID-19 management.The impacts of such testing on inequalities are unknown.What this study addsTesting uptake was lower, and test positivity was higher, among deprived populations, Black Asian and other Minorit…","author":[{"dropping-particle":"","family":"Green","given":"Mark A","non-dropping-particle":"","parse-names":false,"suffix":""},{"dropping-particle":"","family":"Garcia-Fiñana","given":"Marta","non-dropping-particle":"","parse-names":false,"suffix":""},{"dropping-particle":"","family":"Barr","given":"Ben","non-dropping-particle":"","parse-names":false,"suffix":""},{"dropping-particle":"","family":"Burnside","given":"Girvan","non-dropping-particle":"","parse-names":false,"suffix":""},{"dropping-particle":"","family":"Cheyne","given":"Christopher P","non-dropping-particle":"","parse-names":false,"suffix":""},{"dropping-particle":"","family":"Hughes","given":"David","non-dropping-particle":"","parse-names":false,"suffix":""},{"dropping-particle":"","family":"Ashton","given":"Matthew","non-dropping-particle":"","parse-names":false,"suffix":""},{"dropping-particle":"","family":"Sheard","given":"Sally","non-dropping-particle":"","parse-names":false,"suffix":""},{"dropping-particle":"","family":"Buchan","given":"Iain E","non-dropping-particle":"","parse-names":false,"suffix":""}],"container-title":"Lancet Regional Health - Europe","id":"ITEM-1","issued":{"date-parts":[["2021"]]},"page":"100107","title":"Evaluating social and spatial inequalities of large scale rapid lateral flow SARS-CoV-2 antigen testing in COVID-19 management: An observational study of Liverpool, UK (November 2020 to January 2021)","type":"article-journal","volume":"6"},"uris":["http://www.mendeley.com/documents/?uuid=50aa7cab-c4bf-45fc-9f40-3c1b5c4095d0"]}],"mendeley":{"formattedCitation":"(20)","plainTextFormattedCitation":"(20)","previouslyFormattedCitation":"(20)"},"properties":{"noteIndex":0},"schema":"https://github.com/citation-style-language/schema/raw/master/csl-citation.json"}</w:instrText>
      </w:r>
      <w:r w:rsidR="002757BC">
        <w:fldChar w:fldCharType="separate"/>
      </w:r>
      <w:r w:rsidR="00422686" w:rsidRPr="00422686">
        <w:rPr>
          <w:noProof/>
        </w:rPr>
        <w:t>(20)</w:t>
      </w:r>
      <w:r w:rsidR="002757BC">
        <w:fldChar w:fldCharType="end"/>
      </w:r>
      <w:r w:rsidR="00264A60">
        <w:t>.</w:t>
      </w:r>
      <w:r>
        <w:t xml:space="preserve"> </w:t>
      </w:r>
      <w:bookmarkEnd w:id="2"/>
      <w:r>
        <w:t xml:space="preserve">Individuals also complete a survey about a range of demographic, social and health questions </w:t>
      </w:r>
      <w:r w:rsidR="00BE342D">
        <w:t>that</w:t>
      </w:r>
      <w:r>
        <w:t xml:space="preserve"> contextualise their circumstances. </w:t>
      </w:r>
      <w:r w:rsidR="00CE4CAA">
        <w:t xml:space="preserve">The survey and SARS-CoV-2 tests were completed together at each data collection time point. </w:t>
      </w:r>
      <w:r w:rsidR="00AD59CD">
        <w:t>There were 2,772,698 observations between 1</w:t>
      </w:r>
      <w:r w:rsidR="00AD59CD" w:rsidRPr="00AD59CD">
        <w:rPr>
          <w:vertAlign w:val="superscript"/>
        </w:rPr>
        <w:t>st</w:t>
      </w:r>
      <w:r w:rsidR="00AD59CD">
        <w:t xml:space="preserve"> May 2020 and 31</w:t>
      </w:r>
      <w:r w:rsidR="00AD59CD" w:rsidRPr="00AD59CD">
        <w:rPr>
          <w:vertAlign w:val="superscript"/>
        </w:rPr>
        <w:t>st</w:t>
      </w:r>
      <w:r w:rsidR="00AD59CD">
        <w:t xml:space="preserve"> January 2021</w:t>
      </w:r>
      <w:r w:rsidR="000C7AB1">
        <w:t xml:space="preserve"> available for analysis</w:t>
      </w:r>
      <w:r w:rsidR="00AD59CD">
        <w:t>.</w:t>
      </w:r>
    </w:p>
    <w:p w14:paraId="1C783E9F" w14:textId="0ADC2B75" w:rsidR="003E3DA8" w:rsidRDefault="00F927A6" w:rsidP="000A1B54">
      <w:pPr>
        <w:spacing w:line="480" w:lineRule="auto"/>
      </w:pPr>
      <w:r>
        <w:t>D</w:t>
      </w:r>
      <w:r w:rsidR="006A2766">
        <w:t xml:space="preserve">ata from August onwards </w:t>
      </w:r>
      <w:r w:rsidR="00AD59CD">
        <w:t xml:space="preserve">(n = 2,518,142) </w:t>
      </w:r>
      <w:r>
        <w:t xml:space="preserve">were selected </w:t>
      </w:r>
      <w:r w:rsidR="006A2766">
        <w:t>to assess trends during</w:t>
      </w:r>
      <w:r>
        <w:t xml:space="preserve"> the</w:t>
      </w:r>
      <w:r w:rsidR="006A2766">
        <w:t xml:space="preserve"> second </w:t>
      </w:r>
      <w:r w:rsidR="00F75EFD">
        <w:t>wave</w:t>
      </w:r>
      <w:r w:rsidR="006A2766">
        <w:t xml:space="preserve"> of infections</w:t>
      </w:r>
      <w:r w:rsidR="00D12AAB">
        <w:t xml:space="preserve"> in England</w:t>
      </w:r>
      <w:r w:rsidR="006A2766">
        <w:t xml:space="preserve">. </w:t>
      </w:r>
      <w:r>
        <w:t>While CIS</w:t>
      </w:r>
      <w:r w:rsidR="006A2766">
        <w:t xml:space="preserve"> started in May, </w:t>
      </w:r>
      <w:r w:rsidR="001F5381">
        <w:t xml:space="preserve">the </w:t>
      </w:r>
      <w:r w:rsidR="006A2766">
        <w:t>low infection level</w:t>
      </w:r>
      <w:r w:rsidR="00AD59CD">
        <w:t xml:space="preserve">s and </w:t>
      </w:r>
      <w:r w:rsidR="000C7AB1">
        <w:t>limited</w:t>
      </w:r>
      <w:r w:rsidR="00AD59CD">
        <w:t xml:space="preserve"> data collection between May and August</w:t>
      </w:r>
      <w:r w:rsidR="001F5381">
        <w:t xml:space="preserve"> meant we removed</w:t>
      </w:r>
      <w:r w:rsidR="00AD59CD">
        <w:t xml:space="preserve"> these data. Although August also has lo</w:t>
      </w:r>
      <w:r w:rsidR="00F75EFD">
        <w:t>w</w:t>
      </w:r>
      <w:r w:rsidR="00AD59CD">
        <w:t xml:space="preserve"> levels of infections, it was included to </w:t>
      </w:r>
      <w:r w:rsidR="00764FFE">
        <w:t xml:space="preserve">capture </w:t>
      </w:r>
      <w:r w:rsidR="001F5381">
        <w:t>any</w:t>
      </w:r>
      <w:r w:rsidR="00AD59CD">
        <w:t xml:space="preserve"> signals </w:t>
      </w:r>
      <w:r w:rsidR="00764FFE">
        <w:t>preceding the</w:t>
      </w:r>
      <w:r w:rsidR="00AD59CD">
        <w:t xml:space="preserve"> star</w:t>
      </w:r>
      <w:r w:rsidR="001F5381">
        <w:t>t of</w:t>
      </w:r>
      <w:r w:rsidR="00AD59CD">
        <w:t xml:space="preserve"> the second wave</w:t>
      </w:r>
      <w:r w:rsidR="000C7AB1">
        <w:t xml:space="preserve"> occurring in </w:t>
      </w:r>
      <w:r w:rsidR="000C7AB1">
        <w:lastRenderedPageBreak/>
        <w:t>September</w:t>
      </w:r>
      <w:r w:rsidR="006A2766">
        <w:t xml:space="preserve">. </w:t>
      </w:r>
      <w:r w:rsidR="00AD59CD">
        <w:t xml:space="preserve">Only </w:t>
      </w:r>
      <w:r w:rsidR="00AD26F0">
        <w:t xml:space="preserve">observations for </w:t>
      </w:r>
      <w:r w:rsidR="00AD59CD">
        <w:t xml:space="preserve">adults aged 18 years and over were selected for </w:t>
      </w:r>
      <w:r w:rsidR="000C7AB1">
        <w:t xml:space="preserve">the </w:t>
      </w:r>
      <w:r w:rsidR="00AD59CD">
        <w:t>analysis (</w:t>
      </w:r>
      <w:r w:rsidR="00183A99">
        <w:t>n</w:t>
      </w:r>
      <w:r w:rsidR="00AD59CD">
        <w:t xml:space="preserve"> </w:t>
      </w:r>
      <w:r w:rsidR="00183A99">
        <w:t>=</w:t>
      </w:r>
      <w:r w:rsidR="00AD59CD">
        <w:t xml:space="preserve"> </w:t>
      </w:r>
      <w:r w:rsidR="00183A99">
        <w:t>2,178,835</w:t>
      </w:r>
      <w:r w:rsidR="00AD59CD">
        <w:t>).</w:t>
      </w:r>
      <w:r w:rsidR="006A2766">
        <w:t xml:space="preserve"> </w:t>
      </w:r>
    </w:p>
    <w:p w14:paraId="4C0717BA" w14:textId="1B687238" w:rsidR="007E17C5" w:rsidRDefault="007E17C5" w:rsidP="000A1B54">
      <w:pPr>
        <w:spacing w:line="480" w:lineRule="auto"/>
      </w:pPr>
      <w:r>
        <w:t xml:space="preserve">While the CIS </w:t>
      </w:r>
      <w:r w:rsidR="000C7AB1">
        <w:t>is</w:t>
      </w:r>
      <w:r>
        <w:t xml:space="preserve"> a repeated cross-sectional survey, individuals were encouraged to take part repeatedly</w:t>
      </w:r>
      <w:r w:rsidR="000C7AB1">
        <w:t xml:space="preserve"> over time</w:t>
      </w:r>
      <w:r>
        <w:t xml:space="preserve">. </w:t>
      </w:r>
      <w:r w:rsidR="00B60B0D">
        <w:t xml:space="preserve">Participants were asked to enrol for follow-up waves, initially weekly over the first month then monthly </w:t>
      </w:r>
      <w:r w:rsidR="00F75EFD">
        <w:t>up to</w:t>
      </w:r>
      <w:r w:rsidR="00B60B0D">
        <w:t xml:space="preserve"> 13 times </w:t>
      </w:r>
      <w:r w:rsidR="00B60B0D">
        <w:fldChar w:fldCharType="begin" w:fldLock="1"/>
      </w:r>
      <w:r w:rsidR="00862209">
        <w:instrText>ADDIN CSL_CITATION {"citationItems":[{"id":"ITEM-1","itemData":{"author":[{"dropping-particle":"","family":"ONS","given":"","non-dropping-particle":"","parse-names":false,"suffix":""}],"id":"ITEM-1","issued":{"date-parts":[["2022"]]},"title":"Coronavirus (COVID-19) Infection Survey: methods and further information","type":"webpage"},"uris":["http://www.mendeley.com/documents/?uuid=1319da55-f523-4b11-ab02-8321b48286af","http://www.mendeley.com/documents/?uuid=1d276f6d-340e-439f-a2ac-b402b4848f06"]}],"mendeley":{"formattedCitation":"(18)","plainTextFormattedCitation":"(18)","previouslyFormattedCitation":"(18)"},"properties":{"noteIndex":0},"schema":"https://github.com/citation-style-language/schema/raw/master/csl-citation.json"}</w:instrText>
      </w:r>
      <w:r w:rsidR="00B60B0D">
        <w:fldChar w:fldCharType="separate"/>
      </w:r>
      <w:r w:rsidR="00422686" w:rsidRPr="00422686">
        <w:rPr>
          <w:noProof/>
        </w:rPr>
        <w:t>(18)</w:t>
      </w:r>
      <w:r w:rsidR="00B60B0D">
        <w:fldChar w:fldCharType="end"/>
      </w:r>
      <w:r w:rsidR="00B60B0D">
        <w:t xml:space="preserve">. </w:t>
      </w:r>
      <w:r w:rsidR="00F75EFD">
        <w:t>Our study</w:t>
      </w:r>
      <w:r>
        <w:t xml:space="preserve"> leverages this longitudinal design. </w:t>
      </w:r>
      <w:r w:rsidR="00941D31">
        <w:t xml:space="preserve">Attrition from the survey was low, reported as 0.62% in December 2020, supported by monthly data refreshes of new participants in response to the attrition and ensure the representativeness of the sample </w:t>
      </w:r>
      <w:r w:rsidR="00941D31">
        <w:fldChar w:fldCharType="begin" w:fldLock="1"/>
      </w:r>
      <w:r w:rsidR="00941D31">
        <w:instrText>ADDIN CSL_CITATION {"citationItems":[{"id":"ITEM-1","itemData":{"author":[{"dropping-particle":"","family":"ONS","given":"","non-dropping-particle":"","parse-names":false,"suffix":""}],"id":"ITEM-1","issued":{"date-parts":[["2022"]]},"title":"Coronavirus (COVID-19) Infection Survey: methods and further information","type":"webpage"},"uris":["http://www.mendeley.com/documents/?uuid=1319da55-f523-4b11-ab02-8321b48286af"]}],"mendeley":{"formattedCitation":"(18)","plainTextFormattedCitation":"(18)"},"properties":{"noteIndex":0},"schema":"https://github.com/citation-style-language/schema/raw/master/csl-citation.json"}</w:instrText>
      </w:r>
      <w:r w:rsidR="00941D31">
        <w:fldChar w:fldCharType="separate"/>
      </w:r>
      <w:r w:rsidR="00941D31" w:rsidRPr="00941D31">
        <w:rPr>
          <w:noProof/>
        </w:rPr>
        <w:t>(18)</w:t>
      </w:r>
      <w:r w:rsidR="00941D31">
        <w:fldChar w:fldCharType="end"/>
      </w:r>
      <w:r w:rsidR="00941D31">
        <w:t xml:space="preserve">. </w:t>
      </w:r>
      <w:r>
        <w:t xml:space="preserve">The analytical sample contained 363,651 individuals. 61% of individuals had at least one record per month (mean number of records </w:t>
      </w:r>
      <w:r w:rsidR="000C7AB1">
        <w:t xml:space="preserve">over the study period </w:t>
      </w:r>
      <w:r>
        <w:t>was 6</w:t>
      </w:r>
      <w:r w:rsidR="000C7AB1">
        <w:t>, with a</w:t>
      </w:r>
      <w:r>
        <w:t xml:space="preserve"> standard deviation</w:t>
      </w:r>
      <w:r w:rsidR="000C7AB1">
        <w:t xml:space="preserve"> of</w:t>
      </w:r>
      <w:r>
        <w:t xml:space="preserve"> 2.2). 5% of individuals had only one occurrence in the data. </w:t>
      </w:r>
      <w:r w:rsidR="000C7AB1">
        <w:t>We utilise each observation as the primary unit of analysis</w:t>
      </w:r>
      <w:r w:rsidR="00F75EFD">
        <w:t>, nested within individuals</w:t>
      </w:r>
      <w:r w:rsidR="000C7AB1">
        <w:t>.</w:t>
      </w:r>
    </w:p>
    <w:p w14:paraId="47261CBA" w14:textId="30A9B9A0" w:rsidR="00D47C09" w:rsidRDefault="00441D6E" w:rsidP="000A1B54">
      <w:pPr>
        <w:spacing w:line="480" w:lineRule="auto"/>
      </w:pPr>
      <w:r>
        <w:t>The outcome variable for our analysis was whether an individual ha</w:t>
      </w:r>
      <w:r w:rsidR="000C7AB1">
        <w:t>d</w:t>
      </w:r>
      <w:r>
        <w:t xml:space="preserve"> </w:t>
      </w:r>
      <w:r w:rsidR="001F5381">
        <w:t xml:space="preserve">a positive SARS-CoV-2 </w:t>
      </w:r>
      <w:proofErr w:type="gramStart"/>
      <w:r>
        <w:t xml:space="preserve">test  </w:t>
      </w:r>
      <w:r w:rsidR="000C7AB1">
        <w:t>o</w:t>
      </w:r>
      <w:r>
        <w:t>r</w:t>
      </w:r>
      <w:proofErr w:type="gramEnd"/>
      <w:r>
        <w:t xml:space="preserve"> not (binary). </w:t>
      </w:r>
      <w:r w:rsidR="00B60CCB">
        <w:t xml:space="preserve">Tests were nose and </w:t>
      </w:r>
      <w:r w:rsidR="00F75EFD">
        <w:t xml:space="preserve">throat </w:t>
      </w:r>
      <w:r w:rsidR="00B60CCB">
        <w:t xml:space="preserve">swabs self-administered by </w:t>
      </w:r>
      <w:r w:rsidR="00B60B0D">
        <w:t>participants</w:t>
      </w:r>
      <w:r w:rsidR="00B60CCB">
        <w:t xml:space="preserve"> and </w:t>
      </w:r>
      <w:r w:rsidR="004E6A15">
        <w:t>posted for analysis at a hub laboratory</w:t>
      </w:r>
      <w:r w:rsidR="00B60CCB">
        <w:t xml:space="preserve">. Swabs were tested for </w:t>
      </w:r>
      <w:r w:rsidR="00B60CCB" w:rsidRPr="00B60CCB">
        <w:t>SARS-CoV-2 using reverse transcript</w:t>
      </w:r>
      <w:r w:rsidR="00A769C8">
        <w:t>ion</w:t>
      </w:r>
      <w:r w:rsidR="00B60CCB" w:rsidRPr="00B60CCB">
        <w:t xml:space="preserve"> polymerase chain reaction</w:t>
      </w:r>
      <w:r w:rsidR="00B60B0D">
        <w:t xml:space="preserve"> (PCR) tests </w:t>
      </w:r>
      <w:r w:rsidR="00B60B0D">
        <w:fldChar w:fldCharType="begin" w:fldLock="1"/>
      </w:r>
      <w:r w:rsidR="00862209">
        <w:instrText>ADDIN CSL_CITATION {"citationItems":[{"id":"ITEM-1","itemData":{"author":[{"dropping-particle":"","family":"ONS","given":"","non-dropping-particle":"","parse-names":false,"suffix":""}],"id":"ITEM-1","issued":{"date-parts":[["2022"]]},"title":"Coronavirus (COVID-19) Infection Survey: methods and further information","type":"webpage"},"uris":["http://www.mendeley.com/documents/?uuid=1319da55-f523-4b11-ab02-8321b48286af","http://www.mendeley.com/documents/?uuid=1d276f6d-340e-439f-a2ac-b402b4848f06"]}],"mendeley":{"formattedCitation":"(18)","plainTextFormattedCitation":"(18)","previouslyFormattedCitation":"(18)"},"properties":{"noteIndex":0},"schema":"https://github.com/citation-style-language/schema/raw/master/csl-citation.json"}</w:instrText>
      </w:r>
      <w:r w:rsidR="00B60B0D">
        <w:fldChar w:fldCharType="separate"/>
      </w:r>
      <w:r w:rsidR="00422686" w:rsidRPr="00422686">
        <w:rPr>
          <w:noProof/>
        </w:rPr>
        <w:t>(18)</w:t>
      </w:r>
      <w:r w:rsidR="00B60B0D">
        <w:fldChar w:fldCharType="end"/>
      </w:r>
      <w:r w:rsidR="00B60CCB">
        <w:t xml:space="preserve">. </w:t>
      </w:r>
      <w:r>
        <w:t>Tests recorded as ‘void’ or ‘insufficient’ were excluded from the analysis.</w:t>
      </w:r>
      <w:r w:rsidR="00EE50C8">
        <w:t xml:space="preserve"> </w:t>
      </w:r>
    </w:p>
    <w:p w14:paraId="1C28E377" w14:textId="77777777" w:rsidR="00D47C09" w:rsidRDefault="00D47C09" w:rsidP="000A1B54">
      <w:pPr>
        <w:spacing w:line="480" w:lineRule="auto"/>
      </w:pPr>
      <w:r>
        <w:t xml:space="preserve">We selected two measures of occupation and work as our primary measures of interest. First, </w:t>
      </w:r>
      <w:r w:rsidRPr="00D47C09">
        <w:rPr>
          <w:i/>
        </w:rPr>
        <w:t>employment status</w:t>
      </w:r>
      <w:r>
        <w:t xml:space="preserve"> </w:t>
      </w:r>
      <w:r w:rsidR="00B36C65">
        <w:t>was chosen to</w:t>
      </w:r>
      <w:r>
        <w:t xml:space="preserve"> represent an individual’s primary employment circumstances as an aggregate measure of work-related risk. Categories were employed, self-employed, furloughed (i.e., individuals temporarily not working), student, or not working (e.g., retired, economically inactive, unemployed). </w:t>
      </w:r>
      <w:r w:rsidR="00B36C65">
        <w:t xml:space="preserve">Second, focusing on just individuals who are currently working either employed or self-employed, we also consider </w:t>
      </w:r>
      <w:r w:rsidR="00B36C65">
        <w:rPr>
          <w:i/>
        </w:rPr>
        <w:t>w</w:t>
      </w:r>
      <w:r w:rsidRPr="00B36C65">
        <w:rPr>
          <w:i/>
        </w:rPr>
        <w:t>ork sector</w:t>
      </w:r>
      <w:r w:rsidR="00B36C65">
        <w:t>.</w:t>
      </w:r>
      <w:r>
        <w:t xml:space="preserve"> 15 categories of </w:t>
      </w:r>
      <w:r w:rsidRPr="00DF0893">
        <w:rPr>
          <w:i/>
        </w:rPr>
        <w:t>occupational sectors</w:t>
      </w:r>
      <w:r>
        <w:t xml:space="preserve"> (e.g. teaching and education, health care, retail sector) were used to assess differences in COVID-19 risk by type of work. Low sample sizes for specific occupations meant they were less suitable for the analysis. Descriptions of each work sector can be found in Appendix Table A. </w:t>
      </w:r>
    </w:p>
    <w:p w14:paraId="67AB022D" w14:textId="3D3001A6" w:rsidR="00441D6E" w:rsidRDefault="00B36C65" w:rsidP="000A1B54">
      <w:pPr>
        <w:spacing w:line="480" w:lineRule="auto"/>
      </w:pPr>
      <w:r>
        <w:lastRenderedPageBreak/>
        <w:t>Additional e</w:t>
      </w:r>
      <w:r w:rsidR="00441D6E">
        <w:t>xplanatory variables were selected based on key factors that may help to explain occupational differences in COVID-19</w:t>
      </w:r>
      <w:r>
        <w:t xml:space="preserve"> </w:t>
      </w:r>
      <w:r w:rsidR="001F5381">
        <w:t>included</w:t>
      </w:r>
      <w:r>
        <w:t>:</w:t>
      </w:r>
    </w:p>
    <w:p w14:paraId="267F7029" w14:textId="4EBCB438" w:rsidR="00013BD5" w:rsidRDefault="00013BD5" w:rsidP="000A1B54">
      <w:pPr>
        <w:pStyle w:val="ListParagraph"/>
        <w:numPr>
          <w:ilvl w:val="0"/>
          <w:numId w:val="2"/>
        </w:numPr>
        <w:spacing w:line="480" w:lineRule="auto"/>
      </w:pPr>
      <w:r w:rsidRPr="00EE50C8">
        <w:rPr>
          <w:i/>
        </w:rPr>
        <w:t>Age</w:t>
      </w:r>
      <w:r w:rsidR="00EE50C8">
        <w:rPr>
          <w:i/>
        </w:rPr>
        <w:t xml:space="preserve"> </w:t>
      </w:r>
      <w:r>
        <w:t xml:space="preserve">– </w:t>
      </w:r>
      <w:r w:rsidR="000C7AB1">
        <w:t>i</w:t>
      </w:r>
      <w:r>
        <w:t xml:space="preserve">ncluded to assess differences in risk by age, due to evidence that younger population groups were more likely to have </w:t>
      </w:r>
      <w:r w:rsidR="001F5381">
        <w:t xml:space="preserve">a positive SARS-CoV-2 </w:t>
      </w:r>
      <w:r>
        <w:t>test and older age groups more likely to have experienced severe harms relating to COVID-19</w:t>
      </w:r>
      <w:r w:rsidR="00E94B4B">
        <w:t xml:space="preserve"> </w:t>
      </w:r>
      <w:r w:rsidR="00E94B4B">
        <w:fldChar w:fldCharType="begin" w:fldLock="1"/>
      </w:r>
      <w:r w:rsidR="00862209">
        <w:instrText>ADDIN CSL_CITATION {"citationItems":[{"id":"ITEM-1","itemData":{"DOI":"10.1136/bmj.m1985","abstract":"Objective To characterise the clinical features of patients admitted to hospital with coronavirus disease 2019 (covid-19) in the United Kingdom during the growth phase of the first wave of this outbreak who were enrolled in the International Severe Acute Respiratory and emerging Infections Consortium (ISARIC) World Health Organization (WHO) Clinical Characterisation Protocol UK (CCP-UK) study, and to explore risk factors associated with mortality in hospital.Design Prospective observational cohort study with rapid data gathering and near real time analysis.Setting 208 acute care hospitals in England, Wales, and Scotland between 6 February and 19 April 2020. A case report form developed by ISARIC and WHO was used to collect clinical data. A minimal follow-up time of two weeks (to 3 May 2020) allowed most patients to complete their hospital admission.Participants 20 133 hospital inpatients with covid-19.Main outcome measures Admission to critical care (high dependency unit or intensive care unit) and mortality in hospital.Results The median age of patients admitted to hospital with covid-19, or with a diagnosis of covid-19 made in hospital, was 73 years (interquartile range 58-82, range 0-104). More men were admitted than women (men 60%, n=12 068; women 40%, n=8065). The median duration of symptoms before admission was 4 days (interquartile range 1-8). The commonest comorbidities were chronic cardiac disease (31%, 5469/17 702), uncomplicated diabetes (21%, 3650/17 599), non-asthmatic chronic pulmonary disease (18%, 3128/17 634), and chronic kidney disease (16%, 2830/17 506); 23% (4161/18 525) had no reported major comorbidity. Overall, 41% (8199/20 133) of patients were discharged alive, 26% (5165/20 133) died, and 34% (6769/20 133) continued to receive care at the reporting date. 17% (3001/18 183) required admission to high dependency or intensive care units; of these, 28% (826/3001) were discharged alive, 32% (958/3001) died, and 41% (1217/3001) continued to receive care at the reporting date. Of those receiving mechanical ventilation, 17% (276/1658) were discharged alive, 37% (618/1658) died, and 46% (764/1658) remained in hospital. Increasing age, male sex, and comorbidities including chronic cardiac disease, non-asthmatic chronic pulmonary disease, chronic kidney disease, liver disease and obesity were associated with higher mortality in hospital.Conclusions ISARIC WHO CCP-UK is a large prospective cohort study of patients in hospital with covid-19. …","author":[{"dropping-particle":"","family":"Docherty","given":"Annemarie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S","non-dropping-particle":"","parse-names":false,"suffix":""},{"dropping-particle":"","family":"Ho","given":"Antonia","non-dropping-particle":"","parse-names":false,"suffix":""},{"dropping-particle":"","family":"Russell","given":"Clark D","non-dropping-particle":"","parse-names":false,"suffix":""},{"dropping-particle":"","family":"Dunning","given":"Jake","non-dropping-particle":"","parse-names":false,"suffix":""},{"dropping-particle":"","family":"Openshaw","given":"Peter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Kenneth","non-dropping-particle":"","parse-names":false,"suffix":""},{"dropping-particle":"","family":"Semple","given":"Malcolm G","non-dropping-particle":"","parse-names":false,"suffix":""}],"container-title":"BMJ","id":"ITEM-1","issued":{"date-parts":[["2020"]]},"title":"Features of 20 133 UK patients in hospital with covid-19 using the ISARIC WHO Clinical Characterisation Protocol: prospective observational cohort study","type":"article-journal","volume":"369"},"uris":["http://www.mendeley.com/documents/?uuid=3ed74849-c03a-45b0-ae7f-aa16b5714289","http://www.mendeley.com/documents/?uuid=212bcd8d-2a5b-45d7-9393-ef20c10037ab"]},{"id":"ITEM-2","itemData":{"URL":"https://assets.publishing.service.gov.uk/government/uploads/system/uploads/attachment_data/file/908434/Disparities_in_the_risk_and_outcomes_of_COVID_August_2020_update.pdf","author":[{"dropping-particle":"","family":"Public Health England","given":"","non-dropping-particle":"","parse-names":false,"suffix":""}],"id":"ITEM-2","issued":{"date-parts":[["2020"]]},"title":"Disparities in the risk and outcomes of COVID-19","type":"webpage"},"uris":["http://www.mendeley.com/documents/?uuid=e2fab306-a9dc-4f9f-9268-c1a36ffb67c0","http://www.mendeley.com/documents/?uuid=8d5900ab-1bf2-484a-8f3f-811bcd3ee4a6","http://www.mendeley.com/documents/?uuid=2b06f035-4d7e-4d2c-8654-fef2b65fd12c"]}],"mendeley":{"formattedCitation":"(2,4)","plainTextFormattedCitation":"(2,4)","previouslyFormattedCitation":"(2,4)"},"properties":{"noteIndex":0},"schema":"https://github.com/citation-style-language/schema/raw/master/csl-citation.json"}</w:instrText>
      </w:r>
      <w:r w:rsidR="00E94B4B">
        <w:fldChar w:fldCharType="separate"/>
      </w:r>
      <w:r w:rsidR="000A1B54" w:rsidRPr="000A1B54">
        <w:rPr>
          <w:noProof/>
        </w:rPr>
        <w:t>(2,4)</w:t>
      </w:r>
      <w:r w:rsidR="00E94B4B">
        <w:fldChar w:fldCharType="end"/>
      </w:r>
      <w:r w:rsidR="000C7AB1">
        <w:t xml:space="preserve">. Age is used both in its raw value, as well as squared to account for </w:t>
      </w:r>
      <w:r w:rsidR="00EE50C8">
        <w:t xml:space="preserve">possible </w:t>
      </w:r>
      <w:r w:rsidR="000C7AB1">
        <w:t>non-linear effects.</w:t>
      </w:r>
    </w:p>
    <w:p w14:paraId="01FE9962" w14:textId="0705560D" w:rsidR="00013BD5" w:rsidRDefault="00013BD5" w:rsidP="000A1B54">
      <w:pPr>
        <w:pStyle w:val="ListParagraph"/>
        <w:numPr>
          <w:ilvl w:val="0"/>
          <w:numId w:val="2"/>
        </w:numPr>
        <w:spacing w:line="480" w:lineRule="auto"/>
      </w:pPr>
      <w:r w:rsidRPr="00EE50C8">
        <w:rPr>
          <w:i/>
        </w:rPr>
        <w:t>Sex</w:t>
      </w:r>
      <w:r w:rsidR="003A6DA9">
        <w:t xml:space="preserve"> </w:t>
      </w:r>
      <w:r>
        <w:t>–</w:t>
      </w:r>
      <w:r w:rsidR="003A6DA9">
        <w:t xml:space="preserve"> i</w:t>
      </w:r>
      <w:r>
        <w:t xml:space="preserve">ncluded to assess </w:t>
      </w:r>
      <w:r w:rsidR="003A6DA9">
        <w:t>the differences in factors affecting males and females differently</w:t>
      </w:r>
      <w:r w:rsidR="00E94B4B">
        <w:t xml:space="preserve"> </w:t>
      </w:r>
      <w:r w:rsidR="00E94B4B">
        <w:fldChar w:fldCharType="begin" w:fldLock="1"/>
      </w:r>
      <w:r w:rsidR="00862209">
        <w:instrText>ADDIN CSL_CITATION {"citationItems":[{"id":"ITEM-1","itemData":{"DOI":"10.1136/bmj.m1985","abstract":"Objective To characterise the clinical features of patients admitted to hospital with coronavirus disease 2019 (covid-19) in the United Kingdom during the growth phase of the first wave of this outbreak who were enrolled in the International Severe Acute Respiratory and emerging Infections Consortium (ISARIC) World Health Organization (WHO) Clinical Characterisation Protocol UK (CCP-UK) study, and to explore risk factors associated with mortality in hospital.Design Prospective observational cohort study with rapid data gathering and near real time analysis.Setting 208 acute care hospitals in England, Wales, and Scotland between 6 February and 19 April 2020. A case report form developed by ISARIC and WHO was used to collect clinical data. A minimal follow-up time of two weeks (to 3 May 2020) allowed most patients to complete their hospital admission.Participants 20 133 hospital inpatients with covid-19.Main outcome measures Admission to critical care (high dependency unit or intensive care unit) and mortality in hospital.Results The median age of patients admitted to hospital with covid-19, or with a diagnosis of covid-19 made in hospital, was 73 years (interquartile range 58-82, range 0-104). More men were admitted than women (men 60%, n=12 068; women 40%, n=8065). The median duration of symptoms before admission was 4 days (interquartile range 1-8). The commonest comorbidities were chronic cardiac disease (31%, 5469/17 702), uncomplicated diabetes (21%, 3650/17 599), non-asthmatic chronic pulmonary disease (18%, 3128/17 634), and chronic kidney disease (16%, 2830/17 506); 23% (4161/18 525) had no reported major comorbidity. Overall, 41% (8199/20 133) of patients were discharged alive, 26% (5165/20 133) died, and 34% (6769/20 133) continued to receive care at the reporting date. 17% (3001/18 183) required admission to high dependency or intensive care units; of these, 28% (826/3001) were discharged alive, 32% (958/3001) died, and 41% (1217/3001) continued to receive care at the reporting date. Of those receiving mechanical ventilation, 17% (276/1658) were discharged alive, 37% (618/1658) died, and 46% (764/1658) remained in hospital. Increasing age, male sex, and comorbidities including chronic cardiac disease, non-asthmatic chronic pulmonary disease, chronic kidney disease, liver disease and obesity were associated with higher mortality in hospital.Conclusions ISARIC WHO CCP-UK is a large prospective cohort study of patients in hospital with covid-19. …","author":[{"dropping-particle":"","family":"Docherty","given":"Annemarie B","non-dropping-particle":"","parse-names":false,"suffix":""},{"dropping-particle":"","family":"Harrison","given":"Ewen M","non-dropping-particle":"","parse-names":false,"suffix":""},{"dropping-particle":"","family":"Green","given":"Christopher A","non-dropping-particle":"","parse-names":false,"suffix":""},{"dropping-particle":"","family":"Hardwick","given":"Hayley E","non-dropping-particle":"","parse-names":false,"suffix":""},{"dropping-particle":"","family":"Pius","given":"Riinu","non-dropping-particle":"","parse-names":false,"suffix":""},{"dropping-particle":"","family":"Norman","given":"Lisa","non-dropping-particle":"","parse-names":false,"suffix":""},{"dropping-particle":"","family":"Holden","given":"Karl A","non-dropping-particle":"","parse-names":false,"suffix":""},{"dropping-particle":"","family":"Read","given":"Jonathan M","non-dropping-particle":"","parse-names":false,"suffix":""},{"dropping-particle":"","family":"Dondelinger","given":"Frank","non-dropping-particle":"","parse-names":false,"suffix":""},{"dropping-particle":"","family":"Carson","given":"Gail","non-dropping-particle":"","parse-names":false,"suffix":""},{"dropping-particle":"","family":"Merson","given":"Laura","non-dropping-particle":"","parse-names":false,"suffix":""},{"dropping-particle":"","family":"Lee","given":"James","non-dropping-particle":"","parse-names":false,"suffix":""},{"dropping-particle":"","family":"Plotkin","given":"Daniel","non-dropping-particle":"","parse-names":false,"suffix":""},{"dropping-particle":"","family":"Sigfrid","given":"Louise","non-dropping-particle":"","parse-names":false,"suffix":""},{"dropping-particle":"","family":"Halpin","given":"Sophie","non-dropping-particle":"","parse-names":false,"suffix":""},{"dropping-particle":"","family":"Jackson","given":"Clare","non-dropping-particle":"","parse-names":false,"suffix":""},{"dropping-particle":"","family":"Gamble","given":"Carrol","non-dropping-particle":"","parse-names":false,"suffix":""},{"dropping-particle":"","family":"Horby","given":"Peter W","non-dropping-particle":"","parse-names":false,"suffix":""},{"dropping-particle":"","family":"Nguyen-Van-Tam","given":"Jonathan S","non-dropping-particle":"","parse-names":false,"suffix":""},{"dropping-particle":"","family":"Ho","given":"Antonia","non-dropping-particle":"","parse-names":false,"suffix":""},{"dropping-particle":"","family":"Russell","given":"Clark D","non-dropping-particle":"","parse-names":false,"suffix":""},{"dropping-particle":"","family":"Dunning","given":"Jake","non-dropping-particle":"","parse-names":false,"suffix":""},{"dropping-particle":"","family":"Openshaw","given":"Peter J M","non-dropping-particle":"","parse-names":false,"suffix":""},{"dropping-particle":"","family":"Baillie","given":"J Kenneth","non-dropping-particle":"","parse-names":false,"suffix":""},{"dropping-particle":"","family":"Semple","given":"Malcolm G","non-dropping-particle":"","parse-names":false,"suffix":""}],"container-title":"BMJ","id":"ITEM-1","issued":{"date-parts":[["2020"]]},"title":"Features of 20 133 UK patients in hospital with covid-19 using the ISARIC WHO Clinical Characterisation Protocol: prospective observational cohort study","type":"article-journal","volume":"369"},"uris":["http://www.mendeley.com/documents/?uuid=3ed74849-c03a-45b0-ae7f-aa16b5714289","http://www.mendeley.com/documents/?uuid=212bcd8d-2a5b-45d7-9393-ef20c10037ab"]},{"id":"ITEM-2","itemData":{"URL":"https://assets.publishing.service.gov.uk/government/uploads/system/uploads/attachment_data/file/908434/Disparities_in_the_risk_and_outcomes_of_COVID_August_2020_update.pdf","author":[{"dropping-particle":"","family":"Public Health England","given":"","non-dropping-particle":"","parse-names":false,"suffix":""}],"id":"ITEM-2","issued":{"date-parts":[["2020"]]},"title":"Disparities in the risk and outcomes of COVID-19","type":"webpage"},"uris":["http://www.mendeley.com/documents/?uuid=e2fab306-a9dc-4f9f-9268-c1a36ffb67c0","http://www.mendeley.com/documents/?uuid=8d5900ab-1bf2-484a-8f3f-811bcd3ee4a6","http://www.mendeley.com/documents/?uuid=5f5cb361-52fe-4c03-8c9e-05bc512fbca8"]}],"mendeley":{"formattedCitation":"(2,4)","plainTextFormattedCitation":"(2,4)","previouslyFormattedCitation":"(2,4)"},"properties":{"noteIndex":0},"schema":"https://github.com/citation-style-language/schema/raw/master/csl-citation.json"}</w:instrText>
      </w:r>
      <w:r w:rsidR="00E94B4B">
        <w:fldChar w:fldCharType="separate"/>
      </w:r>
      <w:r w:rsidR="000A1B54" w:rsidRPr="000A1B54">
        <w:rPr>
          <w:noProof/>
        </w:rPr>
        <w:t>(2,4)</w:t>
      </w:r>
      <w:r w:rsidR="00E94B4B">
        <w:fldChar w:fldCharType="end"/>
      </w:r>
      <w:r w:rsidR="00EE50C8">
        <w:t>.</w:t>
      </w:r>
      <w:r w:rsidR="003A6DA9">
        <w:t xml:space="preserve"> </w:t>
      </w:r>
    </w:p>
    <w:p w14:paraId="1F4EF8D4" w14:textId="76A9D63A" w:rsidR="00013BD5" w:rsidRDefault="00013BD5" w:rsidP="000A1B54">
      <w:pPr>
        <w:pStyle w:val="ListParagraph"/>
        <w:numPr>
          <w:ilvl w:val="0"/>
          <w:numId w:val="2"/>
        </w:numPr>
        <w:spacing w:line="480" w:lineRule="auto"/>
      </w:pPr>
      <w:r w:rsidRPr="00EE50C8">
        <w:rPr>
          <w:i/>
        </w:rPr>
        <w:t>Ethnicity</w:t>
      </w:r>
      <w:r>
        <w:t xml:space="preserve"> - </w:t>
      </w:r>
      <w:r w:rsidR="003A6DA9">
        <w:t>s</w:t>
      </w:r>
      <w:r>
        <w:t>elected due to inequalities in social and health impacts of COVID-19 disproportionally affecting non</w:t>
      </w:r>
      <w:r w:rsidR="00C73C41">
        <w:t xml:space="preserve"> </w:t>
      </w:r>
      <w:r>
        <w:t>White British populations</w:t>
      </w:r>
      <w:r w:rsidR="00C73C41">
        <w:t xml:space="preserve"> </w:t>
      </w:r>
      <w:r w:rsidR="00E94B4B">
        <w:fldChar w:fldCharType="begin" w:fldLock="1"/>
      </w:r>
      <w:r w:rsidR="00862209">
        <w:instrText>ADDIN CSL_CITATION {"citationItems":[{"id":"ITEM-1","itemData":{"DOI":"https://doi.org/10.1111/1475-5890.12228","abstract":"Abstract The economic and public health crisis created by the COVID-19 pandemic has exposed existing inequalities between ethnic groups in England and Wales, as well as creating new ones. We draw on current mortality and case data, alongside pre-crisis labour force data, to investigate the relative vulnerability of different ethnic groups to adverse health and economic impacts. After accounting for differences in population structure and regional concentration, we show that most minority groups suffered excess mortality compared with the white British majority group. Differences in underlying health conditions such as diabetes may play a role; so too may occupational exposure to the virus, given the very different labour market profiles of ethnic groups. Distinctive patterns of occupational concentration also highlight the vulnerability of some groups to the economic consequences of social distancing measures, with Bangladeshi and Pakistani men particularly likely to be employed in occupations directly affected by the UK's ‘lockdown’. We show that differences in household structures and inequalities in access to savings mean that a number of minority groups are also less able to weather short-term shocks to their income. Documenting these immediate consequences of the crisis reveals the potential for inequalities to become entrenched in the longer term.","author":[{"dropping-particle":"","family":"Platt","given":"Lucinda","non-dropping-particle":"","parse-names":false,"suffix":""},{"dropping-particle":"","family":"Warwick","given":"Ross","non-dropping-particle":"","parse-names":false,"suffix":""}],"container-title":"Fiscal Studies","id":"ITEM-1","issue":"2","issued":{"date-parts":[["2020"]]},"page":"259-289","title":"COVID-19 and Ethnic Inequalities in England and Wales","type":"article-journal","volume":"41"},"uris":["http://www.mendeley.com/documents/?uuid=9bd1e7ac-5eb3-4784-aa61-a705ea0bd8fe","http://www.mendeley.com/documents/?uuid=701bfcbf-082f-4c65-a866-ecd147072856"]},{"id":"ITEM-2","itemData":{"URL":"https://assets.publishing.service.gov.uk/government/uploads/system/uploads/attachment_data/file/908434/Disparities_in_the_risk_and_outcomes_of_COVID_August_2020_update.pdf","author":[{"dropping-particle":"","family":"Public Health England","given":"","non-dropping-particle":"","parse-names":false,"suffix":""}],"id":"ITEM-2","issued":{"date-parts":[["2020"]]},"title":"Disparities in the risk and outcomes of COVID-19","type":"webpage"},"uris":["http://www.mendeley.com/documents/?uuid=e2fab306-a9dc-4f9f-9268-c1a36ffb67c0","http://www.mendeley.com/documents/?uuid=8d5900ab-1bf2-484a-8f3f-811bcd3ee4a6","http://www.mendeley.com/documents/?uuid=5d15b9a7-e764-4541-ac5a-b9ec45499c4f"]},{"id":"ITEM-3","itemData":{"URL":"https://www.gov.uk/government/publications/second-quarterly-report-on-progress-to-address-covid-19-health-inequalities","author":[{"dropping-particle":"","family":"HM Government","given":"","non-dropping-particle":"","parse-names":false,"suffix":""}],"id":"ITEM-3","issued":{"date-parts":[["2021"]]},"title":"Second quarterly report on progress to address COVID-19 health inequalities","type":"webpage"},"uris":["http://www.mendeley.com/documents/?uuid=3df5855a-19ea-4e5c-8510-e457ede6e32b","http://www.mendeley.com/documents/?uuid=c7794d96-6544-41f0-b70b-ae4d1fa6f78b","http://www.mendeley.com/documents/?uuid=76498874-548b-4897-bddc-fc42b22bcfca"]},{"id":"ITEM-4","itemData":{"author":[{"dropping-particle":"","family":"Harrison","given":"Ewen M","non-dropping-particle":"","parse-names":false,"suffix":""},{"dropping-particle":"","family":"Docherty","given":"Annemarie B","non-dropping-particle":"","parse-names":false,"suffix":""},{"dropping-particle":"","family":"Barr","given":"Benjamin","non-dropping-particle":"","parse-names":false,"suffix":""},{"dropping-particle":"","family":"Buchan","given":"Iain","non-dropping-particle":"","parse-names":false,"suffix":""},{"dropping-particle":"","family":"Carson","given":"Gail","non-dropping-particle":"","parse-names":false,"suffix":""},{"dropping-particle":"","family":"Drake","given":"Tom M","non-dropping-particle":"","parse-names":false,"suffix":""},{"dropping-particle":"","family":"Dunning","given":"Jake","non-dropping-particle":"","parse-names":false,"suffix":""},{"dropping-particle":"","family":"Fairfield","given":"Cameron J","non-dropping-particle":"","parse-names":false,"suffix":""},{"dropping-particle":"","family":"Gamble","given":"Carrol","non-dropping-particle":"","parse-names":false,"suffix":""},{"dropping-particle":"","family":"Green","given":"Christopher A","non-dropping-particle":"","parse-names":false,"suffix":""},{"dropping-particle":"","family":"Griffiths","given":"Chris","non-dropping-particle":"","parse-names":false,"suffix":""},{"dropping-particle":"","family":"Halpin","given":"Sophie","non-dropping-particle":"","parse-names":false,"suffix":""},{"dropping-particle":"","family":"Hardwick","given":"Hayley E","non-dropping-particle":"","parse-names":false,"suffix":""},{"dropping-particle":"","family":"Ho","given":"Antonia","non-dropping-particle":"","parse-names":false,"suffix":""},{"dropping-particle":"","family":"Holden","given":"Karl A","non-dropping-particle":"","parse-names":false,"suffix":""},{"dropping-particle":"","family":"Hollinghurst","given":"Joe","non-dropping-particle":"","parse-names":false,"suffix":""},{"dropping-particle":"","family":"Horby","given":"Peter W","non-dropping-particle":"","parse-names":false,"suffix":""},{"dropping-particle":"","family":"Jackson","given":"Clare","non-dropping-particle":"","parse-names":false,"suffix":""},{"dropping-particle":"","family":"Katikireddi","given":"Srinivasa Vittal","non-dropping-particle":"","parse-names":false,"suffix":""},{"dropping-particle":"","family":"Knight","given":"Stephen","non-dropping-particle":"","parse-names":false,"suffix":""},{"dropping-particle":"","family":"Lyons","given":"Ronan A","non-dropping-particle":"","parse-names":false,"suffix":""},{"dropping-particle":"","family":"MacMahon","given":"James","non-dropping-particle":"","parse-names":false,"suffix":""},{"dropping-particle":"","family":"Mclean","given":"Kenneth A","non-dropping-particle":"","parse-names":false,"suffix":""},{"dropping-particle":"","family":"Merson","given":"Laura","non-dropping-particle":"","parse-names":false,"suffix":""},{"dropping-particle":"","family":"Murphy","given":"Derek","non-dropping-particle":"","parse-names":false,"suffix":""},{"dropping-particle":"","family":"Nguyen-Van-Tam","given":"Jonathan S","non-dropping-particle":"","parse-names":false,"suffix":""},{"dropping-particle":"","family":"Norman","given":"Lisa","non-dropping-particle":"","parse-names":false,"suffix":""},{"dropping-particle":"","family":"Olliaro","given":"Piero L","non-dropping-particle":"","parse-names":false,"suffix":""},{"dropping-particle":"","family":"Pareek","given":"Manish","non-dropping-particle":"","parse-names":false,"suffix":""},{"dropping-particle":"","family":"Piroddi","given":"Roberta","non-dropping-particle":"","parse-names":false,"suffix":""},{"dropping-particle":"","family":"Pius","given":"Riinu","non-dropping-particle":"","parse-names":false,"suffix":""},{"dropping-particle":"","family":"Read","given":"Jonathan M","non-dropping-particle":"","parse-names":false,"suffix":""},{"dropping-particle":"","family":"Russell","given":"Clark D","non-dropping-particle":"","parse-names":false,"suffix":""},{"dropping-particle":"","family":"Sattar","given":"Naveed","non-dropping-particle":"","parse-names":false,"suffix":""},{"dropping-particle":"","family":"Shaw","given":"Catherine A","non-dropping-particle":"","parse-names":false,"suffix":""},{"dropping-particle":"","family":"Sheikh","given":"Aziz","non-dropping-particle":"","parse-names":false,"suffix":""},{"dropping-particle":"","family":"Sinha","given":"Ian P","non-dropping-particle":"","parse-names":false,"suffix":""},{"dropping-particle":"","family":"Swann","given":"Olivia","non-dropping-particle":"","parse-names":false,"suffix":""},{"dropping-particle":"","family":"Taylor-Robinson","given":"David","non-dropping-particle":"","parse-names":false,"suffix":""},{"dropping-particle":"","family":"Thomas","given":"Daniel","non-dropping-particle":"","parse-names":false,"suffix":""},{"dropping-particle":"","family":"Turtle","given":"Lance","non-dropping-particle":"","parse-names":false,"suffix":""},{"dropping-particle":"","family":"Openshaw","given":"Peter JM","non-dropping-particle":"","parse-names":false,"suffix":""},{"dropping-particle":"","family":"Baillie","given":"J. Kenneth","non-dropping-particle":"","parse-names":false,"suffix":""},{"dropping-particle":"","family":"Semple","given":"Malcolm G","non-dropping-particle":"","parse-names":false,"suffix":""},{"dropping-particle":"","family":"ISARIC4C Investigators","given":"","non-dropping-particle":"","parse-names":false,"suffix":""}],"container-title":"SSRN","id":"ITEM-4","issued":{"date-parts":[["2021"]]},"title":"Ethnicity and Outcomes from COVID-19: The ISARIC CCP-UK Prospective Observational Cohort Study of Hospitalised Patients","type":"article-journal"},"uris":["http://www.mendeley.com/documents/?uuid=ecab95a7-4bda-4484-ba86-7b6980af0ab0","http://www.mendeley.com/documents/?uuid=266e1b13-4198-4aaf-b53f-b1b0ecfe8968","http://www.mendeley.com/documents/?uuid=a54b5f15-d360-45cc-a794-f171aab6ced2"]}],"mendeley":{"formattedCitation":"(1–3,6)","plainTextFormattedCitation":"(1–3,6)","previouslyFormattedCitation":"(1–3,6)"},"properties":{"noteIndex":0},"schema":"https://github.com/citation-style-language/schema/raw/master/csl-citation.json"}</w:instrText>
      </w:r>
      <w:r w:rsidR="00E94B4B">
        <w:fldChar w:fldCharType="separate"/>
      </w:r>
      <w:r w:rsidR="000A1B54" w:rsidRPr="000A1B54">
        <w:rPr>
          <w:noProof/>
        </w:rPr>
        <w:t>(1–3,6)</w:t>
      </w:r>
      <w:r w:rsidR="00E94B4B">
        <w:fldChar w:fldCharType="end"/>
      </w:r>
      <w:r>
        <w:t>.</w:t>
      </w:r>
      <w:r w:rsidR="003A6DA9">
        <w:t xml:space="preserve"> Ethnic groups were kept as specific groups where possible, although some groups were </w:t>
      </w:r>
      <w:r w:rsidR="00EE50C8">
        <w:t>combined</w:t>
      </w:r>
      <w:r w:rsidR="003A6DA9">
        <w:t xml:space="preserve"> together to ensure sufficient sample sizes</w:t>
      </w:r>
      <w:r w:rsidR="00EE50C8">
        <w:t xml:space="preserve"> and avoid data disclosure issues</w:t>
      </w:r>
      <w:r w:rsidR="003A6DA9">
        <w:t>.</w:t>
      </w:r>
    </w:p>
    <w:p w14:paraId="33ACA7A6" w14:textId="4D68E5C0" w:rsidR="00013BD5" w:rsidRDefault="003A6DA9" w:rsidP="000A1B54">
      <w:pPr>
        <w:pStyle w:val="ListParagraph"/>
        <w:numPr>
          <w:ilvl w:val="0"/>
          <w:numId w:val="2"/>
        </w:numPr>
        <w:spacing w:line="480" w:lineRule="auto"/>
      </w:pPr>
      <w:r w:rsidRPr="00EE50C8">
        <w:rPr>
          <w:i/>
        </w:rPr>
        <w:t>Number of people within a h</w:t>
      </w:r>
      <w:r w:rsidR="00013BD5" w:rsidRPr="00EE50C8">
        <w:rPr>
          <w:i/>
        </w:rPr>
        <w:t>ousehold</w:t>
      </w:r>
      <w:r>
        <w:t xml:space="preserve"> </w:t>
      </w:r>
      <w:r w:rsidR="00013BD5">
        <w:t xml:space="preserve">– </w:t>
      </w:r>
      <w:r>
        <w:t>chosen</w:t>
      </w:r>
      <w:r w:rsidR="00013BD5">
        <w:t xml:space="preserve"> as a greater number of people may increase opportunities for </w:t>
      </w:r>
      <w:r>
        <w:t xml:space="preserve">the </w:t>
      </w:r>
      <w:r w:rsidR="00013BD5">
        <w:t xml:space="preserve">spread of </w:t>
      </w:r>
      <w:r w:rsidR="00DF0893">
        <w:t>SARS-CoV-2</w:t>
      </w:r>
      <w:r w:rsidR="00C73C41">
        <w:t xml:space="preserve"> </w:t>
      </w:r>
      <w:r w:rsidR="00C73C41">
        <w:fldChar w:fldCharType="begin" w:fldLock="1"/>
      </w:r>
      <w:r w:rsidR="00055DCB">
        <w:instrText>ADDIN CSL_CITATION {"citationItems":[{"id":"ITEM-1","itemData":{"DOI":"10.1001/jamanetworkopen.2020.31756","ISSN":"2574-3805","abstract":"Crowded indoor environments, such as households, are high-risk settings for the transmission of severe acute respiratory syndrome coronavirus 2 (SARS-CoV-2).To examine evidence for household transmission of SARS-CoV-2, disaggregated by several covariates, and to compare it with other coronaviruses.PubMed, searched through October 19, 2020. Search terms included SARS-CoV-2 or COVID-19 with secondary attack rate, household, close contacts, contact transmission, contact attack rate, or family transmission.All articles with original data for estimating household secondary attack rate were included. Case reports focusing on individual households and studies of close contacts that did not report secondary attack rates for household members were excluded.Meta-analyses were done using a restricted maximum-likelihood estimator model to yield a point estimate and 95\\\\% CI for secondary attack rate for each subgroup analyzed, with a random effect for each study. To make comparisons across exposure types, study was treated as a random effect, and exposure type was a fixed moderator. The Preferred Reporting Items for Systematic Reviews and Meta-analyses (PRISMA) reporting guideline was followed.Secondary attack rate for SARS-CoV-2, disaggregated by covariates (ie, household or family contact, index case symptom status, adult or child contacts, contact sex, relationship to index case, adult or child index cases, index case sex, number of contacts in household) and for other coronaviruses.A total of 54 relevant studies with 77 758 participants reporting household secondary transmission were identified. Estimated household secondary attack rate was 16.6\\\\% (95\\\\% CI, 14.0\\\\%-19.3\\\\%), higher than secondary attack rates for SARS-CoV (7.5\\\\%; 95\\\\% CI, 4.8\\\\%-10.7\\\\%) and MERS-CoV (4.7\\\\%; 95\\\\% CI, 0.9\\\\%-10.7\\\\%). Household secondary attack rates were increased from symptomatic index cases (18.0\\\\%; 95\\\\% CI, 14.2\\\\%-22.1\\\\%) than from asymptomatic index cases (0.7\\\\%; 95\\\\% CI, 0\\\\%-4.9\\\\%), to adult contacts (28.3\\\\%; 95\\\\% CI, 20.2\\\\%-37.1\\\\%) than to child contacts (16.8\\\\%; 95\\\\% CI, 12.3\\\\%-21.7\\\\%), to spouses (37.8\\\\%; 95\\\\% CI, 25.8\\\\%-50.5\\\\%) than to other family contacts (17.8\\\\%; 95\\\\% CI, 11.7\\\\%-24.8\\\\%), and in households with 1 contact (41.5\\\\%; 95\\\\% CI, 31.7\\\\%-51.7\\\\%) than in households with 3 or more contacts (22.8\\\\%; 95\\\\% CI, 13.6\\\\%-33.5\\\\%).The findings of this study suggest that given that individuals with suspected or confirmed infections a…","author":[{"dropping-particle":"","family":"Madewell","given":"Zachary J","non-dropping-particle":"","parse-names":false,"suffix":""},{"dropping-particle":"","family":"Yang","given":"Yang","non-dropping-particle":"","parse-names":false,"suffix":""},{"dropping-particle":"","family":"Longini Ira M.","given":"Jr","non-dropping-particle":"","parse-names":false,"suffix":""},{"dropping-particle":"","family":"Halloran","given":"M Elizabeth","non-dropping-particle":"","parse-names":false,"suffix":""},{"dropping-particle":"","family":"Dean","given":"Natalie E","non-dropping-particle":"","parse-names":false,"suffix":""}],"container-title":"JAMA Network Open","id":"ITEM-1","issue":"12","issued":{"date-parts":[["2020"]]},"page":"e2031756-e2031756","title":"Household Transmission of SARS-CoV-2: A Systematic Review and Meta-analysis","type":"article-journal","volume":"3"},"uris":["http://www.mendeley.com/documents/?uuid=c4f3edfd-dc6c-4cb7-aff9-57569b6d2635","http://www.mendeley.com/documents/?uuid=1c3f350c-72bb-4a6f-ae42-09b91cb995fd"]}],"mendeley":{"formattedCitation":"(21)","plainTextFormattedCitation":"(21)","previouslyFormattedCitation":"(21)"},"properties":{"noteIndex":0},"schema":"https://github.com/citation-style-language/schema/raw/master/csl-citation.json"}</w:instrText>
      </w:r>
      <w:r w:rsidR="00C73C41">
        <w:fldChar w:fldCharType="separate"/>
      </w:r>
      <w:r w:rsidR="00422686" w:rsidRPr="00422686">
        <w:rPr>
          <w:noProof/>
        </w:rPr>
        <w:t>(21)</w:t>
      </w:r>
      <w:r w:rsidR="00C73C41">
        <w:fldChar w:fldCharType="end"/>
      </w:r>
      <w:r>
        <w:t>.</w:t>
      </w:r>
    </w:p>
    <w:p w14:paraId="01A8527E" w14:textId="6C037F4C" w:rsidR="00013BD5" w:rsidRDefault="003A6DA9" w:rsidP="000A1B54">
      <w:pPr>
        <w:pStyle w:val="ListParagraph"/>
        <w:numPr>
          <w:ilvl w:val="0"/>
          <w:numId w:val="2"/>
        </w:numPr>
        <w:spacing w:line="480" w:lineRule="auto"/>
      </w:pPr>
      <w:r w:rsidRPr="00EE50C8">
        <w:rPr>
          <w:i/>
        </w:rPr>
        <w:t>Whether an individual had t</w:t>
      </w:r>
      <w:r w:rsidR="00013BD5" w:rsidRPr="00EE50C8">
        <w:rPr>
          <w:i/>
        </w:rPr>
        <w:t>ravel</w:t>
      </w:r>
      <w:r w:rsidRPr="00EE50C8">
        <w:rPr>
          <w:i/>
        </w:rPr>
        <w:t>led</w:t>
      </w:r>
      <w:r w:rsidR="00013BD5" w:rsidRPr="00EE50C8">
        <w:rPr>
          <w:i/>
        </w:rPr>
        <w:t xml:space="preserve"> abroad</w:t>
      </w:r>
      <w:r w:rsidRPr="00EE50C8">
        <w:rPr>
          <w:i/>
        </w:rPr>
        <w:t xml:space="preserve"> recently or not</w:t>
      </w:r>
      <w:r w:rsidR="00013BD5">
        <w:t xml:space="preserve"> – </w:t>
      </w:r>
      <w:r>
        <w:t>include</w:t>
      </w:r>
      <w:r w:rsidR="00DF0893">
        <w:t>d</w:t>
      </w:r>
      <w:r>
        <w:t xml:space="preserve"> due to the p</w:t>
      </w:r>
      <w:r w:rsidR="00013BD5">
        <w:t xml:space="preserve">ossible higher risk </w:t>
      </w:r>
      <w:r>
        <w:t xml:space="preserve">from individuals travelling to countries with higher COVID-19 prevalence or </w:t>
      </w:r>
      <w:r w:rsidR="00013BD5">
        <w:t xml:space="preserve">greater </w:t>
      </w:r>
      <w:r>
        <w:t xml:space="preserve">social </w:t>
      </w:r>
      <w:r w:rsidR="00013BD5">
        <w:t>mixing</w:t>
      </w:r>
      <w:r w:rsidR="00D47C09">
        <w:t xml:space="preserve"> </w:t>
      </w:r>
      <w:r w:rsidR="00D47C09">
        <w:fldChar w:fldCharType="begin" w:fldLock="1"/>
      </w:r>
      <w:r w:rsidR="00862209">
        <w:instrText>ADDIN CSL_CITATION {"citationItems":[{"id":"ITEM-1","itemData":{"DOI":"10.1016/S2468-2667(20)30263-2","ISSN":"2468-2667","author":[{"dropping-particle":"","family":"Russell","given":"Timothy W","non-dropping-particle":"","parse-names":false,"suffix":""},{"dropping-particle":"","family":"Wu","given":"Joseph T","non-dropping-particle":"","parse-names":false,"suffix":""},{"dropping-particle":"","family":"Clifford","given":"Sam","non-dropping-particle":"","parse-names":false,"suffix":""},{"dropping-particle":"","family":"Edmunds","given":"W John","non-dropping-particle":"","parse-names":false,"suffix":""},{"dropping-particle":"","family":"Kucharski","given":"Adam J","non-dropping-particle":"","parse-names":false,"suffix":""},{"dropping-particle":"","family":"Jit","given":"Mark","non-dropping-particle":"","parse-names":false,"suffix":""}],"container-title":"The Lancet Public Health","id":"ITEM-1","issue":"1","issued":{"date-parts":[["2021","1","1"]]},"note":"doi: 10.1016/S2468-2667(20)30263-2","page":"e12-e20","publisher":"Elsevier","title":"Effect of internationally imported cases on internal spread of COVID-19: a mathematical modelling study","type":"article-journal","volume":"6"},"uris":["http://www.mendeley.com/documents/?uuid=0ac53085-42ea-4748-9a53-347b7e9ca6a6","http://www.mendeley.com/documents/?uuid=e0cdc172-d6a0-40fa-bfcb-eb8fd95a0953"]}],"mendeley":{"formattedCitation":"(22)","plainTextFormattedCitation":"(22)","previouslyFormattedCitation":"(22)"},"properties":{"noteIndex":0},"schema":"https://github.com/citation-style-language/schema/raw/master/csl-citation.json"}</w:instrText>
      </w:r>
      <w:r w:rsidR="00D47C09">
        <w:fldChar w:fldCharType="separate"/>
      </w:r>
      <w:r w:rsidR="00422686" w:rsidRPr="00422686">
        <w:rPr>
          <w:noProof/>
        </w:rPr>
        <w:t>(22)</w:t>
      </w:r>
      <w:r w:rsidR="00D47C09">
        <w:fldChar w:fldCharType="end"/>
      </w:r>
      <w:r>
        <w:t>.</w:t>
      </w:r>
      <w:r w:rsidR="00013BD5">
        <w:t xml:space="preserve"> </w:t>
      </w:r>
    </w:p>
    <w:p w14:paraId="31714E51" w14:textId="7CC471EA" w:rsidR="00ED06E2" w:rsidRDefault="00ED06E2" w:rsidP="000A1B54">
      <w:pPr>
        <w:pStyle w:val="ListParagraph"/>
        <w:numPr>
          <w:ilvl w:val="0"/>
          <w:numId w:val="2"/>
        </w:numPr>
        <w:spacing w:line="480" w:lineRule="auto"/>
      </w:pPr>
      <w:r w:rsidRPr="00EE50C8">
        <w:rPr>
          <w:i/>
        </w:rPr>
        <w:t>Work location</w:t>
      </w:r>
      <w:r>
        <w:t xml:space="preserve"> –</w:t>
      </w:r>
      <w:r w:rsidR="003A6DA9">
        <w:t xml:space="preserve"> f</w:t>
      </w:r>
      <w:r>
        <w:t xml:space="preserve">or analyses </w:t>
      </w:r>
      <w:r w:rsidR="003A6DA9">
        <w:t>using</w:t>
      </w:r>
      <w:r>
        <w:t xml:space="preserve"> work sector</w:t>
      </w:r>
      <w:r w:rsidR="00E94B4B">
        <w:t xml:space="preserve"> only</w:t>
      </w:r>
      <w:r>
        <w:t xml:space="preserve">, </w:t>
      </w:r>
      <w:r w:rsidR="00E94B4B">
        <w:t>we</w:t>
      </w:r>
      <w:r>
        <w:t xml:space="preserve"> account for whether </w:t>
      </w:r>
      <w:r w:rsidR="003A6DA9">
        <w:t xml:space="preserve">individuals were </w:t>
      </w:r>
      <w:r>
        <w:t xml:space="preserve">working </w:t>
      </w:r>
      <w:r w:rsidR="003A6DA9">
        <w:t xml:space="preserve">at home, </w:t>
      </w:r>
      <w:r>
        <w:t>outside the home</w:t>
      </w:r>
      <w:r w:rsidR="003A6DA9">
        <w:t xml:space="preserve"> or a mixture of both. Individuals who are working outside of the home may have higher risk as they may be mixing with other individuals</w:t>
      </w:r>
      <w:r w:rsidR="00E94B4B">
        <w:t xml:space="preserve"> or have greater exposure to SARS-CoV-2 </w:t>
      </w:r>
      <w:r w:rsidR="00E94B4B">
        <w:fldChar w:fldCharType="begin" w:fldLock="1"/>
      </w:r>
      <w:r w:rsidR="00862209">
        <w:instrText>ADDIN CSL_CITATION {"citationItems":[{"id":"ITEM-1","itemData":{"URL":"https://www.gov.uk/government/publications/emg-covid-19-risk-by-occupation-and-workplace-11-february-2021","author":[{"dropping-particle":"","family":"HM Government","given":"","non-dropping-particle":"","parse-names":false,"suffix":""}],"id":"ITEM-1","issued":{"date-parts":[["2021"]]},"title":"COVID-19 risk by occupation and workplace, 11 February 2021","type":"webpage"},"uris":["http://www.mendeley.com/documents/?uuid=e24ae5ec-d5c1-46a2-85a1-46a76cf01a3c","http://www.mendeley.com/documents/?uuid=0dfbd800-bfe5-454f-afd7-5c76499f6203"]}],"mendeley":{"formattedCitation":"(13)","plainTextFormattedCitation":"(13)","previouslyFormattedCitation":"(13)"},"properties":{"noteIndex":0},"schema":"https://github.com/citation-style-language/schema/raw/master/csl-citation.json"}</w:instrText>
      </w:r>
      <w:r w:rsidR="00E94B4B">
        <w:fldChar w:fldCharType="separate"/>
      </w:r>
      <w:r w:rsidR="000A1B54" w:rsidRPr="000A1B54">
        <w:rPr>
          <w:noProof/>
        </w:rPr>
        <w:t>(13)</w:t>
      </w:r>
      <w:r w:rsidR="00E94B4B">
        <w:fldChar w:fldCharType="end"/>
      </w:r>
      <w:r w:rsidR="003A6DA9">
        <w:t>.</w:t>
      </w:r>
    </w:p>
    <w:p w14:paraId="51C12656" w14:textId="36C5BF3E" w:rsidR="00AE0D10" w:rsidRDefault="00AE0D10" w:rsidP="000A1B54">
      <w:pPr>
        <w:pStyle w:val="ListParagraph"/>
        <w:numPr>
          <w:ilvl w:val="0"/>
          <w:numId w:val="2"/>
        </w:numPr>
        <w:spacing w:line="480" w:lineRule="auto"/>
      </w:pPr>
      <w:r>
        <w:rPr>
          <w:i/>
        </w:rPr>
        <w:t xml:space="preserve">Month </w:t>
      </w:r>
      <w:r>
        <w:t>– we also adjust for month of the year to account for the differential risk of COVID-19 that varied over time</w:t>
      </w:r>
      <w:r w:rsidR="00D8172C">
        <w:t xml:space="preserve">, although </w:t>
      </w:r>
      <w:r w:rsidR="00DF0893">
        <w:t xml:space="preserve">we </w:t>
      </w:r>
      <w:r w:rsidR="00D8172C">
        <w:t>do not report these results.</w:t>
      </w:r>
    </w:p>
    <w:p w14:paraId="79E88635" w14:textId="77777777" w:rsidR="006B4526" w:rsidRDefault="006B4526" w:rsidP="000A1B54">
      <w:pPr>
        <w:spacing w:line="480" w:lineRule="auto"/>
      </w:pPr>
    </w:p>
    <w:p w14:paraId="68719EB4" w14:textId="77777777" w:rsidR="00441D6E" w:rsidRPr="00055DCB" w:rsidRDefault="00441D6E" w:rsidP="000A1B54">
      <w:pPr>
        <w:spacing w:line="480" w:lineRule="auto"/>
        <w:rPr>
          <w:b/>
          <w:sz w:val="32"/>
          <w:szCs w:val="32"/>
        </w:rPr>
      </w:pPr>
      <w:r w:rsidRPr="00055DCB">
        <w:rPr>
          <w:b/>
          <w:sz w:val="32"/>
          <w:szCs w:val="32"/>
        </w:rPr>
        <w:t>Statistical analyses</w:t>
      </w:r>
    </w:p>
    <w:p w14:paraId="69E25E8B" w14:textId="24F6A58A" w:rsidR="00717060" w:rsidRDefault="00441D6E" w:rsidP="00CE39D4">
      <w:pPr>
        <w:spacing w:line="480" w:lineRule="auto"/>
      </w:pPr>
      <w:r>
        <w:lastRenderedPageBreak/>
        <w:t>Descriptive summary statistics and visualisations are used to describe aggregate patterns in the data.</w:t>
      </w:r>
      <w:r w:rsidR="00FA76B9">
        <w:t xml:space="preserve"> </w:t>
      </w:r>
      <w:r w:rsidR="00772C8C">
        <w:t xml:space="preserve"> </w:t>
      </w:r>
      <w:r w:rsidR="002802CB">
        <w:t>We first describe demographic patterns in our outcome variable</w:t>
      </w:r>
      <w:r w:rsidR="00830177">
        <w:t xml:space="preserve"> to help contextualise our statistical analyses. </w:t>
      </w:r>
      <w:bookmarkStart w:id="3" w:name="_Hlk107828523"/>
      <w:r>
        <w:t xml:space="preserve">Multi-level binomial regression models were used to analyse the risk of COVID-19. </w:t>
      </w:r>
      <w:r w:rsidR="00DF0893">
        <w:t xml:space="preserve">Two models were used; one for employment status and one for occupational sector (our key exposure variables). </w:t>
      </w:r>
      <w:r>
        <w:t>M</w:t>
      </w:r>
      <w:r w:rsidR="000673E6">
        <w:t>ultivariable m</w:t>
      </w:r>
      <w:r>
        <w:t xml:space="preserve">odels </w:t>
      </w:r>
      <w:r w:rsidR="00744FF5">
        <w:t>were fully adjusted using</w:t>
      </w:r>
      <w:r>
        <w:t xml:space="preserve"> a series of fixed effect</w:t>
      </w:r>
      <w:r w:rsidR="00744FF5">
        <w:t xml:space="preserve"> variable</w:t>
      </w:r>
      <w:r>
        <w:t xml:space="preserve"> representing </w:t>
      </w:r>
      <w:r w:rsidR="00744FF5">
        <w:t xml:space="preserve">our explanatory </w:t>
      </w:r>
      <w:r>
        <w:t xml:space="preserve">individual-level covariates that may explain </w:t>
      </w:r>
      <w:r w:rsidR="00FA76B9">
        <w:t xml:space="preserve">differences in </w:t>
      </w:r>
      <w:r>
        <w:t xml:space="preserve">COVID-19 risk. </w:t>
      </w:r>
      <w:r w:rsidR="00305AD9">
        <w:t xml:space="preserve">Numeric values were z-score standardised (age and household size). </w:t>
      </w:r>
      <w:r>
        <w:t xml:space="preserve">Two random effects are included: (i) participant ID (varying intercept) to account for repeat observations within the survey over time, and (ii) geographical area </w:t>
      </w:r>
      <w:r w:rsidR="00CD239E">
        <w:t xml:space="preserve">of residence </w:t>
      </w:r>
      <w:r>
        <w:t>(varying intercept).</w:t>
      </w:r>
      <w:r w:rsidR="00FA76B9">
        <w:t xml:space="preserve"> </w:t>
      </w:r>
      <w:r w:rsidR="003907C2">
        <w:t xml:space="preserve">While we do not report results by geographical location here, </w:t>
      </w:r>
      <w:r w:rsidR="003907C2" w:rsidRPr="003907C2">
        <w:t>it was included to</w:t>
      </w:r>
      <w:r w:rsidR="003907C2">
        <w:t xml:space="preserve"> account for the spatial heterogeneity in COVID-19 outcomes observed in England </w:t>
      </w:r>
      <w:r w:rsidR="003907C2">
        <w:fldChar w:fldCharType="begin" w:fldLock="1"/>
      </w:r>
      <w:r w:rsidR="00862209">
        <w:instrText>ADDIN CSL_CITATION {"citationItems":[{"id":"ITEM-1","itemData":{"URL":"https://assets.publishing.service.gov.uk/government/uploads/system/uploads/attachment_data/file/908434/Disparities_in_the_risk_and_outcomes_of_COVID_August_2020_update.pdf","author":[{"dropping-particle":"","family":"Public Health England","given":"","non-dropping-particle":"","parse-names":false,"suffix":""}],"id":"ITEM-1","issued":{"date-parts":[["2020"]]},"title":"Disparities in the risk and outcomes of COVID-19","type":"webpage"},"uris":["http://www.mendeley.com/documents/?uuid=e2fab306-a9dc-4f9f-9268-c1a36ffb67c0","http://www.mendeley.com/documents/?uuid=8d5900ab-1bf2-484a-8f3f-811bcd3ee4a6"]}],"mendeley":{"formattedCitation":"(2)","plainTextFormattedCitation":"(2)","previouslyFormattedCitation":"(2)"},"properties":{"noteIndex":0},"schema":"https://github.com/citation-style-language/schema/raw/master/csl-citation.json"}</w:instrText>
      </w:r>
      <w:r w:rsidR="003907C2">
        <w:fldChar w:fldCharType="separate"/>
      </w:r>
      <w:r w:rsidR="003907C2" w:rsidRPr="000A1B54">
        <w:rPr>
          <w:noProof/>
        </w:rPr>
        <w:t>(2)</w:t>
      </w:r>
      <w:r w:rsidR="003907C2">
        <w:fldChar w:fldCharType="end"/>
      </w:r>
      <w:r w:rsidR="003907C2">
        <w:t xml:space="preserve">. Regions (n=116) were created by the ONS and match Local Authority districts, with districts combined to make sure no region has a population of less than 500,000 to preserve data security. </w:t>
      </w:r>
      <w:r w:rsidR="00CE39D4">
        <w:t xml:space="preserve"> </w:t>
      </w:r>
      <w:r w:rsidR="00744FF5">
        <w:t xml:space="preserve">We present </w:t>
      </w:r>
      <w:r w:rsidR="00DF0893">
        <w:t xml:space="preserve">only </w:t>
      </w:r>
      <w:r w:rsidR="00744FF5">
        <w:t xml:space="preserve">the fully adjusted analyses here. </w:t>
      </w:r>
      <w:bookmarkEnd w:id="3"/>
    </w:p>
    <w:p w14:paraId="3969EB57" w14:textId="6FE91700" w:rsidR="00305AD9" w:rsidRDefault="00305AD9" w:rsidP="000A1B54">
      <w:pPr>
        <w:spacing w:line="480" w:lineRule="auto"/>
      </w:pPr>
      <w:r>
        <w:t xml:space="preserve">Finally, we also considered how associations changed in each month through introducing a series of interaction effects into the above models (i.e., interactions between month and other fixed effects). </w:t>
      </w:r>
      <w:r w:rsidR="008B2CF0">
        <w:t xml:space="preserve">This was done to examine if any occupational group experienced differences in infections at certain time periods which might have not been consistent across work sectors (e.g., differences in restrictions or lockdowns affecting who could work from home). </w:t>
      </w:r>
      <w:r>
        <w:t>As such, it can be difficult to interpret the results. To aid the interpretation, we calculated the predicted probability (presented as percentages to aid interpretation) of each occupational measure testing positive for COVID-19 for each month by sex (adjusting for other covariates in the model). The models are supplemented through additional analyses stratifying the model by age group (defined as individuals aged less than 40 years, and individuals aged 40 years and over).</w:t>
      </w:r>
    </w:p>
    <w:p w14:paraId="5BB308BF" w14:textId="77777777" w:rsidR="00356E8F" w:rsidRDefault="00356E8F" w:rsidP="000A1B54">
      <w:pPr>
        <w:spacing w:line="480" w:lineRule="auto"/>
      </w:pPr>
    </w:p>
    <w:p w14:paraId="7E6376BA" w14:textId="77777777" w:rsidR="006A2766" w:rsidRPr="00055DCB" w:rsidRDefault="006A2766" w:rsidP="000A1B54">
      <w:pPr>
        <w:spacing w:line="480" w:lineRule="auto"/>
        <w:rPr>
          <w:b/>
          <w:sz w:val="36"/>
          <w:szCs w:val="36"/>
        </w:rPr>
      </w:pPr>
      <w:r w:rsidRPr="00055DCB">
        <w:rPr>
          <w:b/>
          <w:sz w:val="36"/>
          <w:szCs w:val="36"/>
        </w:rPr>
        <w:t>Results</w:t>
      </w:r>
    </w:p>
    <w:p w14:paraId="48CEBAA0" w14:textId="77777777" w:rsidR="006A2766" w:rsidRPr="00055DCB" w:rsidRDefault="006A2766" w:rsidP="000A1B54">
      <w:pPr>
        <w:spacing w:line="480" w:lineRule="auto"/>
        <w:rPr>
          <w:b/>
          <w:sz w:val="32"/>
          <w:szCs w:val="32"/>
        </w:rPr>
      </w:pPr>
      <w:r w:rsidRPr="00055DCB">
        <w:rPr>
          <w:b/>
          <w:sz w:val="32"/>
          <w:szCs w:val="32"/>
        </w:rPr>
        <w:lastRenderedPageBreak/>
        <w:t>De</w:t>
      </w:r>
      <w:r w:rsidR="00BB7D4C" w:rsidRPr="00055DCB">
        <w:rPr>
          <w:b/>
          <w:sz w:val="32"/>
          <w:szCs w:val="32"/>
        </w:rPr>
        <w:t>mographic</w:t>
      </w:r>
      <w:r w:rsidRPr="00055DCB">
        <w:rPr>
          <w:b/>
          <w:sz w:val="32"/>
          <w:szCs w:val="32"/>
        </w:rPr>
        <w:t xml:space="preserve"> </w:t>
      </w:r>
      <w:r w:rsidR="00B60B0D" w:rsidRPr="00055DCB">
        <w:rPr>
          <w:b/>
          <w:sz w:val="32"/>
          <w:szCs w:val="32"/>
        </w:rPr>
        <w:t>inequalities</w:t>
      </w:r>
      <w:r w:rsidRPr="00055DCB">
        <w:rPr>
          <w:b/>
          <w:sz w:val="32"/>
          <w:szCs w:val="32"/>
        </w:rPr>
        <w:t xml:space="preserve"> in COVID-19</w:t>
      </w:r>
      <w:r w:rsidR="008E166B" w:rsidRPr="00055DCB">
        <w:rPr>
          <w:b/>
          <w:sz w:val="32"/>
          <w:szCs w:val="32"/>
        </w:rPr>
        <w:t xml:space="preserve"> prevalence </w:t>
      </w:r>
    </w:p>
    <w:p w14:paraId="7F723BCB" w14:textId="0D17ED65" w:rsidR="0016073E" w:rsidRPr="00373741" w:rsidRDefault="008E166B" w:rsidP="000A1B54">
      <w:pPr>
        <w:spacing w:line="480" w:lineRule="auto"/>
      </w:pPr>
      <w:r>
        <w:t>Summary sample characteristic</w:t>
      </w:r>
      <w:r w:rsidR="001A5C1E">
        <w:t>s</w:t>
      </w:r>
      <w:r>
        <w:t xml:space="preserve"> can be viewed in the Appendix (</w:t>
      </w:r>
      <w:r w:rsidR="0066731C">
        <w:t>S1 File</w:t>
      </w:r>
      <w:r>
        <w:t xml:space="preserve">). </w:t>
      </w:r>
      <w:r w:rsidR="008F7545">
        <w:t xml:space="preserve">0.9% of respondents tested positive for COVID-19 during the study period. </w:t>
      </w:r>
      <w:r>
        <w:t>Fig 1 presents trend</w:t>
      </w:r>
      <w:r w:rsidR="005E7E7E">
        <w:t>s</w:t>
      </w:r>
      <w:r>
        <w:t xml:space="preserve"> in the estimated </w:t>
      </w:r>
      <w:r w:rsidR="005E7E7E">
        <w:t>prevalence</w:t>
      </w:r>
      <w:r w:rsidR="00154F9F">
        <w:t xml:space="preserve"> </w:t>
      </w:r>
      <w:r w:rsidR="005E7E7E">
        <w:t>of</w:t>
      </w:r>
      <w:r w:rsidR="00154F9F">
        <w:t xml:space="preserve"> COVID-1</w:t>
      </w:r>
      <w:r w:rsidR="005E7E7E">
        <w:t>9</w:t>
      </w:r>
      <w:r w:rsidR="00AC51D7">
        <w:t xml:space="preserve"> during the study period</w:t>
      </w:r>
      <w:r w:rsidR="005E7E7E">
        <w:t xml:space="preserve">. </w:t>
      </w:r>
      <w:r w:rsidR="00AC51D7">
        <w:t>Following low levels of COVID-19 in August, prevalence of COVID-19 beg</w:t>
      </w:r>
      <w:r w:rsidR="001A5C1E">
        <w:t>a</w:t>
      </w:r>
      <w:r w:rsidR="00AC51D7">
        <w:t xml:space="preserve">n to rise in September onwards peaking in the first week of November. </w:t>
      </w:r>
      <w:r w:rsidR="00BB7D4C">
        <w:t>COVID-19 prevalence declines thereafter, following a national lockdown on 5</w:t>
      </w:r>
      <w:r w:rsidR="00BB7D4C" w:rsidRPr="00BB7D4C">
        <w:rPr>
          <w:vertAlign w:val="superscript"/>
        </w:rPr>
        <w:t>th</w:t>
      </w:r>
      <w:r w:rsidR="00BB7D4C">
        <w:t xml:space="preserve"> November</w:t>
      </w:r>
      <w:r w:rsidR="004C176B">
        <w:t xml:space="preserve"> 2020, before rising again after the end of the lockdown (2</w:t>
      </w:r>
      <w:r w:rsidR="004C176B" w:rsidRPr="004C176B">
        <w:rPr>
          <w:vertAlign w:val="superscript"/>
        </w:rPr>
        <w:t>nd</w:t>
      </w:r>
      <w:r w:rsidR="004C176B">
        <w:t xml:space="preserve"> December 2020)</w:t>
      </w:r>
      <w:r>
        <w:t xml:space="preserve"> and with the emergence of the </w:t>
      </w:r>
      <w:r w:rsidR="00B60B0D">
        <w:t>B1.1.7</w:t>
      </w:r>
      <w:r>
        <w:t xml:space="preserve"> </w:t>
      </w:r>
      <w:r w:rsidR="00DF0893">
        <w:t xml:space="preserve">(Alpha) </w:t>
      </w:r>
      <w:r>
        <w:t>variant. Trends then decline following the national lockdown announced on the 6</w:t>
      </w:r>
      <w:r w:rsidRPr="008E166B">
        <w:rPr>
          <w:vertAlign w:val="superscript"/>
        </w:rPr>
        <w:t>th</w:t>
      </w:r>
      <w:r>
        <w:t xml:space="preserve"> January 2021. </w:t>
      </w:r>
      <w:r w:rsidR="004C176B">
        <w:t>There were no noticeable differences in trends between males and females.</w:t>
      </w:r>
    </w:p>
    <w:p w14:paraId="5820E220" w14:textId="0BD7EA32" w:rsidR="0016073E" w:rsidRDefault="00D260DA" w:rsidP="000A1B54">
      <w:pPr>
        <w:spacing w:line="480" w:lineRule="auto"/>
        <w:rPr>
          <w:b/>
        </w:rPr>
      </w:pPr>
      <w:r>
        <w:rPr>
          <w:b/>
        </w:rPr>
        <w:t>Fig</w:t>
      </w:r>
      <w:r w:rsidR="006A2766" w:rsidRPr="006A2766">
        <w:rPr>
          <w:b/>
        </w:rPr>
        <w:t xml:space="preserve"> 1</w:t>
      </w:r>
      <w:r>
        <w:rPr>
          <w:b/>
        </w:rPr>
        <w:t>.</w:t>
      </w:r>
      <w:r w:rsidR="006A2766" w:rsidRPr="006A2766">
        <w:rPr>
          <w:b/>
        </w:rPr>
        <w:t xml:space="preserve"> </w:t>
      </w:r>
      <w:r w:rsidR="008E166B">
        <w:rPr>
          <w:b/>
        </w:rPr>
        <w:t>Percentage of tests that were positive for</w:t>
      </w:r>
      <w:r w:rsidR="006A2766" w:rsidRPr="006A2766">
        <w:rPr>
          <w:b/>
        </w:rPr>
        <w:t xml:space="preserve"> COVID-19 by week of year</w:t>
      </w:r>
      <w:r w:rsidR="008E166B">
        <w:rPr>
          <w:b/>
        </w:rPr>
        <w:t xml:space="preserve"> and sex</w:t>
      </w:r>
      <w:r w:rsidR="00966BC2">
        <w:rPr>
          <w:b/>
        </w:rPr>
        <w:t xml:space="preserve"> (unadjusted)</w:t>
      </w:r>
      <w:r w:rsidR="008E166B">
        <w:rPr>
          <w:b/>
        </w:rPr>
        <w:t>. (Note: figures in first two weeks of August were redacted due to disclosive numbers (i.e., &lt;10 positive tests. Point is estimated percentage, with error bars the 95% confidence intervals).</w:t>
      </w:r>
    </w:p>
    <w:p w14:paraId="275796E5" w14:textId="6ED4685C" w:rsidR="0011492C" w:rsidRDefault="00D260DA" w:rsidP="000A1B54">
      <w:pPr>
        <w:spacing w:line="480" w:lineRule="auto"/>
      </w:pPr>
      <w:r>
        <w:t>Fig</w:t>
      </w:r>
      <w:r w:rsidR="0011492C">
        <w:t xml:space="preserve"> 2 examines how COVID-19 prevalence varies by single year of age. Highest prevalence of COVID-19 was among ages 18-2</w:t>
      </w:r>
      <w:r w:rsidR="00F76285">
        <w:t>4</w:t>
      </w:r>
      <w:r w:rsidR="0011492C">
        <w:t xml:space="preserve"> with prevalence </w:t>
      </w:r>
      <w:r w:rsidR="00F76285">
        <w:t xml:space="preserve">almost </w:t>
      </w:r>
      <w:r w:rsidR="0011492C">
        <w:t>twice as high as the national average. Prevalence was higher among these ages for females compared to males. Prevalence of COVID-19 declines with age</w:t>
      </w:r>
      <w:r w:rsidR="00B60B0D">
        <w:t xml:space="preserve"> </w:t>
      </w:r>
      <w:r w:rsidR="0011492C">
        <w:t>thereafter</w:t>
      </w:r>
      <w:r w:rsidR="00F76285">
        <w:t xml:space="preserve"> with minimal differences by sex</w:t>
      </w:r>
      <w:r w:rsidR="0011492C">
        <w:t>.</w:t>
      </w:r>
    </w:p>
    <w:p w14:paraId="18A21552" w14:textId="65B475D3" w:rsidR="00D260DA" w:rsidRDefault="00D260DA" w:rsidP="00D260DA">
      <w:pPr>
        <w:spacing w:line="480" w:lineRule="auto"/>
        <w:rPr>
          <w:b/>
        </w:rPr>
      </w:pPr>
      <w:r>
        <w:rPr>
          <w:b/>
        </w:rPr>
        <w:t xml:space="preserve">Fig 2. COVID-19 prevalence by </w:t>
      </w:r>
      <w:r w:rsidR="00F76285">
        <w:rPr>
          <w:b/>
        </w:rPr>
        <w:t xml:space="preserve">5-year age band </w:t>
      </w:r>
      <w:r>
        <w:rPr>
          <w:b/>
        </w:rPr>
        <w:t>and sex</w:t>
      </w:r>
      <w:r w:rsidR="00966BC2">
        <w:rPr>
          <w:b/>
        </w:rPr>
        <w:t xml:space="preserve"> (unadjusted)</w:t>
      </w:r>
      <w:r>
        <w:rPr>
          <w:b/>
        </w:rPr>
        <w:t>.</w:t>
      </w:r>
    </w:p>
    <w:p w14:paraId="6E780A3B" w14:textId="2480CC51" w:rsidR="005C57E9" w:rsidRPr="00373741" w:rsidRDefault="00D260DA" w:rsidP="000A1B54">
      <w:pPr>
        <w:spacing w:line="480" w:lineRule="auto"/>
      </w:pPr>
      <w:r>
        <w:t>Fig</w:t>
      </w:r>
      <w:r w:rsidR="0011492C">
        <w:t xml:space="preserve"> 3 presents COVID-19 prevalence by ethnic group. Highest prevalence of COVID-19 was found for Pakistani ethnicity (more than two times higher than the </w:t>
      </w:r>
      <w:r w:rsidR="00C566D5">
        <w:t xml:space="preserve">prevalence of the </w:t>
      </w:r>
      <w:r w:rsidR="0011492C">
        <w:t>White British group), with high</w:t>
      </w:r>
      <w:r w:rsidR="00C566D5">
        <w:t>er</w:t>
      </w:r>
      <w:r w:rsidR="0011492C">
        <w:t xml:space="preserve"> prevalence also among Black African groups. Low</w:t>
      </w:r>
      <w:r w:rsidR="00B60B0D">
        <w:t>er</w:t>
      </w:r>
      <w:r w:rsidR="0011492C">
        <w:t xml:space="preserve"> prevalence was observed for Chinese, White</w:t>
      </w:r>
      <w:r w:rsidR="00B60B0D">
        <w:t xml:space="preserve"> British</w:t>
      </w:r>
      <w:r w:rsidR="00C566D5">
        <w:t>,</w:t>
      </w:r>
      <w:r w:rsidR="0011492C">
        <w:t xml:space="preserve"> and Mixed White and Asian</w:t>
      </w:r>
      <w:r w:rsidR="00C566D5">
        <w:t xml:space="preserve"> groups</w:t>
      </w:r>
      <w:r w:rsidR="0011492C">
        <w:t xml:space="preserve">. There were no significant differences by sex. </w:t>
      </w:r>
    </w:p>
    <w:p w14:paraId="0E2D6748" w14:textId="2B84AE2A" w:rsidR="0033205D" w:rsidRDefault="00D260DA" w:rsidP="000A1B54">
      <w:pPr>
        <w:spacing w:line="480" w:lineRule="auto"/>
        <w:rPr>
          <w:b/>
        </w:rPr>
      </w:pPr>
      <w:r>
        <w:rPr>
          <w:b/>
        </w:rPr>
        <w:t>Fig</w:t>
      </w:r>
      <w:r w:rsidR="0033205D">
        <w:rPr>
          <w:b/>
        </w:rPr>
        <w:t xml:space="preserve"> 3</w:t>
      </w:r>
      <w:r>
        <w:rPr>
          <w:b/>
        </w:rPr>
        <w:t>.</w:t>
      </w:r>
      <w:r w:rsidR="0033205D">
        <w:rPr>
          <w:b/>
        </w:rPr>
        <w:t xml:space="preserve"> COVID-19 Prevalence by ethnic group</w:t>
      </w:r>
      <w:r w:rsidR="004C33EE">
        <w:rPr>
          <w:b/>
        </w:rPr>
        <w:t xml:space="preserve"> and sex</w:t>
      </w:r>
      <w:r w:rsidR="00966BC2">
        <w:rPr>
          <w:b/>
        </w:rPr>
        <w:t xml:space="preserve"> (unadjusted)</w:t>
      </w:r>
      <w:r w:rsidR="0033205D">
        <w:rPr>
          <w:b/>
        </w:rPr>
        <w:t>.</w:t>
      </w:r>
    </w:p>
    <w:p w14:paraId="7EDFF3B8" w14:textId="77777777" w:rsidR="00043762" w:rsidRDefault="00043762" w:rsidP="000A1B54">
      <w:pPr>
        <w:spacing w:line="480" w:lineRule="auto"/>
        <w:rPr>
          <w:b/>
        </w:rPr>
      </w:pPr>
    </w:p>
    <w:p w14:paraId="7095CD61" w14:textId="77777777" w:rsidR="00400E80" w:rsidRPr="00055DCB" w:rsidRDefault="00400E80" w:rsidP="000A1B54">
      <w:pPr>
        <w:spacing w:line="480" w:lineRule="auto"/>
        <w:rPr>
          <w:b/>
          <w:sz w:val="32"/>
          <w:szCs w:val="32"/>
        </w:rPr>
      </w:pPr>
      <w:r w:rsidRPr="00055DCB">
        <w:rPr>
          <w:b/>
          <w:sz w:val="32"/>
          <w:szCs w:val="32"/>
        </w:rPr>
        <w:t xml:space="preserve">Descriptive </w:t>
      </w:r>
      <w:r w:rsidR="00B60B0D" w:rsidRPr="00055DCB">
        <w:rPr>
          <w:b/>
          <w:sz w:val="32"/>
          <w:szCs w:val="32"/>
        </w:rPr>
        <w:t>inequalities by</w:t>
      </w:r>
      <w:r w:rsidRPr="00055DCB">
        <w:rPr>
          <w:b/>
          <w:sz w:val="32"/>
          <w:szCs w:val="32"/>
        </w:rPr>
        <w:t xml:space="preserve"> employment</w:t>
      </w:r>
      <w:r w:rsidR="00B60B0D" w:rsidRPr="00055DCB">
        <w:rPr>
          <w:b/>
          <w:sz w:val="32"/>
          <w:szCs w:val="32"/>
        </w:rPr>
        <w:t xml:space="preserve"> type and work sector</w:t>
      </w:r>
    </w:p>
    <w:p w14:paraId="7BF57496" w14:textId="12A4B256" w:rsidR="0033205D" w:rsidRPr="00373741" w:rsidRDefault="00D260DA" w:rsidP="000A1B54">
      <w:pPr>
        <w:tabs>
          <w:tab w:val="left" w:pos="1860"/>
        </w:tabs>
        <w:spacing w:line="480" w:lineRule="auto"/>
      </w:pPr>
      <w:r>
        <w:t>Fig</w:t>
      </w:r>
      <w:r w:rsidR="00B60B0D">
        <w:t xml:space="preserve"> 4 presents COVID-19 prevalence among all adults by </w:t>
      </w:r>
      <w:r w:rsidR="00400E80">
        <w:t xml:space="preserve">employment status. </w:t>
      </w:r>
      <w:r w:rsidR="003C0AE5">
        <w:t xml:space="preserve">The highest prevalence of COVID-19 was observed for </w:t>
      </w:r>
      <w:r w:rsidR="00B60B0D">
        <w:t xml:space="preserve">individuals who were </w:t>
      </w:r>
      <w:r w:rsidR="003C0AE5">
        <w:t xml:space="preserve">students </w:t>
      </w:r>
      <w:r w:rsidR="00B60B0D">
        <w:t xml:space="preserve">or </w:t>
      </w:r>
      <w:r w:rsidR="003C0AE5">
        <w:t>furloughed (i.e., individuals temporarily not working). Lowe</w:t>
      </w:r>
      <w:r w:rsidR="0047147D">
        <w:t>r</w:t>
      </w:r>
      <w:r w:rsidR="003C0AE5">
        <w:t xml:space="preserve"> prevalence was estimated for individuals who were not working (i.e., retired, unemployed, long-term sick)</w:t>
      </w:r>
      <w:r w:rsidR="0047147D">
        <w:t xml:space="preserve"> and </w:t>
      </w:r>
      <w:r w:rsidR="003C0AE5">
        <w:t>self-employed groups. There were no differences by sex.</w:t>
      </w:r>
      <w:r w:rsidR="00AE0D10">
        <w:t xml:space="preserve"> Stratifying analyses by age revealed higher prevalence of COVID-19 among younger populations for each employment type, especially younger furloughed males (</w:t>
      </w:r>
      <w:r w:rsidR="0066731C">
        <w:t>S1 File</w:t>
      </w:r>
      <w:r w:rsidR="00AE0D10">
        <w:t>).</w:t>
      </w:r>
    </w:p>
    <w:p w14:paraId="51970394" w14:textId="3AD4115E" w:rsidR="003C0AE5" w:rsidRPr="00373741" w:rsidRDefault="00D260DA" w:rsidP="000A1B54">
      <w:pPr>
        <w:tabs>
          <w:tab w:val="left" w:pos="1860"/>
        </w:tabs>
        <w:spacing w:line="480" w:lineRule="auto"/>
        <w:rPr>
          <w:b/>
        </w:rPr>
      </w:pPr>
      <w:r>
        <w:rPr>
          <w:b/>
        </w:rPr>
        <w:t>Fig</w:t>
      </w:r>
      <w:r w:rsidR="00400E80">
        <w:rPr>
          <w:b/>
        </w:rPr>
        <w:t xml:space="preserve"> 4</w:t>
      </w:r>
      <w:r>
        <w:rPr>
          <w:b/>
        </w:rPr>
        <w:t>.</w:t>
      </w:r>
      <w:r w:rsidR="0033205D">
        <w:rPr>
          <w:b/>
        </w:rPr>
        <w:t xml:space="preserve"> COVID-19 Prevalence by work status</w:t>
      </w:r>
      <w:r w:rsidR="00400E80">
        <w:rPr>
          <w:b/>
        </w:rPr>
        <w:t xml:space="preserve"> and sex</w:t>
      </w:r>
      <w:r w:rsidR="00966BC2">
        <w:rPr>
          <w:b/>
        </w:rPr>
        <w:t xml:space="preserve"> (unadjusted)</w:t>
      </w:r>
      <w:r w:rsidR="00400E80">
        <w:rPr>
          <w:b/>
        </w:rPr>
        <w:t>.</w:t>
      </w:r>
    </w:p>
    <w:p w14:paraId="77226A46" w14:textId="383E7480" w:rsidR="0047147D" w:rsidRDefault="0047147D" w:rsidP="000A1B54">
      <w:pPr>
        <w:tabs>
          <w:tab w:val="left" w:pos="1860"/>
        </w:tabs>
        <w:spacing w:line="480" w:lineRule="auto"/>
      </w:pPr>
      <w:r>
        <w:t>We next consider</w:t>
      </w:r>
      <w:r w:rsidR="00DF0893">
        <w:t>ed</w:t>
      </w:r>
      <w:r>
        <w:t xml:space="preserve"> inequalities in prevalence of COVID-19 by work sector (</w:t>
      </w:r>
      <w:r w:rsidR="00D260DA">
        <w:t>Fig</w:t>
      </w:r>
      <w:r>
        <w:t xml:space="preserve"> 5). The highest prevalence of COVID-19 overall was found for individuals employed in the hospitality sector, with higher prevalence for individuals employed in transport, social care, retail, health care and education. Lowest prevalence was for individuals employed in ICT, with low prevalence in the armed forces and entertainment sectors. Stratifying analyses by age showed higher risks across most work sectors for younger populations (</w:t>
      </w:r>
      <w:r w:rsidR="0066731C">
        <w:t>S1 File</w:t>
      </w:r>
      <w:r>
        <w:t>).</w:t>
      </w:r>
    </w:p>
    <w:p w14:paraId="266482C7" w14:textId="2811B6E0" w:rsidR="00D260DA" w:rsidRPr="00D260DA" w:rsidRDefault="00D260DA" w:rsidP="000A1B54">
      <w:pPr>
        <w:tabs>
          <w:tab w:val="left" w:pos="1860"/>
        </w:tabs>
        <w:spacing w:line="480" w:lineRule="auto"/>
        <w:rPr>
          <w:b/>
        </w:rPr>
      </w:pPr>
      <w:r>
        <w:rPr>
          <w:b/>
        </w:rPr>
        <w:t>Fig</w:t>
      </w:r>
      <w:r w:rsidRPr="003C0AE5">
        <w:rPr>
          <w:b/>
        </w:rPr>
        <w:t xml:space="preserve"> </w:t>
      </w:r>
      <w:r>
        <w:rPr>
          <w:b/>
        </w:rPr>
        <w:t>5.</w:t>
      </w:r>
      <w:r w:rsidRPr="003C0AE5">
        <w:rPr>
          <w:b/>
        </w:rPr>
        <w:t xml:space="preserve"> COVID-19 prevalence by work sector and sex</w:t>
      </w:r>
      <w:r w:rsidR="00966BC2">
        <w:rPr>
          <w:b/>
        </w:rPr>
        <w:t xml:space="preserve"> (unadjusted)</w:t>
      </w:r>
      <w:r w:rsidRPr="003C0AE5">
        <w:rPr>
          <w:b/>
        </w:rPr>
        <w:t>.</w:t>
      </w:r>
      <w:r>
        <w:rPr>
          <w:b/>
        </w:rPr>
        <w:t xml:space="preserve"> Note: estimate for females employed in the armed forces excluded due to counts &lt;10 to preserve ONS data disclosure standards.</w:t>
      </w:r>
    </w:p>
    <w:p w14:paraId="7E540001" w14:textId="77777777" w:rsidR="00E33F52" w:rsidRDefault="00E33F52" w:rsidP="000A1B54">
      <w:pPr>
        <w:spacing w:line="480" w:lineRule="auto"/>
        <w:rPr>
          <w:u w:val="single"/>
        </w:rPr>
      </w:pPr>
    </w:p>
    <w:p w14:paraId="77911AE0" w14:textId="77777777" w:rsidR="005C57E9" w:rsidRPr="00055DCB" w:rsidRDefault="005C57E9" w:rsidP="000A1B54">
      <w:pPr>
        <w:spacing w:line="480" w:lineRule="auto"/>
        <w:rPr>
          <w:b/>
          <w:sz w:val="32"/>
          <w:szCs w:val="32"/>
        </w:rPr>
      </w:pPr>
      <w:r w:rsidRPr="00055DCB">
        <w:rPr>
          <w:b/>
          <w:sz w:val="32"/>
          <w:szCs w:val="32"/>
        </w:rPr>
        <w:t>Regression analyses</w:t>
      </w:r>
      <w:r w:rsidR="00717060" w:rsidRPr="00055DCB">
        <w:rPr>
          <w:b/>
          <w:sz w:val="32"/>
          <w:szCs w:val="32"/>
        </w:rPr>
        <w:t xml:space="preserve"> of occupational risk of COVID-19</w:t>
      </w:r>
    </w:p>
    <w:p w14:paraId="14C0EE9A" w14:textId="7A595B94" w:rsidR="005C262F" w:rsidRDefault="00717060" w:rsidP="000A1B54">
      <w:pPr>
        <w:spacing w:line="480" w:lineRule="auto"/>
      </w:pPr>
      <w:r>
        <w:t>First</w:t>
      </w:r>
      <w:r w:rsidR="00933F1E">
        <w:t>,</w:t>
      </w:r>
      <w:r>
        <w:t xml:space="preserve"> we </w:t>
      </w:r>
      <w:r w:rsidR="00933F1E">
        <w:t>examine</w:t>
      </w:r>
      <w:r w:rsidR="00DF0893">
        <w:t>d</w:t>
      </w:r>
      <w:r w:rsidR="00933F1E">
        <w:t xml:space="preserve"> </w:t>
      </w:r>
      <w:r w:rsidR="0047147D">
        <w:t xml:space="preserve">the </w:t>
      </w:r>
      <w:r w:rsidR="00933F1E">
        <w:t xml:space="preserve">likelihood of having </w:t>
      </w:r>
      <w:r w:rsidR="00DF0893">
        <w:t xml:space="preserve">a </w:t>
      </w:r>
      <w:r w:rsidR="00933F1E">
        <w:t>positive</w:t>
      </w:r>
      <w:r w:rsidR="00DF0893">
        <w:t xml:space="preserve"> SARS-CoV-2 test</w:t>
      </w:r>
      <w:r w:rsidR="00933F1E">
        <w:t xml:space="preserve"> by employment status (Table 1).</w:t>
      </w:r>
      <w:r w:rsidR="001E08CC">
        <w:t xml:space="preserve"> Here we describe groups of person-time as the measure is time dependent.</w:t>
      </w:r>
      <w:r w:rsidR="00933F1E">
        <w:t xml:space="preserve"> In comparison to individuals who were employed, individuals who were furloughed </w:t>
      </w:r>
      <w:r w:rsidR="00DF0893">
        <w:t xml:space="preserve">had </w:t>
      </w:r>
      <w:r w:rsidR="00933F1E">
        <w:t xml:space="preserve">81% </w:t>
      </w:r>
      <w:r w:rsidR="00DF0893">
        <w:t>higher odds</w:t>
      </w:r>
      <w:r w:rsidR="004E6A15">
        <w:t xml:space="preserve"> </w:t>
      </w:r>
      <w:r w:rsidR="00933F1E">
        <w:t>(</w:t>
      </w:r>
      <w:r w:rsidR="000D59B2">
        <w:t xml:space="preserve">Odds Ratio </w:t>
      </w:r>
      <w:r w:rsidR="000D59B2">
        <w:lastRenderedPageBreak/>
        <w:t xml:space="preserve">(OR) = 1.81, </w:t>
      </w:r>
      <w:r w:rsidR="00933F1E">
        <w:t xml:space="preserve">95% Confidence Intervals (CIs) = 1.69-1.93) </w:t>
      </w:r>
      <w:r w:rsidR="00DF0893">
        <w:t xml:space="preserve">of a positive SARS-CoV-2 </w:t>
      </w:r>
      <w:r w:rsidR="00933F1E">
        <w:t xml:space="preserve">test. Students </w:t>
      </w:r>
      <w:r w:rsidR="00DF0893">
        <w:t xml:space="preserve">had </w:t>
      </w:r>
      <w:r w:rsidR="00933F1E">
        <w:t>35% (</w:t>
      </w:r>
      <w:r w:rsidR="000D59B2">
        <w:t xml:space="preserve">OR = 1.35, </w:t>
      </w:r>
      <w:r w:rsidR="00933F1E">
        <w:t xml:space="preserve">95% CIs = </w:t>
      </w:r>
      <w:r w:rsidR="005C262F">
        <w:t xml:space="preserve">1.22-1.50) </w:t>
      </w:r>
      <w:r w:rsidR="00DF0893">
        <w:t>higher odds</w:t>
      </w:r>
      <w:r w:rsidR="00933F1E">
        <w:t xml:space="preserve"> than employed individuals </w:t>
      </w:r>
      <w:r w:rsidR="000D59B2">
        <w:t xml:space="preserve">for </w:t>
      </w:r>
      <w:r w:rsidR="00DF0893">
        <w:t>a positive SARS-CoV-2 test</w:t>
      </w:r>
      <w:r w:rsidR="00933F1E">
        <w:t xml:space="preserve">. </w:t>
      </w:r>
    </w:p>
    <w:p w14:paraId="488E3AB9" w14:textId="6550255B" w:rsidR="005C262F" w:rsidRDefault="004C2C55" w:rsidP="000A1B54">
      <w:pPr>
        <w:spacing w:line="480" w:lineRule="auto"/>
      </w:pPr>
      <w:r>
        <w:t>There were distinct</w:t>
      </w:r>
      <w:r w:rsidR="005C262F">
        <w:t xml:space="preserve"> demographic inequalities. Age was negatively associated with COVID-19 risk, so that older populations were less likely to have tested positively. No association for sex was detected. Ethnic inequalities were evident, with greater risk of COVID-19 found for India</w:t>
      </w:r>
      <w:r w:rsidR="00EC63D1">
        <w:t>n</w:t>
      </w:r>
      <w:r w:rsidR="005C262F">
        <w:t xml:space="preserve"> (13% </w:t>
      </w:r>
      <w:r w:rsidR="00DF0893">
        <w:t>higher odds</w:t>
      </w:r>
      <w:r w:rsidR="005C262F">
        <w:t xml:space="preserve">), Pakistani (69%), Black African (36%) and White Irish (20%) populations than compared to White British populations. </w:t>
      </w:r>
      <w:r w:rsidR="000D59B2">
        <w:t>W</w:t>
      </w:r>
      <w:r w:rsidR="005C262F">
        <w:t xml:space="preserve">e observed </w:t>
      </w:r>
      <w:r w:rsidR="000D59B2">
        <w:t xml:space="preserve">a </w:t>
      </w:r>
      <w:r w:rsidR="005C262F">
        <w:t>greater likelihood of COVID-19 among individuals who had travelled abroad recently</w:t>
      </w:r>
      <w:r w:rsidR="000D59B2">
        <w:t>. Finally, there was</w:t>
      </w:r>
      <w:r w:rsidR="005C262F">
        <w:t xml:space="preserve"> a positive association to number of people in the household</w:t>
      </w:r>
      <w:r w:rsidR="000D59B2">
        <w:t>, suggesting greater prevalence of COVID-19 among larger households</w:t>
      </w:r>
      <w:r w:rsidR="005C262F">
        <w:t>.</w:t>
      </w:r>
    </w:p>
    <w:p w14:paraId="136FAE91" w14:textId="77777777" w:rsidR="00ED74AA" w:rsidRPr="00E33F52" w:rsidRDefault="00E33F52" w:rsidP="000A1B54">
      <w:pPr>
        <w:spacing w:line="480" w:lineRule="auto"/>
        <w:rPr>
          <w:b/>
        </w:rPr>
      </w:pPr>
      <w:r w:rsidRPr="00E33F52">
        <w:rPr>
          <w:b/>
        </w:rPr>
        <w:t xml:space="preserve">Table </w:t>
      </w:r>
      <w:r w:rsidR="002D545D">
        <w:rPr>
          <w:b/>
        </w:rPr>
        <w:t>1</w:t>
      </w:r>
      <w:r w:rsidR="00E61CDF" w:rsidRPr="00E33F52">
        <w:rPr>
          <w:b/>
        </w:rPr>
        <w:t>:</w:t>
      </w:r>
      <w:r w:rsidRPr="00E33F52">
        <w:rPr>
          <w:b/>
        </w:rPr>
        <w:t xml:space="preserve"> Model summary for analysing COVID-19 risk by socio-demographic features including occupational status.</w:t>
      </w:r>
      <w:r w:rsidR="00356E8F">
        <w:rPr>
          <w:b/>
        </w:rPr>
        <w:t xml:space="preserve"> Note: </w:t>
      </w:r>
      <w:r w:rsidR="00933F1E">
        <w:rPr>
          <w:b/>
        </w:rPr>
        <w:t xml:space="preserve">Model also adjusted for time (month). </w:t>
      </w:r>
      <w:r w:rsidR="00356E8F">
        <w:rPr>
          <w:b/>
        </w:rPr>
        <w:t>Results placed in bold to emphasise associations where 95% confidence intervals (CIs) do not contain 1.</w:t>
      </w:r>
    </w:p>
    <w:tbl>
      <w:tblPr>
        <w:tblW w:w="6540" w:type="dxa"/>
        <w:tblLook w:val="04A0" w:firstRow="1" w:lastRow="0" w:firstColumn="1" w:lastColumn="0" w:noHBand="0" w:noVBand="1"/>
      </w:tblPr>
      <w:tblGrid>
        <w:gridCol w:w="3029"/>
        <w:gridCol w:w="1304"/>
        <w:gridCol w:w="1100"/>
        <w:gridCol w:w="1107"/>
      </w:tblGrid>
      <w:tr w:rsidR="00E61CDF" w:rsidRPr="00E61CDF" w14:paraId="7DCFC23B" w14:textId="77777777" w:rsidTr="00356E8F">
        <w:trPr>
          <w:trHeight w:val="300"/>
        </w:trPr>
        <w:tc>
          <w:tcPr>
            <w:tcW w:w="3029" w:type="dxa"/>
            <w:tcBorders>
              <w:top w:val="single" w:sz="4" w:space="0" w:color="auto"/>
              <w:left w:val="nil"/>
              <w:bottom w:val="single" w:sz="4" w:space="0" w:color="auto"/>
              <w:right w:val="nil"/>
            </w:tcBorders>
            <w:shd w:val="clear" w:color="auto" w:fill="auto"/>
            <w:noWrap/>
            <w:vAlign w:val="bottom"/>
            <w:hideMark/>
          </w:tcPr>
          <w:p w14:paraId="3E889E9B"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Variable</w:t>
            </w:r>
          </w:p>
        </w:tc>
        <w:tc>
          <w:tcPr>
            <w:tcW w:w="1304" w:type="dxa"/>
            <w:tcBorders>
              <w:top w:val="single" w:sz="4" w:space="0" w:color="auto"/>
              <w:left w:val="nil"/>
              <w:bottom w:val="single" w:sz="4" w:space="0" w:color="auto"/>
              <w:right w:val="nil"/>
            </w:tcBorders>
            <w:shd w:val="clear" w:color="auto" w:fill="auto"/>
            <w:noWrap/>
            <w:vAlign w:val="bottom"/>
            <w:hideMark/>
          </w:tcPr>
          <w:p w14:paraId="1A39876A"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Odds Ratio</w:t>
            </w:r>
          </w:p>
        </w:tc>
        <w:tc>
          <w:tcPr>
            <w:tcW w:w="1100" w:type="dxa"/>
            <w:tcBorders>
              <w:top w:val="single" w:sz="4" w:space="0" w:color="auto"/>
              <w:left w:val="nil"/>
              <w:bottom w:val="single" w:sz="4" w:space="0" w:color="auto"/>
              <w:right w:val="nil"/>
            </w:tcBorders>
            <w:shd w:val="clear" w:color="auto" w:fill="auto"/>
            <w:noWrap/>
            <w:vAlign w:val="bottom"/>
            <w:hideMark/>
          </w:tcPr>
          <w:p w14:paraId="2C0C9E96"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Lower CI</w:t>
            </w:r>
          </w:p>
        </w:tc>
        <w:tc>
          <w:tcPr>
            <w:tcW w:w="1107" w:type="dxa"/>
            <w:tcBorders>
              <w:top w:val="single" w:sz="4" w:space="0" w:color="auto"/>
              <w:left w:val="nil"/>
              <w:bottom w:val="single" w:sz="4" w:space="0" w:color="auto"/>
              <w:right w:val="nil"/>
            </w:tcBorders>
            <w:shd w:val="clear" w:color="auto" w:fill="auto"/>
            <w:noWrap/>
            <w:vAlign w:val="bottom"/>
            <w:hideMark/>
          </w:tcPr>
          <w:p w14:paraId="7B2CB95B"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Upper CI</w:t>
            </w:r>
          </w:p>
        </w:tc>
      </w:tr>
      <w:tr w:rsidR="00E61CDF" w:rsidRPr="00E61CDF" w14:paraId="3DC23602" w14:textId="77777777" w:rsidTr="00933F1E">
        <w:trPr>
          <w:trHeight w:val="300"/>
        </w:trPr>
        <w:tc>
          <w:tcPr>
            <w:tcW w:w="3029" w:type="dxa"/>
            <w:tcBorders>
              <w:top w:val="nil"/>
              <w:left w:val="nil"/>
              <w:bottom w:val="nil"/>
              <w:right w:val="nil"/>
            </w:tcBorders>
            <w:shd w:val="clear" w:color="auto" w:fill="auto"/>
            <w:noWrap/>
            <w:vAlign w:val="bottom"/>
            <w:hideMark/>
          </w:tcPr>
          <w:p w14:paraId="265B3A1C"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Male</w:t>
            </w:r>
          </w:p>
        </w:tc>
        <w:tc>
          <w:tcPr>
            <w:tcW w:w="2404" w:type="dxa"/>
            <w:gridSpan w:val="2"/>
            <w:tcBorders>
              <w:top w:val="nil"/>
              <w:left w:val="nil"/>
              <w:bottom w:val="nil"/>
              <w:right w:val="nil"/>
            </w:tcBorders>
            <w:shd w:val="clear" w:color="auto" w:fill="auto"/>
            <w:noWrap/>
            <w:vAlign w:val="bottom"/>
            <w:hideMark/>
          </w:tcPr>
          <w:p w14:paraId="14D11493"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340EFB0F" w14:textId="77777777" w:rsidR="00E61CDF" w:rsidRPr="00E61CDF" w:rsidRDefault="00E61CDF" w:rsidP="000A1B54">
            <w:pPr>
              <w:spacing w:after="0" w:line="480" w:lineRule="auto"/>
              <w:rPr>
                <w:rFonts w:ascii="Calibri" w:eastAsia="Times New Roman" w:hAnsi="Calibri" w:cs="Times New Roman"/>
                <w:color w:val="000000"/>
                <w:lang w:eastAsia="en-GB"/>
              </w:rPr>
            </w:pPr>
          </w:p>
        </w:tc>
      </w:tr>
      <w:tr w:rsidR="00E61CDF" w:rsidRPr="00E61CDF" w14:paraId="22237458" w14:textId="77777777" w:rsidTr="00356E8F">
        <w:trPr>
          <w:trHeight w:val="300"/>
        </w:trPr>
        <w:tc>
          <w:tcPr>
            <w:tcW w:w="3029" w:type="dxa"/>
            <w:tcBorders>
              <w:top w:val="nil"/>
              <w:left w:val="nil"/>
              <w:bottom w:val="nil"/>
              <w:right w:val="nil"/>
            </w:tcBorders>
            <w:shd w:val="clear" w:color="auto" w:fill="auto"/>
            <w:noWrap/>
            <w:vAlign w:val="bottom"/>
            <w:hideMark/>
          </w:tcPr>
          <w:p w14:paraId="5E9EB01C"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Female</w:t>
            </w:r>
          </w:p>
        </w:tc>
        <w:tc>
          <w:tcPr>
            <w:tcW w:w="1304" w:type="dxa"/>
            <w:tcBorders>
              <w:top w:val="nil"/>
              <w:left w:val="nil"/>
              <w:bottom w:val="nil"/>
              <w:right w:val="nil"/>
            </w:tcBorders>
            <w:shd w:val="clear" w:color="auto" w:fill="auto"/>
            <w:noWrap/>
            <w:vAlign w:val="bottom"/>
            <w:hideMark/>
          </w:tcPr>
          <w:p w14:paraId="08D703A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0.994</w:t>
            </w:r>
          </w:p>
        </w:tc>
        <w:tc>
          <w:tcPr>
            <w:tcW w:w="1100" w:type="dxa"/>
            <w:tcBorders>
              <w:top w:val="nil"/>
              <w:left w:val="nil"/>
              <w:bottom w:val="nil"/>
              <w:right w:val="nil"/>
            </w:tcBorders>
            <w:shd w:val="clear" w:color="auto" w:fill="auto"/>
            <w:noWrap/>
            <w:vAlign w:val="bottom"/>
            <w:hideMark/>
          </w:tcPr>
          <w:p w14:paraId="3BB40392"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0.958</w:t>
            </w:r>
          </w:p>
        </w:tc>
        <w:tc>
          <w:tcPr>
            <w:tcW w:w="1107" w:type="dxa"/>
            <w:tcBorders>
              <w:top w:val="nil"/>
              <w:left w:val="nil"/>
              <w:bottom w:val="nil"/>
              <w:right w:val="nil"/>
            </w:tcBorders>
            <w:shd w:val="clear" w:color="auto" w:fill="auto"/>
            <w:noWrap/>
            <w:vAlign w:val="bottom"/>
            <w:hideMark/>
          </w:tcPr>
          <w:p w14:paraId="03F9D315"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1.031</w:t>
            </w:r>
          </w:p>
        </w:tc>
      </w:tr>
      <w:tr w:rsidR="00E61CDF" w:rsidRPr="00E61CDF" w14:paraId="10F059B1" w14:textId="77777777" w:rsidTr="00356E8F">
        <w:trPr>
          <w:trHeight w:val="300"/>
        </w:trPr>
        <w:tc>
          <w:tcPr>
            <w:tcW w:w="3029" w:type="dxa"/>
            <w:tcBorders>
              <w:top w:val="nil"/>
              <w:left w:val="nil"/>
              <w:bottom w:val="nil"/>
              <w:right w:val="nil"/>
            </w:tcBorders>
            <w:shd w:val="clear" w:color="auto" w:fill="auto"/>
            <w:noWrap/>
            <w:vAlign w:val="bottom"/>
            <w:hideMark/>
          </w:tcPr>
          <w:p w14:paraId="453311C9"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Age</w:t>
            </w:r>
            <w:r w:rsidR="00933F1E">
              <w:rPr>
                <w:rFonts w:ascii="Calibri" w:eastAsia="Times New Roman" w:hAnsi="Calibri" w:cs="Times New Roman"/>
                <w:color w:val="000000"/>
                <w:lang w:eastAsia="en-GB"/>
              </w:rPr>
              <w:t xml:space="preserve"> (z-score)</w:t>
            </w:r>
          </w:p>
        </w:tc>
        <w:tc>
          <w:tcPr>
            <w:tcW w:w="1304" w:type="dxa"/>
            <w:tcBorders>
              <w:top w:val="nil"/>
              <w:left w:val="nil"/>
              <w:bottom w:val="nil"/>
              <w:right w:val="nil"/>
            </w:tcBorders>
            <w:shd w:val="clear" w:color="auto" w:fill="auto"/>
            <w:noWrap/>
            <w:vAlign w:val="bottom"/>
            <w:hideMark/>
          </w:tcPr>
          <w:p w14:paraId="533E203D"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0.858</w:t>
            </w:r>
          </w:p>
        </w:tc>
        <w:tc>
          <w:tcPr>
            <w:tcW w:w="1100" w:type="dxa"/>
            <w:tcBorders>
              <w:top w:val="nil"/>
              <w:left w:val="nil"/>
              <w:bottom w:val="nil"/>
              <w:right w:val="nil"/>
            </w:tcBorders>
            <w:shd w:val="clear" w:color="auto" w:fill="auto"/>
            <w:noWrap/>
            <w:vAlign w:val="bottom"/>
            <w:hideMark/>
          </w:tcPr>
          <w:p w14:paraId="1167A44C"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0.763</w:t>
            </w:r>
          </w:p>
        </w:tc>
        <w:tc>
          <w:tcPr>
            <w:tcW w:w="1107" w:type="dxa"/>
            <w:tcBorders>
              <w:top w:val="nil"/>
              <w:left w:val="nil"/>
              <w:bottom w:val="nil"/>
              <w:right w:val="nil"/>
            </w:tcBorders>
            <w:shd w:val="clear" w:color="auto" w:fill="auto"/>
            <w:noWrap/>
            <w:vAlign w:val="bottom"/>
            <w:hideMark/>
          </w:tcPr>
          <w:p w14:paraId="5016ACCF"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0.965</w:t>
            </w:r>
          </w:p>
        </w:tc>
      </w:tr>
      <w:tr w:rsidR="00E61CDF" w:rsidRPr="00E61CDF" w14:paraId="50A02AB5" w14:textId="77777777" w:rsidTr="00356E8F">
        <w:trPr>
          <w:trHeight w:val="300"/>
        </w:trPr>
        <w:tc>
          <w:tcPr>
            <w:tcW w:w="3029" w:type="dxa"/>
            <w:tcBorders>
              <w:top w:val="nil"/>
              <w:left w:val="nil"/>
              <w:bottom w:val="nil"/>
              <w:right w:val="nil"/>
            </w:tcBorders>
            <w:shd w:val="clear" w:color="auto" w:fill="auto"/>
            <w:noWrap/>
            <w:vAlign w:val="bottom"/>
            <w:hideMark/>
          </w:tcPr>
          <w:p w14:paraId="6FADA2A1"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Age-squared</w:t>
            </w:r>
            <w:r w:rsidR="00933F1E">
              <w:rPr>
                <w:rFonts w:ascii="Calibri" w:eastAsia="Times New Roman" w:hAnsi="Calibri" w:cs="Times New Roman"/>
                <w:color w:val="000000"/>
                <w:lang w:eastAsia="en-GB"/>
              </w:rPr>
              <w:t xml:space="preserve"> (z-score)</w:t>
            </w:r>
          </w:p>
        </w:tc>
        <w:tc>
          <w:tcPr>
            <w:tcW w:w="1304" w:type="dxa"/>
            <w:tcBorders>
              <w:top w:val="nil"/>
              <w:left w:val="nil"/>
              <w:bottom w:val="nil"/>
              <w:right w:val="nil"/>
            </w:tcBorders>
            <w:shd w:val="clear" w:color="auto" w:fill="auto"/>
            <w:noWrap/>
            <w:vAlign w:val="bottom"/>
            <w:hideMark/>
          </w:tcPr>
          <w:p w14:paraId="7344F7B1"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1.003</w:t>
            </w:r>
          </w:p>
        </w:tc>
        <w:tc>
          <w:tcPr>
            <w:tcW w:w="1100" w:type="dxa"/>
            <w:tcBorders>
              <w:top w:val="nil"/>
              <w:left w:val="nil"/>
              <w:bottom w:val="nil"/>
              <w:right w:val="nil"/>
            </w:tcBorders>
            <w:shd w:val="clear" w:color="auto" w:fill="auto"/>
            <w:noWrap/>
            <w:vAlign w:val="bottom"/>
            <w:hideMark/>
          </w:tcPr>
          <w:p w14:paraId="37DF2F3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0.884</w:t>
            </w:r>
          </w:p>
        </w:tc>
        <w:tc>
          <w:tcPr>
            <w:tcW w:w="1107" w:type="dxa"/>
            <w:tcBorders>
              <w:top w:val="nil"/>
              <w:left w:val="nil"/>
              <w:bottom w:val="nil"/>
              <w:right w:val="nil"/>
            </w:tcBorders>
            <w:shd w:val="clear" w:color="auto" w:fill="auto"/>
            <w:noWrap/>
            <w:vAlign w:val="bottom"/>
            <w:hideMark/>
          </w:tcPr>
          <w:p w14:paraId="0823632B"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1.138</w:t>
            </w:r>
          </w:p>
        </w:tc>
      </w:tr>
      <w:tr w:rsidR="00E61CDF" w:rsidRPr="00E61CDF" w14:paraId="527D5B10" w14:textId="77777777" w:rsidTr="00933F1E">
        <w:trPr>
          <w:trHeight w:val="300"/>
        </w:trPr>
        <w:tc>
          <w:tcPr>
            <w:tcW w:w="3029" w:type="dxa"/>
            <w:tcBorders>
              <w:top w:val="nil"/>
              <w:left w:val="nil"/>
              <w:bottom w:val="nil"/>
              <w:right w:val="nil"/>
            </w:tcBorders>
            <w:shd w:val="clear" w:color="auto" w:fill="auto"/>
            <w:noWrap/>
            <w:vAlign w:val="bottom"/>
            <w:hideMark/>
          </w:tcPr>
          <w:p w14:paraId="2B934389"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White British</w:t>
            </w:r>
          </w:p>
        </w:tc>
        <w:tc>
          <w:tcPr>
            <w:tcW w:w="2404" w:type="dxa"/>
            <w:gridSpan w:val="2"/>
            <w:tcBorders>
              <w:top w:val="nil"/>
              <w:left w:val="nil"/>
              <w:bottom w:val="nil"/>
              <w:right w:val="nil"/>
            </w:tcBorders>
            <w:shd w:val="clear" w:color="auto" w:fill="auto"/>
            <w:noWrap/>
            <w:vAlign w:val="bottom"/>
            <w:hideMark/>
          </w:tcPr>
          <w:p w14:paraId="4B92BA2F"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56FD67A0" w14:textId="77777777" w:rsidR="00E61CDF" w:rsidRPr="00E61CDF" w:rsidRDefault="00E61CDF" w:rsidP="000A1B54">
            <w:pPr>
              <w:spacing w:after="0" w:line="480" w:lineRule="auto"/>
              <w:rPr>
                <w:rFonts w:ascii="Calibri" w:eastAsia="Times New Roman" w:hAnsi="Calibri" w:cs="Times New Roman"/>
                <w:color w:val="000000"/>
                <w:lang w:eastAsia="en-GB"/>
              </w:rPr>
            </w:pPr>
          </w:p>
        </w:tc>
      </w:tr>
      <w:tr w:rsidR="00E61CDF" w:rsidRPr="00E61CDF" w14:paraId="463AA596" w14:textId="77777777" w:rsidTr="00356E8F">
        <w:trPr>
          <w:trHeight w:val="300"/>
        </w:trPr>
        <w:tc>
          <w:tcPr>
            <w:tcW w:w="3029" w:type="dxa"/>
            <w:tcBorders>
              <w:top w:val="nil"/>
              <w:left w:val="nil"/>
              <w:bottom w:val="nil"/>
              <w:right w:val="nil"/>
            </w:tcBorders>
            <w:shd w:val="clear" w:color="auto" w:fill="auto"/>
            <w:noWrap/>
            <w:vAlign w:val="bottom"/>
            <w:hideMark/>
          </w:tcPr>
          <w:p w14:paraId="2E1B4AE8"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Any other ethnic group</w:t>
            </w:r>
          </w:p>
        </w:tc>
        <w:tc>
          <w:tcPr>
            <w:tcW w:w="1304" w:type="dxa"/>
            <w:tcBorders>
              <w:top w:val="nil"/>
              <w:left w:val="nil"/>
              <w:bottom w:val="nil"/>
              <w:right w:val="nil"/>
            </w:tcBorders>
            <w:shd w:val="clear" w:color="auto" w:fill="auto"/>
            <w:noWrap/>
            <w:vAlign w:val="bottom"/>
            <w:hideMark/>
          </w:tcPr>
          <w:p w14:paraId="681574CE"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1.102</w:t>
            </w:r>
          </w:p>
        </w:tc>
        <w:tc>
          <w:tcPr>
            <w:tcW w:w="1100" w:type="dxa"/>
            <w:tcBorders>
              <w:top w:val="nil"/>
              <w:left w:val="nil"/>
              <w:bottom w:val="nil"/>
              <w:right w:val="nil"/>
            </w:tcBorders>
            <w:shd w:val="clear" w:color="auto" w:fill="auto"/>
            <w:noWrap/>
            <w:vAlign w:val="bottom"/>
            <w:hideMark/>
          </w:tcPr>
          <w:p w14:paraId="1A2EEA77"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0.985</w:t>
            </w:r>
          </w:p>
        </w:tc>
        <w:tc>
          <w:tcPr>
            <w:tcW w:w="1107" w:type="dxa"/>
            <w:tcBorders>
              <w:top w:val="nil"/>
              <w:left w:val="nil"/>
              <w:bottom w:val="nil"/>
              <w:right w:val="nil"/>
            </w:tcBorders>
            <w:shd w:val="clear" w:color="auto" w:fill="auto"/>
            <w:noWrap/>
            <w:vAlign w:val="bottom"/>
            <w:hideMark/>
          </w:tcPr>
          <w:p w14:paraId="14E592BA"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1.235</w:t>
            </w:r>
          </w:p>
        </w:tc>
      </w:tr>
      <w:tr w:rsidR="00E61CDF" w:rsidRPr="00E61CDF" w14:paraId="74A5F485" w14:textId="77777777" w:rsidTr="00356E8F">
        <w:trPr>
          <w:trHeight w:val="300"/>
        </w:trPr>
        <w:tc>
          <w:tcPr>
            <w:tcW w:w="3029" w:type="dxa"/>
            <w:tcBorders>
              <w:top w:val="nil"/>
              <w:left w:val="nil"/>
              <w:bottom w:val="nil"/>
              <w:right w:val="nil"/>
            </w:tcBorders>
            <w:shd w:val="clear" w:color="auto" w:fill="auto"/>
            <w:noWrap/>
            <w:vAlign w:val="bottom"/>
            <w:hideMark/>
          </w:tcPr>
          <w:p w14:paraId="52EF584A"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Any other white background</w:t>
            </w:r>
          </w:p>
        </w:tc>
        <w:tc>
          <w:tcPr>
            <w:tcW w:w="1304" w:type="dxa"/>
            <w:tcBorders>
              <w:top w:val="nil"/>
              <w:left w:val="nil"/>
              <w:bottom w:val="nil"/>
              <w:right w:val="nil"/>
            </w:tcBorders>
            <w:shd w:val="clear" w:color="auto" w:fill="auto"/>
            <w:noWrap/>
            <w:vAlign w:val="bottom"/>
            <w:hideMark/>
          </w:tcPr>
          <w:p w14:paraId="431ADED5"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0.987</w:t>
            </w:r>
          </w:p>
        </w:tc>
        <w:tc>
          <w:tcPr>
            <w:tcW w:w="1100" w:type="dxa"/>
            <w:tcBorders>
              <w:top w:val="nil"/>
              <w:left w:val="nil"/>
              <w:bottom w:val="nil"/>
              <w:right w:val="nil"/>
            </w:tcBorders>
            <w:shd w:val="clear" w:color="auto" w:fill="auto"/>
            <w:noWrap/>
            <w:vAlign w:val="bottom"/>
            <w:hideMark/>
          </w:tcPr>
          <w:p w14:paraId="78E363F2"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0.903</w:t>
            </w:r>
          </w:p>
        </w:tc>
        <w:tc>
          <w:tcPr>
            <w:tcW w:w="1107" w:type="dxa"/>
            <w:tcBorders>
              <w:top w:val="nil"/>
              <w:left w:val="nil"/>
              <w:bottom w:val="nil"/>
              <w:right w:val="nil"/>
            </w:tcBorders>
            <w:shd w:val="clear" w:color="auto" w:fill="auto"/>
            <w:noWrap/>
            <w:vAlign w:val="bottom"/>
            <w:hideMark/>
          </w:tcPr>
          <w:p w14:paraId="467E418F"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1.080</w:t>
            </w:r>
          </w:p>
        </w:tc>
      </w:tr>
      <w:tr w:rsidR="00E61CDF" w:rsidRPr="00E61CDF" w14:paraId="5E2409FA" w14:textId="77777777" w:rsidTr="00356E8F">
        <w:trPr>
          <w:trHeight w:val="300"/>
        </w:trPr>
        <w:tc>
          <w:tcPr>
            <w:tcW w:w="3029" w:type="dxa"/>
            <w:tcBorders>
              <w:top w:val="nil"/>
              <w:left w:val="nil"/>
              <w:bottom w:val="nil"/>
              <w:right w:val="nil"/>
            </w:tcBorders>
            <w:shd w:val="clear" w:color="auto" w:fill="auto"/>
            <w:noWrap/>
            <w:vAlign w:val="bottom"/>
            <w:hideMark/>
          </w:tcPr>
          <w:p w14:paraId="1DA28FE6"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Chinese</w:t>
            </w:r>
          </w:p>
        </w:tc>
        <w:tc>
          <w:tcPr>
            <w:tcW w:w="1304" w:type="dxa"/>
            <w:tcBorders>
              <w:top w:val="nil"/>
              <w:left w:val="nil"/>
              <w:bottom w:val="nil"/>
              <w:right w:val="nil"/>
            </w:tcBorders>
            <w:shd w:val="clear" w:color="auto" w:fill="auto"/>
            <w:noWrap/>
            <w:vAlign w:val="bottom"/>
            <w:hideMark/>
          </w:tcPr>
          <w:p w14:paraId="00772E85"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0.624</w:t>
            </w:r>
          </w:p>
        </w:tc>
        <w:tc>
          <w:tcPr>
            <w:tcW w:w="1100" w:type="dxa"/>
            <w:tcBorders>
              <w:top w:val="nil"/>
              <w:left w:val="nil"/>
              <w:bottom w:val="nil"/>
              <w:right w:val="nil"/>
            </w:tcBorders>
            <w:shd w:val="clear" w:color="auto" w:fill="auto"/>
            <w:noWrap/>
            <w:vAlign w:val="bottom"/>
            <w:hideMark/>
          </w:tcPr>
          <w:p w14:paraId="77404E20"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0.468</w:t>
            </w:r>
          </w:p>
        </w:tc>
        <w:tc>
          <w:tcPr>
            <w:tcW w:w="1107" w:type="dxa"/>
            <w:tcBorders>
              <w:top w:val="nil"/>
              <w:left w:val="nil"/>
              <w:bottom w:val="nil"/>
              <w:right w:val="nil"/>
            </w:tcBorders>
            <w:shd w:val="clear" w:color="auto" w:fill="auto"/>
            <w:noWrap/>
            <w:vAlign w:val="bottom"/>
            <w:hideMark/>
          </w:tcPr>
          <w:p w14:paraId="7902091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0.833</w:t>
            </w:r>
          </w:p>
        </w:tc>
      </w:tr>
      <w:tr w:rsidR="00E61CDF" w:rsidRPr="00E61CDF" w14:paraId="6F743CD8" w14:textId="77777777" w:rsidTr="00356E8F">
        <w:trPr>
          <w:trHeight w:val="300"/>
        </w:trPr>
        <w:tc>
          <w:tcPr>
            <w:tcW w:w="3029" w:type="dxa"/>
            <w:tcBorders>
              <w:top w:val="nil"/>
              <w:left w:val="nil"/>
              <w:bottom w:val="nil"/>
              <w:right w:val="nil"/>
            </w:tcBorders>
            <w:shd w:val="clear" w:color="auto" w:fill="auto"/>
            <w:noWrap/>
            <w:vAlign w:val="bottom"/>
            <w:hideMark/>
          </w:tcPr>
          <w:p w14:paraId="279FAC70"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Indian</w:t>
            </w:r>
          </w:p>
        </w:tc>
        <w:tc>
          <w:tcPr>
            <w:tcW w:w="1304" w:type="dxa"/>
            <w:tcBorders>
              <w:top w:val="nil"/>
              <w:left w:val="nil"/>
              <w:bottom w:val="nil"/>
              <w:right w:val="nil"/>
            </w:tcBorders>
            <w:shd w:val="clear" w:color="auto" w:fill="auto"/>
            <w:noWrap/>
            <w:vAlign w:val="bottom"/>
            <w:hideMark/>
          </w:tcPr>
          <w:p w14:paraId="33A71EC1"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1.130</w:t>
            </w:r>
          </w:p>
        </w:tc>
        <w:tc>
          <w:tcPr>
            <w:tcW w:w="1100" w:type="dxa"/>
            <w:tcBorders>
              <w:top w:val="nil"/>
              <w:left w:val="nil"/>
              <w:bottom w:val="nil"/>
              <w:right w:val="nil"/>
            </w:tcBorders>
            <w:shd w:val="clear" w:color="auto" w:fill="auto"/>
            <w:noWrap/>
            <w:vAlign w:val="bottom"/>
            <w:hideMark/>
          </w:tcPr>
          <w:p w14:paraId="2D53925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1.004</w:t>
            </w:r>
          </w:p>
        </w:tc>
        <w:tc>
          <w:tcPr>
            <w:tcW w:w="1107" w:type="dxa"/>
            <w:tcBorders>
              <w:top w:val="nil"/>
              <w:left w:val="nil"/>
              <w:bottom w:val="nil"/>
              <w:right w:val="nil"/>
            </w:tcBorders>
            <w:shd w:val="clear" w:color="auto" w:fill="auto"/>
            <w:noWrap/>
            <w:vAlign w:val="bottom"/>
            <w:hideMark/>
          </w:tcPr>
          <w:p w14:paraId="7A216D8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1.273</w:t>
            </w:r>
          </w:p>
        </w:tc>
      </w:tr>
      <w:tr w:rsidR="00E61CDF" w:rsidRPr="00E61CDF" w14:paraId="34D9B84B" w14:textId="77777777" w:rsidTr="00356E8F">
        <w:trPr>
          <w:trHeight w:val="300"/>
        </w:trPr>
        <w:tc>
          <w:tcPr>
            <w:tcW w:w="3029" w:type="dxa"/>
            <w:tcBorders>
              <w:top w:val="nil"/>
              <w:left w:val="nil"/>
              <w:bottom w:val="nil"/>
              <w:right w:val="nil"/>
            </w:tcBorders>
            <w:shd w:val="clear" w:color="auto" w:fill="auto"/>
            <w:noWrap/>
            <w:vAlign w:val="bottom"/>
            <w:hideMark/>
          </w:tcPr>
          <w:p w14:paraId="594F1218"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Pakistani</w:t>
            </w:r>
          </w:p>
        </w:tc>
        <w:tc>
          <w:tcPr>
            <w:tcW w:w="1304" w:type="dxa"/>
            <w:tcBorders>
              <w:top w:val="nil"/>
              <w:left w:val="nil"/>
              <w:bottom w:val="nil"/>
              <w:right w:val="nil"/>
            </w:tcBorders>
            <w:shd w:val="clear" w:color="auto" w:fill="auto"/>
            <w:noWrap/>
            <w:vAlign w:val="bottom"/>
            <w:hideMark/>
          </w:tcPr>
          <w:p w14:paraId="497604A6"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1.687</w:t>
            </w:r>
          </w:p>
        </w:tc>
        <w:tc>
          <w:tcPr>
            <w:tcW w:w="1100" w:type="dxa"/>
            <w:tcBorders>
              <w:top w:val="nil"/>
              <w:left w:val="nil"/>
              <w:bottom w:val="nil"/>
              <w:right w:val="nil"/>
            </w:tcBorders>
            <w:shd w:val="clear" w:color="auto" w:fill="auto"/>
            <w:noWrap/>
            <w:vAlign w:val="bottom"/>
            <w:hideMark/>
          </w:tcPr>
          <w:p w14:paraId="4F9D3DA7"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1.389</w:t>
            </w:r>
          </w:p>
        </w:tc>
        <w:tc>
          <w:tcPr>
            <w:tcW w:w="1107" w:type="dxa"/>
            <w:tcBorders>
              <w:top w:val="nil"/>
              <w:left w:val="nil"/>
              <w:bottom w:val="nil"/>
              <w:right w:val="nil"/>
            </w:tcBorders>
            <w:shd w:val="clear" w:color="auto" w:fill="auto"/>
            <w:noWrap/>
            <w:vAlign w:val="bottom"/>
            <w:hideMark/>
          </w:tcPr>
          <w:p w14:paraId="5E531857"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2.048</w:t>
            </w:r>
          </w:p>
        </w:tc>
      </w:tr>
      <w:tr w:rsidR="00E61CDF" w:rsidRPr="00E61CDF" w14:paraId="143F3487" w14:textId="77777777" w:rsidTr="00356E8F">
        <w:trPr>
          <w:trHeight w:val="300"/>
        </w:trPr>
        <w:tc>
          <w:tcPr>
            <w:tcW w:w="3029" w:type="dxa"/>
            <w:tcBorders>
              <w:top w:val="nil"/>
              <w:left w:val="nil"/>
              <w:bottom w:val="nil"/>
              <w:right w:val="nil"/>
            </w:tcBorders>
            <w:shd w:val="clear" w:color="auto" w:fill="auto"/>
            <w:noWrap/>
            <w:vAlign w:val="bottom"/>
            <w:hideMark/>
          </w:tcPr>
          <w:p w14:paraId="1F7FE44C"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Black</w:t>
            </w:r>
            <w:r w:rsidR="005C262F">
              <w:rPr>
                <w:rFonts w:ascii="Calibri" w:eastAsia="Times New Roman" w:hAnsi="Calibri" w:cs="Times New Roman"/>
                <w:color w:val="000000"/>
                <w:lang w:eastAsia="en-GB"/>
              </w:rPr>
              <w:t xml:space="preserve"> </w:t>
            </w:r>
            <w:r w:rsidRPr="00E61CDF">
              <w:rPr>
                <w:rFonts w:ascii="Calibri" w:eastAsia="Times New Roman" w:hAnsi="Calibri" w:cs="Times New Roman"/>
                <w:color w:val="000000"/>
                <w:lang w:eastAsia="en-GB"/>
              </w:rPr>
              <w:t>African</w:t>
            </w:r>
          </w:p>
        </w:tc>
        <w:tc>
          <w:tcPr>
            <w:tcW w:w="1304" w:type="dxa"/>
            <w:tcBorders>
              <w:top w:val="nil"/>
              <w:left w:val="nil"/>
              <w:bottom w:val="nil"/>
              <w:right w:val="nil"/>
            </w:tcBorders>
            <w:shd w:val="clear" w:color="auto" w:fill="auto"/>
            <w:noWrap/>
            <w:vAlign w:val="bottom"/>
            <w:hideMark/>
          </w:tcPr>
          <w:p w14:paraId="0866034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1.359</w:t>
            </w:r>
          </w:p>
        </w:tc>
        <w:tc>
          <w:tcPr>
            <w:tcW w:w="1100" w:type="dxa"/>
            <w:tcBorders>
              <w:top w:val="nil"/>
              <w:left w:val="nil"/>
              <w:bottom w:val="nil"/>
              <w:right w:val="nil"/>
            </w:tcBorders>
            <w:shd w:val="clear" w:color="auto" w:fill="auto"/>
            <w:noWrap/>
            <w:vAlign w:val="bottom"/>
            <w:hideMark/>
          </w:tcPr>
          <w:p w14:paraId="4C98F2E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1.086</w:t>
            </w:r>
          </w:p>
        </w:tc>
        <w:tc>
          <w:tcPr>
            <w:tcW w:w="1107" w:type="dxa"/>
            <w:tcBorders>
              <w:top w:val="nil"/>
              <w:left w:val="nil"/>
              <w:bottom w:val="nil"/>
              <w:right w:val="nil"/>
            </w:tcBorders>
            <w:shd w:val="clear" w:color="auto" w:fill="auto"/>
            <w:noWrap/>
            <w:vAlign w:val="bottom"/>
            <w:hideMark/>
          </w:tcPr>
          <w:p w14:paraId="22AAF9D5"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1.700</w:t>
            </w:r>
          </w:p>
        </w:tc>
      </w:tr>
      <w:tr w:rsidR="00E61CDF" w:rsidRPr="00E61CDF" w14:paraId="565A1DF5" w14:textId="77777777" w:rsidTr="00356E8F">
        <w:trPr>
          <w:trHeight w:val="300"/>
        </w:trPr>
        <w:tc>
          <w:tcPr>
            <w:tcW w:w="3029" w:type="dxa"/>
            <w:tcBorders>
              <w:top w:val="nil"/>
              <w:left w:val="nil"/>
              <w:bottom w:val="nil"/>
              <w:right w:val="nil"/>
            </w:tcBorders>
            <w:shd w:val="clear" w:color="auto" w:fill="auto"/>
            <w:noWrap/>
            <w:vAlign w:val="bottom"/>
            <w:hideMark/>
          </w:tcPr>
          <w:p w14:paraId="57CED1D8"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lastRenderedPageBreak/>
              <w:t>Black Afro-Caribbean</w:t>
            </w:r>
          </w:p>
        </w:tc>
        <w:tc>
          <w:tcPr>
            <w:tcW w:w="1304" w:type="dxa"/>
            <w:tcBorders>
              <w:top w:val="nil"/>
              <w:left w:val="nil"/>
              <w:bottom w:val="nil"/>
              <w:right w:val="nil"/>
            </w:tcBorders>
            <w:shd w:val="clear" w:color="auto" w:fill="auto"/>
            <w:noWrap/>
            <w:vAlign w:val="bottom"/>
            <w:hideMark/>
          </w:tcPr>
          <w:p w14:paraId="34552B27"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1.123</w:t>
            </w:r>
          </w:p>
        </w:tc>
        <w:tc>
          <w:tcPr>
            <w:tcW w:w="1100" w:type="dxa"/>
            <w:tcBorders>
              <w:top w:val="nil"/>
              <w:left w:val="nil"/>
              <w:bottom w:val="nil"/>
              <w:right w:val="nil"/>
            </w:tcBorders>
            <w:shd w:val="clear" w:color="auto" w:fill="auto"/>
            <w:noWrap/>
            <w:vAlign w:val="bottom"/>
            <w:hideMark/>
          </w:tcPr>
          <w:p w14:paraId="42654F4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0.848</w:t>
            </w:r>
          </w:p>
        </w:tc>
        <w:tc>
          <w:tcPr>
            <w:tcW w:w="1107" w:type="dxa"/>
            <w:tcBorders>
              <w:top w:val="nil"/>
              <w:left w:val="nil"/>
              <w:bottom w:val="nil"/>
              <w:right w:val="nil"/>
            </w:tcBorders>
            <w:shd w:val="clear" w:color="auto" w:fill="auto"/>
            <w:noWrap/>
            <w:vAlign w:val="bottom"/>
            <w:hideMark/>
          </w:tcPr>
          <w:p w14:paraId="439F6E5F"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1.486</w:t>
            </w:r>
          </w:p>
        </w:tc>
      </w:tr>
      <w:tr w:rsidR="00E61CDF" w:rsidRPr="00E61CDF" w14:paraId="24D6E757" w14:textId="77777777" w:rsidTr="00356E8F">
        <w:trPr>
          <w:trHeight w:val="300"/>
        </w:trPr>
        <w:tc>
          <w:tcPr>
            <w:tcW w:w="3029" w:type="dxa"/>
            <w:tcBorders>
              <w:top w:val="nil"/>
              <w:left w:val="nil"/>
              <w:bottom w:val="nil"/>
              <w:right w:val="nil"/>
            </w:tcBorders>
            <w:shd w:val="clear" w:color="auto" w:fill="auto"/>
            <w:noWrap/>
            <w:vAlign w:val="bottom"/>
            <w:hideMark/>
          </w:tcPr>
          <w:p w14:paraId="5A3C2BF9"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Mixed</w:t>
            </w:r>
            <w:r w:rsidR="005C262F">
              <w:rPr>
                <w:rFonts w:ascii="Calibri" w:eastAsia="Times New Roman" w:hAnsi="Calibri" w:cs="Times New Roman"/>
                <w:color w:val="000000"/>
                <w:lang w:eastAsia="en-GB"/>
              </w:rPr>
              <w:t xml:space="preserve"> </w:t>
            </w:r>
            <w:r w:rsidRPr="00E61CDF">
              <w:rPr>
                <w:rFonts w:ascii="Calibri" w:eastAsia="Times New Roman" w:hAnsi="Calibri" w:cs="Times New Roman"/>
                <w:color w:val="000000"/>
                <w:lang w:eastAsia="en-GB"/>
              </w:rPr>
              <w:t>White &amp; Asian</w:t>
            </w:r>
          </w:p>
        </w:tc>
        <w:tc>
          <w:tcPr>
            <w:tcW w:w="1304" w:type="dxa"/>
            <w:tcBorders>
              <w:top w:val="nil"/>
              <w:left w:val="nil"/>
              <w:bottom w:val="nil"/>
              <w:right w:val="nil"/>
            </w:tcBorders>
            <w:shd w:val="clear" w:color="auto" w:fill="auto"/>
            <w:noWrap/>
            <w:vAlign w:val="bottom"/>
            <w:hideMark/>
          </w:tcPr>
          <w:p w14:paraId="516FE5D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0.874</w:t>
            </w:r>
          </w:p>
        </w:tc>
        <w:tc>
          <w:tcPr>
            <w:tcW w:w="1100" w:type="dxa"/>
            <w:tcBorders>
              <w:top w:val="nil"/>
              <w:left w:val="nil"/>
              <w:bottom w:val="nil"/>
              <w:right w:val="nil"/>
            </w:tcBorders>
            <w:shd w:val="clear" w:color="auto" w:fill="auto"/>
            <w:noWrap/>
            <w:vAlign w:val="bottom"/>
            <w:hideMark/>
          </w:tcPr>
          <w:p w14:paraId="4CD16902"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0.675</w:t>
            </w:r>
          </w:p>
        </w:tc>
        <w:tc>
          <w:tcPr>
            <w:tcW w:w="1107" w:type="dxa"/>
            <w:tcBorders>
              <w:top w:val="nil"/>
              <w:left w:val="nil"/>
              <w:bottom w:val="nil"/>
              <w:right w:val="nil"/>
            </w:tcBorders>
            <w:shd w:val="clear" w:color="auto" w:fill="auto"/>
            <w:noWrap/>
            <w:vAlign w:val="bottom"/>
            <w:hideMark/>
          </w:tcPr>
          <w:p w14:paraId="18B64DE4"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1.131</w:t>
            </w:r>
          </w:p>
        </w:tc>
      </w:tr>
      <w:tr w:rsidR="00E61CDF" w:rsidRPr="00E61CDF" w14:paraId="68DE7E31" w14:textId="77777777" w:rsidTr="00356E8F">
        <w:trPr>
          <w:trHeight w:val="300"/>
        </w:trPr>
        <w:tc>
          <w:tcPr>
            <w:tcW w:w="3029" w:type="dxa"/>
            <w:tcBorders>
              <w:top w:val="nil"/>
              <w:left w:val="nil"/>
              <w:bottom w:val="nil"/>
              <w:right w:val="nil"/>
            </w:tcBorders>
            <w:shd w:val="clear" w:color="auto" w:fill="auto"/>
            <w:noWrap/>
            <w:vAlign w:val="bottom"/>
            <w:hideMark/>
          </w:tcPr>
          <w:p w14:paraId="6375C155"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Mixed</w:t>
            </w:r>
            <w:r w:rsidR="005C262F">
              <w:rPr>
                <w:rFonts w:ascii="Calibri" w:eastAsia="Times New Roman" w:hAnsi="Calibri" w:cs="Times New Roman"/>
                <w:color w:val="000000"/>
                <w:lang w:eastAsia="en-GB"/>
              </w:rPr>
              <w:t xml:space="preserve"> </w:t>
            </w:r>
            <w:r w:rsidRPr="00E61CDF">
              <w:rPr>
                <w:rFonts w:ascii="Calibri" w:eastAsia="Times New Roman" w:hAnsi="Calibri" w:cs="Times New Roman"/>
                <w:color w:val="000000"/>
                <w:lang w:eastAsia="en-GB"/>
              </w:rPr>
              <w:t>White &amp; Black</w:t>
            </w:r>
          </w:p>
        </w:tc>
        <w:tc>
          <w:tcPr>
            <w:tcW w:w="1304" w:type="dxa"/>
            <w:tcBorders>
              <w:top w:val="nil"/>
              <w:left w:val="nil"/>
              <w:bottom w:val="nil"/>
              <w:right w:val="nil"/>
            </w:tcBorders>
            <w:shd w:val="clear" w:color="auto" w:fill="auto"/>
            <w:noWrap/>
            <w:vAlign w:val="bottom"/>
            <w:hideMark/>
          </w:tcPr>
          <w:p w14:paraId="3786B3B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1.190</w:t>
            </w:r>
          </w:p>
        </w:tc>
        <w:tc>
          <w:tcPr>
            <w:tcW w:w="1100" w:type="dxa"/>
            <w:tcBorders>
              <w:top w:val="nil"/>
              <w:left w:val="nil"/>
              <w:bottom w:val="nil"/>
              <w:right w:val="nil"/>
            </w:tcBorders>
            <w:shd w:val="clear" w:color="auto" w:fill="auto"/>
            <w:noWrap/>
            <w:vAlign w:val="bottom"/>
            <w:hideMark/>
          </w:tcPr>
          <w:p w14:paraId="45A96B84"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0.947</w:t>
            </w:r>
          </w:p>
        </w:tc>
        <w:tc>
          <w:tcPr>
            <w:tcW w:w="1107" w:type="dxa"/>
            <w:tcBorders>
              <w:top w:val="nil"/>
              <w:left w:val="nil"/>
              <w:bottom w:val="nil"/>
              <w:right w:val="nil"/>
            </w:tcBorders>
            <w:shd w:val="clear" w:color="auto" w:fill="auto"/>
            <w:noWrap/>
            <w:vAlign w:val="bottom"/>
            <w:hideMark/>
          </w:tcPr>
          <w:p w14:paraId="0F8E805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1.496</w:t>
            </w:r>
          </w:p>
        </w:tc>
      </w:tr>
      <w:tr w:rsidR="00E61CDF" w:rsidRPr="00E61CDF" w14:paraId="445D0B25" w14:textId="77777777" w:rsidTr="00356E8F">
        <w:trPr>
          <w:trHeight w:val="300"/>
        </w:trPr>
        <w:tc>
          <w:tcPr>
            <w:tcW w:w="3029" w:type="dxa"/>
            <w:tcBorders>
              <w:top w:val="nil"/>
              <w:left w:val="nil"/>
              <w:bottom w:val="nil"/>
              <w:right w:val="nil"/>
            </w:tcBorders>
            <w:shd w:val="clear" w:color="auto" w:fill="auto"/>
            <w:noWrap/>
            <w:vAlign w:val="bottom"/>
            <w:hideMark/>
          </w:tcPr>
          <w:p w14:paraId="3A9C0FEB"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White</w:t>
            </w:r>
            <w:r w:rsidR="005C262F">
              <w:rPr>
                <w:rFonts w:ascii="Calibri" w:eastAsia="Times New Roman" w:hAnsi="Calibri" w:cs="Times New Roman"/>
                <w:color w:val="000000"/>
                <w:lang w:eastAsia="en-GB"/>
              </w:rPr>
              <w:t xml:space="preserve"> </w:t>
            </w:r>
            <w:r w:rsidRPr="00E61CDF">
              <w:rPr>
                <w:rFonts w:ascii="Calibri" w:eastAsia="Times New Roman" w:hAnsi="Calibri" w:cs="Times New Roman"/>
                <w:color w:val="000000"/>
                <w:lang w:eastAsia="en-GB"/>
              </w:rPr>
              <w:t>Irish</w:t>
            </w:r>
          </w:p>
        </w:tc>
        <w:tc>
          <w:tcPr>
            <w:tcW w:w="1304" w:type="dxa"/>
            <w:tcBorders>
              <w:top w:val="nil"/>
              <w:left w:val="nil"/>
              <w:bottom w:val="nil"/>
              <w:right w:val="nil"/>
            </w:tcBorders>
            <w:shd w:val="clear" w:color="auto" w:fill="auto"/>
            <w:noWrap/>
            <w:vAlign w:val="bottom"/>
            <w:hideMark/>
          </w:tcPr>
          <w:p w14:paraId="101B765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1.204</w:t>
            </w:r>
          </w:p>
        </w:tc>
        <w:tc>
          <w:tcPr>
            <w:tcW w:w="1100" w:type="dxa"/>
            <w:tcBorders>
              <w:top w:val="nil"/>
              <w:left w:val="nil"/>
              <w:bottom w:val="nil"/>
              <w:right w:val="nil"/>
            </w:tcBorders>
            <w:shd w:val="clear" w:color="auto" w:fill="auto"/>
            <w:noWrap/>
            <w:vAlign w:val="bottom"/>
            <w:hideMark/>
          </w:tcPr>
          <w:p w14:paraId="08981538"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1.025</w:t>
            </w:r>
          </w:p>
        </w:tc>
        <w:tc>
          <w:tcPr>
            <w:tcW w:w="1107" w:type="dxa"/>
            <w:tcBorders>
              <w:top w:val="nil"/>
              <w:left w:val="nil"/>
              <w:bottom w:val="nil"/>
              <w:right w:val="nil"/>
            </w:tcBorders>
            <w:shd w:val="clear" w:color="auto" w:fill="auto"/>
            <w:noWrap/>
            <w:vAlign w:val="bottom"/>
            <w:hideMark/>
          </w:tcPr>
          <w:p w14:paraId="4D72B380"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1.415</w:t>
            </w:r>
          </w:p>
        </w:tc>
      </w:tr>
      <w:tr w:rsidR="00E61CDF" w:rsidRPr="00E61CDF" w14:paraId="2CAAB910" w14:textId="77777777" w:rsidTr="00933F1E">
        <w:trPr>
          <w:trHeight w:val="300"/>
        </w:trPr>
        <w:tc>
          <w:tcPr>
            <w:tcW w:w="3029" w:type="dxa"/>
            <w:tcBorders>
              <w:top w:val="nil"/>
              <w:left w:val="nil"/>
              <w:bottom w:val="nil"/>
              <w:right w:val="nil"/>
            </w:tcBorders>
            <w:shd w:val="clear" w:color="auto" w:fill="auto"/>
            <w:noWrap/>
            <w:vAlign w:val="bottom"/>
            <w:hideMark/>
          </w:tcPr>
          <w:p w14:paraId="40815585"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Employed</w:t>
            </w:r>
          </w:p>
        </w:tc>
        <w:tc>
          <w:tcPr>
            <w:tcW w:w="2404" w:type="dxa"/>
            <w:gridSpan w:val="2"/>
            <w:tcBorders>
              <w:top w:val="nil"/>
              <w:left w:val="nil"/>
              <w:bottom w:val="nil"/>
              <w:right w:val="nil"/>
            </w:tcBorders>
            <w:shd w:val="clear" w:color="auto" w:fill="auto"/>
            <w:noWrap/>
            <w:vAlign w:val="bottom"/>
            <w:hideMark/>
          </w:tcPr>
          <w:p w14:paraId="3CBAA94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5FFDF4F1" w14:textId="77777777" w:rsidR="00E61CDF" w:rsidRPr="00E61CDF" w:rsidRDefault="00E61CDF" w:rsidP="000A1B54">
            <w:pPr>
              <w:spacing w:after="0" w:line="480" w:lineRule="auto"/>
              <w:rPr>
                <w:rFonts w:ascii="Calibri" w:eastAsia="Times New Roman" w:hAnsi="Calibri" w:cs="Times New Roman"/>
                <w:color w:val="000000"/>
                <w:lang w:eastAsia="en-GB"/>
              </w:rPr>
            </w:pPr>
          </w:p>
        </w:tc>
      </w:tr>
      <w:tr w:rsidR="00E61CDF" w:rsidRPr="00E61CDF" w14:paraId="0192BF8A" w14:textId="77777777" w:rsidTr="00356E8F">
        <w:trPr>
          <w:trHeight w:val="300"/>
        </w:trPr>
        <w:tc>
          <w:tcPr>
            <w:tcW w:w="3029" w:type="dxa"/>
            <w:tcBorders>
              <w:top w:val="nil"/>
              <w:left w:val="nil"/>
              <w:bottom w:val="nil"/>
              <w:right w:val="nil"/>
            </w:tcBorders>
            <w:shd w:val="clear" w:color="auto" w:fill="auto"/>
            <w:noWrap/>
            <w:vAlign w:val="bottom"/>
            <w:hideMark/>
          </w:tcPr>
          <w:p w14:paraId="2C8A69CA"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Self-employed</w:t>
            </w:r>
          </w:p>
        </w:tc>
        <w:tc>
          <w:tcPr>
            <w:tcW w:w="1304" w:type="dxa"/>
            <w:tcBorders>
              <w:top w:val="nil"/>
              <w:left w:val="nil"/>
              <w:bottom w:val="nil"/>
              <w:right w:val="nil"/>
            </w:tcBorders>
            <w:shd w:val="clear" w:color="auto" w:fill="auto"/>
            <w:noWrap/>
            <w:vAlign w:val="bottom"/>
            <w:hideMark/>
          </w:tcPr>
          <w:p w14:paraId="55092F17"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0.927</w:t>
            </w:r>
          </w:p>
        </w:tc>
        <w:tc>
          <w:tcPr>
            <w:tcW w:w="1100" w:type="dxa"/>
            <w:tcBorders>
              <w:top w:val="nil"/>
              <w:left w:val="nil"/>
              <w:bottom w:val="nil"/>
              <w:right w:val="nil"/>
            </w:tcBorders>
            <w:shd w:val="clear" w:color="auto" w:fill="auto"/>
            <w:noWrap/>
            <w:vAlign w:val="bottom"/>
            <w:hideMark/>
          </w:tcPr>
          <w:p w14:paraId="5C6074D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0.851</w:t>
            </w:r>
          </w:p>
        </w:tc>
        <w:tc>
          <w:tcPr>
            <w:tcW w:w="1107" w:type="dxa"/>
            <w:tcBorders>
              <w:top w:val="nil"/>
              <w:left w:val="nil"/>
              <w:bottom w:val="nil"/>
              <w:right w:val="nil"/>
            </w:tcBorders>
            <w:shd w:val="clear" w:color="auto" w:fill="auto"/>
            <w:noWrap/>
            <w:vAlign w:val="bottom"/>
            <w:hideMark/>
          </w:tcPr>
          <w:p w14:paraId="7B6F8D75"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1.011</w:t>
            </w:r>
          </w:p>
        </w:tc>
      </w:tr>
      <w:tr w:rsidR="00E61CDF" w:rsidRPr="00E61CDF" w14:paraId="668AE30E" w14:textId="77777777" w:rsidTr="00356E8F">
        <w:trPr>
          <w:trHeight w:val="300"/>
        </w:trPr>
        <w:tc>
          <w:tcPr>
            <w:tcW w:w="3029" w:type="dxa"/>
            <w:tcBorders>
              <w:top w:val="nil"/>
              <w:left w:val="nil"/>
              <w:bottom w:val="nil"/>
              <w:right w:val="nil"/>
            </w:tcBorders>
            <w:shd w:val="clear" w:color="auto" w:fill="auto"/>
            <w:noWrap/>
            <w:vAlign w:val="bottom"/>
            <w:hideMark/>
          </w:tcPr>
          <w:p w14:paraId="75CAB253"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 xml:space="preserve">Furloughed </w:t>
            </w:r>
          </w:p>
        </w:tc>
        <w:tc>
          <w:tcPr>
            <w:tcW w:w="1304" w:type="dxa"/>
            <w:tcBorders>
              <w:top w:val="nil"/>
              <w:left w:val="nil"/>
              <w:bottom w:val="nil"/>
              <w:right w:val="nil"/>
            </w:tcBorders>
            <w:shd w:val="clear" w:color="auto" w:fill="auto"/>
            <w:noWrap/>
            <w:vAlign w:val="bottom"/>
            <w:hideMark/>
          </w:tcPr>
          <w:p w14:paraId="7C2805E6"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1.808</w:t>
            </w:r>
          </w:p>
        </w:tc>
        <w:tc>
          <w:tcPr>
            <w:tcW w:w="1100" w:type="dxa"/>
            <w:tcBorders>
              <w:top w:val="nil"/>
              <w:left w:val="nil"/>
              <w:bottom w:val="nil"/>
              <w:right w:val="nil"/>
            </w:tcBorders>
            <w:shd w:val="clear" w:color="auto" w:fill="auto"/>
            <w:noWrap/>
            <w:vAlign w:val="bottom"/>
            <w:hideMark/>
          </w:tcPr>
          <w:p w14:paraId="2677359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1.692</w:t>
            </w:r>
          </w:p>
        </w:tc>
        <w:tc>
          <w:tcPr>
            <w:tcW w:w="1107" w:type="dxa"/>
            <w:tcBorders>
              <w:top w:val="nil"/>
              <w:left w:val="nil"/>
              <w:bottom w:val="nil"/>
              <w:right w:val="nil"/>
            </w:tcBorders>
            <w:shd w:val="clear" w:color="auto" w:fill="auto"/>
            <w:noWrap/>
            <w:vAlign w:val="bottom"/>
            <w:hideMark/>
          </w:tcPr>
          <w:p w14:paraId="464F2D55"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1.933</w:t>
            </w:r>
          </w:p>
        </w:tc>
      </w:tr>
      <w:tr w:rsidR="00E61CDF" w:rsidRPr="00E61CDF" w14:paraId="2F94D729" w14:textId="77777777" w:rsidTr="00356E8F">
        <w:trPr>
          <w:trHeight w:val="300"/>
        </w:trPr>
        <w:tc>
          <w:tcPr>
            <w:tcW w:w="3029" w:type="dxa"/>
            <w:tcBorders>
              <w:top w:val="nil"/>
              <w:left w:val="nil"/>
              <w:bottom w:val="nil"/>
              <w:right w:val="nil"/>
            </w:tcBorders>
            <w:shd w:val="clear" w:color="auto" w:fill="auto"/>
            <w:noWrap/>
            <w:vAlign w:val="bottom"/>
            <w:hideMark/>
          </w:tcPr>
          <w:p w14:paraId="79356D5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 xml:space="preserve">Not working </w:t>
            </w:r>
          </w:p>
        </w:tc>
        <w:tc>
          <w:tcPr>
            <w:tcW w:w="1304" w:type="dxa"/>
            <w:tcBorders>
              <w:top w:val="nil"/>
              <w:left w:val="nil"/>
              <w:bottom w:val="nil"/>
              <w:right w:val="nil"/>
            </w:tcBorders>
            <w:shd w:val="clear" w:color="auto" w:fill="auto"/>
            <w:noWrap/>
            <w:vAlign w:val="bottom"/>
            <w:hideMark/>
          </w:tcPr>
          <w:p w14:paraId="11B1B4D3"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0.834</w:t>
            </w:r>
          </w:p>
        </w:tc>
        <w:tc>
          <w:tcPr>
            <w:tcW w:w="1100" w:type="dxa"/>
            <w:tcBorders>
              <w:top w:val="nil"/>
              <w:left w:val="nil"/>
              <w:bottom w:val="nil"/>
              <w:right w:val="nil"/>
            </w:tcBorders>
            <w:shd w:val="clear" w:color="auto" w:fill="auto"/>
            <w:noWrap/>
            <w:vAlign w:val="bottom"/>
            <w:hideMark/>
          </w:tcPr>
          <w:p w14:paraId="6972B7ED"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0.790</w:t>
            </w:r>
          </w:p>
        </w:tc>
        <w:tc>
          <w:tcPr>
            <w:tcW w:w="1107" w:type="dxa"/>
            <w:tcBorders>
              <w:top w:val="nil"/>
              <w:left w:val="nil"/>
              <w:bottom w:val="nil"/>
              <w:right w:val="nil"/>
            </w:tcBorders>
            <w:shd w:val="clear" w:color="auto" w:fill="auto"/>
            <w:noWrap/>
            <w:vAlign w:val="bottom"/>
            <w:hideMark/>
          </w:tcPr>
          <w:p w14:paraId="7106DE8E"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0.880</w:t>
            </w:r>
          </w:p>
        </w:tc>
      </w:tr>
      <w:tr w:rsidR="00E61CDF" w:rsidRPr="00E61CDF" w14:paraId="50265AA3" w14:textId="77777777" w:rsidTr="00356E8F">
        <w:trPr>
          <w:trHeight w:val="300"/>
        </w:trPr>
        <w:tc>
          <w:tcPr>
            <w:tcW w:w="3029" w:type="dxa"/>
            <w:tcBorders>
              <w:top w:val="nil"/>
              <w:left w:val="nil"/>
              <w:bottom w:val="nil"/>
              <w:right w:val="nil"/>
            </w:tcBorders>
            <w:shd w:val="clear" w:color="auto" w:fill="auto"/>
            <w:noWrap/>
            <w:vAlign w:val="bottom"/>
            <w:hideMark/>
          </w:tcPr>
          <w:p w14:paraId="7C0F172F"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Student</w:t>
            </w:r>
          </w:p>
        </w:tc>
        <w:tc>
          <w:tcPr>
            <w:tcW w:w="1304" w:type="dxa"/>
            <w:tcBorders>
              <w:top w:val="nil"/>
              <w:left w:val="nil"/>
              <w:bottom w:val="nil"/>
              <w:right w:val="nil"/>
            </w:tcBorders>
            <w:shd w:val="clear" w:color="auto" w:fill="auto"/>
            <w:noWrap/>
            <w:vAlign w:val="bottom"/>
            <w:hideMark/>
          </w:tcPr>
          <w:p w14:paraId="69F9575D"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1.350</w:t>
            </w:r>
          </w:p>
        </w:tc>
        <w:tc>
          <w:tcPr>
            <w:tcW w:w="1100" w:type="dxa"/>
            <w:tcBorders>
              <w:top w:val="nil"/>
              <w:left w:val="nil"/>
              <w:bottom w:val="nil"/>
              <w:right w:val="nil"/>
            </w:tcBorders>
            <w:shd w:val="clear" w:color="auto" w:fill="auto"/>
            <w:noWrap/>
            <w:vAlign w:val="bottom"/>
            <w:hideMark/>
          </w:tcPr>
          <w:p w14:paraId="1D997D3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1.216</w:t>
            </w:r>
          </w:p>
        </w:tc>
        <w:tc>
          <w:tcPr>
            <w:tcW w:w="1107" w:type="dxa"/>
            <w:tcBorders>
              <w:top w:val="nil"/>
              <w:left w:val="nil"/>
              <w:bottom w:val="nil"/>
              <w:right w:val="nil"/>
            </w:tcBorders>
            <w:shd w:val="clear" w:color="auto" w:fill="auto"/>
            <w:noWrap/>
            <w:vAlign w:val="bottom"/>
            <w:hideMark/>
          </w:tcPr>
          <w:p w14:paraId="2464F561"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1.500</w:t>
            </w:r>
          </w:p>
        </w:tc>
      </w:tr>
      <w:tr w:rsidR="00E61CDF" w:rsidRPr="00E61CDF" w14:paraId="39A85D4F" w14:textId="77777777" w:rsidTr="00356E8F">
        <w:trPr>
          <w:trHeight w:val="300"/>
        </w:trPr>
        <w:tc>
          <w:tcPr>
            <w:tcW w:w="3029" w:type="dxa"/>
            <w:tcBorders>
              <w:top w:val="nil"/>
              <w:left w:val="nil"/>
              <w:right w:val="nil"/>
            </w:tcBorders>
            <w:shd w:val="clear" w:color="auto" w:fill="auto"/>
            <w:noWrap/>
            <w:vAlign w:val="bottom"/>
            <w:hideMark/>
          </w:tcPr>
          <w:p w14:paraId="6A6FF53B"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 xml:space="preserve">Have </w:t>
            </w:r>
            <w:r w:rsidR="00356E8F" w:rsidRPr="00E61CDF">
              <w:rPr>
                <w:rFonts w:ascii="Calibri" w:eastAsia="Times New Roman" w:hAnsi="Calibri" w:cs="Times New Roman"/>
                <w:color w:val="000000"/>
                <w:lang w:eastAsia="en-GB"/>
              </w:rPr>
              <w:t>travelled</w:t>
            </w:r>
            <w:r w:rsidRPr="00E61CDF">
              <w:rPr>
                <w:rFonts w:ascii="Calibri" w:eastAsia="Times New Roman" w:hAnsi="Calibri" w:cs="Times New Roman"/>
                <w:color w:val="000000"/>
                <w:lang w:eastAsia="en-GB"/>
              </w:rPr>
              <w:t xml:space="preserve"> abroad recently</w:t>
            </w:r>
          </w:p>
        </w:tc>
        <w:tc>
          <w:tcPr>
            <w:tcW w:w="1304" w:type="dxa"/>
            <w:tcBorders>
              <w:top w:val="nil"/>
              <w:left w:val="nil"/>
              <w:right w:val="nil"/>
            </w:tcBorders>
            <w:shd w:val="clear" w:color="auto" w:fill="auto"/>
            <w:noWrap/>
            <w:vAlign w:val="bottom"/>
            <w:hideMark/>
          </w:tcPr>
          <w:p w14:paraId="641FC65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1.132</w:t>
            </w:r>
          </w:p>
        </w:tc>
        <w:tc>
          <w:tcPr>
            <w:tcW w:w="1100" w:type="dxa"/>
            <w:tcBorders>
              <w:top w:val="nil"/>
              <w:left w:val="nil"/>
              <w:right w:val="nil"/>
            </w:tcBorders>
            <w:shd w:val="clear" w:color="auto" w:fill="auto"/>
            <w:noWrap/>
            <w:vAlign w:val="bottom"/>
            <w:hideMark/>
          </w:tcPr>
          <w:p w14:paraId="32095672"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1.072</w:t>
            </w:r>
          </w:p>
        </w:tc>
        <w:tc>
          <w:tcPr>
            <w:tcW w:w="1107" w:type="dxa"/>
            <w:tcBorders>
              <w:top w:val="nil"/>
              <w:left w:val="nil"/>
              <w:right w:val="nil"/>
            </w:tcBorders>
            <w:shd w:val="clear" w:color="auto" w:fill="auto"/>
            <w:noWrap/>
            <w:vAlign w:val="bottom"/>
            <w:hideMark/>
          </w:tcPr>
          <w:p w14:paraId="2B460E89"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1.196</w:t>
            </w:r>
          </w:p>
        </w:tc>
      </w:tr>
      <w:tr w:rsidR="00E61CDF" w:rsidRPr="00E61CDF" w14:paraId="19FB8445" w14:textId="77777777" w:rsidTr="00356E8F">
        <w:trPr>
          <w:trHeight w:val="300"/>
        </w:trPr>
        <w:tc>
          <w:tcPr>
            <w:tcW w:w="3029" w:type="dxa"/>
            <w:tcBorders>
              <w:top w:val="nil"/>
              <w:left w:val="nil"/>
              <w:bottom w:val="single" w:sz="4" w:space="0" w:color="auto"/>
              <w:right w:val="nil"/>
            </w:tcBorders>
            <w:shd w:val="clear" w:color="auto" w:fill="auto"/>
            <w:noWrap/>
            <w:vAlign w:val="bottom"/>
            <w:hideMark/>
          </w:tcPr>
          <w:p w14:paraId="0B107AB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 xml:space="preserve">Household size </w:t>
            </w:r>
            <w:r w:rsidR="00933F1E">
              <w:rPr>
                <w:rFonts w:ascii="Calibri" w:eastAsia="Times New Roman" w:hAnsi="Calibri" w:cs="Times New Roman"/>
                <w:color w:val="000000"/>
                <w:lang w:eastAsia="en-GB"/>
              </w:rPr>
              <w:t>(z-score)</w:t>
            </w:r>
          </w:p>
        </w:tc>
        <w:tc>
          <w:tcPr>
            <w:tcW w:w="1304" w:type="dxa"/>
            <w:tcBorders>
              <w:top w:val="nil"/>
              <w:left w:val="nil"/>
              <w:bottom w:val="single" w:sz="4" w:space="0" w:color="auto"/>
              <w:right w:val="nil"/>
            </w:tcBorders>
            <w:shd w:val="clear" w:color="auto" w:fill="auto"/>
            <w:noWrap/>
            <w:vAlign w:val="bottom"/>
            <w:hideMark/>
          </w:tcPr>
          <w:p w14:paraId="124172BD"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1.124</w:t>
            </w:r>
          </w:p>
        </w:tc>
        <w:tc>
          <w:tcPr>
            <w:tcW w:w="1100" w:type="dxa"/>
            <w:tcBorders>
              <w:top w:val="nil"/>
              <w:left w:val="nil"/>
              <w:bottom w:val="single" w:sz="4" w:space="0" w:color="auto"/>
              <w:right w:val="nil"/>
            </w:tcBorders>
            <w:shd w:val="clear" w:color="auto" w:fill="auto"/>
            <w:noWrap/>
            <w:vAlign w:val="bottom"/>
            <w:hideMark/>
          </w:tcPr>
          <w:p w14:paraId="73DB7A79"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1.104</w:t>
            </w:r>
          </w:p>
        </w:tc>
        <w:tc>
          <w:tcPr>
            <w:tcW w:w="1107" w:type="dxa"/>
            <w:tcBorders>
              <w:top w:val="nil"/>
              <w:left w:val="nil"/>
              <w:bottom w:val="single" w:sz="4" w:space="0" w:color="auto"/>
              <w:right w:val="nil"/>
            </w:tcBorders>
            <w:shd w:val="clear" w:color="auto" w:fill="auto"/>
            <w:noWrap/>
            <w:vAlign w:val="bottom"/>
            <w:hideMark/>
          </w:tcPr>
          <w:p w14:paraId="45F66E8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1.145</w:t>
            </w:r>
          </w:p>
        </w:tc>
      </w:tr>
      <w:tr w:rsidR="00EB24C3" w:rsidRPr="00E61CDF" w14:paraId="357E64AB" w14:textId="77777777" w:rsidTr="00356E8F">
        <w:trPr>
          <w:trHeight w:val="300"/>
        </w:trPr>
        <w:tc>
          <w:tcPr>
            <w:tcW w:w="3029" w:type="dxa"/>
            <w:tcBorders>
              <w:top w:val="single" w:sz="4" w:space="0" w:color="auto"/>
              <w:left w:val="nil"/>
              <w:right w:val="nil"/>
            </w:tcBorders>
            <w:shd w:val="clear" w:color="auto" w:fill="auto"/>
            <w:noWrap/>
            <w:vAlign w:val="bottom"/>
          </w:tcPr>
          <w:p w14:paraId="610E0044" w14:textId="77777777" w:rsidR="00EB24C3" w:rsidRPr="00E61CDF" w:rsidRDefault="00EB24C3" w:rsidP="000A1B5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Random effects</w:t>
            </w:r>
          </w:p>
        </w:tc>
        <w:tc>
          <w:tcPr>
            <w:tcW w:w="1304" w:type="dxa"/>
            <w:tcBorders>
              <w:top w:val="single" w:sz="4" w:space="0" w:color="auto"/>
              <w:left w:val="nil"/>
              <w:right w:val="nil"/>
            </w:tcBorders>
            <w:shd w:val="clear" w:color="auto" w:fill="auto"/>
            <w:noWrap/>
            <w:vAlign w:val="bottom"/>
          </w:tcPr>
          <w:p w14:paraId="712D0931"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Variance</w:t>
            </w:r>
          </w:p>
        </w:tc>
        <w:tc>
          <w:tcPr>
            <w:tcW w:w="1100" w:type="dxa"/>
            <w:tcBorders>
              <w:top w:val="single" w:sz="4" w:space="0" w:color="auto"/>
              <w:left w:val="nil"/>
              <w:right w:val="nil"/>
            </w:tcBorders>
            <w:shd w:val="clear" w:color="auto" w:fill="auto"/>
            <w:noWrap/>
            <w:vAlign w:val="bottom"/>
          </w:tcPr>
          <w:p w14:paraId="67C68A7E"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SD</w:t>
            </w:r>
          </w:p>
        </w:tc>
        <w:tc>
          <w:tcPr>
            <w:tcW w:w="1107" w:type="dxa"/>
            <w:tcBorders>
              <w:top w:val="single" w:sz="4" w:space="0" w:color="auto"/>
              <w:left w:val="nil"/>
              <w:right w:val="nil"/>
            </w:tcBorders>
            <w:shd w:val="clear" w:color="auto" w:fill="auto"/>
            <w:noWrap/>
            <w:vAlign w:val="bottom"/>
          </w:tcPr>
          <w:p w14:paraId="46BC00FB"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p>
        </w:tc>
      </w:tr>
      <w:tr w:rsidR="00EB24C3" w:rsidRPr="00E61CDF" w14:paraId="650E857B" w14:textId="77777777" w:rsidTr="00356E8F">
        <w:trPr>
          <w:trHeight w:val="300"/>
        </w:trPr>
        <w:tc>
          <w:tcPr>
            <w:tcW w:w="3029" w:type="dxa"/>
            <w:tcBorders>
              <w:top w:val="nil"/>
              <w:left w:val="nil"/>
              <w:right w:val="nil"/>
            </w:tcBorders>
            <w:shd w:val="clear" w:color="auto" w:fill="auto"/>
            <w:noWrap/>
            <w:vAlign w:val="bottom"/>
          </w:tcPr>
          <w:p w14:paraId="4CE8B289" w14:textId="77777777" w:rsidR="00EB24C3" w:rsidRPr="00E61CDF" w:rsidRDefault="00EB24C3" w:rsidP="000A1B5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ID (participant)</w:t>
            </w:r>
          </w:p>
        </w:tc>
        <w:tc>
          <w:tcPr>
            <w:tcW w:w="1304" w:type="dxa"/>
            <w:tcBorders>
              <w:top w:val="nil"/>
              <w:left w:val="nil"/>
              <w:right w:val="nil"/>
            </w:tcBorders>
            <w:shd w:val="clear" w:color="auto" w:fill="auto"/>
            <w:noWrap/>
            <w:vAlign w:val="bottom"/>
          </w:tcPr>
          <w:p w14:paraId="16161760"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3.149</w:t>
            </w:r>
          </w:p>
        </w:tc>
        <w:tc>
          <w:tcPr>
            <w:tcW w:w="1100" w:type="dxa"/>
            <w:tcBorders>
              <w:top w:val="nil"/>
              <w:left w:val="nil"/>
              <w:right w:val="nil"/>
            </w:tcBorders>
            <w:shd w:val="clear" w:color="auto" w:fill="auto"/>
            <w:noWrap/>
            <w:vAlign w:val="bottom"/>
          </w:tcPr>
          <w:p w14:paraId="688B7D0A"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1.774</w:t>
            </w:r>
          </w:p>
        </w:tc>
        <w:tc>
          <w:tcPr>
            <w:tcW w:w="1107" w:type="dxa"/>
            <w:tcBorders>
              <w:top w:val="nil"/>
              <w:left w:val="nil"/>
              <w:right w:val="nil"/>
            </w:tcBorders>
            <w:shd w:val="clear" w:color="auto" w:fill="auto"/>
            <w:noWrap/>
            <w:vAlign w:val="bottom"/>
          </w:tcPr>
          <w:p w14:paraId="4A48C731"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p>
        </w:tc>
      </w:tr>
      <w:tr w:rsidR="00EB24C3" w:rsidRPr="00E61CDF" w14:paraId="382F09AF" w14:textId="77777777" w:rsidTr="00356E8F">
        <w:trPr>
          <w:trHeight w:val="300"/>
        </w:trPr>
        <w:tc>
          <w:tcPr>
            <w:tcW w:w="3029" w:type="dxa"/>
            <w:tcBorders>
              <w:left w:val="nil"/>
              <w:bottom w:val="single" w:sz="4" w:space="0" w:color="auto"/>
              <w:right w:val="nil"/>
            </w:tcBorders>
            <w:shd w:val="clear" w:color="auto" w:fill="auto"/>
            <w:noWrap/>
            <w:vAlign w:val="bottom"/>
          </w:tcPr>
          <w:p w14:paraId="7923A1FD" w14:textId="77777777" w:rsidR="00EB24C3" w:rsidRPr="00E61CDF" w:rsidRDefault="00EB24C3" w:rsidP="000A1B5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Geographical area</w:t>
            </w:r>
          </w:p>
        </w:tc>
        <w:tc>
          <w:tcPr>
            <w:tcW w:w="1304" w:type="dxa"/>
            <w:tcBorders>
              <w:left w:val="nil"/>
              <w:bottom w:val="single" w:sz="4" w:space="0" w:color="auto"/>
              <w:right w:val="nil"/>
            </w:tcBorders>
            <w:shd w:val="clear" w:color="auto" w:fill="auto"/>
            <w:noWrap/>
            <w:vAlign w:val="bottom"/>
          </w:tcPr>
          <w:p w14:paraId="670A4CBC"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0.130</w:t>
            </w:r>
          </w:p>
        </w:tc>
        <w:tc>
          <w:tcPr>
            <w:tcW w:w="1100" w:type="dxa"/>
            <w:tcBorders>
              <w:left w:val="nil"/>
              <w:bottom w:val="single" w:sz="4" w:space="0" w:color="auto"/>
              <w:right w:val="nil"/>
            </w:tcBorders>
            <w:shd w:val="clear" w:color="auto" w:fill="auto"/>
            <w:noWrap/>
            <w:vAlign w:val="bottom"/>
          </w:tcPr>
          <w:p w14:paraId="112EC2CF"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0.360</w:t>
            </w:r>
          </w:p>
        </w:tc>
        <w:tc>
          <w:tcPr>
            <w:tcW w:w="1107" w:type="dxa"/>
            <w:tcBorders>
              <w:left w:val="nil"/>
              <w:bottom w:val="single" w:sz="4" w:space="0" w:color="auto"/>
              <w:right w:val="nil"/>
            </w:tcBorders>
            <w:shd w:val="clear" w:color="auto" w:fill="auto"/>
            <w:noWrap/>
            <w:vAlign w:val="bottom"/>
          </w:tcPr>
          <w:p w14:paraId="49F43200"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p>
        </w:tc>
      </w:tr>
    </w:tbl>
    <w:p w14:paraId="7F9356B0" w14:textId="77777777" w:rsidR="002558B8" w:rsidRDefault="002558B8" w:rsidP="000A1B54">
      <w:pPr>
        <w:spacing w:line="480" w:lineRule="auto"/>
      </w:pPr>
    </w:p>
    <w:p w14:paraId="52718F27" w14:textId="11579A19" w:rsidR="00F93EA3" w:rsidRDefault="00106D78" w:rsidP="000A1B54">
      <w:pPr>
        <w:spacing w:line="480" w:lineRule="auto"/>
      </w:pPr>
      <w:r>
        <w:t xml:space="preserve">Table 2 presents </w:t>
      </w:r>
      <w:r w:rsidR="00A12B56">
        <w:t>our</w:t>
      </w:r>
      <w:r>
        <w:t xml:space="preserve"> second </w:t>
      </w:r>
      <w:r w:rsidR="00A12B56">
        <w:t>model</w:t>
      </w:r>
      <w:r>
        <w:t xml:space="preserve"> </w:t>
      </w:r>
      <w:r w:rsidR="00C3089D">
        <w:t>which considers</w:t>
      </w:r>
      <w:r>
        <w:t xml:space="preserve"> only individuals currently working (i.e., </w:t>
      </w:r>
      <w:r w:rsidR="00C3089D">
        <w:t xml:space="preserve">excluding groups who were students, </w:t>
      </w:r>
      <w:r>
        <w:t>furloughed</w:t>
      </w:r>
      <w:r w:rsidR="00C3089D">
        <w:t>, or were not working</w:t>
      </w:r>
      <w:r>
        <w:t xml:space="preserve">) who </w:t>
      </w:r>
      <w:r w:rsidR="00C3089D">
        <w:t>were</w:t>
      </w:r>
      <w:r>
        <w:t xml:space="preserve"> employed or self-employed. </w:t>
      </w:r>
      <w:r w:rsidR="001E08CC">
        <w:t xml:space="preserve">Here we describe groups of person-time as the measure is time dependent. </w:t>
      </w:r>
      <w:r w:rsidR="00F93EA3">
        <w:t>In comparison to individuals employed in ICT occupations, individuals employed in education (27%</w:t>
      </w:r>
      <w:r w:rsidR="00C3089D">
        <w:t xml:space="preserve"> </w:t>
      </w:r>
      <w:r w:rsidR="00DF0893">
        <w:t>higher odds</w:t>
      </w:r>
      <w:r w:rsidR="00F93EA3">
        <w:t xml:space="preserve">), health care (29%), social care (43%), transport (19%), retail (23%), hospitality (30%) and manufacturing (18%) were more likely to have </w:t>
      </w:r>
      <w:r w:rsidR="00DF0893">
        <w:t xml:space="preserve">a positive SARS-CoV-2 </w:t>
      </w:r>
      <w:r w:rsidR="00F93EA3">
        <w:t xml:space="preserve">test. The analysis also accounts for where individuals are working from. Individuals who are unable to work from home </w:t>
      </w:r>
      <w:r w:rsidR="001604BA">
        <w:t xml:space="preserve">had </w:t>
      </w:r>
      <w:r w:rsidR="00F93EA3">
        <w:t>30% (</w:t>
      </w:r>
      <w:r w:rsidR="002558B8">
        <w:t xml:space="preserve">OR = 1.30, </w:t>
      </w:r>
      <w:r w:rsidR="00F93EA3">
        <w:t>95% CI</w:t>
      </w:r>
      <w:r w:rsidR="00C3089D">
        <w:t>s</w:t>
      </w:r>
      <w:r w:rsidR="00F93EA3">
        <w:t xml:space="preserve"> = 1.23-1.38) </w:t>
      </w:r>
      <w:r w:rsidR="001604BA">
        <w:t>higher odds of a positive</w:t>
      </w:r>
      <w:r w:rsidR="00F93EA3">
        <w:t xml:space="preserve"> </w:t>
      </w:r>
      <w:r w:rsidR="001604BA">
        <w:t xml:space="preserve">SARS-CoV-2 </w:t>
      </w:r>
      <w:r w:rsidR="00F93EA3">
        <w:t xml:space="preserve">test than compared to individuals who were working from home. </w:t>
      </w:r>
    </w:p>
    <w:p w14:paraId="698DB6B0" w14:textId="3BBC8904" w:rsidR="00106D78" w:rsidRPr="00106D78" w:rsidRDefault="00106D78" w:rsidP="000A1B54">
      <w:pPr>
        <w:spacing w:line="480" w:lineRule="auto"/>
      </w:pPr>
      <w:r>
        <w:lastRenderedPageBreak/>
        <w:t>The model also find</w:t>
      </w:r>
      <w:r w:rsidR="002558B8">
        <w:t>s</w:t>
      </w:r>
      <w:r>
        <w:t xml:space="preserve"> similar associations for age, household size and whether an individual had travelled abroad as reported previously. Fewer associations were detected by ethnic group, although individuals of Pakistani ethnicity </w:t>
      </w:r>
      <w:r w:rsidR="001604BA">
        <w:t xml:space="preserve">had </w:t>
      </w:r>
      <w:r>
        <w:t>75% (</w:t>
      </w:r>
      <w:r w:rsidR="002558B8">
        <w:t xml:space="preserve">OR = 1.75, </w:t>
      </w:r>
      <w:r>
        <w:t xml:space="preserve">95% CIs = 1.37-2.24) </w:t>
      </w:r>
      <w:r w:rsidR="001604BA">
        <w:t>higher odds</w:t>
      </w:r>
      <w:r w:rsidR="00F93EA3">
        <w:t xml:space="preserve"> to have </w:t>
      </w:r>
      <w:r w:rsidR="001604BA">
        <w:t xml:space="preserve">a positive SARS-CoV-2 </w:t>
      </w:r>
      <w:r w:rsidR="00F93EA3">
        <w:t xml:space="preserve">test than compared to individuals of White British ethnicity. </w:t>
      </w:r>
    </w:p>
    <w:p w14:paraId="7CA670E0" w14:textId="77777777" w:rsidR="00E33F52" w:rsidRPr="00E33F52" w:rsidRDefault="00E33F52" w:rsidP="000A1B54">
      <w:pPr>
        <w:spacing w:line="480" w:lineRule="auto"/>
        <w:rPr>
          <w:b/>
        </w:rPr>
      </w:pPr>
      <w:r>
        <w:rPr>
          <w:b/>
        </w:rPr>
        <w:t xml:space="preserve">Table </w:t>
      </w:r>
      <w:r w:rsidR="002D545D">
        <w:rPr>
          <w:b/>
        </w:rPr>
        <w:t>2</w:t>
      </w:r>
      <w:r w:rsidRPr="00E33F52">
        <w:rPr>
          <w:b/>
        </w:rPr>
        <w:t xml:space="preserve">: Model summary for analysing COVID-19 risk by socio-demographic features including occupational </w:t>
      </w:r>
      <w:r>
        <w:rPr>
          <w:b/>
        </w:rPr>
        <w:t>group for adults who work</w:t>
      </w:r>
      <w:r w:rsidRPr="00E33F52">
        <w:rPr>
          <w:b/>
        </w:rPr>
        <w:t>.</w:t>
      </w:r>
      <w:r w:rsidR="00356E8F">
        <w:rPr>
          <w:b/>
        </w:rPr>
        <w:t xml:space="preserve"> Note: </w:t>
      </w:r>
      <w:r w:rsidR="00933F1E">
        <w:rPr>
          <w:b/>
        </w:rPr>
        <w:t xml:space="preserve">Model also adjusted for time (month). </w:t>
      </w:r>
      <w:r w:rsidR="00356E8F">
        <w:rPr>
          <w:b/>
        </w:rPr>
        <w:t>Results placed in bold to emphasise associations where 95% confidence intervals (CIs) do not contain 1.</w:t>
      </w:r>
    </w:p>
    <w:tbl>
      <w:tblPr>
        <w:tblW w:w="7618" w:type="dxa"/>
        <w:tblLook w:val="04A0" w:firstRow="1" w:lastRow="0" w:firstColumn="1" w:lastColumn="0" w:noHBand="0" w:noVBand="1"/>
      </w:tblPr>
      <w:tblGrid>
        <w:gridCol w:w="4107"/>
        <w:gridCol w:w="1304"/>
        <w:gridCol w:w="1100"/>
        <w:gridCol w:w="1107"/>
      </w:tblGrid>
      <w:tr w:rsidR="00E61CDF" w:rsidRPr="00E61CDF" w14:paraId="5D313A18" w14:textId="77777777" w:rsidTr="00356E8F">
        <w:trPr>
          <w:trHeight w:val="300"/>
        </w:trPr>
        <w:tc>
          <w:tcPr>
            <w:tcW w:w="4107" w:type="dxa"/>
            <w:tcBorders>
              <w:top w:val="single" w:sz="4" w:space="0" w:color="auto"/>
              <w:left w:val="nil"/>
              <w:bottom w:val="single" w:sz="4" w:space="0" w:color="auto"/>
              <w:right w:val="nil"/>
            </w:tcBorders>
            <w:shd w:val="clear" w:color="auto" w:fill="auto"/>
            <w:noWrap/>
            <w:vAlign w:val="bottom"/>
            <w:hideMark/>
          </w:tcPr>
          <w:p w14:paraId="184533A5"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Variable</w:t>
            </w:r>
          </w:p>
        </w:tc>
        <w:tc>
          <w:tcPr>
            <w:tcW w:w="1304" w:type="dxa"/>
            <w:tcBorders>
              <w:top w:val="single" w:sz="4" w:space="0" w:color="auto"/>
              <w:left w:val="nil"/>
              <w:bottom w:val="single" w:sz="4" w:space="0" w:color="auto"/>
              <w:right w:val="nil"/>
            </w:tcBorders>
            <w:shd w:val="clear" w:color="auto" w:fill="auto"/>
            <w:noWrap/>
            <w:vAlign w:val="bottom"/>
            <w:hideMark/>
          </w:tcPr>
          <w:p w14:paraId="31DAF491"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Odds Ratio</w:t>
            </w:r>
          </w:p>
        </w:tc>
        <w:tc>
          <w:tcPr>
            <w:tcW w:w="1100" w:type="dxa"/>
            <w:tcBorders>
              <w:top w:val="single" w:sz="4" w:space="0" w:color="auto"/>
              <w:left w:val="nil"/>
              <w:bottom w:val="single" w:sz="4" w:space="0" w:color="auto"/>
              <w:right w:val="nil"/>
            </w:tcBorders>
            <w:shd w:val="clear" w:color="auto" w:fill="auto"/>
            <w:noWrap/>
            <w:vAlign w:val="bottom"/>
            <w:hideMark/>
          </w:tcPr>
          <w:p w14:paraId="37E53E49"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Lower CI</w:t>
            </w:r>
          </w:p>
        </w:tc>
        <w:tc>
          <w:tcPr>
            <w:tcW w:w="1107" w:type="dxa"/>
            <w:tcBorders>
              <w:top w:val="single" w:sz="4" w:space="0" w:color="auto"/>
              <w:left w:val="nil"/>
              <w:bottom w:val="single" w:sz="4" w:space="0" w:color="auto"/>
              <w:right w:val="nil"/>
            </w:tcBorders>
            <w:shd w:val="clear" w:color="auto" w:fill="auto"/>
            <w:noWrap/>
            <w:vAlign w:val="bottom"/>
            <w:hideMark/>
          </w:tcPr>
          <w:p w14:paraId="709347AA" w14:textId="77777777" w:rsidR="00E61CDF" w:rsidRPr="00356E8F" w:rsidRDefault="00E61CDF" w:rsidP="000A1B54">
            <w:pPr>
              <w:spacing w:after="0" w:line="480" w:lineRule="auto"/>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Upper CI</w:t>
            </w:r>
          </w:p>
        </w:tc>
      </w:tr>
      <w:tr w:rsidR="00E61CDF" w:rsidRPr="00E61CDF" w14:paraId="778B396F" w14:textId="77777777" w:rsidTr="00356E8F">
        <w:trPr>
          <w:trHeight w:val="300"/>
        </w:trPr>
        <w:tc>
          <w:tcPr>
            <w:tcW w:w="4107" w:type="dxa"/>
            <w:tcBorders>
              <w:top w:val="nil"/>
              <w:left w:val="nil"/>
              <w:bottom w:val="nil"/>
              <w:right w:val="nil"/>
            </w:tcBorders>
            <w:shd w:val="clear" w:color="auto" w:fill="auto"/>
            <w:noWrap/>
            <w:vAlign w:val="bottom"/>
            <w:hideMark/>
          </w:tcPr>
          <w:p w14:paraId="448E95F1"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Male</w:t>
            </w:r>
          </w:p>
        </w:tc>
        <w:tc>
          <w:tcPr>
            <w:tcW w:w="2404" w:type="dxa"/>
            <w:gridSpan w:val="2"/>
            <w:tcBorders>
              <w:top w:val="nil"/>
              <w:left w:val="nil"/>
              <w:bottom w:val="nil"/>
              <w:right w:val="nil"/>
            </w:tcBorders>
            <w:shd w:val="clear" w:color="auto" w:fill="auto"/>
            <w:noWrap/>
            <w:vAlign w:val="bottom"/>
            <w:hideMark/>
          </w:tcPr>
          <w:p w14:paraId="2D1B159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03192ACA" w14:textId="77777777" w:rsidR="00E61CDF" w:rsidRPr="00E61CDF" w:rsidRDefault="00E61CDF" w:rsidP="000A1B54">
            <w:pPr>
              <w:spacing w:after="0" w:line="480" w:lineRule="auto"/>
              <w:rPr>
                <w:rFonts w:ascii="Calibri" w:eastAsia="Times New Roman" w:hAnsi="Calibri" w:cs="Times New Roman"/>
                <w:color w:val="000000"/>
                <w:lang w:eastAsia="en-GB"/>
              </w:rPr>
            </w:pPr>
          </w:p>
        </w:tc>
      </w:tr>
      <w:tr w:rsidR="00E61CDF" w:rsidRPr="00E61CDF" w14:paraId="3AF039B4" w14:textId="77777777" w:rsidTr="00356E8F">
        <w:trPr>
          <w:trHeight w:val="300"/>
        </w:trPr>
        <w:tc>
          <w:tcPr>
            <w:tcW w:w="4107" w:type="dxa"/>
            <w:tcBorders>
              <w:top w:val="nil"/>
              <w:left w:val="nil"/>
              <w:bottom w:val="nil"/>
              <w:right w:val="nil"/>
            </w:tcBorders>
            <w:shd w:val="clear" w:color="auto" w:fill="auto"/>
            <w:noWrap/>
            <w:vAlign w:val="bottom"/>
            <w:hideMark/>
          </w:tcPr>
          <w:p w14:paraId="33273E0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Female</w:t>
            </w:r>
          </w:p>
        </w:tc>
        <w:tc>
          <w:tcPr>
            <w:tcW w:w="1304" w:type="dxa"/>
            <w:tcBorders>
              <w:top w:val="nil"/>
              <w:left w:val="nil"/>
              <w:bottom w:val="nil"/>
              <w:right w:val="nil"/>
            </w:tcBorders>
            <w:shd w:val="clear" w:color="auto" w:fill="auto"/>
            <w:noWrap/>
            <w:vAlign w:val="bottom"/>
            <w:hideMark/>
          </w:tcPr>
          <w:p w14:paraId="03846AB1"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0.958</w:t>
            </w:r>
          </w:p>
        </w:tc>
        <w:tc>
          <w:tcPr>
            <w:tcW w:w="1100" w:type="dxa"/>
            <w:tcBorders>
              <w:top w:val="nil"/>
              <w:left w:val="nil"/>
              <w:bottom w:val="nil"/>
              <w:right w:val="nil"/>
            </w:tcBorders>
            <w:shd w:val="clear" w:color="auto" w:fill="auto"/>
            <w:noWrap/>
            <w:vAlign w:val="bottom"/>
            <w:hideMark/>
          </w:tcPr>
          <w:p w14:paraId="09FDC65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0.909</w:t>
            </w:r>
          </w:p>
        </w:tc>
        <w:tc>
          <w:tcPr>
            <w:tcW w:w="1107" w:type="dxa"/>
            <w:tcBorders>
              <w:top w:val="nil"/>
              <w:left w:val="nil"/>
              <w:bottom w:val="nil"/>
              <w:right w:val="nil"/>
            </w:tcBorders>
            <w:shd w:val="clear" w:color="auto" w:fill="auto"/>
            <w:noWrap/>
            <w:vAlign w:val="bottom"/>
            <w:hideMark/>
          </w:tcPr>
          <w:p w14:paraId="67AEE0BA"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1.009</w:t>
            </w:r>
          </w:p>
        </w:tc>
      </w:tr>
      <w:tr w:rsidR="00E61CDF" w:rsidRPr="00E61CDF" w14:paraId="12D53C0A" w14:textId="77777777" w:rsidTr="00356E8F">
        <w:trPr>
          <w:trHeight w:val="300"/>
        </w:trPr>
        <w:tc>
          <w:tcPr>
            <w:tcW w:w="4107" w:type="dxa"/>
            <w:tcBorders>
              <w:top w:val="nil"/>
              <w:left w:val="nil"/>
              <w:bottom w:val="nil"/>
              <w:right w:val="nil"/>
            </w:tcBorders>
            <w:shd w:val="clear" w:color="auto" w:fill="auto"/>
            <w:noWrap/>
            <w:vAlign w:val="bottom"/>
            <w:hideMark/>
          </w:tcPr>
          <w:p w14:paraId="2CE28B14"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Age</w:t>
            </w:r>
            <w:r w:rsidR="00933F1E">
              <w:rPr>
                <w:rFonts w:ascii="Calibri" w:eastAsia="Times New Roman" w:hAnsi="Calibri" w:cs="Times New Roman"/>
                <w:color w:val="000000"/>
                <w:lang w:eastAsia="en-GB"/>
              </w:rPr>
              <w:t xml:space="preserve"> (z-score)</w:t>
            </w:r>
          </w:p>
        </w:tc>
        <w:tc>
          <w:tcPr>
            <w:tcW w:w="1304" w:type="dxa"/>
            <w:tcBorders>
              <w:top w:val="nil"/>
              <w:left w:val="nil"/>
              <w:bottom w:val="nil"/>
              <w:right w:val="nil"/>
            </w:tcBorders>
            <w:shd w:val="clear" w:color="auto" w:fill="auto"/>
            <w:noWrap/>
            <w:vAlign w:val="bottom"/>
            <w:hideMark/>
          </w:tcPr>
          <w:p w14:paraId="09FE4C32"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0.724</w:t>
            </w:r>
          </w:p>
        </w:tc>
        <w:tc>
          <w:tcPr>
            <w:tcW w:w="1100" w:type="dxa"/>
            <w:tcBorders>
              <w:top w:val="nil"/>
              <w:left w:val="nil"/>
              <w:bottom w:val="nil"/>
              <w:right w:val="nil"/>
            </w:tcBorders>
            <w:shd w:val="clear" w:color="auto" w:fill="auto"/>
            <w:noWrap/>
            <w:vAlign w:val="bottom"/>
            <w:hideMark/>
          </w:tcPr>
          <w:p w14:paraId="7BBDCA0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0.578</w:t>
            </w:r>
          </w:p>
        </w:tc>
        <w:tc>
          <w:tcPr>
            <w:tcW w:w="1107" w:type="dxa"/>
            <w:tcBorders>
              <w:top w:val="nil"/>
              <w:left w:val="nil"/>
              <w:bottom w:val="nil"/>
              <w:right w:val="nil"/>
            </w:tcBorders>
            <w:shd w:val="clear" w:color="auto" w:fill="auto"/>
            <w:noWrap/>
            <w:vAlign w:val="bottom"/>
            <w:hideMark/>
          </w:tcPr>
          <w:p w14:paraId="3AFCE475"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0.908</w:t>
            </w:r>
          </w:p>
        </w:tc>
      </w:tr>
      <w:tr w:rsidR="00E61CDF" w:rsidRPr="00E61CDF" w14:paraId="26D3C15D" w14:textId="77777777" w:rsidTr="00356E8F">
        <w:trPr>
          <w:trHeight w:val="300"/>
        </w:trPr>
        <w:tc>
          <w:tcPr>
            <w:tcW w:w="4107" w:type="dxa"/>
            <w:tcBorders>
              <w:top w:val="nil"/>
              <w:left w:val="nil"/>
              <w:bottom w:val="nil"/>
              <w:right w:val="nil"/>
            </w:tcBorders>
            <w:shd w:val="clear" w:color="auto" w:fill="auto"/>
            <w:noWrap/>
            <w:vAlign w:val="bottom"/>
            <w:hideMark/>
          </w:tcPr>
          <w:p w14:paraId="196D15D1"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Age-squared</w:t>
            </w:r>
            <w:r w:rsidR="00933F1E">
              <w:rPr>
                <w:rFonts w:ascii="Calibri" w:eastAsia="Times New Roman" w:hAnsi="Calibri" w:cs="Times New Roman"/>
                <w:color w:val="000000"/>
                <w:lang w:eastAsia="en-GB"/>
              </w:rPr>
              <w:t xml:space="preserve"> (z-score)</w:t>
            </w:r>
          </w:p>
        </w:tc>
        <w:tc>
          <w:tcPr>
            <w:tcW w:w="1304" w:type="dxa"/>
            <w:tcBorders>
              <w:top w:val="nil"/>
              <w:left w:val="nil"/>
              <w:bottom w:val="nil"/>
              <w:right w:val="nil"/>
            </w:tcBorders>
            <w:shd w:val="clear" w:color="auto" w:fill="auto"/>
            <w:noWrap/>
            <w:vAlign w:val="bottom"/>
            <w:hideMark/>
          </w:tcPr>
          <w:p w14:paraId="08EA9FA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1.235</w:t>
            </w:r>
          </w:p>
        </w:tc>
        <w:tc>
          <w:tcPr>
            <w:tcW w:w="1100" w:type="dxa"/>
            <w:tcBorders>
              <w:top w:val="nil"/>
              <w:left w:val="nil"/>
              <w:bottom w:val="nil"/>
              <w:right w:val="nil"/>
            </w:tcBorders>
            <w:shd w:val="clear" w:color="auto" w:fill="auto"/>
            <w:noWrap/>
            <w:vAlign w:val="bottom"/>
            <w:hideMark/>
          </w:tcPr>
          <w:p w14:paraId="2BFBDABB"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0.941</w:t>
            </w:r>
          </w:p>
        </w:tc>
        <w:tc>
          <w:tcPr>
            <w:tcW w:w="1107" w:type="dxa"/>
            <w:tcBorders>
              <w:top w:val="nil"/>
              <w:left w:val="nil"/>
              <w:bottom w:val="nil"/>
              <w:right w:val="nil"/>
            </w:tcBorders>
            <w:shd w:val="clear" w:color="auto" w:fill="auto"/>
            <w:noWrap/>
            <w:vAlign w:val="bottom"/>
            <w:hideMark/>
          </w:tcPr>
          <w:p w14:paraId="78030495"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1.622</w:t>
            </w:r>
          </w:p>
        </w:tc>
      </w:tr>
      <w:tr w:rsidR="00455B15" w:rsidRPr="00E61CDF" w14:paraId="541F722E" w14:textId="77777777" w:rsidTr="00356E8F">
        <w:trPr>
          <w:trHeight w:val="300"/>
        </w:trPr>
        <w:tc>
          <w:tcPr>
            <w:tcW w:w="4107" w:type="dxa"/>
            <w:tcBorders>
              <w:top w:val="nil"/>
              <w:left w:val="nil"/>
              <w:bottom w:val="nil"/>
              <w:right w:val="nil"/>
            </w:tcBorders>
            <w:shd w:val="clear" w:color="auto" w:fill="auto"/>
            <w:noWrap/>
            <w:vAlign w:val="bottom"/>
            <w:hideMark/>
          </w:tcPr>
          <w:p w14:paraId="24ADE2BB"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White British</w:t>
            </w:r>
          </w:p>
        </w:tc>
        <w:tc>
          <w:tcPr>
            <w:tcW w:w="2404" w:type="dxa"/>
            <w:gridSpan w:val="2"/>
            <w:tcBorders>
              <w:top w:val="nil"/>
              <w:left w:val="nil"/>
              <w:bottom w:val="nil"/>
              <w:right w:val="nil"/>
            </w:tcBorders>
            <w:shd w:val="clear" w:color="auto" w:fill="auto"/>
            <w:noWrap/>
            <w:vAlign w:val="bottom"/>
            <w:hideMark/>
          </w:tcPr>
          <w:p w14:paraId="3DDFE086"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50B53E2F" w14:textId="77777777" w:rsidR="00455B15" w:rsidRPr="00E61CDF" w:rsidRDefault="00455B15" w:rsidP="000A1B54">
            <w:pPr>
              <w:spacing w:after="0" w:line="480" w:lineRule="auto"/>
              <w:rPr>
                <w:rFonts w:ascii="Calibri" w:eastAsia="Times New Roman" w:hAnsi="Calibri" w:cs="Times New Roman"/>
                <w:color w:val="000000"/>
                <w:lang w:eastAsia="en-GB"/>
              </w:rPr>
            </w:pPr>
          </w:p>
        </w:tc>
      </w:tr>
      <w:tr w:rsidR="00455B15" w:rsidRPr="00E61CDF" w14:paraId="54C12190" w14:textId="77777777" w:rsidTr="00356E8F">
        <w:trPr>
          <w:trHeight w:val="300"/>
        </w:trPr>
        <w:tc>
          <w:tcPr>
            <w:tcW w:w="4107" w:type="dxa"/>
            <w:tcBorders>
              <w:top w:val="nil"/>
              <w:left w:val="nil"/>
              <w:bottom w:val="nil"/>
              <w:right w:val="nil"/>
            </w:tcBorders>
            <w:shd w:val="clear" w:color="auto" w:fill="auto"/>
            <w:noWrap/>
            <w:vAlign w:val="bottom"/>
            <w:hideMark/>
          </w:tcPr>
          <w:p w14:paraId="556C3822"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Any other ethnic group</w:t>
            </w:r>
          </w:p>
        </w:tc>
        <w:tc>
          <w:tcPr>
            <w:tcW w:w="1304" w:type="dxa"/>
            <w:tcBorders>
              <w:top w:val="nil"/>
              <w:left w:val="nil"/>
              <w:bottom w:val="nil"/>
              <w:right w:val="nil"/>
            </w:tcBorders>
            <w:shd w:val="clear" w:color="auto" w:fill="auto"/>
            <w:noWrap/>
            <w:vAlign w:val="bottom"/>
            <w:hideMark/>
          </w:tcPr>
          <w:p w14:paraId="33B25FFF"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1.076</w:t>
            </w:r>
          </w:p>
        </w:tc>
        <w:tc>
          <w:tcPr>
            <w:tcW w:w="1100" w:type="dxa"/>
            <w:tcBorders>
              <w:top w:val="nil"/>
              <w:left w:val="nil"/>
              <w:bottom w:val="nil"/>
              <w:right w:val="nil"/>
            </w:tcBorders>
            <w:shd w:val="clear" w:color="auto" w:fill="auto"/>
            <w:noWrap/>
            <w:vAlign w:val="bottom"/>
            <w:hideMark/>
          </w:tcPr>
          <w:p w14:paraId="5D1985D6"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0.932</w:t>
            </w:r>
          </w:p>
        </w:tc>
        <w:tc>
          <w:tcPr>
            <w:tcW w:w="1107" w:type="dxa"/>
            <w:tcBorders>
              <w:top w:val="nil"/>
              <w:left w:val="nil"/>
              <w:bottom w:val="nil"/>
              <w:right w:val="nil"/>
            </w:tcBorders>
            <w:shd w:val="clear" w:color="auto" w:fill="auto"/>
            <w:noWrap/>
            <w:vAlign w:val="bottom"/>
            <w:hideMark/>
          </w:tcPr>
          <w:p w14:paraId="37305888"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1.242</w:t>
            </w:r>
          </w:p>
        </w:tc>
      </w:tr>
      <w:tr w:rsidR="00455B15" w:rsidRPr="00E61CDF" w14:paraId="4B66FC69" w14:textId="77777777" w:rsidTr="00356E8F">
        <w:trPr>
          <w:trHeight w:val="300"/>
        </w:trPr>
        <w:tc>
          <w:tcPr>
            <w:tcW w:w="4107" w:type="dxa"/>
            <w:tcBorders>
              <w:top w:val="nil"/>
              <w:left w:val="nil"/>
              <w:bottom w:val="nil"/>
              <w:right w:val="nil"/>
            </w:tcBorders>
            <w:shd w:val="clear" w:color="auto" w:fill="auto"/>
            <w:noWrap/>
            <w:vAlign w:val="bottom"/>
            <w:hideMark/>
          </w:tcPr>
          <w:p w14:paraId="10316815"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Any other white background</w:t>
            </w:r>
          </w:p>
        </w:tc>
        <w:tc>
          <w:tcPr>
            <w:tcW w:w="1304" w:type="dxa"/>
            <w:tcBorders>
              <w:top w:val="nil"/>
              <w:left w:val="nil"/>
              <w:bottom w:val="nil"/>
              <w:right w:val="nil"/>
            </w:tcBorders>
            <w:shd w:val="clear" w:color="auto" w:fill="auto"/>
            <w:noWrap/>
            <w:vAlign w:val="bottom"/>
            <w:hideMark/>
          </w:tcPr>
          <w:p w14:paraId="5272AE24"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0.975</w:t>
            </w:r>
          </w:p>
        </w:tc>
        <w:tc>
          <w:tcPr>
            <w:tcW w:w="1100" w:type="dxa"/>
            <w:tcBorders>
              <w:top w:val="nil"/>
              <w:left w:val="nil"/>
              <w:bottom w:val="nil"/>
              <w:right w:val="nil"/>
            </w:tcBorders>
            <w:shd w:val="clear" w:color="auto" w:fill="auto"/>
            <w:noWrap/>
            <w:vAlign w:val="bottom"/>
            <w:hideMark/>
          </w:tcPr>
          <w:p w14:paraId="148F83FB"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0.875</w:t>
            </w:r>
          </w:p>
        </w:tc>
        <w:tc>
          <w:tcPr>
            <w:tcW w:w="1107" w:type="dxa"/>
            <w:tcBorders>
              <w:top w:val="nil"/>
              <w:left w:val="nil"/>
              <w:bottom w:val="nil"/>
              <w:right w:val="nil"/>
            </w:tcBorders>
            <w:shd w:val="clear" w:color="auto" w:fill="auto"/>
            <w:noWrap/>
            <w:vAlign w:val="bottom"/>
            <w:hideMark/>
          </w:tcPr>
          <w:p w14:paraId="60C6F30C"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1.086</w:t>
            </w:r>
          </w:p>
        </w:tc>
      </w:tr>
      <w:tr w:rsidR="00455B15" w:rsidRPr="00E61CDF" w14:paraId="569AEF19" w14:textId="77777777" w:rsidTr="00356E8F">
        <w:trPr>
          <w:trHeight w:val="300"/>
        </w:trPr>
        <w:tc>
          <w:tcPr>
            <w:tcW w:w="4107" w:type="dxa"/>
            <w:tcBorders>
              <w:top w:val="nil"/>
              <w:left w:val="nil"/>
              <w:bottom w:val="nil"/>
              <w:right w:val="nil"/>
            </w:tcBorders>
            <w:shd w:val="clear" w:color="auto" w:fill="auto"/>
            <w:noWrap/>
            <w:vAlign w:val="bottom"/>
            <w:hideMark/>
          </w:tcPr>
          <w:p w14:paraId="48EE14F2"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Chinese</w:t>
            </w:r>
          </w:p>
        </w:tc>
        <w:tc>
          <w:tcPr>
            <w:tcW w:w="1304" w:type="dxa"/>
            <w:tcBorders>
              <w:top w:val="nil"/>
              <w:left w:val="nil"/>
              <w:bottom w:val="nil"/>
              <w:right w:val="nil"/>
            </w:tcBorders>
            <w:shd w:val="clear" w:color="auto" w:fill="auto"/>
            <w:noWrap/>
            <w:vAlign w:val="bottom"/>
            <w:hideMark/>
          </w:tcPr>
          <w:p w14:paraId="70A668B8"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0.718</w:t>
            </w:r>
          </w:p>
        </w:tc>
        <w:tc>
          <w:tcPr>
            <w:tcW w:w="1100" w:type="dxa"/>
            <w:tcBorders>
              <w:top w:val="nil"/>
              <w:left w:val="nil"/>
              <w:bottom w:val="nil"/>
              <w:right w:val="nil"/>
            </w:tcBorders>
            <w:shd w:val="clear" w:color="auto" w:fill="auto"/>
            <w:noWrap/>
            <w:vAlign w:val="bottom"/>
            <w:hideMark/>
          </w:tcPr>
          <w:p w14:paraId="3B0C4EC2"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0.510</w:t>
            </w:r>
          </w:p>
        </w:tc>
        <w:tc>
          <w:tcPr>
            <w:tcW w:w="1107" w:type="dxa"/>
            <w:tcBorders>
              <w:top w:val="nil"/>
              <w:left w:val="nil"/>
              <w:bottom w:val="nil"/>
              <w:right w:val="nil"/>
            </w:tcBorders>
            <w:shd w:val="clear" w:color="auto" w:fill="auto"/>
            <w:noWrap/>
            <w:vAlign w:val="bottom"/>
            <w:hideMark/>
          </w:tcPr>
          <w:p w14:paraId="62364250"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1.010</w:t>
            </w:r>
          </w:p>
        </w:tc>
      </w:tr>
      <w:tr w:rsidR="00455B15" w:rsidRPr="00E61CDF" w14:paraId="59165228" w14:textId="77777777" w:rsidTr="00356E8F">
        <w:trPr>
          <w:trHeight w:val="300"/>
        </w:trPr>
        <w:tc>
          <w:tcPr>
            <w:tcW w:w="4107" w:type="dxa"/>
            <w:tcBorders>
              <w:top w:val="nil"/>
              <w:left w:val="nil"/>
              <w:bottom w:val="nil"/>
              <w:right w:val="nil"/>
            </w:tcBorders>
            <w:shd w:val="clear" w:color="auto" w:fill="auto"/>
            <w:noWrap/>
            <w:vAlign w:val="bottom"/>
            <w:hideMark/>
          </w:tcPr>
          <w:p w14:paraId="10D36B7A"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Indian</w:t>
            </w:r>
          </w:p>
        </w:tc>
        <w:tc>
          <w:tcPr>
            <w:tcW w:w="1304" w:type="dxa"/>
            <w:tcBorders>
              <w:top w:val="nil"/>
              <w:left w:val="nil"/>
              <w:bottom w:val="nil"/>
              <w:right w:val="nil"/>
            </w:tcBorders>
            <w:shd w:val="clear" w:color="auto" w:fill="auto"/>
            <w:noWrap/>
            <w:vAlign w:val="bottom"/>
            <w:hideMark/>
          </w:tcPr>
          <w:p w14:paraId="19CECF2F"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1.111</w:t>
            </w:r>
          </w:p>
        </w:tc>
        <w:tc>
          <w:tcPr>
            <w:tcW w:w="1100" w:type="dxa"/>
            <w:tcBorders>
              <w:top w:val="nil"/>
              <w:left w:val="nil"/>
              <w:bottom w:val="nil"/>
              <w:right w:val="nil"/>
            </w:tcBorders>
            <w:shd w:val="clear" w:color="auto" w:fill="auto"/>
            <w:noWrap/>
            <w:vAlign w:val="bottom"/>
            <w:hideMark/>
          </w:tcPr>
          <w:p w14:paraId="2DEF09D4"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0.959</w:t>
            </w:r>
          </w:p>
        </w:tc>
        <w:tc>
          <w:tcPr>
            <w:tcW w:w="1107" w:type="dxa"/>
            <w:tcBorders>
              <w:top w:val="nil"/>
              <w:left w:val="nil"/>
              <w:bottom w:val="nil"/>
              <w:right w:val="nil"/>
            </w:tcBorders>
            <w:shd w:val="clear" w:color="auto" w:fill="auto"/>
            <w:noWrap/>
            <w:vAlign w:val="bottom"/>
            <w:hideMark/>
          </w:tcPr>
          <w:p w14:paraId="4658D5FE"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1.287</w:t>
            </w:r>
          </w:p>
        </w:tc>
      </w:tr>
      <w:tr w:rsidR="00455B15" w:rsidRPr="00E61CDF" w14:paraId="366B5C22" w14:textId="77777777" w:rsidTr="00356E8F">
        <w:trPr>
          <w:trHeight w:val="300"/>
        </w:trPr>
        <w:tc>
          <w:tcPr>
            <w:tcW w:w="4107" w:type="dxa"/>
            <w:tcBorders>
              <w:top w:val="nil"/>
              <w:left w:val="nil"/>
              <w:bottom w:val="nil"/>
              <w:right w:val="nil"/>
            </w:tcBorders>
            <w:shd w:val="clear" w:color="auto" w:fill="auto"/>
            <w:noWrap/>
            <w:vAlign w:val="bottom"/>
            <w:hideMark/>
          </w:tcPr>
          <w:p w14:paraId="485A9D0D"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Pakistani</w:t>
            </w:r>
          </w:p>
        </w:tc>
        <w:tc>
          <w:tcPr>
            <w:tcW w:w="1304" w:type="dxa"/>
            <w:tcBorders>
              <w:top w:val="nil"/>
              <w:left w:val="nil"/>
              <w:bottom w:val="nil"/>
              <w:right w:val="nil"/>
            </w:tcBorders>
            <w:shd w:val="clear" w:color="auto" w:fill="auto"/>
            <w:noWrap/>
            <w:vAlign w:val="bottom"/>
            <w:hideMark/>
          </w:tcPr>
          <w:p w14:paraId="5747D15D" w14:textId="77777777" w:rsidR="00455B15" w:rsidRPr="00356E8F" w:rsidRDefault="00455B15"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1.749</w:t>
            </w:r>
          </w:p>
        </w:tc>
        <w:tc>
          <w:tcPr>
            <w:tcW w:w="1100" w:type="dxa"/>
            <w:tcBorders>
              <w:top w:val="nil"/>
              <w:left w:val="nil"/>
              <w:bottom w:val="nil"/>
              <w:right w:val="nil"/>
            </w:tcBorders>
            <w:shd w:val="clear" w:color="auto" w:fill="auto"/>
            <w:noWrap/>
            <w:vAlign w:val="bottom"/>
            <w:hideMark/>
          </w:tcPr>
          <w:p w14:paraId="7937CE39" w14:textId="77777777" w:rsidR="00455B15" w:rsidRPr="00356E8F" w:rsidRDefault="00455B15"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1.368</w:t>
            </w:r>
          </w:p>
        </w:tc>
        <w:tc>
          <w:tcPr>
            <w:tcW w:w="1107" w:type="dxa"/>
            <w:tcBorders>
              <w:top w:val="nil"/>
              <w:left w:val="nil"/>
              <w:bottom w:val="nil"/>
              <w:right w:val="nil"/>
            </w:tcBorders>
            <w:shd w:val="clear" w:color="auto" w:fill="auto"/>
            <w:noWrap/>
            <w:vAlign w:val="bottom"/>
            <w:hideMark/>
          </w:tcPr>
          <w:p w14:paraId="6CEF610F" w14:textId="77777777" w:rsidR="00455B15" w:rsidRPr="00356E8F" w:rsidRDefault="00455B15"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2.237</w:t>
            </w:r>
          </w:p>
        </w:tc>
      </w:tr>
      <w:tr w:rsidR="00455B15" w:rsidRPr="00E61CDF" w14:paraId="182E6996" w14:textId="77777777" w:rsidTr="00356E8F">
        <w:trPr>
          <w:trHeight w:val="300"/>
        </w:trPr>
        <w:tc>
          <w:tcPr>
            <w:tcW w:w="4107" w:type="dxa"/>
            <w:tcBorders>
              <w:top w:val="nil"/>
              <w:left w:val="nil"/>
              <w:bottom w:val="nil"/>
              <w:right w:val="nil"/>
            </w:tcBorders>
            <w:shd w:val="clear" w:color="auto" w:fill="auto"/>
            <w:noWrap/>
            <w:vAlign w:val="bottom"/>
            <w:hideMark/>
          </w:tcPr>
          <w:p w14:paraId="4FBA5C8B"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Black-African</w:t>
            </w:r>
          </w:p>
        </w:tc>
        <w:tc>
          <w:tcPr>
            <w:tcW w:w="1304" w:type="dxa"/>
            <w:tcBorders>
              <w:top w:val="nil"/>
              <w:left w:val="nil"/>
              <w:bottom w:val="nil"/>
              <w:right w:val="nil"/>
            </w:tcBorders>
            <w:shd w:val="clear" w:color="auto" w:fill="auto"/>
            <w:noWrap/>
            <w:vAlign w:val="bottom"/>
            <w:hideMark/>
          </w:tcPr>
          <w:p w14:paraId="3B7D1252"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1.276</w:t>
            </w:r>
          </w:p>
        </w:tc>
        <w:tc>
          <w:tcPr>
            <w:tcW w:w="1100" w:type="dxa"/>
            <w:tcBorders>
              <w:top w:val="nil"/>
              <w:left w:val="nil"/>
              <w:bottom w:val="nil"/>
              <w:right w:val="nil"/>
            </w:tcBorders>
            <w:shd w:val="clear" w:color="auto" w:fill="auto"/>
            <w:noWrap/>
            <w:vAlign w:val="bottom"/>
            <w:hideMark/>
          </w:tcPr>
          <w:p w14:paraId="483494C0"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0.970</w:t>
            </w:r>
          </w:p>
        </w:tc>
        <w:tc>
          <w:tcPr>
            <w:tcW w:w="1107" w:type="dxa"/>
            <w:tcBorders>
              <w:top w:val="nil"/>
              <w:left w:val="nil"/>
              <w:bottom w:val="nil"/>
              <w:right w:val="nil"/>
            </w:tcBorders>
            <w:shd w:val="clear" w:color="auto" w:fill="auto"/>
            <w:noWrap/>
            <w:vAlign w:val="bottom"/>
            <w:hideMark/>
          </w:tcPr>
          <w:p w14:paraId="243B7619"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1.678</w:t>
            </w:r>
          </w:p>
        </w:tc>
      </w:tr>
      <w:tr w:rsidR="00455B15" w:rsidRPr="00E61CDF" w14:paraId="4902D824" w14:textId="77777777" w:rsidTr="00356E8F">
        <w:trPr>
          <w:trHeight w:val="300"/>
        </w:trPr>
        <w:tc>
          <w:tcPr>
            <w:tcW w:w="4107" w:type="dxa"/>
            <w:tcBorders>
              <w:top w:val="nil"/>
              <w:left w:val="nil"/>
              <w:bottom w:val="nil"/>
              <w:right w:val="nil"/>
            </w:tcBorders>
            <w:shd w:val="clear" w:color="auto" w:fill="auto"/>
            <w:noWrap/>
            <w:vAlign w:val="bottom"/>
            <w:hideMark/>
          </w:tcPr>
          <w:p w14:paraId="4795646D"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Black Afro-Caribbean</w:t>
            </w:r>
          </w:p>
        </w:tc>
        <w:tc>
          <w:tcPr>
            <w:tcW w:w="1304" w:type="dxa"/>
            <w:tcBorders>
              <w:top w:val="nil"/>
              <w:left w:val="nil"/>
              <w:bottom w:val="nil"/>
              <w:right w:val="nil"/>
            </w:tcBorders>
            <w:shd w:val="clear" w:color="auto" w:fill="auto"/>
            <w:noWrap/>
            <w:vAlign w:val="bottom"/>
            <w:hideMark/>
          </w:tcPr>
          <w:p w14:paraId="493A87A2"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1.039</w:t>
            </w:r>
          </w:p>
        </w:tc>
        <w:tc>
          <w:tcPr>
            <w:tcW w:w="1100" w:type="dxa"/>
            <w:tcBorders>
              <w:top w:val="nil"/>
              <w:left w:val="nil"/>
              <w:bottom w:val="nil"/>
              <w:right w:val="nil"/>
            </w:tcBorders>
            <w:shd w:val="clear" w:color="auto" w:fill="auto"/>
            <w:noWrap/>
            <w:vAlign w:val="bottom"/>
            <w:hideMark/>
          </w:tcPr>
          <w:p w14:paraId="65722A1D"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0.723</w:t>
            </w:r>
          </w:p>
        </w:tc>
        <w:tc>
          <w:tcPr>
            <w:tcW w:w="1107" w:type="dxa"/>
            <w:tcBorders>
              <w:top w:val="nil"/>
              <w:left w:val="nil"/>
              <w:bottom w:val="nil"/>
              <w:right w:val="nil"/>
            </w:tcBorders>
            <w:shd w:val="clear" w:color="auto" w:fill="auto"/>
            <w:noWrap/>
            <w:vAlign w:val="bottom"/>
            <w:hideMark/>
          </w:tcPr>
          <w:p w14:paraId="67C699B0"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1.494</w:t>
            </w:r>
          </w:p>
        </w:tc>
      </w:tr>
      <w:tr w:rsidR="00455B15" w:rsidRPr="00E61CDF" w14:paraId="7100328A" w14:textId="77777777" w:rsidTr="00356E8F">
        <w:trPr>
          <w:trHeight w:val="300"/>
        </w:trPr>
        <w:tc>
          <w:tcPr>
            <w:tcW w:w="4107" w:type="dxa"/>
            <w:tcBorders>
              <w:top w:val="nil"/>
              <w:left w:val="nil"/>
              <w:bottom w:val="nil"/>
              <w:right w:val="nil"/>
            </w:tcBorders>
            <w:shd w:val="clear" w:color="auto" w:fill="auto"/>
            <w:noWrap/>
            <w:vAlign w:val="bottom"/>
            <w:hideMark/>
          </w:tcPr>
          <w:p w14:paraId="0D2AC9CD"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Mixed-White &amp; Asian</w:t>
            </w:r>
          </w:p>
        </w:tc>
        <w:tc>
          <w:tcPr>
            <w:tcW w:w="1304" w:type="dxa"/>
            <w:tcBorders>
              <w:top w:val="nil"/>
              <w:left w:val="nil"/>
              <w:bottom w:val="nil"/>
              <w:right w:val="nil"/>
            </w:tcBorders>
            <w:shd w:val="clear" w:color="auto" w:fill="auto"/>
            <w:noWrap/>
            <w:vAlign w:val="bottom"/>
            <w:hideMark/>
          </w:tcPr>
          <w:p w14:paraId="3D8C8674"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0.894</w:t>
            </w:r>
          </w:p>
        </w:tc>
        <w:tc>
          <w:tcPr>
            <w:tcW w:w="1100" w:type="dxa"/>
            <w:tcBorders>
              <w:top w:val="nil"/>
              <w:left w:val="nil"/>
              <w:bottom w:val="nil"/>
              <w:right w:val="nil"/>
            </w:tcBorders>
            <w:shd w:val="clear" w:color="auto" w:fill="auto"/>
            <w:noWrap/>
            <w:vAlign w:val="bottom"/>
            <w:hideMark/>
          </w:tcPr>
          <w:p w14:paraId="530EE6D5"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0.650</w:t>
            </w:r>
          </w:p>
        </w:tc>
        <w:tc>
          <w:tcPr>
            <w:tcW w:w="1107" w:type="dxa"/>
            <w:tcBorders>
              <w:top w:val="nil"/>
              <w:left w:val="nil"/>
              <w:bottom w:val="nil"/>
              <w:right w:val="nil"/>
            </w:tcBorders>
            <w:shd w:val="clear" w:color="auto" w:fill="auto"/>
            <w:noWrap/>
            <w:vAlign w:val="bottom"/>
            <w:hideMark/>
          </w:tcPr>
          <w:p w14:paraId="7DBA5949"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1.229</w:t>
            </w:r>
          </w:p>
        </w:tc>
      </w:tr>
      <w:tr w:rsidR="00455B15" w:rsidRPr="00E61CDF" w14:paraId="2E389CCC" w14:textId="77777777" w:rsidTr="00356E8F">
        <w:trPr>
          <w:trHeight w:val="300"/>
        </w:trPr>
        <w:tc>
          <w:tcPr>
            <w:tcW w:w="4107" w:type="dxa"/>
            <w:tcBorders>
              <w:top w:val="nil"/>
              <w:left w:val="nil"/>
              <w:bottom w:val="nil"/>
              <w:right w:val="nil"/>
            </w:tcBorders>
            <w:shd w:val="clear" w:color="auto" w:fill="auto"/>
            <w:noWrap/>
            <w:vAlign w:val="bottom"/>
            <w:hideMark/>
          </w:tcPr>
          <w:p w14:paraId="2F9FBD10"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Mixed-White &amp; Black</w:t>
            </w:r>
          </w:p>
        </w:tc>
        <w:tc>
          <w:tcPr>
            <w:tcW w:w="1304" w:type="dxa"/>
            <w:tcBorders>
              <w:top w:val="nil"/>
              <w:left w:val="nil"/>
              <w:bottom w:val="nil"/>
              <w:right w:val="nil"/>
            </w:tcBorders>
            <w:shd w:val="clear" w:color="auto" w:fill="auto"/>
            <w:noWrap/>
            <w:vAlign w:val="bottom"/>
            <w:hideMark/>
          </w:tcPr>
          <w:p w14:paraId="1E24DC11"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1.124</w:t>
            </w:r>
          </w:p>
        </w:tc>
        <w:tc>
          <w:tcPr>
            <w:tcW w:w="1100" w:type="dxa"/>
            <w:tcBorders>
              <w:top w:val="nil"/>
              <w:left w:val="nil"/>
              <w:bottom w:val="nil"/>
              <w:right w:val="nil"/>
            </w:tcBorders>
            <w:shd w:val="clear" w:color="auto" w:fill="auto"/>
            <w:noWrap/>
            <w:vAlign w:val="bottom"/>
            <w:hideMark/>
          </w:tcPr>
          <w:p w14:paraId="071B3612"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0.834</w:t>
            </w:r>
          </w:p>
        </w:tc>
        <w:tc>
          <w:tcPr>
            <w:tcW w:w="1107" w:type="dxa"/>
            <w:tcBorders>
              <w:top w:val="nil"/>
              <w:left w:val="nil"/>
              <w:bottom w:val="nil"/>
              <w:right w:val="nil"/>
            </w:tcBorders>
            <w:shd w:val="clear" w:color="auto" w:fill="auto"/>
            <w:noWrap/>
            <w:vAlign w:val="bottom"/>
            <w:hideMark/>
          </w:tcPr>
          <w:p w14:paraId="39F6055D"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1.515</w:t>
            </w:r>
          </w:p>
        </w:tc>
      </w:tr>
      <w:tr w:rsidR="00455B15" w:rsidRPr="00E61CDF" w14:paraId="25A62F6B" w14:textId="77777777" w:rsidTr="00356E8F">
        <w:trPr>
          <w:trHeight w:val="300"/>
        </w:trPr>
        <w:tc>
          <w:tcPr>
            <w:tcW w:w="4107" w:type="dxa"/>
            <w:tcBorders>
              <w:top w:val="nil"/>
              <w:left w:val="nil"/>
              <w:bottom w:val="nil"/>
              <w:right w:val="nil"/>
            </w:tcBorders>
            <w:shd w:val="clear" w:color="auto" w:fill="auto"/>
            <w:noWrap/>
            <w:vAlign w:val="bottom"/>
            <w:hideMark/>
          </w:tcPr>
          <w:p w14:paraId="4CE41A0C" w14:textId="77777777" w:rsidR="00455B15" w:rsidRPr="00E61CDF" w:rsidRDefault="00455B15"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White-Irish</w:t>
            </w:r>
          </w:p>
        </w:tc>
        <w:tc>
          <w:tcPr>
            <w:tcW w:w="1304" w:type="dxa"/>
            <w:tcBorders>
              <w:top w:val="nil"/>
              <w:left w:val="nil"/>
              <w:bottom w:val="nil"/>
              <w:right w:val="nil"/>
            </w:tcBorders>
            <w:shd w:val="clear" w:color="auto" w:fill="auto"/>
            <w:noWrap/>
            <w:vAlign w:val="bottom"/>
            <w:hideMark/>
          </w:tcPr>
          <w:p w14:paraId="65C81353"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1.065</w:t>
            </w:r>
          </w:p>
        </w:tc>
        <w:tc>
          <w:tcPr>
            <w:tcW w:w="1100" w:type="dxa"/>
            <w:tcBorders>
              <w:top w:val="nil"/>
              <w:left w:val="nil"/>
              <w:bottom w:val="nil"/>
              <w:right w:val="nil"/>
            </w:tcBorders>
            <w:shd w:val="clear" w:color="auto" w:fill="auto"/>
            <w:noWrap/>
            <w:vAlign w:val="bottom"/>
            <w:hideMark/>
          </w:tcPr>
          <w:p w14:paraId="479A569B"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0.855</w:t>
            </w:r>
          </w:p>
        </w:tc>
        <w:tc>
          <w:tcPr>
            <w:tcW w:w="1107" w:type="dxa"/>
            <w:tcBorders>
              <w:top w:val="nil"/>
              <w:left w:val="nil"/>
              <w:bottom w:val="nil"/>
              <w:right w:val="nil"/>
            </w:tcBorders>
            <w:shd w:val="clear" w:color="auto" w:fill="auto"/>
            <w:noWrap/>
            <w:vAlign w:val="bottom"/>
            <w:hideMark/>
          </w:tcPr>
          <w:p w14:paraId="06F95107" w14:textId="77777777" w:rsidR="00455B15" w:rsidRPr="00E61CDF" w:rsidRDefault="00455B15"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1.327</w:t>
            </w:r>
          </w:p>
        </w:tc>
      </w:tr>
      <w:tr w:rsidR="00E61CDF" w:rsidRPr="00E61CDF" w14:paraId="2859DE76" w14:textId="77777777" w:rsidTr="00356E8F">
        <w:trPr>
          <w:trHeight w:val="300"/>
        </w:trPr>
        <w:tc>
          <w:tcPr>
            <w:tcW w:w="4107" w:type="dxa"/>
            <w:tcBorders>
              <w:top w:val="nil"/>
              <w:left w:val="nil"/>
              <w:bottom w:val="nil"/>
              <w:right w:val="nil"/>
            </w:tcBorders>
            <w:shd w:val="clear" w:color="auto" w:fill="auto"/>
            <w:noWrap/>
            <w:vAlign w:val="bottom"/>
            <w:hideMark/>
          </w:tcPr>
          <w:p w14:paraId="7375E659"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ICT</w:t>
            </w:r>
          </w:p>
        </w:tc>
        <w:tc>
          <w:tcPr>
            <w:tcW w:w="2404" w:type="dxa"/>
            <w:gridSpan w:val="2"/>
            <w:tcBorders>
              <w:top w:val="nil"/>
              <w:left w:val="nil"/>
              <w:bottom w:val="nil"/>
              <w:right w:val="nil"/>
            </w:tcBorders>
            <w:shd w:val="clear" w:color="auto" w:fill="auto"/>
            <w:noWrap/>
            <w:vAlign w:val="bottom"/>
            <w:hideMark/>
          </w:tcPr>
          <w:p w14:paraId="0D12D34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26410B43" w14:textId="77777777" w:rsidR="00E61CDF" w:rsidRPr="00E61CDF" w:rsidRDefault="00E61CDF" w:rsidP="000A1B54">
            <w:pPr>
              <w:spacing w:after="0" w:line="480" w:lineRule="auto"/>
              <w:rPr>
                <w:rFonts w:ascii="Calibri" w:eastAsia="Times New Roman" w:hAnsi="Calibri" w:cs="Times New Roman"/>
                <w:color w:val="000000"/>
                <w:lang w:eastAsia="en-GB"/>
              </w:rPr>
            </w:pPr>
          </w:p>
        </w:tc>
      </w:tr>
      <w:tr w:rsidR="00E61CDF" w:rsidRPr="00E61CDF" w14:paraId="0182977D" w14:textId="77777777" w:rsidTr="00356E8F">
        <w:trPr>
          <w:trHeight w:val="300"/>
        </w:trPr>
        <w:tc>
          <w:tcPr>
            <w:tcW w:w="4107" w:type="dxa"/>
            <w:tcBorders>
              <w:top w:val="nil"/>
              <w:left w:val="nil"/>
              <w:bottom w:val="nil"/>
              <w:right w:val="nil"/>
            </w:tcBorders>
            <w:shd w:val="clear" w:color="auto" w:fill="auto"/>
            <w:noWrap/>
            <w:vAlign w:val="bottom"/>
            <w:hideMark/>
          </w:tcPr>
          <w:p w14:paraId="1AB81588"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Teaching and education</w:t>
            </w:r>
          </w:p>
        </w:tc>
        <w:tc>
          <w:tcPr>
            <w:tcW w:w="1304" w:type="dxa"/>
            <w:tcBorders>
              <w:top w:val="nil"/>
              <w:left w:val="nil"/>
              <w:bottom w:val="nil"/>
              <w:right w:val="nil"/>
            </w:tcBorders>
            <w:shd w:val="clear" w:color="auto" w:fill="auto"/>
            <w:noWrap/>
            <w:vAlign w:val="bottom"/>
            <w:hideMark/>
          </w:tcPr>
          <w:p w14:paraId="231ED2E2"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1.274</w:t>
            </w:r>
          </w:p>
        </w:tc>
        <w:tc>
          <w:tcPr>
            <w:tcW w:w="1100" w:type="dxa"/>
            <w:tcBorders>
              <w:top w:val="nil"/>
              <w:left w:val="nil"/>
              <w:bottom w:val="nil"/>
              <w:right w:val="nil"/>
            </w:tcBorders>
            <w:shd w:val="clear" w:color="auto" w:fill="auto"/>
            <w:noWrap/>
            <w:vAlign w:val="bottom"/>
            <w:hideMark/>
          </w:tcPr>
          <w:p w14:paraId="708CDEB9"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1.135</w:t>
            </w:r>
          </w:p>
        </w:tc>
        <w:tc>
          <w:tcPr>
            <w:tcW w:w="1107" w:type="dxa"/>
            <w:tcBorders>
              <w:top w:val="nil"/>
              <w:left w:val="nil"/>
              <w:bottom w:val="nil"/>
              <w:right w:val="nil"/>
            </w:tcBorders>
            <w:shd w:val="clear" w:color="auto" w:fill="auto"/>
            <w:noWrap/>
            <w:vAlign w:val="bottom"/>
            <w:hideMark/>
          </w:tcPr>
          <w:p w14:paraId="67494901"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1.429</w:t>
            </w:r>
          </w:p>
        </w:tc>
      </w:tr>
      <w:tr w:rsidR="00E61CDF" w:rsidRPr="00E61CDF" w14:paraId="7B0A4998" w14:textId="77777777" w:rsidTr="00356E8F">
        <w:trPr>
          <w:trHeight w:val="300"/>
        </w:trPr>
        <w:tc>
          <w:tcPr>
            <w:tcW w:w="4107" w:type="dxa"/>
            <w:tcBorders>
              <w:top w:val="nil"/>
              <w:left w:val="nil"/>
              <w:bottom w:val="nil"/>
              <w:right w:val="nil"/>
            </w:tcBorders>
            <w:shd w:val="clear" w:color="auto" w:fill="auto"/>
            <w:noWrap/>
            <w:vAlign w:val="bottom"/>
            <w:hideMark/>
          </w:tcPr>
          <w:p w14:paraId="09FA4E03"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lastRenderedPageBreak/>
              <w:t>Health care</w:t>
            </w:r>
          </w:p>
        </w:tc>
        <w:tc>
          <w:tcPr>
            <w:tcW w:w="1304" w:type="dxa"/>
            <w:tcBorders>
              <w:top w:val="nil"/>
              <w:left w:val="nil"/>
              <w:bottom w:val="nil"/>
              <w:right w:val="nil"/>
            </w:tcBorders>
            <w:shd w:val="clear" w:color="auto" w:fill="auto"/>
            <w:noWrap/>
            <w:vAlign w:val="bottom"/>
            <w:hideMark/>
          </w:tcPr>
          <w:p w14:paraId="628F7406"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1.285</w:t>
            </w:r>
          </w:p>
        </w:tc>
        <w:tc>
          <w:tcPr>
            <w:tcW w:w="1100" w:type="dxa"/>
            <w:tcBorders>
              <w:top w:val="nil"/>
              <w:left w:val="nil"/>
              <w:bottom w:val="nil"/>
              <w:right w:val="nil"/>
            </w:tcBorders>
            <w:shd w:val="clear" w:color="auto" w:fill="auto"/>
            <w:noWrap/>
            <w:vAlign w:val="bottom"/>
            <w:hideMark/>
          </w:tcPr>
          <w:p w14:paraId="3462F298"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1.140</w:t>
            </w:r>
          </w:p>
        </w:tc>
        <w:tc>
          <w:tcPr>
            <w:tcW w:w="1107" w:type="dxa"/>
            <w:tcBorders>
              <w:top w:val="nil"/>
              <w:left w:val="nil"/>
              <w:bottom w:val="nil"/>
              <w:right w:val="nil"/>
            </w:tcBorders>
            <w:shd w:val="clear" w:color="auto" w:fill="auto"/>
            <w:noWrap/>
            <w:vAlign w:val="bottom"/>
            <w:hideMark/>
          </w:tcPr>
          <w:p w14:paraId="53017C4C"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1.450</w:t>
            </w:r>
          </w:p>
        </w:tc>
      </w:tr>
      <w:tr w:rsidR="00E61CDF" w:rsidRPr="00E61CDF" w14:paraId="03CEAE07" w14:textId="77777777" w:rsidTr="00356E8F">
        <w:trPr>
          <w:trHeight w:val="300"/>
        </w:trPr>
        <w:tc>
          <w:tcPr>
            <w:tcW w:w="4107" w:type="dxa"/>
            <w:tcBorders>
              <w:top w:val="nil"/>
              <w:left w:val="nil"/>
              <w:bottom w:val="nil"/>
              <w:right w:val="nil"/>
            </w:tcBorders>
            <w:shd w:val="clear" w:color="auto" w:fill="auto"/>
            <w:noWrap/>
            <w:vAlign w:val="bottom"/>
            <w:hideMark/>
          </w:tcPr>
          <w:p w14:paraId="54B65231"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Social care</w:t>
            </w:r>
          </w:p>
        </w:tc>
        <w:tc>
          <w:tcPr>
            <w:tcW w:w="1304" w:type="dxa"/>
            <w:tcBorders>
              <w:top w:val="nil"/>
              <w:left w:val="nil"/>
              <w:bottom w:val="nil"/>
              <w:right w:val="nil"/>
            </w:tcBorders>
            <w:shd w:val="clear" w:color="auto" w:fill="auto"/>
            <w:noWrap/>
            <w:vAlign w:val="bottom"/>
            <w:hideMark/>
          </w:tcPr>
          <w:p w14:paraId="717BF2F2"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1.428</w:t>
            </w:r>
          </w:p>
        </w:tc>
        <w:tc>
          <w:tcPr>
            <w:tcW w:w="1100" w:type="dxa"/>
            <w:tcBorders>
              <w:top w:val="nil"/>
              <w:left w:val="nil"/>
              <w:bottom w:val="nil"/>
              <w:right w:val="nil"/>
            </w:tcBorders>
            <w:shd w:val="clear" w:color="auto" w:fill="auto"/>
            <w:noWrap/>
            <w:vAlign w:val="bottom"/>
            <w:hideMark/>
          </w:tcPr>
          <w:p w14:paraId="3B242341"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1.207</w:t>
            </w:r>
          </w:p>
        </w:tc>
        <w:tc>
          <w:tcPr>
            <w:tcW w:w="1107" w:type="dxa"/>
            <w:tcBorders>
              <w:top w:val="nil"/>
              <w:left w:val="nil"/>
              <w:bottom w:val="nil"/>
              <w:right w:val="nil"/>
            </w:tcBorders>
            <w:shd w:val="clear" w:color="auto" w:fill="auto"/>
            <w:noWrap/>
            <w:vAlign w:val="bottom"/>
            <w:hideMark/>
          </w:tcPr>
          <w:p w14:paraId="74693978"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1.689</w:t>
            </w:r>
          </w:p>
        </w:tc>
      </w:tr>
      <w:tr w:rsidR="00E61CDF" w:rsidRPr="00E61CDF" w14:paraId="3AAD7510" w14:textId="77777777" w:rsidTr="00356E8F">
        <w:trPr>
          <w:trHeight w:val="300"/>
        </w:trPr>
        <w:tc>
          <w:tcPr>
            <w:tcW w:w="4107" w:type="dxa"/>
            <w:tcBorders>
              <w:top w:val="nil"/>
              <w:left w:val="nil"/>
              <w:bottom w:val="nil"/>
              <w:right w:val="nil"/>
            </w:tcBorders>
            <w:shd w:val="clear" w:color="auto" w:fill="auto"/>
            <w:noWrap/>
            <w:vAlign w:val="bottom"/>
            <w:hideMark/>
          </w:tcPr>
          <w:p w14:paraId="2AF6F8B8"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Transport (incl. storage, logistic)</w:t>
            </w:r>
          </w:p>
        </w:tc>
        <w:tc>
          <w:tcPr>
            <w:tcW w:w="1304" w:type="dxa"/>
            <w:tcBorders>
              <w:top w:val="nil"/>
              <w:left w:val="nil"/>
              <w:bottom w:val="nil"/>
              <w:right w:val="nil"/>
            </w:tcBorders>
            <w:shd w:val="clear" w:color="auto" w:fill="auto"/>
            <w:noWrap/>
            <w:vAlign w:val="bottom"/>
            <w:hideMark/>
          </w:tcPr>
          <w:p w14:paraId="5FB06AD5"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1.192</w:t>
            </w:r>
          </w:p>
        </w:tc>
        <w:tc>
          <w:tcPr>
            <w:tcW w:w="1100" w:type="dxa"/>
            <w:tcBorders>
              <w:top w:val="nil"/>
              <w:left w:val="nil"/>
              <w:bottom w:val="nil"/>
              <w:right w:val="nil"/>
            </w:tcBorders>
            <w:shd w:val="clear" w:color="auto" w:fill="auto"/>
            <w:noWrap/>
            <w:vAlign w:val="bottom"/>
            <w:hideMark/>
          </w:tcPr>
          <w:p w14:paraId="0DFF4BDE"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1.025</w:t>
            </w:r>
          </w:p>
        </w:tc>
        <w:tc>
          <w:tcPr>
            <w:tcW w:w="1107" w:type="dxa"/>
            <w:tcBorders>
              <w:top w:val="nil"/>
              <w:left w:val="nil"/>
              <w:bottom w:val="nil"/>
              <w:right w:val="nil"/>
            </w:tcBorders>
            <w:shd w:val="clear" w:color="auto" w:fill="auto"/>
            <w:noWrap/>
            <w:vAlign w:val="bottom"/>
            <w:hideMark/>
          </w:tcPr>
          <w:p w14:paraId="160E3900"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1.386</w:t>
            </w:r>
          </w:p>
        </w:tc>
      </w:tr>
      <w:tr w:rsidR="00E61CDF" w:rsidRPr="00E61CDF" w14:paraId="08A72E50" w14:textId="77777777" w:rsidTr="00356E8F">
        <w:trPr>
          <w:trHeight w:val="300"/>
        </w:trPr>
        <w:tc>
          <w:tcPr>
            <w:tcW w:w="4107" w:type="dxa"/>
            <w:tcBorders>
              <w:top w:val="nil"/>
              <w:left w:val="nil"/>
              <w:bottom w:val="nil"/>
              <w:right w:val="nil"/>
            </w:tcBorders>
            <w:shd w:val="clear" w:color="auto" w:fill="auto"/>
            <w:noWrap/>
            <w:vAlign w:val="bottom"/>
            <w:hideMark/>
          </w:tcPr>
          <w:p w14:paraId="2B70CC44"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Retail sector (incl. wholesale)</w:t>
            </w:r>
          </w:p>
        </w:tc>
        <w:tc>
          <w:tcPr>
            <w:tcW w:w="1304" w:type="dxa"/>
            <w:tcBorders>
              <w:top w:val="nil"/>
              <w:left w:val="nil"/>
              <w:bottom w:val="nil"/>
              <w:right w:val="nil"/>
            </w:tcBorders>
            <w:shd w:val="clear" w:color="auto" w:fill="auto"/>
            <w:noWrap/>
            <w:vAlign w:val="bottom"/>
            <w:hideMark/>
          </w:tcPr>
          <w:p w14:paraId="2159244C"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1.230</w:t>
            </w:r>
          </w:p>
        </w:tc>
        <w:tc>
          <w:tcPr>
            <w:tcW w:w="1100" w:type="dxa"/>
            <w:tcBorders>
              <w:top w:val="nil"/>
              <w:left w:val="nil"/>
              <w:bottom w:val="nil"/>
              <w:right w:val="nil"/>
            </w:tcBorders>
            <w:shd w:val="clear" w:color="auto" w:fill="auto"/>
            <w:noWrap/>
            <w:vAlign w:val="bottom"/>
            <w:hideMark/>
          </w:tcPr>
          <w:p w14:paraId="73D2380B"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1.081</w:t>
            </w:r>
          </w:p>
        </w:tc>
        <w:tc>
          <w:tcPr>
            <w:tcW w:w="1107" w:type="dxa"/>
            <w:tcBorders>
              <w:top w:val="nil"/>
              <w:left w:val="nil"/>
              <w:bottom w:val="nil"/>
              <w:right w:val="nil"/>
            </w:tcBorders>
            <w:shd w:val="clear" w:color="auto" w:fill="auto"/>
            <w:noWrap/>
            <w:vAlign w:val="bottom"/>
            <w:hideMark/>
          </w:tcPr>
          <w:p w14:paraId="62BD064A"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1.401</w:t>
            </w:r>
          </w:p>
        </w:tc>
      </w:tr>
      <w:tr w:rsidR="00E61CDF" w:rsidRPr="00E61CDF" w14:paraId="48779ED0" w14:textId="77777777" w:rsidTr="00356E8F">
        <w:trPr>
          <w:trHeight w:val="300"/>
        </w:trPr>
        <w:tc>
          <w:tcPr>
            <w:tcW w:w="4107" w:type="dxa"/>
            <w:tcBorders>
              <w:top w:val="nil"/>
              <w:left w:val="nil"/>
              <w:bottom w:val="nil"/>
              <w:right w:val="nil"/>
            </w:tcBorders>
            <w:shd w:val="clear" w:color="auto" w:fill="auto"/>
            <w:noWrap/>
            <w:vAlign w:val="bottom"/>
            <w:hideMark/>
          </w:tcPr>
          <w:p w14:paraId="10A855FB"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Hospitality (e.g. hotel, restaurant)</w:t>
            </w:r>
          </w:p>
        </w:tc>
        <w:tc>
          <w:tcPr>
            <w:tcW w:w="1304" w:type="dxa"/>
            <w:tcBorders>
              <w:top w:val="nil"/>
              <w:left w:val="nil"/>
              <w:bottom w:val="nil"/>
              <w:right w:val="nil"/>
            </w:tcBorders>
            <w:shd w:val="clear" w:color="auto" w:fill="auto"/>
            <w:noWrap/>
            <w:vAlign w:val="bottom"/>
            <w:hideMark/>
          </w:tcPr>
          <w:p w14:paraId="24F74A63"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1.300</w:t>
            </w:r>
          </w:p>
        </w:tc>
        <w:tc>
          <w:tcPr>
            <w:tcW w:w="1100" w:type="dxa"/>
            <w:tcBorders>
              <w:top w:val="nil"/>
              <w:left w:val="nil"/>
              <w:bottom w:val="nil"/>
              <w:right w:val="nil"/>
            </w:tcBorders>
            <w:shd w:val="clear" w:color="auto" w:fill="auto"/>
            <w:noWrap/>
            <w:vAlign w:val="bottom"/>
            <w:hideMark/>
          </w:tcPr>
          <w:p w14:paraId="3DED876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1.092</w:t>
            </w:r>
          </w:p>
        </w:tc>
        <w:tc>
          <w:tcPr>
            <w:tcW w:w="1107" w:type="dxa"/>
            <w:tcBorders>
              <w:top w:val="nil"/>
              <w:left w:val="nil"/>
              <w:bottom w:val="nil"/>
              <w:right w:val="nil"/>
            </w:tcBorders>
            <w:shd w:val="clear" w:color="auto" w:fill="auto"/>
            <w:noWrap/>
            <w:vAlign w:val="bottom"/>
            <w:hideMark/>
          </w:tcPr>
          <w:p w14:paraId="5C6FCF7C"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1.547</w:t>
            </w:r>
          </w:p>
        </w:tc>
      </w:tr>
      <w:tr w:rsidR="00E61CDF" w:rsidRPr="00E61CDF" w14:paraId="61E8D0FE" w14:textId="77777777" w:rsidTr="00356E8F">
        <w:trPr>
          <w:trHeight w:val="300"/>
        </w:trPr>
        <w:tc>
          <w:tcPr>
            <w:tcW w:w="4107" w:type="dxa"/>
            <w:tcBorders>
              <w:top w:val="nil"/>
              <w:left w:val="nil"/>
              <w:bottom w:val="nil"/>
              <w:right w:val="nil"/>
            </w:tcBorders>
            <w:shd w:val="clear" w:color="auto" w:fill="auto"/>
            <w:noWrap/>
            <w:vAlign w:val="bottom"/>
            <w:hideMark/>
          </w:tcPr>
          <w:p w14:paraId="30147871"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Food production, agriculture, farming</w:t>
            </w:r>
          </w:p>
        </w:tc>
        <w:tc>
          <w:tcPr>
            <w:tcW w:w="1304" w:type="dxa"/>
            <w:tcBorders>
              <w:top w:val="nil"/>
              <w:left w:val="nil"/>
              <w:bottom w:val="nil"/>
              <w:right w:val="nil"/>
            </w:tcBorders>
            <w:shd w:val="clear" w:color="auto" w:fill="auto"/>
            <w:noWrap/>
            <w:vAlign w:val="bottom"/>
            <w:hideMark/>
          </w:tcPr>
          <w:p w14:paraId="1C5D4997"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0.936</w:t>
            </w:r>
          </w:p>
        </w:tc>
        <w:tc>
          <w:tcPr>
            <w:tcW w:w="1100" w:type="dxa"/>
            <w:tcBorders>
              <w:top w:val="nil"/>
              <w:left w:val="nil"/>
              <w:bottom w:val="nil"/>
              <w:right w:val="nil"/>
            </w:tcBorders>
            <w:shd w:val="clear" w:color="auto" w:fill="auto"/>
            <w:noWrap/>
            <w:vAlign w:val="bottom"/>
            <w:hideMark/>
          </w:tcPr>
          <w:p w14:paraId="41DCE4B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0.743</w:t>
            </w:r>
          </w:p>
        </w:tc>
        <w:tc>
          <w:tcPr>
            <w:tcW w:w="1107" w:type="dxa"/>
            <w:tcBorders>
              <w:top w:val="nil"/>
              <w:left w:val="nil"/>
              <w:bottom w:val="nil"/>
              <w:right w:val="nil"/>
            </w:tcBorders>
            <w:shd w:val="clear" w:color="auto" w:fill="auto"/>
            <w:noWrap/>
            <w:vAlign w:val="bottom"/>
            <w:hideMark/>
          </w:tcPr>
          <w:p w14:paraId="523F4FE4"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1.179</w:t>
            </w:r>
          </w:p>
        </w:tc>
      </w:tr>
      <w:tr w:rsidR="00E61CDF" w:rsidRPr="00E61CDF" w14:paraId="40F3A86F" w14:textId="77777777" w:rsidTr="00356E8F">
        <w:trPr>
          <w:trHeight w:val="300"/>
        </w:trPr>
        <w:tc>
          <w:tcPr>
            <w:tcW w:w="4107" w:type="dxa"/>
            <w:tcBorders>
              <w:top w:val="nil"/>
              <w:left w:val="nil"/>
              <w:bottom w:val="nil"/>
              <w:right w:val="nil"/>
            </w:tcBorders>
            <w:shd w:val="clear" w:color="auto" w:fill="auto"/>
            <w:noWrap/>
            <w:vAlign w:val="bottom"/>
            <w:hideMark/>
          </w:tcPr>
          <w:p w14:paraId="3BA68115"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Personal services (e.g. hairdressers)</w:t>
            </w:r>
          </w:p>
        </w:tc>
        <w:tc>
          <w:tcPr>
            <w:tcW w:w="1304" w:type="dxa"/>
            <w:tcBorders>
              <w:top w:val="nil"/>
              <w:left w:val="nil"/>
              <w:bottom w:val="nil"/>
              <w:right w:val="nil"/>
            </w:tcBorders>
            <w:shd w:val="clear" w:color="auto" w:fill="auto"/>
            <w:noWrap/>
            <w:vAlign w:val="bottom"/>
            <w:hideMark/>
          </w:tcPr>
          <w:p w14:paraId="7DB2D02D"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1.035</w:t>
            </w:r>
          </w:p>
        </w:tc>
        <w:tc>
          <w:tcPr>
            <w:tcW w:w="1100" w:type="dxa"/>
            <w:tcBorders>
              <w:top w:val="nil"/>
              <w:left w:val="nil"/>
              <w:bottom w:val="nil"/>
              <w:right w:val="nil"/>
            </w:tcBorders>
            <w:shd w:val="clear" w:color="auto" w:fill="auto"/>
            <w:noWrap/>
            <w:vAlign w:val="bottom"/>
            <w:hideMark/>
          </w:tcPr>
          <w:p w14:paraId="4FE94E7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0.803</w:t>
            </w:r>
          </w:p>
        </w:tc>
        <w:tc>
          <w:tcPr>
            <w:tcW w:w="1107" w:type="dxa"/>
            <w:tcBorders>
              <w:top w:val="nil"/>
              <w:left w:val="nil"/>
              <w:bottom w:val="nil"/>
              <w:right w:val="nil"/>
            </w:tcBorders>
            <w:shd w:val="clear" w:color="auto" w:fill="auto"/>
            <w:noWrap/>
            <w:vAlign w:val="bottom"/>
            <w:hideMark/>
          </w:tcPr>
          <w:p w14:paraId="4474692C"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1.334</w:t>
            </w:r>
          </w:p>
        </w:tc>
      </w:tr>
      <w:tr w:rsidR="00E61CDF" w:rsidRPr="00E61CDF" w14:paraId="6DEAF55B" w14:textId="77777777" w:rsidTr="00356E8F">
        <w:trPr>
          <w:trHeight w:val="300"/>
        </w:trPr>
        <w:tc>
          <w:tcPr>
            <w:tcW w:w="4107" w:type="dxa"/>
            <w:tcBorders>
              <w:top w:val="nil"/>
              <w:left w:val="nil"/>
              <w:bottom w:val="nil"/>
              <w:right w:val="nil"/>
            </w:tcBorders>
            <w:shd w:val="clear" w:color="auto" w:fill="auto"/>
            <w:noWrap/>
            <w:vAlign w:val="bottom"/>
            <w:hideMark/>
          </w:tcPr>
          <w:p w14:paraId="5E916FEE"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Financial services incl. insurance</w:t>
            </w:r>
          </w:p>
        </w:tc>
        <w:tc>
          <w:tcPr>
            <w:tcW w:w="1304" w:type="dxa"/>
            <w:tcBorders>
              <w:top w:val="nil"/>
              <w:left w:val="nil"/>
              <w:bottom w:val="nil"/>
              <w:right w:val="nil"/>
            </w:tcBorders>
            <w:shd w:val="clear" w:color="auto" w:fill="auto"/>
            <w:noWrap/>
            <w:vAlign w:val="bottom"/>
            <w:hideMark/>
          </w:tcPr>
          <w:p w14:paraId="0C7FF3DA"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1.062</w:t>
            </w:r>
          </w:p>
        </w:tc>
        <w:tc>
          <w:tcPr>
            <w:tcW w:w="1100" w:type="dxa"/>
            <w:tcBorders>
              <w:top w:val="nil"/>
              <w:left w:val="nil"/>
              <w:bottom w:val="nil"/>
              <w:right w:val="nil"/>
            </w:tcBorders>
            <w:shd w:val="clear" w:color="auto" w:fill="auto"/>
            <w:noWrap/>
            <w:vAlign w:val="bottom"/>
            <w:hideMark/>
          </w:tcPr>
          <w:p w14:paraId="23BAA560"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0.940</w:t>
            </w:r>
          </w:p>
        </w:tc>
        <w:tc>
          <w:tcPr>
            <w:tcW w:w="1107" w:type="dxa"/>
            <w:tcBorders>
              <w:top w:val="nil"/>
              <w:left w:val="nil"/>
              <w:bottom w:val="nil"/>
              <w:right w:val="nil"/>
            </w:tcBorders>
            <w:shd w:val="clear" w:color="auto" w:fill="auto"/>
            <w:noWrap/>
            <w:vAlign w:val="bottom"/>
            <w:hideMark/>
          </w:tcPr>
          <w:p w14:paraId="4A6709AC"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1.200</w:t>
            </w:r>
          </w:p>
        </w:tc>
      </w:tr>
      <w:tr w:rsidR="00E61CDF" w:rsidRPr="00E61CDF" w14:paraId="1726E491" w14:textId="77777777" w:rsidTr="00356E8F">
        <w:trPr>
          <w:trHeight w:val="300"/>
        </w:trPr>
        <w:tc>
          <w:tcPr>
            <w:tcW w:w="4107" w:type="dxa"/>
            <w:tcBorders>
              <w:top w:val="nil"/>
              <w:left w:val="nil"/>
              <w:bottom w:val="nil"/>
              <w:right w:val="nil"/>
            </w:tcBorders>
            <w:shd w:val="clear" w:color="auto" w:fill="auto"/>
            <w:noWrap/>
            <w:vAlign w:val="bottom"/>
            <w:hideMark/>
          </w:tcPr>
          <w:p w14:paraId="69D39725"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Manufacturing or construction</w:t>
            </w:r>
          </w:p>
        </w:tc>
        <w:tc>
          <w:tcPr>
            <w:tcW w:w="1304" w:type="dxa"/>
            <w:tcBorders>
              <w:top w:val="nil"/>
              <w:left w:val="nil"/>
              <w:bottom w:val="nil"/>
              <w:right w:val="nil"/>
            </w:tcBorders>
            <w:shd w:val="clear" w:color="auto" w:fill="auto"/>
            <w:noWrap/>
            <w:vAlign w:val="bottom"/>
            <w:hideMark/>
          </w:tcPr>
          <w:p w14:paraId="755A66A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1.176</w:t>
            </w:r>
          </w:p>
        </w:tc>
        <w:tc>
          <w:tcPr>
            <w:tcW w:w="1100" w:type="dxa"/>
            <w:tcBorders>
              <w:top w:val="nil"/>
              <w:left w:val="nil"/>
              <w:bottom w:val="nil"/>
              <w:right w:val="nil"/>
            </w:tcBorders>
            <w:shd w:val="clear" w:color="auto" w:fill="auto"/>
            <w:noWrap/>
            <w:vAlign w:val="bottom"/>
            <w:hideMark/>
          </w:tcPr>
          <w:p w14:paraId="2820999D"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1.042</w:t>
            </w:r>
          </w:p>
        </w:tc>
        <w:tc>
          <w:tcPr>
            <w:tcW w:w="1107" w:type="dxa"/>
            <w:tcBorders>
              <w:top w:val="nil"/>
              <w:left w:val="nil"/>
              <w:bottom w:val="nil"/>
              <w:right w:val="nil"/>
            </w:tcBorders>
            <w:shd w:val="clear" w:color="auto" w:fill="auto"/>
            <w:noWrap/>
            <w:vAlign w:val="bottom"/>
            <w:hideMark/>
          </w:tcPr>
          <w:p w14:paraId="05B1F594"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1.326</w:t>
            </w:r>
          </w:p>
        </w:tc>
      </w:tr>
      <w:tr w:rsidR="00E61CDF" w:rsidRPr="00E61CDF" w14:paraId="23070AA8" w14:textId="77777777" w:rsidTr="00356E8F">
        <w:trPr>
          <w:trHeight w:val="300"/>
        </w:trPr>
        <w:tc>
          <w:tcPr>
            <w:tcW w:w="4107" w:type="dxa"/>
            <w:tcBorders>
              <w:top w:val="nil"/>
              <w:left w:val="nil"/>
              <w:bottom w:val="nil"/>
              <w:right w:val="nil"/>
            </w:tcBorders>
            <w:shd w:val="clear" w:color="auto" w:fill="auto"/>
            <w:noWrap/>
            <w:vAlign w:val="bottom"/>
            <w:hideMark/>
          </w:tcPr>
          <w:p w14:paraId="4A1B5230"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Civil service or Local Government</w:t>
            </w:r>
          </w:p>
        </w:tc>
        <w:tc>
          <w:tcPr>
            <w:tcW w:w="1304" w:type="dxa"/>
            <w:tcBorders>
              <w:top w:val="nil"/>
              <w:left w:val="nil"/>
              <w:bottom w:val="nil"/>
              <w:right w:val="nil"/>
            </w:tcBorders>
            <w:shd w:val="clear" w:color="auto" w:fill="auto"/>
            <w:noWrap/>
            <w:vAlign w:val="bottom"/>
            <w:hideMark/>
          </w:tcPr>
          <w:p w14:paraId="152CC82B"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1.118</w:t>
            </w:r>
          </w:p>
        </w:tc>
        <w:tc>
          <w:tcPr>
            <w:tcW w:w="1100" w:type="dxa"/>
            <w:tcBorders>
              <w:top w:val="nil"/>
              <w:left w:val="nil"/>
              <w:bottom w:val="nil"/>
              <w:right w:val="nil"/>
            </w:tcBorders>
            <w:shd w:val="clear" w:color="auto" w:fill="auto"/>
            <w:noWrap/>
            <w:vAlign w:val="bottom"/>
            <w:hideMark/>
          </w:tcPr>
          <w:p w14:paraId="7207CD1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0.980</w:t>
            </w:r>
          </w:p>
        </w:tc>
        <w:tc>
          <w:tcPr>
            <w:tcW w:w="1107" w:type="dxa"/>
            <w:tcBorders>
              <w:top w:val="nil"/>
              <w:left w:val="nil"/>
              <w:bottom w:val="nil"/>
              <w:right w:val="nil"/>
            </w:tcBorders>
            <w:shd w:val="clear" w:color="auto" w:fill="auto"/>
            <w:noWrap/>
            <w:vAlign w:val="bottom"/>
            <w:hideMark/>
          </w:tcPr>
          <w:p w14:paraId="305409C1"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1.274</w:t>
            </w:r>
          </w:p>
        </w:tc>
      </w:tr>
      <w:tr w:rsidR="00E61CDF" w:rsidRPr="00E61CDF" w14:paraId="3B2B3D58" w14:textId="77777777" w:rsidTr="00356E8F">
        <w:trPr>
          <w:trHeight w:val="300"/>
        </w:trPr>
        <w:tc>
          <w:tcPr>
            <w:tcW w:w="4107" w:type="dxa"/>
            <w:tcBorders>
              <w:top w:val="nil"/>
              <w:left w:val="nil"/>
              <w:bottom w:val="nil"/>
              <w:right w:val="nil"/>
            </w:tcBorders>
            <w:shd w:val="clear" w:color="auto" w:fill="auto"/>
            <w:noWrap/>
            <w:vAlign w:val="bottom"/>
            <w:hideMark/>
          </w:tcPr>
          <w:p w14:paraId="603084D4"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Armed forces</w:t>
            </w:r>
          </w:p>
        </w:tc>
        <w:tc>
          <w:tcPr>
            <w:tcW w:w="1304" w:type="dxa"/>
            <w:tcBorders>
              <w:top w:val="nil"/>
              <w:left w:val="nil"/>
              <w:bottom w:val="nil"/>
              <w:right w:val="nil"/>
            </w:tcBorders>
            <w:shd w:val="clear" w:color="auto" w:fill="auto"/>
            <w:noWrap/>
            <w:vAlign w:val="bottom"/>
            <w:hideMark/>
          </w:tcPr>
          <w:p w14:paraId="4064A2E4"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0.998</w:t>
            </w:r>
          </w:p>
        </w:tc>
        <w:tc>
          <w:tcPr>
            <w:tcW w:w="1100" w:type="dxa"/>
            <w:tcBorders>
              <w:top w:val="nil"/>
              <w:left w:val="nil"/>
              <w:bottom w:val="nil"/>
              <w:right w:val="nil"/>
            </w:tcBorders>
            <w:shd w:val="clear" w:color="auto" w:fill="auto"/>
            <w:noWrap/>
            <w:vAlign w:val="bottom"/>
            <w:hideMark/>
          </w:tcPr>
          <w:p w14:paraId="6FC9D18D"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0.636</w:t>
            </w:r>
          </w:p>
        </w:tc>
        <w:tc>
          <w:tcPr>
            <w:tcW w:w="1107" w:type="dxa"/>
            <w:tcBorders>
              <w:top w:val="nil"/>
              <w:left w:val="nil"/>
              <w:bottom w:val="nil"/>
              <w:right w:val="nil"/>
            </w:tcBorders>
            <w:shd w:val="clear" w:color="auto" w:fill="auto"/>
            <w:noWrap/>
            <w:vAlign w:val="bottom"/>
            <w:hideMark/>
          </w:tcPr>
          <w:p w14:paraId="2C790E6D"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1.566</w:t>
            </w:r>
          </w:p>
        </w:tc>
      </w:tr>
      <w:tr w:rsidR="00E61CDF" w:rsidRPr="00E61CDF" w14:paraId="026543CD" w14:textId="77777777" w:rsidTr="00356E8F">
        <w:trPr>
          <w:trHeight w:val="300"/>
        </w:trPr>
        <w:tc>
          <w:tcPr>
            <w:tcW w:w="4107" w:type="dxa"/>
            <w:tcBorders>
              <w:top w:val="nil"/>
              <w:left w:val="nil"/>
              <w:bottom w:val="nil"/>
              <w:right w:val="nil"/>
            </w:tcBorders>
            <w:shd w:val="clear" w:color="auto" w:fill="auto"/>
            <w:noWrap/>
            <w:vAlign w:val="bottom"/>
            <w:hideMark/>
          </w:tcPr>
          <w:p w14:paraId="04DD3955"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Arts,</w:t>
            </w:r>
            <w:r w:rsidR="00933F1E">
              <w:rPr>
                <w:rFonts w:ascii="Calibri" w:eastAsia="Times New Roman" w:hAnsi="Calibri" w:cs="Times New Roman"/>
                <w:color w:val="000000"/>
                <w:lang w:eastAsia="en-GB"/>
              </w:rPr>
              <w:t xml:space="preserve"> </w:t>
            </w:r>
            <w:r w:rsidRPr="00E61CDF">
              <w:rPr>
                <w:rFonts w:ascii="Calibri" w:eastAsia="Times New Roman" w:hAnsi="Calibri" w:cs="Times New Roman"/>
                <w:color w:val="000000"/>
                <w:lang w:eastAsia="en-GB"/>
              </w:rPr>
              <w:t>Entertainment or Recreation</w:t>
            </w:r>
          </w:p>
        </w:tc>
        <w:tc>
          <w:tcPr>
            <w:tcW w:w="1304" w:type="dxa"/>
            <w:tcBorders>
              <w:top w:val="nil"/>
              <w:left w:val="nil"/>
              <w:bottom w:val="nil"/>
              <w:right w:val="nil"/>
            </w:tcBorders>
            <w:shd w:val="clear" w:color="auto" w:fill="auto"/>
            <w:noWrap/>
            <w:vAlign w:val="bottom"/>
            <w:hideMark/>
          </w:tcPr>
          <w:p w14:paraId="35ED159F"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1.022</w:t>
            </w:r>
          </w:p>
        </w:tc>
        <w:tc>
          <w:tcPr>
            <w:tcW w:w="1100" w:type="dxa"/>
            <w:tcBorders>
              <w:top w:val="nil"/>
              <w:left w:val="nil"/>
              <w:bottom w:val="nil"/>
              <w:right w:val="nil"/>
            </w:tcBorders>
            <w:shd w:val="clear" w:color="auto" w:fill="auto"/>
            <w:noWrap/>
            <w:vAlign w:val="bottom"/>
            <w:hideMark/>
          </w:tcPr>
          <w:p w14:paraId="636340E3"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0.851</w:t>
            </w:r>
          </w:p>
        </w:tc>
        <w:tc>
          <w:tcPr>
            <w:tcW w:w="1107" w:type="dxa"/>
            <w:tcBorders>
              <w:top w:val="nil"/>
              <w:left w:val="nil"/>
              <w:bottom w:val="nil"/>
              <w:right w:val="nil"/>
            </w:tcBorders>
            <w:shd w:val="clear" w:color="auto" w:fill="auto"/>
            <w:noWrap/>
            <w:vAlign w:val="bottom"/>
            <w:hideMark/>
          </w:tcPr>
          <w:p w14:paraId="71BD3348"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1.227</w:t>
            </w:r>
          </w:p>
        </w:tc>
      </w:tr>
      <w:tr w:rsidR="00E61CDF" w:rsidRPr="00E61CDF" w14:paraId="39F0FBCA" w14:textId="77777777" w:rsidTr="00356E8F">
        <w:trPr>
          <w:trHeight w:val="300"/>
        </w:trPr>
        <w:tc>
          <w:tcPr>
            <w:tcW w:w="4107" w:type="dxa"/>
            <w:tcBorders>
              <w:top w:val="nil"/>
              <w:left w:val="nil"/>
              <w:bottom w:val="nil"/>
              <w:right w:val="nil"/>
            </w:tcBorders>
            <w:shd w:val="clear" w:color="auto" w:fill="auto"/>
            <w:noWrap/>
            <w:vAlign w:val="bottom"/>
            <w:hideMark/>
          </w:tcPr>
          <w:p w14:paraId="01E6BFA8"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Other occupation sector</w:t>
            </w:r>
          </w:p>
        </w:tc>
        <w:tc>
          <w:tcPr>
            <w:tcW w:w="1304" w:type="dxa"/>
            <w:tcBorders>
              <w:top w:val="nil"/>
              <w:left w:val="nil"/>
              <w:bottom w:val="nil"/>
              <w:right w:val="nil"/>
            </w:tcBorders>
            <w:shd w:val="clear" w:color="auto" w:fill="auto"/>
            <w:noWrap/>
            <w:vAlign w:val="bottom"/>
            <w:hideMark/>
          </w:tcPr>
          <w:p w14:paraId="0C533BA5"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1.037</w:t>
            </w:r>
          </w:p>
        </w:tc>
        <w:tc>
          <w:tcPr>
            <w:tcW w:w="1100" w:type="dxa"/>
            <w:tcBorders>
              <w:top w:val="nil"/>
              <w:left w:val="nil"/>
              <w:bottom w:val="nil"/>
              <w:right w:val="nil"/>
            </w:tcBorders>
            <w:shd w:val="clear" w:color="auto" w:fill="auto"/>
            <w:noWrap/>
            <w:vAlign w:val="bottom"/>
            <w:hideMark/>
          </w:tcPr>
          <w:p w14:paraId="7023E879"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0.928</w:t>
            </w:r>
          </w:p>
        </w:tc>
        <w:tc>
          <w:tcPr>
            <w:tcW w:w="1107" w:type="dxa"/>
            <w:tcBorders>
              <w:top w:val="nil"/>
              <w:left w:val="nil"/>
              <w:bottom w:val="nil"/>
              <w:right w:val="nil"/>
            </w:tcBorders>
            <w:shd w:val="clear" w:color="auto" w:fill="auto"/>
            <w:noWrap/>
            <w:vAlign w:val="bottom"/>
            <w:hideMark/>
          </w:tcPr>
          <w:p w14:paraId="2C9A63BC" w14:textId="77777777" w:rsidR="00E61CDF" w:rsidRPr="00E61CDF" w:rsidRDefault="00E61CDF" w:rsidP="000A1B54">
            <w:pPr>
              <w:spacing w:after="0" w:line="480" w:lineRule="auto"/>
              <w:jc w:val="right"/>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1.159</w:t>
            </w:r>
          </w:p>
        </w:tc>
      </w:tr>
      <w:tr w:rsidR="00E61CDF" w:rsidRPr="00E61CDF" w14:paraId="6A7FC880" w14:textId="77777777" w:rsidTr="00356E8F">
        <w:trPr>
          <w:trHeight w:val="300"/>
        </w:trPr>
        <w:tc>
          <w:tcPr>
            <w:tcW w:w="4107" w:type="dxa"/>
            <w:tcBorders>
              <w:top w:val="nil"/>
              <w:left w:val="nil"/>
              <w:bottom w:val="nil"/>
              <w:right w:val="nil"/>
            </w:tcBorders>
            <w:shd w:val="clear" w:color="auto" w:fill="auto"/>
            <w:noWrap/>
            <w:vAlign w:val="bottom"/>
            <w:hideMark/>
          </w:tcPr>
          <w:p w14:paraId="6CF83BB6"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Work from home</w:t>
            </w:r>
          </w:p>
        </w:tc>
        <w:tc>
          <w:tcPr>
            <w:tcW w:w="2404" w:type="dxa"/>
            <w:gridSpan w:val="2"/>
            <w:tcBorders>
              <w:top w:val="nil"/>
              <w:left w:val="nil"/>
              <w:bottom w:val="nil"/>
              <w:right w:val="nil"/>
            </w:tcBorders>
            <w:shd w:val="clear" w:color="auto" w:fill="auto"/>
            <w:noWrap/>
            <w:vAlign w:val="bottom"/>
            <w:hideMark/>
          </w:tcPr>
          <w:p w14:paraId="0A17B253"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Reference</w:t>
            </w:r>
          </w:p>
        </w:tc>
        <w:tc>
          <w:tcPr>
            <w:tcW w:w="1107" w:type="dxa"/>
            <w:tcBorders>
              <w:top w:val="nil"/>
              <w:left w:val="nil"/>
              <w:bottom w:val="nil"/>
              <w:right w:val="nil"/>
            </w:tcBorders>
            <w:shd w:val="clear" w:color="auto" w:fill="auto"/>
            <w:noWrap/>
            <w:vAlign w:val="bottom"/>
            <w:hideMark/>
          </w:tcPr>
          <w:p w14:paraId="4A20E1B5" w14:textId="77777777" w:rsidR="00E61CDF" w:rsidRPr="00E61CDF" w:rsidRDefault="00E61CDF" w:rsidP="000A1B54">
            <w:pPr>
              <w:spacing w:after="0" w:line="480" w:lineRule="auto"/>
              <w:rPr>
                <w:rFonts w:ascii="Calibri" w:eastAsia="Times New Roman" w:hAnsi="Calibri" w:cs="Times New Roman"/>
                <w:color w:val="000000"/>
                <w:lang w:eastAsia="en-GB"/>
              </w:rPr>
            </w:pPr>
          </w:p>
        </w:tc>
      </w:tr>
      <w:tr w:rsidR="00E61CDF" w:rsidRPr="00E61CDF" w14:paraId="0A78165E" w14:textId="77777777" w:rsidTr="00356E8F">
        <w:trPr>
          <w:trHeight w:val="300"/>
        </w:trPr>
        <w:tc>
          <w:tcPr>
            <w:tcW w:w="4107" w:type="dxa"/>
            <w:tcBorders>
              <w:top w:val="nil"/>
              <w:left w:val="nil"/>
              <w:bottom w:val="nil"/>
              <w:right w:val="nil"/>
            </w:tcBorders>
            <w:shd w:val="clear" w:color="auto" w:fill="auto"/>
            <w:noWrap/>
            <w:vAlign w:val="bottom"/>
            <w:hideMark/>
          </w:tcPr>
          <w:p w14:paraId="433BB7FB"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Working somewhere else (not your home)</w:t>
            </w:r>
          </w:p>
        </w:tc>
        <w:tc>
          <w:tcPr>
            <w:tcW w:w="1304" w:type="dxa"/>
            <w:tcBorders>
              <w:top w:val="nil"/>
              <w:left w:val="nil"/>
              <w:bottom w:val="nil"/>
              <w:right w:val="nil"/>
            </w:tcBorders>
            <w:shd w:val="clear" w:color="auto" w:fill="auto"/>
            <w:noWrap/>
            <w:vAlign w:val="bottom"/>
            <w:hideMark/>
          </w:tcPr>
          <w:p w14:paraId="650DFE16"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1.302</w:t>
            </w:r>
          </w:p>
        </w:tc>
        <w:tc>
          <w:tcPr>
            <w:tcW w:w="1100" w:type="dxa"/>
            <w:tcBorders>
              <w:top w:val="nil"/>
              <w:left w:val="nil"/>
              <w:bottom w:val="nil"/>
              <w:right w:val="nil"/>
            </w:tcBorders>
            <w:shd w:val="clear" w:color="auto" w:fill="auto"/>
            <w:noWrap/>
            <w:vAlign w:val="bottom"/>
            <w:hideMark/>
          </w:tcPr>
          <w:p w14:paraId="64D96D07"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1.231</w:t>
            </w:r>
          </w:p>
        </w:tc>
        <w:tc>
          <w:tcPr>
            <w:tcW w:w="1107" w:type="dxa"/>
            <w:tcBorders>
              <w:top w:val="nil"/>
              <w:left w:val="nil"/>
              <w:bottom w:val="nil"/>
              <w:right w:val="nil"/>
            </w:tcBorders>
            <w:shd w:val="clear" w:color="auto" w:fill="auto"/>
            <w:noWrap/>
            <w:vAlign w:val="bottom"/>
            <w:hideMark/>
          </w:tcPr>
          <w:p w14:paraId="043899FC"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1.376</w:t>
            </w:r>
          </w:p>
        </w:tc>
      </w:tr>
      <w:tr w:rsidR="00E61CDF" w:rsidRPr="00E61CDF" w14:paraId="70878FA5" w14:textId="77777777" w:rsidTr="00933F1E">
        <w:trPr>
          <w:trHeight w:val="300"/>
        </w:trPr>
        <w:tc>
          <w:tcPr>
            <w:tcW w:w="4107" w:type="dxa"/>
            <w:tcBorders>
              <w:top w:val="nil"/>
              <w:left w:val="nil"/>
              <w:right w:val="nil"/>
            </w:tcBorders>
            <w:shd w:val="clear" w:color="auto" w:fill="auto"/>
            <w:noWrap/>
            <w:vAlign w:val="bottom"/>
            <w:hideMark/>
          </w:tcPr>
          <w:p w14:paraId="3BFEC201"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Both (from home and somewhere else)</w:t>
            </w:r>
          </w:p>
        </w:tc>
        <w:tc>
          <w:tcPr>
            <w:tcW w:w="1304" w:type="dxa"/>
            <w:tcBorders>
              <w:top w:val="nil"/>
              <w:left w:val="nil"/>
              <w:right w:val="nil"/>
            </w:tcBorders>
            <w:shd w:val="clear" w:color="auto" w:fill="auto"/>
            <w:noWrap/>
            <w:vAlign w:val="bottom"/>
            <w:hideMark/>
          </w:tcPr>
          <w:p w14:paraId="3765807F"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0.890</w:t>
            </w:r>
          </w:p>
        </w:tc>
        <w:tc>
          <w:tcPr>
            <w:tcW w:w="1100" w:type="dxa"/>
            <w:tcBorders>
              <w:top w:val="nil"/>
              <w:left w:val="nil"/>
              <w:right w:val="nil"/>
            </w:tcBorders>
            <w:shd w:val="clear" w:color="auto" w:fill="auto"/>
            <w:noWrap/>
            <w:vAlign w:val="bottom"/>
            <w:hideMark/>
          </w:tcPr>
          <w:p w14:paraId="4BFF63B3"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0.817</w:t>
            </w:r>
          </w:p>
        </w:tc>
        <w:tc>
          <w:tcPr>
            <w:tcW w:w="1107" w:type="dxa"/>
            <w:tcBorders>
              <w:top w:val="nil"/>
              <w:left w:val="nil"/>
              <w:right w:val="nil"/>
            </w:tcBorders>
            <w:shd w:val="clear" w:color="auto" w:fill="auto"/>
            <w:noWrap/>
            <w:vAlign w:val="bottom"/>
            <w:hideMark/>
          </w:tcPr>
          <w:p w14:paraId="1FA0A285"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0.970</w:t>
            </w:r>
          </w:p>
        </w:tc>
      </w:tr>
      <w:tr w:rsidR="00E61CDF" w:rsidRPr="00E61CDF" w14:paraId="2DD43659" w14:textId="77777777" w:rsidTr="00933F1E">
        <w:trPr>
          <w:trHeight w:val="300"/>
        </w:trPr>
        <w:tc>
          <w:tcPr>
            <w:tcW w:w="4107" w:type="dxa"/>
            <w:tcBorders>
              <w:top w:val="nil"/>
              <w:left w:val="nil"/>
              <w:right w:val="nil"/>
            </w:tcBorders>
            <w:shd w:val="clear" w:color="auto" w:fill="auto"/>
            <w:noWrap/>
            <w:vAlign w:val="bottom"/>
            <w:hideMark/>
          </w:tcPr>
          <w:p w14:paraId="1B9EAA26" w14:textId="77777777" w:rsidR="00E61CDF" w:rsidRPr="00E61CDF" w:rsidRDefault="00E61CDF"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Have travelled abroad recently</w:t>
            </w:r>
          </w:p>
        </w:tc>
        <w:tc>
          <w:tcPr>
            <w:tcW w:w="1304" w:type="dxa"/>
            <w:tcBorders>
              <w:top w:val="nil"/>
              <w:left w:val="nil"/>
              <w:right w:val="nil"/>
            </w:tcBorders>
            <w:shd w:val="clear" w:color="auto" w:fill="auto"/>
            <w:noWrap/>
            <w:vAlign w:val="bottom"/>
            <w:hideMark/>
          </w:tcPr>
          <w:p w14:paraId="30F23B5D"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1.147</w:t>
            </w:r>
          </w:p>
        </w:tc>
        <w:tc>
          <w:tcPr>
            <w:tcW w:w="1100" w:type="dxa"/>
            <w:tcBorders>
              <w:top w:val="nil"/>
              <w:left w:val="nil"/>
              <w:right w:val="nil"/>
            </w:tcBorders>
            <w:shd w:val="clear" w:color="auto" w:fill="auto"/>
            <w:noWrap/>
            <w:vAlign w:val="bottom"/>
            <w:hideMark/>
          </w:tcPr>
          <w:p w14:paraId="57DC242B"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1.072</w:t>
            </w:r>
          </w:p>
        </w:tc>
        <w:tc>
          <w:tcPr>
            <w:tcW w:w="1107" w:type="dxa"/>
            <w:tcBorders>
              <w:top w:val="nil"/>
              <w:left w:val="nil"/>
              <w:right w:val="nil"/>
            </w:tcBorders>
            <w:shd w:val="clear" w:color="auto" w:fill="auto"/>
            <w:noWrap/>
            <w:vAlign w:val="bottom"/>
            <w:hideMark/>
          </w:tcPr>
          <w:p w14:paraId="3364671B" w14:textId="77777777" w:rsidR="00E61CDF" w:rsidRPr="00356E8F" w:rsidRDefault="00E61CDF"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1.227</w:t>
            </w:r>
          </w:p>
        </w:tc>
      </w:tr>
      <w:tr w:rsidR="00933F1E" w:rsidRPr="00356E8F" w14:paraId="68C2CA85" w14:textId="77777777" w:rsidTr="00933F1E">
        <w:trPr>
          <w:trHeight w:val="300"/>
        </w:trPr>
        <w:tc>
          <w:tcPr>
            <w:tcW w:w="4107" w:type="dxa"/>
            <w:tcBorders>
              <w:left w:val="nil"/>
              <w:bottom w:val="nil"/>
              <w:right w:val="nil"/>
            </w:tcBorders>
            <w:shd w:val="clear" w:color="auto" w:fill="auto"/>
            <w:noWrap/>
            <w:vAlign w:val="bottom"/>
            <w:hideMark/>
          </w:tcPr>
          <w:p w14:paraId="4135CF5F" w14:textId="77777777" w:rsidR="00933F1E" w:rsidRPr="00E61CDF" w:rsidRDefault="00933F1E" w:rsidP="000A1B54">
            <w:pPr>
              <w:spacing w:after="0" w:line="480" w:lineRule="auto"/>
              <w:rPr>
                <w:rFonts w:ascii="Calibri" w:eastAsia="Times New Roman" w:hAnsi="Calibri" w:cs="Times New Roman"/>
                <w:color w:val="000000"/>
                <w:lang w:eastAsia="en-GB"/>
              </w:rPr>
            </w:pPr>
            <w:r w:rsidRPr="00E61CDF">
              <w:rPr>
                <w:rFonts w:ascii="Calibri" w:eastAsia="Times New Roman" w:hAnsi="Calibri" w:cs="Times New Roman"/>
                <w:color w:val="000000"/>
                <w:lang w:eastAsia="en-GB"/>
              </w:rPr>
              <w:t>Household size</w:t>
            </w:r>
            <w:r>
              <w:rPr>
                <w:rFonts w:ascii="Calibri" w:eastAsia="Times New Roman" w:hAnsi="Calibri" w:cs="Times New Roman"/>
                <w:color w:val="000000"/>
                <w:lang w:eastAsia="en-GB"/>
              </w:rPr>
              <w:t xml:space="preserve"> (z-score)</w:t>
            </w:r>
          </w:p>
        </w:tc>
        <w:tc>
          <w:tcPr>
            <w:tcW w:w="1304" w:type="dxa"/>
            <w:tcBorders>
              <w:left w:val="nil"/>
              <w:bottom w:val="nil"/>
              <w:right w:val="nil"/>
            </w:tcBorders>
            <w:shd w:val="clear" w:color="auto" w:fill="auto"/>
            <w:noWrap/>
            <w:vAlign w:val="bottom"/>
            <w:hideMark/>
          </w:tcPr>
          <w:p w14:paraId="48613D96" w14:textId="77777777" w:rsidR="00933F1E" w:rsidRPr="00356E8F" w:rsidRDefault="00933F1E"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1.088</w:t>
            </w:r>
          </w:p>
        </w:tc>
        <w:tc>
          <w:tcPr>
            <w:tcW w:w="1100" w:type="dxa"/>
            <w:tcBorders>
              <w:left w:val="nil"/>
              <w:bottom w:val="nil"/>
              <w:right w:val="nil"/>
            </w:tcBorders>
            <w:shd w:val="clear" w:color="auto" w:fill="auto"/>
            <w:noWrap/>
            <w:vAlign w:val="bottom"/>
            <w:hideMark/>
          </w:tcPr>
          <w:p w14:paraId="558487AC" w14:textId="77777777" w:rsidR="00933F1E" w:rsidRPr="00356E8F" w:rsidRDefault="00933F1E"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1.064</w:t>
            </w:r>
          </w:p>
        </w:tc>
        <w:tc>
          <w:tcPr>
            <w:tcW w:w="1107" w:type="dxa"/>
            <w:tcBorders>
              <w:left w:val="nil"/>
              <w:bottom w:val="nil"/>
              <w:right w:val="nil"/>
            </w:tcBorders>
            <w:shd w:val="clear" w:color="auto" w:fill="auto"/>
            <w:noWrap/>
            <w:vAlign w:val="bottom"/>
            <w:hideMark/>
          </w:tcPr>
          <w:p w14:paraId="5855A5B4" w14:textId="77777777" w:rsidR="00933F1E" w:rsidRPr="00356E8F" w:rsidRDefault="00933F1E" w:rsidP="000A1B54">
            <w:pPr>
              <w:spacing w:after="0" w:line="480" w:lineRule="auto"/>
              <w:jc w:val="right"/>
              <w:rPr>
                <w:rFonts w:ascii="Calibri" w:eastAsia="Times New Roman" w:hAnsi="Calibri" w:cs="Times New Roman"/>
                <w:b/>
                <w:color w:val="000000"/>
                <w:lang w:eastAsia="en-GB"/>
              </w:rPr>
            </w:pPr>
            <w:r w:rsidRPr="00356E8F">
              <w:rPr>
                <w:rFonts w:ascii="Calibri" w:eastAsia="Times New Roman" w:hAnsi="Calibri" w:cs="Times New Roman"/>
                <w:b/>
                <w:color w:val="000000"/>
                <w:lang w:eastAsia="en-GB"/>
              </w:rPr>
              <w:t>1.113</w:t>
            </w:r>
          </w:p>
        </w:tc>
      </w:tr>
      <w:tr w:rsidR="00EB24C3" w:rsidRPr="00E61CDF" w14:paraId="7E6EE7C3" w14:textId="77777777" w:rsidTr="00356E8F">
        <w:trPr>
          <w:trHeight w:val="300"/>
        </w:trPr>
        <w:tc>
          <w:tcPr>
            <w:tcW w:w="4107" w:type="dxa"/>
            <w:tcBorders>
              <w:top w:val="single" w:sz="4" w:space="0" w:color="auto"/>
              <w:left w:val="nil"/>
              <w:right w:val="nil"/>
            </w:tcBorders>
            <w:shd w:val="clear" w:color="auto" w:fill="auto"/>
            <w:noWrap/>
            <w:vAlign w:val="bottom"/>
          </w:tcPr>
          <w:p w14:paraId="13E0523F" w14:textId="77777777" w:rsidR="00EB24C3" w:rsidRPr="00E61CDF" w:rsidRDefault="00EB24C3" w:rsidP="000A1B5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Random effects</w:t>
            </w:r>
          </w:p>
        </w:tc>
        <w:tc>
          <w:tcPr>
            <w:tcW w:w="1304" w:type="dxa"/>
            <w:tcBorders>
              <w:top w:val="single" w:sz="4" w:space="0" w:color="auto"/>
              <w:left w:val="nil"/>
              <w:right w:val="nil"/>
            </w:tcBorders>
            <w:shd w:val="clear" w:color="auto" w:fill="auto"/>
            <w:noWrap/>
            <w:vAlign w:val="bottom"/>
          </w:tcPr>
          <w:p w14:paraId="1FBFED04"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Variance</w:t>
            </w:r>
          </w:p>
        </w:tc>
        <w:tc>
          <w:tcPr>
            <w:tcW w:w="1100" w:type="dxa"/>
            <w:tcBorders>
              <w:top w:val="single" w:sz="4" w:space="0" w:color="auto"/>
              <w:left w:val="nil"/>
              <w:right w:val="nil"/>
            </w:tcBorders>
            <w:shd w:val="clear" w:color="auto" w:fill="auto"/>
            <w:noWrap/>
            <w:vAlign w:val="bottom"/>
          </w:tcPr>
          <w:p w14:paraId="20F479C9"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SD</w:t>
            </w:r>
          </w:p>
        </w:tc>
        <w:tc>
          <w:tcPr>
            <w:tcW w:w="1107" w:type="dxa"/>
            <w:tcBorders>
              <w:top w:val="single" w:sz="4" w:space="0" w:color="auto"/>
              <w:left w:val="nil"/>
              <w:right w:val="nil"/>
            </w:tcBorders>
            <w:shd w:val="clear" w:color="auto" w:fill="auto"/>
            <w:noWrap/>
            <w:vAlign w:val="bottom"/>
          </w:tcPr>
          <w:p w14:paraId="5DF0EADC"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p>
        </w:tc>
      </w:tr>
      <w:tr w:rsidR="00EB24C3" w:rsidRPr="00E61CDF" w14:paraId="333DB6A6" w14:textId="77777777" w:rsidTr="00356E8F">
        <w:trPr>
          <w:trHeight w:val="300"/>
        </w:trPr>
        <w:tc>
          <w:tcPr>
            <w:tcW w:w="4107" w:type="dxa"/>
            <w:tcBorders>
              <w:top w:val="nil"/>
              <w:left w:val="nil"/>
              <w:right w:val="nil"/>
            </w:tcBorders>
            <w:shd w:val="clear" w:color="auto" w:fill="auto"/>
            <w:noWrap/>
            <w:vAlign w:val="bottom"/>
          </w:tcPr>
          <w:p w14:paraId="7FBE2EFA" w14:textId="77777777" w:rsidR="00EB24C3" w:rsidRPr="00E61CDF" w:rsidRDefault="00EB24C3" w:rsidP="000A1B5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ID (participant)</w:t>
            </w:r>
          </w:p>
        </w:tc>
        <w:tc>
          <w:tcPr>
            <w:tcW w:w="1304" w:type="dxa"/>
            <w:tcBorders>
              <w:top w:val="nil"/>
              <w:left w:val="nil"/>
              <w:right w:val="nil"/>
            </w:tcBorders>
            <w:shd w:val="clear" w:color="auto" w:fill="auto"/>
            <w:noWrap/>
            <w:vAlign w:val="bottom"/>
          </w:tcPr>
          <w:p w14:paraId="3E1D38DD"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2.943</w:t>
            </w:r>
          </w:p>
        </w:tc>
        <w:tc>
          <w:tcPr>
            <w:tcW w:w="1100" w:type="dxa"/>
            <w:tcBorders>
              <w:top w:val="nil"/>
              <w:left w:val="nil"/>
              <w:right w:val="nil"/>
            </w:tcBorders>
            <w:shd w:val="clear" w:color="auto" w:fill="auto"/>
            <w:noWrap/>
            <w:vAlign w:val="bottom"/>
          </w:tcPr>
          <w:p w14:paraId="021B3C7F"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1.716</w:t>
            </w:r>
          </w:p>
        </w:tc>
        <w:tc>
          <w:tcPr>
            <w:tcW w:w="1107" w:type="dxa"/>
            <w:tcBorders>
              <w:top w:val="nil"/>
              <w:left w:val="nil"/>
              <w:right w:val="nil"/>
            </w:tcBorders>
            <w:shd w:val="clear" w:color="auto" w:fill="auto"/>
            <w:noWrap/>
            <w:vAlign w:val="bottom"/>
          </w:tcPr>
          <w:p w14:paraId="69EC8F2E"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p>
        </w:tc>
      </w:tr>
      <w:tr w:rsidR="00EB24C3" w:rsidRPr="00E61CDF" w14:paraId="44BEEC76" w14:textId="77777777" w:rsidTr="00356E8F">
        <w:trPr>
          <w:trHeight w:val="300"/>
        </w:trPr>
        <w:tc>
          <w:tcPr>
            <w:tcW w:w="4107" w:type="dxa"/>
            <w:tcBorders>
              <w:left w:val="nil"/>
              <w:bottom w:val="single" w:sz="4" w:space="0" w:color="auto"/>
              <w:right w:val="nil"/>
            </w:tcBorders>
            <w:shd w:val="clear" w:color="auto" w:fill="auto"/>
            <w:noWrap/>
            <w:vAlign w:val="bottom"/>
          </w:tcPr>
          <w:p w14:paraId="6194CE1A" w14:textId="77777777" w:rsidR="00EB24C3" w:rsidRPr="00E61CDF" w:rsidRDefault="00EB24C3" w:rsidP="000A1B54">
            <w:pPr>
              <w:spacing w:after="0" w:line="48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Geographical area</w:t>
            </w:r>
          </w:p>
        </w:tc>
        <w:tc>
          <w:tcPr>
            <w:tcW w:w="1304" w:type="dxa"/>
            <w:tcBorders>
              <w:left w:val="nil"/>
              <w:bottom w:val="single" w:sz="4" w:space="0" w:color="auto"/>
              <w:right w:val="nil"/>
            </w:tcBorders>
            <w:shd w:val="clear" w:color="auto" w:fill="auto"/>
            <w:noWrap/>
            <w:vAlign w:val="bottom"/>
          </w:tcPr>
          <w:p w14:paraId="24B3A672"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0.147</w:t>
            </w:r>
          </w:p>
        </w:tc>
        <w:tc>
          <w:tcPr>
            <w:tcW w:w="1100" w:type="dxa"/>
            <w:tcBorders>
              <w:left w:val="nil"/>
              <w:bottom w:val="single" w:sz="4" w:space="0" w:color="auto"/>
              <w:right w:val="nil"/>
            </w:tcBorders>
            <w:shd w:val="clear" w:color="auto" w:fill="auto"/>
            <w:noWrap/>
            <w:vAlign w:val="bottom"/>
          </w:tcPr>
          <w:p w14:paraId="1B052594"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0.384</w:t>
            </w:r>
          </w:p>
        </w:tc>
        <w:tc>
          <w:tcPr>
            <w:tcW w:w="1107" w:type="dxa"/>
            <w:tcBorders>
              <w:left w:val="nil"/>
              <w:bottom w:val="single" w:sz="4" w:space="0" w:color="auto"/>
              <w:right w:val="nil"/>
            </w:tcBorders>
            <w:shd w:val="clear" w:color="auto" w:fill="auto"/>
            <w:noWrap/>
            <w:vAlign w:val="bottom"/>
          </w:tcPr>
          <w:p w14:paraId="2F7F6127" w14:textId="77777777" w:rsidR="00EB24C3" w:rsidRPr="00E61CDF" w:rsidRDefault="00EB24C3" w:rsidP="000A1B54">
            <w:pPr>
              <w:spacing w:after="0" w:line="480" w:lineRule="auto"/>
              <w:jc w:val="right"/>
              <w:rPr>
                <w:rFonts w:ascii="Calibri" w:eastAsia="Times New Roman" w:hAnsi="Calibri" w:cs="Times New Roman"/>
                <w:color w:val="000000"/>
                <w:lang w:eastAsia="en-GB"/>
              </w:rPr>
            </w:pPr>
          </w:p>
        </w:tc>
      </w:tr>
    </w:tbl>
    <w:p w14:paraId="6B8235CB" w14:textId="77777777" w:rsidR="00E61CDF" w:rsidRDefault="00E61CDF" w:rsidP="000A1B54">
      <w:pPr>
        <w:spacing w:line="480" w:lineRule="auto"/>
      </w:pPr>
    </w:p>
    <w:p w14:paraId="7F24CFD1" w14:textId="77777777" w:rsidR="00D406AA" w:rsidRDefault="00D406AA" w:rsidP="000A1B54">
      <w:pPr>
        <w:spacing w:line="480" w:lineRule="auto"/>
      </w:pPr>
    </w:p>
    <w:p w14:paraId="424582BB" w14:textId="77777777" w:rsidR="00572E87" w:rsidRPr="00055DCB" w:rsidRDefault="00572E87" w:rsidP="000A1B54">
      <w:pPr>
        <w:spacing w:line="480" w:lineRule="auto"/>
        <w:rPr>
          <w:b/>
          <w:sz w:val="32"/>
          <w:szCs w:val="32"/>
        </w:rPr>
      </w:pPr>
      <w:r w:rsidRPr="00055DCB">
        <w:rPr>
          <w:b/>
          <w:sz w:val="32"/>
          <w:szCs w:val="32"/>
        </w:rPr>
        <w:t xml:space="preserve">Estimating </w:t>
      </w:r>
      <w:r w:rsidR="005B7474" w:rsidRPr="00055DCB">
        <w:rPr>
          <w:b/>
          <w:sz w:val="32"/>
          <w:szCs w:val="32"/>
        </w:rPr>
        <w:t>change over time in COVID-19 prevalence by work status</w:t>
      </w:r>
    </w:p>
    <w:p w14:paraId="7FB518DF" w14:textId="1930FA0F" w:rsidR="005B7474" w:rsidRDefault="0013122F" w:rsidP="000A1B54">
      <w:pPr>
        <w:spacing w:line="480" w:lineRule="auto"/>
      </w:pPr>
      <w:r>
        <w:lastRenderedPageBreak/>
        <w:t xml:space="preserve">The final </w:t>
      </w:r>
      <w:r w:rsidR="00904E76">
        <w:t>section</w:t>
      </w:r>
      <w:r>
        <w:t xml:space="preserve"> of </w:t>
      </w:r>
      <w:r w:rsidR="00305AD9">
        <w:t xml:space="preserve">our </w:t>
      </w:r>
      <w:r>
        <w:t xml:space="preserve">analysis extends the </w:t>
      </w:r>
      <w:r w:rsidR="00904E76">
        <w:t xml:space="preserve">regression </w:t>
      </w:r>
      <w:r>
        <w:t>analysis presented in the above section</w:t>
      </w:r>
      <w:r w:rsidR="005B7432">
        <w:t xml:space="preserve"> to consider how the relationships and associations vary by month. </w:t>
      </w:r>
    </w:p>
    <w:p w14:paraId="3C7A00CC" w14:textId="20A1CB30" w:rsidR="005B7432" w:rsidRDefault="009A5052" w:rsidP="000A1B54">
      <w:pPr>
        <w:spacing w:line="480" w:lineRule="auto"/>
      </w:pPr>
      <w:r>
        <w:t>First, we consider the work status of all adults (</w:t>
      </w:r>
      <w:r w:rsidR="00D260DA">
        <w:t>Fig</w:t>
      </w:r>
      <w:r>
        <w:t xml:space="preserve"> </w:t>
      </w:r>
      <w:r w:rsidR="002558B8">
        <w:t>6</w:t>
      </w:r>
      <w:r>
        <w:t xml:space="preserve">). Increasing predicted probability of COVID-19 is observed through the period for all groups other than students, who experienced a higher predicted probability in October before declining thereafter and remaining flat over the </w:t>
      </w:r>
      <w:r w:rsidR="008B0164">
        <w:t xml:space="preserve">remaining months of the </w:t>
      </w:r>
      <w:r>
        <w:t xml:space="preserve">study period. </w:t>
      </w:r>
      <w:r w:rsidR="0008709C">
        <w:t>The h</w:t>
      </w:r>
      <w:r>
        <w:t xml:space="preserve">ighest predicted probability for each month was </w:t>
      </w:r>
      <w:r w:rsidR="0008709C">
        <w:t xml:space="preserve">otherwise </w:t>
      </w:r>
      <w:r>
        <w:t xml:space="preserve">predicted for furloughed individuals, with individuals who were not working having the lowest probability in each month. </w:t>
      </w:r>
      <w:r w:rsidR="00E145C7">
        <w:t xml:space="preserve">Stratifying the analyses by age group suggests </w:t>
      </w:r>
      <w:r w:rsidR="001131FC">
        <w:t xml:space="preserve">no </w:t>
      </w:r>
      <w:r w:rsidR="00E145C7">
        <w:t xml:space="preserve">difference in estimated risk across each work status group </w:t>
      </w:r>
      <w:r w:rsidR="001131FC">
        <w:t>albeit with</w:t>
      </w:r>
      <w:r w:rsidR="00E145C7">
        <w:t xml:space="preserve"> the </w:t>
      </w:r>
      <w:r w:rsidR="008B0164">
        <w:t xml:space="preserve">wide </w:t>
      </w:r>
      <w:r w:rsidR="00E145C7">
        <w:t>uncertainty in estimates (</w:t>
      </w:r>
      <w:r w:rsidR="0066731C">
        <w:t>S1 File</w:t>
      </w:r>
      <w:r w:rsidR="00E145C7">
        <w:t xml:space="preserve">). The analysis does </w:t>
      </w:r>
      <w:r w:rsidR="008B0164">
        <w:t>reveal</w:t>
      </w:r>
      <w:r w:rsidR="00E145C7">
        <w:t xml:space="preserve"> the higher than expected prevalence of COVID-19 predicted for both furloughed males under 40 years and females under 40 years not working in January. </w:t>
      </w:r>
    </w:p>
    <w:p w14:paraId="2F7D69C7" w14:textId="6104F662" w:rsidR="005B7432" w:rsidRDefault="00D260DA" w:rsidP="000A1B54">
      <w:pPr>
        <w:spacing w:line="480" w:lineRule="auto"/>
        <w:rPr>
          <w:b/>
        </w:rPr>
      </w:pPr>
      <w:r>
        <w:rPr>
          <w:b/>
        </w:rPr>
        <w:t>Fig</w:t>
      </w:r>
      <w:r w:rsidR="005B7432" w:rsidRPr="005B7432">
        <w:rPr>
          <w:b/>
        </w:rPr>
        <w:t xml:space="preserve"> </w:t>
      </w:r>
      <w:r w:rsidR="0008709C">
        <w:rPr>
          <w:b/>
        </w:rPr>
        <w:t>6</w:t>
      </w:r>
      <w:r>
        <w:rPr>
          <w:b/>
        </w:rPr>
        <w:t>.</w:t>
      </w:r>
      <w:r w:rsidR="005B7432" w:rsidRPr="005B7432">
        <w:rPr>
          <w:b/>
        </w:rPr>
        <w:t xml:space="preserve"> Predicted probability of testing positive for COVID-19 by work status, sex and month. Note: Estimates are adjusted for geographical location, age, ethnicity, household size and whether an individual had travelled abroad. </w:t>
      </w:r>
    </w:p>
    <w:p w14:paraId="0353B6D7" w14:textId="5BB956BE" w:rsidR="005F3E58" w:rsidRDefault="00D260DA" w:rsidP="000A1B54">
      <w:pPr>
        <w:spacing w:line="480" w:lineRule="auto"/>
      </w:pPr>
      <w:r>
        <w:t>Fig</w:t>
      </w:r>
      <w:r w:rsidR="00360687">
        <w:t xml:space="preserve"> </w:t>
      </w:r>
      <w:r w:rsidR="0008709C">
        <w:t>7</w:t>
      </w:r>
      <w:r w:rsidR="00360687">
        <w:t xml:space="preserve"> presents the </w:t>
      </w:r>
      <w:r w:rsidR="005F3E58">
        <w:t xml:space="preserve">next model, analysing the predicted probability of COVID-19 </w:t>
      </w:r>
      <w:r w:rsidR="008B0164">
        <w:t>by</w:t>
      </w:r>
      <w:r w:rsidR="005F3E58">
        <w:t xml:space="preserve"> work sector among adults who were </w:t>
      </w:r>
      <w:r w:rsidR="0008709C">
        <w:t>currently working</w:t>
      </w:r>
      <w:r w:rsidR="005F3E58">
        <w:t xml:space="preserve">. </w:t>
      </w:r>
      <w:r w:rsidR="00FD0B4C">
        <w:t>A similar trend of higher predicted probability is observed over time</w:t>
      </w:r>
      <w:r w:rsidR="00974774">
        <w:t xml:space="preserve"> and is consistent by work sector. Differences in </w:t>
      </w:r>
      <w:r w:rsidR="008B0164">
        <w:t xml:space="preserve">the </w:t>
      </w:r>
      <w:r w:rsidR="00974774">
        <w:t>predicted probability of COVID-19 between work sector largely follow the results presented in Table 2, with the highest predicted probabilities in January observed for individuals working in transport, hospitality, retail health and social care. One noticeable difference to the general trend is the higher probability in September for women employed in personal services. Stratifying by age group (</w:t>
      </w:r>
      <w:r w:rsidR="0066731C">
        <w:t>S1 File</w:t>
      </w:r>
      <w:r w:rsidR="00974774">
        <w:t>) suggests this additional risk is concentrated among women less than 40 years</w:t>
      </w:r>
      <w:r w:rsidR="00617E41">
        <w:t xml:space="preserve"> (predicted value = 1.23%, 95% CIs = 0.14% - 2.32%)</w:t>
      </w:r>
      <w:r w:rsidR="00974774">
        <w:t xml:space="preserve">. Similarly, this group observes a large jump in the general trend in December </w:t>
      </w:r>
      <w:r w:rsidR="00617E41">
        <w:t xml:space="preserve">(predicted value = 1.74%, 95% CIs = 0.61% - 2.83%) </w:t>
      </w:r>
      <w:r w:rsidR="00974774">
        <w:t xml:space="preserve">compared to other sectors (additionally concentrated among younger adults). </w:t>
      </w:r>
    </w:p>
    <w:p w14:paraId="3D9A1977" w14:textId="79FCB85E" w:rsidR="005F3E58" w:rsidRDefault="00D260DA" w:rsidP="000A1B54">
      <w:pPr>
        <w:spacing w:line="480" w:lineRule="auto"/>
        <w:rPr>
          <w:b/>
        </w:rPr>
      </w:pPr>
      <w:r>
        <w:rPr>
          <w:b/>
        </w:rPr>
        <w:lastRenderedPageBreak/>
        <w:t>Fig</w:t>
      </w:r>
      <w:r w:rsidR="005F3E58">
        <w:rPr>
          <w:b/>
        </w:rPr>
        <w:t xml:space="preserve"> </w:t>
      </w:r>
      <w:r w:rsidR="0008709C">
        <w:rPr>
          <w:b/>
        </w:rPr>
        <w:t>7</w:t>
      </w:r>
      <w:r>
        <w:rPr>
          <w:b/>
        </w:rPr>
        <w:t>.</w:t>
      </w:r>
      <w:r w:rsidR="005F3E58" w:rsidRPr="005B7432">
        <w:rPr>
          <w:b/>
        </w:rPr>
        <w:t xml:space="preserve"> Predicted probability of testing positive for COVID-19 by work </w:t>
      </w:r>
      <w:r w:rsidR="00966BC2">
        <w:rPr>
          <w:b/>
        </w:rPr>
        <w:t>sector</w:t>
      </w:r>
      <w:r w:rsidR="005F3E58" w:rsidRPr="005B7432">
        <w:rPr>
          <w:b/>
        </w:rPr>
        <w:t>, sex and month. Note: Estimates for geographical location, age, ethnicity, household size</w:t>
      </w:r>
      <w:r w:rsidR="00974774">
        <w:rPr>
          <w:b/>
        </w:rPr>
        <w:t>, work location</w:t>
      </w:r>
      <w:r w:rsidR="005F3E58" w:rsidRPr="005B7432">
        <w:rPr>
          <w:b/>
        </w:rPr>
        <w:t xml:space="preserve"> and whether an individual had travelled ab</w:t>
      </w:r>
      <w:r w:rsidR="005F3E58">
        <w:rPr>
          <w:b/>
        </w:rPr>
        <w:t>road.</w:t>
      </w:r>
    </w:p>
    <w:p w14:paraId="5BCFCF62" w14:textId="77777777" w:rsidR="003B5C12" w:rsidRDefault="003B5C12" w:rsidP="000A1B54">
      <w:pPr>
        <w:spacing w:line="480" w:lineRule="auto"/>
        <w:rPr>
          <w:b/>
        </w:rPr>
      </w:pPr>
    </w:p>
    <w:p w14:paraId="4E53DBAF" w14:textId="77777777" w:rsidR="003B5C12" w:rsidRPr="00055DCB" w:rsidRDefault="003A1BD6" w:rsidP="000A1B54">
      <w:pPr>
        <w:spacing w:line="480" w:lineRule="auto"/>
        <w:rPr>
          <w:b/>
          <w:sz w:val="36"/>
          <w:szCs w:val="36"/>
        </w:rPr>
      </w:pPr>
      <w:r w:rsidRPr="00055DCB">
        <w:rPr>
          <w:b/>
          <w:sz w:val="36"/>
          <w:szCs w:val="36"/>
        </w:rPr>
        <w:t>Discussion</w:t>
      </w:r>
    </w:p>
    <w:p w14:paraId="021FB6CC" w14:textId="3F983C3C" w:rsidR="005837B9" w:rsidRDefault="005837B9" w:rsidP="000A1B54">
      <w:pPr>
        <w:spacing w:line="480" w:lineRule="auto"/>
      </w:pPr>
      <w:r>
        <w:t xml:space="preserve">Our study presents one of the most detailed investigations into the extent of occupational inequalities in COVID-19 for England. </w:t>
      </w:r>
      <w:r w:rsidR="00EA6445">
        <w:t xml:space="preserve">For all adults, individuals who were furloughed (i.e., temporarily not working) </w:t>
      </w:r>
      <w:r w:rsidR="00746EF6">
        <w:t>or</w:t>
      </w:r>
      <w:r w:rsidR="00EA6445">
        <w:t xml:space="preserve"> student</w:t>
      </w:r>
      <w:r w:rsidR="00746EF6">
        <w:t>s</w:t>
      </w:r>
      <w:r w:rsidR="00EA6445">
        <w:t xml:space="preserve"> had higher </w:t>
      </w:r>
      <w:r w:rsidR="00305AD9">
        <w:t xml:space="preserve">prevalence </w:t>
      </w:r>
      <w:r w:rsidR="00EA6445">
        <w:t xml:space="preserve">of COVID-19. </w:t>
      </w:r>
      <w:r w:rsidR="00F211A0">
        <w:t>Focusing on adults</w:t>
      </w:r>
      <w:r w:rsidR="00EA6445">
        <w:t xml:space="preserve"> currently working, </w:t>
      </w:r>
      <w:r w:rsidR="00F211A0">
        <w:t xml:space="preserve">individuals employed in </w:t>
      </w:r>
      <w:r w:rsidR="006E1A4D">
        <w:t>health or social care, retail, personal services, transport, hospitality and teaching</w:t>
      </w:r>
      <w:r w:rsidR="00F211A0">
        <w:t xml:space="preserve"> had higher likelihood of testing positive for COVID-19</w:t>
      </w:r>
      <w:r w:rsidR="006E1A4D">
        <w:t xml:space="preserve">. </w:t>
      </w:r>
      <w:r>
        <w:t xml:space="preserve">We also find demographic inequalities with COVID-19 prevalence being higher among younger populations and Pakistani, Black African and Indian ethnic groups. </w:t>
      </w:r>
      <w:r w:rsidR="00D075CF">
        <w:t>Our findings demonstrate the need to tackle the social determinants of COVID-19 to equitably manage the pandemic</w:t>
      </w:r>
      <w:r w:rsidR="00305AD9">
        <w:t xml:space="preserve"> – with work status and occupational group being one route for interventions aimed at tackling inequalities</w:t>
      </w:r>
      <w:r w:rsidR="00D075CF">
        <w:t>.</w:t>
      </w:r>
    </w:p>
    <w:p w14:paraId="15B46B02" w14:textId="464D3BD6" w:rsidR="00CA3D57" w:rsidRDefault="00960DC1" w:rsidP="000A1B54">
      <w:pPr>
        <w:spacing w:line="480" w:lineRule="auto"/>
      </w:pPr>
      <w:r>
        <w:t>The finding that COVID-19 was high</w:t>
      </w:r>
      <w:r w:rsidR="00EE721D">
        <w:t>er</w:t>
      </w:r>
      <w:r>
        <w:t xml:space="preserve"> among furloughed populations may initially feel counter-intuitive, since individuals may </w:t>
      </w:r>
      <w:r w:rsidR="00746EF6">
        <w:t>have found it</w:t>
      </w:r>
      <w:r>
        <w:t xml:space="preserve"> easier to socially distance or isolate compared to those groups employed. While furloughed populations may have fewer work social contacts, evidence suggests that their leisure and social contacts </w:t>
      </w:r>
      <w:r w:rsidR="00305AD9">
        <w:t xml:space="preserve">were </w:t>
      </w:r>
      <w:r>
        <w:t>higher</w:t>
      </w:r>
      <w:r w:rsidR="00746EF6">
        <w:t xml:space="preserve"> than other groups</w:t>
      </w:r>
      <w:r>
        <w:t xml:space="preserve"> </w:t>
      </w:r>
      <w:r w:rsidR="00650633">
        <w:fldChar w:fldCharType="begin" w:fldLock="1"/>
      </w:r>
      <w:r w:rsidR="00862209">
        <w:instrText>ADDIN CSL_CITATION {"citationItems":[{"id":"ITEM-1","itemData":{"author":[{"dropping-particle":"","family":"Bridgen","given":"JRE","non-dropping-particle":"","parse-names":false,"suffix":""},{"dropping-particle":"","family":"Jewell","given":"CP","non-dropping-particle":"","parse-names":false,"suffix":""},{"dropping-particle":"","family":"Read","given":"JM","non-dropping-particle":"","parse-names":false,"suffix":""}],"container-title":"medRxiv","id":"ITEM-1","issued":{"date-parts":[["2021"]]},"title":"Social mixing patterns in the UK following the relaxation of COVID-19 pandemic restrictions: a cross-sectional online survey","type":"article-journal"},"uris":["http://www.mendeley.com/documents/?uuid=1eb1d56b-d623-4ce0-8344-8ebd864483a9"]}],"mendeley":{"formattedCitation":"(23)","plainTextFormattedCitation":"(23)","previouslyFormattedCitation":"(23)"},"properties":{"noteIndex":0},"schema":"https://github.com/citation-style-language/schema/raw/master/csl-citation.json"}</w:instrText>
      </w:r>
      <w:r w:rsidR="00650633">
        <w:fldChar w:fldCharType="separate"/>
      </w:r>
      <w:r w:rsidR="00422686" w:rsidRPr="00422686">
        <w:rPr>
          <w:noProof/>
        </w:rPr>
        <w:t>(23)</w:t>
      </w:r>
      <w:r w:rsidR="00650633">
        <w:fldChar w:fldCharType="end"/>
      </w:r>
      <w:r>
        <w:t xml:space="preserve">. </w:t>
      </w:r>
      <w:r w:rsidR="00862209">
        <w:t xml:space="preserve">Evidence has showed that people who were low-income backgrounds were more likely to have been furloughed </w:t>
      </w:r>
      <w:r w:rsidR="00862209">
        <w:fldChar w:fldCharType="begin" w:fldLock="1"/>
      </w:r>
      <w:r w:rsidR="00862209">
        <w:instrText>ADDIN CSL_CITATION {"citationItems":[{"id":"ITEM-1","itemData":{"author":[{"dropping-particle":"","family":"Witteveen","given":"Dirk","non-dropping-particle":"","parse-names":false,"suffix":""}],"container-title":"Research in Social Stratification and Mobility","id":"ITEM-1","issued":{"date-parts":[["2020"]]},"page":"100551","title":"Sociodemographic inequality in exposure to COVID-19-induced economic hardship in the United Kingdom","type":"article-journal","volume":"69"},"uris":["http://www.mendeley.com/documents/?uuid=cb6e00a8-ff5e-4bb5-8089-37327ff9719d"]}],"mendeley":{"formattedCitation":"(15)","plainTextFormattedCitation":"(15)","previouslyFormattedCitation":"(15)"},"properties":{"noteIndex":0},"schema":"https://github.com/citation-style-language/schema/raw/master/csl-citation.json"}</w:instrText>
      </w:r>
      <w:r w:rsidR="00862209">
        <w:fldChar w:fldCharType="separate"/>
      </w:r>
      <w:r w:rsidR="00862209" w:rsidRPr="00862209">
        <w:rPr>
          <w:noProof/>
        </w:rPr>
        <w:t>(15)</w:t>
      </w:r>
      <w:r w:rsidR="00862209">
        <w:fldChar w:fldCharType="end"/>
      </w:r>
      <w:r w:rsidR="00862209">
        <w:t xml:space="preserve">. </w:t>
      </w:r>
      <w:r w:rsidR="00FE420B">
        <w:t>It suggests a ‘d</w:t>
      </w:r>
      <w:r w:rsidR="003A1BD6">
        <w:t>ouble jeopardy</w:t>
      </w:r>
      <w:r w:rsidR="00FE420B">
        <w:t>’ effect whereby individuals are not just negatively impacted by being furloughed</w:t>
      </w:r>
      <w:r>
        <w:t xml:space="preserve"> (e.g., </w:t>
      </w:r>
      <w:r w:rsidR="00025B06">
        <w:t xml:space="preserve">economic hardship from lost labour opportunities or stress from fear of eventual </w:t>
      </w:r>
      <w:r w:rsidR="00D07845">
        <w:t>unemployment</w:t>
      </w:r>
      <w:r w:rsidR="00746EF6">
        <w:t>)</w:t>
      </w:r>
      <w:r w:rsidR="00FE420B">
        <w:t>, but are also more likely to develop</w:t>
      </w:r>
      <w:r w:rsidR="003A1BD6">
        <w:t xml:space="preserve"> COVID-19</w:t>
      </w:r>
      <w:r w:rsidR="00FE420B">
        <w:t xml:space="preserve"> </w:t>
      </w:r>
      <w:r w:rsidR="00746EF6">
        <w:t>that may</w:t>
      </w:r>
      <w:r>
        <w:t xml:space="preserve"> doubly disadvantag</w:t>
      </w:r>
      <w:r w:rsidR="00852BFB">
        <w:t>e</w:t>
      </w:r>
      <w:r>
        <w:t xml:space="preserve"> their health and wellbeing</w:t>
      </w:r>
      <w:r w:rsidR="009B5B97">
        <w:t xml:space="preserve">. </w:t>
      </w:r>
      <w:bookmarkStart w:id="4" w:name="_Hlk107827077"/>
      <w:r w:rsidR="00862209">
        <w:t xml:space="preserve">Evidence elsewhere has suggested that people who were furloughed also experienced a small decline </w:t>
      </w:r>
      <w:r w:rsidR="008F5286">
        <w:t xml:space="preserve">in </w:t>
      </w:r>
      <w:r w:rsidR="00862209">
        <w:t xml:space="preserve">their mental health </w:t>
      </w:r>
      <w:r w:rsidR="00862209">
        <w:fldChar w:fldCharType="begin" w:fldLock="1"/>
      </w:r>
      <w:r w:rsidR="00820CD6">
        <w:instrText>ADDIN CSL_CITATION {"citationItems":[{"id":"ITEM-1","itemData":{"author":[{"dropping-particle":"","family":"Wels","given":"Jacques","non-dropping-particle":"","parse-names":false,"suffix":""},{"dropping-particle":"","family":"Booth","given":"Charlotte","non-dropping-particle":"","parse-names":false,"suffix":""},{"dropping-particle":"","family":"Wielgoszewska","given":"Bożena","non-dropping-particle":"","parse-names":false,"suffix":""},{"dropping-particle":"","family":"Green","given":"Michael J","non-dropping-particle":"","parse-names":false,"suffix":""},{"dropping-particle":"","family":"Gessa","given":"Giorgio","non-dropping-particle":"Di","parse-names":false,"suffix":""},{"dropping-particle":"","family":"Huggins","given":"Charlotte F","non-dropping-particle":"","parse-names":false,"suffix":""},{"dropping-particle":"","family":"Griffith","given":"Gareth J","non-dropping-particle":"","parse-names":false,"suffix":""},{"dropping-particle":"","family":"Kwong","given":"Alex S F","non-dropping-particle":"","parse-names":false,"suffix":""},{"dropping-particle":"","family":"Bowyer","given":"Ruth C E","non-dropping-particle":"","parse-names":false,"suffix":""},{"dropping-particle":"","family":"Maddock","given":"Jane","non-dropping-particle":"","parse-names":false,"suffix":""},{"dropping-particle":"","family":"Patalay","given":"Praveetha","non-dropping-particle":"","parse-names":false,"suffix":""},{"dropping-particle":"","family":"Silverwood","given":"Richard J","non-dropping-particle":"","parse-names":false,"suffix":""},{"dropping-particle":"","family":"Fitzsimons","given":"Emla","non-dropping-particle":"","parse-names":false,"suffix":""},{"dropping-particle":"","family":"Shaw","given":"Richard","non-dropping-particle":"","parse-names":false,"suffix":""},{"dropping-particle":"","family":"Thompson","given":"Ellen J","non-dropping-particle":"","parse-names":false,"suffix":""},{"dropping-particle":"","family":"Steptoe","given":"Andrew","non-dropping-particle":"","parse-names":false,"suffix":""},{"dropping-particle":"","family":"Hughes","given":"Alun","non-dropping-particle":"","parse-names":false,"suffix":""},{"dropping-particle":"","family":"Chaturvedi","given":"Nishi","non-dropping-particle":"","parse-names":false,"suffix":""},{"dropping-particle":"","family":"Steves","given":"Claire J","non-dropping-particle":"","parse-names":false,"suffix":""},{"dropping-particle":"","family":"Katikireddi","given":"Srinivasa Vittal","non-dropping-particle":"","parse-names":false,"suffix":""},{"dropping-particle":"","family":"Ploubidis","given":"George B","non-dropping-particle":"","parse-names":false,"suffix":""}],"container-title":"Social Science &amp; Medicine","id":"ITEM-1","issued":{"date-parts":[["2022"]]},"page":"115226","title":"Mental and social wellbeing and the UK coronavirus job retention scheme: Evidence from nine longitudinal studies","type":"article-journal","volume":"308"},"uris":["http://www.mendeley.com/documents/?uuid=a3ab699f-bfd9-4fbd-b65b-91446e64372e"]}],"mendeley":{"formattedCitation":"(24)","plainTextFormattedCitation":"(24)","previouslyFormattedCitation":"(24)"},"properties":{"noteIndex":0},"schema":"https://github.com/citation-style-language/schema/raw/master/csl-citation.json"}</w:instrText>
      </w:r>
      <w:r w:rsidR="00862209">
        <w:fldChar w:fldCharType="separate"/>
      </w:r>
      <w:r w:rsidR="00862209" w:rsidRPr="00862209">
        <w:rPr>
          <w:noProof/>
        </w:rPr>
        <w:t>(24)</w:t>
      </w:r>
      <w:r w:rsidR="00862209">
        <w:fldChar w:fldCharType="end"/>
      </w:r>
      <w:r w:rsidR="00862209">
        <w:t xml:space="preserve">. </w:t>
      </w:r>
      <w:r w:rsidR="00852BFB">
        <w:t xml:space="preserve">Our findings would </w:t>
      </w:r>
      <w:r w:rsidR="00852BFB">
        <w:lastRenderedPageBreak/>
        <w:t xml:space="preserve">recommend careful educational messaging where future furlough schemes are introduced to help guide individuals who were furloughed in navigating their new risks, or encouraging employers to find ways to help individuals work from home </w:t>
      </w:r>
      <w:r w:rsidR="00305AD9">
        <w:t xml:space="preserve">rather than being furloughed </w:t>
      </w:r>
      <w:r w:rsidR="00852BFB">
        <w:t xml:space="preserve">where possible. </w:t>
      </w:r>
      <w:bookmarkEnd w:id="4"/>
    </w:p>
    <w:p w14:paraId="4579D65D" w14:textId="0EE8777B" w:rsidR="00494BDF" w:rsidRDefault="00960DC1" w:rsidP="000A1B54">
      <w:pPr>
        <w:spacing w:line="480" w:lineRule="auto"/>
      </w:pPr>
      <w:r>
        <w:t xml:space="preserve">A similar explanation for the importance of social mixing can help to explain the high prevalence among students. </w:t>
      </w:r>
      <w:r w:rsidR="00740C8E">
        <w:t xml:space="preserve">The large spike in prevalence observed in October </w:t>
      </w:r>
      <w:r w:rsidR="00494BDF">
        <w:t>coincid</w:t>
      </w:r>
      <w:r w:rsidR="00740C8E">
        <w:t>es</w:t>
      </w:r>
      <w:r w:rsidR="00494BDF">
        <w:t xml:space="preserve"> with the start of most University terms where social mixing </w:t>
      </w:r>
      <w:r w:rsidR="00740C8E">
        <w:t>of individuals from different regions would have occurred</w:t>
      </w:r>
      <w:r w:rsidR="00494BDF">
        <w:t xml:space="preserve">. </w:t>
      </w:r>
      <w:r w:rsidR="007B43AB">
        <w:t xml:space="preserve">University student migration represents the largest annual internal migration flow in England </w:t>
      </w:r>
      <w:r w:rsidR="007B43AB">
        <w:fldChar w:fldCharType="begin" w:fldLock="1"/>
      </w:r>
      <w:r w:rsidR="00820CD6">
        <w:instrText>ADDIN CSL_CITATION {"citationItems":[{"id":"ITEM-1","itemData":{"DOI":"10.1068/a4198","abstract":" Recent research on studentification in the UK has examined the ways in which significant growth in student numbers over the last twenty years or so have led to marked change in the nature of the parts of cities in which clusters of students live. Yet these changes do not happen in isolation: the students are also associated with major migration flows into and out of studentified parts of cities. I examine the migration flows associated with a set of wards selected on the basis of having a high concentration of students. Examination of the age profiles of migrants into and out of these wards supports an argument that assumptions can be made that, for most of the selected wards, in-migrants are predominantly new students entering the system, whilst out-migrants are predominantly recently graduated students leaving the system. The specific origins from which new students arrive, and destinations to which former students depart, are examined and mapped, and the role of higher education as a mechanism through which the South East of England gains qualified workers is considered. ","author":[{"dropping-particle":"","family":"Duke-Williams","given":"Oliver","non-dropping-particle":"","parse-names":false,"suffix":""}],"container-title":"Environment and Planning A: Economy and Space","id":"ITEM-1","issue":"8","issued":{"date-parts":[["2009"]]},"page":"1826-1848","title":"The Geographies of Student Migration in the UK","type":"article-journal","volume":"41"},"uris":["http://www.mendeley.com/documents/?uuid=30175a41-82b9-40f5-8cec-155abcdd2ce3","http://www.mendeley.com/documents/?uuid=866c9b86-732d-45f6-a4e8-8927f0dfa936"]}],"mendeley":{"formattedCitation":"(25)","plainTextFormattedCitation":"(25)","previouslyFormattedCitation":"(25)"},"properties":{"noteIndex":0},"schema":"https://github.com/citation-style-language/schema/raw/master/csl-citation.json"}</w:instrText>
      </w:r>
      <w:r w:rsidR="007B43AB">
        <w:fldChar w:fldCharType="separate"/>
      </w:r>
      <w:r w:rsidR="00862209" w:rsidRPr="00862209">
        <w:rPr>
          <w:noProof/>
        </w:rPr>
        <w:t>(25)</w:t>
      </w:r>
      <w:r w:rsidR="007B43AB">
        <w:fldChar w:fldCharType="end"/>
      </w:r>
      <w:r w:rsidR="007B43AB">
        <w:t>, and managing the process safely will be important to minimising further outbreaks.</w:t>
      </w:r>
      <w:r w:rsidR="00852BFB">
        <w:t xml:space="preserve"> </w:t>
      </w:r>
      <w:bookmarkStart w:id="5" w:name="_Hlk107827097"/>
      <w:r w:rsidR="00852BFB">
        <w:t xml:space="preserve">Improved ventilation and use of marks in indoor classroom settings during periods of high community prevalence may be needed to avoid similar patterns during term time </w:t>
      </w:r>
      <w:r w:rsidR="00852BFB">
        <w:fldChar w:fldCharType="begin" w:fldLock="1"/>
      </w:r>
      <w:r w:rsidR="00820CD6">
        <w:instrText>ADDIN CSL_CITATION {"citationItems":[{"id":"ITEM-1","itemData":{"abstract":"Reopening colleges and universities during the coronavirus disease 2019 (COVID-19) pandemic poses a special challenge worldwide. Taiwan is one of the few countries where schools are functioning normally. To secure the safety of students and staff, the Ministry of Education in Taiwan established general guidelines for college campuses. The guidelines delineated creation of a task force at each university; school-based risk screening based on travel history, occupation, contacts, and clusters; measures on self-management of health and quarantine; general hygiene measures (including wearing masks indoors); principles on ventilation and sanitization; regulations on school assemblies; a process for reporting suspected cases; and policies on school closing and make-up classes. It also announced that a class should be suspended if 1 student or staff member in it tested positive and that a school should be closed for 14 days if it had 2 or more confirmed cases. As of 18 June 2020, there have been 7 confirmed cases in 6 Taiwanese universities since the start of the pandemic. One university was temporarily closed, adopted virtual classes, and quickly reopened after 14 days of contact tracing and quarantine of possible contacts. Taiwan's experience suggests that, under certain circumstances, safely reopening colleges and universities this fall may be feasible with a combination of strategies that include containment (access control with contact tracing and quarantine) and mitigation (hygiene, sanitation, ventilation, and social distancing) practices.","author":[{"dropping-particle":"","family":"Cheng","given":"Shao-Yi","non-dropping-particle":"","parse-names":false,"suffix":""},{"dropping-particle":"","family":"Wang","given":"C Jason","non-dropping-particle":"","parse-names":false,"suffix":""},{"dropping-particle":"","family":"Shen","given":"April Chiung-Tao","non-dropping-particle":"","parse-names":false,"suffix":""},{"dropping-particle":"","family":"Chang","given":"Shan-Chwen","non-dropping-particle":"","parse-names":false,"suffix":""}],"container-title":"Annals of Internal Medicine","id":"ITEM-1","issue":"8","issued":{"date-parts":[["2020"]]},"page":"638-641","title":"How to Safely Reopen Colleges and Universities During COVID-19: Experiences From Taiwan","type":"article-journal","volume":"173"},"uris":["http://www.mendeley.com/documents/?uuid=d735c316-cc2c-47ff-a9a3-4750a0814db2","http://www.mendeley.com/documents/?uuid=7f709dbc-23e1-4bc8-ad78-47c929ea52f9"]}],"mendeley":{"formattedCitation":"(26)","plainTextFormattedCitation":"(26)","previouslyFormattedCitation":"(26)"},"properties":{"noteIndex":0},"schema":"https://github.com/citation-style-language/schema/raw/master/csl-citation.json"}</w:instrText>
      </w:r>
      <w:r w:rsidR="00852BFB">
        <w:fldChar w:fldCharType="separate"/>
      </w:r>
      <w:r w:rsidR="00862209" w:rsidRPr="00862209">
        <w:rPr>
          <w:noProof/>
        </w:rPr>
        <w:t>(26)</w:t>
      </w:r>
      <w:r w:rsidR="00852BFB">
        <w:fldChar w:fldCharType="end"/>
      </w:r>
      <w:r w:rsidR="000673E6">
        <w:t xml:space="preserve">. Such interventions may only be effective if paired with strategies around </w:t>
      </w:r>
      <w:r w:rsidR="00EE721D">
        <w:t xml:space="preserve">the </w:t>
      </w:r>
      <w:r w:rsidR="000673E6">
        <w:t>social experiences of University students.</w:t>
      </w:r>
      <w:r w:rsidR="00852BFB">
        <w:t xml:space="preserve"> </w:t>
      </w:r>
      <w:bookmarkEnd w:id="5"/>
    </w:p>
    <w:p w14:paraId="6E2185D3" w14:textId="397A3B55" w:rsidR="009D18C2" w:rsidRDefault="00960DC1" w:rsidP="000A1B54">
      <w:pPr>
        <w:spacing w:line="480" w:lineRule="auto"/>
      </w:pPr>
      <w:r>
        <w:t xml:space="preserve">Among working individuals, we find that COVID-19 prevalence was not equitably spread across work sectors. </w:t>
      </w:r>
      <w:r w:rsidR="00B0331B">
        <w:t xml:space="preserve">Higher prevalence of COVID-19 was not just in patient or care focused professions (e.g., health or social care sectors). We also found that </w:t>
      </w:r>
      <w:r w:rsidR="00B7322E">
        <w:t xml:space="preserve">COVID-19 was more common among individuals in work sectors characterised by </w:t>
      </w:r>
      <w:r w:rsidR="00247199">
        <w:t>roles</w:t>
      </w:r>
      <w:r w:rsidR="00B7322E">
        <w:t xml:space="preserve"> less able to work from home or with greater exposure due to social mixing (e.g., </w:t>
      </w:r>
      <w:r w:rsidR="00B0331B">
        <w:t xml:space="preserve">transport, hospitality, retail, </w:t>
      </w:r>
      <w:r w:rsidR="00B7322E">
        <w:t xml:space="preserve">personal services </w:t>
      </w:r>
      <w:r w:rsidR="00F211A0">
        <w:t>or</w:t>
      </w:r>
      <w:r w:rsidR="00B7322E">
        <w:t xml:space="preserve"> teaching)</w:t>
      </w:r>
      <w:r w:rsidR="00423F7F">
        <w:t xml:space="preserve">. </w:t>
      </w:r>
      <w:r w:rsidR="00F211A0">
        <w:t xml:space="preserve">Our findings follow similar </w:t>
      </w:r>
      <w:r w:rsidR="009C5F58">
        <w:t xml:space="preserve">evidence </w:t>
      </w:r>
      <w:r w:rsidR="00F211A0">
        <w:t>for</w:t>
      </w:r>
      <w:r w:rsidR="000B3B22">
        <w:t xml:space="preserve"> older adults (50-64 years) </w:t>
      </w:r>
      <w:r w:rsidR="00F211A0">
        <w:t xml:space="preserve">on the higher risk of COVID-19 and severe outcomes for </w:t>
      </w:r>
      <w:r w:rsidR="000B3B22">
        <w:t>key workers</w:t>
      </w:r>
      <w:r w:rsidR="00F211A0">
        <w:t xml:space="preserve"> </w:t>
      </w:r>
      <w:r w:rsidR="009C5F58">
        <w:fldChar w:fldCharType="begin" w:fldLock="1"/>
      </w:r>
      <w:r w:rsidR="00862209">
        <w:instrText>ADDIN CSL_CITATION {"citationItems":[{"id":"ITEM-1","itemData":{"DOI":"10.1136/oemed-2020-106731","abstract":"Objectives To investigate severe COVID-19 risk by occupational group.Methods Baseline UK Biobank data (2006–10) for England were linked to SARS-CoV-2 test results from Public Health England (16 March to 26 July 2020). Included participants were employed or self-employed at baseline, alive and aged &amp;amp;lt;65 years in 2020. Poisson regression models were adjusted sequentially for baseline demographic, socioeconomic, work-related, health, and lifestyle-related risk factors to assess risk ratios (RRs) for testing positive in hospital or death due to COVID-19 by three occupational classification schemes (including Standard Occupation Classification (SOC) 2000).Results Of 120 075 participants, 271 had severe COVID-19. Relative to non-essential workers, healthcare workers (RR 7.43, 95% CI 5.52 to 10.00), social and education workers (RR 1.84, 95% CI 1.21 to 2.82) and other essential workers (RR 1.60, 95% CI 1.05 to 2.45) had a higher risk of severe COVID-19. Using more detailed groupings, medical support staff (RR 8.70, 95% CI 4.87 to 15.55), social care (RR 2.46, 95% CI 1.47 to 4.14) and transport workers (RR 2.20, 95% CI 1.21 to 4.00) had the highest risk within the broader groups. Compared with white non-essential workers, non-white non-essential workers had a higher risk (RR 3.27, 95% CI 1.90 to 5.62) and non-white essential workers had the highest risk (RR 8.34, 95% CI 5.17 to 13.47). Using SOC 2000 major groups, associate professional and technical occupations, personal service occupations and plant and machine operatives had a higher risk, compared with managers and senior officials.Conclusions Essential workers have a higher risk of severe COVID-19. These findings underscore the need for national and organisational policies and practices that protect and support workers with an elevated risk of severe COVID-19.Data may be obtained from a third party and are not publicly available. This research has been conducted using the UK Biobank Resource (https://www.ukbiobank.ac.uk/; application No 41686 &amp;amp;amp; 17333).","author":[{"dropping-particle":"","family":"Mutambudzi","given":"Miriam","non-dropping-particle":"","parse-names":false,"suffix":""},{"dropping-particle":"","family":"Niedwiedz","given":"Claire","non-dropping-particle":"","parse-names":false,"suffix":""},{"dropping-particle":"","family":"Macdonald","given":"Ewan Beaton","non-dropping-particle":"","parse-names":false,"suffix":""},{"dropping-particle":"","family":"Leyland","given":"Alastair","non-dropping-particle":"","parse-names":false,"suffix":""},{"dropping-particle":"","family":"Mair","given":"Frances","non-dropping-particle":"","parse-names":false,"suffix":""},{"dropping-particle":"","family":"Anderson","given":"Jana","non-dropping-particle":"","parse-names":false,"suffix":""},{"dropping-particle":"","family":"Celis-Morales","given":"Carlos","non-dropping-particle":"","parse-names":false,"suffix":""},{"dropping-particle":"","family":"Cleland","given":"John","non-dropping-particle":"","parse-names":false,"suffix":""},{"dropping-particle":"","family":"Forbes","given":"John","non-dropping-particle":"","parse-names":false,"suffix":""},{"dropping-particle":"","family":"Gill","given":"Jason","non-dropping-particle":"","parse-names":false,"suffix":""},{"dropping-particle":"","family":"Hastie","given":"Claire","non-dropping-particle":"","parse-names":false,"suffix":""},{"dropping-particle":"","family":"Ho","given":"Frederick","non-dropping-particle":"","parse-names":false,"suffix":""},{"dropping-particle":"","family":"Jani","given":"Bhautesh","non-dropping-particle":"","parse-names":false,"suffix":""},{"dropping-particle":"","family":"Mackay","given":"Daniel F","non-dropping-particle":"","parse-names":false,"suffix":""},{"dropping-particle":"","family":"Nicholl","given":"Barbara","non-dropping-particle":"","parse-names":false,"suffix":""},{"dropping-particle":"","family":"O&amp;#039;Donnell","given":"Catherine","non-dropping-particle":"","parse-names":false,"suffix":""},{"dropping-particle":"","family":"Sattar","given":"Naveed","non-dropping-particle":"","parse-names":false,"suffix":""},{"dropping-particle":"","family":"Welsh","given":"Paul","non-dropping-particle":"","parse-names":false,"suffix":""},{"dropping-particle":"","family":"Pell","given":"Jill P","non-dropping-particle":"","parse-names":false,"suffix":""},{"dropping-particle":"","family":"Katikireddi","given":"Srinivasa Vittal","non-dropping-particle":"","parse-names":false,"suffix":""},{"dropping-particle":"","family":"Demou","given":"Evangelia","non-dropping-particle":"","parse-names":false,"suffix":""}],"container-title":"Occupational and Environmental Medicine","id":"ITEM-1","issue":"5","issued":{"date-parts":[["2021","5","1"]]},"page":"307 LP  - 314","title":"Occupation and risk of severe COVID-19: prospective cohort study of 120 075 UK Biobank participants","type":"article-journal","volume":"78"},"uris":["http://www.mendeley.com/documents/?uuid=838805c3-7d73-48b4-976e-a4bd0df450bd","http://www.mendeley.com/documents/?uuid=b775ae46-c82c-4db1-aaaa-c2bec4959d93"]}],"mendeley":{"formattedCitation":"(7)","plainTextFormattedCitation":"(7)","previouslyFormattedCitation":"(7)"},"properties":{"noteIndex":0},"schema":"https://github.com/citation-style-language/schema/raw/master/csl-citation.json"}</w:instrText>
      </w:r>
      <w:r w:rsidR="009C5F58">
        <w:fldChar w:fldCharType="separate"/>
      </w:r>
      <w:r w:rsidR="000A1B54" w:rsidRPr="000A1B54">
        <w:rPr>
          <w:noProof/>
        </w:rPr>
        <w:t>(7)</w:t>
      </w:r>
      <w:r w:rsidR="009C5F58">
        <w:fldChar w:fldCharType="end"/>
      </w:r>
      <w:r w:rsidR="00F211A0">
        <w:t xml:space="preserve">, </w:t>
      </w:r>
      <w:r w:rsidR="00247199">
        <w:t xml:space="preserve">patterns in national testing records </w:t>
      </w:r>
      <w:r w:rsidR="00247199">
        <w:fldChar w:fldCharType="begin" w:fldLock="1"/>
      </w:r>
      <w:r w:rsidR="00264A60">
        <w:instrText>ADDIN CSL_CITATION {"citationItems":[{"id":"ITEM-1","itemData":{"DOI":"https://doi.org/10.2807/1560-7917.ES.2020.25.50.2001884","author":[{"dropping-particle":"","family":"Gier","given":"Brechje","non-dropping-particle":"de","parse-names":false,"suffix":""},{"dropping-particle":"","family":"Oliveira Bressane Lima","given":"Priscila","non-dropping-particle":"de","parse-names":false,"suffix":""},{"dropping-particle":"","family":"Gaalen","given":"Rolina D","non-dropping-particle":"van","parse-names":false,"suffix":""},{"dropping-particle":"","family":"Boer","given":"Pieter T","non-dropping-particle":"de","parse-names":false,"suffix":""},{"dropping-particle":"","family":"Alblas","given":"Jeroen","non-dropping-particle":"","parse-names":false,"suffix":""},{"dropping-particle":"","family":"Ruijten","given":"Marc","non-dropping-particle":"","parse-names":false,"suffix":""},{"dropping-particle":"","family":"Gageldonk-Lafeber","given":"Arianne B","non-dropping-particle":"van","parse-names":false,"suffix":""},{"dropping-particle":"","family":"Waegemaekers","given":"Toos","non-dropping-particle":"","parse-names":false,"suffix":""},{"dropping-particle":"","family":"Schreijer","given":"Anja","non-dropping-particle":"","parse-names":false,"suffix":""},{"dropping-particle":"","family":"Hof","given":"Susan","non-dropping-particle":"van den","parse-names":false,"suffix":""},{"dropping-particle":"","family":"Hahné","given":"Susan J M","non-dropping-particle":"","parse-names":false,"suffix":""}],"container-title":"Eurosurveillance","id":"ITEM-1","issue":"50","issued":{"date-parts":[["2020"]]},"title":"Occupation- and age-associated risk of SARS-CoV-2 test positivity, the Netherlands, June to October 2020","type":"article-journal","volume":"25"},"uris":["http://www.mendeley.com/documents/?uuid=a366c38d-5bd2-49f1-ae7b-a0d01ba4d686","http://www.mendeley.com/documents/?uuid=47a93ec0-8a83-4868-b133-9ed5a0830239"]}],"mendeley":{"formattedCitation":"(9)","plainTextFormattedCitation":"(9)","previouslyFormattedCitation":"(9)"},"properties":{"noteIndex":0},"schema":"https://github.com/citation-style-language/schema/raw/master/csl-citation.json"}</w:instrText>
      </w:r>
      <w:r w:rsidR="00247199">
        <w:fldChar w:fldCharType="separate"/>
      </w:r>
      <w:r w:rsidR="000A1B54" w:rsidRPr="000A1B54">
        <w:rPr>
          <w:noProof/>
        </w:rPr>
        <w:t>(9)</w:t>
      </w:r>
      <w:r w:rsidR="00247199">
        <w:fldChar w:fldCharType="end"/>
      </w:r>
      <w:r w:rsidR="00247199">
        <w:t xml:space="preserve">, </w:t>
      </w:r>
      <w:r w:rsidR="00F211A0">
        <w:t xml:space="preserve">as well as for occupational inequalities in COVID-19 mortality </w:t>
      </w:r>
      <w:r w:rsidR="00F211A0">
        <w:fldChar w:fldCharType="begin" w:fldLock="1"/>
      </w:r>
      <w:r w:rsidR="00862209">
        <w:instrText>ADDIN CSL_CITATION {"citationItems":[{"id":"ITEM-1","itemData":{"DOI":"10.1101/2021.01.21.21250266","abstract":"Background Though SARS-CoV-2 outbreaks have been documented in occupational settings and though there is speculation that essential workers face heightened risks for COVID-19, occupational differences in excess mortality have, to date, not been examined. Such information could point to opportunities for intervention, such as workplace modifications and prioritization of vaccine distribution.Methods and findings Using death records from the California Department of Public Health, we estimated excess mortality among Californians 18{\\textendash}65 years of age by occupational sector and occupation, with additional stratification of the sector analysis by race/ethnicity. During the COVID-19 pandemic, working age adults experienced a 22% increase in mortality compared to historical periods. Relative excess mortality was highest in food/agriculture workers (39% increase), transportation/logistics workers (28% increase), facilities (27%) and manufacturing workers (23% increase). Latino Californians experienced a 36% increase in mortality, with a 59% increase among Latino food/agriculture workers. Black Californians experienced a 28% increase in mortality, with a 36% increase for Black retail workers. Asian Californians experienced an 18% increase, with a 40% increase among Asian healthcare workers. Excess mortality among White working-age Californians increased by 6%, with a 16% increase among White food/agriculture workers.Conclusions Certain occupational sectors have been associated with high excess mortality during the pandemic, particularly among racial and ethnic groups also disproportionately affected by COVID-19. In-person essential work is a likely venue of transmission of coronavirus infection and must be addressed through strict enforcement of health orders in workplace settings and protection of in-person workers. Vaccine distribution prioritizing in-person essential workers will be important for reducing excess COVID mortality.Competing Interest StatementThe authors have declared no competing interest.Funding StatementDr Riley{\\textquoteright}s work was supported by a training grant from the NIA: T32AG049663. Dr Bibbins-Domingo{\\textquoteright}s work was supported by institutional funding.Author DeclarationsI confirm all relevant ethical guidelines have been followed, and any necessary IRB and/or ethics committee approvals have been obtained.YesThe details of the IRB/oversight body that provided approval or exemption for the research described are …","author":[{"dropping-particle":"","family":"Chen","given":"Yea-Hung","non-dropping-particle":"","parse-names":false,"suffix":""},{"dropping-particle":"","family":"Glymour","given":"Maria","non-dropping-particle":"","parse-names":false,"suffix":""},{"dropping-particle":"","family":"Riley","given":"Alicia","non-dropping-particle":"","parse-names":false,"suffix":""},{"dropping-particle":"","family":"Balmes","given":"John","non-dropping-particle":"","parse-names":false,"suffix":""},{"dropping-particle":"","family":"Duchowny","given":"Kate","non-dropping-particle":"","parse-names":false,"suffix":""},{"dropping-particle":"","family":"Harrison","given":"Robert","non-dropping-particle":"","parse-names":false,"suffix":""},{"dropping-particle":"","family":"Matthay","given":"Ellicott","non-dropping-particle":"","parse-names":false,"suffix":""},{"dropping-particle":"","family":"Bibbins-Domingo","given":"Kirsten","non-dropping-particle":"","parse-names":false,"suffix":""}],"container-title":"medRxiv","id":"ITEM-1","issued":{"date-parts":[["2021"]]},"title":"Excess mortality associated with the COVID-19 pandemic among Californians 18-65 years of age, by occupational sector and occupation: March through October 2020","type":"article-journal"},"uris":["http://www.mendeley.com/documents/?uuid=b5372446-fbfc-493f-82c6-0455d43f7c5c","http://www.mendeley.com/documents/?uuid=8728a3a5-a797-4e2f-8e4a-640c41c83e1a"]},{"id":"ITEM-2","itemData":{"URL":"https://www.ons.gov.uk/peoplepopulationandcommunity/healthandsocialcare/causesofdeath/bulletins/coronaviruscovid19relateddeathsbyoccupationenglandandwales/deathsregisteredbetween9marchand28december2020","author":[{"dropping-particle":"","family":"ONS","given":"","non-dropping-particle":"","parse-names":false,"suffix":""}],"id":"ITEM-2","issued":{"date-parts":[["2021"]]},"title":"Coronavirus (COVID-19) related deaths by occupation, England and Wales: deaths registered between 9 March and 28 December 2020","type":"webpage"},"uris":["http://www.mendeley.com/documents/?uuid=18334c74-31fe-4482-9133-a9ed424ebd4d","http://www.mendeley.com/documents/?uuid=a352cdf6-6d7f-4668-9992-d148fe82dcb6","http://www.mendeley.com/documents/?uuid=01c73a89-1e94-41e6-87a4-7ab361cd30ae"]}],"mendeley":{"formattedCitation":"(8,10)","plainTextFormattedCitation":"(8,10)","previouslyFormattedCitation":"(8,10)"},"properties":{"noteIndex":0},"schema":"https://github.com/citation-style-language/schema/raw/master/csl-citation.json"}</w:instrText>
      </w:r>
      <w:r w:rsidR="00F211A0">
        <w:fldChar w:fldCharType="separate"/>
      </w:r>
      <w:r w:rsidR="000A1B54" w:rsidRPr="000A1B54">
        <w:rPr>
          <w:noProof/>
        </w:rPr>
        <w:t>(8,10)</w:t>
      </w:r>
      <w:r w:rsidR="00F211A0">
        <w:fldChar w:fldCharType="end"/>
      </w:r>
      <w:r w:rsidR="000B3B22">
        <w:t xml:space="preserve">. </w:t>
      </w:r>
      <w:r w:rsidR="00247199">
        <w:t xml:space="preserve">Importantly, we add to this literature through tentatively demonstrating how occupational inequalities were not consistent over time, with tentative evidence of ‘seeding’ of COVID-19 transmission among individuals (particularly young females) employed in personal services (e.g., hairdressers) at the start of the second wave. </w:t>
      </w:r>
      <w:r w:rsidR="007037E6">
        <w:t>We also suggest caution in any interpretation that there might be different associations between occupational categories over time. Most measures of work/occupation we analysed closely followed overall population-level trends</w:t>
      </w:r>
      <w:r w:rsidR="008F5286">
        <w:t xml:space="preserve"> (i.e., </w:t>
      </w:r>
      <w:r w:rsidR="008F5286">
        <w:lastRenderedPageBreak/>
        <w:t>there was no sequencing of transmission between occupational groups)</w:t>
      </w:r>
      <w:r w:rsidR="007171D8">
        <w:t>.</w:t>
      </w:r>
      <w:r w:rsidR="00CD239E">
        <w:t xml:space="preserve"> Time-specific interventions targeted at particular occupational groups may therefore be </w:t>
      </w:r>
      <w:r w:rsidR="008F5286">
        <w:t>ineffective</w:t>
      </w:r>
      <w:r w:rsidR="00CD239E">
        <w:t xml:space="preserve"> or unfeasible.</w:t>
      </w:r>
      <w:r w:rsidR="007037E6">
        <w:t xml:space="preserve">  </w:t>
      </w:r>
    </w:p>
    <w:p w14:paraId="1717D9E7" w14:textId="0D1653AC" w:rsidR="00910E5F" w:rsidRDefault="00D25581" w:rsidP="000A1B54">
      <w:pPr>
        <w:spacing w:line="480" w:lineRule="auto"/>
      </w:pPr>
      <w:bookmarkStart w:id="6" w:name="_Hlk107827246"/>
      <w:r>
        <w:t xml:space="preserve">Our findings suggest the need for </w:t>
      </w:r>
      <w:r w:rsidR="009D18C2">
        <w:t>better</w:t>
      </w:r>
      <w:r>
        <w:t xml:space="preserve"> workplace interventions </w:t>
      </w:r>
      <w:r w:rsidR="009D18C2">
        <w:t xml:space="preserve">across diverse roles </w:t>
      </w:r>
      <w:r>
        <w:t xml:space="preserve">that can help </w:t>
      </w:r>
      <w:r w:rsidR="009D18C2">
        <w:t>contain COVID-19 transmission, whilst allowing individuals and employers to continue their social and economic activities</w:t>
      </w:r>
      <w:r w:rsidR="000B1D66">
        <w:t xml:space="preserve"> </w:t>
      </w:r>
      <w:r w:rsidR="000B1D66">
        <w:fldChar w:fldCharType="begin" w:fldLock="1"/>
      </w:r>
      <w:r w:rsidR="00862209">
        <w:instrText>ADDIN CSL_CITATION {"citationItems":[{"id":"ITEM-1","itemData":{"DOI":"10.1136/oemed-2020-106731","abstract":"Objectives To investigate severe COVID-19 risk by occupational group.Methods Baseline UK Biobank data (2006–10) for England were linked to SARS-CoV-2 test results from Public Health England (16 March to 26 July 2020). Included participants were employed or self-employed at baseline, alive and aged &amp;amp;lt;65 years in 2020. Poisson regression models were adjusted sequentially for baseline demographic, socioeconomic, work-related, health, and lifestyle-related risk factors to assess risk ratios (RRs) for testing positive in hospital or death due to COVID-19 by three occupational classification schemes (including Standard Occupation Classification (SOC) 2000).Results Of 120 075 participants, 271 had severe COVID-19. Relative to non-essential workers, healthcare workers (RR 7.43, 95% CI 5.52 to 10.00), social and education workers (RR 1.84, 95% CI 1.21 to 2.82) and other essential workers (RR 1.60, 95% CI 1.05 to 2.45) had a higher risk of severe COVID-19. Using more detailed groupings, medical support staff (RR 8.70, 95% CI 4.87 to 15.55), social care (RR 2.46, 95% CI 1.47 to 4.14) and transport workers (RR 2.20, 95% CI 1.21 to 4.00) had the highest risk within the broader groups. Compared with white non-essential workers, non-white non-essential workers had a higher risk (RR 3.27, 95% CI 1.90 to 5.62) and non-white essential workers had the highest risk (RR 8.34, 95% CI 5.17 to 13.47). Using SOC 2000 major groups, associate professional and technical occupations, personal service occupations and plant and machine operatives had a higher risk, compared with managers and senior officials.Conclusions Essential workers have a higher risk of severe COVID-19. These findings underscore the need for national and organisational policies and practices that protect and support workers with an elevated risk of severe COVID-19.Data may be obtained from a third party and are not publicly available. This research has been conducted using the UK Biobank Resource (https://www.ukbiobank.ac.uk/; application No 41686 &amp;amp;amp; 17333).","author":[{"dropping-particle":"","family":"Mutambudzi","given":"Miriam","non-dropping-particle":"","parse-names":false,"suffix":""},{"dropping-particle":"","family":"Niedwiedz","given":"Claire","non-dropping-particle":"","parse-names":false,"suffix":""},{"dropping-particle":"","family":"Macdonald","given":"Ewan Beaton","non-dropping-particle":"","parse-names":false,"suffix":""},{"dropping-particle":"","family":"Leyland","given":"Alastair","non-dropping-particle":"","parse-names":false,"suffix":""},{"dropping-particle":"","family":"Mair","given":"Frances","non-dropping-particle":"","parse-names":false,"suffix":""},{"dropping-particle":"","family":"Anderson","given":"Jana","non-dropping-particle":"","parse-names":false,"suffix":""},{"dropping-particle":"","family":"Celis-Morales","given":"Carlos","non-dropping-particle":"","parse-names":false,"suffix":""},{"dropping-particle":"","family":"Cleland","given":"John","non-dropping-particle":"","parse-names":false,"suffix":""},{"dropping-particle":"","family":"Forbes","given":"John","non-dropping-particle":"","parse-names":false,"suffix":""},{"dropping-particle":"","family":"Gill","given":"Jason","non-dropping-particle":"","parse-names":false,"suffix":""},{"dropping-particle":"","family":"Hastie","given":"Claire","non-dropping-particle":"","parse-names":false,"suffix":""},{"dropping-particle":"","family":"Ho","given":"Frederick","non-dropping-particle":"","parse-names":false,"suffix":""},{"dropping-particle":"","family":"Jani","given":"Bhautesh","non-dropping-particle":"","parse-names":false,"suffix":""},{"dropping-particle":"","family":"Mackay","given":"Daniel F","non-dropping-particle":"","parse-names":false,"suffix":""},{"dropping-particle":"","family":"Nicholl","given":"Barbara","non-dropping-particle":"","parse-names":false,"suffix":""},{"dropping-particle":"","family":"O&amp;#039;Donnell","given":"Catherine","non-dropping-particle":"","parse-names":false,"suffix":""},{"dropping-particle":"","family":"Sattar","given":"Naveed","non-dropping-particle":"","parse-names":false,"suffix":""},{"dropping-particle":"","family":"Welsh","given":"Paul","non-dropping-particle":"","parse-names":false,"suffix":""},{"dropping-particle":"","family":"Pell","given":"Jill P","non-dropping-particle":"","parse-names":false,"suffix":""},{"dropping-particle":"","family":"Katikireddi","given":"Srinivasa Vittal","non-dropping-particle":"","parse-names":false,"suffix":""},{"dropping-particle":"","family":"Demou","given":"Evangelia","non-dropping-particle":"","parse-names":false,"suffix":""}],"container-title":"Occupational and Environmental Medicine","id":"ITEM-1","issue":"5","issued":{"date-parts":[["2021","5","1"]]},"page":"307 LP  - 314","title":"Occupation and risk of severe COVID-19: prospective cohort study of 120 075 UK Biobank participants","type":"article-journal","volume":"78"},"uris":["http://www.mendeley.com/documents/?uuid=838805c3-7d73-48b4-976e-a4bd0df450bd","http://www.mendeley.com/documents/?uuid=b775ae46-c82c-4db1-aaaa-c2bec4959d93"]}],"mendeley":{"formattedCitation":"(7)","plainTextFormattedCitation":"(7)","previouslyFormattedCitation":"(7)"},"properties":{"noteIndex":0},"schema":"https://github.com/citation-style-language/schema/raw/master/csl-citation.json"}</w:instrText>
      </w:r>
      <w:r w:rsidR="000B1D66">
        <w:fldChar w:fldCharType="separate"/>
      </w:r>
      <w:r w:rsidR="000A1B54" w:rsidRPr="000A1B54">
        <w:rPr>
          <w:noProof/>
        </w:rPr>
        <w:t>(7)</w:t>
      </w:r>
      <w:r w:rsidR="000B1D66">
        <w:fldChar w:fldCharType="end"/>
      </w:r>
      <w:r w:rsidR="009D18C2">
        <w:t xml:space="preserve">. Occupational roles will need to further adapt to protect their employees from COVID-19. Minimising social contacts or mixing within occupational roles through sufficient preventative measures may be valuable. </w:t>
      </w:r>
      <w:r w:rsidR="00B203C3">
        <w:t xml:space="preserve">One study suggested that limiting the number of </w:t>
      </w:r>
      <w:r w:rsidR="00CC7D2A">
        <w:t xml:space="preserve">social contacts at work was </w:t>
      </w:r>
      <w:r w:rsidR="00B203C3">
        <w:t xml:space="preserve">the </w:t>
      </w:r>
      <w:r w:rsidR="00CC7D2A">
        <w:t xml:space="preserve">most important </w:t>
      </w:r>
      <w:r w:rsidR="00B203C3">
        <w:t xml:space="preserve">strategy </w:t>
      </w:r>
      <w:r w:rsidR="00CC7D2A">
        <w:t xml:space="preserve">for lowering </w:t>
      </w:r>
      <w:r w:rsidR="00B203C3">
        <w:t>the ‘</w:t>
      </w:r>
      <w:r w:rsidR="00CC7D2A">
        <w:t>R</w:t>
      </w:r>
      <w:r w:rsidR="00B203C3">
        <w:t>’</w:t>
      </w:r>
      <w:r w:rsidR="00CC7D2A">
        <w:t xml:space="preserve"> number</w:t>
      </w:r>
      <w:r w:rsidR="00B203C3">
        <w:t xml:space="preserve"> if society keeps schools open </w:t>
      </w:r>
      <w:r w:rsidR="00B203C3">
        <w:fldChar w:fldCharType="begin" w:fldLock="1"/>
      </w:r>
      <w:r w:rsidR="00862209">
        <w:instrText>ADDIN CSL_CITATION {"citationItems":[{"id":"ITEM-1","itemData":{"DOI":"10.1101/2020.07.25.20156471","abstract":"Background In the absence of a vaccine, SARS-CoV-2 transmission has been controlled by preventing person-to-person interactions via social distancing measures. In order to re-open parts of society, policy-makers need to consider how combinations of measures will affect transmission and understand the trade-offs between them.Methods We use age-specific social contact data, together with epidemiological data, to quantify the components of the COVID-19 reproduction number. We estimate the impact of social distancing policies on the reproduction number by turning contacts on and off based on context and age. We focus on the impact of re-opening schools against a background of wider social distancing measures.Results We demonstrate that pre-collected social contact data can be used to provide a time-varying estimate of the reproduction number (R). We find that following lockdown (when R=0.7 (95% CI 0.6, 0.8)), opening primary schools as a modest impact on transmission (R = 0.89 (95%CI: 0.82 - 0.97)) as long as other social interactions are not increased. Opening secondary and primary schools is predicted to have a larger impact (R = 1.22, 95%CI: 1.02 - 1.53)). Contact tracing and COVID security can be used to mitigate the impact of increased social mixing to some extent, however social distancing measures are still required to control transmission.Conclusions Our approach has been widely used by policy-makers to project the impact of social distancing measures and assess the trade-offs between them. Effective social distancing, contact tracing and COVID-security are required if all age groups are to return to school while controlling transmission.Competing Interest StatementThe authors have declared no competing interest.Funding StatementThe authors gratefully acknowledge comments and discussions from the members of the Scientific Pandemic Influenza Group on Modelling (SPI-M) for useful comments and discussions. Funding: EBP is supported by the National Institute for Health Research Health Protection Research Unit (NIHR HPRU) in Evaluation of Interventions at the University of Bristol, MJK is supported by NIHR grant MEMVIEER NIHR200411, LD is supported by The Alan Turing Institute EPSRC EP/N510129/1, and MRC grant MC/PC/19067. Author DeclarationsI confirm all relevant ethical guidelines have been followed, and any necessary IRB and/or ethics committee approvals have been obtained.YesThe details of the IRB/oversight body that provided approval or exemption fo…","author":[{"dropping-particle":"","family":"Brooks-Pollock","given":"Ellen","non-dropping-particle":"","parse-names":false,"suffix":""},{"dropping-particle":"","family":"Read","given":"Jonathan M","non-dropping-particle":"","parse-names":false,"suffix":""},{"dropping-particle":"","family":"McLean","given":"Angela R","non-dropping-particle":"","parse-names":false,"suffix":""},{"dropping-particle":"","family":"Keeling","given":"Matt J","non-dropping-particle":"","parse-names":false,"suffix":""},{"dropping-particle":"","family":"Danon","given":"Leon","non-dropping-particle":"","parse-names":false,"suffix":""}],"container-title":"medRxiv","id":"ITEM-1","issued":{"date-parts":[["2021"]]},"title":"Mapping social distancing measures to the reproduction number for COVID-19","type":"article-journal"},"uris":["http://www.mendeley.com/documents/?uuid=b2b3f412-f951-4911-baab-676fa6fbc077","http://www.mendeley.com/documents/?uuid=97453c35-1fce-4c66-97db-7b5041b049c6"]}],"mendeley":{"formattedCitation":"(17)","plainTextFormattedCitation":"(17)","previouslyFormattedCitation":"(17)"},"properties":{"noteIndex":0},"schema":"https://github.com/citation-style-language/schema/raw/master/csl-citation.json"}</w:instrText>
      </w:r>
      <w:r w:rsidR="00B203C3">
        <w:fldChar w:fldCharType="separate"/>
      </w:r>
      <w:r w:rsidR="00422686" w:rsidRPr="00422686">
        <w:rPr>
          <w:noProof/>
        </w:rPr>
        <w:t>(17)</w:t>
      </w:r>
      <w:r w:rsidR="00B203C3">
        <w:fldChar w:fldCharType="end"/>
      </w:r>
      <w:r w:rsidR="00CC7D2A">
        <w:t>.</w:t>
      </w:r>
      <w:r w:rsidR="00494BDF">
        <w:t xml:space="preserve"> </w:t>
      </w:r>
      <w:r w:rsidR="009D18C2">
        <w:t xml:space="preserve">Repeat testing of employees may help to manage outbreaks, however testing behaviours can </w:t>
      </w:r>
      <w:r w:rsidR="003D04AA">
        <w:t xml:space="preserve">also </w:t>
      </w:r>
      <w:r w:rsidR="009D18C2">
        <w:t xml:space="preserve">widen inequalities </w:t>
      </w:r>
      <w:r w:rsidR="009D18C2">
        <w:fldChar w:fldCharType="begin" w:fldLock="1"/>
      </w:r>
      <w:r w:rsidR="00862209">
        <w:instrText>ADDIN CSL_CITATION {"citationItems":[{"id":"ITEM-1","itemData":{"DOI":"10.1101/2021.02.10.21251256","abstract":"Objective To explore social and spatial inequalities in uptake and case-detection of rapid lateral flow SARS-CoV-2 antigen tests (LFTs) offered to people without symptoms of COVID-19.Design Observational study.Setting Liverpool, UK.Participants 496 784 residents.Intervention Free LFTs to all people living and working in Liverpool (6th November 2020 to 31st January 2021).Main outcome measures Residents who received a LFT, residents who had multiple LFTs, and positive test results.Results 214 525 residents (43%) received a LFT identifying 5557 individuals as positive cases of COVID-19 (1.3%) between 6th November 2020 and 31st January 2021. 89 047 residents had more than one test (18%). Uptake was highest in November when there was military assistance. High uptake was observed again in the week preceding Christmas and was sustained into a national lockdown. Overall uptake and repeat testing were lower among males (e.g. 40% uptake over the whole period), Black Asian and other Minority Ethnic groups (e.g. 27% uptake for {\\textquoteleft}Mixed{\\textquoteright} ethnicity) and in the most deprived areas (e.g. 32% uptake in most deprived areas). These population groups were also more likely to have received positive tests for COVID-19. Spatial regression models demonstrated that uptake and repeat testing were lower in areas of higher deprivation, areas located further from test sites and areas containing populations less confident in the using Internet technologies. Positive tests were spatially clustered in deprived areas.Conclusions Large-scale voluntary asymptomatic community testing saw social, ethnic, and spatial inequalities in an {\\textquoteleft}inverse care{\\textquoteright} pattern, but with an added digital exclusion factor. COVID-19 testing and support to isolate need to be more accessible to the vulnerable communities most impacted by the pandemic, including non-digital means of access.What is already known on this topicTesting asymptomatic individuals with rapid lateral flow SARS-CoV-2 antigen devices detects the most infectious individuals who otherwise would have been unaware they were likely to infect others.Liverpool (UK) conducted the world{\\textquoteright}s first whole population, open-access, voluntary asymptomatic testing programme for COVID-19 management.The impacts of such testing on inequalities are unknown.What this study addsTesting uptake was lower, and test positivity was higher, among deprived populations, Black Asian and other Minorit…","author":[{"dropping-particle":"","family":"Green","given":"Mark A","non-dropping-particle":"","parse-names":false,"suffix":""},{"dropping-particle":"","family":"Garcia-Fiñana","given":"Marta","non-dropping-particle":"","parse-names":false,"suffix":""},{"dropping-particle":"","family":"Barr","given":"Ben","non-dropping-particle":"","parse-names":false,"suffix":""},{"dropping-particle":"","family":"Burnside","given":"Girvan","non-dropping-particle":"","parse-names":false,"suffix":""},{"dropping-particle":"","family":"Cheyne","given":"Christopher P","non-dropping-particle":"","parse-names":false,"suffix":""},{"dropping-particle":"","family":"Hughes","given":"David","non-dropping-particle":"","parse-names":false,"suffix":""},{"dropping-particle":"","family":"Ashton","given":"Matthew","non-dropping-particle":"","parse-names":false,"suffix":""},{"dropping-particle":"","family":"Sheard","given":"Sally","non-dropping-particle":"","parse-names":false,"suffix":""},{"dropping-particle":"","family":"Buchan","given":"Iain E","non-dropping-particle":"","parse-names":false,"suffix":""}],"container-title":"Lancet Regional Health - Europe","id":"ITEM-1","issued":{"date-parts":[["2021"]]},"page":"100107","title":"Evaluating social and spatial inequalities of large scale rapid lateral flow SARS-CoV-2 antigen testing in COVID-19 management: An observational study of Liverpool, UK (November 2020 to January 2021)","type":"article-journal","volume":"6"},"uris":["http://www.mendeley.com/documents/?uuid=50aa7cab-c4bf-45fc-9f40-3c1b5c4095d0"]}],"mendeley":{"formattedCitation":"(20)","plainTextFormattedCitation":"(20)","previouslyFormattedCitation":"(20)"},"properties":{"noteIndex":0},"schema":"https://github.com/citation-style-language/schema/raw/master/csl-citation.json"}</w:instrText>
      </w:r>
      <w:r w:rsidR="009D18C2">
        <w:fldChar w:fldCharType="separate"/>
      </w:r>
      <w:r w:rsidR="00422686" w:rsidRPr="00422686">
        <w:rPr>
          <w:noProof/>
        </w:rPr>
        <w:t>(20)</w:t>
      </w:r>
      <w:r w:rsidR="009D18C2">
        <w:fldChar w:fldCharType="end"/>
      </w:r>
      <w:r w:rsidR="009D18C2">
        <w:t xml:space="preserve">. Support for lost earnings if individuals have to self-isolate will be key, especially as some of the work sectors identified here with higher prevalence (e.g., retail or hospitality) are characterised by low wages </w:t>
      </w:r>
      <w:r w:rsidR="009D18C2">
        <w:fldChar w:fldCharType="begin" w:fldLock="1"/>
      </w:r>
      <w:r w:rsidR="00055DCB">
        <w:instrText>ADDIN CSL_CITATION {"citationItems":[{"id":"ITEM-1","itemData":{"author":[{"dropping-particle":"","family":"Paremoer","given":"L","non-dropping-particle":"","parse-names":false,"suffix":""},{"dropping-particle":"","family":"Nandi","given":"S","non-dropping-particle":"","parse-names":false,"suffix":""},{"dropping-particle":"","family":"Serag","given":"H","non-dropping-particle":"","parse-names":false,"suffix":""},{"dropping-particle":"","family":"Baum","given":"F","non-dropping-particle":"","parse-names":false,"suffix":""}],"container-title":"BMJ","id":"ITEM-1","issued":{"date-parts":[["2021"]]},"page":"n129","title":"Covid-19 pandemic and the social determinants of health","type":"article-journal","volume":"372"},"uris":["http://www.mendeley.com/documents/?uuid=fce79ed7-e86b-4433-882b-8fc000633824","http://www.mendeley.com/documents/?uuid=2af9a4c0-b9c0-4ea9-8d7b-c38aa9a91a84"]}],"mendeley":{"formattedCitation":"(16)","plainTextFormattedCitation":"(16)","previouslyFormattedCitation":"(16)"},"properties":{"noteIndex":0},"schema":"https://github.com/citation-style-language/schema/raw/master/csl-citation.json"}</w:instrText>
      </w:r>
      <w:r w:rsidR="009D18C2">
        <w:fldChar w:fldCharType="separate"/>
      </w:r>
      <w:r w:rsidR="00422686" w:rsidRPr="00422686">
        <w:rPr>
          <w:noProof/>
        </w:rPr>
        <w:t>(16)</w:t>
      </w:r>
      <w:r w:rsidR="009D18C2">
        <w:fldChar w:fldCharType="end"/>
      </w:r>
      <w:r w:rsidR="009D18C2">
        <w:t xml:space="preserve">. </w:t>
      </w:r>
      <w:r w:rsidR="000673E6">
        <w:t xml:space="preserve">The UK Government should also consider targeting particular work sectors considered at ‘higher risk’ of infections and introducing interventions in those areas when required. </w:t>
      </w:r>
      <w:r w:rsidR="00B203C3">
        <w:t>However, our findings of high prevalence of COVID-19 for furloughed and student populations demonstrates the need for broader strategies than just occupation-related interventions to help manage COVID-19</w:t>
      </w:r>
      <w:r w:rsidR="009D18C2">
        <w:t xml:space="preserve"> and tackle the drivers of health inequalities</w:t>
      </w:r>
      <w:r w:rsidR="00B203C3">
        <w:t>.</w:t>
      </w:r>
    </w:p>
    <w:bookmarkEnd w:id="6"/>
    <w:p w14:paraId="090F3C47" w14:textId="5235AB79" w:rsidR="009A5052" w:rsidRDefault="004653DE" w:rsidP="000A1B54">
      <w:pPr>
        <w:spacing w:line="480" w:lineRule="auto"/>
      </w:pPr>
      <w:r>
        <w:t xml:space="preserve">Our analyses also demonstrate wide ethnic inequalities in COVID-19 prevalence. </w:t>
      </w:r>
      <w:r w:rsidR="00B5182A">
        <w:t xml:space="preserve">Likelihood of having had a positive </w:t>
      </w:r>
      <w:r w:rsidR="00E75493">
        <w:t xml:space="preserve">COVID-19 </w:t>
      </w:r>
      <w:r w:rsidR="00B5182A">
        <w:t xml:space="preserve">test was higher among Pakistani, Black African, </w:t>
      </w:r>
      <w:r w:rsidR="005837B9">
        <w:t xml:space="preserve">and </w:t>
      </w:r>
      <w:r w:rsidR="00B5182A">
        <w:t xml:space="preserve">Indian groups than compared the majority White British population. Our results follow evidence from other studies and other outcomes relating to COVID-19 </w:t>
      </w:r>
      <w:r w:rsidR="00B5182A">
        <w:fldChar w:fldCharType="begin" w:fldLock="1"/>
      </w:r>
      <w:r w:rsidR="00862209">
        <w:instrText>ADDIN CSL_CITATION {"citationItems":[{"id":"ITEM-1","itemData":{"URL":"https://www.gov.uk/government/publications/second-quarterly-report-on-progress-to-address-covid-19-health-inequalities","author":[{"dropping-particle":"","family":"HM Government","given":"","non-dropping-particle":"","parse-names":false,"suffix":""}],"id":"ITEM-1","issued":{"date-parts":[["2021"]]},"title":"Second quarterly report on progress to address COVID-19 health inequalities","type":"webpage"},"uris":["http://www.mendeley.com/documents/?uuid=3df5855a-19ea-4e5c-8510-e457ede6e32b","http://www.mendeley.com/documents/?uuid=c7794d96-6544-41f0-b70b-ae4d1fa6f78b"]},{"id":"ITEM-2","itemData":{"URL":"https://assets.publishing.service.gov.uk/government/uploads/system/uploads/attachment_data/file/908434/Disparities_in_the_risk_and_outcomes_of_COVID_August_2020_update.pdf","author":[{"dropping-particle":"","family":"Public Health England","given":"","non-dropping-particle":"","parse-names":false,"suffix":""}],"id":"ITEM-2","issued":{"date-parts":[["2020"]]},"title":"Disparities in the risk and outcomes of COVID-19","type":"webpage"},"uris":["http://www.mendeley.com/documents/?uuid=e2fab306-a9dc-4f9f-9268-c1a36ffb67c0","http://www.mendeley.com/documents/?uuid=8d5900ab-1bf2-484a-8f3f-811bcd3ee4a6","http://www.mendeley.com/documents/?uuid=81cf89ca-d2fd-4a57-8048-adad69227f5e"]},{"id":"ITEM-3","itemData":{"author":[{"dropping-particle":"","family":"Harrison","given":"Ewen M","non-dropping-particle":"","parse-names":false,"suffix":""},{"dropping-particle":"","family":"Docherty","given":"Annemarie B","non-dropping-particle":"","parse-names":false,"suffix":""},{"dropping-particle":"","family":"Barr","given":"Benjamin","non-dropping-particle":"","parse-names":false,"suffix":""},{"dropping-particle":"","family":"Buchan","given":"Iain","non-dropping-particle":"","parse-names":false,"suffix":""},{"dropping-particle":"","family":"Carson","given":"Gail","non-dropping-particle":"","parse-names":false,"suffix":""},{"dropping-particle":"","family":"Drake","given":"Tom M","non-dropping-particle":"","parse-names":false,"suffix":""},{"dropping-particle":"","family":"Dunning","given":"Jake","non-dropping-particle":"","parse-names":false,"suffix":""},{"dropping-particle":"","family":"Fairfield","given":"Cameron J","non-dropping-particle":"","parse-names":false,"suffix":""},{"dropping-particle":"","family":"Gamble","given":"Carrol","non-dropping-particle":"","parse-names":false,"suffix":""},{"dropping-particle":"","family":"Green","given":"Christopher A","non-dropping-particle":"","parse-names":false,"suffix":""},{"dropping-particle":"","family":"Griffiths","given":"Chris","non-dropping-particle":"","parse-names":false,"suffix":""},{"dropping-particle":"","family":"Halpin","given":"Sophie","non-dropping-particle":"","parse-names":false,"suffix":""},{"dropping-particle":"","family":"Hardwick","given":"Hayley E","non-dropping-particle":"","parse-names":false,"suffix":""},{"dropping-particle":"","family":"Ho","given":"Antonia","non-dropping-particle":"","parse-names":false,"suffix":""},{"dropping-particle":"","family":"Holden","given":"Karl A","non-dropping-particle":"","parse-names":false,"suffix":""},{"dropping-particle":"","family":"Hollinghurst","given":"Joe","non-dropping-particle":"","parse-names":false,"suffix":""},{"dropping-particle":"","family":"Horby","given":"Peter W","non-dropping-particle":"","parse-names":false,"suffix":""},{"dropping-particle":"","family":"Jackson","given":"Clare","non-dropping-particle":"","parse-names":false,"suffix":""},{"dropping-particle":"","family":"Katikireddi","given":"Srinivasa Vittal","non-dropping-particle":"","parse-names":false,"suffix":""},{"dropping-particle":"","family":"Knight","given":"Stephen","non-dropping-particle":"","parse-names":false,"suffix":""},{"dropping-particle":"","family":"Lyons","given":"Ronan A","non-dropping-particle":"","parse-names":false,"suffix":""},{"dropping-particle":"","family":"MacMahon","given":"James","non-dropping-particle":"","parse-names":false,"suffix":""},{"dropping-particle":"","family":"Mclean","given":"Kenneth A","non-dropping-particle":"","parse-names":false,"suffix":""},{"dropping-particle":"","family":"Merson","given":"Laura","non-dropping-particle":"","parse-names":false,"suffix":""},{"dropping-particle":"","family":"Murphy","given":"Derek","non-dropping-particle":"","parse-names":false,"suffix":""},{"dropping-particle":"","family":"Nguyen-Van-Tam","given":"Jonathan S","non-dropping-particle":"","parse-names":false,"suffix":""},{"dropping-particle":"","family":"Norman","given":"Lisa","non-dropping-particle":"","parse-names":false,"suffix":""},{"dropping-particle":"","family":"Olliaro","given":"Piero L","non-dropping-particle":"","parse-names":false,"suffix":""},{"dropping-particle":"","family":"Pareek","given":"Manish","non-dropping-particle":"","parse-names":false,"suffix":""},{"dropping-particle":"","family":"Piroddi","given":"Roberta","non-dropping-particle":"","parse-names":false,"suffix":""},{"dropping-particle":"","family":"Pius","given":"Riinu","non-dropping-particle":"","parse-names":false,"suffix":""},{"dropping-particle":"","family":"Read","given":"Jonathan M","non-dropping-particle":"","parse-names":false,"suffix":""},{"dropping-particle":"","family":"Russell","given":"Clark D","non-dropping-particle":"","parse-names":false,"suffix":""},{"dropping-particle":"","family":"Sattar","given":"Naveed","non-dropping-particle":"","parse-names":false,"suffix":""},{"dropping-particle":"","family":"Shaw","given":"Catherine A","non-dropping-particle":"","parse-names":false,"suffix":""},{"dropping-particle":"","family":"Sheikh","given":"Aziz","non-dropping-particle":"","parse-names":false,"suffix":""},{"dropping-particle":"","family":"Sinha","given":"Ian P","non-dropping-particle":"","parse-names":false,"suffix":""},{"dropping-particle":"","family":"Swann","given":"Olivia","non-dropping-particle":"","parse-names":false,"suffix":""},{"dropping-particle":"","family":"Taylor-Robinson","given":"David","non-dropping-particle":"","parse-names":false,"suffix":""},{"dropping-particle":"","family":"Thomas","given":"Daniel","non-dropping-particle":"","parse-names":false,"suffix":""},{"dropping-particle":"","family":"Turtle","given":"Lance","non-dropping-particle":"","parse-names":false,"suffix":""},{"dropping-particle":"","family":"Openshaw","given":"Peter JM","non-dropping-particle":"","parse-names":false,"suffix":""},{"dropping-particle":"","family":"Baillie","given":"J. Kenneth","non-dropping-particle":"","parse-names":false,"suffix":""},{"dropping-particle":"","family":"Semple","given":"Malcolm G","non-dropping-particle":"","parse-names":false,"suffix":""},{"dropping-particle":"","family":"ISARIC4C Investigators","given":"","non-dropping-particle":"","parse-names":false,"suffix":""}],"container-title":"SSRN","id":"ITEM-3","issued":{"date-parts":[["2021"]]},"title":"Ethnicity and Outcomes from COVID-19: The ISARIC CCP-UK Prospective Observational Cohort Study of Hospitalised Patients","type":"article-journal"},"uris":["http://www.mendeley.com/documents/?uuid=ecab95a7-4bda-4484-ba86-7b6980af0ab0","http://www.mendeley.com/documents/?uuid=266e1b13-4198-4aaf-b53f-b1b0ecfe8968","http://www.mendeley.com/documents/?uuid=ebc33f36-bcde-4255-b919-95f62c94d2b9"]}],"mendeley":{"formattedCitation":"(1,2,6)","plainTextFormattedCitation":"(1,2,6)","previouslyFormattedCitation":"(1,2,6)"},"properties":{"noteIndex":0},"schema":"https://github.com/citation-style-language/schema/raw/master/csl-citation.json"}</w:instrText>
      </w:r>
      <w:r w:rsidR="00B5182A">
        <w:fldChar w:fldCharType="separate"/>
      </w:r>
      <w:r w:rsidR="000A1B54" w:rsidRPr="000A1B54">
        <w:rPr>
          <w:noProof/>
        </w:rPr>
        <w:t>(1,2,6)</w:t>
      </w:r>
      <w:r w:rsidR="00B5182A">
        <w:fldChar w:fldCharType="end"/>
      </w:r>
      <w:r w:rsidR="00B5182A">
        <w:t xml:space="preserve">. </w:t>
      </w:r>
      <w:r>
        <w:t xml:space="preserve">Ethnicity intersects with occupation, with the social sorting of disadvantaged and </w:t>
      </w:r>
      <w:proofErr w:type="spellStart"/>
      <w:r w:rsidR="00820CD6">
        <w:t>minoritised</w:t>
      </w:r>
      <w:proofErr w:type="spellEnd"/>
      <w:r w:rsidR="00820CD6">
        <w:t xml:space="preserve"> </w:t>
      </w:r>
      <w:r>
        <w:t xml:space="preserve">ethnic groups into employment roles that have greater exposure to COVID-19 </w:t>
      </w:r>
      <w:r w:rsidR="00B5182A">
        <w:t>risk</w:t>
      </w:r>
      <w:r w:rsidR="003D04AA">
        <w:t>s</w:t>
      </w:r>
      <w:r w:rsidR="00B5182A">
        <w:t xml:space="preserve"> </w:t>
      </w:r>
      <w:r>
        <w:fldChar w:fldCharType="begin" w:fldLock="1"/>
      </w:r>
      <w:r w:rsidR="00862209">
        <w:instrText>ADDIN CSL_CITATION {"citationItems":[{"id":"ITEM-1","itemData":{"DOI":"https://doi.org/10.1111/1475-5890.12228","abstract":"Abstract The economic and public health crisis created by the COVID-19 pandemic has exposed existing inequalities between ethnic groups in England and Wales, as well as creating new ones. We draw on current mortality and case data, alongside pre-crisis labour force data, to investigate the relative vulnerability of different ethnic groups to adverse health and economic impacts. After accounting for differences in population structure and regional concentration, we show that most minority groups suffered excess mortality compared with the white British majority group. Differences in underlying health conditions such as diabetes may play a role; so too may occupational exposure to the virus, given the very different labour market profiles of ethnic groups. Distinctive patterns of occupational concentration also highlight the vulnerability of some groups to the economic consequences of social distancing measures, with Bangladeshi and Pakistani men particularly likely to be employed in occupations directly affected by the UK's ‘lockdown’. We show that differences in household structures and inequalities in access to savings mean that a number of minority groups are also less able to weather short-term shocks to their income. Documenting these immediate consequences of the crisis reveals the potential for inequalities to become entrenched in the longer term.","author":[{"dropping-particle":"","family":"Platt","given":"Lucinda","non-dropping-particle":"","parse-names":false,"suffix":""},{"dropping-particle":"","family":"Warwick","given":"Ross","non-dropping-particle":"","parse-names":false,"suffix":""}],"container-title":"Fiscal Studies","id":"ITEM-1","issue":"2","issued":{"date-parts":[["2020"]]},"page":"259-289","title":"COVID-19 and Ethnic Inequalities in England and Wales","type":"article-journal","volume":"41"},"uris":["http://www.mendeley.com/documents/?uuid=9bd1e7ac-5eb3-4784-aa61-a705ea0bd8fe","http://www.mendeley.com/documents/?uuid=701bfcbf-082f-4c65-a866-ecd147072856"]},{"id":"ITEM-2","itemData":{"author":[{"dropping-particle":"","family":"Paremoer","given":"L","non-dropping-particle":"","parse-names":false,"suffix":""},{"dropping-particle":"","family":"Nandi","given":"S","non-dropping-particle":"","parse-names":false,"suffix":""},{"dropping-particle":"","family":"Serag","given":"H","non-dropping-particle":"","parse-names":false,"suffix":""},{"dropping-particle":"","family":"Baum","given":"F","non-dropping-particle":"","parse-names":false,"suffix":""}],"container-title":"BMJ","id":"ITEM-2","issued":{"date-parts":[["2021"]]},"page":"n129","title":"Covid-19 pandemic and the social determinants of health","type":"article-journal","volume":"372"},"uris":["http://www.mendeley.com/documents/?uuid=fce79ed7-e86b-4433-882b-8fc000633824","http://www.mendeley.com/documents/?uuid=2af9a4c0-b9c0-4ea9-8d7b-c38aa9a91a84","http://www.mendeley.com/documents/?uuid=6dd19543-6469-4e8d-8d08-92429ce30f47"]}],"mendeley":{"formattedCitation":"(3,16)","plainTextFormattedCitation":"(3,16)","previouslyFormattedCitation":"(3,16)"},"properties":{"noteIndex":0},"schema":"https://github.com/citation-style-language/schema/raw/master/csl-citation.json"}</w:instrText>
      </w:r>
      <w:r>
        <w:fldChar w:fldCharType="separate"/>
      </w:r>
      <w:r w:rsidR="00422686" w:rsidRPr="00422686">
        <w:rPr>
          <w:noProof/>
        </w:rPr>
        <w:t>(3,16)</w:t>
      </w:r>
      <w:r>
        <w:fldChar w:fldCharType="end"/>
      </w:r>
      <w:r>
        <w:t>.</w:t>
      </w:r>
      <w:r w:rsidR="00B5182A">
        <w:t xml:space="preserve"> </w:t>
      </w:r>
      <w:r w:rsidR="00820CD6">
        <w:t xml:space="preserve">For example, minoritized ethnic groups were less likely to have been furloughed since they were more likely to be found in essential occupations </w:t>
      </w:r>
      <w:r w:rsidR="00820CD6">
        <w:fldChar w:fldCharType="begin" w:fldLock="1"/>
      </w:r>
      <w:r w:rsidR="00941D31">
        <w:instrText>ADDIN CSL_CITATION {"citationItems":[{"id":"ITEM-1","itemData":{"author":[{"dropping-particle":"","family":"Witteveen","given":"Dirk","non-dropping-particle":"","parse-names":false,"suffix":""}],"container-title":"Research in Social Stratification and Mobility","id":"ITEM-1","issued":{"date-parts":[["2020"]]},"page":"100551","title":"Sociodemographic inequality in exposure to COVID-19-induced economic hardship in the United Kingdom","type":"article-journal","volume":"69"},"uris":["http://www.mendeley.com/documents/?uuid=cb6e00a8-ff5e-4bb5-8089-37327ff9719d"]}],"mendeley":{"formattedCitation":"(15)","plainTextFormattedCitation":"(15)","previouslyFormattedCitation":"(15)"},"properties":{"noteIndex":0},"schema":"https://github.com/citation-style-language/schema/raw/master/csl-citation.json"}</w:instrText>
      </w:r>
      <w:r w:rsidR="00820CD6">
        <w:fldChar w:fldCharType="separate"/>
      </w:r>
      <w:r w:rsidR="00820CD6" w:rsidRPr="00820CD6">
        <w:rPr>
          <w:noProof/>
        </w:rPr>
        <w:t>(15)</w:t>
      </w:r>
      <w:r w:rsidR="00820CD6">
        <w:fldChar w:fldCharType="end"/>
      </w:r>
      <w:r w:rsidR="00820CD6">
        <w:t xml:space="preserve">. </w:t>
      </w:r>
      <w:r w:rsidR="00E75493">
        <w:t xml:space="preserve">Future </w:t>
      </w:r>
      <w:r w:rsidR="00E75493">
        <w:lastRenderedPageBreak/>
        <w:t>research should explore the intersecting pathways between occupation and ethnicity to improve our understanding of why these inequalities exist</w:t>
      </w:r>
      <w:r w:rsidR="003D04AA">
        <w:t xml:space="preserve"> and which pathways we can tackle</w:t>
      </w:r>
      <w:r w:rsidR="00E75493">
        <w:t xml:space="preserve">. </w:t>
      </w:r>
    </w:p>
    <w:p w14:paraId="28881C9A" w14:textId="66208082" w:rsidR="00E94B4B" w:rsidRDefault="00B5182A" w:rsidP="000A1B54">
      <w:pPr>
        <w:spacing w:line="480" w:lineRule="auto"/>
      </w:pPr>
      <w:r>
        <w:t>There are several l</w:t>
      </w:r>
      <w:r w:rsidR="00E94B4B">
        <w:t>imitations</w:t>
      </w:r>
      <w:r>
        <w:t xml:space="preserve"> to our study. </w:t>
      </w:r>
      <w:r w:rsidR="00EF3069">
        <w:t>Not all participants had the same number of responses in the dataset (mean data points per individual of 6, standard deviation 2.2). While multi-level modelling is flexible and accommodates for this imbalance, we cannot rule out that it does not contribute bias to our data</w:t>
      </w:r>
      <w:r w:rsidR="0063783F">
        <w:t xml:space="preserve"> (e.g., if the number of responses was socially patterned)</w:t>
      </w:r>
      <w:r w:rsidR="00EF3069">
        <w:t xml:space="preserve">. </w:t>
      </w:r>
      <w:r>
        <w:t xml:space="preserve">We do not account for all possible explanatory factors (e.g., </w:t>
      </w:r>
      <w:r w:rsidR="00E94B4B">
        <w:t>deprivation</w:t>
      </w:r>
      <w:r>
        <w:t>, social distancing behaviours) that may explain occupational inequalities</w:t>
      </w:r>
      <w:r w:rsidR="00E75493">
        <w:t xml:space="preserve"> due to a lack of suitable data</w:t>
      </w:r>
      <w:r w:rsidR="0084138D">
        <w:t xml:space="preserve"> </w:t>
      </w:r>
      <w:r w:rsidR="00222807">
        <w:t>available for our analysis</w:t>
      </w:r>
      <w:r w:rsidR="00E75493">
        <w:t xml:space="preserve">. </w:t>
      </w:r>
      <w:r w:rsidR="001131FC">
        <w:t xml:space="preserve">Use of formal model building approaches (e.g., Directed Acyclic Graphs) or co-producing decisions with stakeholders could have improved this process. </w:t>
      </w:r>
      <w:r w:rsidR="00960DC1">
        <w:t>Through focusing on work sector, rather than specific occupation</w:t>
      </w:r>
      <w:r w:rsidR="00222807">
        <w:t xml:space="preserve"> or role</w:t>
      </w:r>
      <w:r w:rsidR="00960DC1">
        <w:t xml:space="preserve">, we </w:t>
      </w:r>
      <w:r w:rsidR="0084138D">
        <w:t>may be</w:t>
      </w:r>
      <w:r w:rsidR="00960DC1">
        <w:t xml:space="preserve"> limited </w:t>
      </w:r>
      <w:r w:rsidR="0084138D">
        <w:t>how generalisable our findings are</w:t>
      </w:r>
      <w:r w:rsidR="00960DC1">
        <w:t xml:space="preserve">. For example, teaching and education would include both primary and secondary teachers </w:t>
      </w:r>
      <w:r w:rsidR="0084138D">
        <w:t>who were expected to teach classes face-to-face and therefore have different exposures to University lecturers who could far easier adapt to work from home.</w:t>
      </w:r>
      <w:r w:rsidR="00960DC1">
        <w:t xml:space="preserve"> </w:t>
      </w:r>
      <w:r w:rsidR="0084138D">
        <w:t>The lack of specific occupation categories may therefore under-estimate the specific risks and inequalities faced across England. Finally, o</w:t>
      </w:r>
      <w:r w:rsidR="00E75493">
        <w:t>ur analyses are association-based and do not</w:t>
      </w:r>
      <w:r w:rsidR="00E94B4B">
        <w:t xml:space="preserve"> explor</w:t>
      </w:r>
      <w:r w:rsidR="00E75493">
        <w:t>e potential</w:t>
      </w:r>
      <w:r w:rsidR="00E94B4B">
        <w:t xml:space="preserve"> causal pathways</w:t>
      </w:r>
      <w:r w:rsidR="00E75493">
        <w:t xml:space="preserve"> </w:t>
      </w:r>
      <w:r w:rsidR="0084138D">
        <w:t xml:space="preserve">or mechanisms </w:t>
      </w:r>
      <w:r w:rsidR="00E75493">
        <w:t xml:space="preserve">through how and why occupation influences </w:t>
      </w:r>
      <w:r w:rsidR="00FE420B">
        <w:t xml:space="preserve">COVID-19 risk. </w:t>
      </w:r>
      <w:r w:rsidR="0084138D">
        <w:t>Future research should extend our analyses to consider the specific mechanisms that may explain, mediate or moderate risk.</w:t>
      </w:r>
    </w:p>
    <w:p w14:paraId="08BE0B40" w14:textId="77777777" w:rsidR="00E75493" w:rsidRDefault="00E75493" w:rsidP="000A1B54">
      <w:pPr>
        <w:spacing w:line="480" w:lineRule="auto"/>
      </w:pPr>
    </w:p>
    <w:p w14:paraId="7DC25EC7" w14:textId="4165474B" w:rsidR="00E75493" w:rsidRPr="00055DCB" w:rsidRDefault="00E75493" w:rsidP="000A1B54">
      <w:pPr>
        <w:spacing w:line="480" w:lineRule="auto"/>
        <w:rPr>
          <w:sz w:val="36"/>
          <w:szCs w:val="36"/>
        </w:rPr>
      </w:pPr>
      <w:r w:rsidRPr="00055DCB">
        <w:rPr>
          <w:b/>
          <w:sz w:val="36"/>
          <w:szCs w:val="36"/>
        </w:rPr>
        <w:t>Conclusion</w:t>
      </w:r>
      <w:r w:rsidR="00373741" w:rsidRPr="00055DCB">
        <w:rPr>
          <w:b/>
          <w:sz w:val="36"/>
          <w:szCs w:val="36"/>
        </w:rPr>
        <w:t>s</w:t>
      </w:r>
    </w:p>
    <w:p w14:paraId="24BAF1E7" w14:textId="593C2435" w:rsidR="00E75493" w:rsidRDefault="004F43FD" w:rsidP="000A1B54">
      <w:pPr>
        <w:spacing w:line="480" w:lineRule="auto"/>
      </w:pPr>
      <w:r>
        <w:t>Our study, using novel large</w:t>
      </w:r>
      <w:r w:rsidR="003D04AA">
        <w:t>-</w:t>
      </w:r>
      <w:r w:rsidR="005D4F55">
        <w:t xml:space="preserve">scale </w:t>
      </w:r>
      <w:r>
        <w:t>longitudinal data, demonstrates the importance of the s</w:t>
      </w:r>
      <w:r w:rsidR="009D18C2">
        <w:t xml:space="preserve">ocial determinants of health </w:t>
      </w:r>
      <w:r>
        <w:t>through work and occupation</w:t>
      </w:r>
      <w:r w:rsidR="005D4F55">
        <w:t xml:space="preserve"> in understanding </w:t>
      </w:r>
      <w:r w:rsidR="00FB2DE1">
        <w:t xml:space="preserve">the unequal burden </w:t>
      </w:r>
      <w:r w:rsidR="005D4F55">
        <w:t>in COVID-19 prevalence</w:t>
      </w:r>
      <w:r>
        <w:t xml:space="preserve">. </w:t>
      </w:r>
      <w:r w:rsidR="005D4F55">
        <w:t xml:space="preserve">We find complex and diverse pathways through which SARS-CoV-2 transmission may occur across numerous work sectors which can exacerbate, reinforce and create </w:t>
      </w:r>
      <w:r w:rsidR="005D4F55">
        <w:lastRenderedPageBreak/>
        <w:t xml:space="preserve">new health inequalities. Population groups employed in sectors with greater social contacts, less able to work from home or having front facing roles have greater likelihood of COVID-19. Additionally, groups that have experienced social and economic harms through furlough appear to have experienced a double jeopardy in greater likelihood of COVID-19. </w:t>
      </w:r>
      <w:r w:rsidR="007171D8">
        <w:t>Evaluating whether these occupational-based inequalities have remained consistent or changed following the roll-out of vaccines, reorganisation of society ‘back to normal’, and continuing exposure to new variants</w:t>
      </w:r>
      <w:r w:rsidR="00F9269B">
        <w:t>/reinfections</w:t>
      </w:r>
      <w:r w:rsidR="007171D8">
        <w:t xml:space="preserve"> will be key for </w:t>
      </w:r>
      <w:r w:rsidR="00F9269B">
        <w:t>identifying how different occupational groups have experienced COVID-19.</w:t>
      </w:r>
    </w:p>
    <w:p w14:paraId="32DEFD44" w14:textId="77777777" w:rsidR="00E33683" w:rsidRDefault="00E33683" w:rsidP="000A1B54">
      <w:pPr>
        <w:spacing w:line="480" w:lineRule="auto"/>
      </w:pPr>
    </w:p>
    <w:p w14:paraId="2FA6E515" w14:textId="77777777" w:rsidR="00E33683" w:rsidRPr="00055DCB" w:rsidRDefault="00E33683" w:rsidP="000A1B54">
      <w:pPr>
        <w:spacing w:line="480" w:lineRule="auto"/>
        <w:rPr>
          <w:b/>
          <w:sz w:val="36"/>
          <w:szCs w:val="36"/>
        </w:rPr>
      </w:pPr>
      <w:r w:rsidRPr="00055DCB">
        <w:rPr>
          <w:b/>
          <w:sz w:val="36"/>
          <w:szCs w:val="36"/>
        </w:rPr>
        <w:t>Acknowledgements</w:t>
      </w:r>
    </w:p>
    <w:p w14:paraId="30AF2621" w14:textId="584A5F86" w:rsidR="00E33683" w:rsidRDefault="00E33683" w:rsidP="000A1B54">
      <w:pPr>
        <w:spacing w:after="0" w:line="480" w:lineRule="auto"/>
        <w:rPr>
          <w:color w:val="000000" w:themeColor="text1"/>
        </w:rPr>
      </w:pPr>
      <w:r w:rsidRPr="00940522">
        <w:rPr>
          <w:color w:val="000000" w:themeColor="text1"/>
        </w:rPr>
        <w:t>This work was produced using statistical data from ONS. The use of the ONS statistical data in this work does not imply the endorsement of the ONS in relation to the interpretation or analysis of the statistical data. This work uses research datasets which may not exactly reproduce National Statistics aggregates.</w:t>
      </w:r>
      <w:r w:rsidR="00E32E53">
        <w:rPr>
          <w:color w:val="000000" w:themeColor="text1"/>
        </w:rPr>
        <w:t xml:space="preserve"> </w:t>
      </w:r>
      <w:r w:rsidR="00E32E53" w:rsidRPr="00E32E53">
        <w:rPr>
          <w:color w:val="000000" w:themeColor="text1"/>
        </w:rPr>
        <w:t>We would also like to thank Francisco Rowe for their advice on our multi-level modelling methods.</w:t>
      </w:r>
    </w:p>
    <w:p w14:paraId="7C9BFD81" w14:textId="075926B1" w:rsidR="00373741" w:rsidRDefault="00373741" w:rsidP="000A1B54">
      <w:pPr>
        <w:spacing w:after="0" w:line="480" w:lineRule="auto"/>
        <w:rPr>
          <w:color w:val="000000" w:themeColor="text1"/>
        </w:rPr>
      </w:pPr>
    </w:p>
    <w:p w14:paraId="022E0C47" w14:textId="3C0F297D" w:rsidR="00373741" w:rsidRPr="00055DCB" w:rsidRDefault="00373741" w:rsidP="000A1B54">
      <w:pPr>
        <w:spacing w:after="0" w:line="480" w:lineRule="auto"/>
        <w:rPr>
          <w:b/>
          <w:color w:val="000000" w:themeColor="text1"/>
          <w:sz w:val="36"/>
          <w:szCs w:val="36"/>
        </w:rPr>
      </w:pPr>
      <w:r w:rsidRPr="00055DCB">
        <w:rPr>
          <w:b/>
          <w:color w:val="000000" w:themeColor="text1"/>
          <w:sz w:val="36"/>
          <w:szCs w:val="36"/>
        </w:rPr>
        <w:t>Author contributions</w:t>
      </w:r>
    </w:p>
    <w:p w14:paraId="4A568F1D" w14:textId="5CD41574" w:rsidR="00E94B4B" w:rsidRDefault="00373741" w:rsidP="000A1B54">
      <w:pPr>
        <w:spacing w:line="480" w:lineRule="auto"/>
        <w:rPr>
          <w:color w:val="000000" w:themeColor="text1"/>
        </w:rPr>
      </w:pPr>
      <w:r>
        <w:rPr>
          <w:color w:val="000000" w:themeColor="text1"/>
        </w:rPr>
        <w:t xml:space="preserve">MG and MS conceived study idea. MG cleaned the data, and undertook preliminary analyses. MG and MS discussed the interpretation of results, with MG refining analyses following the discussion. MG wrote the initial draft and MS helped </w:t>
      </w:r>
      <w:r w:rsidR="00E81C81">
        <w:rPr>
          <w:color w:val="000000" w:themeColor="text1"/>
        </w:rPr>
        <w:t>revise the paper.</w:t>
      </w:r>
    </w:p>
    <w:p w14:paraId="4F47E61F" w14:textId="2A557CEC" w:rsidR="00E8513C" w:rsidRDefault="00E8513C" w:rsidP="000A1B54">
      <w:pPr>
        <w:spacing w:line="480" w:lineRule="auto"/>
      </w:pPr>
    </w:p>
    <w:p w14:paraId="2CA6424D" w14:textId="68B800DD" w:rsidR="001637B2" w:rsidRPr="001637B2" w:rsidRDefault="001637B2" w:rsidP="000A1B54">
      <w:pPr>
        <w:spacing w:line="480" w:lineRule="auto"/>
        <w:rPr>
          <w:b/>
          <w:sz w:val="36"/>
          <w:szCs w:val="36"/>
        </w:rPr>
      </w:pPr>
      <w:r w:rsidRPr="001637B2">
        <w:rPr>
          <w:b/>
          <w:sz w:val="36"/>
          <w:szCs w:val="36"/>
        </w:rPr>
        <w:t>Competing Interests</w:t>
      </w:r>
    </w:p>
    <w:p w14:paraId="76060B61" w14:textId="1C4D4C82" w:rsidR="001637B2" w:rsidRDefault="001637B2" w:rsidP="000A1B54">
      <w:pPr>
        <w:spacing w:line="480" w:lineRule="auto"/>
      </w:pPr>
      <w:r w:rsidRPr="001637B2">
        <w:lastRenderedPageBreak/>
        <w:t xml:space="preserve">The authors have declared that no competing interests exist. </w:t>
      </w:r>
    </w:p>
    <w:p w14:paraId="2380011D" w14:textId="77777777" w:rsidR="001637B2" w:rsidRDefault="001637B2" w:rsidP="000A1B54">
      <w:pPr>
        <w:spacing w:line="480" w:lineRule="auto"/>
      </w:pPr>
    </w:p>
    <w:p w14:paraId="75BD1E2E" w14:textId="77777777" w:rsidR="00C73C41" w:rsidRPr="00055DCB" w:rsidRDefault="00C73C41" w:rsidP="000A1B54">
      <w:pPr>
        <w:spacing w:line="480" w:lineRule="auto"/>
        <w:rPr>
          <w:b/>
          <w:sz w:val="36"/>
          <w:szCs w:val="36"/>
        </w:rPr>
      </w:pPr>
      <w:r w:rsidRPr="00055DCB">
        <w:rPr>
          <w:b/>
          <w:sz w:val="36"/>
          <w:szCs w:val="36"/>
        </w:rPr>
        <w:t>References</w:t>
      </w:r>
    </w:p>
    <w:p w14:paraId="54C1BF27" w14:textId="60AF2A36" w:rsidR="00941D31" w:rsidRPr="00941D31" w:rsidRDefault="00C73C41" w:rsidP="00941D31">
      <w:pPr>
        <w:widowControl w:val="0"/>
        <w:autoSpaceDE w:val="0"/>
        <w:autoSpaceDN w:val="0"/>
        <w:adjustRightInd w:val="0"/>
        <w:spacing w:line="480" w:lineRule="auto"/>
        <w:ind w:left="640" w:hanging="640"/>
        <w:rPr>
          <w:rFonts w:ascii="Calibri" w:hAnsi="Calibri" w:cs="Calibri"/>
          <w:noProof/>
          <w:lang w:val="en-US"/>
        </w:rPr>
      </w:pPr>
      <w:r>
        <w:fldChar w:fldCharType="begin" w:fldLock="1"/>
      </w:r>
      <w:r>
        <w:instrText xml:space="preserve">ADDIN Mendeley Bibliography CSL_BIBLIOGRAPHY </w:instrText>
      </w:r>
      <w:r>
        <w:fldChar w:fldCharType="separate"/>
      </w:r>
      <w:r w:rsidR="00941D31" w:rsidRPr="00941D31">
        <w:rPr>
          <w:rFonts w:ascii="Calibri" w:hAnsi="Calibri" w:cs="Calibri"/>
          <w:noProof/>
          <w:lang w:val="en-US"/>
        </w:rPr>
        <w:t xml:space="preserve">1. </w:t>
      </w:r>
      <w:r w:rsidR="00941D31" w:rsidRPr="00941D31">
        <w:rPr>
          <w:rFonts w:ascii="Calibri" w:hAnsi="Calibri" w:cs="Calibri"/>
          <w:noProof/>
          <w:lang w:val="en-US"/>
        </w:rPr>
        <w:tab/>
        <w:t>HM Government. Second quarterly report on progress to address COVID-19 health inequalities [Internet]. 2021. Available from: https://www.gov.uk/government/publications/second-quarterly-report-on-progress-to-address-covid-19-health-inequalities</w:t>
      </w:r>
    </w:p>
    <w:p w14:paraId="27CF110A"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 </w:t>
      </w:r>
      <w:r w:rsidRPr="00941D31">
        <w:rPr>
          <w:rFonts w:ascii="Calibri" w:hAnsi="Calibri" w:cs="Calibri"/>
          <w:noProof/>
          <w:lang w:val="en-US"/>
        </w:rPr>
        <w:tab/>
        <w:t>Public Health England. Disparities in the risk and outcomes of COVID-19 [Internet]. 2020. Available from: https://assets.publishing.service.gov.uk/government/uploads/system/uploads/attachment_data/file/908434/Disparities_in_the_risk_and_outcomes_of_COVID_August_2020_update.pdf</w:t>
      </w:r>
    </w:p>
    <w:p w14:paraId="4DCD6641"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3. </w:t>
      </w:r>
      <w:r w:rsidRPr="00941D31">
        <w:rPr>
          <w:rFonts w:ascii="Calibri" w:hAnsi="Calibri" w:cs="Calibri"/>
          <w:noProof/>
          <w:lang w:val="en-US"/>
        </w:rPr>
        <w:tab/>
        <w:t>Platt L, Warwick R. COVID-19 and Ethnic Inequalities in England and Wales. Fisc Stud [Internet]. 2020;41(2):259–89. Available from: https://onlinelibrary.wiley.com/doi/abs/10.1111/1475-5890.12228</w:t>
      </w:r>
    </w:p>
    <w:p w14:paraId="5BD8993D"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4. </w:t>
      </w:r>
      <w:r w:rsidRPr="00941D31">
        <w:rPr>
          <w:rFonts w:ascii="Calibri" w:hAnsi="Calibri" w:cs="Calibri"/>
          <w:noProof/>
          <w:lang w:val="en-US"/>
        </w:rPr>
        <w:tab/>
        <w:t>Docherty AB, Harrison EM, Green CA, Hardwick HE, Pius R, Norman L, et al. Features of 20 133 UK patients in hospital with covid-19 using the ISARIC WHO Clinical Characterisation Protocol: prospective observational cohort study. BMJ [Internet]. 2020;369. Available from: https://www.bmj.com/content/369/bmj.m1985</w:t>
      </w:r>
    </w:p>
    <w:p w14:paraId="1F7B99E5"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5. </w:t>
      </w:r>
      <w:r w:rsidRPr="00941D31">
        <w:rPr>
          <w:rFonts w:ascii="Calibri" w:hAnsi="Calibri" w:cs="Calibri"/>
          <w:noProof/>
          <w:lang w:val="en-US"/>
        </w:rPr>
        <w:tab/>
        <w:t>Whitehead M, Taylor-Robinson D, Barr B. Poverty, health, and covid-19. BMJ [Internet]. 2021;372. Available from: https://www.bmj.com/content/372/bmj.n376</w:t>
      </w:r>
    </w:p>
    <w:p w14:paraId="63CBACC6"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6. </w:t>
      </w:r>
      <w:r w:rsidRPr="00941D31">
        <w:rPr>
          <w:rFonts w:ascii="Calibri" w:hAnsi="Calibri" w:cs="Calibri"/>
          <w:noProof/>
          <w:lang w:val="en-US"/>
        </w:rPr>
        <w:tab/>
        <w:t xml:space="preserve">Harrison EM, Docherty AB, Barr B, Buchan I, Carson G, Drake TM, et al. Ethnicity and Outcomes from COVID-19: The ISARIC CCP-UK Prospective Observational Cohort Study of Hospitalised Patients. SSRN [Internet]. 2021; Available from: </w:t>
      </w:r>
      <w:r w:rsidRPr="00941D31">
        <w:rPr>
          <w:rFonts w:ascii="Calibri" w:hAnsi="Calibri" w:cs="Calibri"/>
          <w:noProof/>
          <w:lang w:val="en-US"/>
        </w:rPr>
        <w:lastRenderedPageBreak/>
        <w:t>https://papers.ssrn.com/sol3/papers.cfm?abstract_id=3618215</w:t>
      </w:r>
    </w:p>
    <w:p w14:paraId="17B005D1"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7. </w:t>
      </w:r>
      <w:r w:rsidRPr="00941D31">
        <w:rPr>
          <w:rFonts w:ascii="Calibri" w:hAnsi="Calibri" w:cs="Calibri"/>
          <w:noProof/>
          <w:lang w:val="en-US"/>
        </w:rPr>
        <w:tab/>
        <w:t>Mutambudzi M, Niedwiedz C, Macdonald EB, Leyland A, Mair F, Anderson J, et al. Occupation and risk of severe COVID-19: prospective cohort study of 120 075 UK Biobank participants. Occup Environ Med [Internet]. 2021 May 1;78(5):307 LP – 314. Available from: http://oem.bmj.com/content/78/5/307.abstract</w:t>
      </w:r>
    </w:p>
    <w:p w14:paraId="56DBED41"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8. </w:t>
      </w:r>
      <w:r w:rsidRPr="00941D31">
        <w:rPr>
          <w:rFonts w:ascii="Calibri" w:hAnsi="Calibri" w:cs="Calibri"/>
          <w:noProof/>
          <w:lang w:val="en-US"/>
        </w:rPr>
        <w:tab/>
        <w:t>ONS. Coronavirus (COVID-19) related deaths by occupation, England and Wales: deaths registered between 9 March and 28 December 2020 [Internet]. 2021. Available from: https://www.ons.gov.uk/peoplepopulationandcommunity/healthandsocialcare/causesofdeath/bulletins/coronaviruscovid19relateddeathsbyoccupationenglandandwales/deathsregisteredbetween9marchand28december2020</w:t>
      </w:r>
    </w:p>
    <w:p w14:paraId="4E29B7A5"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9. </w:t>
      </w:r>
      <w:r w:rsidRPr="00941D31">
        <w:rPr>
          <w:rFonts w:ascii="Calibri" w:hAnsi="Calibri" w:cs="Calibri"/>
          <w:noProof/>
          <w:lang w:val="en-US"/>
        </w:rPr>
        <w:tab/>
        <w:t>de Gier B, de Oliveira Bressane Lima P, van Gaalen RD, de Boer PT, Alblas J, Ruijten M, et al. Occupation- and age-associated risk of SARS-CoV-2 test positivity, the Netherlands, June to October 2020. Eurosurveillance [Internet]. 2020;25(50). Available from: https://www.eurosurveillance.org/content/10.2807/1560-7917.ES.2020.25.50.2001884</w:t>
      </w:r>
    </w:p>
    <w:p w14:paraId="31771766"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10. </w:t>
      </w:r>
      <w:r w:rsidRPr="00941D31">
        <w:rPr>
          <w:rFonts w:ascii="Calibri" w:hAnsi="Calibri" w:cs="Calibri"/>
          <w:noProof/>
          <w:lang w:val="en-US"/>
        </w:rPr>
        <w:tab/>
        <w:t>Chen Y-H, Glymour M, Riley A, Balmes J, Duchowny K, Harrison R, et al. Excess mortality associated with the COVID-19 pandemic among Californians 18-65 years of age, by occupational sector and occupation: March through October 2020. medRxiv [Internet]. 2021; Available from: https://www.medrxiv.org/content/early/2021/01/22/2021.01.21.21250266</w:t>
      </w:r>
    </w:p>
    <w:p w14:paraId="40C97175"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11. </w:t>
      </w:r>
      <w:r w:rsidRPr="00941D31">
        <w:rPr>
          <w:rFonts w:ascii="Calibri" w:hAnsi="Calibri" w:cs="Calibri"/>
          <w:noProof/>
          <w:lang w:val="en-US"/>
        </w:rPr>
        <w:tab/>
        <w:t>Gholami M, Fawad I, Shadan S, Rowaiee R, Ghanem H, Hassan Khamis A, et al. COVID-19 and healthcare workers: A systematic review and meta-analysis. Int J Infect Dis [Internet]. 2021;104:335–46. Available from: https://www.sciencedirect.com/science/article/pii/S1201971221000230</w:t>
      </w:r>
    </w:p>
    <w:p w14:paraId="0B126156"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12. </w:t>
      </w:r>
      <w:r w:rsidRPr="00941D31">
        <w:rPr>
          <w:rFonts w:ascii="Calibri" w:hAnsi="Calibri" w:cs="Calibri"/>
          <w:noProof/>
          <w:lang w:val="en-US"/>
        </w:rPr>
        <w:tab/>
        <w:t xml:space="preserve">ONS. Which occupations have the highest potential exposure to the coronavirus (COVID-19)? [Internet]. 2020. Available from: </w:t>
      </w:r>
      <w:r w:rsidRPr="00941D31">
        <w:rPr>
          <w:rFonts w:ascii="Calibri" w:hAnsi="Calibri" w:cs="Calibri"/>
          <w:noProof/>
          <w:lang w:val="en-US"/>
        </w:rPr>
        <w:lastRenderedPageBreak/>
        <w:t>https://www.ons.gov.uk/employmentandlabourmarket/peopleinwork/employmentandemployeetypes/articles/whichoccupationshavethehighestpotentialexposuretothecoronaviruscovid19/2020-05-11</w:t>
      </w:r>
    </w:p>
    <w:p w14:paraId="5B2CCCD3"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13. </w:t>
      </w:r>
      <w:r w:rsidRPr="00941D31">
        <w:rPr>
          <w:rFonts w:ascii="Calibri" w:hAnsi="Calibri" w:cs="Calibri"/>
          <w:noProof/>
          <w:lang w:val="en-US"/>
        </w:rPr>
        <w:tab/>
        <w:t>HM Government. COVID-19 risk by occupation and workplace, 11 February 2021 [Internet]. 2021. Available from: https://www.gov.uk/government/publications/emg-covid-19-risk-by-occupation-and-workplace-11-february-2021</w:t>
      </w:r>
    </w:p>
    <w:p w14:paraId="60BA9769"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14. </w:t>
      </w:r>
      <w:r w:rsidRPr="00941D31">
        <w:rPr>
          <w:rFonts w:ascii="Calibri" w:hAnsi="Calibri" w:cs="Calibri"/>
          <w:noProof/>
          <w:lang w:val="en-US"/>
        </w:rPr>
        <w:tab/>
        <w:t xml:space="preserve">Nafilyan V, Pawelek P, Ayoubkhani D, Rhodes S, Pembrey L, Matz M, et al. Occupation and COVID-19 mortality in England: a national linked data study of 14.3 million adults. Occup Environ Med. 2022;79(7):433–41. </w:t>
      </w:r>
    </w:p>
    <w:p w14:paraId="714F9266"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15. </w:t>
      </w:r>
      <w:r w:rsidRPr="00941D31">
        <w:rPr>
          <w:rFonts w:ascii="Calibri" w:hAnsi="Calibri" w:cs="Calibri"/>
          <w:noProof/>
          <w:lang w:val="en-US"/>
        </w:rPr>
        <w:tab/>
        <w:t xml:space="preserve">Witteveen D. Sociodemographic inequality in exposure to COVID-19-induced economic hardship in the United Kingdom. Res Soc Stratif Mobil. 2020;69:100551. </w:t>
      </w:r>
    </w:p>
    <w:p w14:paraId="14B04B8B"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16. </w:t>
      </w:r>
      <w:r w:rsidRPr="00941D31">
        <w:rPr>
          <w:rFonts w:ascii="Calibri" w:hAnsi="Calibri" w:cs="Calibri"/>
          <w:noProof/>
          <w:lang w:val="en-US"/>
        </w:rPr>
        <w:tab/>
        <w:t xml:space="preserve">Paremoer L, Nandi S, Serag H, Baum F. Covid-19 pandemic and the social determinants of health. BMJ. 2021;372:n129. </w:t>
      </w:r>
    </w:p>
    <w:p w14:paraId="4A4EC9F8"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17. </w:t>
      </w:r>
      <w:r w:rsidRPr="00941D31">
        <w:rPr>
          <w:rFonts w:ascii="Calibri" w:hAnsi="Calibri" w:cs="Calibri"/>
          <w:noProof/>
          <w:lang w:val="en-US"/>
        </w:rPr>
        <w:tab/>
        <w:t>Brooks-Pollock E, Read JM, McLean AR, Keeling MJ, Danon L. Mapping social distancing measures to the reproduction number for COVID-19. medRxiv [Internet]. 2021; Available from: https://www.medrxiv.org/content/early/2021/04/06/2020.07.25.20156471</w:t>
      </w:r>
    </w:p>
    <w:p w14:paraId="4BA70AF5" w14:textId="7BF19696"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18. </w:t>
      </w:r>
      <w:r w:rsidRPr="00941D31">
        <w:rPr>
          <w:rFonts w:ascii="Calibri" w:hAnsi="Calibri" w:cs="Calibri"/>
          <w:noProof/>
          <w:lang w:val="en-US"/>
        </w:rPr>
        <w:tab/>
        <w:t xml:space="preserve">ONS. Coronavirus (COVID-19) Infection Survey: methods and further information. 2022. </w:t>
      </w:r>
      <w:r w:rsidR="00693CD3" w:rsidRPr="00693CD3">
        <w:rPr>
          <w:rFonts w:ascii="Calibri" w:hAnsi="Calibri" w:cs="Calibri"/>
          <w:noProof/>
          <w:lang w:val="en-US"/>
        </w:rPr>
        <w:t>https://www.ons.gov.uk/peoplepopulationandcommunity/healthandsocialcare/conditionsanddiseases/methodologies/covid19infectionsurveypilotmethodsandfurtherinformation</w:t>
      </w:r>
      <w:r w:rsidR="00693CD3">
        <w:rPr>
          <w:rFonts w:ascii="Calibri" w:hAnsi="Calibri" w:cs="Calibri"/>
          <w:noProof/>
          <w:lang w:val="en-US"/>
        </w:rPr>
        <w:t xml:space="preserve"> </w:t>
      </w:r>
      <w:bookmarkStart w:id="7" w:name="_GoBack"/>
      <w:bookmarkEnd w:id="7"/>
    </w:p>
    <w:p w14:paraId="625C2701"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19. </w:t>
      </w:r>
      <w:r w:rsidRPr="00941D31">
        <w:rPr>
          <w:rFonts w:ascii="Calibri" w:hAnsi="Calibri" w:cs="Calibri"/>
          <w:noProof/>
          <w:lang w:val="en-US"/>
        </w:rPr>
        <w:tab/>
        <w:t xml:space="preserve">Sorensen HT, Sabroe S, Olsen J. A Framework for Evaluation of Secondary Data Sources for Epidemiological Research. Int J Epidemiol. 1996;25(2):435–42. </w:t>
      </w:r>
    </w:p>
    <w:p w14:paraId="04512E94"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20. </w:t>
      </w:r>
      <w:r w:rsidRPr="00941D31">
        <w:rPr>
          <w:rFonts w:ascii="Calibri" w:hAnsi="Calibri" w:cs="Calibri"/>
          <w:noProof/>
          <w:lang w:val="en-US"/>
        </w:rPr>
        <w:tab/>
        <w:t xml:space="preserve">Green MA, Garcia-Fiñana M, Barr B, Burnside G, Cheyne CP, Hughes D, et al. Evaluating social and spatial inequalities of large scale rapid lateral flow SARS-CoV-2 antigen testing in COVID-19 management: An observational study of Liverpool, UK (November 2020 to January 2021). </w:t>
      </w:r>
      <w:r w:rsidRPr="00941D31">
        <w:rPr>
          <w:rFonts w:ascii="Calibri" w:hAnsi="Calibri" w:cs="Calibri"/>
          <w:noProof/>
          <w:lang w:val="en-US"/>
        </w:rPr>
        <w:lastRenderedPageBreak/>
        <w:t>Lancet Reg Heal - Eur [Internet]. 2021;6:100107. Available from: https://www.medrxiv.org/content/early/2021/02/19/2021.02.10.21251256</w:t>
      </w:r>
    </w:p>
    <w:p w14:paraId="397495BE"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21. </w:t>
      </w:r>
      <w:r w:rsidRPr="00941D31">
        <w:rPr>
          <w:rFonts w:ascii="Calibri" w:hAnsi="Calibri" w:cs="Calibri"/>
          <w:noProof/>
          <w:lang w:val="en-US"/>
        </w:rPr>
        <w:tab/>
        <w:t>Madewell ZJ, Yang Y, Longini Ira M. J, Halloran ME, Dean NE. Household Transmission of SARS-CoV-2: A Systematic Review and Meta-analysis. JAMA Netw Open [Internet]. 2020;3(12):e2031756–e2031756. Available from: https://doi.org/10.1001/jamanetworkopen.2020.31756</w:t>
      </w:r>
    </w:p>
    <w:p w14:paraId="48A179C8"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22. </w:t>
      </w:r>
      <w:r w:rsidRPr="00941D31">
        <w:rPr>
          <w:rFonts w:ascii="Calibri" w:hAnsi="Calibri" w:cs="Calibri"/>
          <w:noProof/>
          <w:lang w:val="en-US"/>
        </w:rPr>
        <w:tab/>
        <w:t>Russell TW, Wu JT, Clifford S, Edmunds WJ, Kucharski AJ, Jit M. Effect of internationally imported cases on internal spread of COVID-19: a mathematical modelling study. Lancet Public Heal [Internet]. 2021 Jan 1;6(1):e12–20. Available from: https://doi.org/10.1016/S2468-2667(20)30263-2</w:t>
      </w:r>
    </w:p>
    <w:p w14:paraId="75C9CCBD"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23. </w:t>
      </w:r>
      <w:r w:rsidRPr="00941D31">
        <w:rPr>
          <w:rFonts w:ascii="Calibri" w:hAnsi="Calibri" w:cs="Calibri"/>
          <w:noProof/>
          <w:lang w:val="en-US"/>
        </w:rPr>
        <w:tab/>
        <w:t>Bridgen J, Jewell C, Read J. Social mixing patterns in the UK following the relaxation of COVID-19 pandemic restrictions: a cross-sectional online survey. medRxiv [Internet]. 2021; Available from: https://doi.org/10.1101/2021.10.22.21265371</w:t>
      </w:r>
    </w:p>
    <w:p w14:paraId="59C05BC1"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24. </w:t>
      </w:r>
      <w:r w:rsidRPr="00941D31">
        <w:rPr>
          <w:rFonts w:ascii="Calibri" w:hAnsi="Calibri" w:cs="Calibri"/>
          <w:noProof/>
          <w:lang w:val="en-US"/>
        </w:rPr>
        <w:tab/>
        <w:t xml:space="preserve">Wels J, Booth C, Wielgoszewska B, Green MJ, Di Gessa G, Huggins CF, et al. Mental and social wellbeing and the UK coronavirus job retention scheme: Evidence from nine longitudinal studies. Soc Sci Med. 2022;308:115226. </w:t>
      </w:r>
    </w:p>
    <w:p w14:paraId="438CE6EF"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lang w:val="en-US"/>
        </w:rPr>
      </w:pPr>
      <w:r w:rsidRPr="00941D31">
        <w:rPr>
          <w:rFonts w:ascii="Calibri" w:hAnsi="Calibri" w:cs="Calibri"/>
          <w:noProof/>
          <w:lang w:val="en-US"/>
        </w:rPr>
        <w:t xml:space="preserve">25. </w:t>
      </w:r>
      <w:r w:rsidRPr="00941D31">
        <w:rPr>
          <w:rFonts w:ascii="Calibri" w:hAnsi="Calibri" w:cs="Calibri"/>
          <w:noProof/>
          <w:lang w:val="en-US"/>
        </w:rPr>
        <w:tab/>
        <w:t>Duke-Williams O. The Geographies of Student Migration in the UK. Environ Plan A Econ Sp [Internet]. 2009;41(8):1826–48. Available from: https://doi.org/10.1068/a4198</w:t>
      </w:r>
    </w:p>
    <w:p w14:paraId="0F844747" w14:textId="77777777" w:rsidR="00941D31" w:rsidRPr="00941D31" w:rsidRDefault="00941D31" w:rsidP="00941D31">
      <w:pPr>
        <w:widowControl w:val="0"/>
        <w:autoSpaceDE w:val="0"/>
        <w:autoSpaceDN w:val="0"/>
        <w:adjustRightInd w:val="0"/>
        <w:spacing w:line="480" w:lineRule="auto"/>
        <w:ind w:left="640" w:hanging="640"/>
        <w:rPr>
          <w:rFonts w:ascii="Calibri" w:hAnsi="Calibri" w:cs="Calibri"/>
          <w:noProof/>
        </w:rPr>
      </w:pPr>
      <w:r w:rsidRPr="00941D31">
        <w:rPr>
          <w:rFonts w:ascii="Calibri" w:hAnsi="Calibri" w:cs="Calibri"/>
          <w:noProof/>
          <w:lang w:val="en-US"/>
        </w:rPr>
        <w:t xml:space="preserve">26. </w:t>
      </w:r>
      <w:r w:rsidRPr="00941D31">
        <w:rPr>
          <w:rFonts w:ascii="Calibri" w:hAnsi="Calibri" w:cs="Calibri"/>
          <w:noProof/>
          <w:lang w:val="en-US"/>
        </w:rPr>
        <w:tab/>
        <w:t xml:space="preserve">Cheng S-Y, Wang CJ, Shen AC-T, Chang S-C. How to Safely Reopen Colleges and Universities During COVID-19: Experiences From Taiwan. Ann Intern Med. 2020;173(8):638–41. </w:t>
      </w:r>
    </w:p>
    <w:p w14:paraId="31BA524A" w14:textId="61261522" w:rsidR="005220D5" w:rsidRPr="00300430" w:rsidRDefault="00C73C41" w:rsidP="00941D31">
      <w:pPr>
        <w:widowControl w:val="0"/>
        <w:autoSpaceDE w:val="0"/>
        <w:autoSpaceDN w:val="0"/>
        <w:adjustRightInd w:val="0"/>
        <w:spacing w:line="480" w:lineRule="auto"/>
        <w:ind w:left="640" w:hanging="640"/>
        <w:sectPr w:rsidR="005220D5" w:rsidRPr="00300430" w:rsidSect="00E0759C">
          <w:pgSz w:w="11906" w:h="16838"/>
          <w:pgMar w:top="1440" w:right="1440" w:bottom="1440" w:left="1440" w:header="708" w:footer="708" w:gutter="0"/>
          <w:lnNumType w:countBy="1" w:restart="continuous"/>
          <w:cols w:space="708"/>
          <w:docGrid w:linePitch="360"/>
        </w:sectPr>
      </w:pPr>
      <w:r>
        <w:fldChar w:fldCharType="end"/>
      </w:r>
    </w:p>
    <w:p w14:paraId="3B6C7B35" w14:textId="0073B9DF" w:rsidR="00B60B0D" w:rsidRPr="00055DCB" w:rsidRDefault="00055DCB" w:rsidP="000A1B54">
      <w:pPr>
        <w:spacing w:line="480" w:lineRule="auto"/>
        <w:rPr>
          <w:b/>
          <w:sz w:val="36"/>
          <w:szCs w:val="36"/>
        </w:rPr>
      </w:pPr>
      <w:r w:rsidRPr="00055DCB">
        <w:rPr>
          <w:b/>
          <w:sz w:val="36"/>
          <w:szCs w:val="36"/>
        </w:rPr>
        <w:lastRenderedPageBreak/>
        <w:t>Supporting information</w:t>
      </w:r>
    </w:p>
    <w:p w14:paraId="631DDA8C" w14:textId="1CC1995C" w:rsidR="00055DCB" w:rsidRPr="0066731C" w:rsidRDefault="0066731C" w:rsidP="00055DCB">
      <w:pPr>
        <w:rPr>
          <w:b/>
        </w:rPr>
      </w:pPr>
      <w:r w:rsidRPr="0066731C">
        <w:rPr>
          <w:b/>
        </w:rPr>
        <w:t>S1 File. Appendix</w:t>
      </w:r>
      <w:r w:rsidR="00055DCB" w:rsidRPr="0066731C">
        <w:rPr>
          <w:b/>
        </w:rPr>
        <w:t xml:space="preserve">. </w:t>
      </w:r>
    </w:p>
    <w:p w14:paraId="0E032955" w14:textId="77777777" w:rsidR="00055DCB" w:rsidRPr="005C57E9" w:rsidRDefault="00055DCB" w:rsidP="000A1B54">
      <w:pPr>
        <w:spacing w:line="480" w:lineRule="auto"/>
      </w:pPr>
    </w:p>
    <w:sectPr w:rsidR="00055DCB" w:rsidRPr="005C57E9" w:rsidSect="00055DCB">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6725" w16cex:dateUtc="2021-05-20T21:54:00Z"/>
  <w16cex:commentExtensible w16cex:durableId="24516C52" w16cex:dateUtc="2021-05-20T22:16:00Z"/>
  <w16cex:commentExtensible w16cex:durableId="24516D1A" w16cex:dateUtc="2021-05-20T22:19:00Z"/>
  <w16cex:commentExtensible w16cex:durableId="24517310" w16cex:dateUtc="2021-05-20T22:45:00Z"/>
  <w16cex:commentExtensible w16cex:durableId="2451745E" w16cex:dateUtc="2021-05-20T22:50:00Z"/>
  <w16cex:commentExtensible w16cex:durableId="245174FD" w16cex:dateUtc="2021-05-20T22:53:00Z"/>
  <w16cex:commentExtensible w16cex:durableId="24517715" w16cex:dateUtc="2021-05-20T2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C5D5" w14:textId="77777777" w:rsidR="00D66350" w:rsidRDefault="00D66350" w:rsidP="00C044CD">
      <w:pPr>
        <w:spacing w:after="0" w:line="240" w:lineRule="auto"/>
      </w:pPr>
      <w:r>
        <w:separator/>
      </w:r>
    </w:p>
  </w:endnote>
  <w:endnote w:type="continuationSeparator" w:id="0">
    <w:p w14:paraId="5CA5B54F" w14:textId="77777777" w:rsidR="00D66350" w:rsidRDefault="00D66350" w:rsidP="00C0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032970"/>
      <w:docPartObj>
        <w:docPartGallery w:val="Page Numbers (Bottom of Page)"/>
        <w:docPartUnique/>
      </w:docPartObj>
    </w:sdtPr>
    <w:sdtEndPr>
      <w:rPr>
        <w:rStyle w:val="PageNumber"/>
      </w:rPr>
    </w:sdtEndPr>
    <w:sdtContent>
      <w:p w14:paraId="4E73D83D" w14:textId="77777777" w:rsidR="00820CD6" w:rsidRDefault="00820CD6" w:rsidP="00487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3B7926" w14:textId="77777777" w:rsidR="00820CD6" w:rsidRDefault="00820CD6" w:rsidP="00C044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6169213"/>
      <w:docPartObj>
        <w:docPartGallery w:val="Page Numbers (Bottom of Page)"/>
        <w:docPartUnique/>
      </w:docPartObj>
    </w:sdtPr>
    <w:sdtEndPr>
      <w:rPr>
        <w:rStyle w:val="PageNumber"/>
      </w:rPr>
    </w:sdtEndPr>
    <w:sdtContent>
      <w:p w14:paraId="04A20A95" w14:textId="77777777" w:rsidR="00820CD6" w:rsidRDefault="00820CD6" w:rsidP="00487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CAEB3" w14:textId="77777777" w:rsidR="00820CD6" w:rsidRDefault="00820CD6" w:rsidP="00C044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31C2" w14:textId="77777777" w:rsidR="00D66350" w:rsidRDefault="00D66350" w:rsidP="00C044CD">
      <w:pPr>
        <w:spacing w:after="0" w:line="240" w:lineRule="auto"/>
      </w:pPr>
      <w:r>
        <w:separator/>
      </w:r>
    </w:p>
  </w:footnote>
  <w:footnote w:type="continuationSeparator" w:id="0">
    <w:p w14:paraId="15CDE7C6" w14:textId="77777777" w:rsidR="00D66350" w:rsidRDefault="00D66350" w:rsidP="00C04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35"/>
    <w:multiLevelType w:val="hybridMultilevel"/>
    <w:tmpl w:val="AD68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82257"/>
    <w:multiLevelType w:val="hybridMultilevel"/>
    <w:tmpl w:val="4A38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70B63"/>
    <w:multiLevelType w:val="hybridMultilevel"/>
    <w:tmpl w:val="FFF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79B9"/>
    <w:multiLevelType w:val="hybridMultilevel"/>
    <w:tmpl w:val="DCC2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2683B"/>
    <w:multiLevelType w:val="hybridMultilevel"/>
    <w:tmpl w:val="DCDED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6693"/>
    <w:multiLevelType w:val="hybridMultilevel"/>
    <w:tmpl w:val="A2C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B1E06"/>
    <w:multiLevelType w:val="hybridMultilevel"/>
    <w:tmpl w:val="F54A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8751A"/>
    <w:multiLevelType w:val="hybridMultilevel"/>
    <w:tmpl w:val="3BFA6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D7909"/>
    <w:multiLevelType w:val="hybridMultilevel"/>
    <w:tmpl w:val="5E18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032D4"/>
    <w:multiLevelType w:val="hybridMultilevel"/>
    <w:tmpl w:val="7AB4D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B5742F"/>
    <w:multiLevelType w:val="hybridMultilevel"/>
    <w:tmpl w:val="1CD6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1"/>
  </w:num>
  <w:num w:numId="6">
    <w:abstractNumId w:val="5"/>
  </w:num>
  <w:num w:numId="7">
    <w:abstractNumId w:val="8"/>
  </w:num>
  <w:num w:numId="8">
    <w:abstractNumId w:val="6"/>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B9"/>
    <w:rsid w:val="00002834"/>
    <w:rsid w:val="0001100B"/>
    <w:rsid w:val="00012A7F"/>
    <w:rsid w:val="00013BD5"/>
    <w:rsid w:val="00025B06"/>
    <w:rsid w:val="00030482"/>
    <w:rsid w:val="00043762"/>
    <w:rsid w:val="00043FCB"/>
    <w:rsid w:val="00055DCB"/>
    <w:rsid w:val="000673E6"/>
    <w:rsid w:val="000770CF"/>
    <w:rsid w:val="00081AA7"/>
    <w:rsid w:val="0008709C"/>
    <w:rsid w:val="00095BC2"/>
    <w:rsid w:val="0009610E"/>
    <w:rsid w:val="000A1B54"/>
    <w:rsid w:val="000A25D6"/>
    <w:rsid w:val="000A289E"/>
    <w:rsid w:val="000A6365"/>
    <w:rsid w:val="000B1D66"/>
    <w:rsid w:val="000B3B22"/>
    <w:rsid w:val="000C7AB1"/>
    <w:rsid w:val="000D59B2"/>
    <w:rsid w:val="000E39EE"/>
    <w:rsid w:val="000E678E"/>
    <w:rsid w:val="000F4C67"/>
    <w:rsid w:val="000F4F0B"/>
    <w:rsid w:val="00106D78"/>
    <w:rsid w:val="001131FC"/>
    <w:rsid w:val="00113375"/>
    <w:rsid w:val="0011492C"/>
    <w:rsid w:val="0012129B"/>
    <w:rsid w:val="00125821"/>
    <w:rsid w:val="0013122F"/>
    <w:rsid w:val="00137A00"/>
    <w:rsid w:val="0015132D"/>
    <w:rsid w:val="001547F5"/>
    <w:rsid w:val="00154F9F"/>
    <w:rsid w:val="001604BA"/>
    <w:rsid w:val="0016073E"/>
    <w:rsid w:val="001637B2"/>
    <w:rsid w:val="00183A99"/>
    <w:rsid w:val="00193FEB"/>
    <w:rsid w:val="001A5C1E"/>
    <w:rsid w:val="001A6665"/>
    <w:rsid w:val="001B18AB"/>
    <w:rsid w:val="001D4605"/>
    <w:rsid w:val="001E08CC"/>
    <w:rsid w:val="001E2D83"/>
    <w:rsid w:val="001F5381"/>
    <w:rsid w:val="001F7A03"/>
    <w:rsid w:val="00200CC7"/>
    <w:rsid w:val="00202248"/>
    <w:rsid w:val="00203AB9"/>
    <w:rsid w:val="0021440C"/>
    <w:rsid w:val="00222807"/>
    <w:rsid w:val="00224426"/>
    <w:rsid w:val="002361CD"/>
    <w:rsid w:val="00247199"/>
    <w:rsid w:val="002558B8"/>
    <w:rsid w:val="00264A60"/>
    <w:rsid w:val="002757BC"/>
    <w:rsid w:val="002802CB"/>
    <w:rsid w:val="002941A0"/>
    <w:rsid w:val="002C53B0"/>
    <w:rsid w:val="002C6DBE"/>
    <w:rsid w:val="002C7627"/>
    <w:rsid w:val="002D545D"/>
    <w:rsid w:val="002F1BA6"/>
    <w:rsid w:val="002F448B"/>
    <w:rsid w:val="002F7162"/>
    <w:rsid w:val="00300430"/>
    <w:rsid w:val="00305AD9"/>
    <w:rsid w:val="0030725D"/>
    <w:rsid w:val="0031255F"/>
    <w:rsid w:val="0033205D"/>
    <w:rsid w:val="00333D81"/>
    <w:rsid w:val="0033543C"/>
    <w:rsid w:val="0034744D"/>
    <w:rsid w:val="00356E8F"/>
    <w:rsid w:val="00360687"/>
    <w:rsid w:val="0036184F"/>
    <w:rsid w:val="00363189"/>
    <w:rsid w:val="003655F9"/>
    <w:rsid w:val="00373741"/>
    <w:rsid w:val="003773F0"/>
    <w:rsid w:val="00385AEF"/>
    <w:rsid w:val="003907C2"/>
    <w:rsid w:val="003A1BAC"/>
    <w:rsid w:val="003A1BD6"/>
    <w:rsid w:val="003A5E3F"/>
    <w:rsid w:val="003A6DA9"/>
    <w:rsid w:val="003B5C12"/>
    <w:rsid w:val="003C0AE5"/>
    <w:rsid w:val="003D04AA"/>
    <w:rsid w:val="003D2913"/>
    <w:rsid w:val="003E3DA8"/>
    <w:rsid w:val="003E6E97"/>
    <w:rsid w:val="00400E80"/>
    <w:rsid w:val="00402079"/>
    <w:rsid w:val="00407BA9"/>
    <w:rsid w:val="004201F8"/>
    <w:rsid w:val="00421B90"/>
    <w:rsid w:val="00422686"/>
    <w:rsid w:val="00423F7F"/>
    <w:rsid w:val="00424E6D"/>
    <w:rsid w:val="00431089"/>
    <w:rsid w:val="004366EA"/>
    <w:rsid w:val="00436778"/>
    <w:rsid w:val="00441D6E"/>
    <w:rsid w:val="00455B15"/>
    <w:rsid w:val="00464700"/>
    <w:rsid w:val="004653DE"/>
    <w:rsid w:val="0047147D"/>
    <w:rsid w:val="00487FF0"/>
    <w:rsid w:val="00494503"/>
    <w:rsid w:val="00494BDF"/>
    <w:rsid w:val="004C176B"/>
    <w:rsid w:val="004C2C55"/>
    <w:rsid w:val="004C33EE"/>
    <w:rsid w:val="004D790B"/>
    <w:rsid w:val="004E6A15"/>
    <w:rsid w:val="004F43FD"/>
    <w:rsid w:val="005166B1"/>
    <w:rsid w:val="00521825"/>
    <w:rsid w:val="005220D5"/>
    <w:rsid w:val="00527EDB"/>
    <w:rsid w:val="005302FB"/>
    <w:rsid w:val="005307E2"/>
    <w:rsid w:val="005324B1"/>
    <w:rsid w:val="00540E52"/>
    <w:rsid w:val="00546786"/>
    <w:rsid w:val="0055071A"/>
    <w:rsid w:val="00572E87"/>
    <w:rsid w:val="00575BF0"/>
    <w:rsid w:val="00576895"/>
    <w:rsid w:val="00581F84"/>
    <w:rsid w:val="00582C2C"/>
    <w:rsid w:val="005837B9"/>
    <w:rsid w:val="00591EBD"/>
    <w:rsid w:val="005A2959"/>
    <w:rsid w:val="005A7D5F"/>
    <w:rsid w:val="005B7432"/>
    <w:rsid w:val="005B7474"/>
    <w:rsid w:val="005B751D"/>
    <w:rsid w:val="005C262F"/>
    <w:rsid w:val="005C57E9"/>
    <w:rsid w:val="005C5A68"/>
    <w:rsid w:val="005D09A1"/>
    <w:rsid w:val="005D4F55"/>
    <w:rsid w:val="005E7E7E"/>
    <w:rsid w:val="005F3E58"/>
    <w:rsid w:val="00602F89"/>
    <w:rsid w:val="006052F1"/>
    <w:rsid w:val="006131A5"/>
    <w:rsid w:val="00617E41"/>
    <w:rsid w:val="00627E6D"/>
    <w:rsid w:val="0063783F"/>
    <w:rsid w:val="00650633"/>
    <w:rsid w:val="0066731C"/>
    <w:rsid w:val="00680BEE"/>
    <w:rsid w:val="006908E6"/>
    <w:rsid w:val="00693CD3"/>
    <w:rsid w:val="00696476"/>
    <w:rsid w:val="006A2766"/>
    <w:rsid w:val="006B4526"/>
    <w:rsid w:val="006C2722"/>
    <w:rsid w:val="006E1A4D"/>
    <w:rsid w:val="006E4B2B"/>
    <w:rsid w:val="00700944"/>
    <w:rsid w:val="007037E6"/>
    <w:rsid w:val="00717060"/>
    <w:rsid w:val="007171D8"/>
    <w:rsid w:val="007268CF"/>
    <w:rsid w:val="00731618"/>
    <w:rsid w:val="007377A9"/>
    <w:rsid w:val="00740C8E"/>
    <w:rsid w:val="007421D3"/>
    <w:rsid w:val="00744FF5"/>
    <w:rsid w:val="00746EF6"/>
    <w:rsid w:val="00763CD7"/>
    <w:rsid w:val="00764FFE"/>
    <w:rsid w:val="00772C8C"/>
    <w:rsid w:val="007969D8"/>
    <w:rsid w:val="007A1133"/>
    <w:rsid w:val="007B43AB"/>
    <w:rsid w:val="007E17C5"/>
    <w:rsid w:val="007E1BC8"/>
    <w:rsid w:val="007E4E53"/>
    <w:rsid w:val="007E5EDA"/>
    <w:rsid w:val="00820CD6"/>
    <w:rsid w:val="00821E17"/>
    <w:rsid w:val="0082422E"/>
    <w:rsid w:val="00825DCD"/>
    <w:rsid w:val="00825E42"/>
    <w:rsid w:val="00830177"/>
    <w:rsid w:val="0084138D"/>
    <w:rsid w:val="00852BFB"/>
    <w:rsid w:val="00862209"/>
    <w:rsid w:val="00867C5F"/>
    <w:rsid w:val="00873778"/>
    <w:rsid w:val="008763D5"/>
    <w:rsid w:val="008A212D"/>
    <w:rsid w:val="008B0164"/>
    <w:rsid w:val="008B2CF0"/>
    <w:rsid w:val="008B3D76"/>
    <w:rsid w:val="008B659A"/>
    <w:rsid w:val="008D35E8"/>
    <w:rsid w:val="008E166B"/>
    <w:rsid w:val="008F2026"/>
    <w:rsid w:val="008F5286"/>
    <w:rsid w:val="008F74DF"/>
    <w:rsid w:val="008F7545"/>
    <w:rsid w:val="00904E76"/>
    <w:rsid w:val="00906B28"/>
    <w:rsid w:val="00910E5F"/>
    <w:rsid w:val="00922689"/>
    <w:rsid w:val="00922991"/>
    <w:rsid w:val="009279AF"/>
    <w:rsid w:val="00933F1E"/>
    <w:rsid w:val="00940522"/>
    <w:rsid w:val="00941D31"/>
    <w:rsid w:val="00942B5C"/>
    <w:rsid w:val="00960DC1"/>
    <w:rsid w:val="00966BC2"/>
    <w:rsid w:val="00974774"/>
    <w:rsid w:val="00982CF9"/>
    <w:rsid w:val="009859E6"/>
    <w:rsid w:val="00990BD0"/>
    <w:rsid w:val="009A4374"/>
    <w:rsid w:val="009A5052"/>
    <w:rsid w:val="009A7AEA"/>
    <w:rsid w:val="009B5B97"/>
    <w:rsid w:val="009C5F58"/>
    <w:rsid w:val="009D18C2"/>
    <w:rsid w:val="009D3801"/>
    <w:rsid w:val="009D3AD7"/>
    <w:rsid w:val="009F62BD"/>
    <w:rsid w:val="00A12B56"/>
    <w:rsid w:val="00A3462E"/>
    <w:rsid w:val="00A57241"/>
    <w:rsid w:val="00A769C8"/>
    <w:rsid w:val="00A77572"/>
    <w:rsid w:val="00A80372"/>
    <w:rsid w:val="00AA2BBB"/>
    <w:rsid w:val="00AB2B80"/>
    <w:rsid w:val="00AC51D7"/>
    <w:rsid w:val="00AD26F0"/>
    <w:rsid w:val="00AD59CD"/>
    <w:rsid w:val="00AD5BDB"/>
    <w:rsid w:val="00AE0D10"/>
    <w:rsid w:val="00AE6DCF"/>
    <w:rsid w:val="00B030F7"/>
    <w:rsid w:val="00B0331B"/>
    <w:rsid w:val="00B203C3"/>
    <w:rsid w:val="00B20B5F"/>
    <w:rsid w:val="00B36C65"/>
    <w:rsid w:val="00B377C5"/>
    <w:rsid w:val="00B5182A"/>
    <w:rsid w:val="00B60B0D"/>
    <w:rsid w:val="00B60CCB"/>
    <w:rsid w:val="00B7322E"/>
    <w:rsid w:val="00BB7D4C"/>
    <w:rsid w:val="00BC0EF2"/>
    <w:rsid w:val="00BC4484"/>
    <w:rsid w:val="00BE342D"/>
    <w:rsid w:val="00BF0B40"/>
    <w:rsid w:val="00C044CD"/>
    <w:rsid w:val="00C12F2A"/>
    <w:rsid w:val="00C16AF4"/>
    <w:rsid w:val="00C3089D"/>
    <w:rsid w:val="00C51EB8"/>
    <w:rsid w:val="00C54133"/>
    <w:rsid w:val="00C566D5"/>
    <w:rsid w:val="00C64891"/>
    <w:rsid w:val="00C663DF"/>
    <w:rsid w:val="00C70951"/>
    <w:rsid w:val="00C73C41"/>
    <w:rsid w:val="00CA3D57"/>
    <w:rsid w:val="00CB0BCE"/>
    <w:rsid w:val="00CB1E10"/>
    <w:rsid w:val="00CB3E2E"/>
    <w:rsid w:val="00CB6133"/>
    <w:rsid w:val="00CC7D2A"/>
    <w:rsid w:val="00CD08D6"/>
    <w:rsid w:val="00CD239E"/>
    <w:rsid w:val="00CE39D4"/>
    <w:rsid w:val="00CE4CAA"/>
    <w:rsid w:val="00CF3A2D"/>
    <w:rsid w:val="00D075CF"/>
    <w:rsid w:val="00D07845"/>
    <w:rsid w:val="00D12AAB"/>
    <w:rsid w:val="00D24C65"/>
    <w:rsid w:val="00D25581"/>
    <w:rsid w:val="00D260DA"/>
    <w:rsid w:val="00D406AA"/>
    <w:rsid w:val="00D47C09"/>
    <w:rsid w:val="00D508C4"/>
    <w:rsid w:val="00D66350"/>
    <w:rsid w:val="00D66890"/>
    <w:rsid w:val="00D7797C"/>
    <w:rsid w:val="00D8172C"/>
    <w:rsid w:val="00D81C99"/>
    <w:rsid w:val="00D94FE1"/>
    <w:rsid w:val="00DA6FCC"/>
    <w:rsid w:val="00DB311A"/>
    <w:rsid w:val="00DB4C9C"/>
    <w:rsid w:val="00DE03D8"/>
    <w:rsid w:val="00DF0893"/>
    <w:rsid w:val="00E0759C"/>
    <w:rsid w:val="00E07F54"/>
    <w:rsid w:val="00E145C7"/>
    <w:rsid w:val="00E31164"/>
    <w:rsid w:val="00E32E53"/>
    <w:rsid w:val="00E33683"/>
    <w:rsid w:val="00E33F52"/>
    <w:rsid w:val="00E35080"/>
    <w:rsid w:val="00E36C6F"/>
    <w:rsid w:val="00E45BE2"/>
    <w:rsid w:val="00E61CDF"/>
    <w:rsid w:val="00E74399"/>
    <w:rsid w:val="00E75493"/>
    <w:rsid w:val="00E81C81"/>
    <w:rsid w:val="00E8513C"/>
    <w:rsid w:val="00E94B4B"/>
    <w:rsid w:val="00EA6445"/>
    <w:rsid w:val="00EB24C3"/>
    <w:rsid w:val="00EC42CE"/>
    <w:rsid w:val="00EC63D1"/>
    <w:rsid w:val="00ED06E2"/>
    <w:rsid w:val="00ED2190"/>
    <w:rsid w:val="00ED74AA"/>
    <w:rsid w:val="00EE0333"/>
    <w:rsid w:val="00EE50C8"/>
    <w:rsid w:val="00EE721D"/>
    <w:rsid w:val="00EF2E9A"/>
    <w:rsid w:val="00EF3069"/>
    <w:rsid w:val="00EF5A80"/>
    <w:rsid w:val="00F02801"/>
    <w:rsid w:val="00F02831"/>
    <w:rsid w:val="00F211A0"/>
    <w:rsid w:val="00F213D2"/>
    <w:rsid w:val="00F347FF"/>
    <w:rsid w:val="00F360F7"/>
    <w:rsid w:val="00F42E7C"/>
    <w:rsid w:val="00F7180E"/>
    <w:rsid w:val="00F75EFD"/>
    <w:rsid w:val="00F76285"/>
    <w:rsid w:val="00F847BD"/>
    <w:rsid w:val="00F9269B"/>
    <w:rsid w:val="00F927A6"/>
    <w:rsid w:val="00F93EA3"/>
    <w:rsid w:val="00FA55B8"/>
    <w:rsid w:val="00FA76B9"/>
    <w:rsid w:val="00FB2DE1"/>
    <w:rsid w:val="00FC408B"/>
    <w:rsid w:val="00FD0B4C"/>
    <w:rsid w:val="00FE29D2"/>
    <w:rsid w:val="00FE420B"/>
    <w:rsid w:val="00FE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AD18"/>
  <w15:chartTrackingRefBased/>
  <w15:docId w15:val="{CE9AEEF0-40E7-478F-AD59-18C69BB5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B9"/>
    <w:pPr>
      <w:ind w:left="720"/>
      <w:contextualSpacing/>
    </w:pPr>
  </w:style>
  <w:style w:type="table" w:styleId="TableGrid">
    <w:name w:val="Table Grid"/>
    <w:basedOn w:val="TableNormal"/>
    <w:uiPriority w:val="39"/>
    <w:rsid w:val="0053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CD"/>
  </w:style>
  <w:style w:type="character" w:styleId="PageNumber">
    <w:name w:val="page number"/>
    <w:basedOn w:val="DefaultParagraphFont"/>
    <w:uiPriority w:val="99"/>
    <w:semiHidden/>
    <w:unhideWhenUsed/>
    <w:rsid w:val="00C044CD"/>
  </w:style>
  <w:style w:type="character" w:styleId="Hyperlink">
    <w:name w:val="Hyperlink"/>
    <w:basedOn w:val="DefaultParagraphFont"/>
    <w:uiPriority w:val="99"/>
    <w:unhideWhenUsed/>
    <w:rsid w:val="003B5C12"/>
    <w:rPr>
      <w:color w:val="0563C1" w:themeColor="hyperlink"/>
      <w:u w:val="single"/>
    </w:rPr>
  </w:style>
  <w:style w:type="character" w:styleId="UnresolvedMention">
    <w:name w:val="Unresolved Mention"/>
    <w:basedOn w:val="DefaultParagraphFont"/>
    <w:uiPriority w:val="99"/>
    <w:semiHidden/>
    <w:unhideWhenUsed/>
    <w:rsid w:val="003B5C12"/>
    <w:rPr>
      <w:color w:val="605E5C"/>
      <w:shd w:val="clear" w:color="auto" w:fill="E1DFDD"/>
    </w:rPr>
  </w:style>
  <w:style w:type="character" w:styleId="Strong">
    <w:name w:val="Strong"/>
    <w:basedOn w:val="DefaultParagraphFont"/>
    <w:uiPriority w:val="22"/>
    <w:qFormat/>
    <w:rsid w:val="002941A0"/>
    <w:rPr>
      <w:b/>
      <w:bCs/>
    </w:rPr>
  </w:style>
  <w:style w:type="character" w:styleId="CommentReference">
    <w:name w:val="annotation reference"/>
    <w:basedOn w:val="DefaultParagraphFont"/>
    <w:uiPriority w:val="99"/>
    <w:semiHidden/>
    <w:unhideWhenUsed/>
    <w:rsid w:val="00D07845"/>
    <w:rPr>
      <w:sz w:val="16"/>
      <w:szCs w:val="16"/>
    </w:rPr>
  </w:style>
  <w:style w:type="paragraph" w:styleId="CommentText">
    <w:name w:val="annotation text"/>
    <w:basedOn w:val="Normal"/>
    <w:link w:val="CommentTextChar"/>
    <w:uiPriority w:val="99"/>
    <w:semiHidden/>
    <w:unhideWhenUsed/>
    <w:rsid w:val="00D07845"/>
    <w:pPr>
      <w:spacing w:line="240" w:lineRule="auto"/>
    </w:pPr>
    <w:rPr>
      <w:sz w:val="20"/>
      <w:szCs w:val="20"/>
    </w:rPr>
  </w:style>
  <w:style w:type="character" w:customStyle="1" w:styleId="CommentTextChar">
    <w:name w:val="Comment Text Char"/>
    <w:basedOn w:val="DefaultParagraphFont"/>
    <w:link w:val="CommentText"/>
    <w:uiPriority w:val="99"/>
    <w:semiHidden/>
    <w:rsid w:val="00D07845"/>
    <w:rPr>
      <w:sz w:val="20"/>
      <w:szCs w:val="20"/>
    </w:rPr>
  </w:style>
  <w:style w:type="paragraph" w:styleId="CommentSubject">
    <w:name w:val="annotation subject"/>
    <w:basedOn w:val="CommentText"/>
    <w:next w:val="CommentText"/>
    <w:link w:val="CommentSubjectChar"/>
    <w:uiPriority w:val="99"/>
    <w:semiHidden/>
    <w:unhideWhenUsed/>
    <w:rsid w:val="00D07845"/>
    <w:rPr>
      <w:b/>
      <w:bCs/>
    </w:rPr>
  </w:style>
  <w:style w:type="character" w:customStyle="1" w:styleId="CommentSubjectChar">
    <w:name w:val="Comment Subject Char"/>
    <w:basedOn w:val="CommentTextChar"/>
    <w:link w:val="CommentSubject"/>
    <w:uiPriority w:val="99"/>
    <w:semiHidden/>
    <w:rsid w:val="00D07845"/>
    <w:rPr>
      <w:b/>
      <w:bCs/>
      <w:sz w:val="20"/>
      <w:szCs w:val="20"/>
    </w:rPr>
  </w:style>
  <w:style w:type="paragraph" w:styleId="BalloonText">
    <w:name w:val="Balloon Text"/>
    <w:basedOn w:val="Normal"/>
    <w:link w:val="BalloonTextChar"/>
    <w:uiPriority w:val="99"/>
    <w:semiHidden/>
    <w:unhideWhenUsed/>
    <w:rsid w:val="00D078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845"/>
    <w:rPr>
      <w:rFonts w:ascii="Times New Roman" w:hAnsi="Times New Roman" w:cs="Times New Roman"/>
      <w:sz w:val="18"/>
      <w:szCs w:val="18"/>
    </w:rPr>
  </w:style>
  <w:style w:type="character" w:styleId="LineNumber">
    <w:name w:val="line number"/>
    <w:basedOn w:val="DefaultParagraphFont"/>
    <w:uiPriority w:val="99"/>
    <w:semiHidden/>
    <w:unhideWhenUsed/>
    <w:rsid w:val="000A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2599">
      <w:bodyDiv w:val="1"/>
      <w:marLeft w:val="0"/>
      <w:marRight w:val="0"/>
      <w:marTop w:val="0"/>
      <w:marBottom w:val="0"/>
      <w:divBdr>
        <w:top w:val="none" w:sz="0" w:space="0" w:color="auto"/>
        <w:left w:val="none" w:sz="0" w:space="0" w:color="auto"/>
        <w:bottom w:val="none" w:sz="0" w:space="0" w:color="auto"/>
        <w:right w:val="none" w:sz="0" w:space="0" w:color="auto"/>
      </w:divBdr>
    </w:div>
    <w:div w:id="85737118">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184445986">
      <w:bodyDiv w:val="1"/>
      <w:marLeft w:val="0"/>
      <w:marRight w:val="0"/>
      <w:marTop w:val="0"/>
      <w:marBottom w:val="0"/>
      <w:divBdr>
        <w:top w:val="none" w:sz="0" w:space="0" w:color="auto"/>
        <w:left w:val="none" w:sz="0" w:space="0" w:color="auto"/>
        <w:bottom w:val="none" w:sz="0" w:space="0" w:color="auto"/>
        <w:right w:val="none" w:sz="0" w:space="0" w:color="auto"/>
      </w:divBdr>
    </w:div>
    <w:div w:id="317731957">
      <w:bodyDiv w:val="1"/>
      <w:marLeft w:val="0"/>
      <w:marRight w:val="0"/>
      <w:marTop w:val="0"/>
      <w:marBottom w:val="0"/>
      <w:divBdr>
        <w:top w:val="none" w:sz="0" w:space="0" w:color="auto"/>
        <w:left w:val="none" w:sz="0" w:space="0" w:color="auto"/>
        <w:bottom w:val="none" w:sz="0" w:space="0" w:color="auto"/>
        <w:right w:val="none" w:sz="0" w:space="0" w:color="auto"/>
      </w:divBdr>
    </w:div>
    <w:div w:id="442456135">
      <w:bodyDiv w:val="1"/>
      <w:marLeft w:val="0"/>
      <w:marRight w:val="0"/>
      <w:marTop w:val="0"/>
      <w:marBottom w:val="0"/>
      <w:divBdr>
        <w:top w:val="none" w:sz="0" w:space="0" w:color="auto"/>
        <w:left w:val="none" w:sz="0" w:space="0" w:color="auto"/>
        <w:bottom w:val="none" w:sz="0" w:space="0" w:color="auto"/>
        <w:right w:val="none" w:sz="0" w:space="0" w:color="auto"/>
      </w:divBdr>
    </w:div>
    <w:div w:id="499734089">
      <w:bodyDiv w:val="1"/>
      <w:marLeft w:val="0"/>
      <w:marRight w:val="0"/>
      <w:marTop w:val="0"/>
      <w:marBottom w:val="0"/>
      <w:divBdr>
        <w:top w:val="none" w:sz="0" w:space="0" w:color="auto"/>
        <w:left w:val="none" w:sz="0" w:space="0" w:color="auto"/>
        <w:bottom w:val="none" w:sz="0" w:space="0" w:color="auto"/>
        <w:right w:val="none" w:sz="0" w:space="0" w:color="auto"/>
      </w:divBdr>
    </w:div>
    <w:div w:id="537622843">
      <w:bodyDiv w:val="1"/>
      <w:marLeft w:val="0"/>
      <w:marRight w:val="0"/>
      <w:marTop w:val="0"/>
      <w:marBottom w:val="0"/>
      <w:divBdr>
        <w:top w:val="none" w:sz="0" w:space="0" w:color="auto"/>
        <w:left w:val="none" w:sz="0" w:space="0" w:color="auto"/>
        <w:bottom w:val="none" w:sz="0" w:space="0" w:color="auto"/>
        <w:right w:val="none" w:sz="0" w:space="0" w:color="auto"/>
      </w:divBdr>
    </w:div>
    <w:div w:id="1173908435">
      <w:bodyDiv w:val="1"/>
      <w:marLeft w:val="0"/>
      <w:marRight w:val="0"/>
      <w:marTop w:val="0"/>
      <w:marBottom w:val="0"/>
      <w:divBdr>
        <w:top w:val="none" w:sz="0" w:space="0" w:color="auto"/>
        <w:left w:val="none" w:sz="0" w:space="0" w:color="auto"/>
        <w:bottom w:val="none" w:sz="0" w:space="0" w:color="auto"/>
        <w:right w:val="none" w:sz="0" w:space="0" w:color="auto"/>
      </w:divBdr>
    </w:div>
    <w:div w:id="1215237756">
      <w:bodyDiv w:val="1"/>
      <w:marLeft w:val="0"/>
      <w:marRight w:val="0"/>
      <w:marTop w:val="0"/>
      <w:marBottom w:val="0"/>
      <w:divBdr>
        <w:top w:val="none" w:sz="0" w:space="0" w:color="auto"/>
        <w:left w:val="none" w:sz="0" w:space="0" w:color="auto"/>
        <w:bottom w:val="none" w:sz="0" w:space="0" w:color="auto"/>
        <w:right w:val="none" w:sz="0" w:space="0" w:color="auto"/>
      </w:divBdr>
    </w:div>
    <w:div w:id="1356347330">
      <w:bodyDiv w:val="1"/>
      <w:marLeft w:val="0"/>
      <w:marRight w:val="0"/>
      <w:marTop w:val="0"/>
      <w:marBottom w:val="0"/>
      <w:divBdr>
        <w:top w:val="none" w:sz="0" w:space="0" w:color="auto"/>
        <w:left w:val="none" w:sz="0" w:space="0" w:color="auto"/>
        <w:bottom w:val="none" w:sz="0" w:space="0" w:color="auto"/>
        <w:right w:val="none" w:sz="0" w:space="0" w:color="auto"/>
      </w:divBdr>
    </w:div>
    <w:div w:id="1654412243">
      <w:bodyDiv w:val="1"/>
      <w:marLeft w:val="0"/>
      <w:marRight w:val="0"/>
      <w:marTop w:val="0"/>
      <w:marBottom w:val="0"/>
      <w:divBdr>
        <w:top w:val="none" w:sz="0" w:space="0" w:color="auto"/>
        <w:left w:val="none" w:sz="0" w:space="0" w:color="auto"/>
        <w:bottom w:val="none" w:sz="0" w:space="0" w:color="auto"/>
        <w:right w:val="none" w:sz="0" w:space="0" w:color="auto"/>
      </w:divBdr>
    </w:div>
    <w:div w:id="17979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een@liverpool.ac.uk"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E776-86F7-4B46-8160-13A8ABD0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26276</Words>
  <Characters>149774</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dc:description/>
  <cp:lastModifiedBy>Green, Mark</cp:lastModifiedBy>
  <cp:revision>5</cp:revision>
  <dcterms:created xsi:type="dcterms:W3CDTF">2023-02-12T18:06:00Z</dcterms:created>
  <dcterms:modified xsi:type="dcterms:W3CDTF">2023-02-14T11:07:00Z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http://www.zotero.org/styles/bmj-open</vt:lpwstr>
  </property>
  <property fmtid="{D5CDD505-2E9C-101B-9397-08002B2CF9AE}" pid="11" name="Mendeley Recent Style Name 4_1">
    <vt:lpwstr>BMJ Open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a6baa682-596c-368b-87dc-891d3370777e</vt:lpwstr>
  </property>
  <property fmtid="{D5CDD505-2E9C-101B-9397-08002B2CF9AE}" pid="24" name="Mendeley Citation Style_1">
    <vt:lpwstr>http://www.zotero.org/styles/vancouver</vt:lpwstr>
  </property>
</Properties>
</file>