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84A45" w14:textId="449A9273" w:rsidR="0088192A" w:rsidRDefault="009767E6" w:rsidP="00EF1D66">
      <w:pPr>
        <w:spacing w:line="360" w:lineRule="auto"/>
        <w:jc w:val="center"/>
        <w:rPr>
          <w:rFonts w:asciiTheme="minorHAnsi" w:hAnsiTheme="minorHAnsi" w:cstheme="minorBidi"/>
          <w:b/>
          <w:u w:val="single"/>
        </w:rPr>
      </w:pPr>
      <w:r>
        <w:rPr>
          <w:rFonts w:asciiTheme="minorHAnsi" w:hAnsiTheme="minorHAnsi" w:cstheme="minorBidi"/>
          <w:b/>
          <w:u w:val="single"/>
        </w:rPr>
        <w:t xml:space="preserve">Poor glycaemic control and </w:t>
      </w:r>
      <w:r w:rsidRPr="423C4E21">
        <w:rPr>
          <w:rFonts w:asciiTheme="minorHAnsi" w:hAnsiTheme="minorHAnsi" w:cstheme="minorBidi"/>
          <w:b/>
          <w:u w:val="single"/>
        </w:rPr>
        <w:t>ectopic fat deposition</w:t>
      </w:r>
      <w:r>
        <w:rPr>
          <w:rFonts w:asciiTheme="minorHAnsi" w:hAnsiTheme="minorHAnsi" w:cstheme="minorBidi"/>
          <w:b/>
          <w:u w:val="single"/>
        </w:rPr>
        <w:t xml:space="preserve"> mediates the increased </w:t>
      </w:r>
      <w:r w:rsidR="00FB25C1">
        <w:rPr>
          <w:rFonts w:asciiTheme="minorHAnsi" w:hAnsiTheme="minorHAnsi" w:cstheme="minorBidi"/>
          <w:b/>
          <w:u w:val="single"/>
        </w:rPr>
        <w:t>risk</w:t>
      </w:r>
      <w:r>
        <w:rPr>
          <w:rFonts w:asciiTheme="minorHAnsi" w:hAnsiTheme="minorHAnsi" w:cstheme="minorBidi"/>
          <w:b/>
          <w:u w:val="single"/>
        </w:rPr>
        <w:t xml:space="preserve"> </w:t>
      </w:r>
      <w:r w:rsidR="00775E23" w:rsidRPr="423C4E21">
        <w:rPr>
          <w:rFonts w:asciiTheme="minorHAnsi" w:hAnsiTheme="minorHAnsi" w:cstheme="minorBidi"/>
          <w:b/>
          <w:u w:val="single"/>
        </w:rPr>
        <w:t>of</w:t>
      </w:r>
      <w:r w:rsidR="002528E6" w:rsidRPr="423C4E21">
        <w:rPr>
          <w:rFonts w:asciiTheme="minorHAnsi" w:hAnsiTheme="minorHAnsi" w:cstheme="minorBidi"/>
          <w:b/>
          <w:u w:val="single"/>
        </w:rPr>
        <w:t xml:space="preserve"> non-alcoholic steatohepatitis in </w:t>
      </w:r>
      <w:r w:rsidR="00CB1B9E">
        <w:rPr>
          <w:rFonts w:asciiTheme="minorHAnsi" w:hAnsiTheme="minorHAnsi" w:cstheme="minorBidi"/>
          <w:b/>
          <w:u w:val="single"/>
        </w:rPr>
        <w:t>high-risk population</w:t>
      </w:r>
      <w:r w:rsidR="00E9267F">
        <w:rPr>
          <w:rFonts w:asciiTheme="minorHAnsi" w:hAnsiTheme="minorHAnsi" w:cstheme="minorBidi"/>
          <w:b/>
          <w:u w:val="single"/>
        </w:rPr>
        <w:t>s</w:t>
      </w:r>
      <w:r w:rsidR="00CB1B9E">
        <w:rPr>
          <w:rFonts w:asciiTheme="minorHAnsi" w:hAnsiTheme="minorHAnsi" w:cstheme="minorBidi"/>
          <w:b/>
          <w:u w:val="single"/>
        </w:rPr>
        <w:t xml:space="preserve"> </w:t>
      </w:r>
      <w:r w:rsidR="002528E6" w:rsidRPr="423C4E21">
        <w:rPr>
          <w:rFonts w:asciiTheme="minorHAnsi" w:hAnsiTheme="minorHAnsi" w:cstheme="minorBidi"/>
          <w:b/>
          <w:u w:val="single"/>
        </w:rPr>
        <w:t>with type-2 diabetes</w:t>
      </w:r>
      <w:r>
        <w:rPr>
          <w:rFonts w:asciiTheme="minorHAnsi" w:hAnsiTheme="minorHAnsi" w:cstheme="minorBidi"/>
          <w:b/>
          <w:u w:val="single"/>
        </w:rPr>
        <w:t>:</w:t>
      </w:r>
    </w:p>
    <w:p w14:paraId="0EB18B48" w14:textId="3DB143F1" w:rsidR="00365CC6" w:rsidRDefault="009767E6" w:rsidP="00EF1D66">
      <w:pPr>
        <w:spacing w:line="360" w:lineRule="auto"/>
        <w:jc w:val="center"/>
        <w:rPr>
          <w:rFonts w:asciiTheme="minorHAnsi" w:hAnsiTheme="minorHAnsi" w:cstheme="minorBidi"/>
          <w:b/>
          <w:u w:val="single"/>
        </w:rPr>
      </w:pPr>
      <w:r>
        <w:rPr>
          <w:rFonts w:asciiTheme="minorHAnsi" w:hAnsiTheme="minorHAnsi" w:cstheme="minorBidi"/>
          <w:b/>
          <w:u w:val="single"/>
        </w:rPr>
        <w:t>insights from Bayesian-network modelling</w:t>
      </w:r>
    </w:p>
    <w:p w14:paraId="25B59390" w14:textId="77777777" w:rsidR="00031394" w:rsidRDefault="00031394" w:rsidP="00F05079">
      <w:pPr>
        <w:rPr>
          <w:rFonts w:asciiTheme="minorHAnsi" w:hAnsiTheme="minorHAnsi" w:cstheme="minorHAnsi"/>
          <w:b/>
          <w:bCs/>
          <w:u w:val="single"/>
        </w:rPr>
      </w:pPr>
    </w:p>
    <w:p w14:paraId="55FBD364" w14:textId="38E98749" w:rsidR="000025C1" w:rsidRPr="00875555" w:rsidRDefault="000025C1" w:rsidP="00CB1B9E">
      <w:pPr>
        <w:rPr>
          <w:rFonts w:asciiTheme="minorHAnsi" w:hAnsiTheme="minorHAnsi" w:cstheme="minorHAnsi"/>
          <w:b/>
          <w:bCs/>
          <w:u w:val="single"/>
        </w:rPr>
      </w:pPr>
    </w:p>
    <w:p w14:paraId="71F7BAD5" w14:textId="59B8CABF" w:rsidR="000025C1" w:rsidRPr="00875555" w:rsidRDefault="007944AE" w:rsidP="55300CFE">
      <w:pPr>
        <w:jc w:val="both"/>
        <w:rPr>
          <w:rFonts w:asciiTheme="minorHAnsi" w:hAnsiTheme="minorHAnsi" w:cstheme="minorBidi"/>
        </w:rPr>
      </w:pPr>
      <w:r w:rsidRPr="55300CFE">
        <w:rPr>
          <w:rFonts w:asciiTheme="minorHAnsi" w:hAnsiTheme="minorHAnsi" w:cstheme="minorBidi"/>
          <w:b/>
          <w:bCs/>
        </w:rPr>
        <w:t>Waddell, T</w:t>
      </w:r>
      <w:r w:rsidR="00443F54" w:rsidRPr="55300CFE">
        <w:rPr>
          <w:rFonts w:asciiTheme="minorHAnsi" w:hAnsiTheme="minorHAnsi" w:cstheme="minorBidi"/>
          <w:b/>
          <w:bCs/>
          <w:vertAlign w:val="superscript"/>
        </w:rPr>
        <w:t>1,2</w:t>
      </w:r>
      <w:r w:rsidRPr="55300CFE">
        <w:rPr>
          <w:rFonts w:asciiTheme="minorHAnsi" w:hAnsiTheme="minorHAnsi" w:cstheme="minorBidi"/>
        </w:rPr>
        <w:t xml:space="preserve">., </w:t>
      </w:r>
      <w:proofErr w:type="spellStart"/>
      <w:r w:rsidRPr="55300CFE">
        <w:rPr>
          <w:rFonts w:asciiTheme="minorHAnsi" w:hAnsiTheme="minorHAnsi" w:cstheme="minorBidi"/>
        </w:rPr>
        <w:t>Namburete</w:t>
      </w:r>
      <w:proofErr w:type="spellEnd"/>
      <w:r w:rsidRPr="55300CFE">
        <w:rPr>
          <w:rFonts w:asciiTheme="minorHAnsi" w:hAnsiTheme="minorHAnsi" w:cstheme="minorBidi"/>
        </w:rPr>
        <w:t>, A</w:t>
      </w:r>
      <w:r w:rsidR="00443F54" w:rsidRPr="55300CFE">
        <w:rPr>
          <w:rFonts w:asciiTheme="minorHAnsi" w:hAnsiTheme="minorHAnsi" w:cstheme="minorBidi"/>
          <w:vertAlign w:val="superscript"/>
        </w:rPr>
        <w:t>3</w:t>
      </w:r>
      <w:r w:rsidRPr="55300CFE">
        <w:rPr>
          <w:rFonts w:asciiTheme="minorHAnsi" w:hAnsiTheme="minorHAnsi" w:cstheme="minorBidi"/>
        </w:rPr>
        <w:t>., Duckworth, P</w:t>
      </w:r>
      <w:r w:rsidR="00443F54" w:rsidRPr="55300CFE">
        <w:rPr>
          <w:rFonts w:asciiTheme="minorHAnsi" w:hAnsiTheme="minorHAnsi" w:cstheme="minorBidi"/>
          <w:vertAlign w:val="superscript"/>
        </w:rPr>
        <w:t>4</w:t>
      </w:r>
      <w:r w:rsidRPr="55300CFE">
        <w:rPr>
          <w:rFonts w:asciiTheme="minorHAnsi" w:hAnsiTheme="minorHAnsi" w:cstheme="minorBidi"/>
        </w:rPr>
        <w:t xml:space="preserve">., </w:t>
      </w:r>
      <w:proofErr w:type="spellStart"/>
      <w:r w:rsidR="002528E6">
        <w:rPr>
          <w:rFonts w:asciiTheme="minorHAnsi" w:hAnsiTheme="minorHAnsi" w:cstheme="minorBidi"/>
        </w:rPr>
        <w:t>Fichera</w:t>
      </w:r>
      <w:proofErr w:type="spellEnd"/>
      <w:r w:rsidR="002528E6">
        <w:rPr>
          <w:rFonts w:asciiTheme="minorHAnsi" w:hAnsiTheme="minorHAnsi" w:cstheme="minorBidi"/>
        </w:rPr>
        <w:t>, A</w:t>
      </w:r>
      <w:r w:rsidR="002528E6">
        <w:rPr>
          <w:rFonts w:asciiTheme="minorHAnsi" w:hAnsiTheme="minorHAnsi" w:cstheme="minorBidi"/>
          <w:vertAlign w:val="superscript"/>
        </w:rPr>
        <w:t>2</w:t>
      </w:r>
      <w:r w:rsidR="00F26D3E" w:rsidRPr="55300CFE">
        <w:rPr>
          <w:rFonts w:asciiTheme="minorHAnsi" w:hAnsiTheme="minorHAnsi" w:cstheme="minorBidi"/>
        </w:rPr>
        <w:t>.,</w:t>
      </w:r>
      <w:r w:rsidR="002528E6">
        <w:rPr>
          <w:rFonts w:asciiTheme="minorHAnsi" w:hAnsiTheme="minorHAnsi" w:cstheme="minorBidi"/>
        </w:rPr>
        <w:t xml:space="preserve"> Telford, A</w:t>
      </w:r>
      <w:r w:rsidR="002528E6">
        <w:rPr>
          <w:rFonts w:asciiTheme="minorHAnsi" w:hAnsiTheme="minorHAnsi" w:cstheme="minorBidi"/>
          <w:vertAlign w:val="superscript"/>
        </w:rPr>
        <w:t>2</w:t>
      </w:r>
      <w:r w:rsidR="002528E6">
        <w:rPr>
          <w:rFonts w:asciiTheme="minorHAnsi" w:hAnsiTheme="minorHAnsi" w:cstheme="minorBidi"/>
        </w:rPr>
        <w:t xml:space="preserve">., </w:t>
      </w:r>
      <w:proofErr w:type="spellStart"/>
      <w:r w:rsidR="002528E6" w:rsidRPr="55300CFE">
        <w:rPr>
          <w:rFonts w:asciiTheme="minorHAnsi" w:hAnsiTheme="minorHAnsi" w:cstheme="minorBidi"/>
        </w:rPr>
        <w:t>Thomaides</w:t>
      </w:r>
      <w:r w:rsidR="00F26D3E" w:rsidRPr="55300CFE">
        <w:rPr>
          <w:rFonts w:asciiTheme="minorHAnsi" w:hAnsiTheme="minorHAnsi" w:cstheme="minorBidi"/>
        </w:rPr>
        <w:t>-Brears</w:t>
      </w:r>
      <w:proofErr w:type="spellEnd"/>
      <w:r w:rsidR="00F26D3E" w:rsidRPr="55300CFE">
        <w:rPr>
          <w:rFonts w:asciiTheme="minorHAnsi" w:hAnsiTheme="minorHAnsi" w:cstheme="minorBidi"/>
        </w:rPr>
        <w:t>, H</w:t>
      </w:r>
      <w:r w:rsidR="00443F54" w:rsidRPr="55300CFE">
        <w:rPr>
          <w:rFonts w:asciiTheme="minorHAnsi" w:hAnsiTheme="minorHAnsi" w:cstheme="minorBidi"/>
          <w:vertAlign w:val="superscript"/>
        </w:rPr>
        <w:t>2</w:t>
      </w:r>
      <w:r w:rsidR="00F26D3E" w:rsidRPr="55300CFE">
        <w:rPr>
          <w:rFonts w:asciiTheme="minorHAnsi" w:hAnsiTheme="minorHAnsi" w:cstheme="minorBidi"/>
        </w:rPr>
        <w:t>.,</w:t>
      </w:r>
      <w:r w:rsidR="00852137" w:rsidRPr="55300CFE">
        <w:rPr>
          <w:rFonts w:asciiTheme="minorHAnsi" w:hAnsiTheme="minorHAnsi" w:cstheme="minorBidi"/>
        </w:rPr>
        <w:t xml:space="preserve"> Cuthbertson, D</w:t>
      </w:r>
      <w:r w:rsidR="0003183C" w:rsidRPr="55300CFE">
        <w:rPr>
          <w:rFonts w:asciiTheme="minorHAnsi" w:hAnsiTheme="minorHAnsi" w:cstheme="minorBidi"/>
        </w:rPr>
        <w:t>J</w:t>
      </w:r>
      <w:r w:rsidR="00443F54" w:rsidRPr="55300CFE">
        <w:rPr>
          <w:rFonts w:asciiTheme="minorHAnsi" w:hAnsiTheme="minorHAnsi" w:cstheme="minorBidi"/>
          <w:vertAlign w:val="superscript"/>
        </w:rPr>
        <w:t>5,6</w:t>
      </w:r>
      <w:r w:rsidR="00365CC6" w:rsidRPr="55300CFE">
        <w:rPr>
          <w:rFonts w:asciiTheme="minorHAnsi" w:hAnsiTheme="minorHAnsi" w:cstheme="minorBidi"/>
        </w:rPr>
        <w:t>., Brady, M.</w:t>
      </w:r>
      <w:r w:rsidR="00443F54" w:rsidRPr="55300CFE">
        <w:rPr>
          <w:rFonts w:asciiTheme="minorHAnsi" w:hAnsiTheme="minorHAnsi" w:cstheme="minorBidi"/>
          <w:vertAlign w:val="superscript"/>
        </w:rPr>
        <w:t>2</w:t>
      </w:r>
      <w:r w:rsidR="00365CC6" w:rsidRPr="55300CFE">
        <w:rPr>
          <w:rFonts w:asciiTheme="minorHAnsi" w:hAnsiTheme="minorHAnsi" w:cstheme="minorBidi"/>
        </w:rPr>
        <w:t xml:space="preserve">. </w:t>
      </w:r>
    </w:p>
    <w:p w14:paraId="72B718F6" w14:textId="77777777" w:rsidR="000025C1" w:rsidRPr="00875555" w:rsidRDefault="000025C1" w:rsidP="000025C1">
      <w:pPr>
        <w:jc w:val="both"/>
        <w:rPr>
          <w:rFonts w:asciiTheme="minorHAnsi" w:hAnsiTheme="minorHAnsi" w:cstheme="minorHAnsi"/>
          <w:b/>
          <w:bCs/>
        </w:rPr>
      </w:pPr>
    </w:p>
    <w:p w14:paraId="07E9E66A" w14:textId="77777777" w:rsidR="000025C1" w:rsidRPr="00875555" w:rsidRDefault="000025C1" w:rsidP="000025C1">
      <w:pPr>
        <w:jc w:val="both"/>
        <w:rPr>
          <w:rFonts w:asciiTheme="minorHAnsi" w:hAnsiTheme="minorHAnsi" w:cstheme="minorHAnsi"/>
          <w:b/>
          <w:bCs/>
        </w:rPr>
      </w:pPr>
    </w:p>
    <w:p w14:paraId="30840831" w14:textId="601067EA" w:rsidR="00B7784F" w:rsidRPr="00875555" w:rsidRDefault="00A65069" w:rsidP="000025C1">
      <w:pPr>
        <w:jc w:val="both"/>
        <w:rPr>
          <w:rFonts w:asciiTheme="minorHAnsi" w:hAnsiTheme="minorHAnsi" w:cstheme="minorHAnsi"/>
        </w:rPr>
      </w:pPr>
      <w:r w:rsidRPr="00875555">
        <w:rPr>
          <w:rFonts w:asciiTheme="minorHAnsi" w:hAnsiTheme="minorHAnsi" w:cstheme="minorHAnsi"/>
          <w:vertAlign w:val="superscript"/>
        </w:rPr>
        <w:t>1</w:t>
      </w:r>
      <w:r w:rsidR="00597523" w:rsidRPr="00875555">
        <w:rPr>
          <w:rFonts w:asciiTheme="minorHAnsi" w:hAnsiTheme="minorHAnsi" w:cstheme="minorHAnsi"/>
        </w:rPr>
        <w:t xml:space="preserve"> </w:t>
      </w:r>
      <w:r w:rsidRPr="00875555">
        <w:rPr>
          <w:rFonts w:asciiTheme="minorHAnsi" w:hAnsiTheme="minorHAnsi" w:cstheme="minorHAnsi"/>
        </w:rPr>
        <w:t>Department of Engineering Science, The University of Oxford</w:t>
      </w:r>
      <w:r w:rsidR="00597523" w:rsidRPr="00875555">
        <w:rPr>
          <w:rFonts w:asciiTheme="minorHAnsi" w:hAnsiTheme="minorHAnsi" w:cstheme="minorHAnsi"/>
        </w:rPr>
        <w:t>, Oxford, UK</w:t>
      </w:r>
      <w:r w:rsidR="00B7784F" w:rsidRPr="00875555">
        <w:rPr>
          <w:rFonts w:asciiTheme="minorHAnsi" w:hAnsiTheme="minorHAnsi" w:cstheme="minorHAnsi"/>
        </w:rPr>
        <w:t>.</w:t>
      </w:r>
    </w:p>
    <w:p w14:paraId="118D3E35" w14:textId="32179AD5" w:rsidR="00A65069" w:rsidRPr="00875555" w:rsidRDefault="00A65069" w:rsidP="0017654B">
      <w:pPr>
        <w:ind w:left="720" w:hanging="720"/>
        <w:jc w:val="both"/>
        <w:rPr>
          <w:rFonts w:asciiTheme="minorHAnsi" w:hAnsiTheme="minorHAnsi" w:cstheme="minorHAnsi"/>
        </w:rPr>
      </w:pPr>
      <w:r w:rsidRPr="00875555">
        <w:rPr>
          <w:rFonts w:asciiTheme="minorHAnsi" w:hAnsiTheme="minorHAnsi" w:cstheme="minorHAnsi"/>
          <w:vertAlign w:val="superscript"/>
        </w:rPr>
        <w:t>2</w:t>
      </w:r>
      <w:r w:rsidRPr="00875555">
        <w:rPr>
          <w:rFonts w:asciiTheme="minorHAnsi" w:hAnsiTheme="minorHAnsi" w:cstheme="minorHAnsi"/>
        </w:rPr>
        <w:t xml:space="preserve"> Perspectum Ltd</w:t>
      </w:r>
      <w:r w:rsidR="00B7784F" w:rsidRPr="00875555">
        <w:rPr>
          <w:rFonts w:asciiTheme="minorHAnsi" w:hAnsiTheme="minorHAnsi" w:cstheme="minorHAnsi"/>
        </w:rPr>
        <w:t>, Oxford, UK.</w:t>
      </w:r>
    </w:p>
    <w:p w14:paraId="74BF69C6" w14:textId="767D0509" w:rsidR="00443F54" w:rsidRPr="00875555" w:rsidRDefault="00443F54" w:rsidP="00B23922">
      <w:pPr>
        <w:ind w:left="720" w:hanging="720"/>
        <w:jc w:val="both"/>
        <w:rPr>
          <w:rFonts w:asciiTheme="minorHAnsi" w:hAnsiTheme="minorHAnsi" w:cstheme="minorHAnsi"/>
        </w:rPr>
      </w:pPr>
      <w:r w:rsidRPr="00875555">
        <w:rPr>
          <w:rFonts w:asciiTheme="minorHAnsi" w:hAnsiTheme="minorHAnsi" w:cstheme="minorHAnsi"/>
          <w:vertAlign w:val="superscript"/>
        </w:rPr>
        <w:t>3</w:t>
      </w:r>
      <w:r w:rsidRPr="00875555">
        <w:rPr>
          <w:rFonts w:asciiTheme="minorHAnsi" w:hAnsiTheme="minorHAnsi" w:cstheme="minorHAnsi"/>
        </w:rPr>
        <w:t xml:space="preserve"> Department of Computer Science, The University of Oxford, Oxford, UK. </w:t>
      </w:r>
    </w:p>
    <w:p w14:paraId="3B858FF4" w14:textId="683609BB" w:rsidR="00443F54" w:rsidRDefault="00443F54" w:rsidP="00443F54">
      <w:pPr>
        <w:ind w:left="720" w:hanging="720"/>
        <w:jc w:val="both"/>
        <w:rPr>
          <w:rFonts w:asciiTheme="minorHAnsi" w:hAnsiTheme="minorHAnsi" w:cstheme="minorHAnsi"/>
        </w:rPr>
      </w:pPr>
      <w:r w:rsidRPr="00875555">
        <w:rPr>
          <w:rFonts w:asciiTheme="minorHAnsi" w:hAnsiTheme="minorHAnsi" w:cstheme="minorHAnsi"/>
          <w:vertAlign w:val="superscript"/>
        </w:rPr>
        <w:t>4</w:t>
      </w:r>
      <w:r w:rsidRPr="00875555">
        <w:rPr>
          <w:rFonts w:asciiTheme="minorHAnsi" w:hAnsiTheme="minorHAnsi" w:cstheme="minorHAnsi"/>
        </w:rPr>
        <w:t xml:space="preserve"> Oxford Robotics Institute, The University of Oxford, Oxford, UK. </w:t>
      </w:r>
    </w:p>
    <w:p w14:paraId="231F4C00" w14:textId="768D6DAD" w:rsidR="00B7784F" w:rsidRPr="00875555" w:rsidRDefault="00443F54" w:rsidP="00B23922">
      <w:pPr>
        <w:ind w:left="720" w:hanging="720"/>
        <w:jc w:val="both"/>
        <w:rPr>
          <w:rFonts w:asciiTheme="minorHAnsi" w:hAnsiTheme="minorHAnsi" w:cstheme="minorHAnsi"/>
        </w:rPr>
      </w:pPr>
      <w:r w:rsidRPr="00875555">
        <w:rPr>
          <w:rFonts w:asciiTheme="minorHAnsi" w:hAnsiTheme="minorHAnsi" w:cstheme="minorHAnsi"/>
          <w:vertAlign w:val="superscript"/>
        </w:rPr>
        <w:t>5</w:t>
      </w:r>
      <w:r w:rsidR="00B7784F" w:rsidRPr="00875555">
        <w:rPr>
          <w:rFonts w:asciiTheme="minorHAnsi" w:hAnsiTheme="minorHAnsi" w:cstheme="minorHAnsi"/>
        </w:rPr>
        <w:t xml:space="preserve"> Department of Cardiovascular and Metabolic Medicine, Institute of Life Course and Medical</w:t>
      </w:r>
      <w:r w:rsidRPr="00875555">
        <w:rPr>
          <w:rFonts w:asciiTheme="minorHAnsi" w:hAnsiTheme="minorHAnsi" w:cstheme="minorHAnsi"/>
        </w:rPr>
        <w:t xml:space="preserve"> </w:t>
      </w:r>
      <w:r w:rsidR="00B7784F" w:rsidRPr="00875555">
        <w:rPr>
          <w:rFonts w:asciiTheme="minorHAnsi" w:hAnsiTheme="minorHAnsi" w:cstheme="minorHAnsi"/>
        </w:rPr>
        <w:t>Sciences, University of Liverpool</w:t>
      </w:r>
      <w:r w:rsidRPr="00875555">
        <w:rPr>
          <w:rFonts w:asciiTheme="minorHAnsi" w:hAnsiTheme="minorHAnsi" w:cstheme="minorHAnsi"/>
        </w:rPr>
        <w:t xml:space="preserve">, Liverpool, UK. </w:t>
      </w:r>
    </w:p>
    <w:p w14:paraId="1CACF038" w14:textId="0F6CACB3" w:rsidR="00443F54" w:rsidRPr="00875555" w:rsidRDefault="00443F54" w:rsidP="00B23922">
      <w:pPr>
        <w:ind w:left="720" w:hanging="720"/>
        <w:jc w:val="both"/>
        <w:rPr>
          <w:rFonts w:asciiTheme="minorHAnsi" w:hAnsiTheme="minorHAnsi" w:cstheme="minorHAnsi"/>
        </w:rPr>
      </w:pPr>
      <w:r w:rsidRPr="00875555">
        <w:rPr>
          <w:rFonts w:asciiTheme="minorHAnsi" w:hAnsiTheme="minorHAnsi" w:cstheme="minorHAnsi"/>
          <w:vertAlign w:val="superscript"/>
        </w:rPr>
        <w:t>6</w:t>
      </w:r>
      <w:r w:rsidRPr="00875555">
        <w:rPr>
          <w:rFonts w:asciiTheme="minorHAnsi" w:hAnsiTheme="minorHAnsi" w:cstheme="minorHAnsi"/>
        </w:rPr>
        <w:t xml:space="preserve"> Liverpool University Hospitals NHS Foundation Trust, Liverpool, UK. </w:t>
      </w:r>
    </w:p>
    <w:p w14:paraId="3D5828A4" w14:textId="77777777" w:rsidR="00B7784F" w:rsidRPr="00875555" w:rsidRDefault="00B7784F" w:rsidP="00B23922">
      <w:pPr>
        <w:ind w:left="720" w:hanging="720"/>
        <w:jc w:val="both"/>
        <w:rPr>
          <w:rFonts w:asciiTheme="minorHAnsi" w:hAnsiTheme="minorHAnsi" w:cstheme="minorHAnsi"/>
        </w:rPr>
      </w:pPr>
    </w:p>
    <w:p w14:paraId="3BAA632F" w14:textId="77777777" w:rsidR="00770FC5" w:rsidRPr="00875555" w:rsidRDefault="00770FC5" w:rsidP="000025C1">
      <w:pPr>
        <w:jc w:val="both"/>
        <w:rPr>
          <w:rFonts w:asciiTheme="minorHAnsi" w:hAnsiTheme="minorHAnsi" w:cstheme="minorHAnsi"/>
        </w:rPr>
      </w:pPr>
    </w:p>
    <w:p w14:paraId="385318A6" w14:textId="1DB268D6" w:rsidR="005023D3" w:rsidRPr="00875555" w:rsidRDefault="00C5538A" w:rsidP="000025C1">
      <w:pPr>
        <w:jc w:val="both"/>
        <w:rPr>
          <w:rFonts w:asciiTheme="minorHAnsi" w:hAnsiTheme="minorHAnsi" w:cstheme="minorHAnsi"/>
          <w:u w:val="single"/>
        </w:rPr>
      </w:pPr>
      <w:r w:rsidRPr="00875555">
        <w:rPr>
          <w:rFonts w:asciiTheme="minorHAnsi" w:hAnsiTheme="minorHAnsi" w:cstheme="minorHAnsi"/>
          <w:u w:val="single"/>
        </w:rPr>
        <w:t>Correspond</w:t>
      </w:r>
      <w:r w:rsidR="0036169E" w:rsidRPr="00875555">
        <w:rPr>
          <w:rFonts w:asciiTheme="minorHAnsi" w:hAnsiTheme="minorHAnsi" w:cstheme="minorHAnsi"/>
          <w:u w:val="single"/>
        </w:rPr>
        <w:t>ence</w:t>
      </w:r>
    </w:p>
    <w:p w14:paraId="3B9EAA7F" w14:textId="77777777" w:rsidR="00554E19" w:rsidRPr="00875555" w:rsidRDefault="0036169E" w:rsidP="000025C1">
      <w:pPr>
        <w:jc w:val="both"/>
        <w:rPr>
          <w:rFonts w:asciiTheme="minorHAnsi" w:hAnsiTheme="minorHAnsi" w:cstheme="minorHAnsi"/>
        </w:rPr>
      </w:pPr>
      <w:r w:rsidRPr="00875555">
        <w:rPr>
          <w:rFonts w:asciiTheme="minorHAnsi" w:hAnsiTheme="minorHAnsi" w:cstheme="minorHAnsi"/>
        </w:rPr>
        <w:t>Tom Waddell</w:t>
      </w:r>
      <w:r w:rsidR="00554E19" w:rsidRPr="00875555">
        <w:rPr>
          <w:rFonts w:asciiTheme="minorHAnsi" w:hAnsiTheme="minorHAnsi" w:cstheme="minorHAnsi"/>
        </w:rPr>
        <w:t xml:space="preserve"> </w:t>
      </w:r>
    </w:p>
    <w:p w14:paraId="5E638D53" w14:textId="766FD72C" w:rsidR="005023D3" w:rsidRPr="00875555" w:rsidRDefault="00554E19" w:rsidP="000025C1">
      <w:pPr>
        <w:jc w:val="both"/>
        <w:rPr>
          <w:rFonts w:asciiTheme="minorHAnsi" w:hAnsiTheme="minorHAnsi" w:cstheme="minorHAnsi"/>
        </w:rPr>
      </w:pPr>
      <w:r w:rsidRPr="00875555">
        <w:rPr>
          <w:rFonts w:asciiTheme="minorHAnsi" w:hAnsiTheme="minorHAnsi" w:cstheme="minorHAnsi"/>
        </w:rPr>
        <w:t xml:space="preserve">Department of Engineering Science, The University of Oxford, Oxford, UK. </w:t>
      </w:r>
    </w:p>
    <w:p w14:paraId="6548DB61" w14:textId="424917E3" w:rsidR="00770FC5" w:rsidRDefault="00554E19" w:rsidP="000025C1">
      <w:pPr>
        <w:jc w:val="both"/>
        <w:rPr>
          <w:rFonts w:asciiTheme="minorHAnsi" w:hAnsiTheme="minorHAnsi" w:cstheme="minorHAnsi"/>
        </w:rPr>
      </w:pPr>
      <w:r w:rsidRPr="00875555">
        <w:rPr>
          <w:rFonts w:asciiTheme="minorHAnsi" w:hAnsiTheme="minorHAnsi" w:cstheme="minorHAnsi"/>
        </w:rPr>
        <w:t xml:space="preserve">Email: </w:t>
      </w:r>
      <w:hyperlink r:id="rId10" w:history="1">
        <w:r w:rsidR="00253FB0" w:rsidRPr="008A532C">
          <w:rPr>
            <w:rStyle w:val="Hyperlink"/>
            <w:rFonts w:asciiTheme="minorHAnsi" w:hAnsiTheme="minorHAnsi" w:cstheme="minorHAnsi"/>
          </w:rPr>
          <w:t>tom.waddell@magd.ox.ac.uk</w:t>
        </w:r>
      </w:hyperlink>
    </w:p>
    <w:p w14:paraId="0B29C186" w14:textId="7816E710" w:rsidR="00253FB0" w:rsidRDefault="00253FB0" w:rsidP="000025C1">
      <w:pPr>
        <w:jc w:val="both"/>
        <w:rPr>
          <w:rFonts w:asciiTheme="minorHAnsi" w:hAnsiTheme="minorHAnsi" w:cstheme="minorHAnsi"/>
        </w:rPr>
      </w:pPr>
    </w:p>
    <w:p w14:paraId="21AB3718" w14:textId="29495F75" w:rsidR="00253FB0" w:rsidRPr="00253FB0" w:rsidRDefault="00253FB0" w:rsidP="000025C1">
      <w:pPr>
        <w:jc w:val="both"/>
        <w:rPr>
          <w:rFonts w:asciiTheme="minorHAnsi" w:hAnsiTheme="minorHAnsi" w:cstheme="minorHAnsi"/>
        </w:rPr>
      </w:pPr>
      <w:r w:rsidRPr="00253FB0">
        <w:rPr>
          <w:rFonts w:asciiTheme="minorHAnsi" w:hAnsiTheme="minorHAnsi" w:cstheme="minorHAnsi"/>
          <w:u w:val="single"/>
        </w:rPr>
        <w:t>Keywords:</w:t>
      </w:r>
      <w:r w:rsidRPr="00253FB0">
        <w:rPr>
          <w:rFonts w:asciiTheme="minorHAnsi" w:hAnsiTheme="minorHAnsi" w:cstheme="minorHAnsi"/>
        </w:rPr>
        <w:t xml:space="preserve"> ectopic fat, type-2 diabetes, non-alcoholic steatohepatitis, imaging.</w:t>
      </w:r>
    </w:p>
    <w:p w14:paraId="4B811CDE" w14:textId="77777777" w:rsidR="00C5538A" w:rsidRDefault="00C5538A" w:rsidP="000025C1">
      <w:pPr>
        <w:jc w:val="both"/>
        <w:rPr>
          <w:rFonts w:asciiTheme="minorHAnsi" w:hAnsiTheme="minorHAnsi" w:cstheme="minorHAnsi"/>
        </w:rPr>
      </w:pPr>
    </w:p>
    <w:p w14:paraId="09598091" w14:textId="261FC738" w:rsidR="00DF5A6A" w:rsidRPr="00875555" w:rsidRDefault="00DF5A6A" w:rsidP="000025C1">
      <w:pPr>
        <w:jc w:val="both"/>
        <w:rPr>
          <w:rFonts w:asciiTheme="minorHAnsi" w:hAnsiTheme="minorHAnsi" w:cstheme="minorHAnsi"/>
        </w:rPr>
      </w:pPr>
      <w:r w:rsidRPr="007760FA">
        <w:rPr>
          <w:rFonts w:asciiTheme="minorHAnsi" w:hAnsiTheme="minorHAnsi" w:cstheme="minorHAnsi"/>
          <w:u w:val="single"/>
        </w:rPr>
        <w:t>Word count</w:t>
      </w:r>
      <w:r w:rsidRPr="007760FA">
        <w:rPr>
          <w:rFonts w:asciiTheme="minorHAnsi" w:hAnsiTheme="minorHAnsi" w:cstheme="minorHAnsi"/>
        </w:rPr>
        <w:t xml:space="preserve">: </w:t>
      </w:r>
      <w:r w:rsidR="00997869">
        <w:rPr>
          <w:rFonts w:asciiTheme="minorHAnsi" w:hAnsiTheme="minorHAnsi" w:cstheme="minorHAnsi"/>
        </w:rPr>
        <w:t>2316</w:t>
      </w:r>
    </w:p>
    <w:p w14:paraId="52D23E66" w14:textId="77777777" w:rsidR="00C5538A" w:rsidRPr="00875555" w:rsidRDefault="00C5538A" w:rsidP="000025C1">
      <w:pPr>
        <w:jc w:val="both"/>
        <w:rPr>
          <w:rFonts w:asciiTheme="minorHAnsi" w:hAnsiTheme="minorHAnsi" w:cstheme="minorHAnsi"/>
        </w:rPr>
      </w:pPr>
    </w:p>
    <w:p w14:paraId="709AC8C4" w14:textId="4296B217" w:rsidR="00770FC5" w:rsidRPr="00875555" w:rsidRDefault="00770FC5" w:rsidP="000025C1">
      <w:pPr>
        <w:jc w:val="both"/>
        <w:rPr>
          <w:rFonts w:asciiTheme="minorHAnsi" w:hAnsiTheme="minorHAnsi" w:cstheme="minorHAnsi"/>
          <w:u w:val="single"/>
        </w:rPr>
      </w:pPr>
      <w:r w:rsidRPr="00875555">
        <w:rPr>
          <w:rFonts w:asciiTheme="minorHAnsi" w:hAnsiTheme="minorHAnsi" w:cstheme="minorHAnsi"/>
          <w:u w:val="single"/>
        </w:rPr>
        <w:t>Competing interests</w:t>
      </w:r>
    </w:p>
    <w:p w14:paraId="429A1803" w14:textId="7E540131" w:rsidR="00A65069" w:rsidRPr="00875555" w:rsidRDefault="00E978D2" w:rsidP="002528E6">
      <w:pPr>
        <w:rPr>
          <w:rFonts w:asciiTheme="minorHAnsi" w:hAnsiTheme="minorHAnsi" w:cstheme="minorHAnsi"/>
          <w:b/>
          <w:bCs/>
        </w:rPr>
      </w:pPr>
      <w:r w:rsidRPr="00875555">
        <w:rPr>
          <w:rFonts w:asciiTheme="minorHAnsi" w:hAnsiTheme="minorHAnsi" w:cstheme="minorHAnsi"/>
          <w:shd w:val="clear" w:color="auto" w:fill="FFFFFF"/>
        </w:rPr>
        <w:t xml:space="preserve">TW: shareholder and employee at Perspectum; </w:t>
      </w:r>
      <w:r w:rsidR="00E40335">
        <w:rPr>
          <w:rFonts w:asciiTheme="minorHAnsi" w:hAnsiTheme="minorHAnsi" w:cstheme="minorHAnsi"/>
          <w:shd w:val="clear" w:color="auto" w:fill="FFFFFF"/>
        </w:rPr>
        <w:t xml:space="preserve">AF: </w:t>
      </w:r>
      <w:r w:rsidR="00E40335" w:rsidRPr="00875555">
        <w:rPr>
          <w:rFonts w:asciiTheme="minorHAnsi" w:hAnsiTheme="minorHAnsi" w:cstheme="minorHAnsi"/>
          <w:shd w:val="clear" w:color="auto" w:fill="FFFFFF"/>
        </w:rPr>
        <w:t>employee at Perspectum</w:t>
      </w:r>
      <w:r w:rsidR="00E40335">
        <w:rPr>
          <w:rFonts w:asciiTheme="minorHAnsi" w:hAnsiTheme="minorHAnsi" w:cstheme="minorHAnsi"/>
          <w:shd w:val="clear" w:color="auto" w:fill="FFFFFF"/>
        </w:rPr>
        <w:t xml:space="preserve">; AT: </w:t>
      </w:r>
      <w:r w:rsidR="00E40335" w:rsidRPr="00875555">
        <w:rPr>
          <w:rFonts w:asciiTheme="minorHAnsi" w:hAnsiTheme="minorHAnsi" w:cstheme="minorHAnsi"/>
          <w:shd w:val="clear" w:color="auto" w:fill="FFFFFF"/>
        </w:rPr>
        <w:t>employee at Perspectum</w:t>
      </w:r>
      <w:r w:rsidR="00E40335">
        <w:rPr>
          <w:rFonts w:asciiTheme="minorHAnsi" w:hAnsiTheme="minorHAnsi" w:cstheme="minorHAnsi"/>
          <w:shd w:val="clear" w:color="auto" w:fill="FFFFFF"/>
        </w:rPr>
        <w:t xml:space="preserve">; </w:t>
      </w:r>
      <w:r w:rsidRPr="00875555">
        <w:rPr>
          <w:rFonts w:asciiTheme="minorHAnsi" w:hAnsiTheme="minorHAnsi" w:cstheme="minorHAnsi"/>
          <w:shd w:val="clear" w:color="auto" w:fill="FFFFFF"/>
        </w:rPr>
        <w:t>HTB: shareholder and employee at Perspectum; MB: shareholder and executive at Perspectum; DJC: investigator-initiated research funding from AstraZeneca plc and Novo Nordisk A/S</w:t>
      </w:r>
      <w:r w:rsidR="002528E6">
        <w:rPr>
          <w:rFonts w:asciiTheme="minorHAnsi" w:hAnsiTheme="minorHAnsi" w:cstheme="minorHAnsi"/>
          <w:shd w:val="clear" w:color="auto" w:fill="FFFFFF"/>
        </w:rPr>
        <w:t>.</w:t>
      </w:r>
    </w:p>
    <w:p w14:paraId="5DD9DD74" w14:textId="77777777" w:rsidR="00A65069" w:rsidRPr="00875555" w:rsidRDefault="00A65069" w:rsidP="000025C1">
      <w:pPr>
        <w:jc w:val="both"/>
        <w:rPr>
          <w:rFonts w:asciiTheme="minorHAnsi" w:hAnsiTheme="minorHAnsi" w:cstheme="minorHAnsi"/>
          <w:b/>
          <w:bCs/>
        </w:rPr>
      </w:pPr>
    </w:p>
    <w:p w14:paraId="75CDCCC8" w14:textId="79F387E1" w:rsidR="00EF1D66" w:rsidRDefault="00EF1D66">
      <w:pPr>
        <w:rPr>
          <w:rFonts w:asciiTheme="minorHAnsi" w:hAnsiTheme="minorHAnsi" w:cstheme="minorHAnsi"/>
          <w:b/>
          <w:bCs/>
        </w:rPr>
      </w:pPr>
      <w:r>
        <w:rPr>
          <w:rFonts w:asciiTheme="minorHAnsi" w:hAnsiTheme="minorHAnsi" w:cstheme="minorHAnsi"/>
          <w:b/>
          <w:bCs/>
        </w:rPr>
        <w:br w:type="page"/>
      </w:r>
    </w:p>
    <w:p w14:paraId="0EB0C771" w14:textId="77777777" w:rsidR="00D9365E" w:rsidRDefault="00D9365E">
      <w:pPr>
        <w:rPr>
          <w:rFonts w:asciiTheme="minorHAnsi" w:hAnsiTheme="minorHAnsi" w:cstheme="minorHAnsi"/>
          <w:b/>
          <w:bCs/>
        </w:rPr>
      </w:pPr>
    </w:p>
    <w:p w14:paraId="2713DAEA" w14:textId="27B4D05B" w:rsidR="000025C1" w:rsidRPr="00875555" w:rsidRDefault="000025C1" w:rsidP="001F3B13">
      <w:pPr>
        <w:spacing w:line="480" w:lineRule="auto"/>
        <w:jc w:val="both"/>
        <w:rPr>
          <w:rFonts w:asciiTheme="minorHAnsi" w:hAnsiTheme="minorHAnsi" w:cstheme="minorHAnsi"/>
          <w:b/>
          <w:bCs/>
        </w:rPr>
      </w:pPr>
      <w:r w:rsidRPr="00875555">
        <w:rPr>
          <w:rFonts w:asciiTheme="minorHAnsi" w:hAnsiTheme="minorHAnsi" w:cstheme="minorHAnsi"/>
          <w:b/>
          <w:bCs/>
        </w:rPr>
        <w:t xml:space="preserve">Abstract </w:t>
      </w:r>
      <w:r w:rsidR="00DF5A6A">
        <w:rPr>
          <w:rFonts w:asciiTheme="minorHAnsi" w:hAnsiTheme="minorHAnsi" w:cstheme="minorHAnsi"/>
          <w:b/>
          <w:bCs/>
        </w:rPr>
        <w:t>– word count:</w:t>
      </w:r>
      <w:r w:rsidR="008D283D">
        <w:rPr>
          <w:rFonts w:asciiTheme="minorHAnsi" w:hAnsiTheme="minorHAnsi" w:cstheme="minorHAnsi"/>
          <w:b/>
          <w:bCs/>
        </w:rPr>
        <w:t xml:space="preserve"> </w:t>
      </w:r>
      <w:r w:rsidR="006A0F12">
        <w:rPr>
          <w:rFonts w:asciiTheme="minorHAnsi" w:hAnsiTheme="minorHAnsi" w:cstheme="minorHAnsi"/>
          <w:b/>
          <w:bCs/>
        </w:rPr>
        <w:t>30</w:t>
      </w:r>
      <w:r w:rsidR="00A23D95">
        <w:rPr>
          <w:rFonts w:asciiTheme="minorHAnsi" w:hAnsiTheme="minorHAnsi" w:cstheme="minorHAnsi"/>
          <w:b/>
          <w:bCs/>
        </w:rPr>
        <w:t>5</w:t>
      </w:r>
      <w:r w:rsidR="00E931DF">
        <w:rPr>
          <w:rFonts w:asciiTheme="minorHAnsi" w:hAnsiTheme="minorHAnsi" w:cstheme="minorHAnsi"/>
          <w:b/>
          <w:bCs/>
        </w:rPr>
        <w:t>/350</w:t>
      </w:r>
    </w:p>
    <w:p w14:paraId="498AB9DA" w14:textId="2EC4DFB3" w:rsidR="001350D8" w:rsidRPr="00310B70" w:rsidRDefault="0BE3C847" w:rsidP="793D86E8">
      <w:pPr>
        <w:spacing w:line="480" w:lineRule="auto"/>
        <w:jc w:val="both"/>
        <w:rPr>
          <w:rFonts w:asciiTheme="minorHAnsi" w:hAnsiTheme="minorHAnsi" w:cstheme="minorBidi"/>
          <w:sz w:val="10"/>
          <w:szCs w:val="10"/>
          <w:u w:val="single"/>
        </w:rPr>
      </w:pPr>
      <w:r w:rsidRPr="793D86E8">
        <w:rPr>
          <w:rFonts w:asciiTheme="minorHAnsi" w:hAnsiTheme="minorHAnsi" w:cstheme="minorBidi"/>
          <w:b/>
          <w:bCs/>
          <w:i/>
          <w:iCs/>
        </w:rPr>
        <w:t>Background</w:t>
      </w:r>
      <w:r w:rsidRPr="793D86E8">
        <w:rPr>
          <w:rFonts w:asciiTheme="minorHAnsi" w:hAnsiTheme="minorHAnsi" w:cstheme="minorBidi"/>
        </w:rPr>
        <w:t xml:space="preserve"> An</w:t>
      </w:r>
      <w:r w:rsidR="70A35624" w:rsidRPr="793D86E8">
        <w:rPr>
          <w:rFonts w:asciiTheme="minorHAnsi" w:hAnsiTheme="minorHAnsi" w:cstheme="minorBidi"/>
        </w:rPr>
        <w:t xml:space="preserve"> estimated</w:t>
      </w:r>
      <w:r w:rsidR="18497C0E" w:rsidRPr="793D86E8">
        <w:rPr>
          <w:rFonts w:asciiTheme="minorHAnsi" w:hAnsiTheme="minorHAnsi" w:cstheme="minorBidi"/>
        </w:rPr>
        <w:t xml:space="preserve"> 55.5% </w:t>
      </w:r>
      <w:r w:rsidR="0837DB22" w:rsidRPr="793D86E8">
        <w:rPr>
          <w:rFonts w:asciiTheme="minorHAnsi" w:hAnsiTheme="minorHAnsi" w:cstheme="minorBidi"/>
        </w:rPr>
        <w:t xml:space="preserve">and </w:t>
      </w:r>
      <w:r w:rsidR="005B6A64">
        <w:rPr>
          <w:rFonts w:asciiTheme="minorHAnsi" w:hAnsiTheme="minorHAnsi" w:cstheme="minorBidi"/>
        </w:rPr>
        <w:t>3</w:t>
      </w:r>
      <w:r w:rsidR="70A35624" w:rsidRPr="793D86E8">
        <w:rPr>
          <w:rFonts w:asciiTheme="minorHAnsi" w:hAnsiTheme="minorHAnsi" w:cstheme="minorBidi"/>
        </w:rPr>
        <w:t xml:space="preserve">7.3% of people </w:t>
      </w:r>
      <w:r w:rsidR="1979D59C" w:rsidRPr="793D86E8">
        <w:rPr>
          <w:rFonts w:asciiTheme="minorHAnsi" w:hAnsiTheme="minorHAnsi" w:cstheme="minorBidi"/>
        </w:rPr>
        <w:t xml:space="preserve">globally </w:t>
      </w:r>
      <w:r w:rsidR="70A35624" w:rsidRPr="793D86E8">
        <w:rPr>
          <w:rFonts w:asciiTheme="minorHAnsi" w:hAnsiTheme="minorHAnsi" w:cstheme="minorBidi"/>
        </w:rPr>
        <w:t xml:space="preserve">with </w:t>
      </w:r>
      <w:r w:rsidR="4EEF3211" w:rsidRPr="793D86E8">
        <w:rPr>
          <w:rFonts w:asciiTheme="minorHAnsi" w:hAnsiTheme="minorHAnsi" w:cstheme="minorBidi"/>
        </w:rPr>
        <w:t>type</w:t>
      </w:r>
      <w:r w:rsidR="316B130E" w:rsidRPr="793D86E8">
        <w:rPr>
          <w:rFonts w:asciiTheme="minorHAnsi" w:hAnsiTheme="minorHAnsi" w:cstheme="minorBidi"/>
        </w:rPr>
        <w:t xml:space="preserve"> </w:t>
      </w:r>
      <w:r w:rsidR="4EEF3211" w:rsidRPr="793D86E8">
        <w:rPr>
          <w:rFonts w:asciiTheme="minorHAnsi" w:hAnsiTheme="minorHAnsi" w:cstheme="minorBidi"/>
        </w:rPr>
        <w:t>2 diabetes (</w:t>
      </w:r>
      <w:r w:rsidR="70A35624" w:rsidRPr="793D86E8">
        <w:rPr>
          <w:rFonts w:asciiTheme="minorHAnsi" w:hAnsiTheme="minorHAnsi" w:cstheme="minorBidi"/>
        </w:rPr>
        <w:t>T2D</w:t>
      </w:r>
      <w:r w:rsidR="4EEF3211" w:rsidRPr="793D86E8">
        <w:rPr>
          <w:rFonts w:asciiTheme="minorHAnsi" w:hAnsiTheme="minorHAnsi" w:cstheme="minorBidi"/>
        </w:rPr>
        <w:t>)</w:t>
      </w:r>
      <w:r w:rsidR="70A35624" w:rsidRPr="793D86E8">
        <w:rPr>
          <w:rFonts w:asciiTheme="minorHAnsi" w:hAnsiTheme="minorHAnsi" w:cstheme="minorBidi"/>
        </w:rPr>
        <w:t xml:space="preserve"> </w:t>
      </w:r>
      <w:r w:rsidR="316B130E" w:rsidRPr="793D86E8">
        <w:rPr>
          <w:rFonts w:asciiTheme="minorHAnsi" w:hAnsiTheme="minorHAnsi" w:cstheme="minorBidi"/>
        </w:rPr>
        <w:t xml:space="preserve">will have </w:t>
      </w:r>
      <w:r w:rsidR="21A54FE0" w:rsidRPr="793D86E8">
        <w:rPr>
          <w:rFonts w:asciiTheme="minorHAnsi" w:hAnsiTheme="minorHAnsi" w:cstheme="minorBidi"/>
        </w:rPr>
        <w:t xml:space="preserve">concomitant </w:t>
      </w:r>
      <w:r w:rsidR="18497C0E" w:rsidRPr="793D86E8">
        <w:rPr>
          <w:rFonts w:asciiTheme="minorHAnsi" w:hAnsiTheme="minorHAnsi" w:cstheme="minorBidi"/>
        </w:rPr>
        <w:t xml:space="preserve">non-alcoholic fatty liver disease </w:t>
      </w:r>
      <w:r w:rsidR="1979D59C" w:rsidRPr="793D86E8">
        <w:rPr>
          <w:rFonts w:asciiTheme="minorHAnsi" w:hAnsiTheme="minorHAnsi" w:cstheme="minorBidi"/>
        </w:rPr>
        <w:t xml:space="preserve">(NAFLD) </w:t>
      </w:r>
      <w:r w:rsidR="18497C0E" w:rsidRPr="793D86E8">
        <w:rPr>
          <w:rFonts w:asciiTheme="minorHAnsi" w:hAnsiTheme="minorHAnsi" w:cstheme="minorBidi"/>
        </w:rPr>
        <w:t>and</w:t>
      </w:r>
      <w:r w:rsidR="70A35624" w:rsidRPr="793D86E8">
        <w:rPr>
          <w:rFonts w:asciiTheme="minorHAnsi" w:hAnsiTheme="minorHAnsi" w:cstheme="minorBidi"/>
        </w:rPr>
        <w:t xml:space="preserve"> </w:t>
      </w:r>
      <w:r w:rsidR="1979D59C" w:rsidRPr="793D86E8">
        <w:rPr>
          <w:rFonts w:asciiTheme="minorHAnsi" w:hAnsiTheme="minorHAnsi" w:cstheme="minorBidi"/>
        </w:rPr>
        <w:t xml:space="preserve">the more severe fibroinflammatory stage, </w:t>
      </w:r>
      <w:r w:rsidR="70A35624" w:rsidRPr="793D86E8">
        <w:rPr>
          <w:rFonts w:asciiTheme="minorHAnsi" w:hAnsiTheme="minorHAnsi" w:cstheme="minorBidi"/>
        </w:rPr>
        <w:t xml:space="preserve">non-alcoholic steatohepatitis (NASH). </w:t>
      </w:r>
      <w:r w:rsidR="0BEA3F39" w:rsidRPr="793D86E8">
        <w:rPr>
          <w:rFonts w:asciiTheme="minorHAnsi" w:hAnsiTheme="minorHAnsi" w:cstheme="minorBidi"/>
        </w:rPr>
        <w:t xml:space="preserve">NAFLD and </w:t>
      </w:r>
      <w:r w:rsidR="21A54FE0" w:rsidRPr="793D86E8">
        <w:rPr>
          <w:rFonts w:asciiTheme="minorHAnsi" w:hAnsiTheme="minorHAnsi" w:cstheme="minorBidi"/>
        </w:rPr>
        <w:t xml:space="preserve">NASH </w:t>
      </w:r>
      <w:r w:rsidR="5A330F18" w:rsidRPr="793D86E8">
        <w:rPr>
          <w:rFonts w:asciiTheme="minorHAnsi" w:hAnsiTheme="minorHAnsi" w:cstheme="minorBidi"/>
        </w:rPr>
        <w:t>prevalence is</w:t>
      </w:r>
      <w:r w:rsidR="472815EC" w:rsidRPr="793D86E8">
        <w:rPr>
          <w:rFonts w:asciiTheme="minorHAnsi" w:hAnsiTheme="minorHAnsi" w:cstheme="minorBidi"/>
        </w:rPr>
        <w:t xml:space="preserve"> projected to</w:t>
      </w:r>
      <w:r w:rsidR="21A54FE0" w:rsidRPr="793D86E8">
        <w:rPr>
          <w:rFonts w:asciiTheme="minorHAnsi" w:hAnsiTheme="minorHAnsi" w:cstheme="minorBidi"/>
        </w:rPr>
        <w:t xml:space="preserve"> increase exponentially </w:t>
      </w:r>
      <w:r w:rsidR="0BEA3F39" w:rsidRPr="793D86E8">
        <w:rPr>
          <w:rFonts w:asciiTheme="minorHAnsi" w:hAnsiTheme="minorHAnsi" w:cstheme="minorBidi"/>
        </w:rPr>
        <w:t>over the next</w:t>
      </w:r>
      <w:r w:rsidR="21A54FE0" w:rsidRPr="793D86E8">
        <w:rPr>
          <w:rFonts w:asciiTheme="minorHAnsi" w:hAnsiTheme="minorHAnsi" w:cstheme="minorBidi"/>
        </w:rPr>
        <w:t xml:space="preserve"> </w:t>
      </w:r>
      <w:r w:rsidR="70A35624" w:rsidRPr="793D86E8">
        <w:rPr>
          <w:rFonts w:asciiTheme="minorHAnsi" w:hAnsiTheme="minorHAnsi" w:cstheme="minorBidi"/>
        </w:rPr>
        <w:t>20</w:t>
      </w:r>
      <w:r w:rsidR="0BEA3F39" w:rsidRPr="793D86E8">
        <w:rPr>
          <w:rFonts w:asciiTheme="minorHAnsi" w:hAnsiTheme="minorHAnsi" w:cstheme="minorBidi"/>
        </w:rPr>
        <w:t xml:space="preserve"> </w:t>
      </w:r>
      <w:r w:rsidR="70A35624" w:rsidRPr="793D86E8">
        <w:rPr>
          <w:rFonts w:asciiTheme="minorHAnsi" w:hAnsiTheme="minorHAnsi" w:cstheme="minorBidi"/>
        </w:rPr>
        <w:t>year</w:t>
      </w:r>
      <w:r w:rsidR="0BEA3F39" w:rsidRPr="793D86E8">
        <w:rPr>
          <w:rFonts w:asciiTheme="minorHAnsi" w:hAnsiTheme="minorHAnsi" w:cstheme="minorBidi"/>
        </w:rPr>
        <w:t>s</w:t>
      </w:r>
      <w:r w:rsidR="086A8420" w:rsidRPr="793D86E8">
        <w:rPr>
          <w:rFonts w:asciiTheme="minorHAnsi" w:hAnsiTheme="minorHAnsi" w:cstheme="minorBidi"/>
        </w:rPr>
        <w:t xml:space="preserve">. </w:t>
      </w:r>
      <w:r w:rsidR="70A35624" w:rsidRPr="793D86E8">
        <w:rPr>
          <w:rFonts w:asciiTheme="minorHAnsi" w:hAnsiTheme="minorHAnsi" w:cstheme="minorBidi"/>
        </w:rPr>
        <w:t xml:space="preserve">Bayesian Networks (BNs) </w:t>
      </w:r>
      <w:r w:rsidR="086A8420" w:rsidRPr="793D86E8">
        <w:rPr>
          <w:rFonts w:asciiTheme="minorHAnsi" w:hAnsiTheme="minorHAnsi" w:cstheme="minorBidi"/>
        </w:rPr>
        <w:t>offer a</w:t>
      </w:r>
      <w:r w:rsidR="70A35624" w:rsidRPr="793D86E8">
        <w:rPr>
          <w:rFonts w:asciiTheme="minorHAnsi" w:hAnsiTheme="minorHAnsi" w:cstheme="minorBidi"/>
        </w:rPr>
        <w:t xml:space="preserve"> powerful tool for modelling uncertainty</w:t>
      </w:r>
      <w:r w:rsidR="348D2286" w:rsidRPr="793D86E8">
        <w:rPr>
          <w:rFonts w:asciiTheme="minorHAnsi" w:hAnsiTheme="minorHAnsi" w:cstheme="minorBidi"/>
        </w:rPr>
        <w:t xml:space="preserve"> and</w:t>
      </w:r>
      <w:r w:rsidR="70A35624" w:rsidRPr="793D86E8">
        <w:rPr>
          <w:rFonts w:asciiTheme="minorHAnsi" w:hAnsiTheme="minorHAnsi" w:cstheme="minorBidi"/>
        </w:rPr>
        <w:t xml:space="preserve"> visualising complex </w:t>
      </w:r>
      <w:r w:rsidR="118C88D7" w:rsidRPr="793D86E8">
        <w:rPr>
          <w:rFonts w:asciiTheme="minorHAnsi" w:hAnsiTheme="minorHAnsi" w:cstheme="minorBidi"/>
        </w:rPr>
        <w:t>systems</w:t>
      </w:r>
      <w:r w:rsidR="086A8420" w:rsidRPr="793D86E8">
        <w:rPr>
          <w:rFonts w:asciiTheme="minorHAnsi" w:hAnsiTheme="minorHAnsi" w:cstheme="minorBidi"/>
        </w:rPr>
        <w:t xml:space="preserve"> to </w:t>
      </w:r>
      <w:r w:rsidR="3366168D" w:rsidRPr="793D86E8">
        <w:rPr>
          <w:rFonts w:asciiTheme="minorHAnsi" w:hAnsiTheme="minorHAnsi" w:cstheme="minorBidi"/>
        </w:rPr>
        <w:t>provide</w:t>
      </w:r>
      <w:r w:rsidR="086A8420" w:rsidRPr="793D86E8">
        <w:rPr>
          <w:rFonts w:asciiTheme="minorHAnsi" w:hAnsiTheme="minorHAnsi" w:cstheme="minorBidi"/>
        </w:rPr>
        <w:t xml:space="preserve"> important mechanistic insight</w:t>
      </w:r>
      <w:r w:rsidR="70A35624" w:rsidRPr="793D86E8">
        <w:rPr>
          <w:rFonts w:asciiTheme="minorHAnsi" w:hAnsiTheme="minorHAnsi" w:cstheme="minorBidi"/>
        </w:rPr>
        <w:t>.</w:t>
      </w:r>
      <w:r w:rsidR="4EEF3211" w:rsidRPr="793D86E8">
        <w:rPr>
          <w:rFonts w:asciiTheme="minorHAnsi" w:hAnsiTheme="minorHAnsi" w:cstheme="minorBidi"/>
        </w:rPr>
        <w:t xml:space="preserve"> </w:t>
      </w:r>
    </w:p>
    <w:p w14:paraId="058EBCE7" w14:textId="1C0A42A9" w:rsidR="00D91DF9" w:rsidRPr="00C9193A" w:rsidRDefault="00EF1D66" w:rsidP="001F3B13">
      <w:pPr>
        <w:spacing w:line="480" w:lineRule="auto"/>
        <w:jc w:val="both"/>
        <w:rPr>
          <w:rFonts w:asciiTheme="minorHAnsi" w:hAnsiTheme="minorHAnsi" w:cstheme="minorBidi"/>
        </w:rPr>
      </w:pPr>
      <w:r w:rsidRPr="077C0FE1">
        <w:rPr>
          <w:rFonts w:asciiTheme="minorHAnsi" w:hAnsiTheme="minorHAnsi" w:cstheme="minorBidi"/>
          <w:b/>
          <w:bCs/>
          <w:i/>
          <w:iCs/>
        </w:rPr>
        <w:t>Methods</w:t>
      </w:r>
      <w:r w:rsidRPr="077C0FE1">
        <w:rPr>
          <w:rFonts w:asciiTheme="minorHAnsi" w:hAnsiTheme="minorHAnsi" w:cstheme="minorBidi"/>
        </w:rPr>
        <w:t xml:space="preserve"> We</w:t>
      </w:r>
      <w:r w:rsidR="00735709" w:rsidRPr="077C0FE1">
        <w:rPr>
          <w:rFonts w:asciiTheme="minorHAnsi" w:hAnsiTheme="minorHAnsi" w:cstheme="minorBidi"/>
        </w:rPr>
        <w:t xml:space="preserve"> applied BN modelling</w:t>
      </w:r>
      <w:r w:rsidR="00D76337" w:rsidRPr="077C0FE1">
        <w:rPr>
          <w:rFonts w:asciiTheme="minorHAnsi" w:hAnsiTheme="minorHAnsi" w:cstheme="minorBidi"/>
        </w:rPr>
        <w:t xml:space="preserve"> and probabilistic reasoning</w:t>
      </w:r>
      <w:r w:rsidR="004A0665" w:rsidRPr="077C0FE1">
        <w:rPr>
          <w:rFonts w:asciiTheme="minorHAnsi" w:hAnsiTheme="minorHAnsi" w:cstheme="minorBidi"/>
        </w:rPr>
        <w:t xml:space="preserve"> </w:t>
      </w:r>
      <w:r w:rsidR="00A2078A" w:rsidRPr="077C0FE1">
        <w:rPr>
          <w:rFonts w:asciiTheme="minorHAnsi" w:hAnsiTheme="minorHAnsi" w:cstheme="minorBidi"/>
        </w:rPr>
        <w:t xml:space="preserve">to </w:t>
      </w:r>
      <w:r w:rsidR="006345C8" w:rsidRPr="077C0FE1">
        <w:rPr>
          <w:rFonts w:asciiTheme="minorHAnsi" w:hAnsiTheme="minorHAnsi" w:cstheme="minorBidi"/>
        </w:rPr>
        <w:t>explore</w:t>
      </w:r>
      <w:r w:rsidR="004A0665" w:rsidRPr="077C0FE1">
        <w:rPr>
          <w:rFonts w:asciiTheme="minorHAnsi" w:hAnsiTheme="minorHAnsi" w:cstheme="minorBidi"/>
        </w:rPr>
        <w:t xml:space="preserve"> the probability of</w:t>
      </w:r>
      <w:r w:rsidR="00A2078A" w:rsidRPr="077C0FE1">
        <w:rPr>
          <w:rFonts w:asciiTheme="minorHAnsi" w:hAnsiTheme="minorHAnsi" w:cstheme="minorBidi"/>
        </w:rPr>
        <w:t xml:space="preserve"> </w:t>
      </w:r>
      <w:r w:rsidR="00735709" w:rsidRPr="077C0FE1">
        <w:rPr>
          <w:rFonts w:asciiTheme="minorHAnsi" w:hAnsiTheme="minorHAnsi" w:cstheme="minorBidi"/>
        </w:rPr>
        <w:t xml:space="preserve">NASH in two </w:t>
      </w:r>
      <w:r w:rsidR="00B904D2">
        <w:rPr>
          <w:rFonts w:asciiTheme="minorHAnsi" w:hAnsiTheme="minorHAnsi" w:cstheme="minorBidi"/>
        </w:rPr>
        <w:t xml:space="preserve">extensively </w:t>
      </w:r>
      <w:proofErr w:type="spellStart"/>
      <w:r w:rsidR="00B904D2">
        <w:rPr>
          <w:rFonts w:asciiTheme="minorHAnsi" w:hAnsiTheme="minorHAnsi" w:cstheme="minorBidi"/>
        </w:rPr>
        <w:t>phenotyped</w:t>
      </w:r>
      <w:proofErr w:type="spellEnd"/>
      <w:r w:rsidR="00B904D2">
        <w:rPr>
          <w:rFonts w:asciiTheme="minorHAnsi" w:hAnsiTheme="minorHAnsi" w:cstheme="minorBidi"/>
        </w:rPr>
        <w:t xml:space="preserve"> </w:t>
      </w:r>
      <w:r w:rsidR="00FA6667" w:rsidRPr="077C0FE1">
        <w:rPr>
          <w:rFonts w:asciiTheme="minorHAnsi" w:hAnsiTheme="minorHAnsi" w:cstheme="minorBidi"/>
        </w:rPr>
        <w:t xml:space="preserve">clinical </w:t>
      </w:r>
      <w:r w:rsidR="00735709" w:rsidRPr="077C0FE1">
        <w:rPr>
          <w:rFonts w:asciiTheme="minorHAnsi" w:hAnsiTheme="minorHAnsi" w:cstheme="minorBidi"/>
        </w:rPr>
        <w:t>cohorts</w:t>
      </w:r>
      <w:r w:rsidR="2212EE91" w:rsidRPr="077C0FE1">
        <w:rPr>
          <w:rFonts w:asciiTheme="minorHAnsi" w:hAnsiTheme="minorHAnsi" w:cstheme="minorBidi"/>
        </w:rPr>
        <w:t xml:space="preserve">: </w:t>
      </w:r>
      <w:r w:rsidR="00797E30" w:rsidRPr="077C0FE1">
        <w:rPr>
          <w:rFonts w:asciiTheme="minorHAnsi" w:hAnsiTheme="minorHAnsi" w:cstheme="minorBidi"/>
        </w:rPr>
        <w:t xml:space="preserve"> </w:t>
      </w:r>
      <w:r w:rsidR="003D52AC">
        <w:rPr>
          <w:rFonts w:asciiTheme="minorHAnsi" w:hAnsiTheme="minorHAnsi" w:cstheme="minorBidi"/>
        </w:rPr>
        <w:t xml:space="preserve">1) 211 participants with </w:t>
      </w:r>
      <w:r w:rsidR="003D52AC" w:rsidRPr="003D52AC">
        <w:rPr>
          <w:rFonts w:asciiTheme="minorHAnsi" w:hAnsiTheme="minorHAnsi" w:cstheme="minorBidi"/>
        </w:rPr>
        <w:t>T2D</w:t>
      </w:r>
      <w:r w:rsidR="006345C8" w:rsidRPr="003D52AC">
        <w:rPr>
          <w:rFonts w:asciiTheme="minorHAnsi" w:hAnsiTheme="minorHAnsi" w:cstheme="minorBidi"/>
        </w:rPr>
        <w:t xml:space="preserve"> </w:t>
      </w:r>
      <w:r w:rsidR="00C44D3F">
        <w:rPr>
          <w:rFonts w:asciiTheme="minorHAnsi" w:hAnsiTheme="minorHAnsi" w:cstheme="minorBidi"/>
        </w:rPr>
        <w:t xml:space="preserve">pooled </w:t>
      </w:r>
      <w:r w:rsidR="003D52AC" w:rsidRPr="003D52AC">
        <w:rPr>
          <w:rFonts w:asciiTheme="minorHAnsi" w:hAnsiTheme="minorHAnsi" w:cstheme="minorBidi"/>
        </w:rPr>
        <w:t xml:space="preserve">from </w:t>
      </w:r>
      <w:r w:rsidR="003D52AC">
        <w:rPr>
          <w:rFonts w:asciiTheme="minorHAnsi" w:hAnsiTheme="minorHAnsi" w:cstheme="minorBidi"/>
        </w:rPr>
        <w:t xml:space="preserve">the </w:t>
      </w:r>
      <w:r w:rsidR="003D52AC" w:rsidRPr="003D52AC">
        <w:rPr>
          <w:rFonts w:asciiTheme="minorHAnsi" w:hAnsiTheme="minorHAnsi" w:cstheme="minorBidi"/>
        </w:rPr>
        <w:t>MODIFY</w:t>
      </w:r>
      <w:r w:rsidR="003D52AC">
        <w:rPr>
          <w:rFonts w:asciiTheme="minorHAnsi" w:hAnsiTheme="minorHAnsi" w:cstheme="minorBidi"/>
        </w:rPr>
        <w:t xml:space="preserve"> </w:t>
      </w:r>
      <w:r w:rsidR="00C44D3F">
        <w:rPr>
          <w:rFonts w:asciiTheme="minorHAnsi" w:hAnsiTheme="minorHAnsi" w:cstheme="minorBidi"/>
        </w:rPr>
        <w:t>study</w:t>
      </w:r>
      <w:r w:rsidR="003D52AC" w:rsidRPr="003D52AC">
        <w:rPr>
          <w:rFonts w:asciiTheme="minorHAnsi" w:hAnsiTheme="minorHAnsi" w:cstheme="minorBidi"/>
        </w:rPr>
        <w:t xml:space="preserve"> &amp; UK</w:t>
      </w:r>
      <w:r w:rsidR="003D52AC">
        <w:rPr>
          <w:rFonts w:asciiTheme="minorHAnsi" w:hAnsiTheme="minorHAnsi" w:cstheme="minorBidi"/>
        </w:rPr>
        <w:t xml:space="preserve"> </w:t>
      </w:r>
      <w:r w:rsidR="003D52AC" w:rsidRPr="003D52AC">
        <w:rPr>
          <w:rFonts w:asciiTheme="minorHAnsi" w:hAnsiTheme="minorHAnsi" w:cstheme="minorBidi"/>
        </w:rPr>
        <w:t>B</w:t>
      </w:r>
      <w:r w:rsidR="003D52AC">
        <w:rPr>
          <w:rFonts w:asciiTheme="minorHAnsi" w:hAnsiTheme="minorHAnsi" w:cstheme="minorBidi"/>
        </w:rPr>
        <w:t>iobank (UKBB) online resource</w:t>
      </w:r>
      <w:r w:rsidR="003D52AC" w:rsidRPr="003D52AC">
        <w:rPr>
          <w:rFonts w:asciiTheme="minorHAnsi" w:hAnsiTheme="minorHAnsi" w:cstheme="minorBidi"/>
        </w:rPr>
        <w:t xml:space="preserve">; and 2) 135 participants without T2D from the UKBB. </w:t>
      </w:r>
      <w:r w:rsidR="00735709" w:rsidRPr="003D52AC">
        <w:rPr>
          <w:rFonts w:asciiTheme="minorHAnsi" w:hAnsiTheme="minorHAnsi" w:cstheme="minorBidi"/>
        </w:rPr>
        <w:t>MRI-derived</w:t>
      </w:r>
      <w:r w:rsidR="00735709" w:rsidRPr="077C0FE1">
        <w:rPr>
          <w:rFonts w:asciiTheme="minorHAnsi" w:hAnsiTheme="minorHAnsi" w:cstheme="minorBidi"/>
        </w:rPr>
        <w:t xml:space="preserve"> measures of visceral</w:t>
      </w:r>
      <w:r w:rsidR="006D41C1">
        <w:rPr>
          <w:rFonts w:asciiTheme="minorHAnsi" w:hAnsiTheme="minorHAnsi" w:cstheme="minorBidi"/>
        </w:rPr>
        <w:t xml:space="preserve"> (VAT)</w:t>
      </w:r>
      <w:r w:rsidR="00735709" w:rsidRPr="077C0FE1">
        <w:rPr>
          <w:rFonts w:asciiTheme="minorHAnsi" w:hAnsiTheme="minorHAnsi" w:cstheme="minorBidi"/>
        </w:rPr>
        <w:t>, subcutaneous</w:t>
      </w:r>
      <w:r w:rsidR="006D41C1">
        <w:rPr>
          <w:rFonts w:asciiTheme="minorHAnsi" w:hAnsiTheme="minorHAnsi" w:cstheme="minorBidi"/>
        </w:rPr>
        <w:t xml:space="preserve"> (SAT)</w:t>
      </w:r>
      <w:r w:rsidR="00735709" w:rsidRPr="077C0FE1">
        <w:rPr>
          <w:rFonts w:asciiTheme="minorHAnsi" w:hAnsiTheme="minorHAnsi" w:cstheme="minorBidi"/>
        </w:rPr>
        <w:t xml:space="preserve">, </w:t>
      </w:r>
      <w:r w:rsidR="00280C06">
        <w:rPr>
          <w:rFonts w:asciiTheme="minorHAnsi" w:hAnsiTheme="minorHAnsi" w:cstheme="minorBidi"/>
        </w:rPr>
        <w:t>skeletal muscle</w:t>
      </w:r>
      <w:r w:rsidR="006D41C1">
        <w:rPr>
          <w:rFonts w:asciiTheme="minorHAnsi" w:hAnsiTheme="minorHAnsi" w:cstheme="minorBidi"/>
        </w:rPr>
        <w:t xml:space="preserve"> (SMI)</w:t>
      </w:r>
      <w:r w:rsidR="00937559">
        <w:rPr>
          <w:rFonts w:asciiTheme="minorHAnsi" w:hAnsiTheme="minorHAnsi" w:cstheme="minorBidi"/>
        </w:rPr>
        <w:t>,</w:t>
      </w:r>
      <w:r w:rsidR="00280C06">
        <w:rPr>
          <w:rFonts w:asciiTheme="minorHAnsi" w:hAnsiTheme="minorHAnsi" w:cstheme="minorBidi"/>
        </w:rPr>
        <w:t xml:space="preserve"> </w:t>
      </w:r>
      <w:r w:rsidR="00735709" w:rsidRPr="077C0FE1">
        <w:rPr>
          <w:rFonts w:asciiTheme="minorHAnsi" w:hAnsiTheme="minorHAnsi" w:cstheme="minorBidi"/>
        </w:rPr>
        <w:t>liver fat</w:t>
      </w:r>
      <w:r w:rsidR="00B904D2">
        <w:rPr>
          <w:rFonts w:asciiTheme="minorHAnsi" w:hAnsiTheme="minorHAnsi" w:cstheme="minorBidi"/>
        </w:rPr>
        <w:t xml:space="preserve"> (MRI-PDFF)</w:t>
      </w:r>
      <w:r w:rsidR="00937559">
        <w:rPr>
          <w:rFonts w:asciiTheme="minorHAnsi" w:hAnsiTheme="minorHAnsi" w:cstheme="minorBidi"/>
        </w:rPr>
        <w:t>,</w:t>
      </w:r>
      <w:r w:rsidR="00E217A7" w:rsidRPr="077C0FE1">
        <w:rPr>
          <w:rFonts w:asciiTheme="minorHAnsi" w:hAnsiTheme="minorHAnsi" w:cstheme="minorBidi"/>
        </w:rPr>
        <w:t xml:space="preserve"> </w:t>
      </w:r>
      <w:r w:rsidR="007A7920">
        <w:rPr>
          <w:rFonts w:asciiTheme="minorHAnsi" w:hAnsiTheme="minorHAnsi" w:cstheme="minorBidi"/>
        </w:rPr>
        <w:t xml:space="preserve">liver </w:t>
      </w:r>
      <w:r w:rsidR="00B904D2">
        <w:rPr>
          <w:rFonts w:asciiTheme="minorHAnsi" w:hAnsiTheme="minorHAnsi" w:cstheme="minorBidi"/>
        </w:rPr>
        <w:t>fibroinflammatory change (</w:t>
      </w:r>
      <w:r w:rsidR="00E217A7" w:rsidRPr="077C0FE1">
        <w:rPr>
          <w:rFonts w:asciiTheme="minorHAnsi" w:hAnsiTheme="minorHAnsi" w:cstheme="minorBidi"/>
        </w:rPr>
        <w:t>liver cT1</w:t>
      </w:r>
      <w:r w:rsidR="00B904D2">
        <w:rPr>
          <w:rFonts w:asciiTheme="minorHAnsi" w:hAnsiTheme="minorHAnsi" w:cstheme="minorBidi"/>
        </w:rPr>
        <w:t>)</w:t>
      </w:r>
      <w:r w:rsidR="00735709" w:rsidRPr="077C0FE1">
        <w:rPr>
          <w:rFonts w:asciiTheme="minorHAnsi" w:hAnsiTheme="minorHAnsi" w:cstheme="minorBidi"/>
        </w:rPr>
        <w:t xml:space="preserve"> </w:t>
      </w:r>
      <w:r w:rsidR="00E217A7" w:rsidRPr="077C0FE1">
        <w:rPr>
          <w:rFonts w:asciiTheme="minorHAnsi" w:hAnsiTheme="minorHAnsi" w:cstheme="minorBidi"/>
        </w:rPr>
        <w:t xml:space="preserve">and pancreatic </w:t>
      </w:r>
      <w:r w:rsidR="00B904D2">
        <w:rPr>
          <w:rFonts w:asciiTheme="minorHAnsi" w:hAnsiTheme="minorHAnsi" w:cstheme="minorBidi"/>
        </w:rPr>
        <w:t>fat (MRI-PDFF)</w:t>
      </w:r>
      <w:r w:rsidR="00E217A7" w:rsidRPr="077C0FE1">
        <w:rPr>
          <w:rFonts w:asciiTheme="minorHAnsi" w:hAnsiTheme="minorHAnsi" w:cstheme="minorBidi"/>
        </w:rPr>
        <w:t xml:space="preserve"> </w:t>
      </w:r>
      <w:r w:rsidR="00735709" w:rsidRPr="077C0FE1">
        <w:rPr>
          <w:rFonts w:asciiTheme="minorHAnsi" w:hAnsiTheme="minorHAnsi" w:cstheme="minorBidi"/>
        </w:rPr>
        <w:t xml:space="preserve">were </w:t>
      </w:r>
      <w:r w:rsidR="006345C8" w:rsidRPr="077C0FE1">
        <w:rPr>
          <w:rFonts w:asciiTheme="minorHAnsi" w:hAnsiTheme="minorHAnsi" w:cstheme="minorBidi"/>
        </w:rPr>
        <w:t xml:space="preserve">combined with </w:t>
      </w:r>
      <w:r w:rsidR="00B904D2">
        <w:rPr>
          <w:rFonts w:asciiTheme="minorHAnsi" w:hAnsiTheme="minorHAnsi" w:cstheme="minorBidi"/>
        </w:rPr>
        <w:t xml:space="preserve">plasma </w:t>
      </w:r>
      <w:r w:rsidR="006345C8" w:rsidRPr="077C0FE1">
        <w:rPr>
          <w:rFonts w:asciiTheme="minorHAnsi" w:hAnsiTheme="minorHAnsi" w:cstheme="minorBidi"/>
        </w:rPr>
        <w:t>biomarkers</w:t>
      </w:r>
      <w:r w:rsidR="00AE4383" w:rsidRPr="077C0FE1">
        <w:rPr>
          <w:rFonts w:asciiTheme="minorHAnsi" w:hAnsiTheme="minorHAnsi" w:cstheme="minorBidi"/>
        </w:rPr>
        <w:t xml:space="preserve"> for network construction</w:t>
      </w:r>
      <w:r w:rsidR="00735709" w:rsidRPr="077C0FE1">
        <w:rPr>
          <w:rFonts w:asciiTheme="minorHAnsi" w:hAnsiTheme="minorHAnsi" w:cstheme="minorBidi"/>
        </w:rPr>
        <w:t xml:space="preserve">. </w:t>
      </w:r>
      <w:r w:rsidR="008A254D">
        <w:rPr>
          <w:rFonts w:asciiTheme="minorHAnsi" w:hAnsiTheme="minorHAnsi" w:cstheme="minorBidi"/>
        </w:rPr>
        <w:t>NASH was defined according to</w:t>
      </w:r>
      <w:r w:rsidR="008A254D" w:rsidRPr="077C0FE1">
        <w:rPr>
          <w:rFonts w:asciiTheme="minorHAnsi" w:hAnsiTheme="minorHAnsi" w:cstheme="minorBidi"/>
        </w:rPr>
        <w:t xml:space="preserve"> liver PDFF &gt;5.6% and liver cT1 &gt;800ms</w:t>
      </w:r>
      <w:r w:rsidR="008A254D">
        <w:rPr>
          <w:rFonts w:asciiTheme="minorHAnsi" w:hAnsiTheme="minorHAnsi" w:cstheme="minorBidi"/>
        </w:rPr>
        <w:t>.</w:t>
      </w:r>
      <w:r w:rsidR="008A254D" w:rsidRPr="077C0FE1">
        <w:rPr>
          <w:rFonts w:asciiTheme="minorHAnsi" w:hAnsiTheme="minorHAnsi" w:cstheme="minorBidi"/>
        </w:rPr>
        <w:t xml:space="preserve"> </w:t>
      </w:r>
      <w:r w:rsidR="00735709" w:rsidRPr="077C0FE1">
        <w:rPr>
          <w:rFonts w:asciiTheme="minorHAnsi" w:hAnsiTheme="minorHAnsi" w:cstheme="minorBidi"/>
        </w:rPr>
        <w:t xml:space="preserve">Conditional probability queries were performed to estimate the probability of </w:t>
      </w:r>
      <w:r w:rsidR="006345C8" w:rsidRPr="077C0FE1">
        <w:rPr>
          <w:rFonts w:asciiTheme="minorHAnsi" w:hAnsiTheme="minorHAnsi" w:cstheme="minorBidi"/>
        </w:rPr>
        <w:t>NASH</w:t>
      </w:r>
      <w:r w:rsidR="00735709" w:rsidRPr="077C0FE1">
        <w:rPr>
          <w:rFonts w:asciiTheme="minorHAnsi" w:hAnsiTheme="minorHAnsi" w:cstheme="minorBidi"/>
        </w:rPr>
        <w:t xml:space="preserve"> after fixing the value of specific network variables. </w:t>
      </w:r>
    </w:p>
    <w:p w14:paraId="62825F79" w14:textId="5B38D64D" w:rsidR="00D91DF9" w:rsidRPr="00934AAF" w:rsidRDefault="00865F12" w:rsidP="001F3B13">
      <w:pPr>
        <w:spacing w:line="480" w:lineRule="auto"/>
        <w:jc w:val="both"/>
        <w:rPr>
          <w:rFonts w:asciiTheme="minorHAnsi" w:hAnsiTheme="minorHAnsi" w:cstheme="minorBidi"/>
          <w:color w:val="FF0000"/>
          <w:sz w:val="10"/>
          <w:szCs w:val="10"/>
          <w:u w:val="single"/>
        </w:rPr>
      </w:pPr>
      <w:r w:rsidRPr="793028F3">
        <w:rPr>
          <w:rFonts w:asciiTheme="minorHAnsi" w:hAnsiTheme="minorHAnsi" w:cstheme="minorBidi"/>
          <w:b/>
          <w:i/>
        </w:rPr>
        <w:t>Results</w:t>
      </w:r>
      <w:r w:rsidR="00FA33C3" w:rsidRPr="793028F3">
        <w:rPr>
          <w:rFonts w:asciiTheme="minorHAnsi" w:hAnsiTheme="minorHAnsi" w:cstheme="minorBidi"/>
        </w:rPr>
        <w:t xml:space="preserve"> </w:t>
      </w:r>
      <w:r w:rsidR="00096FF8">
        <w:rPr>
          <w:rFonts w:asciiTheme="minorHAnsi" w:hAnsiTheme="minorHAnsi" w:cstheme="minorBidi"/>
        </w:rPr>
        <w:t>In the T2D cohort</w:t>
      </w:r>
      <w:r w:rsidR="00934AAF">
        <w:rPr>
          <w:rFonts w:asciiTheme="minorHAnsi" w:hAnsiTheme="minorHAnsi" w:cstheme="minorBidi"/>
        </w:rPr>
        <w:t xml:space="preserve"> we observed </w:t>
      </w:r>
      <w:r w:rsidR="00096FF8">
        <w:rPr>
          <w:rFonts w:asciiTheme="minorHAnsi" w:hAnsiTheme="minorHAnsi" w:cstheme="minorBidi"/>
        </w:rPr>
        <w:t>a stepwise increase in the probability of NASH</w:t>
      </w:r>
      <w:r w:rsidR="00934AAF">
        <w:rPr>
          <w:rFonts w:asciiTheme="minorHAnsi" w:hAnsiTheme="minorHAnsi" w:cstheme="minorBidi"/>
        </w:rPr>
        <w:t xml:space="preserve"> with each </w:t>
      </w:r>
      <w:r w:rsidR="00934AAF" w:rsidRPr="00934AAF">
        <w:rPr>
          <w:rFonts w:asciiTheme="minorHAnsi" w:hAnsiTheme="minorHAnsi" w:cstheme="minorBidi"/>
        </w:rPr>
        <w:t xml:space="preserve">obesity </w:t>
      </w:r>
      <w:r w:rsidR="007D083A">
        <w:rPr>
          <w:rFonts w:asciiTheme="minorHAnsi" w:hAnsiTheme="minorHAnsi" w:cstheme="minorBidi"/>
        </w:rPr>
        <w:t>classification</w:t>
      </w:r>
      <w:r w:rsidR="001F23BD" w:rsidRPr="00934AAF">
        <w:rPr>
          <w:rFonts w:asciiTheme="minorHAnsi" w:hAnsiTheme="minorHAnsi" w:cstheme="minorBidi"/>
        </w:rPr>
        <w:t xml:space="preserve"> </w:t>
      </w:r>
      <w:r w:rsidR="00934AAF" w:rsidRPr="00934AAF">
        <w:rPr>
          <w:rFonts w:asciiTheme="minorHAnsi" w:hAnsiTheme="minorHAnsi" w:cstheme="minorBidi"/>
        </w:rPr>
        <w:t>(normal weight:</w:t>
      </w:r>
      <w:r w:rsidR="00A35BBD">
        <w:rPr>
          <w:rFonts w:asciiTheme="minorHAnsi" w:hAnsiTheme="minorHAnsi" w:cstheme="minorBidi"/>
        </w:rPr>
        <w:t xml:space="preserve"> 13%,</w:t>
      </w:r>
      <w:r w:rsidR="00096FF8" w:rsidRPr="00934AAF">
        <w:rPr>
          <w:rFonts w:asciiTheme="minorHAnsi" w:hAnsiTheme="minorHAnsi" w:cstheme="minorBidi"/>
        </w:rPr>
        <w:t xml:space="preserve"> </w:t>
      </w:r>
      <w:r w:rsidR="00934AAF" w:rsidRPr="00934AAF">
        <w:rPr>
          <w:rFonts w:asciiTheme="minorHAnsi" w:hAnsiTheme="minorHAnsi" w:cstheme="minorBidi"/>
        </w:rPr>
        <w:t>overweight:</w:t>
      </w:r>
      <w:r w:rsidR="00A35BBD">
        <w:rPr>
          <w:rFonts w:asciiTheme="minorHAnsi" w:hAnsiTheme="minorHAnsi" w:cstheme="minorBidi"/>
        </w:rPr>
        <w:t xml:space="preserve"> 23%,</w:t>
      </w:r>
      <w:r w:rsidR="00934AAF" w:rsidRPr="00934AAF">
        <w:rPr>
          <w:rFonts w:asciiTheme="minorHAnsi" w:hAnsiTheme="minorHAnsi" w:cstheme="minorBidi"/>
        </w:rPr>
        <w:t xml:space="preserve"> obese:</w:t>
      </w:r>
      <w:r w:rsidR="00A35BBD">
        <w:rPr>
          <w:rFonts w:asciiTheme="minorHAnsi" w:hAnsiTheme="minorHAnsi" w:cstheme="minorBidi"/>
        </w:rPr>
        <w:t xml:space="preserve"> 36%, </w:t>
      </w:r>
      <w:r w:rsidR="00A35BBD" w:rsidRPr="00934AAF">
        <w:rPr>
          <w:rFonts w:asciiTheme="minorHAnsi" w:hAnsiTheme="minorHAnsi" w:cstheme="minorBidi"/>
        </w:rPr>
        <w:t>severe</w:t>
      </w:r>
      <w:r w:rsidR="00934AAF" w:rsidRPr="00934AAF">
        <w:rPr>
          <w:rFonts w:asciiTheme="minorHAnsi" w:hAnsiTheme="minorHAnsi" w:cstheme="minorBidi"/>
        </w:rPr>
        <w:t xml:space="preserve"> obesity:</w:t>
      </w:r>
      <w:r w:rsidR="00A35BBD">
        <w:rPr>
          <w:rFonts w:asciiTheme="minorHAnsi" w:hAnsiTheme="minorHAnsi" w:cstheme="minorBidi"/>
        </w:rPr>
        <w:t xml:space="preserve"> 62%). </w:t>
      </w:r>
      <w:r w:rsidR="00934AAF" w:rsidRPr="00934AAF">
        <w:rPr>
          <w:rFonts w:asciiTheme="minorHAnsi" w:hAnsiTheme="minorHAnsi" w:cstheme="minorBidi"/>
        </w:rPr>
        <w:t xml:space="preserve">In the T2D and non-T2D cohorts, </w:t>
      </w:r>
      <w:r w:rsidR="00934AAF" w:rsidRPr="00934AAF">
        <w:rPr>
          <w:rFonts w:asciiTheme="minorHAnsi" w:hAnsiTheme="minorHAnsi" w:cstheme="minorBidi"/>
          <w:bCs/>
        </w:rPr>
        <w:t>e</w:t>
      </w:r>
      <w:r w:rsidR="007C0031" w:rsidRPr="00934AAF">
        <w:rPr>
          <w:rFonts w:asciiTheme="minorHAnsi" w:hAnsiTheme="minorHAnsi" w:cstheme="minorBidi"/>
          <w:bCs/>
        </w:rPr>
        <w:t>levated</w:t>
      </w:r>
      <w:r w:rsidR="007C0031" w:rsidRPr="00934AAF">
        <w:rPr>
          <w:rFonts w:asciiTheme="minorHAnsi" w:hAnsiTheme="minorHAnsi" w:cstheme="minorBidi"/>
          <w:b/>
        </w:rPr>
        <w:t xml:space="preserve"> </w:t>
      </w:r>
      <w:r w:rsidR="005C2C0C" w:rsidRPr="00934AAF">
        <w:rPr>
          <w:rFonts w:asciiTheme="minorHAnsi" w:hAnsiTheme="minorHAnsi" w:cstheme="minorBidi"/>
        </w:rPr>
        <w:t>(</w:t>
      </w:r>
      <w:r w:rsidR="005C2C0C" w:rsidRPr="00934AAF">
        <w:rPr>
          <w:rFonts w:asciiTheme="minorHAnsi" w:hAnsiTheme="minorHAnsi" w:cstheme="minorBidi"/>
          <w:i/>
        </w:rPr>
        <w:t>vs.</w:t>
      </w:r>
      <w:r w:rsidR="005C2C0C" w:rsidRPr="00934AAF">
        <w:rPr>
          <w:rFonts w:asciiTheme="minorHAnsi" w:hAnsiTheme="minorHAnsi" w:cstheme="minorBidi"/>
        </w:rPr>
        <w:t xml:space="preserve"> normal</w:t>
      </w:r>
      <w:r w:rsidR="00C87CDD" w:rsidRPr="00934AAF">
        <w:rPr>
          <w:rFonts w:asciiTheme="minorHAnsi" w:hAnsiTheme="minorHAnsi" w:cstheme="minorBidi"/>
        </w:rPr>
        <w:t xml:space="preserve">) </w:t>
      </w:r>
      <w:r w:rsidR="007C0031" w:rsidRPr="00934AAF">
        <w:rPr>
          <w:rFonts w:asciiTheme="minorHAnsi" w:hAnsiTheme="minorHAnsi" w:cstheme="minorBidi"/>
          <w:bCs/>
        </w:rPr>
        <w:t>VAT</w:t>
      </w:r>
      <w:r w:rsidR="007C0031" w:rsidRPr="00934AAF">
        <w:rPr>
          <w:rFonts w:asciiTheme="minorHAnsi" w:hAnsiTheme="minorHAnsi" w:cstheme="minorBidi"/>
        </w:rPr>
        <w:t xml:space="preserve"> conferred a </w:t>
      </w:r>
      <w:r w:rsidR="003D52AC" w:rsidRPr="00934AAF">
        <w:rPr>
          <w:rFonts w:asciiTheme="minorHAnsi" w:hAnsiTheme="minorHAnsi" w:cstheme="minorBidi"/>
        </w:rPr>
        <w:t>20</w:t>
      </w:r>
      <w:r w:rsidR="007C0031" w:rsidRPr="00934AAF">
        <w:rPr>
          <w:rFonts w:asciiTheme="minorHAnsi" w:hAnsiTheme="minorHAnsi" w:cstheme="minorBidi"/>
        </w:rPr>
        <w:t>%</w:t>
      </w:r>
      <w:r w:rsidR="00C317FD" w:rsidRPr="00934AAF">
        <w:rPr>
          <w:rFonts w:asciiTheme="minorHAnsi" w:hAnsiTheme="minorHAnsi" w:cstheme="minorBidi"/>
        </w:rPr>
        <w:t xml:space="preserve"> </w:t>
      </w:r>
      <w:r w:rsidR="007C0031" w:rsidRPr="00934AAF">
        <w:rPr>
          <w:rFonts w:asciiTheme="minorHAnsi" w:hAnsiTheme="minorHAnsi" w:cstheme="minorBidi"/>
        </w:rPr>
        <w:t xml:space="preserve">and </w:t>
      </w:r>
      <w:r w:rsidR="003D52AC" w:rsidRPr="00934AAF">
        <w:rPr>
          <w:rFonts w:asciiTheme="minorHAnsi" w:hAnsiTheme="minorHAnsi" w:cstheme="minorBidi"/>
        </w:rPr>
        <w:t>1</w:t>
      </w:r>
      <w:r w:rsidR="007C0031" w:rsidRPr="00934AAF">
        <w:rPr>
          <w:rFonts w:asciiTheme="minorHAnsi" w:hAnsiTheme="minorHAnsi" w:cstheme="minorBidi"/>
        </w:rPr>
        <w:t xml:space="preserve">% </w:t>
      </w:r>
      <w:r w:rsidR="009A0BFA" w:rsidRPr="00934AAF">
        <w:rPr>
          <w:rFonts w:asciiTheme="minorHAnsi" w:hAnsiTheme="minorHAnsi" w:cstheme="minorBidi"/>
        </w:rPr>
        <w:t>increase</w:t>
      </w:r>
      <w:r w:rsidR="00C317FD" w:rsidRPr="00934AAF">
        <w:rPr>
          <w:rFonts w:asciiTheme="minorHAnsi" w:hAnsiTheme="minorHAnsi" w:cstheme="minorBidi"/>
        </w:rPr>
        <w:t xml:space="preserve"> in the </w:t>
      </w:r>
      <w:r w:rsidR="007C0031" w:rsidRPr="00934AAF">
        <w:rPr>
          <w:rFonts w:asciiTheme="minorHAnsi" w:hAnsiTheme="minorHAnsi" w:cstheme="minorBidi"/>
        </w:rPr>
        <w:t>probability</w:t>
      </w:r>
      <w:r w:rsidR="003D52AC" w:rsidRPr="00934AAF">
        <w:rPr>
          <w:rFonts w:asciiTheme="minorHAnsi" w:hAnsiTheme="minorHAnsi" w:cstheme="minorBidi"/>
        </w:rPr>
        <w:t xml:space="preserve"> of NASH</w:t>
      </w:r>
      <w:r w:rsidR="00934AAF" w:rsidRPr="00934AAF">
        <w:rPr>
          <w:rFonts w:asciiTheme="minorHAnsi" w:hAnsiTheme="minorHAnsi" w:cstheme="minorBidi"/>
        </w:rPr>
        <w:t>,</w:t>
      </w:r>
      <w:r w:rsidR="00934AAF">
        <w:rPr>
          <w:rFonts w:asciiTheme="minorHAnsi" w:hAnsiTheme="minorHAnsi" w:cstheme="minorBidi"/>
        </w:rPr>
        <w:t xml:space="preserve"> respectively,</w:t>
      </w:r>
      <w:r w:rsidR="00934AAF" w:rsidRPr="00934AAF">
        <w:rPr>
          <w:rFonts w:asciiTheme="minorHAnsi" w:hAnsiTheme="minorHAnsi" w:cstheme="minorBidi"/>
        </w:rPr>
        <w:t xml:space="preserve"> while elevated SAT caused a 7% increase in NASH risk within the T2D cohort only. I</w:t>
      </w:r>
      <w:r w:rsidR="003D52AC" w:rsidRPr="00934AAF">
        <w:rPr>
          <w:rFonts w:asciiTheme="minorHAnsi" w:hAnsiTheme="minorHAnsi" w:cstheme="minorBidi"/>
        </w:rPr>
        <w:t xml:space="preserve">n </w:t>
      </w:r>
      <w:r w:rsidR="00934AAF" w:rsidRPr="00934AAF">
        <w:rPr>
          <w:rFonts w:asciiTheme="minorHAnsi" w:hAnsiTheme="minorHAnsi" w:cstheme="minorBidi"/>
        </w:rPr>
        <w:t xml:space="preserve">those with </w:t>
      </w:r>
      <w:r w:rsidR="003D52AC" w:rsidRPr="00934AAF">
        <w:rPr>
          <w:rFonts w:asciiTheme="minorHAnsi" w:hAnsiTheme="minorHAnsi" w:cstheme="minorBidi"/>
        </w:rPr>
        <w:t xml:space="preserve">T2D, </w:t>
      </w:r>
      <w:r w:rsidR="00660E07" w:rsidRPr="00934AAF">
        <w:rPr>
          <w:rFonts w:asciiTheme="minorHAnsi" w:hAnsiTheme="minorHAnsi" w:cstheme="minorBidi"/>
        </w:rPr>
        <w:t>reduc</w:t>
      </w:r>
      <w:r w:rsidR="003D52AC" w:rsidRPr="00934AAF">
        <w:rPr>
          <w:rFonts w:asciiTheme="minorHAnsi" w:hAnsiTheme="minorHAnsi" w:cstheme="minorBidi"/>
        </w:rPr>
        <w:t>ing</w:t>
      </w:r>
      <w:r w:rsidR="00660E07" w:rsidRPr="00934AAF">
        <w:rPr>
          <w:rFonts w:asciiTheme="minorHAnsi" w:hAnsiTheme="minorHAnsi" w:cstheme="minorBidi"/>
        </w:rPr>
        <w:t xml:space="preserve"> </w:t>
      </w:r>
      <w:r w:rsidR="003D52AC" w:rsidRPr="00934AAF">
        <w:rPr>
          <w:rFonts w:asciiTheme="minorHAnsi" w:hAnsiTheme="minorHAnsi" w:cstheme="minorBidi"/>
        </w:rPr>
        <w:t xml:space="preserve">HbA1c </w:t>
      </w:r>
      <w:r w:rsidR="00660E07" w:rsidRPr="00934AAF">
        <w:rPr>
          <w:rFonts w:asciiTheme="minorHAnsi" w:hAnsiTheme="minorHAnsi" w:cstheme="minorBidi"/>
        </w:rPr>
        <w:t xml:space="preserve">from the ‘high’ to ‘low’ value reduced the probability of NASH by </w:t>
      </w:r>
      <w:r w:rsidR="003D52AC" w:rsidRPr="00934AAF">
        <w:rPr>
          <w:rFonts w:asciiTheme="minorHAnsi" w:hAnsiTheme="minorHAnsi" w:cstheme="minorBidi"/>
        </w:rPr>
        <w:t>22</w:t>
      </w:r>
      <w:r w:rsidR="00660E07" w:rsidRPr="00934AAF">
        <w:rPr>
          <w:rFonts w:asciiTheme="minorHAnsi" w:hAnsiTheme="minorHAnsi" w:cstheme="minorBidi"/>
        </w:rPr>
        <w:t>%.</w:t>
      </w:r>
      <w:r w:rsidR="00271834">
        <w:rPr>
          <w:rFonts w:asciiTheme="minorHAnsi" w:hAnsiTheme="minorHAnsi" w:cstheme="minorBidi"/>
        </w:rPr>
        <w:t xml:space="preserve"> </w:t>
      </w:r>
    </w:p>
    <w:p w14:paraId="3C396EB7" w14:textId="197827E5" w:rsidR="00A064B8" w:rsidRDefault="00865F12" w:rsidP="00A92823">
      <w:pPr>
        <w:spacing w:line="480" w:lineRule="auto"/>
        <w:jc w:val="both"/>
        <w:rPr>
          <w:rFonts w:asciiTheme="minorHAnsi" w:hAnsiTheme="minorHAnsi" w:cstheme="minorHAnsi"/>
        </w:rPr>
      </w:pPr>
      <w:r w:rsidRPr="00310B70">
        <w:rPr>
          <w:rFonts w:asciiTheme="minorHAnsi" w:hAnsiTheme="minorHAnsi" w:cstheme="minorHAnsi"/>
          <w:b/>
          <w:bCs/>
          <w:i/>
          <w:iCs/>
        </w:rPr>
        <w:lastRenderedPageBreak/>
        <w:t>Conclusion</w:t>
      </w:r>
      <w:r w:rsidR="00FA33C3" w:rsidRPr="00C9193A">
        <w:rPr>
          <w:rFonts w:asciiTheme="minorHAnsi" w:hAnsiTheme="minorHAnsi" w:cstheme="minorHAnsi"/>
        </w:rPr>
        <w:t xml:space="preserve"> </w:t>
      </w:r>
      <w:r w:rsidR="003D4280">
        <w:rPr>
          <w:rFonts w:asciiTheme="minorHAnsi" w:hAnsiTheme="minorHAnsi" w:cstheme="minorHAnsi"/>
        </w:rPr>
        <w:t xml:space="preserve">Using </w:t>
      </w:r>
      <w:r w:rsidR="00823408">
        <w:rPr>
          <w:rFonts w:asciiTheme="minorHAnsi" w:hAnsiTheme="minorHAnsi" w:cstheme="minorHAnsi"/>
        </w:rPr>
        <w:t>BN</w:t>
      </w:r>
      <w:r w:rsidR="003E1C87">
        <w:rPr>
          <w:rFonts w:asciiTheme="minorHAnsi" w:hAnsiTheme="minorHAnsi" w:cstheme="minorHAnsi"/>
        </w:rPr>
        <w:t>s</w:t>
      </w:r>
      <w:r w:rsidR="00A92823">
        <w:rPr>
          <w:rFonts w:asciiTheme="minorHAnsi" w:hAnsiTheme="minorHAnsi" w:cstheme="minorHAnsi"/>
        </w:rPr>
        <w:t xml:space="preserve"> and probabilistic reasoning to </w:t>
      </w:r>
      <w:r w:rsidR="00C31613">
        <w:rPr>
          <w:rFonts w:asciiTheme="minorHAnsi" w:hAnsiTheme="minorHAnsi" w:cstheme="minorHAnsi"/>
        </w:rPr>
        <w:t xml:space="preserve">study the probability </w:t>
      </w:r>
      <w:r w:rsidR="00A92823">
        <w:rPr>
          <w:rFonts w:asciiTheme="minorHAnsi" w:hAnsiTheme="minorHAnsi" w:cstheme="minorHAnsi"/>
        </w:rPr>
        <w:t>of NASH</w:t>
      </w:r>
      <w:r w:rsidR="003D4280">
        <w:rPr>
          <w:rFonts w:asciiTheme="minorHAnsi" w:hAnsiTheme="minorHAnsi" w:cstheme="minorHAnsi"/>
        </w:rPr>
        <w:t xml:space="preserve">, we </w:t>
      </w:r>
      <w:r w:rsidR="006840DC">
        <w:rPr>
          <w:rFonts w:asciiTheme="minorHAnsi" w:hAnsiTheme="minorHAnsi" w:cstheme="minorHAnsi"/>
        </w:rPr>
        <w:t xml:space="preserve">highlighted </w:t>
      </w:r>
      <w:r w:rsidR="003D4280">
        <w:rPr>
          <w:rFonts w:asciiTheme="minorHAnsi" w:hAnsiTheme="minorHAnsi" w:cstheme="minorHAnsi"/>
        </w:rPr>
        <w:t>t</w:t>
      </w:r>
      <w:r w:rsidR="00A92823">
        <w:rPr>
          <w:rFonts w:asciiTheme="minorHAnsi" w:hAnsiTheme="minorHAnsi" w:cstheme="minorHAnsi"/>
        </w:rPr>
        <w:t>he</w:t>
      </w:r>
      <w:r w:rsidR="003D4280">
        <w:rPr>
          <w:rFonts w:asciiTheme="minorHAnsi" w:hAnsiTheme="minorHAnsi" w:cstheme="minorHAnsi"/>
        </w:rPr>
        <w:t xml:space="preserve"> relative contribution of </w:t>
      </w:r>
      <w:r w:rsidR="00E36C40">
        <w:rPr>
          <w:rFonts w:asciiTheme="minorHAnsi" w:hAnsiTheme="minorHAnsi" w:cstheme="minorHAnsi"/>
        </w:rPr>
        <w:t>obesity</w:t>
      </w:r>
      <w:r w:rsidR="00DD5B13">
        <w:rPr>
          <w:rFonts w:asciiTheme="minorHAnsi" w:hAnsiTheme="minorHAnsi" w:cstheme="minorHAnsi"/>
        </w:rPr>
        <w:t xml:space="preserve">, </w:t>
      </w:r>
      <w:r w:rsidR="00E36C40">
        <w:rPr>
          <w:rFonts w:asciiTheme="minorHAnsi" w:hAnsiTheme="minorHAnsi" w:cstheme="minorHAnsi"/>
        </w:rPr>
        <w:t xml:space="preserve">ectopic fat (VAT and liver) and glycaemic </w:t>
      </w:r>
      <w:r w:rsidR="00DD5B13">
        <w:rPr>
          <w:rFonts w:asciiTheme="minorHAnsi" w:hAnsiTheme="minorHAnsi" w:cstheme="minorHAnsi"/>
        </w:rPr>
        <w:t xml:space="preserve">status </w:t>
      </w:r>
      <w:r w:rsidR="00E36C40">
        <w:rPr>
          <w:rFonts w:asciiTheme="minorHAnsi" w:hAnsiTheme="minorHAnsi" w:cstheme="minorHAnsi"/>
        </w:rPr>
        <w:t xml:space="preserve">to </w:t>
      </w:r>
      <w:r w:rsidR="006840DC">
        <w:rPr>
          <w:rFonts w:asciiTheme="minorHAnsi" w:hAnsiTheme="minorHAnsi" w:cstheme="minorHAnsi"/>
        </w:rPr>
        <w:t xml:space="preserve">increased </w:t>
      </w:r>
      <w:r w:rsidR="00E36C40">
        <w:rPr>
          <w:rFonts w:asciiTheme="minorHAnsi" w:hAnsiTheme="minorHAnsi" w:cstheme="minorHAnsi"/>
        </w:rPr>
        <w:t>NASH</w:t>
      </w:r>
      <w:r w:rsidR="006840DC" w:rsidRPr="006840DC">
        <w:rPr>
          <w:rFonts w:asciiTheme="minorHAnsi" w:hAnsiTheme="minorHAnsi" w:cstheme="minorHAnsi"/>
        </w:rPr>
        <w:t xml:space="preserve"> </w:t>
      </w:r>
      <w:r w:rsidR="00823408">
        <w:rPr>
          <w:rFonts w:asciiTheme="minorHAnsi" w:hAnsiTheme="minorHAnsi" w:cstheme="minorHAnsi"/>
        </w:rPr>
        <w:t>risk</w:t>
      </w:r>
      <w:r w:rsidR="00350961">
        <w:rPr>
          <w:rFonts w:asciiTheme="minorHAnsi" w:hAnsiTheme="minorHAnsi" w:cstheme="minorHAnsi"/>
        </w:rPr>
        <w:t xml:space="preserve">, </w:t>
      </w:r>
      <w:r w:rsidR="00F43A9F">
        <w:rPr>
          <w:rFonts w:asciiTheme="minorHAnsi" w:hAnsiTheme="minorHAnsi" w:cstheme="minorHAnsi"/>
        </w:rPr>
        <w:t>namely</w:t>
      </w:r>
      <w:r w:rsidR="00350961">
        <w:rPr>
          <w:rFonts w:asciiTheme="minorHAnsi" w:hAnsiTheme="minorHAnsi" w:cstheme="minorHAnsi"/>
        </w:rPr>
        <w:t xml:space="preserve"> in people with T2D</w:t>
      </w:r>
      <w:r w:rsidR="00A050F4">
        <w:rPr>
          <w:rFonts w:asciiTheme="minorHAnsi" w:hAnsiTheme="minorHAnsi" w:cstheme="minorHAnsi"/>
        </w:rPr>
        <w:t xml:space="preserve">. Such modelling can provide insights into </w:t>
      </w:r>
      <w:r w:rsidR="006109BD">
        <w:rPr>
          <w:rFonts w:asciiTheme="minorHAnsi" w:hAnsiTheme="minorHAnsi" w:cstheme="minorHAnsi"/>
        </w:rPr>
        <w:t>the efficacy and magnitude of</w:t>
      </w:r>
      <w:r w:rsidR="00264606">
        <w:rPr>
          <w:rFonts w:asciiTheme="minorHAnsi" w:hAnsiTheme="minorHAnsi" w:cstheme="minorHAnsi"/>
        </w:rPr>
        <w:t xml:space="preserve"> </w:t>
      </w:r>
      <w:r w:rsidR="00A050F4">
        <w:rPr>
          <w:rFonts w:asciiTheme="minorHAnsi" w:hAnsiTheme="minorHAnsi" w:cstheme="minorHAnsi"/>
        </w:rPr>
        <w:t xml:space="preserve">public health </w:t>
      </w:r>
      <w:r w:rsidR="00264606">
        <w:rPr>
          <w:rFonts w:asciiTheme="minorHAnsi" w:hAnsiTheme="minorHAnsi" w:cstheme="minorHAnsi"/>
        </w:rPr>
        <w:t xml:space="preserve">and pharmacological </w:t>
      </w:r>
      <w:r w:rsidR="00A050F4">
        <w:rPr>
          <w:rFonts w:asciiTheme="minorHAnsi" w:hAnsiTheme="minorHAnsi" w:cstheme="minorHAnsi"/>
        </w:rPr>
        <w:t xml:space="preserve">interventions to reduce </w:t>
      </w:r>
      <w:r w:rsidR="002E06CF">
        <w:rPr>
          <w:rFonts w:asciiTheme="minorHAnsi" w:hAnsiTheme="minorHAnsi" w:cstheme="minorHAnsi"/>
        </w:rPr>
        <w:t xml:space="preserve">the societal burden of NASH. </w:t>
      </w:r>
    </w:p>
    <w:p w14:paraId="32303A84" w14:textId="61A7AAD9" w:rsidR="00D91DF9" w:rsidRDefault="00D91DF9">
      <w:pPr>
        <w:rPr>
          <w:rFonts w:asciiTheme="minorHAnsi" w:hAnsiTheme="minorHAnsi" w:cstheme="minorHAnsi"/>
        </w:rPr>
      </w:pPr>
      <w:r>
        <w:rPr>
          <w:rFonts w:asciiTheme="minorHAnsi" w:hAnsiTheme="minorHAnsi" w:cstheme="minorHAnsi"/>
        </w:rPr>
        <w:br w:type="page"/>
      </w:r>
    </w:p>
    <w:p w14:paraId="42CDB1D9" w14:textId="6C19C569" w:rsidR="008D446C" w:rsidRPr="00EB0317" w:rsidRDefault="00D91DF9" w:rsidP="00893566">
      <w:pPr>
        <w:rPr>
          <w:rFonts w:asciiTheme="minorHAnsi" w:hAnsiTheme="minorHAnsi" w:cstheme="minorHAnsi"/>
          <w:b/>
          <w:bCs/>
        </w:rPr>
      </w:pPr>
      <w:r w:rsidRPr="003B4282">
        <w:rPr>
          <w:rFonts w:asciiTheme="minorHAnsi" w:hAnsiTheme="minorHAnsi" w:cstheme="minorHAnsi"/>
          <w:b/>
          <w:bCs/>
        </w:rPr>
        <w:lastRenderedPageBreak/>
        <w:t>I</w:t>
      </w:r>
      <w:r w:rsidR="000025C1" w:rsidRPr="00875555">
        <w:rPr>
          <w:rFonts w:asciiTheme="minorHAnsi" w:hAnsiTheme="minorHAnsi" w:cstheme="minorHAnsi"/>
          <w:b/>
          <w:bCs/>
        </w:rPr>
        <w:t>ntroduction</w:t>
      </w:r>
    </w:p>
    <w:p w14:paraId="3854D899" w14:textId="77777777" w:rsidR="00390B37" w:rsidRDefault="00390B37" w:rsidP="00A87DE2">
      <w:pPr>
        <w:rPr>
          <w:rFonts w:ascii="Arial" w:hAnsi="Arial" w:cs="Arial"/>
          <w:b/>
          <w:bCs/>
          <w:color w:val="3C4245"/>
        </w:rPr>
      </w:pPr>
    </w:p>
    <w:p w14:paraId="7DFB8123" w14:textId="442DBBB3" w:rsidR="00D4435A" w:rsidRPr="00B522FD" w:rsidRDefault="00390B37" w:rsidP="00210F36">
      <w:pPr>
        <w:spacing w:after="120" w:line="480" w:lineRule="auto"/>
        <w:jc w:val="both"/>
        <w:rPr>
          <w:rFonts w:asciiTheme="minorHAnsi" w:hAnsiTheme="minorHAnsi" w:cstheme="minorHAnsi"/>
        </w:rPr>
      </w:pPr>
      <w:r w:rsidRPr="00B522FD">
        <w:rPr>
          <w:rFonts w:asciiTheme="minorHAnsi" w:hAnsiTheme="minorHAnsi" w:cstheme="minorHAnsi"/>
        </w:rPr>
        <w:t>According to the World Health Organisation</w:t>
      </w:r>
      <w:r w:rsidR="00FC77A0" w:rsidRPr="00B522FD">
        <w:rPr>
          <w:rFonts w:asciiTheme="minorHAnsi" w:hAnsiTheme="minorHAnsi" w:cstheme="minorHAnsi"/>
        </w:rPr>
        <w:t>,</w:t>
      </w:r>
      <w:r w:rsidRPr="00B522FD">
        <w:rPr>
          <w:rFonts w:asciiTheme="minorHAnsi" w:hAnsiTheme="minorHAnsi" w:cstheme="minorHAnsi"/>
        </w:rPr>
        <w:t xml:space="preserve"> </w:t>
      </w:r>
      <w:r w:rsidR="00FC77A0" w:rsidRPr="00B522FD">
        <w:rPr>
          <w:rFonts w:asciiTheme="minorHAnsi" w:hAnsiTheme="minorHAnsi" w:cstheme="minorHAnsi"/>
        </w:rPr>
        <w:t>t</w:t>
      </w:r>
      <w:r w:rsidRPr="00B522FD">
        <w:rPr>
          <w:rFonts w:asciiTheme="minorHAnsi" w:hAnsiTheme="minorHAnsi" w:cstheme="minorHAnsi"/>
        </w:rPr>
        <w:t>he global prevalence of obesity</w:t>
      </w:r>
      <w:r w:rsidR="00362D25" w:rsidRPr="00B522FD">
        <w:rPr>
          <w:rFonts w:asciiTheme="minorHAnsi" w:hAnsiTheme="minorHAnsi" w:cstheme="minorHAnsi"/>
        </w:rPr>
        <w:t xml:space="preserve"> almost</w:t>
      </w:r>
      <w:r w:rsidRPr="00B522FD">
        <w:rPr>
          <w:rFonts w:asciiTheme="minorHAnsi" w:hAnsiTheme="minorHAnsi" w:cstheme="minorHAnsi"/>
        </w:rPr>
        <w:t xml:space="preserve"> tripled between 1975 and 2016 with </w:t>
      </w:r>
      <w:r w:rsidR="00FC77A0" w:rsidRPr="00B522FD">
        <w:rPr>
          <w:rFonts w:asciiTheme="minorHAnsi" w:hAnsiTheme="minorHAnsi" w:cstheme="minorHAnsi"/>
        </w:rPr>
        <w:t xml:space="preserve">39% of </w:t>
      </w:r>
      <w:r w:rsidR="006474F3" w:rsidRPr="00B522FD">
        <w:rPr>
          <w:rFonts w:asciiTheme="minorHAnsi" w:hAnsiTheme="minorHAnsi" w:cstheme="minorHAnsi"/>
        </w:rPr>
        <w:t>the world’s adult population</w:t>
      </w:r>
      <w:r w:rsidR="00FC77A0" w:rsidRPr="00B522FD">
        <w:rPr>
          <w:rFonts w:asciiTheme="minorHAnsi" w:hAnsiTheme="minorHAnsi" w:cstheme="minorHAnsi"/>
        </w:rPr>
        <w:t xml:space="preserve"> </w:t>
      </w:r>
      <w:r w:rsidR="006474F3" w:rsidRPr="00B522FD">
        <w:rPr>
          <w:rFonts w:asciiTheme="minorHAnsi" w:hAnsiTheme="minorHAnsi" w:cstheme="minorHAnsi"/>
        </w:rPr>
        <w:t>(</w:t>
      </w:r>
      <w:r w:rsidR="00FC77A0" w:rsidRPr="00B522FD">
        <w:rPr>
          <w:rFonts w:asciiTheme="minorHAnsi" w:hAnsiTheme="minorHAnsi" w:cstheme="minorHAnsi"/>
        </w:rPr>
        <w:t>1.9 billion</w:t>
      </w:r>
      <w:r w:rsidR="00E85280" w:rsidRPr="00B522FD">
        <w:rPr>
          <w:rFonts w:asciiTheme="minorHAnsi" w:hAnsiTheme="minorHAnsi" w:cstheme="minorHAnsi"/>
        </w:rPr>
        <w:t xml:space="preserve">; </w:t>
      </w:r>
      <w:r w:rsidR="00FC77A0" w:rsidRPr="00B522FD">
        <w:rPr>
          <w:rFonts w:asciiTheme="minorHAnsi" w:hAnsiTheme="minorHAnsi" w:cstheme="minorHAnsi"/>
        </w:rPr>
        <w:t>39% of men</w:t>
      </w:r>
      <w:r w:rsidR="00532EC3" w:rsidRPr="00B522FD">
        <w:rPr>
          <w:rFonts w:asciiTheme="minorHAnsi" w:hAnsiTheme="minorHAnsi" w:cstheme="minorHAnsi"/>
        </w:rPr>
        <w:t xml:space="preserve">, </w:t>
      </w:r>
      <w:r w:rsidR="00FC77A0" w:rsidRPr="00B522FD">
        <w:rPr>
          <w:rFonts w:asciiTheme="minorHAnsi" w:hAnsiTheme="minorHAnsi" w:cstheme="minorHAnsi"/>
        </w:rPr>
        <w:t>40% of women) overweight</w:t>
      </w:r>
      <w:r w:rsidR="00E85280" w:rsidRPr="00B522FD">
        <w:rPr>
          <w:rFonts w:asciiTheme="minorHAnsi" w:hAnsiTheme="minorHAnsi" w:cstheme="minorHAnsi"/>
        </w:rPr>
        <w:t xml:space="preserve"> and </w:t>
      </w:r>
      <w:r w:rsidRPr="00B522FD">
        <w:rPr>
          <w:rFonts w:asciiTheme="minorHAnsi" w:hAnsiTheme="minorHAnsi" w:cstheme="minorHAnsi"/>
        </w:rPr>
        <w:t xml:space="preserve">13% </w:t>
      </w:r>
      <w:r w:rsidR="00532EC3" w:rsidRPr="00B522FD">
        <w:rPr>
          <w:rFonts w:asciiTheme="minorHAnsi" w:hAnsiTheme="minorHAnsi" w:cstheme="minorHAnsi"/>
        </w:rPr>
        <w:t>(</w:t>
      </w:r>
      <w:r w:rsidR="00E85280" w:rsidRPr="00B522FD">
        <w:rPr>
          <w:rFonts w:asciiTheme="minorHAnsi" w:hAnsiTheme="minorHAnsi" w:cstheme="minorHAnsi"/>
        </w:rPr>
        <w:t>650 million</w:t>
      </w:r>
      <w:r w:rsidR="00532EC3" w:rsidRPr="00B522FD">
        <w:rPr>
          <w:rFonts w:asciiTheme="minorHAnsi" w:hAnsiTheme="minorHAnsi" w:cstheme="minorHAnsi"/>
        </w:rPr>
        <w:t xml:space="preserve">; </w:t>
      </w:r>
      <w:r w:rsidRPr="00B522FD">
        <w:rPr>
          <w:rFonts w:asciiTheme="minorHAnsi" w:hAnsiTheme="minorHAnsi" w:cstheme="minorHAnsi"/>
        </w:rPr>
        <w:t>11% of men</w:t>
      </w:r>
      <w:r w:rsidR="009E4E0B" w:rsidRPr="00B522FD">
        <w:rPr>
          <w:rFonts w:asciiTheme="minorHAnsi" w:hAnsiTheme="minorHAnsi" w:cstheme="minorHAnsi"/>
        </w:rPr>
        <w:t xml:space="preserve">, </w:t>
      </w:r>
      <w:r w:rsidRPr="00B522FD">
        <w:rPr>
          <w:rFonts w:asciiTheme="minorHAnsi" w:hAnsiTheme="minorHAnsi" w:cstheme="minorHAnsi"/>
        </w:rPr>
        <w:t>15% of women) living with obesity in 2016</w:t>
      </w:r>
      <w:r w:rsidR="00532EC3" w:rsidRPr="00B522FD">
        <w:rPr>
          <w:rFonts w:asciiTheme="minorHAnsi" w:hAnsiTheme="minorHAnsi" w:cstheme="minorHAnsi"/>
        </w:rPr>
        <w:t xml:space="preserve"> (</w:t>
      </w:r>
      <w:r w:rsidR="00F46A73">
        <w:rPr>
          <w:rFonts w:asciiTheme="minorHAnsi" w:hAnsiTheme="minorHAnsi" w:cstheme="minorHAnsi"/>
        </w:rPr>
        <w:t>1</w:t>
      </w:r>
      <w:r w:rsidR="00532EC3" w:rsidRPr="00B522FD">
        <w:rPr>
          <w:rFonts w:asciiTheme="minorHAnsi" w:hAnsiTheme="minorHAnsi" w:cstheme="minorHAnsi"/>
        </w:rPr>
        <w:t>)</w:t>
      </w:r>
      <w:r w:rsidRPr="00B522FD">
        <w:rPr>
          <w:rFonts w:asciiTheme="minorHAnsi" w:hAnsiTheme="minorHAnsi" w:cstheme="minorHAnsi"/>
        </w:rPr>
        <w:t>.</w:t>
      </w:r>
      <w:r w:rsidR="008861D3" w:rsidRPr="00B522FD">
        <w:rPr>
          <w:rFonts w:asciiTheme="minorHAnsi" w:hAnsiTheme="minorHAnsi" w:cstheme="minorHAnsi"/>
        </w:rPr>
        <w:t xml:space="preserve"> </w:t>
      </w:r>
      <w:r w:rsidR="001464E2" w:rsidRPr="00B522FD">
        <w:rPr>
          <w:rFonts w:asciiTheme="minorHAnsi" w:hAnsiTheme="minorHAnsi" w:cstheme="minorHAnsi"/>
          <w:shd w:val="clear" w:color="auto" w:fill="FFFFFF"/>
        </w:rPr>
        <w:t>In parallel, according to the International Diabetes Federation, t</w:t>
      </w:r>
      <w:r w:rsidR="004511AB" w:rsidRPr="00B522FD">
        <w:rPr>
          <w:rFonts w:asciiTheme="minorHAnsi" w:hAnsiTheme="minorHAnsi" w:cstheme="minorHAnsi"/>
          <w:shd w:val="clear" w:color="auto" w:fill="FFFFFF"/>
        </w:rPr>
        <w:t xml:space="preserve">he global diabetes prevalence in 2019 </w:t>
      </w:r>
      <w:r w:rsidR="05C83766" w:rsidRPr="00B522FD">
        <w:rPr>
          <w:rFonts w:asciiTheme="minorHAnsi" w:hAnsiTheme="minorHAnsi" w:cstheme="minorHAnsi"/>
          <w:shd w:val="clear" w:color="auto" w:fill="FFFFFF"/>
        </w:rPr>
        <w:t>wa</w:t>
      </w:r>
      <w:r w:rsidR="004511AB" w:rsidRPr="00B522FD">
        <w:rPr>
          <w:rFonts w:asciiTheme="minorHAnsi" w:hAnsiTheme="minorHAnsi" w:cstheme="minorHAnsi"/>
          <w:shd w:val="clear" w:color="auto" w:fill="FFFFFF"/>
        </w:rPr>
        <w:t xml:space="preserve">s estimated to be 9.3% (463 million people), </w:t>
      </w:r>
      <w:r w:rsidR="00CD3D85" w:rsidRPr="00B522FD">
        <w:rPr>
          <w:rFonts w:asciiTheme="minorHAnsi" w:hAnsiTheme="minorHAnsi" w:cstheme="minorHAnsi"/>
          <w:shd w:val="clear" w:color="auto" w:fill="FFFFFF"/>
        </w:rPr>
        <w:t xml:space="preserve">with a </w:t>
      </w:r>
      <w:r w:rsidR="233B5D0E" w:rsidRPr="00B522FD">
        <w:rPr>
          <w:rFonts w:asciiTheme="minorHAnsi" w:hAnsiTheme="minorHAnsi" w:cstheme="minorHAnsi"/>
        </w:rPr>
        <w:t>projected</w:t>
      </w:r>
      <w:r w:rsidR="233B5D0E" w:rsidRPr="00B522FD">
        <w:rPr>
          <w:rFonts w:asciiTheme="minorHAnsi" w:hAnsiTheme="minorHAnsi" w:cstheme="minorHAnsi"/>
          <w:shd w:val="clear" w:color="auto" w:fill="FFFFFF"/>
        </w:rPr>
        <w:t xml:space="preserve"> </w:t>
      </w:r>
      <w:r w:rsidR="00CD3D85" w:rsidRPr="00B522FD">
        <w:rPr>
          <w:rFonts w:asciiTheme="minorHAnsi" w:hAnsiTheme="minorHAnsi" w:cstheme="minorHAnsi"/>
          <w:shd w:val="clear" w:color="auto" w:fill="FFFFFF"/>
        </w:rPr>
        <w:t xml:space="preserve">25% </w:t>
      </w:r>
      <w:r w:rsidR="0016712E" w:rsidRPr="00B522FD">
        <w:rPr>
          <w:rFonts w:asciiTheme="minorHAnsi" w:hAnsiTheme="minorHAnsi" w:cstheme="minorHAnsi"/>
          <w:shd w:val="clear" w:color="auto" w:fill="FFFFFF"/>
        </w:rPr>
        <w:t>increase</w:t>
      </w:r>
      <w:r w:rsidR="003879BF" w:rsidRPr="00B522FD">
        <w:rPr>
          <w:rFonts w:asciiTheme="minorHAnsi" w:hAnsiTheme="minorHAnsi" w:cstheme="minorHAnsi"/>
          <w:shd w:val="clear" w:color="auto" w:fill="FFFFFF"/>
        </w:rPr>
        <w:t xml:space="preserve"> by 2030 (10.2% prevalence; 578 million)</w:t>
      </w:r>
      <w:r w:rsidR="0016712E" w:rsidRPr="00B522FD">
        <w:rPr>
          <w:rFonts w:asciiTheme="minorHAnsi" w:hAnsiTheme="minorHAnsi" w:cstheme="minorHAnsi"/>
          <w:shd w:val="clear" w:color="auto" w:fill="FFFFFF"/>
        </w:rPr>
        <w:t xml:space="preserve"> and a </w:t>
      </w:r>
      <w:r w:rsidR="7AB68A9D" w:rsidRPr="00B522FD">
        <w:rPr>
          <w:rFonts w:asciiTheme="minorHAnsi" w:hAnsiTheme="minorHAnsi" w:cstheme="minorHAnsi"/>
          <w:shd w:val="clear" w:color="auto" w:fill="FFFFFF"/>
        </w:rPr>
        <w:t xml:space="preserve">projected </w:t>
      </w:r>
      <w:r w:rsidR="0016712E" w:rsidRPr="00B522FD">
        <w:rPr>
          <w:rFonts w:asciiTheme="minorHAnsi" w:hAnsiTheme="minorHAnsi" w:cstheme="minorHAnsi"/>
          <w:shd w:val="clear" w:color="auto" w:fill="FFFFFF"/>
        </w:rPr>
        <w:t xml:space="preserve">50% increase (10.9% </w:t>
      </w:r>
      <w:r w:rsidR="00EF4A1F" w:rsidRPr="00B522FD">
        <w:rPr>
          <w:rFonts w:asciiTheme="minorHAnsi" w:hAnsiTheme="minorHAnsi" w:cstheme="minorHAnsi"/>
          <w:shd w:val="clear" w:color="auto" w:fill="FFFFFF"/>
        </w:rPr>
        <w:t xml:space="preserve">prevalence, </w:t>
      </w:r>
      <w:r w:rsidR="0016712E" w:rsidRPr="00B522FD">
        <w:rPr>
          <w:rFonts w:asciiTheme="minorHAnsi" w:hAnsiTheme="minorHAnsi" w:cstheme="minorHAnsi"/>
          <w:shd w:val="clear" w:color="auto" w:fill="FFFFFF"/>
        </w:rPr>
        <w:t>700 million)</w:t>
      </w:r>
      <w:r w:rsidR="00C86D59">
        <w:rPr>
          <w:rFonts w:asciiTheme="minorHAnsi" w:hAnsiTheme="minorHAnsi" w:cstheme="minorHAnsi"/>
          <w:shd w:val="clear" w:color="auto" w:fill="FFFFFF"/>
        </w:rPr>
        <w:t xml:space="preserve"> by 2045</w:t>
      </w:r>
      <w:r w:rsidR="00362D25" w:rsidRPr="00B522FD">
        <w:rPr>
          <w:rFonts w:asciiTheme="minorHAnsi" w:hAnsiTheme="minorHAnsi" w:cstheme="minorHAnsi"/>
          <w:shd w:val="clear" w:color="auto" w:fill="FFFFFF"/>
        </w:rPr>
        <w:t xml:space="preserve"> </w:t>
      </w:r>
      <w:r w:rsidR="00F46A73">
        <w:rPr>
          <w:rFonts w:asciiTheme="minorHAnsi" w:hAnsiTheme="minorHAnsi" w:cstheme="minorHAnsi"/>
          <w:shd w:val="clear" w:color="auto" w:fill="FFFFFF"/>
        </w:rPr>
        <w:t xml:space="preserve">(2). </w:t>
      </w:r>
    </w:p>
    <w:p w14:paraId="0B80417E" w14:textId="77777777" w:rsidR="00D55773" w:rsidRDefault="00D55773" w:rsidP="00210F36">
      <w:pPr>
        <w:spacing w:after="120" w:line="480" w:lineRule="auto"/>
        <w:jc w:val="both"/>
        <w:rPr>
          <w:rFonts w:asciiTheme="minorHAnsi" w:hAnsiTheme="minorHAnsi" w:cstheme="minorHAnsi"/>
          <w:color w:val="212121"/>
          <w:shd w:val="clear" w:color="auto" w:fill="FFFFFF"/>
        </w:rPr>
      </w:pPr>
    </w:p>
    <w:p w14:paraId="4BD76383" w14:textId="4518748D" w:rsidR="00B23EB4" w:rsidRDefault="00403B2F" w:rsidP="00210F36">
      <w:pPr>
        <w:spacing w:after="120" w:line="480" w:lineRule="auto"/>
        <w:jc w:val="both"/>
        <w:rPr>
          <w:rFonts w:asciiTheme="minorHAnsi" w:hAnsiTheme="minorHAnsi" w:cstheme="minorBidi"/>
        </w:rPr>
      </w:pPr>
      <w:r w:rsidRPr="077C0FE1">
        <w:rPr>
          <w:rFonts w:asciiTheme="minorHAnsi" w:hAnsiTheme="minorHAnsi" w:cstheme="minorBidi"/>
        </w:rPr>
        <w:t xml:space="preserve">People living with </w:t>
      </w:r>
      <w:r w:rsidR="001810CF" w:rsidRPr="077C0FE1">
        <w:rPr>
          <w:rFonts w:asciiTheme="minorHAnsi" w:hAnsiTheme="minorHAnsi" w:cstheme="minorBidi"/>
        </w:rPr>
        <w:t xml:space="preserve">obesity and type 2 diabetes </w:t>
      </w:r>
      <w:r w:rsidR="00EC1A35" w:rsidRPr="077C0FE1">
        <w:rPr>
          <w:rFonts w:asciiTheme="minorHAnsi" w:hAnsiTheme="minorHAnsi" w:cstheme="minorBidi"/>
        </w:rPr>
        <w:t>(</w:t>
      </w:r>
      <w:r w:rsidRPr="077C0FE1">
        <w:rPr>
          <w:rFonts w:asciiTheme="minorHAnsi" w:hAnsiTheme="minorHAnsi" w:cstheme="minorBidi"/>
        </w:rPr>
        <w:t>T2D</w:t>
      </w:r>
      <w:r w:rsidR="00EC1A35" w:rsidRPr="077C0FE1">
        <w:rPr>
          <w:rFonts w:asciiTheme="minorHAnsi" w:hAnsiTheme="minorHAnsi" w:cstheme="minorBidi"/>
        </w:rPr>
        <w:t>)</w:t>
      </w:r>
      <w:r w:rsidRPr="077C0FE1">
        <w:rPr>
          <w:rFonts w:asciiTheme="minorHAnsi" w:hAnsiTheme="minorHAnsi" w:cstheme="minorBidi"/>
        </w:rPr>
        <w:t xml:space="preserve"> are at</w:t>
      </w:r>
      <w:r w:rsidR="00703A7C" w:rsidRPr="077C0FE1">
        <w:rPr>
          <w:rFonts w:asciiTheme="minorHAnsi" w:hAnsiTheme="minorHAnsi" w:cstheme="minorBidi"/>
        </w:rPr>
        <w:t xml:space="preserve"> </w:t>
      </w:r>
      <w:r w:rsidRPr="077C0FE1">
        <w:rPr>
          <w:rFonts w:asciiTheme="minorHAnsi" w:hAnsiTheme="minorHAnsi" w:cstheme="minorBidi"/>
        </w:rPr>
        <w:t xml:space="preserve">a significantly greater risk </w:t>
      </w:r>
      <w:r w:rsidR="003C1DFC">
        <w:rPr>
          <w:rFonts w:asciiTheme="minorHAnsi" w:hAnsiTheme="minorHAnsi" w:cstheme="minorBidi"/>
        </w:rPr>
        <w:t>of</w:t>
      </w:r>
      <w:r w:rsidRPr="077C0FE1">
        <w:rPr>
          <w:rFonts w:asciiTheme="minorHAnsi" w:hAnsiTheme="minorHAnsi" w:cstheme="minorBidi"/>
        </w:rPr>
        <w:t xml:space="preserve"> </w:t>
      </w:r>
      <w:r w:rsidR="008B4CF8" w:rsidRPr="077C0FE1">
        <w:rPr>
          <w:rFonts w:asciiTheme="minorHAnsi" w:hAnsiTheme="minorHAnsi" w:cstheme="minorBidi"/>
        </w:rPr>
        <w:t>liver related complications</w:t>
      </w:r>
      <w:r w:rsidR="00E31286" w:rsidRPr="077C0FE1">
        <w:rPr>
          <w:rFonts w:asciiTheme="minorHAnsi" w:hAnsiTheme="minorHAnsi" w:cstheme="minorBidi"/>
        </w:rPr>
        <w:t xml:space="preserve"> compared to </w:t>
      </w:r>
      <w:r w:rsidR="008B4CF8" w:rsidRPr="077C0FE1">
        <w:rPr>
          <w:rFonts w:asciiTheme="minorHAnsi" w:hAnsiTheme="minorHAnsi" w:cstheme="minorBidi"/>
        </w:rPr>
        <w:t>people</w:t>
      </w:r>
      <w:r w:rsidR="006454FA" w:rsidRPr="077C0FE1">
        <w:rPr>
          <w:rFonts w:asciiTheme="minorHAnsi" w:hAnsiTheme="minorHAnsi" w:cstheme="minorBidi"/>
        </w:rPr>
        <w:t xml:space="preserve"> </w:t>
      </w:r>
      <w:r w:rsidR="00FE4CF3" w:rsidRPr="077C0FE1">
        <w:rPr>
          <w:rFonts w:asciiTheme="minorHAnsi" w:hAnsiTheme="minorHAnsi" w:cstheme="minorBidi"/>
        </w:rPr>
        <w:t xml:space="preserve">without </w:t>
      </w:r>
      <w:r w:rsidR="028DCFA7" w:rsidRPr="077C0FE1">
        <w:rPr>
          <w:rFonts w:asciiTheme="minorHAnsi" w:hAnsiTheme="minorHAnsi" w:cstheme="minorBidi"/>
        </w:rPr>
        <w:t>either condition</w:t>
      </w:r>
      <w:r w:rsidR="00D4435A" w:rsidRPr="077C0FE1">
        <w:rPr>
          <w:rFonts w:asciiTheme="minorHAnsi" w:hAnsiTheme="minorHAnsi" w:cstheme="minorBidi"/>
        </w:rPr>
        <w:t xml:space="preserve"> </w:t>
      </w:r>
      <w:r w:rsidR="006454FA" w:rsidRPr="077C0FE1">
        <w:rPr>
          <w:rFonts w:asciiTheme="minorHAnsi" w:hAnsiTheme="minorHAnsi" w:cstheme="minorBidi"/>
        </w:rPr>
        <w:t>(</w:t>
      </w:r>
      <w:r w:rsidR="003A68EA">
        <w:rPr>
          <w:rFonts w:asciiTheme="minorHAnsi" w:hAnsiTheme="minorHAnsi" w:cstheme="minorBidi"/>
        </w:rPr>
        <w:t>3</w:t>
      </w:r>
      <w:r w:rsidR="0006120D">
        <w:rPr>
          <w:rFonts w:asciiTheme="minorHAnsi" w:hAnsiTheme="minorHAnsi" w:cstheme="minorBidi"/>
        </w:rPr>
        <w:t>)</w:t>
      </w:r>
      <w:r w:rsidRPr="077C0FE1">
        <w:rPr>
          <w:rFonts w:asciiTheme="minorHAnsi" w:hAnsiTheme="minorHAnsi" w:cstheme="minorBidi"/>
        </w:rPr>
        <w:t>. Notably,</w:t>
      </w:r>
      <w:r w:rsidR="006454FA" w:rsidRPr="077C0FE1">
        <w:rPr>
          <w:rFonts w:asciiTheme="minorHAnsi" w:hAnsiTheme="minorHAnsi" w:cstheme="minorBidi"/>
        </w:rPr>
        <w:t xml:space="preserve"> </w:t>
      </w:r>
      <w:r w:rsidR="00783C4F">
        <w:rPr>
          <w:rFonts w:asciiTheme="minorHAnsi" w:hAnsiTheme="minorHAnsi" w:cstheme="minorBidi"/>
        </w:rPr>
        <w:t xml:space="preserve">according to </w:t>
      </w:r>
      <w:r w:rsidR="00FC32FB">
        <w:rPr>
          <w:rFonts w:asciiTheme="minorHAnsi" w:hAnsiTheme="minorHAnsi" w:cstheme="minorBidi"/>
        </w:rPr>
        <w:t xml:space="preserve">a recent global meta-analysis and meta-regression, </w:t>
      </w:r>
      <w:r w:rsidR="00FE4CF3" w:rsidRPr="077C0FE1">
        <w:rPr>
          <w:rFonts w:asciiTheme="minorHAnsi" w:hAnsiTheme="minorHAnsi" w:cstheme="minorBidi"/>
        </w:rPr>
        <w:t>~</w:t>
      </w:r>
      <w:r w:rsidR="006454FA" w:rsidRPr="077C0FE1">
        <w:rPr>
          <w:rFonts w:asciiTheme="minorHAnsi" w:hAnsiTheme="minorHAnsi" w:cstheme="minorBidi"/>
        </w:rPr>
        <w:t>55.5% of people</w:t>
      </w:r>
      <w:r w:rsidR="004B6D11" w:rsidRPr="077C0FE1">
        <w:rPr>
          <w:rFonts w:asciiTheme="minorHAnsi" w:hAnsiTheme="minorHAnsi" w:cstheme="minorBidi"/>
        </w:rPr>
        <w:t xml:space="preserve"> </w:t>
      </w:r>
      <w:r w:rsidR="006454FA" w:rsidRPr="077C0FE1">
        <w:rPr>
          <w:rFonts w:asciiTheme="minorHAnsi" w:hAnsiTheme="minorHAnsi" w:cstheme="minorBidi"/>
        </w:rPr>
        <w:t xml:space="preserve">with T2D </w:t>
      </w:r>
      <w:r w:rsidR="00187CC5" w:rsidRPr="077C0FE1">
        <w:rPr>
          <w:rFonts w:asciiTheme="minorHAnsi" w:hAnsiTheme="minorHAnsi" w:cstheme="minorBidi"/>
        </w:rPr>
        <w:t xml:space="preserve">worldwide </w:t>
      </w:r>
      <w:r w:rsidR="00F56622" w:rsidRPr="077C0FE1">
        <w:rPr>
          <w:rFonts w:asciiTheme="minorHAnsi" w:hAnsiTheme="minorHAnsi" w:cstheme="minorBidi"/>
        </w:rPr>
        <w:t>have</w:t>
      </w:r>
      <w:r w:rsidR="006454FA" w:rsidRPr="077C0FE1">
        <w:rPr>
          <w:rFonts w:asciiTheme="minorHAnsi" w:hAnsiTheme="minorHAnsi" w:cstheme="minorBidi"/>
        </w:rPr>
        <w:t xml:space="preserve"> </w:t>
      </w:r>
      <w:r w:rsidR="00783C4F">
        <w:rPr>
          <w:rFonts w:asciiTheme="minorHAnsi" w:hAnsiTheme="minorHAnsi" w:cstheme="minorBidi"/>
        </w:rPr>
        <w:t>associated</w:t>
      </w:r>
      <w:r w:rsidR="006454FA" w:rsidRPr="077C0FE1">
        <w:rPr>
          <w:rFonts w:asciiTheme="minorHAnsi" w:hAnsiTheme="minorHAnsi" w:cstheme="minorBidi"/>
        </w:rPr>
        <w:t xml:space="preserve"> non-alcoholic fatty liver disease (NAFLD),</w:t>
      </w:r>
      <w:r w:rsidR="0024350E" w:rsidRPr="077C0FE1">
        <w:rPr>
          <w:rFonts w:asciiTheme="minorHAnsi" w:hAnsiTheme="minorHAnsi" w:cstheme="minorBidi"/>
        </w:rPr>
        <w:t xml:space="preserve"> </w:t>
      </w:r>
      <w:r w:rsidR="006454FA" w:rsidRPr="077C0FE1">
        <w:rPr>
          <w:rFonts w:asciiTheme="minorHAnsi" w:hAnsiTheme="minorHAnsi" w:cstheme="minorBidi"/>
        </w:rPr>
        <w:t xml:space="preserve">37.3% non-alcoholic steatohepatitis (NASH) and 17.3% biopsy-confirmed advanced </w:t>
      </w:r>
      <w:r w:rsidR="00761253" w:rsidRPr="077C0FE1">
        <w:rPr>
          <w:rFonts w:asciiTheme="minorHAnsi" w:hAnsiTheme="minorHAnsi" w:cstheme="minorBidi"/>
        </w:rPr>
        <w:t xml:space="preserve">liver </w:t>
      </w:r>
      <w:r w:rsidR="006454FA" w:rsidRPr="077C0FE1">
        <w:rPr>
          <w:rFonts w:asciiTheme="minorHAnsi" w:hAnsiTheme="minorHAnsi" w:cstheme="minorBidi"/>
        </w:rPr>
        <w:t>fibrosis</w:t>
      </w:r>
      <w:r w:rsidR="00FE70AF" w:rsidRPr="077C0FE1">
        <w:rPr>
          <w:rFonts w:asciiTheme="minorHAnsi" w:hAnsiTheme="minorHAnsi" w:cstheme="minorBidi"/>
        </w:rPr>
        <w:t xml:space="preserve"> </w:t>
      </w:r>
      <w:r w:rsidR="006454FA" w:rsidRPr="077C0FE1">
        <w:rPr>
          <w:rFonts w:asciiTheme="minorHAnsi" w:hAnsiTheme="minorHAnsi" w:cstheme="minorBidi"/>
        </w:rPr>
        <w:t>(</w:t>
      </w:r>
      <w:r w:rsidR="00333B38">
        <w:rPr>
          <w:rFonts w:asciiTheme="minorHAnsi" w:hAnsiTheme="minorHAnsi" w:cstheme="minorBidi"/>
        </w:rPr>
        <w:t>4</w:t>
      </w:r>
      <w:r w:rsidR="006454FA" w:rsidRPr="077C0FE1">
        <w:rPr>
          <w:rFonts w:asciiTheme="minorHAnsi" w:hAnsiTheme="minorHAnsi" w:cstheme="minorBidi"/>
        </w:rPr>
        <w:t xml:space="preserve">). </w:t>
      </w:r>
      <w:r w:rsidR="00761253" w:rsidRPr="077C0FE1">
        <w:rPr>
          <w:rFonts w:asciiTheme="minorHAnsi" w:hAnsiTheme="minorHAnsi" w:cstheme="minorBidi"/>
        </w:rPr>
        <w:t xml:space="preserve">Those people with </w:t>
      </w:r>
      <w:r w:rsidR="006078EA" w:rsidRPr="077C0FE1">
        <w:rPr>
          <w:rFonts w:asciiTheme="minorHAnsi" w:hAnsiTheme="minorHAnsi" w:cstheme="minorBidi"/>
        </w:rPr>
        <w:t xml:space="preserve">NAFLD </w:t>
      </w:r>
      <w:r w:rsidR="006B786E" w:rsidRPr="077C0FE1">
        <w:rPr>
          <w:rFonts w:asciiTheme="minorHAnsi" w:hAnsiTheme="minorHAnsi" w:cstheme="minorBidi"/>
        </w:rPr>
        <w:t>and concomitant</w:t>
      </w:r>
      <w:r w:rsidR="00761253" w:rsidRPr="077C0FE1">
        <w:rPr>
          <w:rFonts w:asciiTheme="minorHAnsi" w:hAnsiTheme="minorHAnsi" w:cstheme="minorBidi"/>
        </w:rPr>
        <w:t xml:space="preserve"> </w:t>
      </w:r>
      <w:r w:rsidR="006078EA" w:rsidRPr="077C0FE1">
        <w:rPr>
          <w:rFonts w:asciiTheme="minorHAnsi" w:hAnsiTheme="minorHAnsi" w:cstheme="minorBidi"/>
        </w:rPr>
        <w:t xml:space="preserve">T2D </w:t>
      </w:r>
      <w:r w:rsidR="0059361C" w:rsidRPr="077C0FE1">
        <w:rPr>
          <w:rFonts w:asciiTheme="minorHAnsi" w:hAnsiTheme="minorHAnsi" w:cstheme="minorBidi"/>
        </w:rPr>
        <w:t>have</w:t>
      </w:r>
      <w:r w:rsidR="00E77E48" w:rsidRPr="077C0FE1">
        <w:rPr>
          <w:rFonts w:asciiTheme="minorHAnsi" w:hAnsiTheme="minorHAnsi" w:cstheme="minorBidi"/>
        </w:rPr>
        <w:t xml:space="preserve"> </w:t>
      </w:r>
      <w:r w:rsidR="00761253" w:rsidRPr="077C0FE1">
        <w:rPr>
          <w:rFonts w:asciiTheme="minorHAnsi" w:hAnsiTheme="minorHAnsi" w:cstheme="minorBidi"/>
        </w:rPr>
        <w:t xml:space="preserve">significantly worse </w:t>
      </w:r>
      <w:r w:rsidR="00E77E48" w:rsidRPr="077C0FE1">
        <w:rPr>
          <w:rFonts w:asciiTheme="minorHAnsi" w:hAnsiTheme="minorHAnsi" w:cstheme="minorBidi"/>
        </w:rPr>
        <w:t>liver-related outcomes</w:t>
      </w:r>
      <w:r w:rsidR="00326C6F" w:rsidRPr="077C0FE1">
        <w:rPr>
          <w:rFonts w:asciiTheme="minorHAnsi" w:hAnsiTheme="minorHAnsi" w:cstheme="minorBidi"/>
        </w:rPr>
        <w:t xml:space="preserve"> including</w:t>
      </w:r>
      <w:r w:rsidR="005C7870" w:rsidRPr="077C0FE1">
        <w:rPr>
          <w:rFonts w:asciiTheme="minorHAnsi" w:hAnsiTheme="minorHAnsi" w:cstheme="minorBidi"/>
        </w:rPr>
        <w:t xml:space="preserve"> higher rates of advanced fibrosis, cirrhosis and liver-related cancers compared </w:t>
      </w:r>
      <w:r w:rsidR="00F3435B" w:rsidRPr="077C0FE1">
        <w:rPr>
          <w:rFonts w:asciiTheme="minorHAnsi" w:hAnsiTheme="minorHAnsi" w:cstheme="minorBidi"/>
        </w:rPr>
        <w:t xml:space="preserve">to </w:t>
      </w:r>
      <w:r w:rsidR="00326C6F" w:rsidRPr="077C0FE1">
        <w:rPr>
          <w:rFonts w:asciiTheme="minorHAnsi" w:hAnsiTheme="minorHAnsi" w:cstheme="minorBidi"/>
        </w:rPr>
        <w:t>those</w:t>
      </w:r>
      <w:r w:rsidR="00F3435B" w:rsidRPr="077C0FE1">
        <w:rPr>
          <w:rFonts w:asciiTheme="minorHAnsi" w:hAnsiTheme="minorHAnsi" w:cstheme="minorBidi"/>
        </w:rPr>
        <w:t xml:space="preserve"> </w:t>
      </w:r>
      <w:r w:rsidR="0059361C" w:rsidRPr="077C0FE1">
        <w:rPr>
          <w:rFonts w:asciiTheme="minorHAnsi" w:hAnsiTheme="minorHAnsi" w:cstheme="minorBidi"/>
        </w:rPr>
        <w:t>with</w:t>
      </w:r>
      <w:r w:rsidR="00F3435B" w:rsidRPr="077C0FE1">
        <w:rPr>
          <w:rFonts w:asciiTheme="minorHAnsi" w:hAnsiTheme="minorHAnsi" w:cstheme="minorBidi"/>
        </w:rPr>
        <w:t xml:space="preserve"> </w:t>
      </w:r>
      <w:r w:rsidR="0059361C" w:rsidRPr="077C0FE1">
        <w:rPr>
          <w:rFonts w:asciiTheme="minorHAnsi" w:hAnsiTheme="minorHAnsi" w:cstheme="minorBidi"/>
        </w:rPr>
        <w:t>NALFD only</w:t>
      </w:r>
      <w:r w:rsidR="00136243">
        <w:rPr>
          <w:rFonts w:asciiTheme="minorHAnsi" w:hAnsiTheme="minorHAnsi" w:cstheme="minorBidi"/>
        </w:rPr>
        <w:t xml:space="preserve"> (</w:t>
      </w:r>
      <w:r w:rsidR="00333B38">
        <w:rPr>
          <w:rFonts w:asciiTheme="minorHAnsi" w:hAnsiTheme="minorHAnsi" w:cstheme="minorBidi"/>
        </w:rPr>
        <w:t>5</w:t>
      </w:r>
      <w:r w:rsidR="00DC61B9">
        <w:rPr>
          <w:rFonts w:asciiTheme="minorHAnsi" w:hAnsiTheme="minorHAnsi" w:cstheme="minorBidi"/>
        </w:rPr>
        <w:t xml:space="preserve"> – </w:t>
      </w:r>
      <w:r w:rsidR="00333B38">
        <w:rPr>
          <w:rFonts w:asciiTheme="minorHAnsi" w:hAnsiTheme="minorHAnsi" w:cstheme="minorBidi"/>
        </w:rPr>
        <w:t>8</w:t>
      </w:r>
      <w:r w:rsidR="00DC61B9">
        <w:rPr>
          <w:rFonts w:asciiTheme="minorHAnsi" w:hAnsiTheme="minorHAnsi" w:cstheme="minorBidi"/>
        </w:rPr>
        <w:t>)</w:t>
      </w:r>
      <w:r w:rsidR="00066839">
        <w:rPr>
          <w:rFonts w:asciiTheme="minorHAnsi" w:hAnsiTheme="minorHAnsi" w:cstheme="minorBidi"/>
        </w:rPr>
        <w:t>.</w:t>
      </w:r>
    </w:p>
    <w:p w14:paraId="0C11187C" w14:textId="77777777" w:rsidR="00210F36" w:rsidRDefault="00210F36" w:rsidP="00210F36">
      <w:pPr>
        <w:spacing w:after="120" w:line="480" w:lineRule="auto"/>
        <w:jc w:val="both"/>
        <w:rPr>
          <w:rFonts w:asciiTheme="minorHAnsi" w:hAnsiTheme="minorHAnsi" w:cstheme="minorBidi"/>
        </w:rPr>
      </w:pPr>
    </w:p>
    <w:p w14:paraId="6A0BB669" w14:textId="69FA508F" w:rsidR="00210F36" w:rsidRDefault="002E5681" w:rsidP="002D7D3A">
      <w:pPr>
        <w:spacing w:line="480" w:lineRule="auto"/>
        <w:jc w:val="both"/>
        <w:rPr>
          <w:rFonts w:asciiTheme="minorHAnsi" w:hAnsiTheme="minorHAnsi" w:cstheme="minorBidi"/>
        </w:rPr>
      </w:pPr>
      <w:r w:rsidRPr="077C0FE1">
        <w:rPr>
          <w:rFonts w:asciiTheme="minorHAnsi" w:hAnsiTheme="minorHAnsi" w:cstheme="minorBidi"/>
        </w:rPr>
        <w:t>20</w:t>
      </w:r>
      <w:r w:rsidR="000A124F" w:rsidRPr="077C0FE1">
        <w:rPr>
          <w:rFonts w:asciiTheme="minorHAnsi" w:hAnsiTheme="minorHAnsi" w:cstheme="minorBidi"/>
        </w:rPr>
        <w:t>-</w:t>
      </w:r>
      <w:r w:rsidRPr="077C0FE1">
        <w:rPr>
          <w:rFonts w:asciiTheme="minorHAnsi" w:hAnsiTheme="minorHAnsi" w:cstheme="minorBidi"/>
        </w:rPr>
        <w:t>year</w:t>
      </w:r>
      <w:r w:rsidR="000A124F" w:rsidRPr="077C0FE1">
        <w:rPr>
          <w:rFonts w:asciiTheme="minorHAnsi" w:hAnsiTheme="minorHAnsi" w:cstheme="minorBidi"/>
        </w:rPr>
        <w:t xml:space="preserve"> projections</w:t>
      </w:r>
      <w:r w:rsidRPr="077C0FE1">
        <w:rPr>
          <w:rFonts w:asciiTheme="minorHAnsi" w:hAnsiTheme="minorHAnsi" w:cstheme="minorBidi"/>
        </w:rPr>
        <w:t xml:space="preserve"> </w:t>
      </w:r>
      <w:r w:rsidR="00BB3002" w:rsidRPr="077C0FE1">
        <w:rPr>
          <w:rFonts w:asciiTheme="minorHAnsi" w:hAnsiTheme="minorHAnsi" w:cstheme="minorBidi"/>
        </w:rPr>
        <w:t xml:space="preserve">of the economic and clinical burden of NASH/NAFLD </w:t>
      </w:r>
      <w:r w:rsidR="000A124F" w:rsidRPr="077C0FE1">
        <w:rPr>
          <w:rFonts w:asciiTheme="minorHAnsi" w:hAnsiTheme="minorHAnsi" w:cstheme="minorBidi"/>
        </w:rPr>
        <w:t>estimate</w:t>
      </w:r>
      <w:r w:rsidR="00761800" w:rsidRPr="077C0FE1">
        <w:rPr>
          <w:rFonts w:asciiTheme="minorHAnsi" w:hAnsiTheme="minorHAnsi" w:cstheme="minorBidi"/>
        </w:rPr>
        <w:t xml:space="preserve"> </w:t>
      </w:r>
      <w:r w:rsidR="0796A4AC" w:rsidRPr="077C0FE1">
        <w:rPr>
          <w:rFonts w:asciiTheme="minorHAnsi" w:hAnsiTheme="minorHAnsi" w:cstheme="minorBidi"/>
        </w:rPr>
        <w:t xml:space="preserve">that </w:t>
      </w:r>
      <w:r w:rsidR="000A124F" w:rsidRPr="077C0FE1">
        <w:rPr>
          <w:rFonts w:asciiTheme="minorHAnsi" w:hAnsiTheme="minorHAnsi" w:cstheme="minorBidi"/>
        </w:rPr>
        <w:t xml:space="preserve">co-prevalent </w:t>
      </w:r>
      <w:r w:rsidR="00761800" w:rsidRPr="077C0FE1">
        <w:rPr>
          <w:rFonts w:asciiTheme="minorHAnsi" w:hAnsiTheme="minorHAnsi" w:cstheme="minorBidi"/>
        </w:rPr>
        <w:t xml:space="preserve">NASH </w:t>
      </w:r>
      <w:r w:rsidR="000A124F" w:rsidRPr="077C0FE1">
        <w:rPr>
          <w:rFonts w:asciiTheme="minorHAnsi" w:hAnsiTheme="minorHAnsi" w:cstheme="minorBidi"/>
        </w:rPr>
        <w:t>and</w:t>
      </w:r>
      <w:r w:rsidR="00761800" w:rsidRPr="077C0FE1">
        <w:rPr>
          <w:rFonts w:asciiTheme="minorHAnsi" w:hAnsiTheme="minorHAnsi" w:cstheme="minorBidi"/>
        </w:rPr>
        <w:t xml:space="preserve"> T2D </w:t>
      </w:r>
      <w:r w:rsidR="00564D3C" w:rsidRPr="077C0FE1">
        <w:rPr>
          <w:rFonts w:asciiTheme="minorHAnsi" w:hAnsiTheme="minorHAnsi" w:cstheme="minorBidi"/>
        </w:rPr>
        <w:t>will</w:t>
      </w:r>
      <w:r w:rsidR="00761800" w:rsidRPr="077C0FE1">
        <w:rPr>
          <w:rFonts w:asciiTheme="minorHAnsi" w:hAnsiTheme="minorHAnsi" w:cstheme="minorBidi"/>
        </w:rPr>
        <w:t xml:space="preserve"> account for 65,000 </w:t>
      </w:r>
      <w:r w:rsidR="00AD51C8" w:rsidRPr="077C0FE1">
        <w:rPr>
          <w:rFonts w:asciiTheme="minorHAnsi" w:hAnsiTheme="minorHAnsi" w:cstheme="minorBidi"/>
        </w:rPr>
        <w:t xml:space="preserve">liver </w:t>
      </w:r>
      <w:r w:rsidR="00761800" w:rsidRPr="077C0FE1">
        <w:rPr>
          <w:rFonts w:asciiTheme="minorHAnsi" w:hAnsiTheme="minorHAnsi" w:cstheme="minorBidi"/>
        </w:rPr>
        <w:t>transplants, 812,000 liver-related deaths and 1.37</w:t>
      </w:r>
      <w:r w:rsidR="001E503B" w:rsidRPr="077C0FE1">
        <w:rPr>
          <w:rFonts w:asciiTheme="minorHAnsi" w:hAnsiTheme="minorHAnsi" w:cstheme="minorBidi"/>
        </w:rPr>
        <w:t xml:space="preserve"> million</w:t>
      </w:r>
      <w:r w:rsidR="00761800" w:rsidRPr="077C0FE1">
        <w:rPr>
          <w:rFonts w:asciiTheme="minorHAnsi" w:hAnsiTheme="minorHAnsi" w:cstheme="minorBidi"/>
        </w:rPr>
        <w:t xml:space="preserve"> cardiovascular-relate</w:t>
      </w:r>
      <w:r w:rsidR="000A124F" w:rsidRPr="077C0FE1">
        <w:rPr>
          <w:rFonts w:asciiTheme="minorHAnsi" w:hAnsiTheme="minorHAnsi" w:cstheme="minorBidi"/>
        </w:rPr>
        <w:t>d</w:t>
      </w:r>
      <w:r w:rsidR="00761800" w:rsidRPr="077C0FE1">
        <w:rPr>
          <w:rFonts w:asciiTheme="minorHAnsi" w:hAnsiTheme="minorHAnsi" w:cstheme="minorBidi"/>
        </w:rPr>
        <w:t xml:space="preserve"> deaths</w:t>
      </w:r>
      <w:r w:rsidR="00A455BB" w:rsidRPr="077C0FE1">
        <w:rPr>
          <w:rFonts w:asciiTheme="minorHAnsi" w:hAnsiTheme="minorHAnsi" w:cstheme="minorBidi"/>
        </w:rPr>
        <w:t xml:space="preserve">, </w:t>
      </w:r>
      <w:r w:rsidR="006D0E95" w:rsidRPr="077C0FE1">
        <w:rPr>
          <w:rFonts w:asciiTheme="minorHAnsi" w:hAnsiTheme="minorHAnsi" w:cstheme="minorBidi"/>
        </w:rPr>
        <w:t>totalling</w:t>
      </w:r>
      <w:r w:rsidR="00A455BB" w:rsidRPr="077C0FE1">
        <w:rPr>
          <w:rFonts w:asciiTheme="minorHAnsi" w:hAnsiTheme="minorHAnsi" w:cstheme="minorBidi"/>
        </w:rPr>
        <w:t xml:space="preserve"> $55.8 billion </w:t>
      </w:r>
      <w:r w:rsidR="00C373B8" w:rsidRPr="077C0FE1">
        <w:rPr>
          <w:rFonts w:asciiTheme="minorHAnsi" w:hAnsiTheme="minorHAnsi" w:cstheme="minorBidi"/>
        </w:rPr>
        <w:t xml:space="preserve">in </w:t>
      </w:r>
      <w:r w:rsidR="006D0E95" w:rsidRPr="077C0FE1">
        <w:rPr>
          <w:rFonts w:asciiTheme="minorHAnsi" w:hAnsiTheme="minorHAnsi" w:cstheme="minorBidi"/>
        </w:rPr>
        <w:t>healthcare costs</w:t>
      </w:r>
      <w:r w:rsidR="00A66D13">
        <w:rPr>
          <w:rFonts w:asciiTheme="minorHAnsi" w:hAnsiTheme="minorHAnsi" w:cstheme="minorBidi"/>
        </w:rPr>
        <w:t xml:space="preserve"> (</w:t>
      </w:r>
      <w:r w:rsidR="00333B38">
        <w:rPr>
          <w:rFonts w:asciiTheme="minorHAnsi" w:hAnsiTheme="minorHAnsi" w:cstheme="minorBidi"/>
        </w:rPr>
        <w:t>9</w:t>
      </w:r>
      <w:r w:rsidR="00A66D13">
        <w:rPr>
          <w:rFonts w:asciiTheme="minorHAnsi" w:hAnsiTheme="minorHAnsi" w:cstheme="minorBidi"/>
        </w:rPr>
        <w:t>)</w:t>
      </w:r>
      <w:r w:rsidR="00700B87" w:rsidRPr="077C0FE1">
        <w:rPr>
          <w:rFonts w:asciiTheme="minorHAnsi" w:hAnsiTheme="minorHAnsi" w:cstheme="minorBidi"/>
        </w:rPr>
        <w:t>.</w:t>
      </w:r>
      <w:r w:rsidR="0064652C" w:rsidRPr="077C0FE1">
        <w:rPr>
          <w:rFonts w:asciiTheme="minorHAnsi" w:hAnsiTheme="minorHAnsi" w:cstheme="minorBidi"/>
        </w:rPr>
        <w:t xml:space="preserve">  </w:t>
      </w:r>
      <w:r w:rsidR="00EB1797" w:rsidRPr="077C0FE1">
        <w:rPr>
          <w:rFonts w:asciiTheme="minorHAnsi" w:hAnsiTheme="minorHAnsi" w:cstheme="minorBidi"/>
        </w:rPr>
        <w:t>Early detection of</w:t>
      </w:r>
      <w:r w:rsidR="001E503B" w:rsidRPr="077C0FE1">
        <w:rPr>
          <w:rFonts w:asciiTheme="minorHAnsi" w:hAnsiTheme="minorHAnsi" w:cstheme="minorBidi"/>
        </w:rPr>
        <w:t xml:space="preserve"> </w:t>
      </w:r>
      <w:r w:rsidR="000D3EAC" w:rsidRPr="077C0FE1">
        <w:rPr>
          <w:rFonts w:asciiTheme="minorHAnsi" w:hAnsiTheme="minorHAnsi" w:cstheme="minorBidi"/>
        </w:rPr>
        <w:t>those</w:t>
      </w:r>
      <w:r w:rsidR="00EB1797" w:rsidRPr="077C0FE1">
        <w:rPr>
          <w:rFonts w:asciiTheme="minorHAnsi" w:hAnsiTheme="minorHAnsi" w:cstheme="minorBidi"/>
        </w:rPr>
        <w:t xml:space="preserve"> </w:t>
      </w:r>
      <w:r w:rsidR="00834369">
        <w:rPr>
          <w:rFonts w:asciiTheme="minorHAnsi" w:hAnsiTheme="minorHAnsi" w:cstheme="minorBidi"/>
        </w:rPr>
        <w:t xml:space="preserve">patients with T2D </w:t>
      </w:r>
      <w:r w:rsidR="00EB1797" w:rsidRPr="077C0FE1">
        <w:rPr>
          <w:rFonts w:asciiTheme="minorHAnsi" w:hAnsiTheme="minorHAnsi" w:cstheme="minorBidi"/>
        </w:rPr>
        <w:t xml:space="preserve">at high-risk of </w:t>
      </w:r>
      <w:r w:rsidR="008F5EC3" w:rsidRPr="077C0FE1">
        <w:rPr>
          <w:rFonts w:asciiTheme="minorHAnsi" w:hAnsiTheme="minorHAnsi" w:cstheme="minorBidi"/>
        </w:rPr>
        <w:t xml:space="preserve">NASH </w:t>
      </w:r>
      <w:r w:rsidR="00EB1797" w:rsidRPr="077C0FE1">
        <w:rPr>
          <w:rFonts w:asciiTheme="minorHAnsi" w:hAnsiTheme="minorHAnsi" w:cstheme="minorBidi"/>
        </w:rPr>
        <w:t xml:space="preserve">is therefore of considerable </w:t>
      </w:r>
      <w:r w:rsidR="00EB1797" w:rsidRPr="077C0FE1">
        <w:rPr>
          <w:rFonts w:asciiTheme="minorHAnsi" w:hAnsiTheme="minorHAnsi" w:cstheme="minorBidi"/>
        </w:rPr>
        <w:lastRenderedPageBreak/>
        <w:t>importance</w:t>
      </w:r>
      <w:r w:rsidR="000D3EAC" w:rsidRPr="077C0FE1">
        <w:rPr>
          <w:rFonts w:asciiTheme="minorHAnsi" w:hAnsiTheme="minorHAnsi" w:cstheme="minorBidi"/>
        </w:rPr>
        <w:t xml:space="preserve"> and would </w:t>
      </w:r>
      <w:r w:rsidR="0DFD3B10" w:rsidRPr="077C0FE1">
        <w:rPr>
          <w:rFonts w:asciiTheme="minorHAnsi" w:hAnsiTheme="minorHAnsi" w:cstheme="minorBidi"/>
        </w:rPr>
        <w:t>enabl</w:t>
      </w:r>
      <w:r w:rsidR="000D3EAC" w:rsidRPr="077C0FE1">
        <w:rPr>
          <w:rFonts w:asciiTheme="minorHAnsi" w:hAnsiTheme="minorHAnsi" w:cstheme="minorBidi"/>
        </w:rPr>
        <w:t xml:space="preserve">e early </w:t>
      </w:r>
      <w:r w:rsidR="00EB466C">
        <w:rPr>
          <w:rFonts w:asciiTheme="minorHAnsi" w:hAnsiTheme="minorHAnsi" w:cstheme="minorBidi"/>
        </w:rPr>
        <w:t xml:space="preserve">access to </w:t>
      </w:r>
      <w:r w:rsidR="000D3EAC" w:rsidRPr="077C0FE1">
        <w:rPr>
          <w:rFonts w:asciiTheme="minorHAnsi" w:hAnsiTheme="minorHAnsi" w:cstheme="minorBidi"/>
        </w:rPr>
        <w:t>personalised care</w:t>
      </w:r>
      <w:r w:rsidR="00EB466C">
        <w:rPr>
          <w:rFonts w:asciiTheme="minorHAnsi" w:hAnsiTheme="minorHAnsi" w:cstheme="minorBidi"/>
        </w:rPr>
        <w:t>/medicines</w:t>
      </w:r>
      <w:r w:rsidR="000D3EAC" w:rsidRPr="077C0FE1">
        <w:rPr>
          <w:rFonts w:asciiTheme="minorHAnsi" w:hAnsiTheme="minorHAnsi" w:cstheme="minorBidi"/>
        </w:rPr>
        <w:t xml:space="preserve"> and improved </w:t>
      </w:r>
      <w:r w:rsidR="00EB466C">
        <w:rPr>
          <w:rFonts w:asciiTheme="minorHAnsi" w:hAnsiTheme="minorHAnsi" w:cstheme="minorBidi"/>
        </w:rPr>
        <w:t xml:space="preserve">clinical and disease </w:t>
      </w:r>
      <w:r w:rsidR="0038382F" w:rsidRPr="077C0FE1">
        <w:rPr>
          <w:rFonts w:asciiTheme="minorHAnsi" w:hAnsiTheme="minorHAnsi" w:cstheme="minorBidi"/>
        </w:rPr>
        <w:t xml:space="preserve">outcomes. </w:t>
      </w:r>
    </w:p>
    <w:p w14:paraId="70ABB6FE" w14:textId="77777777" w:rsidR="00A87DE2" w:rsidRDefault="00A87DE2" w:rsidP="002D7D3A">
      <w:pPr>
        <w:spacing w:line="480" w:lineRule="auto"/>
        <w:jc w:val="both"/>
        <w:rPr>
          <w:rFonts w:asciiTheme="minorHAnsi" w:hAnsiTheme="minorHAnsi" w:cstheme="minorBidi"/>
        </w:rPr>
      </w:pPr>
    </w:p>
    <w:p w14:paraId="2E127657" w14:textId="48D42231" w:rsidR="0008054C" w:rsidRDefault="00820265" w:rsidP="0012112E">
      <w:pPr>
        <w:spacing w:line="480" w:lineRule="auto"/>
        <w:jc w:val="both"/>
        <w:rPr>
          <w:rFonts w:asciiTheme="minorHAnsi" w:hAnsiTheme="minorHAnsi" w:cstheme="minorBidi"/>
        </w:rPr>
      </w:pPr>
      <w:r w:rsidRPr="077C0FE1">
        <w:rPr>
          <w:rFonts w:asciiTheme="minorHAnsi" w:hAnsiTheme="minorHAnsi" w:cstheme="minorBidi"/>
        </w:rPr>
        <w:t>In</w:t>
      </w:r>
      <w:r w:rsidR="002243FB" w:rsidRPr="077C0FE1">
        <w:rPr>
          <w:rFonts w:asciiTheme="minorHAnsi" w:hAnsiTheme="minorHAnsi" w:cstheme="minorBidi"/>
        </w:rPr>
        <w:t xml:space="preserve"> both T2D and NASH</w:t>
      </w:r>
      <w:r w:rsidR="00580A87" w:rsidRPr="077C0FE1">
        <w:rPr>
          <w:rFonts w:asciiTheme="minorHAnsi" w:hAnsiTheme="minorHAnsi" w:cstheme="minorBidi"/>
        </w:rPr>
        <w:t>,</w:t>
      </w:r>
      <w:r w:rsidR="00A877AA" w:rsidRPr="077C0FE1">
        <w:rPr>
          <w:rFonts w:asciiTheme="minorHAnsi" w:hAnsiTheme="minorHAnsi" w:cstheme="minorBidi"/>
        </w:rPr>
        <w:t xml:space="preserve"> </w:t>
      </w:r>
      <w:r w:rsidR="002243FB" w:rsidRPr="077C0FE1">
        <w:rPr>
          <w:rFonts w:asciiTheme="minorHAnsi" w:hAnsiTheme="minorHAnsi" w:cstheme="minorBidi"/>
        </w:rPr>
        <w:t xml:space="preserve">obesity is a significant risk factor, though </w:t>
      </w:r>
      <w:r w:rsidR="00CA476F" w:rsidRPr="077C0FE1">
        <w:rPr>
          <w:rFonts w:asciiTheme="minorHAnsi" w:hAnsiTheme="minorHAnsi" w:cstheme="minorBidi"/>
        </w:rPr>
        <w:t xml:space="preserve">the </w:t>
      </w:r>
      <w:r w:rsidR="008A42CC" w:rsidRPr="077C0FE1">
        <w:rPr>
          <w:rFonts w:asciiTheme="minorHAnsi" w:hAnsiTheme="minorHAnsi" w:cstheme="minorBidi"/>
        </w:rPr>
        <w:t xml:space="preserve">clinical utility of the </w:t>
      </w:r>
      <w:r w:rsidR="00CA476F" w:rsidRPr="077C0FE1">
        <w:rPr>
          <w:rFonts w:asciiTheme="minorHAnsi" w:hAnsiTheme="minorHAnsi" w:cstheme="minorBidi"/>
        </w:rPr>
        <w:t xml:space="preserve">body mass index </w:t>
      </w:r>
      <w:r w:rsidR="008A42CC" w:rsidRPr="077C0FE1">
        <w:rPr>
          <w:rFonts w:asciiTheme="minorHAnsi" w:hAnsiTheme="minorHAnsi" w:cstheme="minorBidi"/>
        </w:rPr>
        <w:t>(</w:t>
      </w:r>
      <w:r w:rsidR="3917437F" w:rsidRPr="077C0FE1">
        <w:rPr>
          <w:rFonts w:asciiTheme="minorHAnsi" w:hAnsiTheme="minorHAnsi" w:cstheme="minorBidi"/>
        </w:rPr>
        <w:t>BMI</w:t>
      </w:r>
      <w:r w:rsidR="008A42CC" w:rsidRPr="077C0FE1">
        <w:rPr>
          <w:rFonts w:asciiTheme="minorHAnsi" w:hAnsiTheme="minorHAnsi" w:cstheme="minorBidi"/>
        </w:rPr>
        <w:t>) metric</w:t>
      </w:r>
      <w:r w:rsidR="3917437F" w:rsidRPr="077C0FE1">
        <w:rPr>
          <w:rFonts w:asciiTheme="minorHAnsi" w:hAnsiTheme="minorHAnsi" w:cstheme="minorBidi"/>
        </w:rPr>
        <w:t xml:space="preserve"> </w:t>
      </w:r>
      <w:r w:rsidR="00CA476F" w:rsidRPr="077C0FE1">
        <w:rPr>
          <w:rFonts w:asciiTheme="minorHAnsi" w:hAnsiTheme="minorHAnsi" w:cstheme="minorBidi"/>
        </w:rPr>
        <w:t xml:space="preserve">is </w:t>
      </w:r>
      <w:r w:rsidR="00652112" w:rsidRPr="077C0FE1">
        <w:rPr>
          <w:rFonts w:asciiTheme="minorHAnsi" w:hAnsiTheme="minorHAnsi" w:cstheme="minorBidi"/>
        </w:rPr>
        <w:t>limited</w:t>
      </w:r>
      <w:r w:rsidR="00CA476F" w:rsidRPr="077C0FE1">
        <w:rPr>
          <w:rFonts w:asciiTheme="minorHAnsi" w:hAnsiTheme="minorHAnsi" w:cstheme="minorBidi"/>
        </w:rPr>
        <w:t xml:space="preserve"> </w:t>
      </w:r>
      <w:r w:rsidR="3917437F" w:rsidRPr="077C0FE1">
        <w:rPr>
          <w:rFonts w:asciiTheme="minorHAnsi" w:hAnsiTheme="minorHAnsi" w:cstheme="minorBidi"/>
        </w:rPr>
        <w:t xml:space="preserve">since </w:t>
      </w:r>
      <w:r w:rsidR="00B315DA">
        <w:rPr>
          <w:rFonts w:asciiTheme="minorHAnsi" w:hAnsiTheme="minorHAnsi" w:cstheme="minorBidi"/>
        </w:rPr>
        <w:t xml:space="preserve">it describes global body mass relative to height </w:t>
      </w:r>
      <w:r w:rsidR="00597841">
        <w:rPr>
          <w:rFonts w:asciiTheme="minorHAnsi" w:hAnsiTheme="minorHAnsi" w:cstheme="minorBidi"/>
        </w:rPr>
        <w:t>and does not describe</w:t>
      </w:r>
      <w:r w:rsidR="00CA476F" w:rsidRPr="077C0FE1">
        <w:rPr>
          <w:rFonts w:asciiTheme="minorHAnsi" w:hAnsiTheme="minorHAnsi" w:cstheme="minorBidi"/>
        </w:rPr>
        <w:t xml:space="preserve"> body fat distribution. </w:t>
      </w:r>
      <w:r w:rsidR="005069B9" w:rsidRPr="077C0FE1">
        <w:rPr>
          <w:rFonts w:asciiTheme="minorHAnsi" w:hAnsiTheme="minorHAnsi" w:cstheme="minorBidi"/>
        </w:rPr>
        <w:t xml:space="preserve">People with T2D represent a clinical population, </w:t>
      </w:r>
      <w:r w:rsidR="00913E72" w:rsidRPr="077C0FE1">
        <w:rPr>
          <w:rFonts w:asciiTheme="minorHAnsi" w:hAnsiTheme="minorHAnsi" w:cstheme="minorBidi"/>
        </w:rPr>
        <w:t xml:space="preserve">and </w:t>
      </w:r>
      <w:r w:rsidR="005069B9" w:rsidRPr="077C0FE1">
        <w:rPr>
          <w:rFonts w:asciiTheme="minorHAnsi" w:hAnsiTheme="minorHAnsi" w:cstheme="minorBidi"/>
        </w:rPr>
        <w:t xml:space="preserve">relative to those without T2D, are characterised by a distinct body composition profile with </w:t>
      </w:r>
      <w:r w:rsidR="00914891" w:rsidRPr="077C0FE1">
        <w:rPr>
          <w:rFonts w:asciiTheme="minorHAnsi" w:hAnsiTheme="minorHAnsi" w:cstheme="minorBidi"/>
        </w:rPr>
        <w:t xml:space="preserve">significantly </w:t>
      </w:r>
      <w:r w:rsidR="00020AE0" w:rsidRPr="077C0FE1">
        <w:rPr>
          <w:rFonts w:asciiTheme="minorHAnsi" w:hAnsiTheme="minorHAnsi" w:cstheme="minorBidi"/>
        </w:rPr>
        <w:t xml:space="preserve">higher volumes of </w:t>
      </w:r>
      <w:r w:rsidR="00807139" w:rsidRPr="077C0FE1">
        <w:rPr>
          <w:rFonts w:asciiTheme="minorHAnsi" w:hAnsiTheme="minorHAnsi" w:cstheme="minorBidi"/>
        </w:rPr>
        <w:t>visceral adipose tissue</w:t>
      </w:r>
      <w:r w:rsidR="006E5C2F" w:rsidRPr="077C0FE1">
        <w:rPr>
          <w:rFonts w:asciiTheme="minorHAnsi" w:hAnsiTheme="minorHAnsi" w:cstheme="minorBidi"/>
        </w:rPr>
        <w:t xml:space="preserve"> (VAT)</w:t>
      </w:r>
      <w:r w:rsidR="00D626F1" w:rsidRPr="077C0FE1">
        <w:rPr>
          <w:rFonts w:asciiTheme="minorHAnsi" w:hAnsiTheme="minorHAnsi" w:cstheme="minorBidi"/>
        </w:rPr>
        <w:t>,</w:t>
      </w:r>
      <w:r w:rsidR="00A87DE2" w:rsidRPr="077C0FE1">
        <w:rPr>
          <w:rFonts w:asciiTheme="minorHAnsi" w:hAnsiTheme="minorHAnsi" w:cstheme="minorBidi"/>
        </w:rPr>
        <w:t xml:space="preserve"> </w:t>
      </w:r>
      <w:r w:rsidR="00020AE0" w:rsidRPr="077C0FE1">
        <w:rPr>
          <w:rFonts w:asciiTheme="minorHAnsi" w:hAnsiTheme="minorHAnsi" w:cstheme="minorBidi"/>
        </w:rPr>
        <w:t xml:space="preserve">increased </w:t>
      </w:r>
      <w:r w:rsidR="00914891" w:rsidRPr="077C0FE1">
        <w:rPr>
          <w:rFonts w:asciiTheme="minorHAnsi" w:hAnsiTheme="minorHAnsi" w:cstheme="minorBidi"/>
        </w:rPr>
        <w:t xml:space="preserve">liver fat deposition and </w:t>
      </w:r>
      <w:proofErr w:type="spellStart"/>
      <w:r w:rsidR="00914891" w:rsidRPr="077C0FE1">
        <w:rPr>
          <w:rFonts w:asciiTheme="minorHAnsi" w:hAnsiTheme="minorHAnsi" w:cstheme="minorBidi"/>
        </w:rPr>
        <w:t>fibroinflammation</w:t>
      </w:r>
      <w:proofErr w:type="spellEnd"/>
      <w:r w:rsidR="0008521C" w:rsidRPr="077C0FE1">
        <w:rPr>
          <w:rFonts w:asciiTheme="minorHAnsi" w:hAnsiTheme="minorHAnsi" w:cstheme="minorBidi"/>
        </w:rPr>
        <w:t xml:space="preserve"> </w:t>
      </w:r>
      <w:r w:rsidR="00EC1A35" w:rsidRPr="077C0FE1">
        <w:rPr>
          <w:rFonts w:asciiTheme="minorHAnsi" w:hAnsiTheme="minorHAnsi" w:cstheme="minorBidi"/>
        </w:rPr>
        <w:t>and</w:t>
      </w:r>
      <w:r w:rsidR="0008521C" w:rsidRPr="077C0FE1">
        <w:rPr>
          <w:rFonts w:asciiTheme="minorHAnsi" w:hAnsiTheme="minorHAnsi" w:cstheme="minorBidi"/>
        </w:rPr>
        <w:t xml:space="preserve"> </w:t>
      </w:r>
      <w:r w:rsidR="00020AE0" w:rsidRPr="077C0FE1">
        <w:rPr>
          <w:rFonts w:asciiTheme="minorHAnsi" w:hAnsiTheme="minorHAnsi" w:cstheme="minorBidi"/>
        </w:rPr>
        <w:t>reduced</w:t>
      </w:r>
      <w:r w:rsidR="0008521C" w:rsidRPr="077C0FE1">
        <w:rPr>
          <w:rFonts w:asciiTheme="minorHAnsi" w:hAnsiTheme="minorHAnsi" w:cstheme="minorBidi"/>
        </w:rPr>
        <w:t xml:space="preserve"> skeletal muscle</w:t>
      </w:r>
      <w:r w:rsidR="00020AE0" w:rsidRPr="077C0FE1">
        <w:rPr>
          <w:rFonts w:asciiTheme="minorHAnsi" w:hAnsiTheme="minorHAnsi" w:cstheme="minorBidi"/>
        </w:rPr>
        <w:t xml:space="preserve"> mass</w:t>
      </w:r>
      <w:r w:rsidR="00533EC8">
        <w:rPr>
          <w:rFonts w:asciiTheme="minorHAnsi" w:hAnsiTheme="minorHAnsi" w:cstheme="minorBidi"/>
        </w:rPr>
        <w:t xml:space="preserve"> (1</w:t>
      </w:r>
      <w:r w:rsidR="00333B38">
        <w:rPr>
          <w:rFonts w:asciiTheme="minorHAnsi" w:hAnsiTheme="minorHAnsi" w:cstheme="minorBidi"/>
        </w:rPr>
        <w:t>0</w:t>
      </w:r>
      <w:r w:rsidR="00533EC8">
        <w:rPr>
          <w:rFonts w:asciiTheme="minorHAnsi" w:hAnsiTheme="minorHAnsi" w:cstheme="minorBidi"/>
        </w:rPr>
        <w:t>) (</w:t>
      </w:r>
      <w:r w:rsidR="00333B38">
        <w:rPr>
          <w:rFonts w:asciiTheme="minorHAnsi" w:hAnsiTheme="minorHAnsi" w:cstheme="minorBidi"/>
        </w:rPr>
        <w:t>11</w:t>
      </w:r>
      <w:r w:rsidR="00533EC8">
        <w:rPr>
          <w:rFonts w:asciiTheme="minorHAnsi" w:hAnsiTheme="minorHAnsi" w:cstheme="minorBidi"/>
        </w:rPr>
        <w:t>),</w:t>
      </w:r>
      <w:r w:rsidR="00867C41" w:rsidRPr="077C0FE1">
        <w:rPr>
          <w:rFonts w:asciiTheme="minorHAnsi" w:hAnsiTheme="minorHAnsi" w:cstheme="minorBidi"/>
        </w:rPr>
        <w:t xml:space="preserve"> </w:t>
      </w:r>
      <w:r w:rsidR="00020AE0" w:rsidRPr="077C0FE1">
        <w:rPr>
          <w:rFonts w:asciiTheme="minorHAnsi" w:hAnsiTheme="minorHAnsi" w:cstheme="minorBidi"/>
        </w:rPr>
        <w:t xml:space="preserve">when </w:t>
      </w:r>
      <w:r w:rsidR="00867C41" w:rsidRPr="077C0FE1">
        <w:rPr>
          <w:rFonts w:asciiTheme="minorHAnsi" w:hAnsiTheme="minorHAnsi" w:cstheme="minorBidi"/>
        </w:rPr>
        <w:t>measured by</w:t>
      </w:r>
      <w:r w:rsidR="00F26F4C" w:rsidRPr="077C0FE1">
        <w:rPr>
          <w:rFonts w:asciiTheme="minorHAnsi" w:hAnsiTheme="minorHAnsi" w:cstheme="minorBidi"/>
        </w:rPr>
        <w:t xml:space="preserve"> magnetic resonance imaging (</w:t>
      </w:r>
      <w:r w:rsidR="00867C41" w:rsidRPr="077C0FE1">
        <w:rPr>
          <w:rFonts w:asciiTheme="minorHAnsi" w:hAnsiTheme="minorHAnsi" w:cstheme="minorBidi"/>
        </w:rPr>
        <w:t>MRI</w:t>
      </w:r>
      <w:r w:rsidR="00F26F4C" w:rsidRPr="077C0FE1">
        <w:rPr>
          <w:rFonts w:asciiTheme="minorHAnsi" w:hAnsiTheme="minorHAnsi" w:cstheme="minorBidi"/>
        </w:rPr>
        <w:t>)</w:t>
      </w:r>
      <w:r w:rsidR="00914891" w:rsidRPr="077C0FE1">
        <w:rPr>
          <w:rFonts w:asciiTheme="minorHAnsi" w:hAnsiTheme="minorHAnsi" w:cstheme="minorBidi"/>
        </w:rPr>
        <w:t>.</w:t>
      </w:r>
      <w:r w:rsidR="00B756A1">
        <w:rPr>
          <w:rFonts w:asciiTheme="minorHAnsi" w:hAnsiTheme="minorHAnsi" w:cstheme="minorBidi"/>
        </w:rPr>
        <w:t xml:space="preserve"> Furthermore, elevated VAT but not subcutaneous adipose tissue (SAT),</w:t>
      </w:r>
      <w:r w:rsidR="00914891" w:rsidRPr="077C0FE1">
        <w:rPr>
          <w:rFonts w:asciiTheme="minorHAnsi" w:hAnsiTheme="minorHAnsi" w:cstheme="minorBidi"/>
        </w:rPr>
        <w:t xml:space="preserve"> </w:t>
      </w:r>
      <w:r w:rsidR="00B756A1">
        <w:rPr>
          <w:rFonts w:asciiTheme="minorHAnsi" w:hAnsiTheme="minorHAnsi" w:cstheme="minorBidi"/>
        </w:rPr>
        <w:t>has been associated with a significant increase in circulating insulin, plasma glucose and incidence of the metabolic syndrome (12) (13)</w:t>
      </w:r>
      <w:r w:rsidR="001357E5">
        <w:rPr>
          <w:rFonts w:asciiTheme="minorHAnsi" w:hAnsiTheme="minorHAnsi" w:cstheme="minorBidi"/>
        </w:rPr>
        <w:t>, highlighting the importance of studying body fat distribution.</w:t>
      </w:r>
    </w:p>
    <w:p w14:paraId="4F65C247" w14:textId="77777777" w:rsidR="00210F36" w:rsidRPr="00A87DE2" w:rsidRDefault="00210F36" w:rsidP="0012112E">
      <w:pPr>
        <w:spacing w:line="480" w:lineRule="auto"/>
        <w:jc w:val="both"/>
        <w:rPr>
          <w:rFonts w:asciiTheme="minorHAnsi" w:hAnsiTheme="minorHAnsi" w:cstheme="minorBidi"/>
          <w:sz w:val="10"/>
          <w:szCs w:val="10"/>
        </w:rPr>
      </w:pPr>
    </w:p>
    <w:p w14:paraId="687EE9A0" w14:textId="77777777" w:rsidR="00BA5785" w:rsidRPr="00A87DE2" w:rsidRDefault="00BA5785" w:rsidP="0012112E">
      <w:pPr>
        <w:spacing w:line="480" w:lineRule="auto"/>
        <w:jc w:val="both"/>
        <w:rPr>
          <w:rFonts w:asciiTheme="minorHAnsi" w:hAnsiTheme="minorHAnsi" w:cstheme="minorBidi"/>
          <w:sz w:val="10"/>
          <w:szCs w:val="10"/>
        </w:rPr>
      </w:pPr>
    </w:p>
    <w:p w14:paraId="55D6F1C5" w14:textId="3DD3FC4D" w:rsidR="00125052" w:rsidRDefault="00CE3152" w:rsidP="22E88ADC">
      <w:pPr>
        <w:spacing w:line="480" w:lineRule="auto"/>
        <w:jc w:val="both"/>
        <w:rPr>
          <w:rFonts w:asciiTheme="minorHAnsi" w:hAnsiTheme="minorHAnsi" w:cstheme="minorHAnsi"/>
        </w:rPr>
      </w:pPr>
      <w:r>
        <w:rPr>
          <w:rFonts w:asciiTheme="minorHAnsi" w:hAnsiTheme="minorHAnsi" w:cstheme="minorBidi"/>
        </w:rPr>
        <w:t xml:space="preserve">Multi-parametric </w:t>
      </w:r>
      <w:r w:rsidR="0041354F">
        <w:rPr>
          <w:rFonts w:asciiTheme="minorHAnsi" w:hAnsiTheme="minorHAnsi" w:cstheme="minorBidi"/>
        </w:rPr>
        <w:t xml:space="preserve">MRI can </w:t>
      </w:r>
      <w:r w:rsidR="00170B2E">
        <w:rPr>
          <w:rFonts w:asciiTheme="minorHAnsi" w:hAnsiTheme="minorHAnsi" w:cstheme="minorBidi"/>
        </w:rPr>
        <w:t xml:space="preserve">provide </w:t>
      </w:r>
      <w:r w:rsidR="007E6817">
        <w:rPr>
          <w:rFonts w:asciiTheme="minorHAnsi" w:hAnsiTheme="minorHAnsi" w:cstheme="minorBidi"/>
        </w:rPr>
        <w:t xml:space="preserve">quantitative </w:t>
      </w:r>
      <w:r w:rsidR="00170B2E">
        <w:rPr>
          <w:rFonts w:asciiTheme="minorHAnsi" w:hAnsiTheme="minorHAnsi" w:cstheme="minorBidi"/>
        </w:rPr>
        <w:t xml:space="preserve">tissue </w:t>
      </w:r>
      <w:r w:rsidR="0041354F">
        <w:rPr>
          <w:rFonts w:asciiTheme="minorHAnsi" w:hAnsiTheme="minorHAnsi" w:cstheme="minorBidi"/>
        </w:rPr>
        <w:t>characteris</w:t>
      </w:r>
      <w:r w:rsidR="00170B2E">
        <w:rPr>
          <w:rFonts w:asciiTheme="minorHAnsi" w:hAnsiTheme="minorHAnsi" w:cstheme="minorBidi"/>
        </w:rPr>
        <w:t xml:space="preserve">ation in </w:t>
      </w:r>
      <w:r w:rsidR="00B52994" w:rsidRPr="00B8719F">
        <w:rPr>
          <w:rFonts w:asciiTheme="minorHAnsi" w:hAnsiTheme="minorHAnsi" w:cstheme="minorHAnsi"/>
        </w:rPr>
        <w:t>multiple</w:t>
      </w:r>
      <w:r w:rsidR="00170B2E" w:rsidRPr="00B8719F">
        <w:rPr>
          <w:rFonts w:asciiTheme="minorHAnsi" w:hAnsiTheme="minorHAnsi" w:cstheme="minorHAnsi"/>
        </w:rPr>
        <w:t xml:space="preserve"> organs. </w:t>
      </w:r>
      <w:r w:rsidR="00472070" w:rsidRPr="00B8719F">
        <w:rPr>
          <w:rFonts w:asciiTheme="minorHAnsi" w:hAnsiTheme="minorHAnsi" w:cstheme="minorHAnsi"/>
        </w:rPr>
        <w:t xml:space="preserve">Fat infiltration (steatosis), iron deposition </w:t>
      </w:r>
      <w:r w:rsidR="00543720" w:rsidRPr="00B8719F">
        <w:rPr>
          <w:rFonts w:asciiTheme="minorHAnsi" w:hAnsiTheme="minorHAnsi" w:cstheme="minorHAnsi"/>
        </w:rPr>
        <w:t xml:space="preserve">and fibroinflammatory change can be measured </w:t>
      </w:r>
      <w:r w:rsidR="00142C28" w:rsidRPr="00B8719F">
        <w:rPr>
          <w:rFonts w:asciiTheme="minorHAnsi" w:hAnsiTheme="minorHAnsi" w:cstheme="minorHAnsi"/>
        </w:rPr>
        <w:t xml:space="preserve">using proton </w:t>
      </w:r>
      <w:r w:rsidR="0072046F" w:rsidRPr="00B8719F">
        <w:rPr>
          <w:rFonts w:asciiTheme="minorHAnsi" w:hAnsiTheme="minorHAnsi" w:cstheme="minorHAnsi"/>
        </w:rPr>
        <w:t>density fat fraction (PDFF)</w:t>
      </w:r>
      <w:r w:rsidR="00142C28" w:rsidRPr="00B8719F">
        <w:rPr>
          <w:rFonts w:asciiTheme="minorHAnsi" w:hAnsiTheme="minorHAnsi" w:cstheme="minorHAnsi"/>
        </w:rPr>
        <w:t>,</w:t>
      </w:r>
      <w:r w:rsidR="0072046F" w:rsidRPr="00B8719F">
        <w:rPr>
          <w:rFonts w:asciiTheme="minorHAnsi" w:hAnsiTheme="minorHAnsi" w:cstheme="minorHAnsi"/>
        </w:rPr>
        <w:t xml:space="preserve"> i</w:t>
      </w:r>
      <w:r w:rsidR="0008054C" w:rsidRPr="00B8719F">
        <w:rPr>
          <w:rFonts w:asciiTheme="minorHAnsi" w:hAnsiTheme="minorHAnsi" w:cstheme="minorHAnsi"/>
        </w:rPr>
        <w:t xml:space="preserve">ron </w:t>
      </w:r>
      <w:r w:rsidR="00436058" w:rsidRPr="00B8719F">
        <w:rPr>
          <w:rFonts w:asciiTheme="minorHAnsi" w:hAnsiTheme="minorHAnsi" w:cstheme="minorHAnsi"/>
        </w:rPr>
        <w:t xml:space="preserve">and fat </w:t>
      </w:r>
      <w:r w:rsidR="0008054C" w:rsidRPr="00B8719F">
        <w:rPr>
          <w:rFonts w:asciiTheme="minorHAnsi" w:hAnsiTheme="minorHAnsi" w:cstheme="minorHAnsi"/>
        </w:rPr>
        <w:t xml:space="preserve">corrected T1 mapping (cT1) </w:t>
      </w:r>
      <w:r w:rsidRPr="00B8719F">
        <w:rPr>
          <w:rFonts w:asciiTheme="minorHAnsi" w:hAnsiTheme="minorHAnsi" w:cstheme="minorHAnsi"/>
        </w:rPr>
        <w:t>with MRI</w:t>
      </w:r>
      <w:r w:rsidR="0072046F" w:rsidRPr="00B8719F">
        <w:rPr>
          <w:rFonts w:asciiTheme="minorHAnsi" w:hAnsiTheme="minorHAnsi" w:cstheme="minorHAnsi"/>
        </w:rPr>
        <w:t xml:space="preserve">. </w:t>
      </w:r>
      <w:r w:rsidR="006C2D5C" w:rsidRPr="00B8719F">
        <w:rPr>
          <w:rFonts w:asciiTheme="minorHAnsi" w:hAnsiTheme="minorHAnsi" w:cstheme="minorHAnsi"/>
        </w:rPr>
        <w:t>PDFF</w:t>
      </w:r>
      <w:r w:rsidR="00D71A92" w:rsidRPr="00B8719F">
        <w:rPr>
          <w:rFonts w:asciiTheme="minorHAnsi" w:hAnsiTheme="minorHAnsi" w:cstheme="minorHAnsi"/>
        </w:rPr>
        <w:t xml:space="preserve"> quantifies liver fat at each voxel and correlates strongly with histologic steatosis</w:t>
      </w:r>
      <w:r w:rsidR="00950ED6">
        <w:rPr>
          <w:rFonts w:asciiTheme="minorHAnsi" w:hAnsiTheme="minorHAnsi" w:cstheme="minorHAnsi"/>
        </w:rPr>
        <w:t xml:space="preserve"> (1</w:t>
      </w:r>
      <w:r w:rsidR="00B756A1">
        <w:rPr>
          <w:rFonts w:asciiTheme="minorHAnsi" w:hAnsiTheme="minorHAnsi" w:cstheme="minorHAnsi"/>
        </w:rPr>
        <w:t>4</w:t>
      </w:r>
      <w:r w:rsidR="00950ED6">
        <w:rPr>
          <w:rFonts w:asciiTheme="minorHAnsi" w:hAnsiTheme="minorHAnsi" w:cstheme="minorHAnsi"/>
        </w:rPr>
        <w:t>) (1</w:t>
      </w:r>
      <w:r w:rsidR="00B756A1">
        <w:rPr>
          <w:rFonts w:asciiTheme="minorHAnsi" w:hAnsiTheme="minorHAnsi" w:cstheme="minorHAnsi"/>
        </w:rPr>
        <w:t>5</w:t>
      </w:r>
      <w:r w:rsidR="00950ED6">
        <w:rPr>
          <w:rFonts w:asciiTheme="minorHAnsi" w:hAnsiTheme="minorHAnsi" w:cstheme="minorHAnsi"/>
        </w:rPr>
        <w:t>)</w:t>
      </w:r>
      <w:r w:rsidR="00755DE7">
        <w:rPr>
          <w:rFonts w:asciiTheme="minorHAnsi" w:hAnsiTheme="minorHAnsi" w:cstheme="minorHAnsi"/>
        </w:rPr>
        <w:t xml:space="preserve"> </w:t>
      </w:r>
      <w:r w:rsidR="002910C6">
        <w:rPr>
          <w:rFonts w:asciiTheme="minorHAnsi" w:hAnsiTheme="minorHAnsi" w:cstheme="minorHAnsi"/>
        </w:rPr>
        <w:t>while liver cT1, an indicator of liver disease activity and severity, correlates strongly with histological markers</w:t>
      </w:r>
      <w:r w:rsidR="008046BA">
        <w:rPr>
          <w:rFonts w:asciiTheme="minorHAnsi" w:hAnsiTheme="minorHAnsi" w:cstheme="minorHAnsi"/>
        </w:rPr>
        <w:t xml:space="preserve"> of </w:t>
      </w:r>
      <w:proofErr w:type="spellStart"/>
      <w:r w:rsidR="008046BA">
        <w:rPr>
          <w:rFonts w:asciiTheme="minorHAnsi" w:hAnsiTheme="minorHAnsi" w:cstheme="minorHAnsi"/>
        </w:rPr>
        <w:t>fibroinflammation</w:t>
      </w:r>
      <w:proofErr w:type="spellEnd"/>
      <w:r w:rsidR="008046BA">
        <w:rPr>
          <w:rFonts w:asciiTheme="minorHAnsi" w:hAnsiTheme="minorHAnsi" w:cstheme="minorHAnsi"/>
        </w:rPr>
        <w:t xml:space="preserve"> and demonstrates high diagnostic accuracy for stratifying patient</w:t>
      </w:r>
      <w:r w:rsidR="00167A6F">
        <w:rPr>
          <w:rFonts w:asciiTheme="minorHAnsi" w:hAnsiTheme="minorHAnsi" w:cstheme="minorHAnsi"/>
        </w:rPr>
        <w:t>s</w:t>
      </w:r>
      <w:r w:rsidR="008046BA">
        <w:rPr>
          <w:rFonts w:asciiTheme="minorHAnsi" w:hAnsiTheme="minorHAnsi" w:cstheme="minorHAnsi"/>
        </w:rPr>
        <w:t xml:space="preserve"> with NASH and those with at-risk NASH</w:t>
      </w:r>
      <w:r w:rsidR="00052E22">
        <w:rPr>
          <w:rFonts w:asciiTheme="minorHAnsi" w:hAnsiTheme="minorHAnsi" w:cstheme="minorHAnsi"/>
        </w:rPr>
        <w:t xml:space="preserve"> (1</w:t>
      </w:r>
      <w:r w:rsidR="00B756A1">
        <w:rPr>
          <w:rFonts w:asciiTheme="minorHAnsi" w:hAnsiTheme="minorHAnsi" w:cstheme="minorHAnsi"/>
        </w:rPr>
        <w:t>6</w:t>
      </w:r>
      <w:r w:rsidR="00052E22">
        <w:rPr>
          <w:rFonts w:asciiTheme="minorHAnsi" w:hAnsiTheme="minorHAnsi" w:cstheme="minorHAnsi"/>
        </w:rPr>
        <w:t>) (1</w:t>
      </w:r>
      <w:r w:rsidR="00B756A1">
        <w:rPr>
          <w:rFonts w:asciiTheme="minorHAnsi" w:hAnsiTheme="minorHAnsi" w:cstheme="minorHAnsi"/>
        </w:rPr>
        <w:t>7</w:t>
      </w:r>
      <w:r w:rsidR="00052E22">
        <w:rPr>
          <w:rFonts w:asciiTheme="minorHAnsi" w:hAnsiTheme="minorHAnsi" w:cstheme="minorHAnsi"/>
        </w:rPr>
        <w:t>).</w:t>
      </w:r>
      <w:r w:rsidR="000A1C95" w:rsidRPr="00EA6DB2">
        <w:rPr>
          <w:rFonts w:asciiTheme="minorHAnsi" w:hAnsiTheme="minorHAnsi" w:cstheme="minorHAnsi"/>
        </w:rPr>
        <w:t xml:space="preserve"> </w:t>
      </w:r>
    </w:p>
    <w:p w14:paraId="64E09CB4" w14:textId="77777777" w:rsidR="00125052" w:rsidRDefault="00125052" w:rsidP="22E88ADC">
      <w:pPr>
        <w:spacing w:line="480" w:lineRule="auto"/>
        <w:jc w:val="both"/>
        <w:rPr>
          <w:rFonts w:asciiTheme="minorHAnsi" w:hAnsiTheme="minorHAnsi" w:cstheme="minorHAnsi"/>
        </w:rPr>
      </w:pPr>
    </w:p>
    <w:p w14:paraId="2C566EF6" w14:textId="0C990136" w:rsidR="00637FA2" w:rsidRPr="00210F36" w:rsidRDefault="5AC45000" w:rsidP="077C0FE1">
      <w:pPr>
        <w:spacing w:line="480" w:lineRule="auto"/>
        <w:jc w:val="both"/>
        <w:rPr>
          <w:rFonts w:asciiTheme="minorHAnsi" w:hAnsiTheme="minorHAnsi" w:cstheme="minorBidi"/>
          <w:color w:val="000000" w:themeColor="text1"/>
        </w:rPr>
      </w:pPr>
      <w:r w:rsidRPr="00EA6DB2">
        <w:rPr>
          <w:rFonts w:asciiTheme="minorHAnsi" w:hAnsiTheme="minorHAnsi" w:cstheme="minorHAnsi"/>
        </w:rPr>
        <w:t>In this paper</w:t>
      </w:r>
      <w:r w:rsidR="00F83FE7" w:rsidRPr="00EA6DB2">
        <w:rPr>
          <w:rFonts w:asciiTheme="minorHAnsi" w:hAnsiTheme="minorHAnsi" w:cstheme="minorHAnsi"/>
        </w:rPr>
        <w:t>, we</w:t>
      </w:r>
      <w:r w:rsidR="00284032" w:rsidRPr="00EA6DB2">
        <w:rPr>
          <w:rFonts w:asciiTheme="minorHAnsi" w:hAnsiTheme="minorHAnsi" w:cstheme="minorHAnsi"/>
        </w:rPr>
        <w:t xml:space="preserve"> use MRI-derived</w:t>
      </w:r>
      <w:r w:rsidR="00284032" w:rsidRPr="00B8719F">
        <w:rPr>
          <w:rFonts w:asciiTheme="minorHAnsi" w:hAnsiTheme="minorHAnsi" w:cstheme="minorHAnsi"/>
        </w:rPr>
        <w:t xml:space="preserve"> measures of </w:t>
      </w:r>
      <w:r w:rsidR="00D71A92" w:rsidRPr="00B8719F">
        <w:rPr>
          <w:rFonts w:asciiTheme="minorHAnsi" w:hAnsiTheme="minorHAnsi" w:cstheme="minorHAnsi"/>
        </w:rPr>
        <w:t>body composition and liver health using PDFF</w:t>
      </w:r>
      <w:r w:rsidR="00D71A92" w:rsidRPr="00B8719F" w:rsidDel="00D71A92">
        <w:rPr>
          <w:rFonts w:asciiTheme="minorHAnsi" w:hAnsiTheme="minorHAnsi" w:cstheme="minorHAnsi"/>
        </w:rPr>
        <w:t xml:space="preserve"> </w:t>
      </w:r>
      <w:r w:rsidR="00284032" w:rsidRPr="00B8719F">
        <w:rPr>
          <w:rFonts w:asciiTheme="minorHAnsi" w:hAnsiTheme="minorHAnsi" w:cstheme="minorHAnsi"/>
        </w:rPr>
        <w:t xml:space="preserve">and </w:t>
      </w:r>
      <w:r w:rsidR="00D71A92" w:rsidRPr="00B8719F">
        <w:rPr>
          <w:rFonts w:asciiTheme="minorHAnsi" w:hAnsiTheme="minorHAnsi" w:cstheme="minorHAnsi"/>
        </w:rPr>
        <w:t xml:space="preserve">liver cT1 </w:t>
      </w:r>
      <w:r w:rsidR="00284032" w:rsidRPr="00B8719F">
        <w:rPr>
          <w:rFonts w:asciiTheme="minorHAnsi" w:hAnsiTheme="minorHAnsi" w:cstheme="minorHAnsi"/>
        </w:rPr>
        <w:t>to identify participants with</w:t>
      </w:r>
      <w:r w:rsidR="0072046F" w:rsidRPr="00B8719F">
        <w:rPr>
          <w:rFonts w:asciiTheme="minorHAnsi" w:hAnsiTheme="minorHAnsi" w:cstheme="minorHAnsi"/>
        </w:rPr>
        <w:t xml:space="preserve"> NAFLD and</w:t>
      </w:r>
      <w:r w:rsidR="00284032" w:rsidRPr="00B8719F">
        <w:rPr>
          <w:rFonts w:asciiTheme="minorHAnsi" w:hAnsiTheme="minorHAnsi" w:cstheme="minorHAnsi"/>
        </w:rPr>
        <w:t xml:space="preserve"> NASH and </w:t>
      </w:r>
      <w:r w:rsidR="00992682" w:rsidRPr="00B8719F">
        <w:rPr>
          <w:rFonts w:asciiTheme="minorHAnsi" w:hAnsiTheme="minorHAnsi" w:cstheme="minorHAnsi"/>
        </w:rPr>
        <w:t>to</w:t>
      </w:r>
      <w:r w:rsidR="00F83FE7" w:rsidRPr="077C0FE1">
        <w:rPr>
          <w:rFonts w:asciiTheme="minorHAnsi" w:hAnsiTheme="minorHAnsi" w:cstheme="minorBidi"/>
        </w:rPr>
        <w:t xml:space="preserve"> overcome </w:t>
      </w:r>
      <w:r w:rsidR="00992682" w:rsidRPr="077C0FE1">
        <w:rPr>
          <w:rFonts w:asciiTheme="minorHAnsi" w:hAnsiTheme="minorHAnsi" w:cstheme="minorBidi"/>
        </w:rPr>
        <w:t>the</w:t>
      </w:r>
      <w:r w:rsidR="49EBEAA4" w:rsidRPr="077C0FE1">
        <w:rPr>
          <w:rFonts w:asciiTheme="minorHAnsi" w:hAnsiTheme="minorHAnsi" w:cstheme="minorBidi"/>
        </w:rPr>
        <w:t xml:space="preserve"> intrinsic</w:t>
      </w:r>
      <w:r w:rsidR="00992682" w:rsidRPr="077C0FE1">
        <w:rPr>
          <w:rFonts w:asciiTheme="minorHAnsi" w:hAnsiTheme="minorHAnsi" w:cstheme="minorBidi"/>
        </w:rPr>
        <w:t xml:space="preserve"> </w:t>
      </w:r>
      <w:r w:rsidR="00F83FE7" w:rsidRPr="077C0FE1">
        <w:rPr>
          <w:rFonts w:asciiTheme="minorHAnsi" w:hAnsiTheme="minorHAnsi" w:cstheme="minorBidi"/>
        </w:rPr>
        <w:lastRenderedPageBreak/>
        <w:t>limitation of the BMI</w:t>
      </w:r>
      <w:r w:rsidR="0072046F" w:rsidRPr="077C0FE1">
        <w:rPr>
          <w:rFonts w:asciiTheme="minorHAnsi" w:hAnsiTheme="minorHAnsi" w:cstheme="minorBidi"/>
        </w:rPr>
        <w:t xml:space="preserve"> </w:t>
      </w:r>
      <w:r w:rsidR="04FF65D3" w:rsidRPr="077C0FE1">
        <w:rPr>
          <w:rFonts w:asciiTheme="minorHAnsi" w:hAnsiTheme="minorHAnsi" w:cstheme="minorBidi"/>
        </w:rPr>
        <w:t xml:space="preserve">noted above </w:t>
      </w:r>
      <w:r w:rsidR="0072046F" w:rsidRPr="077C0FE1">
        <w:rPr>
          <w:rFonts w:asciiTheme="minorHAnsi" w:hAnsiTheme="minorHAnsi" w:cstheme="minorBidi"/>
        </w:rPr>
        <w:t xml:space="preserve">by exploring regional fat </w:t>
      </w:r>
      <w:r w:rsidR="0072046F" w:rsidRPr="00210F36">
        <w:rPr>
          <w:rFonts w:asciiTheme="minorHAnsi" w:hAnsiTheme="minorHAnsi" w:cstheme="minorBidi"/>
          <w:color w:val="000000" w:themeColor="text1"/>
        </w:rPr>
        <w:t>distribution.</w:t>
      </w:r>
      <w:r w:rsidR="6DC5A6B0" w:rsidRPr="00637D80">
        <w:rPr>
          <w:rFonts w:asciiTheme="minorHAnsi" w:hAnsiTheme="minorHAnsi" w:cstheme="minorBidi"/>
          <w:color w:val="000000" w:themeColor="text1"/>
        </w:rPr>
        <w:t xml:space="preserve"> </w:t>
      </w:r>
      <w:r w:rsidR="00125052">
        <w:rPr>
          <w:rFonts w:asciiTheme="minorHAnsi" w:hAnsiTheme="minorHAnsi" w:cstheme="minorBidi"/>
          <w:color w:val="000000" w:themeColor="text1"/>
        </w:rPr>
        <w:t>W</w:t>
      </w:r>
      <w:r w:rsidR="000D131F" w:rsidRPr="00637D80">
        <w:rPr>
          <w:rFonts w:asciiTheme="minorHAnsi" w:hAnsiTheme="minorHAnsi" w:cstheme="minorBidi"/>
          <w:color w:val="000000" w:themeColor="text1"/>
        </w:rPr>
        <w:t xml:space="preserve">e </w:t>
      </w:r>
      <w:r w:rsidR="002C0064" w:rsidRPr="00637D80">
        <w:rPr>
          <w:rFonts w:asciiTheme="minorHAnsi" w:hAnsiTheme="minorHAnsi" w:cstheme="minorBidi"/>
          <w:color w:val="000000" w:themeColor="text1"/>
        </w:rPr>
        <w:t>describe how</w:t>
      </w:r>
      <w:r w:rsidR="000D131F" w:rsidRPr="00637D80">
        <w:rPr>
          <w:rFonts w:asciiTheme="minorHAnsi" w:hAnsiTheme="minorHAnsi" w:cstheme="minorBidi"/>
          <w:color w:val="000000" w:themeColor="text1"/>
        </w:rPr>
        <w:t xml:space="preserve"> </w:t>
      </w:r>
      <w:r w:rsidR="00C3610B" w:rsidRPr="00637D80">
        <w:rPr>
          <w:rFonts w:asciiTheme="minorHAnsi" w:hAnsiTheme="minorHAnsi" w:cstheme="minorBidi"/>
          <w:color w:val="000000" w:themeColor="text1"/>
        </w:rPr>
        <w:t>applying Bayesian-network</w:t>
      </w:r>
      <w:r w:rsidR="00582BEF" w:rsidRPr="00637D80">
        <w:rPr>
          <w:rFonts w:asciiTheme="minorHAnsi" w:hAnsiTheme="minorHAnsi" w:cstheme="minorBidi"/>
          <w:color w:val="000000" w:themeColor="text1"/>
        </w:rPr>
        <w:t xml:space="preserve">s to </w:t>
      </w:r>
      <w:r w:rsidR="00637FA2" w:rsidRPr="00637D80">
        <w:rPr>
          <w:rFonts w:asciiTheme="minorHAnsi" w:hAnsiTheme="minorHAnsi" w:cstheme="minorBidi"/>
          <w:color w:val="000000" w:themeColor="text1"/>
        </w:rPr>
        <w:t xml:space="preserve">study </w:t>
      </w:r>
      <w:r w:rsidR="00C0177A" w:rsidRPr="00637D80">
        <w:rPr>
          <w:rFonts w:asciiTheme="minorHAnsi" w:hAnsiTheme="minorHAnsi" w:cstheme="minorBidi"/>
          <w:color w:val="000000" w:themeColor="text1"/>
        </w:rPr>
        <w:t xml:space="preserve">the </w:t>
      </w:r>
      <w:r w:rsidR="0000514C" w:rsidRPr="00637D80">
        <w:rPr>
          <w:rFonts w:asciiTheme="minorHAnsi" w:hAnsiTheme="minorHAnsi" w:cstheme="minorBidi"/>
          <w:color w:val="000000" w:themeColor="text1"/>
        </w:rPr>
        <w:t xml:space="preserve">associations </w:t>
      </w:r>
      <w:r w:rsidR="00637FA2" w:rsidRPr="00637D80">
        <w:rPr>
          <w:rFonts w:asciiTheme="minorHAnsi" w:hAnsiTheme="minorHAnsi" w:cstheme="minorBidi"/>
          <w:color w:val="000000" w:themeColor="text1"/>
        </w:rPr>
        <w:t>between</w:t>
      </w:r>
      <w:r w:rsidR="0069732A" w:rsidRPr="00637D80">
        <w:rPr>
          <w:rFonts w:asciiTheme="minorHAnsi" w:hAnsiTheme="minorHAnsi" w:cstheme="minorBidi"/>
          <w:color w:val="000000" w:themeColor="text1"/>
        </w:rPr>
        <w:t xml:space="preserve"> </w:t>
      </w:r>
      <w:r w:rsidR="00637FA2" w:rsidRPr="00637D80">
        <w:rPr>
          <w:rFonts w:asciiTheme="minorHAnsi" w:hAnsiTheme="minorHAnsi" w:cstheme="minorBidi"/>
          <w:color w:val="000000" w:themeColor="text1"/>
        </w:rPr>
        <w:t xml:space="preserve">MRI-derived </w:t>
      </w:r>
      <w:r w:rsidR="00333164" w:rsidRPr="00637D80">
        <w:rPr>
          <w:rFonts w:asciiTheme="minorHAnsi" w:hAnsiTheme="minorHAnsi" w:cstheme="minorBidi"/>
          <w:color w:val="000000" w:themeColor="text1"/>
        </w:rPr>
        <w:t>measures</w:t>
      </w:r>
      <w:r w:rsidR="00637FA2" w:rsidRPr="00637D80">
        <w:rPr>
          <w:rFonts w:asciiTheme="minorHAnsi" w:hAnsiTheme="minorHAnsi" w:cstheme="minorBidi"/>
          <w:color w:val="000000" w:themeColor="text1"/>
        </w:rPr>
        <w:t xml:space="preserve"> of body composition</w:t>
      </w:r>
      <w:r w:rsidR="0069732A" w:rsidRPr="00637D80">
        <w:rPr>
          <w:rFonts w:asciiTheme="minorHAnsi" w:hAnsiTheme="minorHAnsi" w:cstheme="minorBidi"/>
          <w:color w:val="000000" w:themeColor="text1"/>
        </w:rPr>
        <w:t xml:space="preserve"> and liver health</w:t>
      </w:r>
      <w:r w:rsidR="00637FA2" w:rsidRPr="00637D80">
        <w:rPr>
          <w:rFonts w:asciiTheme="minorHAnsi" w:hAnsiTheme="minorHAnsi" w:cstheme="minorBidi"/>
          <w:color w:val="000000" w:themeColor="text1"/>
        </w:rPr>
        <w:t xml:space="preserve">, enables a comprehensive assessment of </w:t>
      </w:r>
      <w:r w:rsidR="00E962DE" w:rsidRPr="00637D80">
        <w:rPr>
          <w:rFonts w:asciiTheme="minorHAnsi" w:hAnsiTheme="minorHAnsi" w:cstheme="minorBidi"/>
          <w:color w:val="000000" w:themeColor="text1"/>
        </w:rPr>
        <w:t xml:space="preserve">the </w:t>
      </w:r>
      <w:r w:rsidR="00637FA2" w:rsidRPr="00637D80">
        <w:rPr>
          <w:rFonts w:asciiTheme="minorHAnsi" w:hAnsiTheme="minorHAnsi" w:cstheme="minorBidi"/>
          <w:color w:val="000000" w:themeColor="text1"/>
        </w:rPr>
        <w:t>high-risk metabolic phenotypes associated with co-prevalent</w:t>
      </w:r>
      <w:r w:rsidR="00E962DE" w:rsidRPr="00637D80">
        <w:rPr>
          <w:rFonts w:asciiTheme="minorHAnsi" w:hAnsiTheme="minorHAnsi" w:cstheme="minorBidi"/>
          <w:color w:val="000000" w:themeColor="text1"/>
        </w:rPr>
        <w:t xml:space="preserve"> T2D and</w:t>
      </w:r>
      <w:r w:rsidR="00637FA2" w:rsidRPr="00637D80">
        <w:rPr>
          <w:rFonts w:asciiTheme="minorHAnsi" w:hAnsiTheme="minorHAnsi" w:cstheme="minorBidi"/>
          <w:color w:val="000000" w:themeColor="text1"/>
        </w:rPr>
        <w:t xml:space="preserve"> NASH.</w:t>
      </w:r>
      <w:r w:rsidR="006D441B" w:rsidRPr="00637D80">
        <w:rPr>
          <w:rFonts w:asciiTheme="minorHAnsi" w:hAnsiTheme="minorHAnsi" w:cstheme="minorBidi"/>
          <w:color w:val="000000" w:themeColor="text1"/>
        </w:rPr>
        <w:t xml:space="preserve"> We also show how BNs can be </w:t>
      </w:r>
      <w:r w:rsidR="00AA3729" w:rsidRPr="00637D80">
        <w:rPr>
          <w:rFonts w:asciiTheme="minorHAnsi" w:hAnsiTheme="minorHAnsi" w:cstheme="minorBidi"/>
          <w:color w:val="000000" w:themeColor="text1"/>
        </w:rPr>
        <w:t>used</w:t>
      </w:r>
      <w:r w:rsidR="006D441B" w:rsidRPr="00637D80">
        <w:rPr>
          <w:rFonts w:asciiTheme="minorHAnsi" w:hAnsiTheme="minorHAnsi" w:cstheme="minorBidi"/>
          <w:color w:val="000000" w:themeColor="text1"/>
        </w:rPr>
        <w:t xml:space="preserve"> to identify potential therapeutic targets for alleviating NASH risk.</w:t>
      </w:r>
      <w:r w:rsidR="006D441B" w:rsidRPr="00210F36">
        <w:rPr>
          <w:rFonts w:asciiTheme="minorHAnsi" w:hAnsiTheme="minorHAnsi" w:cstheme="minorBidi"/>
          <w:color w:val="000000" w:themeColor="text1"/>
        </w:rPr>
        <w:t xml:space="preserve"> </w:t>
      </w:r>
    </w:p>
    <w:p w14:paraId="633BCACE" w14:textId="77777777" w:rsidR="000D2E8D" w:rsidRDefault="000D2E8D" w:rsidP="002D7D3A">
      <w:pPr>
        <w:spacing w:line="480" w:lineRule="auto"/>
        <w:jc w:val="both"/>
        <w:rPr>
          <w:rFonts w:asciiTheme="minorHAnsi" w:hAnsiTheme="minorHAnsi" w:cstheme="minorHAnsi"/>
        </w:rPr>
      </w:pPr>
    </w:p>
    <w:p w14:paraId="472F7976" w14:textId="77777777" w:rsidR="006E5C2F" w:rsidRPr="00875555" w:rsidRDefault="006E5C2F" w:rsidP="002D7D3A">
      <w:pPr>
        <w:spacing w:line="480" w:lineRule="auto"/>
        <w:jc w:val="both"/>
        <w:rPr>
          <w:rFonts w:asciiTheme="minorHAnsi" w:hAnsiTheme="minorHAnsi" w:cstheme="minorHAnsi"/>
        </w:rPr>
      </w:pPr>
    </w:p>
    <w:p w14:paraId="13A7EB7A" w14:textId="30252606" w:rsidR="00712BE1" w:rsidRDefault="00061465" w:rsidP="00712BE1">
      <w:pPr>
        <w:spacing w:line="480" w:lineRule="auto"/>
        <w:jc w:val="both"/>
        <w:rPr>
          <w:rFonts w:asciiTheme="minorHAnsi" w:hAnsiTheme="minorHAnsi" w:cstheme="minorHAnsi"/>
          <w:b/>
          <w:bCs/>
        </w:rPr>
      </w:pPr>
      <w:r w:rsidRPr="00875555">
        <w:rPr>
          <w:rFonts w:asciiTheme="minorHAnsi" w:hAnsiTheme="minorHAnsi" w:cstheme="minorHAnsi"/>
          <w:b/>
          <w:bCs/>
        </w:rPr>
        <w:t>Methods</w:t>
      </w:r>
    </w:p>
    <w:p w14:paraId="6BFB3C7D" w14:textId="77777777" w:rsidR="00403AD4" w:rsidRPr="00875555" w:rsidRDefault="00403AD4" w:rsidP="00403AD4">
      <w:pPr>
        <w:spacing w:line="480" w:lineRule="auto"/>
        <w:jc w:val="both"/>
        <w:rPr>
          <w:rFonts w:asciiTheme="minorHAnsi" w:hAnsiTheme="minorHAnsi" w:cstheme="minorHAnsi"/>
          <w:i/>
          <w:iCs/>
        </w:rPr>
      </w:pPr>
      <w:r w:rsidRPr="00875555">
        <w:rPr>
          <w:rFonts w:asciiTheme="minorHAnsi" w:hAnsiTheme="minorHAnsi" w:cstheme="minorHAnsi"/>
          <w:i/>
          <w:iCs/>
        </w:rPr>
        <w:t xml:space="preserve">Data collection &amp; preparation </w:t>
      </w:r>
    </w:p>
    <w:p w14:paraId="204C85D1" w14:textId="45FB54B5" w:rsidR="00403AD4" w:rsidRDefault="00403AD4" w:rsidP="00403AD4">
      <w:pPr>
        <w:spacing w:line="480" w:lineRule="auto"/>
        <w:jc w:val="both"/>
        <w:rPr>
          <w:rFonts w:asciiTheme="minorHAnsi" w:hAnsiTheme="minorHAnsi" w:cstheme="minorBidi"/>
        </w:rPr>
      </w:pPr>
      <w:r>
        <w:rPr>
          <w:rFonts w:asciiTheme="minorHAnsi" w:hAnsiTheme="minorHAnsi" w:cstheme="minorBidi"/>
        </w:rPr>
        <w:t>We investigated two datasets: the first included 221 participants with T2D pooled from the MODIFY study (</w:t>
      </w:r>
      <w:r w:rsidRPr="683E4DAE">
        <w:rPr>
          <w:rStyle w:val="normaltextrun"/>
          <w:rFonts w:asciiTheme="minorHAnsi" w:hAnsiTheme="minorHAnsi" w:cstheme="minorBidi"/>
        </w:rPr>
        <w:t>NCT04114682</w:t>
      </w:r>
      <w:r>
        <w:rPr>
          <w:rFonts w:asciiTheme="minorHAnsi" w:hAnsiTheme="minorHAnsi" w:cstheme="minorBidi"/>
        </w:rPr>
        <w:t>)</w:t>
      </w:r>
      <w:r w:rsidR="00B72E82">
        <w:rPr>
          <w:rFonts w:asciiTheme="minorHAnsi" w:hAnsiTheme="minorHAnsi" w:cstheme="minorBidi"/>
        </w:rPr>
        <w:t xml:space="preserve"> (1</w:t>
      </w:r>
      <w:r w:rsidR="00B756A1">
        <w:rPr>
          <w:rFonts w:asciiTheme="minorHAnsi" w:hAnsiTheme="minorHAnsi" w:cstheme="minorBidi"/>
        </w:rPr>
        <w:t>8</w:t>
      </w:r>
      <w:r w:rsidR="00B72E82">
        <w:rPr>
          <w:rFonts w:asciiTheme="minorHAnsi" w:hAnsiTheme="minorHAnsi" w:cstheme="minorBidi"/>
        </w:rPr>
        <w:t>)</w:t>
      </w:r>
      <w:r>
        <w:rPr>
          <w:rFonts w:asciiTheme="minorHAnsi" w:hAnsiTheme="minorHAnsi" w:cstheme="minorBidi"/>
        </w:rPr>
        <w:t xml:space="preserve"> and the UK Biobank (UKBB) online resource under application 9914. MODIFY recruited participants with T2D from primary or secondary care settings from three sites across the UK; UKBB</w:t>
      </w:r>
      <w:r w:rsidRPr="683E4DAE">
        <w:rPr>
          <w:rFonts w:asciiTheme="minorHAnsi" w:hAnsiTheme="minorHAnsi" w:cstheme="minorBidi"/>
        </w:rPr>
        <w:t xml:space="preserve"> is</w:t>
      </w:r>
      <w:r>
        <w:rPr>
          <w:rFonts w:asciiTheme="minorHAnsi" w:hAnsiTheme="minorHAnsi" w:cstheme="minorBidi"/>
        </w:rPr>
        <w:t xml:space="preserve"> a general population-based cohort study in people aged 40 to 69 years from across the UK (</w:t>
      </w:r>
      <w:r w:rsidRPr="007B1A59">
        <w:rPr>
          <w:rFonts w:asciiTheme="minorHAnsi" w:hAnsiTheme="minorHAnsi" w:cstheme="minorBidi"/>
        </w:rPr>
        <w:t>https://www.ukbiobank.ac.uk/</w:t>
      </w:r>
      <w:r w:rsidRPr="683E4DAE">
        <w:rPr>
          <w:rFonts w:asciiTheme="minorHAnsi" w:hAnsiTheme="minorHAnsi" w:cstheme="minorBidi"/>
        </w:rPr>
        <w:t>).</w:t>
      </w:r>
      <w:r>
        <w:rPr>
          <w:rFonts w:asciiTheme="minorHAnsi" w:hAnsiTheme="minorHAnsi" w:cstheme="minorBidi"/>
        </w:rPr>
        <w:t xml:space="preserve"> The second cohort included 135 participants without diabetes of any kind (non-T2D) drawn from the UKBB. All participants underwent an abdominal MR scan that included multi-parametric imaging of the liver and pancreas</w:t>
      </w:r>
      <w:r w:rsidR="00B26910">
        <w:rPr>
          <w:rFonts w:asciiTheme="minorHAnsi" w:hAnsiTheme="minorHAnsi" w:cstheme="minorBidi"/>
        </w:rPr>
        <w:t xml:space="preserve">. See </w:t>
      </w:r>
      <w:r w:rsidR="00F92522">
        <w:rPr>
          <w:rFonts w:asciiTheme="minorHAnsi" w:hAnsiTheme="minorHAnsi" w:cstheme="minorBidi"/>
        </w:rPr>
        <w:t>(1</w:t>
      </w:r>
      <w:r w:rsidR="00D20ABF">
        <w:rPr>
          <w:rFonts w:asciiTheme="minorHAnsi" w:hAnsiTheme="minorHAnsi" w:cstheme="minorBidi"/>
        </w:rPr>
        <w:t>0</w:t>
      </w:r>
      <w:r w:rsidR="00F92522">
        <w:rPr>
          <w:rFonts w:asciiTheme="minorHAnsi" w:hAnsiTheme="minorHAnsi" w:cstheme="minorBidi"/>
        </w:rPr>
        <w:t>)</w:t>
      </w:r>
      <w:r w:rsidR="00B26910">
        <w:rPr>
          <w:rFonts w:asciiTheme="minorHAnsi" w:hAnsiTheme="minorHAnsi" w:cstheme="minorBidi"/>
        </w:rPr>
        <w:t xml:space="preserve"> for an in-depth description of the MR-protocol. </w:t>
      </w:r>
    </w:p>
    <w:p w14:paraId="7E751511" w14:textId="77777777" w:rsidR="00403AD4" w:rsidRDefault="00403AD4" w:rsidP="007B0332">
      <w:pPr>
        <w:spacing w:line="480" w:lineRule="auto"/>
        <w:jc w:val="both"/>
        <w:rPr>
          <w:rFonts w:asciiTheme="minorHAnsi" w:hAnsiTheme="minorHAnsi" w:cstheme="minorBidi"/>
          <w:i/>
          <w:iCs/>
        </w:rPr>
      </w:pPr>
    </w:p>
    <w:p w14:paraId="45CB699F" w14:textId="4D778D50" w:rsidR="00403AD4" w:rsidRDefault="00403AD4" w:rsidP="007B0332">
      <w:pPr>
        <w:spacing w:line="480" w:lineRule="auto"/>
        <w:jc w:val="both"/>
        <w:rPr>
          <w:rFonts w:asciiTheme="minorHAnsi" w:hAnsiTheme="minorHAnsi" w:cstheme="minorBidi"/>
          <w:i/>
          <w:iCs/>
        </w:rPr>
      </w:pPr>
      <w:r>
        <w:rPr>
          <w:rFonts w:asciiTheme="minorHAnsi" w:hAnsiTheme="minorHAnsi" w:cstheme="minorBidi"/>
          <w:i/>
          <w:iCs/>
        </w:rPr>
        <w:t xml:space="preserve">Clinical details and MRI image acquisition and analysis </w:t>
      </w:r>
      <w:r w:rsidRPr="00763B69">
        <w:rPr>
          <w:rFonts w:asciiTheme="minorHAnsi" w:hAnsiTheme="minorHAnsi" w:cstheme="minorBidi"/>
        </w:rPr>
        <w:t>(Figure 1)</w:t>
      </w:r>
    </w:p>
    <w:p w14:paraId="4F71C131" w14:textId="19B1F8AC" w:rsidR="00403AD4" w:rsidRDefault="00403AD4" w:rsidP="007B0332">
      <w:pPr>
        <w:spacing w:line="480" w:lineRule="auto"/>
        <w:jc w:val="both"/>
        <w:rPr>
          <w:rFonts w:asciiTheme="minorHAnsi" w:hAnsiTheme="minorHAnsi" w:cstheme="minorBidi"/>
          <w:i/>
          <w:iCs/>
        </w:rPr>
      </w:pPr>
      <w:r>
        <w:rPr>
          <w:rFonts w:asciiTheme="minorHAnsi" w:hAnsiTheme="minorHAnsi" w:cstheme="minorBidi"/>
        </w:rPr>
        <w:t>B</w:t>
      </w:r>
      <w:r w:rsidRPr="077C0FE1">
        <w:rPr>
          <w:rFonts w:asciiTheme="minorHAnsi" w:hAnsiTheme="minorHAnsi" w:cstheme="minorBidi"/>
        </w:rPr>
        <w:t>ody composition was examined from a 2D MR slice positioned at the third lumbar (L3) vertebra and measurements of VAT, SAT and skeletal muscle were based on manual delineations by trained analysts, see Fig</w:t>
      </w:r>
      <w:r>
        <w:rPr>
          <w:rFonts w:asciiTheme="minorHAnsi" w:hAnsiTheme="minorHAnsi" w:cstheme="minorBidi"/>
        </w:rPr>
        <w:t>ure</w:t>
      </w:r>
      <w:r w:rsidRPr="077C0FE1">
        <w:rPr>
          <w:rFonts w:asciiTheme="minorHAnsi" w:hAnsiTheme="minorHAnsi" w:cstheme="minorBidi"/>
        </w:rPr>
        <w:t xml:space="preserve"> </w:t>
      </w:r>
      <w:r>
        <w:rPr>
          <w:rFonts w:asciiTheme="minorHAnsi" w:hAnsiTheme="minorHAnsi" w:cstheme="minorBidi"/>
        </w:rPr>
        <w:t>1</w:t>
      </w:r>
      <w:r w:rsidRPr="077C0FE1">
        <w:rPr>
          <w:rFonts w:asciiTheme="minorHAnsi" w:hAnsiTheme="minorHAnsi" w:cstheme="minorBidi"/>
        </w:rPr>
        <w:t>. Measures of skeletal muscle were then indexed to the participant’s height to produce a measure of skeletal muscle index (SMI) (cm</w:t>
      </w:r>
      <w:r w:rsidRPr="077C0FE1">
        <w:rPr>
          <w:rFonts w:asciiTheme="minorHAnsi" w:hAnsiTheme="minorHAnsi" w:cstheme="minorBidi"/>
          <w:vertAlign w:val="superscript"/>
        </w:rPr>
        <w:t>2</w:t>
      </w:r>
      <w:r w:rsidRPr="077C0FE1">
        <w:rPr>
          <w:rFonts w:asciiTheme="minorHAnsi" w:hAnsiTheme="minorHAnsi" w:cstheme="minorBidi"/>
        </w:rPr>
        <w:t>/m</w:t>
      </w:r>
      <w:r w:rsidRPr="077C0FE1">
        <w:rPr>
          <w:rFonts w:asciiTheme="minorHAnsi" w:hAnsiTheme="minorHAnsi" w:cstheme="minorBidi"/>
          <w:vertAlign w:val="superscript"/>
        </w:rPr>
        <w:t>2</w:t>
      </w:r>
      <w:r w:rsidRPr="077C0FE1">
        <w:rPr>
          <w:rFonts w:asciiTheme="minorHAnsi" w:hAnsiTheme="minorHAnsi" w:cstheme="minorBidi"/>
        </w:rPr>
        <w:t xml:space="preserve">). All continuous variables were discretized based on pre-defined clinical thresholds or by splitting </w:t>
      </w:r>
      <w:r w:rsidRPr="077C0FE1">
        <w:rPr>
          <w:rFonts w:asciiTheme="minorHAnsi" w:hAnsiTheme="minorHAnsi" w:cstheme="minorBidi"/>
        </w:rPr>
        <w:lastRenderedPageBreak/>
        <w:t>the data into ‘low’ and ‘high’ value groups determined at the 75</w:t>
      </w:r>
      <w:r w:rsidRPr="077C0FE1">
        <w:rPr>
          <w:rFonts w:asciiTheme="minorHAnsi" w:hAnsiTheme="minorHAnsi" w:cstheme="minorBidi"/>
          <w:vertAlign w:val="superscript"/>
        </w:rPr>
        <w:t>th</w:t>
      </w:r>
      <w:r w:rsidRPr="077C0FE1">
        <w:rPr>
          <w:rFonts w:asciiTheme="minorHAnsi" w:hAnsiTheme="minorHAnsi" w:cstheme="minorBidi"/>
        </w:rPr>
        <w:t xml:space="preserve"> percentile value, see supplementary. For example, HbA1c within the </w:t>
      </w:r>
      <w:r>
        <w:rPr>
          <w:rFonts w:asciiTheme="minorHAnsi" w:hAnsiTheme="minorHAnsi" w:cstheme="minorBidi"/>
        </w:rPr>
        <w:t>T2D</w:t>
      </w:r>
      <w:r w:rsidRPr="077C0FE1">
        <w:rPr>
          <w:rFonts w:asciiTheme="minorHAnsi" w:hAnsiTheme="minorHAnsi" w:cstheme="minorBidi"/>
        </w:rPr>
        <w:t xml:space="preserve"> cohort was discretised by splitting the cohort into ‘low’ (HbA1c &lt;</w:t>
      </w:r>
      <w:r>
        <w:rPr>
          <w:rFonts w:asciiTheme="minorHAnsi" w:hAnsiTheme="minorHAnsi" w:cstheme="minorBidi"/>
        </w:rPr>
        <w:t>6</w:t>
      </w:r>
      <w:r w:rsidR="00D34133">
        <w:rPr>
          <w:rFonts w:asciiTheme="minorHAnsi" w:hAnsiTheme="minorHAnsi" w:cstheme="minorBidi"/>
        </w:rPr>
        <w:t>2</w:t>
      </w:r>
      <w:r w:rsidRPr="077C0FE1">
        <w:rPr>
          <w:rFonts w:asciiTheme="minorHAnsi" w:hAnsiTheme="minorHAnsi" w:cstheme="minorBidi"/>
        </w:rPr>
        <w:t>mmol/mol) and ‘high’ (HbA1c &gt;=</w:t>
      </w:r>
      <w:r>
        <w:rPr>
          <w:rFonts w:asciiTheme="minorHAnsi" w:hAnsiTheme="minorHAnsi" w:cstheme="minorBidi"/>
        </w:rPr>
        <w:t>6</w:t>
      </w:r>
      <w:r w:rsidR="00D34133">
        <w:rPr>
          <w:rFonts w:asciiTheme="minorHAnsi" w:hAnsiTheme="minorHAnsi" w:cstheme="minorBidi"/>
        </w:rPr>
        <w:t>2</w:t>
      </w:r>
      <w:r w:rsidRPr="077C0FE1">
        <w:rPr>
          <w:rFonts w:asciiTheme="minorHAnsi" w:hAnsiTheme="minorHAnsi" w:cstheme="minorBidi"/>
        </w:rPr>
        <w:t>mmol/mol) value groups. Presence of NASH was classified based on liver PDFF &gt;5.6% and liver cT1 &gt;800ms</w:t>
      </w:r>
      <w:r>
        <w:rPr>
          <w:rFonts w:asciiTheme="minorHAnsi" w:hAnsiTheme="minorHAnsi" w:cstheme="minorBidi"/>
        </w:rPr>
        <w:t>. S</w:t>
      </w:r>
      <w:r w:rsidRPr="077C0FE1">
        <w:rPr>
          <w:rFonts w:asciiTheme="minorHAnsi" w:hAnsiTheme="minorHAnsi" w:cstheme="minorBidi"/>
        </w:rPr>
        <w:t>uch thresholds ha</w:t>
      </w:r>
      <w:r>
        <w:rPr>
          <w:rFonts w:asciiTheme="minorHAnsi" w:hAnsiTheme="minorHAnsi" w:cstheme="minorBidi"/>
        </w:rPr>
        <w:t xml:space="preserve">ve consistently </w:t>
      </w:r>
      <w:r w:rsidRPr="077C0FE1">
        <w:rPr>
          <w:rFonts w:asciiTheme="minorHAnsi" w:hAnsiTheme="minorHAnsi" w:cstheme="minorBidi"/>
        </w:rPr>
        <w:t>demonstrated high diagnostic accuracy for stratifying patients with NASH</w:t>
      </w:r>
      <w:r>
        <w:rPr>
          <w:rFonts w:asciiTheme="minorHAnsi" w:hAnsiTheme="minorHAnsi" w:cstheme="minorBidi"/>
        </w:rPr>
        <w:t xml:space="preserve">, predicting liver-related outcomes, </w:t>
      </w:r>
      <w:r w:rsidRPr="077C0FE1">
        <w:rPr>
          <w:rFonts w:asciiTheme="minorHAnsi" w:hAnsiTheme="minorHAnsi" w:cstheme="minorBidi"/>
        </w:rPr>
        <w:t>classifying between NASH and NAFLD</w:t>
      </w:r>
      <w:r>
        <w:rPr>
          <w:rFonts w:asciiTheme="minorHAnsi" w:hAnsiTheme="minorHAnsi" w:cstheme="minorBidi"/>
        </w:rPr>
        <w:t xml:space="preserve"> only and are an effective alternative to liver biopsy for diagnosing NASH</w:t>
      </w:r>
      <w:r w:rsidRPr="077C0FE1">
        <w:rPr>
          <w:rFonts w:asciiTheme="minorHAnsi" w:hAnsiTheme="minorHAnsi" w:cstheme="minorBidi"/>
        </w:rPr>
        <w:t xml:space="preserve"> (</w:t>
      </w:r>
      <w:r w:rsidR="005F3F1A">
        <w:rPr>
          <w:rFonts w:asciiTheme="minorHAnsi" w:hAnsiTheme="minorHAnsi" w:cstheme="minorBidi"/>
        </w:rPr>
        <w:t>1</w:t>
      </w:r>
      <w:r w:rsidR="00B756A1">
        <w:rPr>
          <w:rFonts w:asciiTheme="minorHAnsi" w:hAnsiTheme="minorHAnsi" w:cstheme="minorBidi"/>
        </w:rPr>
        <w:t>6</w:t>
      </w:r>
      <w:r w:rsidRPr="077C0FE1">
        <w:rPr>
          <w:rFonts w:asciiTheme="minorHAnsi" w:hAnsiTheme="minorHAnsi" w:cstheme="minorBidi"/>
        </w:rPr>
        <w:t>)</w:t>
      </w:r>
      <w:r w:rsidR="005F3F1A">
        <w:rPr>
          <w:rFonts w:asciiTheme="minorHAnsi" w:hAnsiTheme="minorHAnsi" w:cstheme="minorBidi"/>
        </w:rPr>
        <w:t xml:space="preserve"> (1</w:t>
      </w:r>
      <w:r w:rsidR="00B756A1">
        <w:rPr>
          <w:rFonts w:asciiTheme="minorHAnsi" w:hAnsiTheme="minorHAnsi" w:cstheme="minorBidi"/>
        </w:rPr>
        <w:t>9</w:t>
      </w:r>
      <w:r w:rsidR="005F3F1A">
        <w:rPr>
          <w:rFonts w:asciiTheme="minorHAnsi" w:hAnsiTheme="minorHAnsi" w:cstheme="minorBidi"/>
        </w:rPr>
        <w:t>) (</w:t>
      </w:r>
      <w:r w:rsidR="00B756A1">
        <w:rPr>
          <w:rFonts w:asciiTheme="minorHAnsi" w:hAnsiTheme="minorHAnsi" w:cstheme="minorBidi"/>
        </w:rPr>
        <w:t>20</w:t>
      </w:r>
      <w:r w:rsidR="005F3F1A">
        <w:rPr>
          <w:rFonts w:asciiTheme="minorHAnsi" w:hAnsiTheme="minorHAnsi" w:cstheme="minorBidi"/>
        </w:rPr>
        <w:t xml:space="preserve">). </w:t>
      </w:r>
    </w:p>
    <w:p w14:paraId="1DD20143" w14:textId="77777777" w:rsidR="00271834" w:rsidRDefault="00271834" w:rsidP="007B0332">
      <w:pPr>
        <w:spacing w:line="480" w:lineRule="auto"/>
        <w:jc w:val="both"/>
        <w:rPr>
          <w:rFonts w:asciiTheme="minorHAnsi" w:hAnsiTheme="minorHAnsi" w:cstheme="minorBidi"/>
          <w:i/>
          <w:iCs/>
        </w:rPr>
      </w:pPr>
    </w:p>
    <w:p w14:paraId="1B84F758" w14:textId="1E7C338A" w:rsidR="007B0332" w:rsidRPr="00CD1526" w:rsidRDefault="007B0332" w:rsidP="007B0332">
      <w:pPr>
        <w:spacing w:line="480" w:lineRule="auto"/>
        <w:jc w:val="both"/>
        <w:rPr>
          <w:rFonts w:asciiTheme="minorHAnsi" w:hAnsiTheme="minorHAnsi" w:cstheme="minorHAnsi"/>
          <w:sz w:val="10"/>
          <w:szCs w:val="10"/>
          <w:vertAlign w:val="subscript"/>
        </w:rPr>
      </w:pPr>
      <w:r>
        <w:rPr>
          <w:rFonts w:asciiTheme="minorHAnsi" w:hAnsiTheme="minorHAnsi" w:cstheme="minorBidi"/>
          <w:i/>
          <w:iCs/>
        </w:rPr>
        <w:t>Bayesian-networks</w:t>
      </w:r>
      <w:r w:rsidRPr="00E03F76">
        <w:rPr>
          <w:rFonts w:asciiTheme="minorHAnsi" w:hAnsiTheme="minorHAnsi" w:cstheme="minorHAnsi"/>
          <w:i/>
          <w:iCs/>
        </w:rPr>
        <w:t xml:space="preserve"> </w:t>
      </w:r>
      <w:r>
        <w:rPr>
          <w:rFonts w:asciiTheme="minorHAnsi" w:hAnsiTheme="minorHAnsi" w:cstheme="minorHAnsi"/>
          <w:i/>
          <w:iCs/>
        </w:rPr>
        <w:t>(see Supplementary information for full explanation of BNs)</w:t>
      </w:r>
    </w:p>
    <w:p w14:paraId="5711A018" w14:textId="5640D22E" w:rsidR="007B0332" w:rsidRDefault="007B0332" w:rsidP="007B0332">
      <w:pPr>
        <w:spacing w:line="480" w:lineRule="auto"/>
        <w:jc w:val="both"/>
        <w:rPr>
          <w:rFonts w:asciiTheme="minorHAnsi" w:hAnsiTheme="minorHAnsi" w:cstheme="minorBidi"/>
        </w:rPr>
      </w:pPr>
      <w:r w:rsidRPr="007B0332">
        <w:rPr>
          <w:rFonts w:asciiTheme="minorHAnsi" w:hAnsiTheme="minorHAnsi" w:cstheme="minorBidi"/>
          <w:color w:val="000000" w:themeColor="text1"/>
        </w:rPr>
        <w:t>Bayesian Networks (BNs)</w:t>
      </w:r>
      <w:r w:rsidR="00F63D96">
        <w:rPr>
          <w:rFonts w:asciiTheme="minorHAnsi" w:hAnsiTheme="minorHAnsi" w:cstheme="minorBidi"/>
          <w:color w:val="000000" w:themeColor="text1"/>
        </w:rPr>
        <w:t xml:space="preserve"> are directed </w:t>
      </w:r>
      <w:r w:rsidR="000237AB">
        <w:rPr>
          <w:rFonts w:asciiTheme="minorHAnsi" w:hAnsiTheme="minorHAnsi" w:cstheme="minorBidi"/>
          <w:color w:val="000000" w:themeColor="text1"/>
        </w:rPr>
        <w:t>acyclic</w:t>
      </w:r>
      <w:r w:rsidR="00F63D96">
        <w:rPr>
          <w:rFonts w:asciiTheme="minorHAnsi" w:hAnsiTheme="minorHAnsi" w:cstheme="minorBidi"/>
          <w:color w:val="000000" w:themeColor="text1"/>
        </w:rPr>
        <w:t xml:space="preserve"> graphs</w:t>
      </w:r>
      <w:r w:rsidR="00EC7512">
        <w:rPr>
          <w:rFonts w:asciiTheme="minorHAnsi" w:hAnsiTheme="minorHAnsi" w:cstheme="minorBidi"/>
          <w:color w:val="000000" w:themeColor="text1"/>
        </w:rPr>
        <w:t xml:space="preserve"> that are capable of </w:t>
      </w:r>
      <w:r w:rsidR="00BC44F5">
        <w:rPr>
          <w:rFonts w:asciiTheme="minorHAnsi" w:hAnsiTheme="minorHAnsi" w:cstheme="minorBidi"/>
          <w:color w:val="000000" w:themeColor="text1"/>
        </w:rPr>
        <w:t>explicitly</w:t>
      </w:r>
      <w:r w:rsidR="00EC7512">
        <w:rPr>
          <w:rFonts w:asciiTheme="minorHAnsi" w:hAnsiTheme="minorHAnsi" w:cstheme="minorBidi"/>
          <w:color w:val="000000" w:themeColor="text1"/>
        </w:rPr>
        <w:t xml:space="preserve"> representing and </w:t>
      </w:r>
      <w:r w:rsidR="00BC44F5">
        <w:rPr>
          <w:rFonts w:asciiTheme="minorHAnsi" w:hAnsiTheme="minorHAnsi" w:cstheme="minorBidi"/>
          <w:color w:val="000000" w:themeColor="text1"/>
        </w:rPr>
        <w:t>analysing</w:t>
      </w:r>
      <w:r w:rsidR="003E4408">
        <w:rPr>
          <w:rFonts w:asciiTheme="minorHAnsi" w:hAnsiTheme="minorHAnsi" w:cstheme="minorBidi"/>
          <w:color w:val="000000" w:themeColor="text1"/>
        </w:rPr>
        <w:t xml:space="preserve"> </w:t>
      </w:r>
      <w:r w:rsidRPr="007B0332">
        <w:rPr>
          <w:rFonts w:asciiTheme="minorHAnsi" w:hAnsiTheme="minorHAnsi" w:cstheme="minorBidi"/>
          <w:color w:val="000000" w:themeColor="text1"/>
        </w:rPr>
        <w:t>complex systems and</w:t>
      </w:r>
      <w:r w:rsidR="00D9648B">
        <w:rPr>
          <w:rFonts w:asciiTheme="minorHAnsi" w:hAnsiTheme="minorHAnsi" w:cstheme="minorBidi"/>
          <w:color w:val="000000" w:themeColor="text1"/>
        </w:rPr>
        <w:t xml:space="preserve"> </w:t>
      </w:r>
      <w:r w:rsidRPr="007B0332">
        <w:rPr>
          <w:rFonts w:asciiTheme="minorHAnsi" w:hAnsiTheme="minorHAnsi" w:cstheme="minorBidi"/>
          <w:color w:val="000000" w:themeColor="text1"/>
        </w:rPr>
        <w:t xml:space="preserve">under certain assumptions, specifying causal relationships. When combined with probabilistic reasoning, BNs can be used to estimate the probability of an ‘event’ occurring in response to a fixed evidence input. For example, </w:t>
      </w:r>
      <w:r w:rsidR="005F3F1A">
        <w:rPr>
          <w:rFonts w:asciiTheme="minorHAnsi" w:hAnsiTheme="minorHAnsi" w:cstheme="minorBidi"/>
          <w:color w:val="000000" w:themeColor="text1"/>
        </w:rPr>
        <w:t>(</w:t>
      </w:r>
      <w:r w:rsidR="00B756A1">
        <w:rPr>
          <w:rFonts w:asciiTheme="minorHAnsi" w:hAnsiTheme="minorHAnsi" w:cstheme="minorBidi"/>
          <w:color w:val="000000" w:themeColor="text1"/>
        </w:rPr>
        <w:t>21</w:t>
      </w:r>
      <w:r w:rsidR="00601612">
        <w:rPr>
          <w:rFonts w:asciiTheme="minorHAnsi" w:hAnsiTheme="minorHAnsi" w:cstheme="minorBidi"/>
          <w:color w:val="000000" w:themeColor="text1"/>
        </w:rPr>
        <w:t xml:space="preserve">) </w:t>
      </w:r>
      <w:r w:rsidRPr="007B0332">
        <w:rPr>
          <w:rFonts w:asciiTheme="minorHAnsi" w:hAnsiTheme="minorHAnsi" w:cstheme="minorBidi"/>
          <w:color w:val="000000" w:themeColor="text1"/>
        </w:rPr>
        <w:t>used BNs to estimate the probability of acute kidney injury after fixing certain biochemical abnormalities in patients with gastrointestinal cancer</w:t>
      </w:r>
      <w:r w:rsidR="00637D80">
        <w:rPr>
          <w:rFonts w:asciiTheme="minorHAnsi" w:hAnsiTheme="minorHAnsi" w:cstheme="minorBidi"/>
          <w:color w:val="000000" w:themeColor="text1"/>
        </w:rPr>
        <w:t>.</w:t>
      </w:r>
    </w:p>
    <w:p w14:paraId="5A378A3D" w14:textId="77777777" w:rsidR="007B0332" w:rsidRDefault="007B0332" w:rsidP="007B0332">
      <w:pPr>
        <w:spacing w:line="480" w:lineRule="auto"/>
        <w:jc w:val="both"/>
        <w:rPr>
          <w:rFonts w:asciiTheme="minorHAnsi" w:hAnsiTheme="minorHAnsi" w:cstheme="minorBidi"/>
        </w:rPr>
      </w:pPr>
    </w:p>
    <w:p w14:paraId="1FBF37FB" w14:textId="1EA64A23" w:rsidR="007B0332" w:rsidRDefault="007B0332" w:rsidP="007B0332">
      <w:pPr>
        <w:spacing w:line="480" w:lineRule="auto"/>
        <w:jc w:val="both"/>
        <w:rPr>
          <w:rFonts w:asciiTheme="minorHAnsi" w:hAnsiTheme="minorHAnsi" w:cstheme="minorBidi"/>
        </w:rPr>
      </w:pPr>
      <w:r w:rsidRPr="077C0FE1">
        <w:rPr>
          <w:rFonts w:asciiTheme="minorHAnsi" w:hAnsiTheme="minorHAnsi" w:cstheme="minorBidi"/>
        </w:rPr>
        <w:t>To investigate the probability of NASH in specific</w:t>
      </w:r>
      <w:r w:rsidR="0021096F">
        <w:rPr>
          <w:rFonts w:asciiTheme="minorHAnsi" w:hAnsiTheme="minorHAnsi" w:cstheme="minorBidi"/>
        </w:rPr>
        <w:t xml:space="preserve"> clinical characteristics</w:t>
      </w:r>
      <w:r w:rsidRPr="077C0FE1">
        <w:rPr>
          <w:rFonts w:asciiTheme="minorHAnsi" w:hAnsiTheme="minorHAnsi" w:cstheme="minorBidi"/>
        </w:rPr>
        <w:t xml:space="preserve">, </w:t>
      </w:r>
      <w:r>
        <w:rPr>
          <w:rFonts w:asciiTheme="minorHAnsi" w:hAnsiTheme="minorHAnsi" w:cstheme="minorBidi"/>
        </w:rPr>
        <w:t xml:space="preserve">we conducted </w:t>
      </w:r>
      <w:r w:rsidRPr="077C0FE1">
        <w:rPr>
          <w:rFonts w:asciiTheme="minorHAnsi" w:hAnsiTheme="minorHAnsi" w:cstheme="minorBidi"/>
        </w:rPr>
        <w:t xml:space="preserve">conditional probability queries </w:t>
      </w:r>
      <w:r w:rsidR="003C0F5A">
        <w:rPr>
          <w:rFonts w:asciiTheme="minorHAnsi" w:hAnsiTheme="minorHAnsi" w:cstheme="minorBidi"/>
        </w:rPr>
        <w:t>that</w:t>
      </w:r>
      <w:r w:rsidRPr="077C0FE1">
        <w:rPr>
          <w:rFonts w:asciiTheme="minorHAnsi" w:hAnsiTheme="minorHAnsi" w:cstheme="minorBidi"/>
        </w:rPr>
        <w:t xml:space="preserve"> estimate the probability of an event (here, NASH), given an ‘evidence list’ containing the set values of specific network variables (for example, obesity or HbA1c status). The probability of NASH was estimated using the likelihood weighting algorithm, a Monte Carlo approximation technique utilising importance sampling.</w:t>
      </w:r>
      <w:r w:rsidR="00155133" w:rsidRPr="00155133">
        <w:rPr>
          <w:rFonts w:asciiTheme="minorHAnsi" w:hAnsiTheme="minorHAnsi" w:cstheme="minorBidi"/>
        </w:rPr>
        <w:t xml:space="preserve"> </w:t>
      </w:r>
      <w:r w:rsidR="00155133" w:rsidRPr="077C0FE1">
        <w:rPr>
          <w:rFonts w:asciiTheme="minorHAnsi" w:hAnsiTheme="minorHAnsi" w:cstheme="minorBidi"/>
        </w:rPr>
        <w:t>While BNs can be extended to incorporate a plethora of clinical features and sources of information, our networks have been</w:t>
      </w:r>
      <w:r w:rsidR="003E1329">
        <w:rPr>
          <w:rFonts w:asciiTheme="minorHAnsi" w:hAnsiTheme="minorHAnsi" w:cstheme="minorBidi"/>
        </w:rPr>
        <w:t xml:space="preserve"> deliberately limited to illustrate their application </w:t>
      </w:r>
      <w:r w:rsidR="00155133" w:rsidRPr="077C0FE1">
        <w:rPr>
          <w:rFonts w:asciiTheme="minorHAnsi" w:hAnsiTheme="minorHAnsi" w:cstheme="minorBidi"/>
        </w:rPr>
        <w:t>of the present analysis.</w:t>
      </w:r>
    </w:p>
    <w:p w14:paraId="1CEA1DC1" w14:textId="67676D8F" w:rsidR="00E47E7B" w:rsidRDefault="00E47E7B" w:rsidP="00712BE1">
      <w:pPr>
        <w:spacing w:line="480" w:lineRule="auto"/>
        <w:jc w:val="both"/>
        <w:rPr>
          <w:rFonts w:asciiTheme="minorHAnsi" w:hAnsiTheme="minorHAnsi" w:cstheme="minorBidi"/>
        </w:rPr>
      </w:pPr>
    </w:p>
    <w:p w14:paraId="05E2FCAA" w14:textId="6A693809" w:rsidR="004352BA" w:rsidRPr="004352BA" w:rsidRDefault="004352BA" w:rsidP="00712BE1">
      <w:pPr>
        <w:spacing w:line="480" w:lineRule="auto"/>
        <w:jc w:val="both"/>
        <w:rPr>
          <w:rFonts w:asciiTheme="minorHAnsi" w:hAnsiTheme="minorHAnsi" w:cstheme="minorBidi"/>
          <w:i/>
          <w:iCs/>
        </w:rPr>
      </w:pPr>
      <w:r>
        <w:rPr>
          <w:rFonts w:asciiTheme="minorHAnsi" w:hAnsiTheme="minorHAnsi" w:cstheme="minorBidi"/>
          <w:i/>
          <w:iCs/>
        </w:rPr>
        <w:lastRenderedPageBreak/>
        <w:t>Network variables</w:t>
      </w:r>
    </w:p>
    <w:p w14:paraId="0DB2AA33" w14:textId="30FE220D" w:rsidR="00210F36" w:rsidRDefault="00D27CD7" w:rsidP="00712BE1">
      <w:pPr>
        <w:spacing w:line="480" w:lineRule="auto"/>
        <w:jc w:val="both"/>
        <w:rPr>
          <w:rFonts w:asciiTheme="minorHAnsi" w:hAnsiTheme="minorHAnsi" w:cstheme="minorBidi"/>
        </w:rPr>
      </w:pPr>
      <w:r w:rsidRPr="00571BF5">
        <w:rPr>
          <w:rFonts w:asciiTheme="minorHAnsi" w:hAnsiTheme="minorHAnsi" w:cstheme="minorBidi"/>
        </w:rPr>
        <w:t>BN construction included the following variables: liver fat (PDFF %), liver cT1 (</w:t>
      </w:r>
      <w:proofErr w:type="spellStart"/>
      <w:r w:rsidRPr="00571BF5">
        <w:rPr>
          <w:rFonts w:asciiTheme="minorHAnsi" w:hAnsiTheme="minorHAnsi" w:cstheme="minorBidi"/>
        </w:rPr>
        <w:t>ms</w:t>
      </w:r>
      <w:proofErr w:type="spellEnd"/>
      <w:r w:rsidRPr="00571BF5">
        <w:rPr>
          <w:rFonts w:asciiTheme="minorHAnsi" w:hAnsiTheme="minorHAnsi" w:cstheme="minorBidi"/>
        </w:rPr>
        <w:t>), pancreatic fat (PDFF %) visceral adipose tissue (cm</w:t>
      </w:r>
      <w:r w:rsidRPr="00571BF5">
        <w:rPr>
          <w:rFonts w:asciiTheme="minorHAnsi" w:hAnsiTheme="minorHAnsi" w:cstheme="minorBidi"/>
          <w:vertAlign w:val="superscript"/>
        </w:rPr>
        <w:t>2</w:t>
      </w:r>
      <w:r w:rsidRPr="00571BF5">
        <w:rPr>
          <w:rFonts w:asciiTheme="minorHAnsi" w:hAnsiTheme="minorHAnsi" w:cstheme="minorBidi"/>
        </w:rPr>
        <w:t>), subcutaneous adipose tissue (SAT) (cm</w:t>
      </w:r>
      <w:r w:rsidRPr="00571BF5">
        <w:rPr>
          <w:rFonts w:asciiTheme="minorHAnsi" w:hAnsiTheme="minorHAnsi" w:cstheme="minorBidi"/>
          <w:vertAlign w:val="superscript"/>
        </w:rPr>
        <w:t>2</w:t>
      </w:r>
      <w:r w:rsidRPr="00571BF5">
        <w:rPr>
          <w:rFonts w:asciiTheme="minorHAnsi" w:hAnsiTheme="minorHAnsi" w:cstheme="minorBidi"/>
        </w:rPr>
        <w:t>), skeletal muscle (SMI) (cm</w:t>
      </w:r>
      <w:r w:rsidRPr="00571BF5">
        <w:rPr>
          <w:rFonts w:asciiTheme="minorHAnsi" w:hAnsiTheme="minorHAnsi" w:cstheme="minorBidi"/>
          <w:vertAlign w:val="superscript"/>
        </w:rPr>
        <w:t>2</w:t>
      </w:r>
      <w:r w:rsidRPr="00571BF5">
        <w:rPr>
          <w:rFonts w:asciiTheme="minorHAnsi" w:hAnsiTheme="minorHAnsi" w:cstheme="minorBidi"/>
        </w:rPr>
        <w:t>), gender (1[male]/0[female]), BMI (kg/m</w:t>
      </w:r>
      <w:r w:rsidRPr="00571BF5">
        <w:rPr>
          <w:rFonts w:asciiTheme="minorHAnsi" w:hAnsiTheme="minorHAnsi" w:cstheme="minorBidi"/>
          <w:vertAlign w:val="superscript"/>
        </w:rPr>
        <w:t>2</w:t>
      </w:r>
      <w:r w:rsidRPr="00571BF5">
        <w:rPr>
          <w:rFonts w:asciiTheme="minorHAnsi" w:hAnsiTheme="minorHAnsi" w:cstheme="minorBidi"/>
        </w:rPr>
        <w:t>), age (</w:t>
      </w:r>
      <w:proofErr w:type="spellStart"/>
      <w:r w:rsidRPr="00571BF5">
        <w:rPr>
          <w:rFonts w:asciiTheme="minorHAnsi" w:hAnsiTheme="minorHAnsi" w:cstheme="minorBidi"/>
        </w:rPr>
        <w:t>yrs</w:t>
      </w:r>
      <w:proofErr w:type="spellEnd"/>
      <w:r w:rsidRPr="00571BF5">
        <w:rPr>
          <w:rFonts w:asciiTheme="minorHAnsi" w:hAnsiTheme="minorHAnsi" w:cstheme="minorBidi"/>
        </w:rPr>
        <w:t>), HbA1c (mmol/mol), AST (IU/L), ALT (IU/L),</w:t>
      </w:r>
      <w:r w:rsidR="006869CF" w:rsidRPr="00571BF5">
        <w:rPr>
          <w:rFonts w:asciiTheme="minorHAnsi" w:hAnsiTheme="minorHAnsi" w:cstheme="minorBidi"/>
        </w:rPr>
        <w:t xml:space="preserve"> smoking status (0[non-smoker]/1[current smoker]/2[past smoker])</w:t>
      </w:r>
      <w:r w:rsidR="00032B63">
        <w:rPr>
          <w:rFonts w:asciiTheme="minorHAnsi" w:hAnsiTheme="minorHAnsi" w:cstheme="minorBidi"/>
        </w:rPr>
        <w:t>.</w:t>
      </w:r>
    </w:p>
    <w:p w14:paraId="0A007AE9" w14:textId="0D40DA31" w:rsidR="00712BE1" w:rsidRPr="00875555" w:rsidRDefault="00712BE1" w:rsidP="002D7D3A">
      <w:pPr>
        <w:spacing w:line="480" w:lineRule="auto"/>
        <w:jc w:val="both"/>
        <w:rPr>
          <w:rFonts w:asciiTheme="minorHAnsi" w:hAnsiTheme="minorHAnsi" w:cstheme="minorHAnsi"/>
          <w:b/>
          <w:bCs/>
        </w:rPr>
      </w:pPr>
    </w:p>
    <w:p w14:paraId="1DA6F740" w14:textId="3540AEC0" w:rsidR="007C0C58" w:rsidRPr="00CD1526" w:rsidRDefault="000E102C" w:rsidP="002D7D3A">
      <w:pPr>
        <w:spacing w:line="480" w:lineRule="auto"/>
        <w:jc w:val="both"/>
        <w:rPr>
          <w:rFonts w:asciiTheme="minorHAnsi" w:hAnsiTheme="minorHAnsi" w:cstheme="minorHAnsi"/>
          <w:sz w:val="10"/>
          <w:szCs w:val="10"/>
          <w:vertAlign w:val="subscript"/>
        </w:rPr>
      </w:pPr>
      <w:r w:rsidRPr="00875555">
        <w:rPr>
          <w:rFonts w:asciiTheme="minorHAnsi" w:hAnsiTheme="minorHAnsi" w:cstheme="minorHAnsi"/>
          <w:i/>
          <w:iCs/>
        </w:rPr>
        <w:t>Bayesian-network construction</w:t>
      </w:r>
      <w:r w:rsidR="00D27CD7">
        <w:rPr>
          <w:rFonts w:asciiTheme="minorHAnsi" w:hAnsiTheme="minorHAnsi" w:cstheme="minorHAnsi"/>
          <w:i/>
          <w:iCs/>
        </w:rPr>
        <w:t xml:space="preserve"> </w:t>
      </w:r>
      <w:r w:rsidR="00E97CBC">
        <w:rPr>
          <w:rFonts w:asciiTheme="minorHAnsi" w:hAnsiTheme="minorHAnsi" w:cstheme="minorHAnsi"/>
          <w:i/>
          <w:iCs/>
        </w:rPr>
        <w:t>(See Supplementary information for full overview of network construction)</w:t>
      </w:r>
    </w:p>
    <w:p w14:paraId="72B8955E" w14:textId="65E7FB54" w:rsidR="00E97CBC" w:rsidRDefault="00FC7ACD" w:rsidP="002D7D3A">
      <w:pPr>
        <w:spacing w:line="480" w:lineRule="auto"/>
        <w:jc w:val="both"/>
        <w:rPr>
          <w:rFonts w:asciiTheme="minorHAnsi" w:hAnsiTheme="minorHAnsi" w:cstheme="minorBidi"/>
        </w:rPr>
      </w:pPr>
      <w:r w:rsidRPr="077C0FE1">
        <w:rPr>
          <w:rFonts w:asciiTheme="minorHAnsi" w:hAnsiTheme="minorHAnsi" w:cstheme="minorBidi"/>
        </w:rPr>
        <w:t>BN</w:t>
      </w:r>
      <w:r w:rsidR="00804C81" w:rsidRPr="077C0FE1">
        <w:rPr>
          <w:rFonts w:asciiTheme="minorHAnsi" w:hAnsiTheme="minorHAnsi" w:cstheme="minorBidi"/>
        </w:rPr>
        <w:t xml:space="preserve"> construction and </w:t>
      </w:r>
      <w:r w:rsidR="00EF1123" w:rsidRPr="077C0FE1">
        <w:rPr>
          <w:rFonts w:asciiTheme="minorHAnsi" w:hAnsiTheme="minorHAnsi" w:cstheme="minorBidi"/>
        </w:rPr>
        <w:t>probabilistic inference</w:t>
      </w:r>
      <w:r w:rsidR="00804C81" w:rsidRPr="077C0FE1">
        <w:rPr>
          <w:rFonts w:asciiTheme="minorHAnsi" w:hAnsiTheme="minorHAnsi" w:cstheme="minorBidi"/>
        </w:rPr>
        <w:t xml:space="preserve"> </w:t>
      </w:r>
      <w:r w:rsidR="000333D0" w:rsidRPr="077C0FE1">
        <w:rPr>
          <w:rFonts w:asciiTheme="minorHAnsi" w:hAnsiTheme="minorHAnsi" w:cstheme="minorBidi"/>
        </w:rPr>
        <w:t>were completed using the ‘</w:t>
      </w:r>
      <w:proofErr w:type="spellStart"/>
      <w:r w:rsidR="000333D0" w:rsidRPr="077C0FE1">
        <w:rPr>
          <w:rFonts w:asciiTheme="minorHAnsi" w:hAnsiTheme="minorHAnsi" w:cstheme="minorBidi"/>
        </w:rPr>
        <w:t>bnlearn</w:t>
      </w:r>
      <w:proofErr w:type="spellEnd"/>
      <w:r w:rsidR="000333D0" w:rsidRPr="077C0FE1">
        <w:rPr>
          <w:rFonts w:asciiTheme="minorHAnsi" w:hAnsiTheme="minorHAnsi" w:cstheme="minorBidi"/>
        </w:rPr>
        <w:t>’ package</w:t>
      </w:r>
      <w:r w:rsidR="00C620D0" w:rsidRPr="077C0FE1">
        <w:rPr>
          <w:rFonts w:asciiTheme="minorHAnsi" w:hAnsiTheme="minorHAnsi" w:cstheme="minorBidi"/>
        </w:rPr>
        <w:t xml:space="preserve"> and visualised using</w:t>
      </w:r>
      <w:r w:rsidR="00713F1B" w:rsidRPr="077C0FE1">
        <w:rPr>
          <w:rFonts w:asciiTheme="minorHAnsi" w:hAnsiTheme="minorHAnsi" w:cstheme="minorBidi"/>
        </w:rPr>
        <w:t xml:space="preserve"> ‘</w:t>
      </w:r>
      <w:proofErr w:type="spellStart"/>
      <w:r w:rsidR="00713F1B" w:rsidRPr="077C0FE1">
        <w:rPr>
          <w:rFonts w:asciiTheme="minorHAnsi" w:hAnsiTheme="minorHAnsi" w:cstheme="minorBidi"/>
        </w:rPr>
        <w:t>graphviz</w:t>
      </w:r>
      <w:proofErr w:type="spellEnd"/>
      <w:r w:rsidR="00713F1B" w:rsidRPr="077C0FE1">
        <w:rPr>
          <w:rFonts w:asciiTheme="minorHAnsi" w:hAnsiTheme="minorHAnsi" w:cstheme="minorBidi"/>
        </w:rPr>
        <w:t>’</w:t>
      </w:r>
      <w:r w:rsidR="00103004" w:rsidRPr="077C0FE1">
        <w:rPr>
          <w:rFonts w:asciiTheme="minorHAnsi" w:hAnsiTheme="minorHAnsi" w:cstheme="minorBidi"/>
        </w:rPr>
        <w:t xml:space="preserve"> within the R software platform</w:t>
      </w:r>
      <w:r w:rsidR="00684F22" w:rsidRPr="077C0FE1">
        <w:rPr>
          <w:rFonts w:asciiTheme="minorHAnsi" w:hAnsiTheme="minorHAnsi" w:cstheme="minorBidi"/>
        </w:rPr>
        <w:t xml:space="preserve"> (version 3.6.1)</w:t>
      </w:r>
      <w:r w:rsidR="00821251" w:rsidRPr="077C0FE1">
        <w:rPr>
          <w:rFonts w:asciiTheme="minorHAnsi" w:hAnsiTheme="minorHAnsi" w:cstheme="minorBidi"/>
        </w:rPr>
        <w:t>.</w:t>
      </w:r>
      <w:r w:rsidR="000117FC">
        <w:rPr>
          <w:rFonts w:asciiTheme="minorHAnsi" w:hAnsiTheme="minorHAnsi" w:cstheme="minorBidi"/>
        </w:rPr>
        <w:t xml:space="preserve"> </w:t>
      </w:r>
      <w:r w:rsidR="00637D80">
        <w:rPr>
          <w:rFonts w:asciiTheme="minorHAnsi" w:hAnsiTheme="minorHAnsi" w:cstheme="minorBidi"/>
        </w:rPr>
        <w:t>Automated network structures</w:t>
      </w:r>
      <w:r w:rsidR="000A5F1E">
        <w:rPr>
          <w:rFonts w:asciiTheme="minorHAnsi" w:hAnsiTheme="minorHAnsi" w:cstheme="minorBidi"/>
        </w:rPr>
        <w:t>,</w:t>
      </w:r>
      <w:r w:rsidR="00886E60">
        <w:rPr>
          <w:rFonts w:asciiTheme="minorHAnsi" w:hAnsiTheme="minorHAnsi" w:cstheme="minorBidi"/>
        </w:rPr>
        <w:t xml:space="preserve"> derived from a score-and-search algorithm</w:t>
      </w:r>
      <w:r w:rsidR="00513683">
        <w:rPr>
          <w:rFonts w:asciiTheme="minorHAnsi" w:hAnsiTheme="minorHAnsi" w:cstheme="minorBidi"/>
        </w:rPr>
        <w:t xml:space="preserve"> (2</w:t>
      </w:r>
      <w:r w:rsidR="00B756A1">
        <w:rPr>
          <w:rFonts w:asciiTheme="minorHAnsi" w:hAnsiTheme="minorHAnsi" w:cstheme="minorBidi"/>
        </w:rPr>
        <w:t>2</w:t>
      </w:r>
      <w:r w:rsidR="00513683">
        <w:rPr>
          <w:rFonts w:asciiTheme="minorHAnsi" w:hAnsiTheme="minorHAnsi" w:cstheme="minorBidi"/>
        </w:rPr>
        <w:t xml:space="preserve">), </w:t>
      </w:r>
      <w:r w:rsidR="00637D80">
        <w:rPr>
          <w:rFonts w:asciiTheme="minorHAnsi" w:hAnsiTheme="minorHAnsi" w:cstheme="minorBidi"/>
        </w:rPr>
        <w:t xml:space="preserve">were adjusted </w:t>
      </w:r>
      <w:r w:rsidR="002B1C6C">
        <w:rPr>
          <w:rFonts w:asciiTheme="minorHAnsi" w:hAnsiTheme="minorHAnsi" w:cstheme="minorBidi"/>
        </w:rPr>
        <w:t xml:space="preserve">by removing or reversing nonsensical edges and inserting edges based on domain knowledge gleaned from medical literature. </w:t>
      </w:r>
      <w:r w:rsidR="00B648F6" w:rsidRPr="077C0FE1">
        <w:rPr>
          <w:rFonts w:asciiTheme="minorHAnsi" w:hAnsiTheme="minorHAnsi" w:cstheme="minorBidi"/>
        </w:rPr>
        <w:t xml:space="preserve">Crucially, incorporation of clinical knowledge in these network structures enables the modelling of </w:t>
      </w:r>
      <w:r w:rsidR="00B648F6" w:rsidRPr="077C0FE1">
        <w:rPr>
          <w:rFonts w:asciiTheme="minorHAnsi" w:hAnsiTheme="minorHAnsi" w:cstheme="minorBidi"/>
          <w:i/>
          <w:iCs/>
        </w:rPr>
        <w:t xml:space="preserve">causal </w:t>
      </w:r>
      <w:r w:rsidR="00B648F6" w:rsidRPr="077C0FE1">
        <w:rPr>
          <w:rFonts w:asciiTheme="minorHAnsi" w:hAnsiTheme="minorHAnsi" w:cstheme="minorBidi"/>
        </w:rPr>
        <w:t>relationships</w:t>
      </w:r>
      <w:r w:rsidR="00B648F6" w:rsidRPr="077C0FE1">
        <w:rPr>
          <w:rFonts w:asciiTheme="minorHAnsi" w:hAnsiTheme="minorHAnsi" w:cstheme="minorBidi"/>
          <w:i/>
          <w:iCs/>
        </w:rPr>
        <w:t xml:space="preserve"> </w:t>
      </w:r>
      <w:r w:rsidR="00B648F6" w:rsidRPr="077C0FE1">
        <w:rPr>
          <w:rFonts w:asciiTheme="minorHAnsi" w:hAnsiTheme="minorHAnsi" w:cstheme="minorBidi"/>
        </w:rPr>
        <w:t>between variables</w:t>
      </w:r>
      <w:r w:rsidR="00B648F6">
        <w:rPr>
          <w:rFonts w:asciiTheme="minorHAnsi" w:hAnsiTheme="minorHAnsi" w:cstheme="minorBidi"/>
        </w:rPr>
        <w:t>.</w:t>
      </w:r>
      <w:r w:rsidR="00B648F6" w:rsidRPr="00B648F6">
        <w:rPr>
          <w:rFonts w:asciiTheme="minorHAnsi" w:hAnsiTheme="minorHAnsi" w:cstheme="minorBidi"/>
        </w:rPr>
        <w:t xml:space="preserve"> </w:t>
      </w:r>
      <w:r w:rsidR="00B648F6" w:rsidRPr="077C0FE1">
        <w:rPr>
          <w:rFonts w:asciiTheme="minorHAnsi" w:hAnsiTheme="minorHAnsi" w:cstheme="minorBidi"/>
        </w:rPr>
        <w:t xml:space="preserve">Figures </w:t>
      </w:r>
      <w:r w:rsidR="000D3025">
        <w:rPr>
          <w:rFonts w:asciiTheme="minorHAnsi" w:hAnsiTheme="minorHAnsi" w:cstheme="minorBidi"/>
        </w:rPr>
        <w:t>2</w:t>
      </w:r>
      <w:r w:rsidR="00B648F6" w:rsidRPr="077C0FE1">
        <w:rPr>
          <w:rFonts w:asciiTheme="minorHAnsi" w:hAnsiTheme="minorHAnsi" w:cstheme="minorBidi"/>
        </w:rPr>
        <w:t xml:space="preserve"> and </w:t>
      </w:r>
      <w:r w:rsidR="000D3025">
        <w:rPr>
          <w:rFonts w:asciiTheme="minorHAnsi" w:hAnsiTheme="minorHAnsi" w:cstheme="minorBidi"/>
        </w:rPr>
        <w:t>3</w:t>
      </w:r>
      <w:r w:rsidR="00B648F6" w:rsidRPr="077C0FE1">
        <w:rPr>
          <w:rFonts w:asciiTheme="minorHAnsi" w:hAnsiTheme="minorHAnsi" w:cstheme="minorBidi"/>
        </w:rPr>
        <w:t xml:space="preserve"> show the final networks from the </w:t>
      </w:r>
      <w:r w:rsidR="00EE57F7">
        <w:rPr>
          <w:rFonts w:asciiTheme="minorHAnsi" w:hAnsiTheme="minorHAnsi" w:cstheme="minorBidi"/>
        </w:rPr>
        <w:t>T2D</w:t>
      </w:r>
      <w:r w:rsidR="00B648F6" w:rsidRPr="077C0FE1">
        <w:rPr>
          <w:rFonts w:asciiTheme="minorHAnsi" w:hAnsiTheme="minorHAnsi" w:cstheme="minorBidi"/>
        </w:rPr>
        <w:t xml:space="preserve"> and </w:t>
      </w:r>
      <w:r w:rsidR="00EE57F7">
        <w:rPr>
          <w:rFonts w:asciiTheme="minorHAnsi" w:hAnsiTheme="minorHAnsi" w:cstheme="minorBidi"/>
        </w:rPr>
        <w:t>non-T2D</w:t>
      </w:r>
      <w:r w:rsidR="00B648F6" w:rsidRPr="077C0FE1">
        <w:rPr>
          <w:rFonts w:asciiTheme="minorHAnsi" w:hAnsiTheme="minorHAnsi" w:cstheme="minorBidi"/>
        </w:rPr>
        <w:t xml:space="preserve"> cohorts, respectively.</w:t>
      </w:r>
    </w:p>
    <w:p w14:paraId="3CAA3E44" w14:textId="3D6FA181" w:rsidR="00E63A66" w:rsidRPr="00875555" w:rsidRDefault="00E63A66" w:rsidP="00E63A66">
      <w:pPr>
        <w:spacing w:line="480" w:lineRule="auto"/>
        <w:jc w:val="both"/>
        <w:rPr>
          <w:rFonts w:asciiTheme="minorHAnsi" w:hAnsiTheme="minorHAnsi" w:cstheme="minorHAnsi"/>
        </w:rPr>
      </w:pPr>
    </w:p>
    <w:p w14:paraId="3B1A19DF" w14:textId="270433F0" w:rsidR="00E63A66" w:rsidRPr="00875555" w:rsidRDefault="00E63A66" w:rsidP="00E63A66">
      <w:pPr>
        <w:spacing w:line="480" w:lineRule="auto"/>
        <w:jc w:val="both"/>
        <w:rPr>
          <w:rFonts w:asciiTheme="minorHAnsi" w:hAnsiTheme="minorHAnsi" w:cstheme="minorHAnsi"/>
          <w:i/>
          <w:iCs/>
        </w:rPr>
      </w:pPr>
      <w:r w:rsidRPr="00875555">
        <w:rPr>
          <w:rFonts w:asciiTheme="minorHAnsi" w:hAnsiTheme="minorHAnsi" w:cstheme="minorHAnsi"/>
          <w:i/>
          <w:iCs/>
        </w:rPr>
        <w:t>Statistical analysis</w:t>
      </w:r>
    </w:p>
    <w:p w14:paraId="769E17C7" w14:textId="77777777" w:rsidR="00271834" w:rsidRDefault="00E63A66" w:rsidP="002D7D3A">
      <w:pPr>
        <w:spacing w:line="480" w:lineRule="auto"/>
        <w:jc w:val="both"/>
        <w:rPr>
          <w:rFonts w:asciiTheme="minorHAnsi" w:hAnsiTheme="minorHAnsi" w:cstheme="minorBidi"/>
        </w:rPr>
      </w:pPr>
      <w:r w:rsidRPr="5B708000">
        <w:rPr>
          <w:rFonts w:asciiTheme="minorHAnsi" w:hAnsiTheme="minorHAnsi" w:cstheme="minorBidi"/>
        </w:rPr>
        <w:t xml:space="preserve">All statistical analyses used the R software platform (version 3.6.1). Descriptive statistics, showing median </w:t>
      </w:r>
      <w:r w:rsidR="002F6BBA">
        <w:rPr>
          <w:rFonts w:asciiTheme="minorHAnsi" w:hAnsiTheme="minorHAnsi" w:cstheme="minorBidi"/>
        </w:rPr>
        <w:t>[</w:t>
      </w:r>
      <w:r w:rsidRPr="5B708000">
        <w:rPr>
          <w:rFonts w:asciiTheme="minorHAnsi" w:hAnsiTheme="minorHAnsi" w:cstheme="minorBidi"/>
        </w:rPr>
        <w:t>inter quartile range</w:t>
      </w:r>
      <w:r w:rsidR="002F6BBA">
        <w:rPr>
          <w:rFonts w:asciiTheme="minorHAnsi" w:hAnsiTheme="minorHAnsi" w:cstheme="minorBidi"/>
        </w:rPr>
        <w:t>]</w:t>
      </w:r>
      <w:r w:rsidRPr="5B708000">
        <w:rPr>
          <w:rFonts w:asciiTheme="minorHAnsi" w:hAnsiTheme="minorHAnsi" w:cstheme="minorBidi"/>
        </w:rPr>
        <w:t>, are reported to summ</w:t>
      </w:r>
      <w:r w:rsidRPr="002E7282">
        <w:rPr>
          <w:rFonts w:asciiTheme="minorHAnsi" w:hAnsiTheme="minorHAnsi" w:cstheme="minorBidi"/>
        </w:rPr>
        <w:t>arise population characteristics</w:t>
      </w:r>
      <w:r w:rsidR="00D27CD7" w:rsidRPr="002E7282">
        <w:rPr>
          <w:rFonts w:asciiTheme="minorHAnsi" w:hAnsiTheme="minorHAnsi" w:cstheme="minorBidi"/>
        </w:rPr>
        <w:t xml:space="preserve">. </w:t>
      </w:r>
      <w:r w:rsidRPr="002E7282">
        <w:rPr>
          <w:rFonts w:asciiTheme="minorHAnsi" w:hAnsiTheme="minorHAnsi" w:cstheme="minorBidi"/>
        </w:rPr>
        <w:t>Wilcoxon and X</w:t>
      </w:r>
      <w:r w:rsidRPr="002E7282">
        <w:rPr>
          <w:rFonts w:asciiTheme="minorHAnsi" w:hAnsiTheme="minorHAnsi" w:cstheme="minorBidi"/>
          <w:vertAlign w:val="superscript"/>
        </w:rPr>
        <w:t>2</w:t>
      </w:r>
      <w:r w:rsidRPr="002E7282">
        <w:rPr>
          <w:rFonts w:asciiTheme="minorHAnsi" w:hAnsiTheme="minorHAnsi" w:cstheme="minorBidi"/>
        </w:rPr>
        <w:t xml:space="preserve"> </w:t>
      </w:r>
      <w:r w:rsidR="00CA460E" w:rsidRPr="002E7282">
        <w:rPr>
          <w:rFonts w:asciiTheme="minorHAnsi" w:hAnsiTheme="minorHAnsi" w:cstheme="minorBidi"/>
        </w:rPr>
        <w:t xml:space="preserve">tests </w:t>
      </w:r>
      <w:r w:rsidR="00271834">
        <w:rPr>
          <w:rFonts w:asciiTheme="minorHAnsi" w:hAnsiTheme="minorHAnsi" w:cstheme="minorBidi"/>
        </w:rPr>
        <w:t>were used to make between group comparisons.</w:t>
      </w:r>
    </w:p>
    <w:p w14:paraId="6534EDD3" w14:textId="77777777" w:rsidR="00271834" w:rsidRDefault="00271834" w:rsidP="002D7D3A">
      <w:pPr>
        <w:spacing w:line="480" w:lineRule="auto"/>
        <w:jc w:val="both"/>
        <w:rPr>
          <w:rFonts w:asciiTheme="minorHAnsi" w:hAnsiTheme="minorHAnsi" w:cstheme="minorBidi"/>
        </w:rPr>
      </w:pPr>
    </w:p>
    <w:p w14:paraId="2521A1B9" w14:textId="77777777" w:rsidR="00C74CB1" w:rsidRDefault="00C74CB1" w:rsidP="002D7D3A">
      <w:pPr>
        <w:spacing w:line="480" w:lineRule="auto"/>
        <w:jc w:val="both"/>
        <w:rPr>
          <w:rFonts w:asciiTheme="minorHAnsi" w:hAnsiTheme="minorHAnsi" w:cstheme="minorHAnsi"/>
          <w:b/>
          <w:bCs/>
        </w:rPr>
      </w:pPr>
    </w:p>
    <w:p w14:paraId="590E034A" w14:textId="2329A625" w:rsidR="00763B69" w:rsidRPr="00581255" w:rsidRDefault="007D51F3" w:rsidP="002D7D3A">
      <w:pPr>
        <w:spacing w:line="480" w:lineRule="auto"/>
        <w:jc w:val="both"/>
        <w:rPr>
          <w:rFonts w:asciiTheme="minorHAnsi" w:hAnsiTheme="minorHAnsi" w:cstheme="minorHAnsi"/>
          <w:b/>
          <w:bCs/>
        </w:rPr>
      </w:pPr>
      <w:r w:rsidRPr="00875555">
        <w:rPr>
          <w:rFonts w:asciiTheme="minorHAnsi" w:hAnsiTheme="minorHAnsi" w:cstheme="minorHAnsi"/>
          <w:b/>
          <w:bCs/>
        </w:rPr>
        <w:t>Results</w:t>
      </w:r>
      <w:r w:rsidR="00271834">
        <w:rPr>
          <w:rFonts w:asciiTheme="minorHAnsi" w:hAnsiTheme="minorHAnsi" w:cstheme="minorHAnsi"/>
          <w:b/>
          <w:bCs/>
        </w:rPr>
        <w:t xml:space="preserve"> </w:t>
      </w:r>
    </w:p>
    <w:p w14:paraId="09F52107" w14:textId="1289896E" w:rsidR="00271834" w:rsidRPr="00763B69" w:rsidRDefault="00763B69" w:rsidP="00271834">
      <w:pPr>
        <w:spacing w:line="480" w:lineRule="auto"/>
        <w:jc w:val="both"/>
        <w:rPr>
          <w:rFonts w:asciiTheme="minorHAnsi" w:hAnsiTheme="minorHAnsi" w:cstheme="minorHAnsi"/>
          <w:i/>
          <w:iCs/>
        </w:rPr>
      </w:pPr>
      <w:r>
        <w:rPr>
          <w:rFonts w:asciiTheme="minorHAnsi" w:hAnsiTheme="minorHAnsi" w:cstheme="minorHAnsi"/>
          <w:i/>
          <w:iCs/>
        </w:rPr>
        <w:t>Descriptive</w:t>
      </w:r>
      <w:r w:rsidR="00271834">
        <w:rPr>
          <w:rFonts w:asciiTheme="minorHAnsi" w:hAnsiTheme="minorHAnsi" w:cstheme="minorHAnsi"/>
          <w:i/>
          <w:iCs/>
        </w:rPr>
        <w:t xml:space="preserve"> characteristics of participants</w:t>
      </w:r>
      <w:r w:rsidR="00271834" w:rsidRPr="00271834">
        <w:rPr>
          <w:rFonts w:asciiTheme="minorHAnsi" w:hAnsiTheme="minorHAnsi" w:cstheme="minorBidi"/>
        </w:rPr>
        <w:t xml:space="preserve"> </w:t>
      </w:r>
    </w:p>
    <w:p w14:paraId="18045F16" w14:textId="223F173C" w:rsidR="00271834" w:rsidRDefault="00271834" w:rsidP="00271834">
      <w:pPr>
        <w:spacing w:line="480" w:lineRule="auto"/>
        <w:jc w:val="both"/>
        <w:rPr>
          <w:rFonts w:asciiTheme="minorHAnsi" w:hAnsiTheme="minorHAnsi" w:cstheme="minorBidi"/>
        </w:rPr>
      </w:pPr>
      <w:r>
        <w:rPr>
          <w:rFonts w:asciiTheme="minorHAnsi" w:hAnsiTheme="minorHAnsi" w:cstheme="minorBidi"/>
        </w:rPr>
        <w:lastRenderedPageBreak/>
        <w:t xml:space="preserve">The baseline clinical, </w:t>
      </w:r>
      <w:r w:rsidR="00763B69">
        <w:rPr>
          <w:rFonts w:asciiTheme="minorHAnsi" w:hAnsiTheme="minorHAnsi" w:cstheme="minorBidi"/>
        </w:rPr>
        <w:t>biochemical,</w:t>
      </w:r>
      <w:r>
        <w:rPr>
          <w:rFonts w:asciiTheme="minorHAnsi" w:hAnsiTheme="minorHAnsi" w:cstheme="minorBidi"/>
        </w:rPr>
        <w:t xml:space="preserve"> and imaging characteristics are shown in Table 1. The groups were well matched </w:t>
      </w:r>
      <w:r w:rsidR="00763B69">
        <w:rPr>
          <w:rFonts w:asciiTheme="minorHAnsi" w:hAnsiTheme="minorHAnsi" w:cstheme="minorBidi"/>
        </w:rPr>
        <w:t>for</w:t>
      </w:r>
      <w:r>
        <w:rPr>
          <w:rFonts w:asciiTheme="minorHAnsi" w:hAnsiTheme="minorHAnsi" w:cstheme="minorBidi"/>
        </w:rPr>
        <w:t xml:space="preserve"> </w:t>
      </w:r>
      <w:r w:rsidR="00763B69">
        <w:rPr>
          <w:rFonts w:asciiTheme="minorHAnsi" w:hAnsiTheme="minorHAnsi" w:cstheme="minorBidi"/>
        </w:rPr>
        <w:t>age, gender, and BMI</w:t>
      </w:r>
      <w:r>
        <w:rPr>
          <w:rFonts w:asciiTheme="minorHAnsi" w:hAnsiTheme="minorHAnsi" w:cstheme="minorBidi"/>
        </w:rPr>
        <w:t xml:space="preserve">. </w:t>
      </w:r>
      <w:r w:rsidR="0021400D">
        <w:rPr>
          <w:rFonts w:asciiTheme="minorHAnsi" w:hAnsiTheme="minorHAnsi" w:cstheme="minorBidi"/>
        </w:rPr>
        <w:t>Despite similar liver biochemistry, p</w:t>
      </w:r>
      <w:r w:rsidRPr="002E7282">
        <w:rPr>
          <w:rFonts w:asciiTheme="minorHAnsi" w:hAnsiTheme="minorHAnsi" w:cstheme="minorBidi"/>
        </w:rPr>
        <w:t xml:space="preserve">articipants from the </w:t>
      </w:r>
      <w:r>
        <w:rPr>
          <w:rFonts w:asciiTheme="minorHAnsi" w:hAnsiTheme="minorHAnsi" w:cstheme="minorBidi"/>
        </w:rPr>
        <w:t>T2D</w:t>
      </w:r>
      <w:r w:rsidRPr="002E7282">
        <w:rPr>
          <w:rFonts w:asciiTheme="minorHAnsi" w:hAnsiTheme="minorHAnsi" w:cstheme="minorBidi"/>
        </w:rPr>
        <w:t xml:space="preserve"> cohort </w:t>
      </w:r>
      <w:r w:rsidR="0021400D">
        <w:rPr>
          <w:rFonts w:asciiTheme="minorHAnsi" w:hAnsiTheme="minorHAnsi" w:cstheme="minorBidi"/>
        </w:rPr>
        <w:t xml:space="preserve">(and thus higher </w:t>
      </w:r>
      <w:r w:rsidR="0021400D" w:rsidRPr="002E7282">
        <w:rPr>
          <w:rFonts w:asciiTheme="minorHAnsi" w:hAnsiTheme="minorHAnsi" w:cstheme="minorBidi"/>
        </w:rPr>
        <w:t>HbA1c (&lt;0.001)</w:t>
      </w:r>
      <w:r w:rsidR="0021400D">
        <w:rPr>
          <w:rFonts w:asciiTheme="minorHAnsi" w:hAnsiTheme="minorHAnsi" w:cstheme="minorBidi"/>
        </w:rPr>
        <w:t>)</w:t>
      </w:r>
      <w:r w:rsidR="0021400D" w:rsidRPr="002E7282">
        <w:rPr>
          <w:rFonts w:asciiTheme="minorHAnsi" w:hAnsiTheme="minorHAnsi" w:cstheme="minorBidi"/>
        </w:rPr>
        <w:t xml:space="preserve"> </w:t>
      </w:r>
      <w:r w:rsidRPr="002E7282">
        <w:rPr>
          <w:rFonts w:asciiTheme="minorHAnsi" w:hAnsiTheme="minorHAnsi" w:cstheme="minorBidi"/>
        </w:rPr>
        <w:t>had significantly elevated liver cT1 (&lt;0.001),</w:t>
      </w:r>
      <w:r>
        <w:rPr>
          <w:rFonts w:asciiTheme="minorHAnsi" w:hAnsiTheme="minorHAnsi" w:cstheme="minorBidi"/>
        </w:rPr>
        <w:t xml:space="preserve"> liver PDFF (&lt;0.001),</w:t>
      </w:r>
      <w:r w:rsidR="00AE45CC">
        <w:rPr>
          <w:rFonts w:asciiTheme="minorHAnsi" w:hAnsiTheme="minorHAnsi" w:cstheme="minorBidi"/>
        </w:rPr>
        <w:t xml:space="preserve"> VAT/SAT ratio (p=0.034)</w:t>
      </w:r>
      <w:r>
        <w:rPr>
          <w:rFonts w:asciiTheme="minorHAnsi" w:hAnsiTheme="minorHAnsi" w:cstheme="minorBidi"/>
        </w:rPr>
        <w:t xml:space="preserve"> </w:t>
      </w:r>
      <w:r w:rsidRPr="002E7282">
        <w:rPr>
          <w:rFonts w:asciiTheme="minorHAnsi" w:hAnsiTheme="minorHAnsi" w:cstheme="minorBidi"/>
        </w:rPr>
        <w:t xml:space="preserve">and greater </w:t>
      </w:r>
      <w:r w:rsidRPr="00404758">
        <w:rPr>
          <w:rFonts w:asciiTheme="minorHAnsi" w:hAnsiTheme="minorHAnsi" w:cstheme="minorBidi"/>
        </w:rPr>
        <w:t>prevalence of NASH (&lt;0.001</w:t>
      </w:r>
      <w:r w:rsidRPr="002E7282">
        <w:rPr>
          <w:rFonts w:asciiTheme="minorHAnsi" w:hAnsiTheme="minorHAnsi" w:cstheme="minorBidi"/>
        </w:rPr>
        <w:t xml:space="preserve">). </w:t>
      </w:r>
    </w:p>
    <w:p w14:paraId="157210F4" w14:textId="77777777" w:rsidR="00271834" w:rsidRDefault="00271834" w:rsidP="002D7D3A">
      <w:pPr>
        <w:spacing w:line="480" w:lineRule="auto"/>
        <w:jc w:val="both"/>
        <w:rPr>
          <w:rFonts w:asciiTheme="minorHAnsi" w:hAnsiTheme="minorHAnsi" w:cstheme="minorHAnsi"/>
          <w:i/>
          <w:iCs/>
        </w:rPr>
      </w:pPr>
    </w:p>
    <w:p w14:paraId="19DD7C0B" w14:textId="27236F50" w:rsidR="00042585" w:rsidRPr="00875555" w:rsidRDefault="001F37A0" w:rsidP="002D7D3A">
      <w:pPr>
        <w:spacing w:line="480" w:lineRule="auto"/>
        <w:jc w:val="both"/>
        <w:rPr>
          <w:rFonts w:asciiTheme="minorHAnsi" w:hAnsiTheme="minorHAnsi" w:cstheme="minorHAnsi"/>
          <w:i/>
          <w:iCs/>
        </w:rPr>
      </w:pPr>
      <w:r w:rsidRPr="00875555">
        <w:rPr>
          <w:rFonts w:asciiTheme="minorHAnsi" w:hAnsiTheme="minorHAnsi" w:cstheme="minorHAnsi"/>
          <w:i/>
          <w:iCs/>
        </w:rPr>
        <w:t>E</w:t>
      </w:r>
      <w:r w:rsidR="00480E6B" w:rsidRPr="00875555">
        <w:rPr>
          <w:rFonts w:asciiTheme="minorHAnsi" w:hAnsiTheme="minorHAnsi" w:cstheme="minorHAnsi"/>
          <w:i/>
          <w:iCs/>
        </w:rPr>
        <w:t xml:space="preserve">stimation </w:t>
      </w:r>
      <w:r w:rsidRPr="00875555">
        <w:rPr>
          <w:rFonts w:asciiTheme="minorHAnsi" w:hAnsiTheme="minorHAnsi" w:cstheme="minorHAnsi"/>
          <w:i/>
          <w:iCs/>
        </w:rPr>
        <w:t>of</w:t>
      </w:r>
      <w:r w:rsidR="00581255">
        <w:rPr>
          <w:rFonts w:asciiTheme="minorHAnsi" w:hAnsiTheme="minorHAnsi" w:cstheme="minorHAnsi"/>
          <w:i/>
          <w:iCs/>
        </w:rPr>
        <w:t xml:space="preserve"> NASH</w:t>
      </w:r>
      <w:r w:rsidRPr="00875555">
        <w:rPr>
          <w:rFonts w:asciiTheme="minorHAnsi" w:hAnsiTheme="minorHAnsi" w:cstheme="minorHAnsi"/>
          <w:i/>
          <w:iCs/>
        </w:rPr>
        <w:t xml:space="preserve"> using</w:t>
      </w:r>
      <w:r w:rsidR="00480E6B" w:rsidRPr="00875555">
        <w:rPr>
          <w:rFonts w:asciiTheme="minorHAnsi" w:hAnsiTheme="minorHAnsi" w:cstheme="minorHAnsi"/>
          <w:i/>
          <w:iCs/>
        </w:rPr>
        <w:t xml:space="preserve"> </w:t>
      </w:r>
      <w:r w:rsidR="00B650A3" w:rsidRPr="00875555">
        <w:rPr>
          <w:rFonts w:asciiTheme="minorHAnsi" w:hAnsiTheme="minorHAnsi" w:cstheme="minorHAnsi"/>
          <w:i/>
          <w:iCs/>
        </w:rPr>
        <w:t>probabilistic</w:t>
      </w:r>
      <w:r w:rsidR="00480E6B" w:rsidRPr="00875555">
        <w:rPr>
          <w:rFonts w:asciiTheme="minorHAnsi" w:hAnsiTheme="minorHAnsi" w:cstheme="minorHAnsi"/>
          <w:i/>
          <w:iCs/>
        </w:rPr>
        <w:t xml:space="preserve"> </w:t>
      </w:r>
      <w:r w:rsidR="00B650A3" w:rsidRPr="00875555">
        <w:rPr>
          <w:rFonts w:asciiTheme="minorHAnsi" w:hAnsiTheme="minorHAnsi" w:cstheme="minorHAnsi"/>
          <w:i/>
          <w:iCs/>
        </w:rPr>
        <w:t>reasoning</w:t>
      </w:r>
    </w:p>
    <w:p w14:paraId="312793D1" w14:textId="64AA1F14" w:rsidR="00421296" w:rsidRDefault="009B1B09" w:rsidP="077C0FE1">
      <w:pPr>
        <w:spacing w:line="480" w:lineRule="auto"/>
        <w:jc w:val="both"/>
        <w:rPr>
          <w:rFonts w:asciiTheme="minorHAnsi" w:hAnsiTheme="minorHAnsi" w:cstheme="minorBidi"/>
        </w:rPr>
      </w:pPr>
      <w:r w:rsidRPr="077C0FE1">
        <w:rPr>
          <w:rFonts w:asciiTheme="minorHAnsi" w:hAnsiTheme="minorHAnsi" w:cstheme="minorBidi"/>
        </w:rPr>
        <w:t>The baseline probabilit</w:t>
      </w:r>
      <w:r w:rsidR="00076C25" w:rsidRPr="077C0FE1">
        <w:rPr>
          <w:rFonts w:asciiTheme="minorHAnsi" w:hAnsiTheme="minorHAnsi" w:cstheme="minorBidi"/>
        </w:rPr>
        <w:t>ies</w:t>
      </w:r>
      <w:r w:rsidRPr="077C0FE1">
        <w:rPr>
          <w:rFonts w:asciiTheme="minorHAnsi" w:hAnsiTheme="minorHAnsi" w:cstheme="minorBidi"/>
        </w:rPr>
        <w:t xml:space="preserve"> of </w:t>
      </w:r>
      <w:r w:rsidR="00A0499A" w:rsidRPr="077C0FE1">
        <w:rPr>
          <w:rFonts w:asciiTheme="minorHAnsi" w:hAnsiTheme="minorHAnsi" w:cstheme="minorBidi"/>
        </w:rPr>
        <w:t xml:space="preserve">NASH in the </w:t>
      </w:r>
      <w:r w:rsidR="00032B63">
        <w:rPr>
          <w:rFonts w:asciiTheme="minorHAnsi" w:hAnsiTheme="minorHAnsi" w:cstheme="minorBidi"/>
        </w:rPr>
        <w:t>T2D</w:t>
      </w:r>
      <w:r w:rsidR="00CD6497" w:rsidRPr="077C0FE1">
        <w:rPr>
          <w:rFonts w:asciiTheme="minorHAnsi" w:hAnsiTheme="minorHAnsi" w:cstheme="minorBidi"/>
        </w:rPr>
        <w:t xml:space="preserve"> and </w:t>
      </w:r>
      <w:r w:rsidR="00032B63">
        <w:rPr>
          <w:rFonts w:asciiTheme="minorHAnsi" w:hAnsiTheme="minorHAnsi" w:cstheme="minorBidi"/>
        </w:rPr>
        <w:t>non-T2D</w:t>
      </w:r>
      <w:r w:rsidR="00A0499A" w:rsidRPr="077C0FE1">
        <w:rPr>
          <w:rFonts w:asciiTheme="minorHAnsi" w:hAnsiTheme="minorHAnsi" w:cstheme="minorBidi"/>
        </w:rPr>
        <w:t xml:space="preserve"> cohort</w:t>
      </w:r>
      <w:r w:rsidR="00CD6497" w:rsidRPr="077C0FE1">
        <w:rPr>
          <w:rFonts w:asciiTheme="minorHAnsi" w:hAnsiTheme="minorHAnsi" w:cstheme="minorBidi"/>
        </w:rPr>
        <w:t>s</w:t>
      </w:r>
      <w:r w:rsidR="00A0499A" w:rsidRPr="077C0FE1">
        <w:rPr>
          <w:rFonts w:asciiTheme="minorHAnsi" w:hAnsiTheme="minorHAnsi" w:cstheme="minorBidi"/>
        </w:rPr>
        <w:t xml:space="preserve"> w</w:t>
      </w:r>
      <w:r w:rsidR="00CD6497" w:rsidRPr="077C0FE1">
        <w:rPr>
          <w:rFonts w:asciiTheme="minorHAnsi" w:hAnsiTheme="minorHAnsi" w:cstheme="minorBidi"/>
        </w:rPr>
        <w:t>ere</w:t>
      </w:r>
      <w:r w:rsidR="007949AD" w:rsidRPr="077C0FE1">
        <w:rPr>
          <w:rFonts w:asciiTheme="minorHAnsi" w:hAnsiTheme="minorHAnsi" w:cstheme="minorBidi"/>
        </w:rPr>
        <w:t xml:space="preserve"> </w:t>
      </w:r>
      <w:r w:rsidR="003D52AC">
        <w:rPr>
          <w:rFonts w:asciiTheme="minorHAnsi" w:hAnsiTheme="minorHAnsi" w:cstheme="minorBidi"/>
        </w:rPr>
        <w:t>30</w:t>
      </w:r>
      <w:r w:rsidRPr="077C0FE1">
        <w:rPr>
          <w:rFonts w:asciiTheme="minorHAnsi" w:hAnsiTheme="minorHAnsi" w:cstheme="minorBidi"/>
        </w:rPr>
        <w:t>%</w:t>
      </w:r>
      <w:r w:rsidR="00CD6497" w:rsidRPr="077C0FE1">
        <w:rPr>
          <w:rFonts w:asciiTheme="minorHAnsi" w:hAnsiTheme="minorHAnsi" w:cstheme="minorBidi"/>
        </w:rPr>
        <w:t xml:space="preserve"> and </w:t>
      </w:r>
      <w:r w:rsidR="003D52AC">
        <w:rPr>
          <w:rFonts w:asciiTheme="minorHAnsi" w:hAnsiTheme="minorHAnsi" w:cstheme="minorBidi"/>
        </w:rPr>
        <w:t>10</w:t>
      </w:r>
      <w:r w:rsidR="00CD6497" w:rsidRPr="077C0FE1">
        <w:rPr>
          <w:rFonts w:asciiTheme="minorHAnsi" w:hAnsiTheme="minorHAnsi" w:cstheme="minorBidi"/>
        </w:rPr>
        <w:t>%, respectively</w:t>
      </w:r>
      <w:r w:rsidRPr="077C0FE1">
        <w:rPr>
          <w:rFonts w:asciiTheme="minorHAnsi" w:hAnsiTheme="minorHAnsi" w:cstheme="minorBidi"/>
        </w:rPr>
        <w:t>.</w:t>
      </w:r>
      <w:r w:rsidR="003D6F7E" w:rsidRPr="077C0FE1">
        <w:rPr>
          <w:rFonts w:asciiTheme="minorHAnsi" w:hAnsiTheme="minorHAnsi" w:cstheme="minorBidi"/>
        </w:rPr>
        <w:t xml:space="preserve"> </w:t>
      </w:r>
      <w:r w:rsidR="00885E67" w:rsidRPr="077C0FE1">
        <w:rPr>
          <w:rFonts w:asciiTheme="minorHAnsi" w:hAnsiTheme="minorHAnsi" w:cstheme="minorBidi"/>
        </w:rPr>
        <w:t xml:space="preserve">‘Intervening’ on a variable within the BN means that </w:t>
      </w:r>
      <w:r w:rsidR="00DF3592" w:rsidRPr="077C0FE1">
        <w:rPr>
          <w:rFonts w:asciiTheme="minorHAnsi" w:hAnsiTheme="minorHAnsi" w:cstheme="minorBidi"/>
        </w:rPr>
        <w:t xml:space="preserve">a </w:t>
      </w:r>
      <w:r w:rsidR="00715312" w:rsidRPr="077C0FE1">
        <w:rPr>
          <w:rFonts w:asciiTheme="minorHAnsi" w:hAnsiTheme="minorHAnsi" w:cstheme="minorBidi"/>
        </w:rPr>
        <w:t>specific</w:t>
      </w:r>
      <w:r w:rsidR="00DF3592" w:rsidRPr="077C0FE1">
        <w:rPr>
          <w:rFonts w:asciiTheme="minorHAnsi" w:hAnsiTheme="minorHAnsi" w:cstheme="minorBidi"/>
        </w:rPr>
        <w:t xml:space="preserve"> value</w:t>
      </w:r>
      <w:r w:rsidR="060CB801" w:rsidRPr="077C0FE1">
        <w:rPr>
          <w:rFonts w:asciiTheme="minorHAnsi" w:hAnsiTheme="minorHAnsi" w:cstheme="minorBidi"/>
        </w:rPr>
        <w:t xml:space="preserve"> is </w:t>
      </w:r>
      <w:r w:rsidR="00900E1D">
        <w:rPr>
          <w:rFonts w:asciiTheme="minorHAnsi" w:hAnsiTheme="minorHAnsi" w:cstheme="minorBidi"/>
        </w:rPr>
        <w:t>assigned</w:t>
      </w:r>
      <w:r w:rsidR="00900E1D" w:rsidRPr="077C0FE1">
        <w:rPr>
          <w:rFonts w:asciiTheme="minorHAnsi" w:hAnsiTheme="minorHAnsi" w:cstheme="minorBidi"/>
        </w:rPr>
        <w:t xml:space="preserve"> </w:t>
      </w:r>
      <w:r w:rsidR="060CB801" w:rsidRPr="077C0FE1">
        <w:rPr>
          <w:rFonts w:asciiTheme="minorHAnsi" w:hAnsiTheme="minorHAnsi" w:cstheme="minorBidi"/>
        </w:rPr>
        <w:t>to it</w:t>
      </w:r>
      <w:r w:rsidR="00DF3592" w:rsidRPr="077C0FE1">
        <w:rPr>
          <w:rFonts w:asciiTheme="minorHAnsi" w:hAnsiTheme="minorHAnsi" w:cstheme="minorBidi"/>
        </w:rPr>
        <w:t>.</w:t>
      </w:r>
      <w:r w:rsidR="00CE654D" w:rsidRPr="077C0FE1">
        <w:rPr>
          <w:rFonts w:asciiTheme="minorHAnsi" w:hAnsiTheme="minorHAnsi" w:cstheme="minorBidi"/>
        </w:rPr>
        <w:t xml:space="preserve"> For example, the</w:t>
      </w:r>
      <w:r w:rsidR="008B4E9D" w:rsidRPr="077C0FE1">
        <w:rPr>
          <w:rFonts w:asciiTheme="minorHAnsi" w:hAnsiTheme="minorHAnsi" w:cstheme="minorBidi"/>
        </w:rPr>
        <w:t xml:space="preserve"> variable ‘</w:t>
      </w:r>
      <w:r w:rsidR="00A0499A" w:rsidRPr="077C0FE1">
        <w:rPr>
          <w:rFonts w:asciiTheme="minorHAnsi" w:hAnsiTheme="minorHAnsi" w:cstheme="minorBidi"/>
        </w:rPr>
        <w:t>HbA1c</w:t>
      </w:r>
      <w:r w:rsidR="008B4E9D" w:rsidRPr="077C0FE1">
        <w:rPr>
          <w:rFonts w:asciiTheme="minorHAnsi" w:hAnsiTheme="minorHAnsi" w:cstheme="minorBidi"/>
        </w:rPr>
        <w:t xml:space="preserve">’ </w:t>
      </w:r>
      <w:r w:rsidR="7EAD7BC8" w:rsidRPr="077C0FE1">
        <w:rPr>
          <w:rFonts w:asciiTheme="minorHAnsi" w:hAnsiTheme="minorHAnsi" w:cstheme="minorBidi"/>
        </w:rPr>
        <w:t>may</w:t>
      </w:r>
      <w:r w:rsidR="0025287E" w:rsidRPr="077C0FE1">
        <w:rPr>
          <w:rFonts w:asciiTheme="minorHAnsi" w:hAnsiTheme="minorHAnsi" w:cstheme="minorBidi"/>
        </w:rPr>
        <w:t xml:space="preserve"> be assigned </w:t>
      </w:r>
      <w:r w:rsidR="008B4E9D" w:rsidRPr="077C0FE1">
        <w:rPr>
          <w:rFonts w:asciiTheme="minorHAnsi" w:hAnsiTheme="minorHAnsi" w:cstheme="minorBidi"/>
        </w:rPr>
        <w:t>the</w:t>
      </w:r>
      <w:r w:rsidR="009E6EA7" w:rsidRPr="077C0FE1">
        <w:rPr>
          <w:rFonts w:asciiTheme="minorHAnsi" w:hAnsiTheme="minorHAnsi" w:cstheme="minorBidi"/>
        </w:rPr>
        <w:t xml:space="preserve"> value</w:t>
      </w:r>
      <w:r w:rsidR="0025287E" w:rsidRPr="077C0FE1">
        <w:rPr>
          <w:rFonts w:asciiTheme="minorHAnsi" w:hAnsiTheme="minorHAnsi" w:cstheme="minorBidi"/>
        </w:rPr>
        <w:t>s</w:t>
      </w:r>
      <w:r w:rsidR="009E6EA7" w:rsidRPr="077C0FE1">
        <w:rPr>
          <w:rFonts w:asciiTheme="minorHAnsi" w:hAnsiTheme="minorHAnsi" w:cstheme="minorBidi"/>
        </w:rPr>
        <w:t xml:space="preserve"> ‘</w:t>
      </w:r>
      <w:r w:rsidR="00DA69B4" w:rsidRPr="077C0FE1">
        <w:rPr>
          <w:rFonts w:asciiTheme="minorHAnsi" w:hAnsiTheme="minorHAnsi" w:cstheme="minorBidi"/>
        </w:rPr>
        <w:t>0</w:t>
      </w:r>
      <w:r w:rsidR="009E6EA7" w:rsidRPr="077C0FE1">
        <w:rPr>
          <w:rFonts w:asciiTheme="minorHAnsi" w:hAnsiTheme="minorHAnsi" w:cstheme="minorBidi"/>
        </w:rPr>
        <w:t xml:space="preserve">’ </w:t>
      </w:r>
      <w:r w:rsidR="00712704">
        <w:rPr>
          <w:rFonts w:asciiTheme="minorHAnsi" w:hAnsiTheme="minorHAnsi" w:cstheme="minorBidi"/>
        </w:rPr>
        <w:t>(</w:t>
      </w:r>
      <w:r w:rsidR="00DA69B4" w:rsidRPr="077C0FE1">
        <w:rPr>
          <w:rFonts w:asciiTheme="minorHAnsi" w:hAnsiTheme="minorHAnsi" w:cstheme="minorBidi"/>
        </w:rPr>
        <w:t xml:space="preserve">‘low’ </w:t>
      </w:r>
      <w:r w:rsidR="004612A2">
        <w:rPr>
          <w:rFonts w:asciiTheme="minorHAnsi" w:hAnsiTheme="minorHAnsi" w:cstheme="minorBidi"/>
        </w:rPr>
        <w:t>value</w:t>
      </w:r>
      <w:r w:rsidR="009E6EA7" w:rsidRPr="077C0FE1">
        <w:rPr>
          <w:rFonts w:asciiTheme="minorHAnsi" w:hAnsiTheme="minorHAnsi" w:cstheme="minorBidi"/>
        </w:rPr>
        <w:t>)</w:t>
      </w:r>
      <w:r w:rsidR="0025287E" w:rsidRPr="077C0FE1">
        <w:rPr>
          <w:rFonts w:asciiTheme="minorHAnsi" w:hAnsiTheme="minorHAnsi" w:cstheme="minorBidi"/>
        </w:rPr>
        <w:t xml:space="preserve"> or ‘</w:t>
      </w:r>
      <w:r w:rsidR="00DA69B4" w:rsidRPr="077C0FE1">
        <w:rPr>
          <w:rFonts w:asciiTheme="minorHAnsi" w:hAnsiTheme="minorHAnsi" w:cstheme="minorBidi"/>
        </w:rPr>
        <w:t>1</w:t>
      </w:r>
      <w:r w:rsidR="0025287E" w:rsidRPr="077C0FE1">
        <w:rPr>
          <w:rFonts w:asciiTheme="minorHAnsi" w:hAnsiTheme="minorHAnsi" w:cstheme="minorBidi"/>
        </w:rPr>
        <w:t xml:space="preserve">’ </w:t>
      </w:r>
      <w:r w:rsidR="00712704">
        <w:rPr>
          <w:rFonts w:asciiTheme="minorHAnsi" w:hAnsiTheme="minorHAnsi" w:cstheme="minorBidi"/>
        </w:rPr>
        <w:t>(</w:t>
      </w:r>
      <w:r w:rsidR="00DA69B4" w:rsidRPr="077C0FE1">
        <w:rPr>
          <w:rFonts w:asciiTheme="minorHAnsi" w:hAnsiTheme="minorHAnsi" w:cstheme="minorBidi"/>
        </w:rPr>
        <w:t>‘high’</w:t>
      </w:r>
      <w:r w:rsidR="004612A2">
        <w:rPr>
          <w:rFonts w:asciiTheme="minorHAnsi" w:hAnsiTheme="minorHAnsi" w:cstheme="minorBidi"/>
        </w:rPr>
        <w:t xml:space="preserve"> value</w:t>
      </w:r>
      <w:r w:rsidR="0025287E" w:rsidRPr="077C0FE1">
        <w:rPr>
          <w:rFonts w:asciiTheme="minorHAnsi" w:hAnsiTheme="minorHAnsi" w:cstheme="minorBidi"/>
        </w:rPr>
        <w:t>)</w:t>
      </w:r>
      <w:r w:rsidR="009E6EA7" w:rsidRPr="077C0FE1">
        <w:rPr>
          <w:rFonts w:asciiTheme="minorHAnsi" w:hAnsiTheme="minorHAnsi" w:cstheme="minorBidi"/>
        </w:rPr>
        <w:t xml:space="preserve">. </w:t>
      </w:r>
      <w:r w:rsidR="00AC74BB" w:rsidRPr="077C0FE1">
        <w:rPr>
          <w:rFonts w:asciiTheme="minorHAnsi" w:hAnsiTheme="minorHAnsi" w:cstheme="minorBidi"/>
        </w:rPr>
        <w:t xml:space="preserve">The </w:t>
      </w:r>
      <w:r w:rsidR="00E83D2F" w:rsidRPr="077C0FE1">
        <w:rPr>
          <w:rFonts w:asciiTheme="minorHAnsi" w:hAnsiTheme="minorHAnsi" w:cstheme="minorBidi"/>
        </w:rPr>
        <w:t>effect</w:t>
      </w:r>
      <w:r w:rsidR="00AC74BB" w:rsidRPr="077C0FE1">
        <w:rPr>
          <w:rFonts w:asciiTheme="minorHAnsi" w:hAnsiTheme="minorHAnsi" w:cstheme="minorBidi"/>
        </w:rPr>
        <w:t xml:space="preserve"> of </w:t>
      </w:r>
      <w:r w:rsidR="00A87DE2" w:rsidRPr="077C0FE1">
        <w:rPr>
          <w:rFonts w:asciiTheme="minorHAnsi" w:hAnsiTheme="minorHAnsi" w:cstheme="minorBidi"/>
        </w:rPr>
        <w:t>amending</w:t>
      </w:r>
      <w:r w:rsidR="006C2596" w:rsidRPr="077C0FE1">
        <w:rPr>
          <w:rFonts w:asciiTheme="minorHAnsi" w:hAnsiTheme="minorHAnsi" w:cstheme="minorBidi"/>
        </w:rPr>
        <w:t xml:space="preserve"> level of glucose </w:t>
      </w:r>
      <w:r w:rsidR="00A87DE2" w:rsidRPr="077C0FE1">
        <w:rPr>
          <w:rFonts w:asciiTheme="minorHAnsi" w:hAnsiTheme="minorHAnsi" w:cstheme="minorBidi"/>
        </w:rPr>
        <w:t>regulation is</w:t>
      </w:r>
      <w:r w:rsidR="00AC74BB" w:rsidRPr="077C0FE1">
        <w:rPr>
          <w:rFonts w:asciiTheme="minorHAnsi" w:hAnsiTheme="minorHAnsi" w:cstheme="minorBidi"/>
        </w:rPr>
        <w:t xml:space="preserve"> </w:t>
      </w:r>
      <w:r w:rsidR="0046315D" w:rsidRPr="077C0FE1">
        <w:rPr>
          <w:rFonts w:asciiTheme="minorHAnsi" w:hAnsiTheme="minorHAnsi" w:cstheme="minorBidi"/>
        </w:rPr>
        <w:t xml:space="preserve">then </w:t>
      </w:r>
      <w:r w:rsidR="00AC74BB" w:rsidRPr="077C0FE1">
        <w:rPr>
          <w:rFonts w:asciiTheme="minorHAnsi" w:hAnsiTheme="minorHAnsi" w:cstheme="minorBidi"/>
        </w:rPr>
        <w:t xml:space="preserve">propagated throughout the network, </w:t>
      </w:r>
      <w:r w:rsidR="00E83D2F" w:rsidRPr="077C0FE1">
        <w:rPr>
          <w:rFonts w:asciiTheme="minorHAnsi" w:hAnsiTheme="minorHAnsi" w:cstheme="minorBidi"/>
        </w:rPr>
        <w:t>where the</w:t>
      </w:r>
      <w:r w:rsidR="005757A5" w:rsidRPr="077C0FE1">
        <w:rPr>
          <w:rFonts w:asciiTheme="minorHAnsi" w:hAnsiTheme="minorHAnsi" w:cstheme="minorBidi"/>
        </w:rPr>
        <w:t xml:space="preserve"> variables</w:t>
      </w:r>
      <w:r w:rsidR="00A92D95" w:rsidRPr="077C0FE1">
        <w:rPr>
          <w:rFonts w:asciiTheme="minorHAnsi" w:hAnsiTheme="minorHAnsi" w:cstheme="minorBidi"/>
        </w:rPr>
        <w:t>(s)</w:t>
      </w:r>
      <w:r w:rsidR="005757A5" w:rsidRPr="077C0FE1">
        <w:rPr>
          <w:rFonts w:asciiTheme="minorHAnsi" w:hAnsiTheme="minorHAnsi" w:cstheme="minorBidi"/>
        </w:rPr>
        <w:t xml:space="preserve"> conditionally </w:t>
      </w:r>
      <w:r w:rsidR="0046315D" w:rsidRPr="077C0FE1">
        <w:rPr>
          <w:rFonts w:asciiTheme="minorHAnsi" w:hAnsiTheme="minorHAnsi" w:cstheme="minorBidi"/>
        </w:rPr>
        <w:t>dependent</w:t>
      </w:r>
      <w:r w:rsidR="005757A5" w:rsidRPr="077C0FE1">
        <w:rPr>
          <w:rFonts w:asciiTheme="minorHAnsi" w:hAnsiTheme="minorHAnsi" w:cstheme="minorBidi"/>
        </w:rPr>
        <w:t xml:space="preserve"> on the </w:t>
      </w:r>
      <w:r w:rsidR="001503BD" w:rsidRPr="077C0FE1">
        <w:rPr>
          <w:rFonts w:asciiTheme="minorHAnsi" w:hAnsiTheme="minorHAnsi" w:cstheme="minorBidi"/>
        </w:rPr>
        <w:t>intervened variable</w:t>
      </w:r>
      <w:r w:rsidR="00EC0435" w:rsidRPr="077C0FE1">
        <w:rPr>
          <w:rFonts w:asciiTheme="minorHAnsi" w:hAnsiTheme="minorHAnsi" w:cstheme="minorBidi"/>
        </w:rPr>
        <w:t>(s)</w:t>
      </w:r>
      <w:r w:rsidR="001503BD" w:rsidRPr="077C0FE1">
        <w:rPr>
          <w:rFonts w:asciiTheme="minorHAnsi" w:hAnsiTheme="minorHAnsi" w:cstheme="minorBidi"/>
        </w:rPr>
        <w:t xml:space="preserve"> </w:t>
      </w:r>
      <w:r w:rsidR="001705B3" w:rsidRPr="077C0FE1">
        <w:rPr>
          <w:rFonts w:asciiTheme="minorHAnsi" w:hAnsiTheme="minorHAnsi" w:cstheme="minorBidi"/>
        </w:rPr>
        <w:t xml:space="preserve">are updated to reflect the </w:t>
      </w:r>
      <w:r w:rsidR="00F75DDA" w:rsidRPr="077C0FE1">
        <w:rPr>
          <w:rFonts w:asciiTheme="minorHAnsi" w:hAnsiTheme="minorHAnsi" w:cstheme="minorBidi"/>
        </w:rPr>
        <w:t>specified</w:t>
      </w:r>
      <w:r w:rsidR="001705B3" w:rsidRPr="077C0FE1">
        <w:rPr>
          <w:rFonts w:asciiTheme="minorHAnsi" w:hAnsiTheme="minorHAnsi" w:cstheme="minorBidi"/>
        </w:rPr>
        <w:t xml:space="preserve"> evidence.</w:t>
      </w:r>
    </w:p>
    <w:p w14:paraId="59638F9E" w14:textId="07209737" w:rsidR="00D92620" w:rsidRDefault="00D92620" w:rsidP="002D7D3A">
      <w:pPr>
        <w:spacing w:line="480" w:lineRule="auto"/>
        <w:jc w:val="both"/>
        <w:rPr>
          <w:rFonts w:asciiTheme="minorHAnsi" w:hAnsiTheme="minorHAnsi" w:cstheme="minorHAnsi"/>
        </w:rPr>
      </w:pPr>
    </w:p>
    <w:p w14:paraId="27C5CBE7" w14:textId="07C46488" w:rsidR="00E40F7E" w:rsidRPr="00E40F7E" w:rsidRDefault="00032B63" w:rsidP="002D7D3A">
      <w:pPr>
        <w:spacing w:line="480" w:lineRule="auto"/>
        <w:jc w:val="both"/>
        <w:rPr>
          <w:rFonts w:asciiTheme="minorHAnsi" w:hAnsiTheme="minorHAnsi" w:cstheme="minorHAnsi"/>
          <w:i/>
          <w:iCs/>
        </w:rPr>
      </w:pPr>
      <w:r>
        <w:rPr>
          <w:rFonts w:asciiTheme="minorHAnsi" w:hAnsiTheme="minorHAnsi" w:cstheme="minorHAnsi"/>
          <w:i/>
          <w:iCs/>
        </w:rPr>
        <w:t>T2D</w:t>
      </w:r>
      <w:r w:rsidR="00E40F7E">
        <w:rPr>
          <w:rFonts w:asciiTheme="minorHAnsi" w:hAnsiTheme="minorHAnsi" w:cstheme="minorHAnsi"/>
          <w:i/>
          <w:iCs/>
        </w:rPr>
        <w:t xml:space="preserve"> cohort</w:t>
      </w:r>
    </w:p>
    <w:p w14:paraId="092A4D25" w14:textId="7C627DE8" w:rsidR="006C2596" w:rsidRDefault="006C2596" w:rsidP="077C0FE1">
      <w:pPr>
        <w:spacing w:line="480" w:lineRule="auto"/>
        <w:jc w:val="both"/>
        <w:rPr>
          <w:rFonts w:asciiTheme="minorHAnsi" w:hAnsiTheme="minorHAnsi" w:cstheme="minorBidi"/>
        </w:rPr>
      </w:pPr>
      <w:r w:rsidRPr="077C0FE1">
        <w:rPr>
          <w:rFonts w:asciiTheme="minorHAnsi" w:hAnsiTheme="minorHAnsi" w:cstheme="minorBidi"/>
          <w:i/>
          <w:iCs/>
        </w:rPr>
        <w:t>Impact of body mass index</w:t>
      </w:r>
      <w:r w:rsidR="00261485">
        <w:rPr>
          <w:rFonts w:asciiTheme="minorHAnsi" w:hAnsiTheme="minorHAnsi" w:cstheme="minorBidi"/>
          <w:i/>
          <w:iCs/>
        </w:rPr>
        <w:t>:</w:t>
      </w:r>
      <w:r w:rsidRPr="077C0FE1">
        <w:rPr>
          <w:rFonts w:asciiTheme="minorHAnsi" w:hAnsiTheme="minorHAnsi" w:cstheme="minorBidi"/>
        </w:rPr>
        <w:t xml:space="preserve"> </w:t>
      </w:r>
      <w:r w:rsidR="00A5759A" w:rsidRPr="077C0FE1">
        <w:rPr>
          <w:rFonts w:asciiTheme="minorHAnsi" w:hAnsiTheme="minorHAnsi" w:cstheme="minorBidi"/>
        </w:rPr>
        <w:t xml:space="preserve">We first explored the effect of obesity status on NASH risk, </w:t>
      </w:r>
      <w:r w:rsidR="00124C08" w:rsidRPr="077C0FE1">
        <w:rPr>
          <w:rFonts w:asciiTheme="minorHAnsi" w:hAnsiTheme="minorHAnsi" w:cstheme="minorBidi"/>
        </w:rPr>
        <w:t>observing</w:t>
      </w:r>
      <w:r w:rsidR="00A5759A" w:rsidRPr="077C0FE1">
        <w:rPr>
          <w:rFonts w:asciiTheme="minorHAnsi" w:hAnsiTheme="minorHAnsi" w:cstheme="minorBidi"/>
        </w:rPr>
        <w:t xml:space="preserve"> </w:t>
      </w:r>
      <w:r w:rsidR="00124C08" w:rsidRPr="077C0FE1">
        <w:rPr>
          <w:rFonts w:asciiTheme="minorHAnsi" w:hAnsiTheme="minorHAnsi" w:cstheme="minorBidi"/>
        </w:rPr>
        <w:t xml:space="preserve">a </w:t>
      </w:r>
      <w:r w:rsidR="00DD076F">
        <w:rPr>
          <w:rFonts w:asciiTheme="minorHAnsi" w:hAnsiTheme="minorHAnsi" w:cstheme="minorBidi"/>
        </w:rPr>
        <w:t>13%,</w:t>
      </w:r>
      <w:r w:rsidR="006B7584" w:rsidRPr="077C0FE1">
        <w:rPr>
          <w:rFonts w:asciiTheme="minorHAnsi" w:hAnsiTheme="minorHAnsi" w:cstheme="minorBidi"/>
        </w:rPr>
        <w:t xml:space="preserve"> </w:t>
      </w:r>
      <w:r w:rsidR="00DD076F">
        <w:rPr>
          <w:rFonts w:asciiTheme="minorHAnsi" w:hAnsiTheme="minorHAnsi" w:cstheme="minorBidi"/>
        </w:rPr>
        <w:t>23</w:t>
      </w:r>
      <w:r w:rsidR="006B7584" w:rsidRPr="077C0FE1">
        <w:rPr>
          <w:rFonts w:asciiTheme="minorHAnsi" w:hAnsiTheme="minorHAnsi" w:cstheme="minorBidi"/>
        </w:rPr>
        <w:t xml:space="preserve">%, </w:t>
      </w:r>
      <w:r w:rsidR="00DD076F">
        <w:rPr>
          <w:rFonts w:asciiTheme="minorHAnsi" w:hAnsiTheme="minorHAnsi" w:cstheme="minorBidi"/>
        </w:rPr>
        <w:t>36%</w:t>
      </w:r>
      <w:r w:rsidR="006B7584" w:rsidRPr="077C0FE1">
        <w:rPr>
          <w:rFonts w:asciiTheme="minorHAnsi" w:hAnsiTheme="minorHAnsi" w:cstheme="minorBidi"/>
        </w:rPr>
        <w:t xml:space="preserve"> and </w:t>
      </w:r>
      <w:r w:rsidR="00DD076F">
        <w:rPr>
          <w:rFonts w:asciiTheme="minorHAnsi" w:hAnsiTheme="minorHAnsi" w:cstheme="minorBidi"/>
        </w:rPr>
        <w:t>62</w:t>
      </w:r>
      <w:r w:rsidR="006B7584" w:rsidRPr="077C0FE1">
        <w:rPr>
          <w:rFonts w:asciiTheme="minorHAnsi" w:hAnsiTheme="minorHAnsi" w:cstheme="minorBidi"/>
        </w:rPr>
        <w:t xml:space="preserve">% probability </w:t>
      </w:r>
      <w:r w:rsidR="00B45184" w:rsidRPr="077C0FE1">
        <w:rPr>
          <w:rFonts w:asciiTheme="minorHAnsi" w:hAnsiTheme="minorHAnsi" w:cstheme="minorBidi"/>
        </w:rPr>
        <w:t xml:space="preserve">of </w:t>
      </w:r>
      <w:r w:rsidR="006B7584" w:rsidRPr="077C0FE1">
        <w:rPr>
          <w:rFonts w:asciiTheme="minorHAnsi" w:hAnsiTheme="minorHAnsi" w:cstheme="minorBidi"/>
        </w:rPr>
        <w:t xml:space="preserve">NASH </w:t>
      </w:r>
      <w:r w:rsidR="00AD360B" w:rsidRPr="077C0FE1">
        <w:rPr>
          <w:rFonts w:asciiTheme="minorHAnsi" w:hAnsiTheme="minorHAnsi" w:cstheme="minorBidi"/>
        </w:rPr>
        <w:t>under</w:t>
      </w:r>
      <w:r w:rsidR="006B7584" w:rsidRPr="077C0FE1">
        <w:rPr>
          <w:rFonts w:asciiTheme="minorHAnsi" w:hAnsiTheme="minorHAnsi" w:cstheme="minorBidi"/>
        </w:rPr>
        <w:t xml:space="preserve"> normal</w:t>
      </w:r>
      <w:r w:rsidR="000118B9" w:rsidRPr="077C0FE1">
        <w:rPr>
          <w:rFonts w:asciiTheme="minorHAnsi" w:hAnsiTheme="minorHAnsi" w:cstheme="minorBidi"/>
        </w:rPr>
        <w:t xml:space="preserve"> </w:t>
      </w:r>
      <w:r w:rsidR="006B7584" w:rsidRPr="077C0FE1">
        <w:rPr>
          <w:rFonts w:asciiTheme="minorHAnsi" w:hAnsiTheme="minorHAnsi" w:cstheme="minorBidi"/>
        </w:rPr>
        <w:t>weight</w:t>
      </w:r>
      <w:r w:rsidR="004405A2">
        <w:rPr>
          <w:rFonts w:asciiTheme="minorHAnsi" w:hAnsiTheme="minorHAnsi" w:cstheme="minorBidi"/>
        </w:rPr>
        <w:t xml:space="preserve"> (&lt;25kg/m</w:t>
      </w:r>
      <w:r w:rsidR="004405A2">
        <w:rPr>
          <w:rFonts w:asciiTheme="minorHAnsi" w:hAnsiTheme="minorHAnsi" w:cstheme="minorBidi"/>
          <w:vertAlign w:val="superscript"/>
        </w:rPr>
        <w:t>2</w:t>
      </w:r>
      <w:r w:rsidR="004405A2">
        <w:rPr>
          <w:rFonts w:asciiTheme="minorHAnsi" w:hAnsiTheme="minorHAnsi" w:cstheme="minorBidi"/>
        </w:rPr>
        <w:t>)</w:t>
      </w:r>
      <w:r w:rsidR="006B7584" w:rsidRPr="077C0FE1">
        <w:rPr>
          <w:rFonts w:asciiTheme="minorHAnsi" w:hAnsiTheme="minorHAnsi" w:cstheme="minorBidi"/>
        </w:rPr>
        <w:t>, overweight</w:t>
      </w:r>
      <w:r w:rsidR="004405A2">
        <w:rPr>
          <w:rFonts w:asciiTheme="minorHAnsi" w:hAnsiTheme="minorHAnsi" w:cstheme="minorBidi"/>
        </w:rPr>
        <w:t xml:space="preserve"> (25-30kg/m</w:t>
      </w:r>
      <w:r w:rsidR="004405A2">
        <w:rPr>
          <w:rFonts w:asciiTheme="minorHAnsi" w:hAnsiTheme="minorHAnsi" w:cstheme="minorBidi"/>
          <w:vertAlign w:val="superscript"/>
        </w:rPr>
        <w:t>2</w:t>
      </w:r>
      <w:r w:rsidR="004405A2">
        <w:rPr>
          <w:rFonts w:asciiTheme="minorHAnsi" w:hAnsiTheme="minorHAnsi" w:cstheme="minorBidi"/>
        </w:rPr>
        <w:t>)</w:t>
      </w:r>
      <w:r w:rsidR="006B7584" w:rsidRPr="077C0FE1">
        <w:rPr>
          <w:rFonts w:asciiTheme="minorHAnsi" w:hAnsiTheme="minorHAnsi" w:cstheme="minorBidi"/>
        </w:rPr>
        <w:t xml:space="preserve">, </w:t>
      </w:r>
      <w:r w:rsidR="000118B9" w:rsidRPr="077C0FE1">
        <w:rPr>
          <w:rFonts w:asciiTheme="minorHAnsi" w:hAnsiTheme="minorHAnsi" w:cstheme="minorBidi"/>
        </w:rPr>
        <w:t>obes</w:t>
      </w:r>
      <w:r w:rsidR="00403AD4">
        <w:rPr>
          <w:rFonts w:asciiTheme="minorHAnsi" w:hAnsiTheme="minorHAnsi" w:cstheme="minorBidi"/>
        </w:rPr>
        <w:t>ity</w:t>
      </w:r>
      <w:r w:rsidR="004405A2">
        <w:rPr>
          <w:rFonts w:asciiTheme="minorHAnsi" w:hAnsiTheme="minorHAnsi" w:cstheme="minorBidi"/>
        </w:rPr>
        <w:t xml:space="preserve"> (30-40kg/m</w:t>
      </w:r>
      <w:r w:rsidR="004405A2">
        <w:rPr>
          <w:rFonts w:asciiTheme="minorHAnsi" w:hAnsiTheme="minorHAnsi" w:cstheme="minorBidi"/>
          <w:vertAlign w:val="superscript"/>
        </w:rPr>
        <w:t>2</w:t>
      </w:r>
      <w:r w:rsidR="004405A2">
        <w:rPr>
          <w:rFonts w:asciiTheme="minorHAnsi" w:hAnsiTheme="minorHAnsi" w:cstheme="minorBidi"/>
        </w:rPr>
        <w:t>)</w:t>
      </w:r>
      <w:r w:rsidR="000118B9" w:rsidRPr="077C0FE1">
        <w:rPr>
          <w:rFonts w:asciiTheme="minorHAnsi" w:hAnsiTheme="minorHAnsi" w:cstheme="minorBidi"/>
        </w:rPr>
        <w:t>,</w:t>
      </w:r>
      <w:r w:rsidR="006B7584" w:rsidRPr="077C0FE1">
        <w:rPr>
          <w:rFonts w:asciiTheme="minorHAnsi" w:hAnsiTheme="minorHAnsi" w:cstheme="minorBidi"/>
        </w:rPr>
        <w:t xml:space="preserve"> and </w:t>
      </w:r>
      <w:r w:rsidR="00634904">
        <w:rPr>
          <w:rFonts w:asciiTheme="minorHAnsi" w:hAnsiTheme="minorHAnsi" w:cstheme="minorBidi"/>
        </w:rPr>
        <w:t>severe</w:t>
      </w:r>
      <w:r w:rsidR="006B7584" w:rsidRPr="077C0FE1">
        <w:rPr>
          <w:rFonts w:asciiTheme="minorHAnsi" w:hAnsiTheme="minorHAnsi" w:cstheme="minorBidi"/>
        </w:rPr>
        <w:t xml:space="preserve"> obes</w:t>
      </w:r>
      <w:r w:rsidR="00845351" w:rsidRPr="077C0FE1">
        <w:rPr>
          <w:rFonts w:asciiTheme="minorHAnsi" w:hAnsiTheme="minorHAnsi" w:cstheme="minorBidi"/>
        </w:rPr>
        <w:t>ity</w:t>
      </w:r>
      <w:r w:rsidR="006B7584" w:rsidRPr="077C0FE1">
        <w:rPr>
          <w:rFonts w:asciiTheme="minorHAnsi" w:hAnsiTheme="minorHAnsi" w:cstheme="minorBidi"/>
        </w:rPr>
        <w:t xml:space="preserve"> </w:t>
      </w:r>
      <w:r w:rsidR="004405A2">
        <w:rPr>
          <w:rFonts w:asciiTheme="minorHAnsi" w:hAnsiTheme="minorHAnsi" w:cstheme="minorBidi"/>
        </w:rPr>
        <w:t>(&gt;40kg/m</w:t>
      </w:r>
      <w:r w:rsidR="004405A2">
        <w:rPr>
          <w:rFonts w:asciiTheme="minorHAnsi" w:hAnsiTheme="minorHAnsi" w:cstheme="minorBidi"/>
          <w:vertAlign w:val="superscript"/>
        </w:rPr>
        <w:t>2</w:t>
      </w:r>
      <w:r w:rsidR="004405A2">
        <w:rPr>
          <w:rFonts w:asciiTheme="minorHAnsi" w:hAnsiTheme="minorHAnsi" w:cstheme="minorBidi"/>
        </w:rPr>
        <w:t>)</w:t>
      </w:r>
      <w:r w:rsidR="004405A2">
        <w:rPr>
          <w:rFonts w:asciiTheme="minorHAnsi" w:hAnsiTheme="minorHAnsi" w:cstheme="minorBidi"/>
          <w:vertAlign w:val="superscript"/>
        </w:rPr>
        <w:t xml:space="preserve"> </w:t>
      </w:r>
      <w:r w:rsidR="00AD360B" w:rsidRPr="077C0FE1">
        <w:rPr>
          <w:rFonts w:asciiTheme="minorHAnsi" w:hAnsiTheme="minorHAnsi" w:cstheme="minorBidi"/>
        </w:rPr>
        <w:t>settings</w:t>
      </w:r>
      <w:r w:rsidR="000118B9" w:rsidRPr="077C0FE1">
        <w:rPr>
          <w:rFonts w:asciiTheme="minorHAnsi" w:hAnsiTheme="minorHAnsi" w:cstheme="minorBidi"/>
        </w:rPr>
        <w:t>, respectively. This equate</w:t>
      </w:r>
      <w:r w:rsidR="00102C58" w:rsidRPr="077C0FE1">
        <w:rPr>
          <w:rFonts w:asciiTheme="minorHAnsi" w:hAnsiTheme="minorHAnsi" w:cstheme="minorBidi"/>
        </w:rPr>
        <w:t>d</w:t>
      </w:r>
      <w:r w:rsidR="000118B9" w:rsidRPr="077C0FE1">
        <w:rPr>
          <w:rFonts w:asciiTheme="minorHAnsi" w:hAnsiTheme="minorHAnsi" w:cstheme="minorBidi"/>
        </w:rPr>
        <w:t xml:space="preserve"> to a </w:t>
      </w:r>
      <w:r w:rsidR="00DD076F">
        <w:rPr>
          <w:rFonts w:asciiTheme="minorHAnsi" w:hAnsiTheme="minorHAnsi" w:cstheme="minorBidi"/>
        </w:rPr>
        <w:t>23</w:t>
      </w:r>
      <w:r w:rsidR="000118B9" w:rsidRPr="077C0FE1">
        <w:rPr>
          <w:rFonts w:asciiTheme="minorHAnsi" w:hAnsiTheme="minorHAnsi" w:cstheme="minorBidi"/>
        </w:rPr>
        <w:t>%</w:t>
      </w:r>
      <w:r w:rsidR="000D4609" w:rsidRPr="077C0FE1">
        <w:rPr>
          <w:rFonts w:asciiTheme="minorHAnsi" w:hAnsiTheme="minorHAnsi" w:cstheme="minorBidi"/>
        </w:rPr>
        <w:t xml:space="preserve"> </w:t>
      </w:r>
      <w:r w:rsidR="000118B9" w:rsidRPr="077C0FE1">
        <w:rPr>
          <w:rFonts w:asciiTheme="minorHAnsi" w:hAnsiTheme="minorHAnsi" w:cstheme="minorBidi"/>
        </w:rPr>
        <w:t xml:space="preserve">greater </w:t>
      </w:r>
      <w:r w:rsidR="000D4609" w:rsidRPr="077C0FE1">
        <w:rPr>
          <w:rFonts w:asciiTheme="minorHAnsi" w:hAnsiTheme="minorHAnsi" w:cstheme="minorBidi"/>
        </w:rPr>
        <w:t xml:space="preserve">probability of NASH when </w:t>
      </w:r>
      <w:r w:rsidR="00A01DEA" w:rsidRPr="077C0FE1">
        <w:rPr>
          <w:rFonts w:asciiTheme="minorHAnsi" w:hAnsiTheme="minorHAnsi" w:cstheme="minorBidi"/>
        </w:rPr>
        <w:t xml:space="preserve">comparing </w:t>
      </w:r>
      <w:r w:rsidR="000D4609" w:rsidRPr="077C0FE1">
        <w:rPr>
          <w:rFonts w:asciiTheme="minorHAnsi" w:hAnsiTheme="minorHAnsi" w:cstheme="minorBidi"/>
        </w:rPr>
        <w:t>‘</w:t>
      </w:r>
      <w:r w:rsidR="008773FC">
        <w:rPr>
          <w:rFonts w:asciiTheme="minorHAnsi" w:hAnsiTheme="minorHAnsi" w:cstheme="minorBidi"/>
        </w:rPr>
        <w:t>obe</w:t>
      </w:r>
      <w:r w:rsidR="00403AD4">
        <w:rPr>
          <w:rFonts w:asciiTheme="minorHAnsi" w:hAnsiTheme="minorHAnsi" w:cstheme="minorBidi"/>
        </w:rPr>
        <w:t>sity</w:t>
      </w:r>
      <w:r w:rsidR="008773FC">
        <w:rPr>
          <w:rFonts w:asciiTheme="minorHAnsi" w:hAnsiTheme="minorHAnsi" w:cstheme="minorBidi"/>
        </w:rPr>
        <w:t>’</w:t>
      </w:r>
      <w:r w:rsidR="000D4609" w:rsidRPr="077C0FE1">
        <w:rPr>
          <w:rFonts w:asciiTheme="minorHAnsi" w:hAnsiTheme="minorHAnsi" w:cstheme="minorBidi"/>
        </w:rPr>
        <w:t xml:space="preserve"> </w:t>
      </w:r>
      <w:r w:rsidR="00730158" w:rsidRPr="077C0FE1">
        <w:rPr>
          <w:rFonts w:asciiTheme="minorHAnsi" w:hAnsiTheme="minorHAnsi" w:cstheme="minorBidi"/>
          <w:i/>
          <w:iCs/>
        </w:rPr>
        <w:t>vs</w:t>
      </w:r>
      <w:r w:rsidR="00A01DEA" w:rsidRPr="077C0FE1">
        <w:rPr>
          <w:rFonts w:asciiTheme="minorHAnsi" w:hAnsiTheme="minorHAnsi" w:cstheme="minorBidi"/>
          <w:i/>
          <w:iCs/>
        </w:rPr>
        <w:t>.</w:t>
      </w:r>
      <w:r w:rsidR="001D6D0B" w:rsidRPr="077C0FE1">
        <w:rPr>
          <w:rFonts w:asciiTheme="minorHAnsi" w:hAnsiTheme="minorHAnsi" w:cstheme="minorBidi"/>
        </w:rPr>
        <w:t xml:space="preserve"> </w:t>
      </w:r>
      <w:r w:rsidR="008773FC">
        <w:rPr>
          <w:rFonts w:asciiTheme="minorHAnsi" w:hAnsiTheme="minorHAnsi" w:cstheme="minorBidi"/>
        </w:rPr>
        <w:t>‘</w:t>
      </w:r>
      <w:r w:rsidR="001D6D0B" w:rsidRPr="077C0FE1">
        <w:rPr>
          <w:rFonts w:asciiTheme="minorHAnsi" w:hAnsiTheme="minorHAnsi" w:cstheme="minorBidi"/>
        </w:rPr>
        <w:t>normal weight</w:t>
      </w:r>
      <w:r w:rsidR="008773FC">
        <w:rPr>
          <w:rFonts w:asciiTheme="minorHAnsi" w:hAnsiTheme="minorHAnsi" w:cstheme="minorBidi"/>
        </w:rPr>
        <w:t>’</w:t>
      </w:r>
      <w:r w:rsidR="001D6D0B" w:rsidRPr="077C0FE1">
        <w:rPr>
          <w:rFonts w:asciiTheme="minorHAnsi" w:hAnsiTheme="minorHAnsi" w:cstheme="minorBidi"/>
        </w:rPr>
        <w:t>.</w:t>
      </w:r>
      <w:r w:rsidR="00DA0DE9" w:rsidRPr="077C0FE1">
        <w:rPr>
          <w:rFonts w:asciiTheme="minorHAnsi" w:hAnsiTheme="minorHAnsi" w:cstheme="minorBidi"/>
        </w:rPr>
        <w:t xml:space="preserve"> </w:t>
      </w:r>
      <w:r w:rsidR="00403AD4">
        <w:rPr>
          <w:rFonts w:asciiTheme="minorHAnsi" w:hAnsiTheme="minorHAnsi" w:cstheme="minorBidi"/>
        </w:rPr>
        <w:t>(</w:t>
      </w:r>
      <w:r w:rsidR="005738F6">
        <w:rPr>
          <w:rFonts w:asciiTheme="minorHAnsi" w:hAnsiTheme="minorHAnsi" w:cstheme="minorBidi"/>
        </w:rPr>
        <w:t xml:space="preserve">Table 2 &amp; Figure </w:t>
      </w:r>
      <w:r w:rsidR="00B241EF">
        <w:rPr>
          <w:rFonts w:asciiTheme="minorHAnsi" w:hAnsiTheme="minorHAnsi" w:cstheme="minorBidi"/>
        </w:rPr>
        <w:t>4</w:t>
      </w:r>
      <w:r w:rsidR="005738F6">
        <w:rPr>
          <w:rFonts w:asciiTheme="minorHAnsi" w:hAnsiTheme="minorHAnsi" w:cstheme="minorBidi"/>
        </w:rPr>
        <w:t>).</w:t>
      </w:r>
    </w:p>
    <w:p w14:paraId="08902890" w14:textId="77777777" w:rsidR="00F75B05" w:rsidRDefault="00F75B05" w:rsidP="00F75B05">
      <w:pPr>
        <w:spacing w:line="480" w:lineRule="auto"/>
        <w:jc w:val="both"/>
        <w:rPr>
          <w:rFonts w:asciiTheme="minorHAnsi" w:hAnsiTheme="minorHAnsi" w:cstheme="minorHAnsi"/>
          <w:i/>
          <w:iCs/>
        </w:rPr>
      </w:pPr>
    </w:p>
    <w:p w14:paraId="7CC84F6A" w14:textId="0717EBFD" w:rsidR="00F75B05" w:rsidRDefault="00F75B05" w:rsidP="00F75B05">
      <w:pPr>
        <w:spacing w:line="480" w:lineRule="auto"/>
        <w:jc w:val="both"/>
        <w:rPr>
          <w:rFonts w:asciiTheme="minorHAnsi" w:hAnsiTheme="minorHAnsi" w:cstheme="minorBidi"/>
        </w:rPr>
      </w:pPr>
      <w:r>
        <w:rPr>
          <w:rFonts w:asciiTheme="minorHAnsi" w:hAnsiTheme="minorHAnsi" w:cstheme="minorHAnsi"/>
          <w:i/>
          <w:iCs/>
        </w:rPr>
        <w:t>Impact of HbA1c</w:t>
      </w:r>
      <w:r w:rsidR="00261485">
        <w:rPr>
          <w:rFonts w:asciiTheme="minorHAnsi" w:hAnsiTheme="minorHAnsi" w:cstheme="minorHAnsi"/>
          <w:i/>
          <w:iCs/>
        </w:rPr>
        <w:t>:</w:t>
      </w:r>
      <w:r>
        <w:rPr>
          <w:rFonts w:asciiTheme="minorHAnsi" w:hAnsiTheme="minorHAnsi" w:cstheme="minorHAnsi"/>
          <w:i/>
          <w:iCs/>
        </w:rPr>
        <w:t xml:space="preserve"> </w:t>
      </w:r>
      <w:r>
        <w:rPr>
          <w:rFonts w:asciiTheme="minorHAnsi" w:hAnsiTheme="minorHAnsi" w:cstheme="minorHAnsi"/>
        </w:rPr>
        <w:t xml:space="preserve">Increasing HbA1c status from the low </w:t>
      </w:r>
      <w:r w:rsidR="00403AD4" w:rsidRPr="077C0FE1">
        <w:rPr>
          <w:rFonts w:asciiTheme="minorHAnsi" w:hAnsiTheme="minorHAnsi" w:cstheme="minorBidi"/>
        </w:rPr>
        <w:t>(HbA1c &lt;</w:t>
      </w:r>
      <w:r w:rsidR="00403AD4">
        <w:rPr>
          <w:rFonts w:asciiTheme="minorHAnsi" w:hAnsiTheme="minorHAnsi" w:cstheme="minorBidi"/>
        </w:rPr>
        <w:t>6</w:t>
      </w:r>
      <w:r w:rsidR="00D34133">
        <w:rPr>
          <w:rFonts w:asciiTheme="minorHAnsi" w:hAnsiTheme="minorHAnsi" w:cstheme="minorBidi"/>
        </w:rPr>
        <w:t>2</w:t>
      </w:r>
      <w:r w:rsidR="00403AD4" w:rsidRPr="077C0FE1">
        <w:rPr>
          <w:rFonts w:asciiTheme="minorHAnsi" w:hAnsiTheme="minorHAnsi" w:cstheme="minorBidi"/>
        </w:rPr>
        <w:t xml:space="preserve"> mmol/mol) </w:t>
      </w:r>
      <w:r>
        <w:rPr>
          <w:rFonts w:asciiTheme="minorHAnsi" w:hAnsiTheme="minorHAnsi" w:cstheme="minorHAnsi"/>
        </w:rPr>
        <w:t xml:space="preserve">to high value group </w:t>
      </w:r>
      <w:r w:rsidR="00403AD4" w:rsidRPr="077C0FE1">
        <w:rPr>
          <w:rFonts w:asciiTheme="minorHAnsi" w:hAnsiTheme="minorHAnsi" w:cstheme="minorBidi"/>
        </w:rPr>
        <w:t>(HbA1c &gt;=</w:t>
      </w:r>
      <w:r w:rsidR="00403AD4">
        <w:rPr>
          <w:rFonts w:asciiTheme="minorHAnsi" w:hAnsiTheme="minorHAnsi" w:cstheme="minorBidi"/>
        </w:rPr>
        <w:t>6</w:t>
      </w:r>
      <w:r w:rsidR="00D065E9">
        <w:rPr>
          <w:rFonts w:asciiTheme="minorHAnsi" w:hAnsiTheme="minorHAnsi" w:cstheme="minorBidi"/>
        </w:rPr>
        <w:t>2</w:t>
      </w:r>
      <w:r w:rsidR="00403AD4" w:rsidRPr="077C0FE1">
        <w:rPr>
          <w:rFonts w:asciiTheme="minorHAnsi" w:hAnsiTheme="minorHAnsi" w:cstheme="minorBidi"/>
        </w:rPr>
        <w:t>mmol/mol)</w:t>
      </w:r>
      <w:r w:rsidR="00403AD4">
        <w:rPr>
          <w:rFonts w:asciiTheme="minorHAnsi" w:hAnsiTheme="minorHAnsi" w:cstheme="minorBidi"/>
        </w:rPr>
        <w:t xml:space="preserve"> </w:t>
      </w:r>
      <w:r>
        <w:rPr>
          <w:rFonts w:asciiTheme="minorHAnsi" w:hAnsiTheme="minorHAnsi" w:cstheme="minorHAnsi"/>
        </w:rPr>
        <w:t xml:space="preserve">increased the probability of NASH by </w:t>
      </w:r>
      <w:r w:rsidR="00DD076F">
        <w:rPr>
          <w:rFonts w:asciiTheme="minorHAnsi" w:hAnsiTheme="minorHAnsi" w:cstheme="minorHAnsi"/>
        </w:rPr>
        <w:t>22</w:t>
      </w:r>
      <w:r>
        <w:rPr>
          <w:rFonts w:asciiTheme="minorHAnsi" w:hAnsiTheme="minorHAnsi" w:cstheme="minorHAnsi"/>
        </w:rPr>
        <w:t>% (</w:t>
      </w:r>
      <w:r w:rsidR="00DD076F">
        <w:rPr>
          <w:rFonts w:asciiTheme="minorHAnsi" w:hAnsiTheme="minorHAnsi" w:cstheme="minorHAnsi"/>
        </w:rPr>
        <w:t>24</w:t>
      </w:r>
      <w:r>
        <w:rPr>
          <w:rFonts w:asciiTheme="minorHAnsi" w:hAnsiTheme="minorHAnsi" w:cstheme="minorHAnsi"/>
        </w:rPr>
        <w:t>% vs</w:t>
      </w:r>
      <w:r w:rsidR="00403AD4">
        <w:rPr>
          <w:rFonts w:asciiTheme="minorHAnsi" w:hAnsiTheme="minorHAnsi" w:cstheme="minorHAnsi"/>
        </w:rPr>
        <w:t>.</w:t>
      </w:r>
      <w:r>
        <w:rPr>
          <w:rFonts w:asciiTheme="minorHAnsi" w:hAnsiTheme="minorHAnsi" w:cstheme="minorHAnsi"/>
        </w:rPr>
        <w:t xml:space="preserve"> </w:t>
      </w:r>
      <w:r w:rsidR="00DD076F">
        <w:rPr>
          <w:rFonts w:asciiTheme="minorHAnsi" w:hAnsiTheme="minorHAnsi" w:cstheme="minorHAnsi"/>
        </w:rPr>
        <w:t>46</w:t>
      </w:r>
      <w:r>
        <w:rPr>
          <w:rFonts w:asciiTheme="minorHAnsi" w:hAnsiTheme="minorHAnsi" w:cstheme="minorHAnsi"/>
        </w:rPr>
        <w:t>%).</w:t>
      </w:r>
      <w:r w:rsidRPr="00F75B05">
        <w:rPr>
          <w:rFonts w:asciiTheme="minorHAnsi" w:hAnsiTheme="minorHAnsi" w:cstheme="minorBidi"/>
        </w:rPr>
        <w:t xml:space="preserve"> </w:t>
      </w:r>
      <w:r w:rsidR="005738F6">
        <w:rPr>
          <w:rFonts w:asciiTheme="minorHAnsi" w:hAnsiTheme="minorHAnsi" w:cstheme="minorBidi"/>
        </w:rPr>
        <w:t>(Table 2 &amp; Figure 5).</w:t>
      </w:r>
    </w:p>
    <w:p w14:paraId="4A194F18" w14:textId="77777777" w:rsidR="00F75B05" w:rsidRDefault="00F75B05" w:rsidP="002D7D3A">
      <w:pPr>
        <w:spacing w:line="480" w:lineRule="auto"/>
        <w:jc w:val="both"/>
        <w:rPr>
          <w:rFonts w:asciiTheme="minorHAnsi" w:hAnsiTheme="minorHAnsi" w:cstheme="minorHAnsi"/>
        </w:rPr>
      </w:pPr>
    </w:p>
    <w:p w14:paraId="4E0AA96D" w14:textId="1FF25C49" w:rsidR="005738F6" w:rsidRDefault="006356A3" w:rsidP="005738F6">
      <w:pPr>
        <w:spacing w:line="480" w:lineRule="auto"/>
        <w:jc w:val="both"/>
        <w:rPr>
          <w:rFonts w:asciiTheme="minorHAnsi" w:hAnsiTheme="minorHAnsi" w:cstheme="minorBidi"/>
        </w:rPr>
      </w:pPr>
      <w:r>
        <w:rPr>
          <w:rFonts w:asciiTheme="minorHAnsi" w:hAnsiTheme="minorHAnsi" w:cstheme="minorHAnsi"/>
          <w:i/>
          <w:iCs/>
        </w:rPr>
        <w:t xml:space="preserve">Impact of </w:t>
      </w:r>
      <w:r w:rsidR="00F75B05">
        <w:rPr>
          <w:rFonts w:asciiTheme="minorHAnsi" w:hAnsiTheme="minorHAnsi" w:cstheme="minorHAnsi"/>
          <w:i/>
          <w:iCs/>
        </w:rPr>
        <w:t xml:space="preserve">adipose tissue volumes </w:t>
      </w:r>
      <w:r w:rsidR="00261485">
        <w:rPr>
          <w:rFonts w:asciiTheme="minorHAnsi" w:hAnsiTheme="minorHAnsi" w:cstheme="minorHAnsi"/>
          <w:i/>
          <w:iCs/>
        </w:rPr>
        <w:t>(</w:t>
      </w:r>
      <w:r w:rsidR="00F75B05">
        <w:rPr>
          <w:rFonts w:asciiTheme="minorHAnsi" w:hAnsiTheme="minorHAnsi" w:cstheme="minorHAnsi"/>
          <w:i/>
          <w:iCs/>
        </w:rPr>
        <w:t>VAT and SAT</w:t>
      </w:r>
      <w:r w:rsidR="00261485">
        <w:rPr>
          <w:rFonts w:asciiTheme="minorHAnsi" w:hAnsiTheme="minorHAnsi" w:cstheme="minorHAnsi"/>
          <w:i/>
          <w:iCs/>
        </w:rPr>
        <w:t>):</w:t>
      </w:r>
      <w:r w:rsidR="00F75B05">
        <w:rPr>
          <w:rFonts w:asciiTheme="minorHAnsi" w:hAnsiTheme="minorHAnsi" w:cstheme="minorHAnsi"/>
          <w:i/>
          <w:iCs/>
        </w:rPr>
        <w:t xml:space="preserve"> </w:t>
      </w:r>
      <w:r w:rsidR="00CC2D68">
        <w:rPr>
          <w:rFonts w:asciiTheme="minorHAnsi" w:hAnsiTheme="minorHAnsi" w:cstheme="minorHAnsi"/>
        </w:rPr>
        <w:t xml:space="preserve">We observed a </w:t>
      </w:r>
      <w:r w:rsidR="00DD076F">
        <w:rPr>
          <w:rFonts w:asciiTheme="minorHAnsi" w:hAnsiTheme="minorHAnsi" w:cstheme="minorHAnsi"/>
        </w:rPr>
        <w:t>20</w:t>
      </w:r>
      <w:r w:rsidR="00CC2D68">
        <w:rPr>
          <w:rFonts w:asciiTheme="minorHAnsi" w:hAnsiTheme="minorHAnsi" w:cstheme="minorHAnsi"/>
        </w:rPr>
        <w:t xml:space="preserve">% and </w:t>
      </w:r>
      <w:r w:rsidR="00DD076F">
        <w:rPr>
          <w:rFonts w:asciiTheme="minorHAnsi" w:hAnsiTheme="minorHAnsi" w:cstheme="minorHAnsi"/>
        </w:rPr>
        <w:t>7</w:t>
      </w:r>
      <w:r w:rsidR="00032B63">
        <w:rPr>
          <w:rFonts w:asciiTheme="minorHAnsi" w:hAnsiTheme="minorHAnsi" w:cstheme="minorHAnsi"/>
        </w:rPr>
        <w:t>%</w:t>
      </w:r>
      <w:r w:rsidR="00CC2D68">
        <w:rPr>
          <w:rFonts w:asciiTheme="minorHAnsi" w:hAnsiTheme="minorHAnsi" w:cstheme="minorHAnsi"/>
        </w:rPr>
        <w:t xml:space="preserve"> increase in the probability of NASH when specifying elevated </w:t>
      </w:r>
      <w:r w:rsidR="006A0FD8">
        <w:rPr>
          <w:rFonts w:asciiTheme="minorHAnsi" w:hAnsiTheme="minorHAnsi" w:cstheme="minorHAnsi"/>
        </w:rPr>
        <w:t>vs</w:t>
      </w:r>
      <w:r w:rsidR="00403AD4">
        <w:rPr>
          <w:rFonts w:asciiTheme="minorHAnsi" w:hAnsiTheme="minorHAnsi" w:cstheme="minorHAnsi"/>
        </w:rPr>
        <w:t>.</w:t>
      </w:r>
      <w:r w:rsidR="006A0FD8">
        <w:rPr>
          <w:rFonts w:asciiTheme="minorHAnsi" w:hAnsiTheme="minorHAnsi" w:cstheme="minorHAnsi"/>
        </w:rPr>
        <w:t xml:space="preserve"> normal measures of </w:t>
      </w:r>
      <w:r w:rsidR="00CC2D68">
        <w:rPr>
          <w:rFonts w:asciiTheme="minorHAnsi" w:hAnsiTheme="minorHAnsi" w:cstheme="minorHAnsi"/>
        </w:rPr>
        <w:t>VAT and SAT</w:t>
      </w:r>
      <w:r w:rsidR="002E040B">
        <w:rPr>
          <w:rFonts w:asciiTheme="minorHAnsi" w:hAnsiTheme="minorHAnsi" w:cstheme="minorHAnsi"/>
        </w:rPr>
        <w:t>,</w:t>
      </w:r>
      <w:r w:rsidR="00CC2D68">
        <w:rPr>
          <w:rFonts w:asciiTheme="minorHAnsi" w:hAnsiTheme="minorHAnsi" w:cstheme="minorHAnsi"/>
        </w:rPr>
        <w:t xml:space="preserve"> respectively</w:t>
      </w:r>
      <w:r w:rsidR="00615E9F">
        <w:rPr>
          <w:rFonts w:asciiTheme="minorHAnsi" w:hAnsiTheme="minorHAnsi" w:cstheme="minorHAnsi"/>
        </w:rPr>
        <w:t>.</w:t>
      </w:r>
      <w:r w:rsidR="001E3900">
        <w:rPr>
          <w:rFonts w:asciiTheme="minorHAnsi" w:hAnsiTheme="minorHAnsi" w:cstheme="minorHAnsi"/>
        </w:rPr>
        <w:t xml:space="preserve"> </w:t>
      </w:r>
      <w:r w:rsidR="005738F6">
        <w:rPr>
          <w:rFonts w:asciiTheme="minorHAnsi" w:hAnsiTheme="minorHAnsi" w:cstheme="minorBidi"/>
        </w:rPr>
        <w:t>(Table 2 &amp; Figure 5).</w:t>
      </w:r>
    </w:p>
    <w:p w14:paraId="5307D54D" w14:textId="77777777" w:rsidR="004405A2" w:rsidRDefault="004405A2" w:rsidP="002D7D3A">
      <w:pPr>
        <w:spacing w:line="480" w:lineRule="auto"/>
        <w:jc w:val="both"/>
        <w:rPr>
          <w:rFonts w:asciiTheme="minorHAnsi" w:hAnsiTheme="minorHAnsi" w:cstheme="minorHAnsi"/>
        </w:rPr>
      </w:pPr>
    </w:p>
    <w:p w14:paraId="395EB039" w14:textId="7219DA32" w:rsidR="006356A3" w:rsidRPr="00F75B05" w:rsidRDefault="00F75B05" w:rsidP="002D7D3A">
      <w:pPr>
        <w:spacing w:line="480" w:lineRule="auto"/>
        <w:jc w:val="both"/>
        <w:rPr>
          <w:rFonts w:asciiTheme="minorHAnsi" w:hAnsiTheme="minorHAnsi" w:cstheme="minorBidi"/>
        </w:rPr>
      </w:pPr>
      <w:r w:rsidRPr="004405A2">
        <w:rPr>
          <w:rFonts w:asciiTheme="minorHAnsi" w:hAnsiTheme="minorHAnsi" w:cstheme="minorHAnsi"/>
          <w:i/>
          <w:iCs/>
        </w:rPr>
        <w:t xml:space="preserve">Impact of skeletal muscle </w:t>
      </w:r>
      <w:r w:rsidR="00261485">
        <w:rPr>
          <w:rFonts w:asciiTheme="minorHAnsi" w:hAnsiTheme="minorHAnsi" w:cstheme="minorHAnsi"/>
          <w:i/>
          <w:iCs/>
        </w:rPr>
        <w:t>area:</w:t>
      </w:r>
      <w:r>
        <w:rPr>
          <w:rFonts w:asciiTheme="minorHAnsi" w:hAnsiTheme="minorHAnsi" w:cstheme="minorHAnsi"/>
          <w:i/>
          <w:iCs/>
        </w:rPr>
        <w:t xml:space="preserve"> </w:t>
      </w:r>
      <w:r w:rsidR="002E040B">
        <w:rPr>
          <w:rFonts w:asciiTheme="minorHAnsi" w:hAnsiTheme="minorHAnsi" w:cstheme="minorHAnsi"/>
        </w:rPr>
        <w:t>R</w:t>
      </w:r>
      <w:r w:rsidR="00967281">
        <w:rPr>
          <w:rFonts w:asciiTheme="minorHAnsi" w:hAnsiTheme="minorHAnsi" w:cstheme="minorHAnsi"/>
        </w:rPr>
        <w:t xml:space="preserve">educed SMI </w:t>
      </w:r>
      <w:r w:rsidR="00DD076F">
        <w:rPr>
          <w:rFonts w:asciiTheme="minorHAnsi" w:hAnsiTheme="minorHAnsi" w:cstheme="minorHAnsi"/>
        </w:rPr>
        <w:t>decreased</w:t>
      </w:r>
      <w:r w:rsidR="00967281">
        <w:rPr>
          <w:rFonts w:asciiTheme="minorHAnsi" w:hAnsiTheme="minorHAnsi" w:cstheme="minorHAnsi"/>
        </w:rPr>
        <w:t xml:space="preserve"> the probability of NASH by </w:t>
      </w:r>
      <w:r w:rsidR="00DD076F">
        <w:rPr>
          <w:rFonts w:asciiTheme="minorHAnsi" w:hAnsiTheme="minorHAnsi" w:cstheme="minorHAnsi"/>
        </w:rPr>
        <w:t>4</w:t>
      </w:r>
      <w:r w:rsidR="00967281">
        <w:rPr>
          <w:rFonts w:asciiTheme="minorHAnsi" w:hAnsiTheme="minorHAnsi" w:cstheme="minorHAnsi"/>
        </w:rPr>
        <w:t>% (</w:t>
      </w:r>
      <w:r w:rsidR="00DD076F">
        <w:rPr>
          <w:rFonts w:asciiTheme="minorHAnsi" w:hAnsiTheme="minorHAnsi" w:cstheme="minorHAnsi"/>
        </w:rPr>
        <w:t>30</w:t>
      </w:r>
      <w:r w:rsidR="00967281">
        <w:rPr>
          <w:rFonts w:asciiTheme="minorHAnsi" w:hAnsiTheme="minorHAnsi" w:cstheme="minorHAnsi"/>
        </w:rPr>
        <w:t xml:space="preserve">% vs </w:t>
      </w:r>
      <w:r w:rsidR="00DD076F">
        <w:rPr>
          <w:rFonts w:asciiTheme="minorHAnsi" w:hAnsiTheme="minorHAnsi" w:cstheme="minorHAnsi"/>
        </w:rPr>
        <w:t>26</w:t>
      </w:r>
      <w:r w:rsidR="00967281">
        <w:rPr>
          <w:rFonts w:asciiTheme="minorHAnsi" w:hAnsiTheme="minorHAnsi" w:cstheme="minorHAnsi"/>
        </w:rPr>
        <w:t xml:space="preserve">%). </w:t>
      </w:r>
      <w:r w:rsidR="005738F6">
        <w:rPr>
          <w:rFonts w:asciiTheme="minorHAnsi" w:hAnsiTheme="minorHAnsi" w:cstheme="minorBidi"/>
        </w:rPr>
        <w:t>(Table 2 &amp; Figure 5).</w:t>
      </w:r>
    </w:p>
    <w:p w14:paraId="51088CEE" w14:textId="77777777" w:rsidR="006C2596" w:rsidRPr="00D4435A" w:rsidRDefault="006C2596" w:rsidP="002D7D3A">
      <w:pPr>
        <w:spacing w:line="480" w:lineRule="auto"/>
        <w:jc w:val="both"/>
        <w:rPr>
          <w:rFonts w:asciiTheme="minorHAnsi" w:hAnsiTheme="minorHAnsi" w:cstheme="minorHAnsi"/>
          <w:sz w:val="10"/>
          <w:szCs w:val="10"/>
        </w:rPr>
      </w:pPr>
    </w:p>
    <w:p w14:paraId="0F8E2AF5" w14:textId="70096BB3" w:rsidR="005738F6" w:rsidRDefault="006C2596" w:rsidP="002D7D3A">
      <w:pPr>
        <w:spacing w:line="480" w:lineRule="auto"/>
        <w:jc w:val="both"/>
        <w:rPr>
          <w:rFonts w:asciiTheme="minorHAnsi" w:hAnsiTheme="minorHAnsi" w:cstheme="minorHAnsi"/>
        </w:rPr>
      </w:pPr>
      <w:r w:rsidRPr="00D4435A">
        <w:rPr>
          <w:rFonts w:asciiTheme="minorHAnsi" w:hAnsiTheme="minorHAnsi" w:cstheme="minorHAnsi"/>
          <w:i/>
          <w:iCs/>
        </w:rPr>
        <w:t xml:space="preserve">Impact of liver </w:t>
      </w:r>
      <w:r w:rsidR="00A56375">
        <w:rPr>
          <w:rFonts w:asciiTheme="minorHAnsi" w:hAnsiTheme="minorHAnsi" w:cstheme="minorHAnsi"/>
          <w:i/>
          <w:iCs/>
        </w:rPr>
        <w:t xml:space="preserve">and pancreatic </w:t>
      </w:r>
      <w:r w:rsidRPr="00D4435A">
        <w:rPr>
          <w:rFonts w:asciiTheme="minorHAnsi" w:hAnsiTheme="minorHAnsi" w:cstheme="minorHAnsi"/>
          <w:i/>
          <w:iCs/>
        </w:rPr>
        <w:t>fat</w:t>
      </w:r>
      <w:r w:rsidR="00261485">
        <w:rPr>
          <w:rFonts w:asciiTheme="minorHAnsi" w:hAnsiTheme="minorHAnsi" w:cstheme="minorHAnsi"/>
          <w:i/>
          <w:iCs/>
        </w:rPr>
        <w:t>:</w:t>
      </w:r>
      <w:r>
        <w:rPr>
          <w:rFonts w:asciiTheme="minorHAnsi" w:hAnsiTheme="minorHAnsi" w:cstheme="minorHAnsi"/>
        </w:rPr>
        <w:t xml:space="preserve"> </w:t>
      </w:r>
      <w:r w:rsidR="00792AB8">
        <w:rPr>
          <w:rFonts w:asciiTheme="minorHAnsi" w:hAnsiTheme="minorHAnsi" w:cstheme="minorHAnsi"/>
        </w:rPr>
        <w:t>I</w:t>
      </w:r>
      <w:r w:rsidR="00620417">
        <w:rPr>
          <w:rFonts w:asciiTheme="minorHAnsi" w:hAnsiTheme="minorHAnsi" w:cstheme="minorHAnsi"/>
        </w:rPr>
        <w:t>ncreasing liver fat from 5.6-10%</w:t>
      </w:r>
      <w:r w:rsidR="00BA0E67">
        <w:rPr>
          <w:rFonts w:asciiTheme="minorHAnsi" w:hAnsiTheme="minorHAnsi" w:cstheme="minorHAnsi"/>
        </w:rPr>
        <w:t xml:space="preserve"> t</w:t>
      </w:r>
      <w:r w:rsidR="00620417">
        <w:rPr>
          <w:rFonts w:asciiTheme="minorHAnsi" w:hAnsiTheme="minorHAnsi" w:cstheme="minorHAnsi"/>
        </w:rPr>
        <w:t xml:space="preserve">o </w:t>
      </w:r>
      <w:r w:rsidR="00BA0E67">
        <w:rPr>
          <w:rFonts w:asciiTheme="minorHAnsi" w:hAnsiTheme="minorHAnsi" w:cstheme="minorHAnsi"/>
        </w:rPr>
        <w:t xml:space="preserve">greater than </w:t>
      </w:r>
      <w:r w:rsidR="00D0296E">
        <w:rPr>
          <w:rFonts w:asciiTheme="minorHAnsi" w:hAnsiTheme="minorHAnsi" w:cstheme="minorHAnsi"/>
        </w:rPr>
        <w:t>10</w:t>
      </w:r>
      <w:r w:rsidR="00620417">
        <w:rPr>
          <w:rFonts w:asciiTheme="minorHAnsi" w:hAnsiTheme="minorHAnsi" w:cstheme="minorHAnsi"/>
        </w:rPr>
        <w:t>%</w:t>
      </w:r>
      <w:r w:rsidR="00BA0E67">
        <w:rPr>
          <w:rFonts w:asciiTheme="minorHAnsi" w:hAnsiTheme="minorHAnsi" w:cstheme="minorHAnsi"/>
        </w:rPr>
        <w:t xml:space="preserve"> </w:t>
      </w:r>
      <w:r w:rsidR="00620417">
        <w:rPr>
          <w:rFonts w:asciiTheme="minorHAnsi" w:hAnsiTheme="minorHAnsi" w:cstheme="minorHAnsi"/>
        </w:rPr>
        <w:t>increase</w:t>
      </w:r>
      <w:r w:rsidR="005C205D">
        <w:rPr>
          <w:rFonts w:asciiTheme="minorHAnsi" w:hAnsiTheme="minorHAnsi" w:cstheme="minorHAnsi"/>
        </w:rPr>
        <w:t xml:space="preserve">d the probability of NASH by </w:t>
      </w:r>
      <w:r w:rsidR="00DD076F">
        <w:rPr>
          <w:rFonts w:asciiTheme="minorHAnsi" w:hAnsiTheme="minorHAnsi" w:cstheme="minorHAnsi"/>
        </w:rPr>
        <w:t>31</w:t>
      </w:r>
      <w:r w:rsidR="002E1884">
        <w:rPr>
          <w:rFonts w:asciiTheme="minorHAnsi" w:hAnsiTheme="minorHAnsi" w:cstheme="minorHAnsi"/>
        </w:rPr>
        <w:t>% (</w:t>
      </w:r>
      <w:r w:rsidR="00DD076F">
        <w:rPr>
          <w:rFonts w:asciiTheme="minorHAnsi" w:hAnsiTheme="minorHAnsi" w:cstheme="minorHAnsi"/>
        </w:rPr>
        <w:t>25</w:t>
      </w:r>
      <w:r w:rsidR="00F965CD">
        <w:rPr>
          <w:rFonts w:asciiTheme="minorHAnsi" w:hAnsiTheme="minorHAnsi" w:cstheme="minorHAnsi"/>
        </w:rPr>
        <w:t>%</w:t>
      </w:r>
      <w:r w:rsidR="002E1884">
        <w:rPr>
          <w:rFonts w:asciiTheme="minorHAnsi" w:hAnsiTheme="minorHAnsi" w:cstheme="minorHAnsi"/>
        </w:rPr>
        <w:t xml:space="preserve"> vs </w:t>
      </w:r>
      <w:r w:rsidR="00DD076F">
        <w:rPr>
          <w:rFonts w:asciiTheme="minorHAnsi" w:hAnsiTheme="minorHAnsi" w:cstheme="minorHAnsi"/>
        </w:rPr>
        <w:t>56</w:t>
      </w:r>
      <w:r w:rsidR="002E1884">
        <w:rPr>
          <w:rFonts w:asciiTheme="minorHAnsi" w:hAnsiTheme="minorHAnsi" w:cstheme="minorHAnsi"/>
        </w:rPr>
        <w:t xml:space="preserve">%). </w:t>
      </w:r>
      <w:r w:rsidR="00A56375">
        <w:rPr>
          <w:rFonts w:asciiTheme="minorHAnsi" w:hAnsiTheme="minorHAnsi" w:cstheme="minorHAnsi"/>
        </w:rPr>
        <w:t>Elevated pancreatic fat increased the probability of NASH by 1% (</w:t>
      </w:r>
      <w:r w:rsidR="00C67121">
        <w:rPr>
          <w:rFonts w:asciiTheme="minorHAnsi" w:hAnsiTheme="minorHAnsi" w:cstheme="minorHAnsi"/>
        </w:rPr>
        <w:t xml:space="preserve">29% vs 30%). </w:t>
      </w:r>
      <w:r w:rsidR="005738F6">
        <w:rPr>
          <w:rFonts w:asciiTheme="minorHAnsi" w:hAnsiTheme="minorHAnsi" w:cstheme="minorBidi"/>
        </w:rPr>
        <w:t>(Table 2 &amp; Figure 5).</w:t>
      </w:r>
    </w:p>
    <w:p w14:paraId="4924B03C" w14:textId="2B0DD2C8" w:rsidR="0071796D" w:rsidRDefault="0071796D" w:rsidP="002D7D3A">
      <w:pPr>
        <w:spacing w:line="480" w:lineRule="auto"/>
        <w:jc w:val="both"/>
        <w:rPr>
          <w:rFonts w:asciiTheme="minorHAnsi" w:hAnsiTheme="minorHAnsi" w:cstheme="minorHAnsi"/>
        </w:rPr>
      </w:pPr>
    </w:p>
    <w:p w14:paraId="688D7BCE" w14:textId="29FA6BE0" w:rsidR="003642C8" w:rsidRDefault="006C2596" w:rsidP="077C0FE1">
      <w:pPr>
        <w:spacing w:line="480" w:lineRule="auto"/>
        <w:jc w:val="both"/>
        <w:rPr>
          <w:rFonts w:asciiTheme="minorHAnsi" w:hAnsiTheme="minorHAnsi" w:cstheme="minorBidi"/>
        </w:rPr>
      </w:pPr>
      <w:r w:rsidRPr="077C0FE1">
        <w:rPr>
          <w:rFonts w:asciiTheme="minorHAnsi" w:hAnsiTheme="minorHAnsi" w:cstheme="minorBidi"/>
          <w:i/>
          <w:iCs/>
        </w:rPr>
        <w:t>Combination of risk factors</w:t>
      </w:r>
      <w:r w:rsidR="006E736F">
        <w:rPr>
          <w:rFonts w:asciiTheme="minorHAnsi" w:hAnsiTheme="minorHAnsi" w:cstheme="minorBidi"/>
          <w:i/>
          <w:iCs/>
        </w:rPr>
        <w:t>:</w:t>
      </w:r>
      <w:r w:rsidRPr="077C0FE1">
        <w:rPr>
          <w:rFonts w:asciiTheme="minorHAnsi" w:hAnsiTheme="minorHAnsi" w:cstheme="minorBidi"/>
        </w:rPr>
        <w:t xml:space="preserve"> </w:t>
      </w:r>
      <w:r w:rsidR="002A4ADB">
        <w:rPr>
          <w:rFonts w:asciiTheme="minorHAnsi" w:hAnsiTheme="minorHAnsi" w:cstheme="minorBidi"/>
        </w:rPr>
        <w:t>BNs enable a user (</w:t>
      </w:r>
      <w:r w:rsidR="008C622B">
        <w:rPr>
          <w:rFonts w:asciiTheme="minorHAnsi" w:hAnsiTheme="minorHAnsi" w:cstheme="minorBidi"/>
        </w:rPr>
        <w:t>e.g.,</w:t>
      </w:r>
      <w:r w:rsidR="002A4ADB">
        <w:rPr>
          <w:rFonts w:asciiTheme="minorHAnsi" w:hAnsiTheme="minorHAnsi" w:cstheme="minorBidi"/>
        </w:rPr>
        <w:t xml:space="preserve"> clinician) to specify an individual phenotype</w:t>
      </w:r>
      <w:r w:rsidR="008C622B">
        <w:rPr>
          <w:rFonts w:asciiTheme="minorHAnsi" w:hAnsiTheme="minorHAnsi" w:cstheme="minorBidi"/>
        </w:rPr>
        <w:t>,</w:t>
      </w:r>
      <w:r w:rsidR="00C30769">
        <w:rPr>
          <w:rFonts w:asciiTheme="minorHAnsi" w:hAnsiTheme="minorHAnsi" w:cstheme="minorBidi"/>
        </w:rPr>
        <w:t xml:space="preserve"> enabling personalised </w:t>
      </w:r>
      <w:r w:rsidR="001B3B35">
        <w:rPr>
          <w:rFonts w:asciiTheme="minorHAnsi" w:hAnsiTheme="minorHAnsi" w:cstheme="minorBidi"/>
        </w:rPr>
        <w:t>‘</w:t>
      </w:r>
      <w:r w:rsidR="00C30769">
        <w:rPr>
          <w:rFonts w:asciiTheme="minorHAnsi" w:hAnsiTheme="minorHAnsi" w:cstheme="minorBidi"/>
        </w:rPr>
        <w:t>what i</w:t>
      </w:r>
      <w:r w:rsidR="001B3B35">
        <w:rPr>
          <w:rFonts w:asciiTheme="minorHAnsi" w:hAnsiTheme="minorHAnsi" w:cstheme="minorBidi"/>
        </w:rPr>
        <w:t>f’</w:t>
      </w:r>
      <w:r w:rsidR="00710E6F">
        <w:rPr>
          <w:rFonts w:asciiTheme="minorHAnsi" w:hAnsiTheme="minorHAnsi" w:cstheme="minorBidi"/>
        </w:rPr>
        <w:t xml:space="preserve"> analysis. For example, a high-</w:t>
      </w:r>
      <w:r w:rsidR="00675BEA">
        <w:rPr>
          <w:rFonts w:asciiTheme="minorHAnsi" w:hAnsiTheme="minorHAnsi" w:cstheme="minorBidi"/>
        </w:rPr>
        <w:t>risk phenotype</w:t>
      </w:r>
      <w:r w:rsidR="00385FBB" w:rsidRPr="077C0FE1">
        <w:rPr>
          <w:rFonts w:asciiTheme="minorHAnsi" w:hAnsiTheme="minorHAnsi" w:cstheme="minorBidi"/>
        </w:rPr>
        <w:t xml:space="preserve"> </w:t>
      </w:r>
      <w:r w:rsidR="00115C87" w:rsidRPr="077C0FE1">
        <w:rPr>
          <w:rFonts w:asciiTheme="minorHAnsi" w:hAnsiTheme="minorHAnsi" w:cstheme="minorBidi"/>
        </w:rPr>
        <w:t xml:space="preserve">with </w:t>
      </w:r>
      <w:r w:rsidRPr="077C0FE1">
        <w:rPr>
          <w:rFonts w:asciiTheme="minorHAnsi" w:hAnsiTheme="minorHAnsi" w:cstheme="minorBidi"/>
        </w:rPr>
        <w:t xml:space="preserve">obesity, </w:t>
      </w:r>
      <w:r w:rsidR="00115C87" w:rsidRPr="077C0FE1">
        <w:rPr>
          <w:rFonts w:asciiTheme="minorHAnsi" w:hAnsiTheme="minorHAnsi" w:cstheme="minorBidi"/>
        </w:rPr>
        <w:t xml:space="preserve">elevated </w:t>
      </w:r>
      <w:r w:rsidR="00270855" w:rsidRPr="077C0FE1">
        <w:rPr>
          <w:rFonts w:asciiTheme="minorHAnsi" w:hAnsiTheme="minorHAnsi" w:cstheme="minorBidi"/>
        </w:rPr>
        <w:t>VAT,</w:t>
      </w:r>
      <w:r w:rsidRPr="077C0FE1">
        <w:rPr>
          <w:rFonts w:asciiTheme="minorHAnsi" w:hAnsiTheme="minorHAnsi" w:cstheme="minorBidi"/>
        </w:rPr>
        <w:t xml:space="preserve"> </w:t>
      </w:r>
      <w:r w:rsidR="00270855" w:rsidRPr="077C0FE1">
        <w:rPr>
          <w:rFonts w:asciiTheme="minorHAnsi" w:hAnsiTheme="minorHAnsi" w:cstheme="minorBidi"/>
        </w:rPr>
        <w:t xml:space="preserve">elevated </w:t>
      </w:r>
      <w:r w:rsidR="001F43A0" w:rsidRPr="077C0FE1">
        <w:rPr>
          <w:rFonts w:asciiTheme="minorHAnsi" w:hAnsiTheme="minorHAnsi" w:cstheme="minorBidi"/>
        </w:rPr>
        <w:t xml:space="preserve">liver fat (&gt;10%) and </w:t>
      </w:r>
      <w:r w:rsidR="005151EB" w:rsidRPr="077C0FE1">
        <w:rPr>
          <w:rFonts w:asciiTheme="minorHAnsi" w:hAnsiTheme="minorHAnsi" w:cstheme="minorBidi"/>
        </w:rPr>
        <w:t xml:space="preserve">‘high’ </w:t>
      </w:r>
      <w:r w:rsidR="001F43A0" w:rsidRPr="077C0FE1">
        <w:rPr>
          <w:rFonts w:asciiTheme="minorHAnsi" w:hAnsiTheme="minorHAnsi" w:cstheme="minorBidi"/>
        </w:rPr>
        <w:t>HbA1</w:t>
      </w:r>
      <w:r w:rsidR="00686BF6" w:rsidRPr="077C0FE1">
        <w:rPr>
          <w:rFonts w:asciiTheme="minorHAnsi" w:hAnsiTheme="minorHAnsi" w:cstheme="minorBidi"/>
        </w:rPr>
        <w:t>c</w:t>
      </w:r>
      <w:r w:rsidR="001B3B35">
        <w:rPr>
          <w:rFonts w:asciiTheme="minorHAnsi" w:hAnsiTheme="minorHAnsi" w:cstheme="minorBidi"/>
        </w:rPr>
        <w:t xml:space="preserve"> had </w:t>
      </w:r>
      <w:r w:rsidR="0086250F" w:rsidRPr="077C0FE1">
        <w:rPr>
          <w:rFonts w:asciiTheme="minorHAnsi" w:hAnsiTheme="minorHAnsi" w:cstheme="minorBidi"/>
        </w:rPr>
        <w:t>a</w:t>
      </w:r>
      <w:r w:rsidR="005A057F" w:rsidRPr="077C0FE1">
        <w:rPr>
          <w:rFonts w:asciiTheme="minorHAnsi" w:hAnsiTheme="minorHAnsi" w:cstheme="minorBidi"/>
        </w:rPr>
        <w:t>n</w:t>
      </w:r>
      <w:r w:rsidR="0086250F" w:rsidRPr="077C0FE1">
        <w:rPr>
          <w:rFonts w:asciiTheme="minorHAnsi" w:hAnsiTheme="minorHAnsi" w:cstheme="minorBidi"/>
        </w:rPr>
        <w:t xml:space="preserve"> </w:t>
      </w:r>
      <w:r w:rsidR="00DD076F">
        <w:rPr>
          <w:rFonts w:asciiTheme="minorHAnsi" w:hAnsiTheme="minorHAnsi" w:cstheme="minorBidi"/>
        </w:rPr>
        <w:t>86</w:t>
      </w:r>
      <w:r w:rsidR="0089560F" w:rsidRPr="077C0FE1">
        <w:rPr>
          <w:rFonts w:asciiTheme="minorHAnsi" w:hAnsiTheme="minorHAnsi" w:cstheme="minorBidi"/>
        </w:rPr>
        <w:t xml:space="preserve">% </w:t>
      </w:r>
      <w:r w:rsidR="0086250F" w:rsidRPr="077C0FE1">
        <w:rPr>
          <w:rFonts w:asciiTheme="minorHAnsi" w:hAnsiTheme="minorHAnsi" w:cstheme="minorBidi"/>
        </w:rPr>
        <w:t xml:space="preserve">probability of NASH.  </w:t>
      </w:r>
      <w:r w:rsidR="00FF7BCE">
        <w:rPr>
          <w:rFonts w:asciiTheme="minorHAnsi" w:hAnsiTheme="minorHAnsi" w:cstheme="minorBidi"/>
        </w:rPr>
        <w:t>In this phenotype, r</w:t>
      </w:r>
      <w:r w:rsidR="001F43A0" w:rsidRPr="077C0FE1">
        <w:rPr>
          <w:rFonts w:asciiTheme="minorHAnsi" w:hAnsiTheme="minorHAnsi" w:cstheme="minorBidi"/>
        </w:rPr>
        <w:t>educing</w:t>
      </w:r>
      <w:r w:rsidR="00213085" w:rsidRPr="077C0FE1">
        <w:rPr>
          <w:rFonts w:asciiTheme="minorHAnsi" w:hAnsiTheme="minorHAnsi" w:cstheme="minorBidi"/>
        </w:rPr>
        <w:t xml:space="preserve"> </w:t>
      </w:r>
      <w:r w:rsidR="00B42F2F" w:rsidRPr="077C0FE1">
        <w:rPr>
          <w:rFonts w:asciiTheme="minorHAnsi" w:hAnsiTheme="minorHAnsi" w:cstheme="minorBidi"/>
        </w:rPr>
        <w:t>HbA1c to</w:t>
      </w:r>
      <w:r w:rsidR="005151EB" w:rsidRPr="077C0FE1">
        <w:rPr>
          <w:rFonts w:asciiTheme="minorHAnsi" w:hAnsiTheme="minorHAnsi" w:cstheme="minorBidi"/>
        </w:rPr>
        <w:t xml:space="preserve"> the</w:t>
      </w:r>
      <w:r w:rsidR="00464120" w:rsidRPr="077C0FE1">
        <w:rPr>
          <w:rFonts w:asciiTheme="minorHAnsi" w:hAnsiTheme="minorHAnsi" w:cstheme="minorBidi"/>
        </w:rPr>
        <w:t xml:space="preserve"> </w:t>
      </w:r>
      <w:r w:rsidR="005151EB" w:rsidRPr="077C0FE1">
        <w:rPr>
          <w:rFonts w:asciiTheme="minorHAnsi" w:hAnsiTheme="minorHAnsi" w:cstheme="minorBidi"/>
        </w:rPr>
        <w:t>‘low’</w:t>
      </w:r>
      <w:r w:rsidR="00D83492" w:rsidRPr="077C0FE1">
        <w:rPr>
          <w:rFonts w:asciiTheme="minorHAnsi" w:hAnsiTheme="minorHAnsi" w:cstheme="minorBidi"/>
        </w:rPr>
        <w:t xml:space="preserve"> value</w:t>
      </w:r>
      <w:r w:rsidR="0089560F" w:rsidRPr="077C0FE1">
        <w:rPr>
          <w:rFonts w:asciiTheme="minorHAnsi" w:hAnsiTheme="minorHAnsi" w:cstheme="minorBidi"/>
        </w:rPr>
        <w:t xml:space="preserve"> </w:t>
      </w:r>
      <w:r w:rsidR="00464120" w:rsidRPr="077C0FE1">
        <w:rPr>
          <w:rFonts w:asciiTheme="minorHAnsi" w:hAnsiTheme="minorHAnsi" w:cstheme="minorBidi"/>
        </w:rPr>
        <w:t xml:space="preserve">reduced the probability of NASH by </w:t>
      </w:r>
      <w:r w:rsidR="00DD076F">
        <w:rPr>
          <w:rFonts w:asciiTheme="minorHAnsi" w:hAnsiTheme="minorHAnsi" w:cstheme="minorBidi"/>
        </w:rPr>
        <w:t>29</w:t>
      </w:r>
      <w:r w:rsidR="005F50A8" w:rsidRPr="077C0FE1">
        <w:rPr>
          <w:rFonts w:asciiTheme="minorHAnsi" w:hAnsiTheme="minorHAnsi" w:cstheme="minorBidi"/>
        </w:rPr>
        <w:t>% (</w:t>
      </w:r>
      <w:r w:rsidR="00DD076F">
        <w:rPr>
          <w:rFonts w:asciiTheme="minorHAnsi" w:hAnsiTheme="minorHAnsi" w:cstheme="minorBidi"/>
        </w:rPr>
        <w:t>67</w:t>
      </w:r>
      <w:r w:rsidR="005F50A8" w:rsidRPr="077C0FE1">
        <w:rPr>
          <w:rFonts w:asciiTheme="minorHAnsi" w:hAnsiTheme="minorHAnsi" w:cstheme="minorBidi"/>
        </w:rPr>
        <w:t>%)</w:t>
      </w:r>
      <w:r w:rsidR="00D83492" w:rsidRPr="077C0FE1">
        <w:rPr>
          <w:rFonts w:asciiTheme="minorHAnsi" w:hAnsiTheme="minorHAnsi" w:cstheme="minorBidi"/>
        </w:rPr>
        <w:t>.</w:t>
      </w:r>
      <w:r w:rsidR="005738F6">
        <w:rPr>
          <w:rFonts w:asciiTheme="minorHAnsi" w:hAnsiTheme="minorHAnsi" w:cstheme="minorBidi"/>
        </w:rPr>
        <w:t xml:space="preserve"> </w:t>
      </w:r>
    </w:p>
    <w:p w14:paraId="68184815" w14:textId="77777777" w:rsidR="005126BA" w:rsidRDefault="005126BA" w:rsidP="002D7D3A">
      <w:pPr>
        <w:spacing w:line="480" w:lineRule="auto"/>
        <w:jc w:val="both"/>
        <w:rPr>
          <w:rFonts w:asciiTheme="minorHAnsi" w:hAnsiTheme="minorHAnsi" w:cstheme="minorHAnsi"/>
          <w:b/>
          <w:bCs/>
        </w:rPr>
      </w:pPr>
    </w:p>
    <w:p w14:paraId="08505628" w14:textId="767CF880" w:rsidR="00A06620" w:rsidRDefault="00271834" w:rsidP="002D7D3A">
      <w:pPr>
        <w:spacing w:line="480" w:lineRule="auto"/>
        <w:jc w:val="both"/>
        <w:rPr>
          <w:rFonts w:asciiTheme="minorHAnsi" w:hAnsiTheme="minorHAnsi" w:cstheme="minorHAnsi"/>
          <w:i/>
          <w:iCs/>
        </w:rPr>
      </w:pPr>
      <w:r>
        <w:rPr>
          <w:rFonts w:asciiTheme="minorHAnsi" w:hAnsiTheme="minorHAnsi" w:cstheme="minorHAnsi"/>
          <w:i/>
          <w:iCs/>
        </w:rPr>
        <w:t>C</w:t>
      </w:r>
      <w:r w:rsidR="00F82E76">
        <w:rPr>
          <w:rFonts w:asciiTheme="minorHAnsi" w:hAnsiTheme="minorHAnsi" w:cstheme="minorHAnsi"/>
          <w:i/>
          <w:iCs/>
        </w:rPr>
        <w:t xml:space="preserve">ohort </w:t>
      </w:r>
      <w:r>
        <w:rPr>
          <w:rFonts w:asciiTheme="minorHAnsi" w:hAnsiTheme="minorHAnsi" w:cstheme="minorHAnsi"/>
          <w:i/>
          <w:iCs/>
        </w:rPr>
        <w:t>without T2D</w:t>
      </w:r>
    </w:p>
    <w:p w14:paraId="284F63B1" w14:textId="04997B47" w:rsidR="00890C70" w:rsidRDefault="00A06B36" w:rsidP="002D7D3A">
      <w:pPr>
        <w:spacing w:line="480" w:lineRule="auto"/>
        <w:jc w:val="both"/>
        <w:rPr>
          <w:rFonts w:asciiTheme="minorHAnsi" w:hAnsiTheme="minorHAnsi" w:cstheme="minorHAnsi"/>
        </w:rPr>
      </w:pPr>
      <w:r>
        <w:rPr>
          <w:rFonts w:asciiTheme="minorHAnsi" w:hAnsiTheme="minorHAnsi" w:cstheme="minorHAnsi"/>
        </w:rPr>
        <w:t>W</w:t>
      </w:r>
      <w:r w:rsidR="005E515C">
        <w:rPr>
          <w:rFonts w:asciiTheme="minorHAnsi" w:hAnsiTheme="minorHAnsi" w:cstheme="minorHAnsi"/>
        </w:rPr>
        <w:t xml:space="preserve">e observed a </w:t>
      </w:r>
      <w:r w:rsidR="00DD076F">
        <w:rPr>
          <w:rFonts w:asciiTheme="minorHAnsi" w:hAnsiTheme="minorHAnsi" w:cstheme="minorHAnsi"/>
        </w:rPr>
        <w:t>16</w:t>
      </w:r>
      <w:r w:rsidR="005E515C">
        <w:rPr>
          <w:rFonts w:asciiTheme="minorHAnsi" w:hAnsiTheme="minorHAnsi" w:cstheme="minorHAnsi"/>
        </w:rPr>
        <w:t xml:space="preserve">%, </w:t>
      </w:r>
      <w:r w:rsidR="00DD076F">
        <w:rPr>
          <w:rFonts w:asciiTheme="minorHAnsi" w:hAnsiTheme="minorHAnsi" w:cstheme="minorHAnsi"/>
        </w:rPr>
        <w:t>6</w:t>
      </w:r>
      <w:r w:rsidR="001271E3">
        <w:rPr>
          <w:rFonts w:asciiTheme="minorHAnsi" w:hAnsiTheme="minorHAnsi" w:cstheme="minorHAnsi"/>
        </w:rPr>
        <w:t>%,</w:t>
      </w:r>
      <w:r w:rsidR="005E515C">
        <w:rPr>
          <w:rFonts w:asciiTheme="minorHAnsi" w:hAnsiTheme="minorHAnsi" w:cstheme="minorHAnsi"/>
        </w:rPr>
        <w:t xml:space="preserve"> </w:t>
      </w:r>
      <w:r w:rsidR="00DD076F">
        <w:rPr>
          <w:rFonts w:asciiTheme="minorHAnsi" w:hAnsiTheme="minorHAnsi" w:cstheme="minorHAnsi"/>
        </w:rPr>
        <w:t>11</w:t>
      </w:r>
      <w:r w:rsidR="005E515C">
        <w:rPr>
          <w:rFonts w:asciiTheme="minorHAnsi" w:hAnsiTheme="minorHAnsi" w:cstheme="minorHAnsi"/>
        </w:rPr>
        <w:t xml:space="preserve">% and </w:t>
      </w:r>
      <w:r w:rsidR="00DD076F">
        <w:rPr>
          <w:rFonts w:asciiTheme="minorHAnsi" w:hAnsiTheme="minorHAnsi" w:cstheme="minorHAnsi"/>
        </w:rPr>
        <w:t>30</w:t>
      </w:r>
      <w:r w:rsidR="005E515C">
        <w:rPr>
          <w:rFonts w:asciiTheme="minorHAnsi" w:hAnsiTheme="minorHAnsi" w:cstheme="minorHAnsi"/>
        </w:rPr>
        <w:t xml:space="preserve">% probability of NASH </w:t>
      </w:r>
      <w:r>
        <w:rPr>
          <w:rFonts w:asciiTheme="minorHAnsi" w:hAnsiTheme="minorHAnsi" w:cstheme="minorHAnsi"/>
        </w:rPr>
        <w:t xml:space="preserve">under normal weight, </w:t>
      </w:r>
      <w:r w:rsidR="006323D4">
        <w:rPr>
          <w:rFonts w:asciiTheme="minorHAnsi" w:hAnsiTheme="minorHAnsi" w:cstheme="minorHAnsi"/>
        </w:rPr>
        <w:t>overweight</w:t>
      </w:r>
      <w:r>
        <w:rPr>
          <w:rFonts w:asciiTheme="minorHAnsi" w:hAnsiTheme="minorHAnsi" w:cstheme="minorHAnsi"/>
        </w:rPr>
        <w:t xml:space="preserve">, </w:t>
      </w:r>
      <w:r w:rsidR="006323D4">
        <w:rPr>
          <w:rFonts w:asciiTheme="minorHAnsi" w:hAnsiTheme="minorHAnsi" w:cstheme="minorHAnsi"/>
        </w:rPr>
        <w:t xml:space="preserve">obese, and </w:t>
      </w:r>
      <w:r w:rsidR="00634904">
        <w:rPr>
          <w:rFonts w:asciiTheme="minorHAnsi" w:hAnsiTheme="minorHAnsi" w:cstheme="minorHAnsi"/>
        </w:rPr>
        <w:t>severe</w:t>
      </w:r>
      <w:r w:rsidR="006323D4">
        <w:rPr>
          <w:rFonts w:asciiTheme="minorHAnsi" w:hAnsiTheme="minorHAnsi" w:cstheme="minorHAnsi"/>
        </w:rPr>
        <w:t xml:space="preserve"> obesity settings.</w:t>
      </w:r>
      <w:r w:rsidR="00930955">
        <w:rPr>
          <w:rFonts w:asciiTheme="minorHAnsi" w:hAnsiTheme="minorHAnsi" w:cstheme="minorHAnsi"/>
        </w:rPr>
        <w:t xml:space="preserve"> </w:t>
      </w:r>
      <w:r w:rsidR="00C57A6A">
        <w:rPr>
          <w:rFonts w:asciiTheme="minorHAnsi" w:hAnsiTheme="minorHAnsi" w:cstheme="minorHAnsi"/>
        </w:rPr>
        <w:t>We observed a</w:t>
      </w:r>
      <w:r w:rsidR="00DD076F">
        <w:rPr>
          <w:rFonts w:asciiTheme="minorHAnsi" w:hAnsiTheme="minorHAnsi" w:cstheme="minorHAnsi"/>
        </w:rPr>
        <w:t xml:space="preserve"> 1</w:t>
      </w:r>
      <w:r w:rsidR="00C57A6A">
        <w:rPr>
          <w:rFonts w:asciiTheme="minorHAnsi" w:hAnsiTheme="minorHAnsi" w:cstheme="minorHAnsi"/>
        </w:rPr>
        <w:t>%</w:t>
      </w:r>
      <w:r w:rsidR="00471E77">
        <w:rPr>
          <w:rFonts w:asciiTheme="minorHAnsi" w:hAnsiTheme="minorHAnsi" w:cstheme="minorHAnsi"/>
        </w:rPr>
        <w:t xml:space="preserve"> </w:t>
      </w:r>
      <w:r w:rsidR="00DD076F">
        <w:rPr>
          <w:rFonts w:asciiTheme="minorHAnsi" w:hAnsiTheme="minorHAnsi" w:cstheme="minorHAnsi"/>
        </w:rPr>
        <w:t>increase</w:t>
      </w:r>
      <w:r w:rsidR="00A52028">
        <w:rPr>
          <w:rFonts w:asciiTheme="minorHAnsi" w:hAnsiTheme="minorHAnsi" w:cstheme="minorHAnsi"/>
        </w:rPr>
        <w:t xml:space="preserve"> </w:t>
      </w:r>
      <w:r w:rsidR="00C57A6A">
        <w:rPr>
          <w:rFonts w:asciiTheme="minorHAnsi" w:hAnsiTheme="minorHAnsi" w:cstheme="minorHAnsi"/>
        </w:rPr>
        <w:t xml:space="preserve">in the probability of NASH when specifying elevated </w:t>
      </w:r>
      <w:r w:rsidR="00A52028">
        <w:rPr>
          <w:rFonts w:asciiTheme="minorHAnsi" w:hAnsiTheme="minorHAnsi" w:cstheme="minorHAnsi"/>
        </w:rPr>
        <w:t xml:space="preserve">vs normal measures of </w:t>
      </w:r>
      <w:r w:rsidR="00C57A6A">
        <w:rPr>
          <w:rFonts w:asciiTheme="minorHAnsi" w:hAnsiTheme="minorHAnsi" w:cstheme="minorHAnsi"/>
        </w:rPr>
        <w:t>VA</w:t>
      </w:r>
      <w:r w:rsidR="00DD076F">
        <w:rPr>
          <w:rFonts w:asciiTheme="minorHAnsi" w:hAnsiTheme="minorHAnsi" w:cstheme="minorHAnsi"/>
        </w:rPr>
        <w:t>T</w:t>
      </w:r>
      <w:r w:rsidR="00A52028">
        <w:rPr>
          <w:rFonts w:asciiTheme="minorHAnsi" w:hAnsiTheme="minorHAnsi" w:cstheme="minorHAnsi"/>
        </w:rPr>
        <w:t xml:space="preserve">. </w:t>
      </w:r>
      <w:r w:rsidR="007F5F01">
        <w:rPr>
          <w:rFonts w:asciiTheme="minorHAnsi" w:hAnsiTheme="minorHAnsi" w:cstheme="minorHAnsi"/>
        </w:rPr>
        <w:t>I</w:t>
      </w:r>
      <w:r w:rsidR="004B2D06">
        <w:rPr>
          <w:rFonts w:asciiTheme="minorHAnsi" w:hAnsiTheme="minorHAnsi" w:cstheme="minorHAnsi"/>
        </w:rPr>
        <w:t xml:space="preserve">ncreasing liver fat from 5.6-10% to </w:t>
      </w:r>
      <w:r w:rsidR="0043036B">
        <w:rPr>
          <w:rFonts w:asciiTheme="minorHAnsi" w:hAnsiTheme="minorHAnsi" w:cstheme="minorHAnsi"/>
        </w:rPr>
        <w:t>&gt;</w:t>
      </w:r>
      <w:r w:rsidR="004B2D06">
        <w:rPr>
          <w:rFonts w:asciiTheme="minorHAnsi" w:hAnsiTheme="minorHAnsi" w:cstheme="minorHAnsi"/>
        </w:rPr>
        <w:t xml:space="preserve">10% increased the probability of NASH by </w:t>
      </w:r>
      <w:r w:rsidR="00BD0E28">
        <w:rPr>
          <w:rFonts w:asciiTheme="minorHAnsi" w:hAnsiTheme="minorHAnsi" w:cstheme="minorHAnsi"/>
        </w:rPr>
        <w:t>23</w:t>
      </w:r>
      <w:r w:rsidR="004B2D06">
        <w:rPr>
          <w:rFonts w:asciiTheme="minorHAnsi" w:hAnsiTheme="minorHAnsi" w:cstheme="minorHAnsi"/>
        </w:rPr>
        <w:t>% (</w:t>
      </w:r>
      <w:r w:rsidR="00BD0E28">
        <w:rPr>
          <w:rFonts w:asciiTheme="minorHAnsi" w:hAnsiTheme="minorHAnsi" w:cstheme="minorHAnsi"/>
        </w:rPr>
        <w:t>7</w:t>
      </w:r>
      <w:r w:rsidR="004B2D06">
        <w:rPr>
          <w:rFonts w:asciiTheme="minorHAnsi" w:hAnsiTheme="minorHAnsi" w:cstheme="minorHAnsi"/>
        </w:rPr>
        <w:t>% vs</w:t>
      </w:r>
      <w:r w:rsidR="0043036B">
        <w:rPr>
          <w:rFonts w:asciiTheme="minorHAnsi" w:hAnsiTheme="minorHAnsi" w:cstheme="minorHAnsi"/>
        </w:rPr>
        <w:t>.</w:t>
      </w:r>
      <w:r w:rsidR="004B2D06">
        <w:rPr>
          <w:rFonts w:asciiTheme="minorHAnsi" w:hAnsiTheme="minorHAnsi" w:cstheme="minorHAnsi"/>
        </w:rPr>
        <w:t xml:space="preserve"> </w:t>
      </w:r>
      <w:r w:rsidR="00BD0E28">
        <w:rPr>
          <w:rFonts w:asciiTheme="minorHAnsi" w:hAnsiTheme="minorHAnsi" w:cstheme="minorHAnsi"/>
        </w:rPr>
        <w:t>30</w:t>
      </w:r>
      <w:r w:rsidR="004B2D06">
        <w:rPr>
          <w:rFonts w:asciiTheme="minorHAnsi" w:hAnsiTheme="minorHAnsi" w:cstheme="minorHAnsi"/>
        </w:rPr>
        <w:t>%).</w:t>
      </w:r>
      <w:r w:rsidR="00B1085A">
        <w:rPr>
          <w:rFonts w:asciiTheme="minorHAnsi" w:hAnsiTheme="minorHAnsi" w:cstheme="minorHAnsi"/>
        </w:rPr>
        <w:t xml:space="preserve"> </w:t>
      </w:r>
      <w:r w:rsidR="00890C70">
        <w:rPr>
          <w:rFonts w:asciiTheme="minorHAnsi" w:hAnsiTheme="minorHAnsi" w:cstheme="minorHAnsi"/>
        </w:rPr>
        <w:t>Increasing HbA1c from the ‘low’</w:t>
      </w:r>
      <w:r w:rsidR="00763B69">
        <w:rPr>
          <w:rFonts w:asciiTheme="minorHAnsi" w:hAnsiTheme="minorHAnsi" w:cstheme="minorHAnsi"/>
        </w:rPr>
        <w:t xml:space="preserve"> </w:t>
      </w:r>
      <w:r w:rsidR="00763B69">
        <w:rPr>
          <w:rFonts w:asciiTheme="minorHAnsi" w:hAnsiTheme="minorHAnsi" w:cstheme="minorHAnsi"/>
        </w:rPr>
        <w:lastRenderedPageBreak/>
        <w:t>&lt;38mmol/mol)</w:t>
      </w:r>
      <w:r w:rsidR="00890C70">
        <w:rPr>
          <w:rFonts w:asciiTheme="minorHAnsi" w:hAnsiTheme="minorHAnsi" w:cstheme="minorHAnsi"/>
        </w:rPr>
        <w:t xml:space="preserve"> to ‘high’ </w:t>
      </w:r>
      <w:r w:rsidR="00763B69">
        <w:rPr>
          <w:rFonts w:asciiTheme="minorHAnsi" w:hAnsiTheme="minorHAnsi" w:cstheme="minorHAnsi"/>
        </w:rPr>
        <w:t xml:space="preserve">(&gt;38mmol/mol) </w:t>
      </w:r>
      <w:r w:rsidR="00890C70">
        <w:rPr>
          <w:rFonts w:asciiTheme="minorHAnsi" w:hAnsiTheme="minorHAnsi" w:cstheme="minorHAnsi"/>
        </w:rPr>
        <w:t xml:space="preserve">value </w:t>
      </w:r>
      <w:r w:rsidR="00BD0E28">
        <w:rPr>
          <w:rFonts w:asciiTheme="minorHAnsi" w:hAnsiTheme="minorHAnsi" w:cstheme="minorHAnsi"/>
        </w:rPr>
        <w:t>reduced</w:t>
      </w:r>
      <w:r w:rsidR="00890C70">
        <w:rPr>
          <w:rFonts w:asciiTheme="minorHAnsi" w:hAnsiTheme="minorHAnsi" w:cstheme="minorHAnsi"/>
        </w:rPr>
        <w:t xml:space="preserve"> the probability of NASH by </w:t>
      </w:r>
      <w:r w:rsidR="00BD0E28">
        <w:rPr>
          <w:rFonts w:asciiTheme="minorHAnsi" w:hAnsiTheme="minorHAnsi" w:cstheme="minorHAnsi"/>
        </w:rPr>
        <w:t>1</w:t>
      </w:r>
      <w:r w:rsidR="00890C70">
        <w:rPr>
          <w:rFonts w:asciiTheme="minorHAnsi" w:hAnsiTheme="minorHAnsi" w:cstheme="minorHAnsi"/>
        </w:rPr>
        <w:t>%</w:t>
      </w:r>
      <w:r w:rsidR="00005B56">
        <w:rPr>
          <w:rFonts w:asciiTheme="minorHAnsi" w:hAnsiTheme="minorHAnsi" w:cstheme="minorHAnsi"/>
        </w:rPr>
        <w:t xml:space="preserve"> (</w:t>
      </w:r>
      <w:r w:rsidR="00BD0E28">
        <w:rPr>
          <w:rFonts w:asciiTheme="minorHAnsi" w:hAnsiTheme="minorHAnsi" w:cstheme="minorHAnsi"/>
        </w:rPr>
        <w:t>10</w:t>
      </w:r>
      <w:r w:rsidR="00005B56">
        <w:rPr>
          <w:rFonts w:asciiTheme="minorHAnsi" w:hAnsiTheme="minorHAnsi" w:cstheme="minorHAnsi"/>
        </w:rPr>
        <w:t xml:space="preserve">% vs </w:t>
      </w:r>
      <w:r w:rsidR="00BD0E28">
        <w:rPr>
          <w:rFonts w:asciiTheme="minorHAnsi" w:hAnsiTheme="minorHAnsi" w:cstheme="minorHAnsi"/>
        </w:rPr>
        <w:t>9</w:t>
      </w:r>
      <w:r w:rsidR="00005B56">
        <w:rPr>
          <w:rFonts w:asciiTheme="minorHAnsi" w:hAnsiTheme="minorHAnsi" w:cstheme="minorHAnsi"/>
        </w:rPr>
        <w:t>%)</w:t>
      </w:r>
      <w:r w:rsidR="00890C70">
        <w:rPr>
          <w:rFonts w:asciiTheme="minorHAnsi" w:hAnsiTheme="minorHAnsi" w:cstheme="minorHAnsi"/>
        </w:rPr>
        <w:t>.</w:t>
      </w:r>
      <w:r w:rsidR="008E71AE">
        <w:rPr>
          <w:rFonts w:asciiTheme="minorHAnsi" w:hAnsiTheme="minorHAnsi" w:cstheme="minorHAnsi"/>
        </w:rPr>
        <w:t xml:space="preserve"> </w:t>
      </w:r>
      <w:r w:rsidR="005738F6">
        <w:rPr>
          <w:rFonts w:asciiTheme="minorHAnsi" w:hAnsiTheme="minorHAnsi" w:cstheme="minorHAnsi"/>
        </w:rPr>
        <w:t xml:space="preserve">(Table 2 &amp; </w:t>
      </w:r>
      <w:r w:rsidR="008E71AE">
        <w:rPr>
          <w:rFonts w:asciiTheme="minorHAnsi" w:hAnsiTheme="minorHAnsi" w:cstheme="minorHAnsi"/>
        </w:rPr>
        <w:t>Fig</w:t>
      </w:r>
      <w:r w:rsidR="00271834">
        <w:rPr>
          <w:rFonts w:asciiTheme="minorHAnsi" w:hAnsiTheme="minorHAnsi" w:cstheme="minorHAnsi"/>
        </w:rPr>
        <w:t>ure</w:t>
      </w:r>
      <w:r w:rsidR="005738F6">
        <w:rPr>
          <w:rFonts w:asciiTheme="minorHAnsi" w:hAnsiTheme="minorHAnsi" w:cstheme="minorHAnsi"/>
        </w:rPr>
        <w:t>s</w:t>
      </w:r>
      <w:r w:rsidR="008E71AE">
        <w:rPr>
          <w:rFonts w:asciiTheme="minorHAnsi" w:hAnsiTheme="minorHAnsi" w:cstheme="minorHAnsi"/>
        </w:rPr>
        <w:t xml:space="preserve"> 4 </w:t>
      </w:r>
      <w:r w:rsidR="00271834">
        <w:rPr>
          <w:rFonts w:asciiTheme="minorHAnsi" w:hAnsiTheme="minorHAnsi" w:cstheme="minorHAnsi"/>
        </w:rPr>
        <w:t xml:space="preserve">and </w:t>
      </w:r>
      <w:r w:rsidR="008E71AE">
        <w:rPr>
          <w:rFonts w:asciiTheme="minorHAnsi" w:hAnsiTheme="minorHAnsi" w:cstheme="minorHAnsi"/>
        </w:rPr>
        <w:t>5</w:t>
      </w:r>
      <w:r w:rsidR="005738F6">
        <w:rPr>
          <w:rFonts w:asciiTheme="minorHAnsi" w:hAnsiTheme="minorHAnsi" w:cstheme="minorHAnsi"/>
        </w:rPr>
        <w:t>)</w:t>
      </w:r>
      <w:r w:rsidR="008E71AE">
        <w:rPr>
          <w:rFonts w:asciiTheme="minorHAnsi" w:hAnsiTheme="minorHAnsi" w:cstheme="minorHAnsi"/>
        </w:rPr>
        <w:t>.</w:t>
      </w:r>
    </w:p>
    <w:p w14:paraId="02FF2D11" w14:textId="77777777" w:rsidR="00890C70" w:rsidRDefault="00890C70" w:rsidP="002D7D3A">
      <w:pPr>
        <w:spacing w:line="480" w:lineRule="auto"/>
        <w:jc w:val="both"/>
        <w:rPr>
          <w:rFonts w:asciiTheme="minorHAnsi" w:hAnsiTheme="minorHAnsi" w:cstheme="minorHAnsi"/>
        </w:rPr>
      </w:pPr>
    </w:p>
    <w:p w14:paraId="1E28AF2E" w14:textId="6E3C727A" w:rsidR="00CD7BC0" w:rsidRPr="00CD7BC0" w:rsidRDefault="004B2D06" w:rsidP="077C0FE1">
      <w:pPr>
        <w:spacing w:line="480" w:lineRule="auto"/>
        <w:jc w:val="both"/>
        <w:rPr>
          <w:rFonts w:asciiTheme="minorHAnsi" w:hAnsiTheme="minorHAnsi" w:cstheme="minorHAnsi"/>
        </w:rPr>
      </w:pPr>
      <w:r>
        <w:rPr>
          <w:rFonts w:asciiTheme="minorHAnsi" w:hAnsiTheme="minorHAnsi" w:cstheme="minorHAnsi"/>
        </w:rPr>
        <w:t>Exploring the same</w:t>
      </w:r>
      <w:r w:rsidR="00ED0466">
        <w:rPr>
          <w:rFonts w:asciiTheme="minorHAnsi" w:hAnsiTheme="minorHAnsi" w:cstheme="minorHAnsi"/>
        </w:rPr>
        <w:t xml:space="preserve"> high-risk</w:t>
      </w:r>
      <w:r>
        <w:rPr>
          <w:rFonts w:asciiTheme="minorHAnsi" w:hAnsiTheme="minorHAnsi" w:cstheme="minorHAnsi"/>
        </w:rPr>
        <w:t xml:space="preserve"> phenotype specified </w:t>
      </w:r>
      <w:r w:rsidR="00695FBB">
        <w:rPr>
          <w:rFonts w:asciiTheme="minorHAnsi" w:hAnsiTheme="minorHAnsi" w:cstheme="minorHAnsi"/>
        </w:rPr>
        <w:t>within</w:t>
      </w:r>
      <w:r>
        <w:rPr>
          <w:rFonts w:asciiTheme="minorHAnsi" w:hAnsiTheme="minorHAnsi" w:cstheme="minorHAnsi"/>
        </w:rPr>
        <w:t xml:space="preserve"> the </w:t>
      </w:r>
      <w:r w:rsidR="00F76D37">
        <w:rPr>
          <w:rFonts w:asciiTheme="minorHAnsi" w:hAnsiTheme="minorHAnsi" w:cstheme="minorHAnsi"/>
        </w:rPr>
        <w:t>T2D</w:t>
      </w:r>
      <w:r>
        <w:rPr>
          <w:rFonts w:asciiTheme="minorHAnsi" w:hAnsiTheme="minorHAnsi" w:cstheme="minorHAnsi"/>
        </w:rPr>
        <w:t xml:space="preserve"> cohort, we observed a </w:t>
      </w:r>
      <w:r w:rsidR="00BD0E28">
        <w:rPr>
          <w:rFonts w:asciiTheme="minorHAnsi" w:hAnsiTheme="minorHAnsi" w:cstheme="minorHAnsi"/>
        </w:rPr>
        <w:t>30</w:t>
      </w:r>
      <w:r w:rsidR="00695FBB">
        <w:rPr>
          <w:rFonts w:asciiTheme="minorHAnsi" w:hAnsiTheme="minorHAnsi" w:cstheme="minorHAnsi"/>
        </w:rPr>
        <w:t xml:space="preserve">% probability of NASH. Reducing HbA1c </w:t>
      </w:r>
      <w:r w:rsidR="00632359">
        <w:rPr>
          <w:rFonts w:asciiTheme="minorHAnsi" w:hAnsiTheme="minorHAnsi" w:cstheme="minorHAnsi"/>
        </w:rPr>
        <w:t>lowered</w:t>
      </w:r>
      <w:r w:rsidR="00695FBB">
        <w:rPr>
          <w:rFonts w:asciiTheme="minorHAnsi" w:hAnsiTheme="minorHAnsi" w:cstheme="minorHAnsi"/>
        </w:rPr>
        <w:t xml:space="preserve"> the probability of NASH by </w:t>
      </w:r>
      <w:r w:rsidR="00BD0E28">
        <w:rPr>
          <w:rFonts w:asciiTheme="minorHAnsi" w:hAnsiTheme="minorHAnsi" w:cstheme="minorHAnsi"/>
        </w:rPr>
        <w:t>3</w:t>
      </w:r>
      <w:r w:rsidR="00695FBB">
        <w:rPr>
          <w:rFonts w:asciiTheme="minorHAnsi" w:hAnsiTheme="minorHAnsi" w:cstheme="minorHAnsi"/>
        </w:rPr>
        <w:t>% (</w:t>
      </w:r>
      <w:r w:rsidR="00BD0E28">
        <w:rPr>
          <w:rFonts w:asciiTheme="minorHAnsi" w:hAnsiTheme="minorHAnsi" w:cstheme="minorHAnsi"/>
        </w:rPr>
        <w:t>27</w:t>
      </w:r>
      <w:r w:rsidR="00695FBB">
        <w:rPr>
          <w:rFonts w:asciiTheme="minorHAnsi" w:hAnsiTheme="minorHAnsi" w:cstheme="minorHAnsi"/>
        </w:rPr>
        <w:t>%)</w:t>
      </w:r>
      <w:r w:rsidR="00F267C5">
        <w:rPr>
          <w:rFonts w:asciiTheme="minorHAnsi" w:hAnsiTheme="minorHAnsi" w:cstheme="minorHAnsi"/>
        </w:rPr>
        <w:t>.</w:t>
      </w:r>
    </w:p>
    <w:p w14:paraId="63E8C2B6" w14:textId="77777777" w:rsidR="0021400D" w:rsidRDefault="0021400D" w:rsidP="002D7D3A">
      <w:pPr>
        <w:spacing w:line="480" w:lineRule="auto"/>
        <w:jc w:val="both"/>
        <w:rPr>
          <w:rFonts w:asciiTheme="minorHAnsi" w:hAnsiTheme="minorHAnsi" w:cstheme="minorHAnsi"/>
        </w:rPr>
      </w:pPr>
    </w:p>
    <w:p w14:paraId="1D8DCB52" w14:textId="343125AB" w:rsidR="007F0F11" w:rsidRPr="00797DB9" w:rsidRDefault="005C7CF7" w:rsidP="002D7D3A">
      <w:pPr>
        <w:spacing w:line="480" w:lineRule="auto"/>
        <w:jc w:val="both"/>
        <w:rPr>
          <w:rFonts w:asciiTheme="minorHAnsi" w:hAnsiTheme="minorHAnsi" w:cstheme="minorHAnsi"/>
          <w:b/>
          <w:bCs/>
        </w:rPr>
      </w:pPr>
      <w:r w:rsidRPr="00875555">
        <w:rPr>
          <w:rFonts w:asciiTheme="minorHAnsi" w:hAnsiTheme="minorHAnsi" w:cstheme="minorHAnsi"/>
          <w:b/>
          <w:bCs/>
        </w:rPr>
        <w:t>Discussion</w:t>
      </w:r>
    </w:p>
    <w:p w14:paraId="6165B521" w14:textId="1A60CBBE" w:rsidR="000A3DEC" w:rsidRPr="00D34133" w:rsidRDefault="7C402045" w:rsidP="077C0FE1">
      <w:pPr>
        <w:spacing w:line="480" w:lineRule="auto"/>
        <w:jc w:val="both"/>
        <w:rPr>
          <w:rFonts w:asciiTheme="minorHAnsi" w:eastAsiaTheme="minorEastAsia" w:hAnsiTheme="minorHAnsi" w:cstheme="minorBidi"/>
          <w:lang w:eastAsia="en-US"/>
        </w:rPr>
      </w:pPr>
      <w:r w:rsidRPr="077C0FE1">
        <w:rPr>
          <w:rFonts w:asciiTheme="minorHAnsi" w:hAnsiTheme="minorHAnsi" w:cstheme="minorBidi"/>
        </w:rPr>
        <w:t>In this paper</w:t>
      </w:r>
      <w:r w:rsidR="00CA2922" w:rsidRPr="077C0FE1">
        <w:rPr>
          <w:rFonts w:asciiTheme="minorHAnsi" w:hAnsiTheme="minorHAnsi" w:cstheme="minorBidi"/>
        </w:rPr>
        <w:t xml:space="preserve">, </w:t>
      </w:r>
      <w:r w:rsidR="00907CF2" w:rsidRPr="077C0FE1">
        <w:rPr>
          <w:rFonts w:asciiTheme="minorHAnsi" w:hAnsiTheme="minorHAnsi" w:cstheme="minorBidi"/>
        </w:rPr>
        <w:t>we</w:t>
      </w:r>
      <w:r w:rsidR="002A1711" w:rsidRPr="077C0FE1">
        <w:rPr>
          <w:rFonts w:asciiTheme="minorHAnsi" w:hAnsiTheme="minorHAnsi" w:cstheme="minorBidi"/>
        </w:rPr>
        <w:t xml:space="preserve"> applied a novel </w:t>
      </w:r>
      <w:r w:rsidR="00012302">
        <w:rPr>
          <w:rFonts w:asciiTheme="minorHAnsi" w:hAnsiTheme="minorHAnsi" w:cstheme="minorBidi"/>
        </w:rPr>
        <w:t>BN</w:t>
      </w:r>
      <w:r w:rsidR="002A1711" w:rsidRPr="077C0FE1">
        <w:rPr>
          <w:rFonts w:asciiTheme="minorHAnsi" w:hAnsiTheme="minorHAnsi" w:cstheme="minorBidi"/>
        </w:rPr>
        <w:t xml:space="preserve"> approach to</w:t>
      </w:r>
      <w:r w:rsidR="00907CF2" w:rsidRPr="077C0FE1">
        <w:rPr>
          <w:rFonts w:asciiTheme="minorHAnsi" w:hAnsiTheme="minorHAnsi" w:cstheme="minorBidi"/>
        </w:rPr>
        <w:t xml:space="preserve"> </w:t>
      </w:r>
      <w:r w:rsidR="00AD2DB7">
        <w:rPr>
          <w:rFonts w:asciiTheme="minorHAnsi" w:hAnsiTheme="minorHAnsi" w:cstheme="minorBidi"/>
        </w:rPr>
        <w:t>demonstrate the mediating influence of</w:t>
      </w:r>
      <w:r w:rsidR="00AD2DB7" w:rsidRPr="077C0FE1">
        <w:rPr>
          <w:rFonts w:asciiTheme="minorHAnsi" w:hAnsiTheme="minorHAnsi" w:cstheme="minorBidi"/>
        </w:rPr>
        <w:t xml:space="preserve"> </w:t>
      </w:r>
      <w:r w:rsidR="00271834">
        <w:rPr>
          <w:rFonts w:asciiTheme="minorHAnsi" w:hAnsiTheme="minorHAnsi" w:cstheme="minorBidi"/>
        </w:rPr>
        <w:t xml:space="preserve">type 2 diabetes, particularly determining the impact of </w:t>
      </w:r>
      <w:r w:rsidR="00CA2922" w:rsidRPr="077C0FE1">
        <w:rPr>
          <w:rFonts w:asciiTheme="minorHAnsi" w:hAnsiTheme="minorHAnsi" w:cstheme="minorBidi"/>
        </w:rPr>
        <w:t xml:space="preserve">poor glycaemic control and </w:t>
      </w:r>
      <w:r w:rsidR="00AD2DB7">
        <w:rPr>
          <w:rFonts w:asciiTheme="minorHAnsi" w:hAnsiTheme="minorHAnsi" w:cstheme="minorBidi"/>
        </w:rPr>
        <w:t xml:space="preserve">higher </w:t>
      </w:r>
      <w:r w:rsidR="00CA2922" w:rsidRPr="077C0FE1">
        <w:rPr>
          <w:rFonts w:asciiTheme="minorHAnsi" w:hAnsiTheme="minorHAnsi" w:cstheme="minorBidi"/>
        </w:rPr>
        <w:t>ectopic fat deposition</w:t>
      </w:r>
      <w:r w:rsidR="00AD2DB7">
        <w:rPr>
          <w:rFonts w:asciiTheme="minorHAnsi" w:hAnsiTheme="minorHAnsi" w:cstheme="minorBidi"/>
        </w:rPr>
        <w:t xml:space="preserve">, </w:t>
      </w:r>
      <w:r w:rsidR="00850A8D">
        <w:rPr>
          <w:rFonts w:asciiTheme="minorHAnsi" w:hAnsiTheme="minorHAnsi" w:cstheme="minorBidi"/>
        </w:rPr>
        <w:t xml:space="preserve">focussing on the impact of </w:t>
      </w:r>
      <w:r w:rsidR="00271834">
        <w:rPr>
          <w:rFonts w:asciiTheme="minorHAnsi" w:hAnsiTheme="minorHAnsi" w:cstheme="minorBidi"/>
        </w:rPr>
        <w:t xml:space="preserve">liver and </w:t>
      </w:r>
      <w:r w:rsidR="00AD2DB7">
        <w:rPr>
          <w:rFonts w:asciiTheme="minorHAnsi" w:hAnsiTheme="minorHAnsi" w:cstheme="minorBidi"/>
        </w:rPr>
        <w:t>visceral fat</w:t>
      </w:r>
      <w:r w:rsidR="00850A8D">
        <w:rPr>
          <w:rFonts w:asciiTheme="minorHAnsi" w:hAnsiTheme="minorHAnsi" w:cstheme="minorBidi"/>
        </w:rPr>
        <w:t xml:space="preserve"> depots</w:t>
      </w:r>
      <w:r w:rsidR="00AD2DB7">
        <w:rPr>
          <w:rFonts w:asciiTheme="minorHAnsi" w:hAnsiTheme="minorHAnsi" w:cstheme="minorBidi"/>
        </w:rPr>
        <w:t>, on the increased risk of</w:t>
      </w:r>
      <w:r w:rsidR="003A2394" w:rsidRPr="077C0FE1">
        <w:rPr>
          <w:rFonts w:asciiTheme="minorHAnsi" w:hAnsiTheme="minorHAnsi" w:cstheme="minorBidi"/>
        </w:rPr>
        <w:t xml:space="preserve"> </w:t>
      </w:r>
      <w:r w:rsidR="006340E9" w:rsidRPr="077C0FE1">
        <w:rPr>
          <w:rFonts w:asciiTheme="minorHAnsi" w:hAnsiTheme="minorHAnsi" w:cstheme="minorBidi"/>
        </w:rPr>
        <w:t>NASH</w:t>
      </w:r>
      <w:r w:rsidR="00F36545" w:rsidRPr="077C0FE1">
        <w:rPr>
          <w:rFonts w:asciiTheme="minorHAnsi" w:hAnsiTheme="minorHAnsi" w:cstheme="minorBidi"/>
        </w:rPr>
        <w:t xml:space="preserve"> </w:t>
      </w:r>
      <w:r w:rsidR="006340E9" w:rsidRPr="077C0FE1">
        <w:rPr>
          <w:rFonts w:asciiTheme="minorHAnsi" w:hAnsiTheme="minorHAnsi" w:cstheme="minorBidi"/>
        </w:rPr>
        <w:t xml:space="preserve">in </w:t>
      </w:r>
      <w:r w:rsidR="00AD2DB7">
        <w:rPr>
          <w:rFonts w:asciiTheme="minorHAnsi" w:hAnsiTheme="minorHAnsi" w:cstheme="minorBidi"/>
        </w:rPr>
        <w:t xml:space="preserve">people </w:t>
      </w:r>
      <w:r w:rsidR="00271834">
        <w:rPr>
          <w:rFonts w:asciiTheme="minorHAnsi" w:hAnsiTheme="minorHAnsi" w:cstheme="minorBidi"/>
        </w:rPr>
        <w:t>with</w:t>
      </w:r>
      <w:r w:rsidR="00BD0E28">
        <w:rPr>
          <w:rFonts w:asciiTheme="minorHAnsi" w:hAnsiTheme="minorHAnsi" w:cstheme="minorBidi"/>
        </w:rPr>
        <w:t xml:space="preserve"> T2D </w:t>
      </w:r>
      <w:r w:rsidR="008D7DF9">
        <w:rPr>
          <w:rFonts w:asciiTheme="minorHAnsi" w:hAnsiTheme="minorHAnsi" w:cstheme="minorBidi"/>
        </w:rPr>
        <w:t xml:space="preserve">and </w:t>
      </w:r>
      <w:r w:rsidR="00271834">
        <w:rPr>
          <w:rFonts w:asciiTheme="minorHAnsi" w:hAnsiTheme="minorHAnsi" w:cstheme="minorBidi"/>
        </w:rPr>
        <w:t xml:space="preserve">those in the </w:t>
      </w:r>
      <w:r w:rsidR="008D7DF9">
        <w:rPr>
          <w:rFonts w:asciiTheme="minorHAnsi" w:hAnsiTheme="minorHAnsi" w:cstheme="minorBidi"/>
        </w:rPr>
        <w:t>general population.</w:t>
      </w:r>
      <w:r w:rsidR="00271834">
        <w:rPr>
          <w:rFonts w:asciiTheme="minorHAnsi" w:hAnsiTheme="minorHAnsi" w:cstheme="minorBidi"/>
        </w:rPr>
        <w:t xml:space="preserve"> </w:t>
      </w:r>
      <w:r w:rsidR="000A3DEC" w:rsidRPr="793028F3">
        <w:rPr>
          <w:rFonts w:asciiTheme="minorHAnsi" w:hAnsiTheme="minorHAnsi" w:cstheme="minorBidi"/>
        </w:rPr>
        <w:t>Firstly</w:t>
      </w:r>
      <w:r w:rsidR="00E768BA" w:rsidRPr="793028F3">
        <w:rPr>
          <w:rFonts w:asciiTheme="minorHAnsi" w:hAnsiTheme="minorHAnsi" w:cstheme="minorBidi"/>
        </w:rPr>
        <w:t>, w</w:t>
      </w:r>
      <w:r w:rsidR="00CD07CC" w:rsidRPr="793028F3">
        <w:rPr>
          <w:rFonts w:asciiTheme="minorHAnsi" w:hAnsiTheme="minorHAnsi" w:cstheme="minorBidi"/>
        </w:rPr>
        <w:t xml:space="preserve">e </w:t>
      </w:r>
      <w:r w:rsidR="013A6534" w:rsidRPr="793028F3">
        <w:rPr>
          <w:rFonts w:asciiTheme="minorHAnsi" w:hAnsiTheme="minorHAnsi" w:cstheme="minorBidi"/>
        </w:rPr>
        <w:t>found</w:t>
      </w:r>
      <w:r w:rsidR="00E41EDD" w:rsidRPr="793028F3">
        <w:rPr>
          <w:rFonts w:asciiTheme="minorHAnsi" w:hAnsiTheme="minorHAnsi" w:cstheme="minorBidi"/>
        </w:rPr>
        <w:t xml:space="preserve"> </w:t>
      </w:r>
      <w:r w:rsidR="00850A8D">
        <w:rPr>
          <w:rFonts w:asciiTheme="minorHAnsi" w:hAnsiTheme="minorHAnsi" w:cstheme="minorBidi"/>
        </w:rPr>
        <w:t xml:space="preserve">that obesity </w:t>
      </w:r>
      <w:r w:rsidR="00850A8D" w:rsidRPr="793028F3">
        <w:rPr>
          <w:rFonts w:asciiTheme="minorHAnsi" w:hAnsiTheme="minorHAnsi" w:cstheme="minorBidi"/>
          <w:i/>
        </w:rPr>
        <w:t>(versus</w:t>
      </w:r>
      <w:r w:rsidR="00850A8D" w:rsidRPr="793028F3">
        <w:rPr>
          <w:rFonts w:asciiTheme="minorHAnsi" w:hAnsiTheme="minorHAnsi" w:cstheme="minorBidi"/>
        </w:rPr>
        <w:t xml:space="preserve"> normal BMI)</w:t>
      </w:r>
      <w:r w:rsidR="00850A8D">
        <w:rPr>
          <w:rFonts w:asciiTheme="minorHAnsi" w:hAnsiTheme="minorHAnsi" w:cstheme="minorBidi"/>
        </w:rPr>
        <w:t xml:space="preserve"> conferred </w:t>
      </w:r>
      <w:r w:rsidR="0029482A" w:rsidRPr="793028F3">
        <w:rPr>
          <w:rFonts w:asciiTheme="minorHAnsi" w:hAnsiTheme="minorHAnsi" w:cstheme="minorBidi"/>
        </w:rPr>
        <w:t xml:space="preserve">a </w:t>
      </w:r>
      <w:r w:rsidR="00BD0E28" w:rsidRPr="793028F3">
        <w:rPr>
          <w:rFonts w:asciiTheme="minorHAnsi" w:hAnsiTheme="minorHAnsi" w:cstheme="minorBidi"/>
        </w:rPr>
        <w:t>23</w:t>
      </w:r>
      <w:r w:rsidR="00E41EDD" w:rsidRPr="793028F3">
        <w:rPr>
          <w:rFonts w:asciiTheme="minorHAnsi" w:hAnsiTheme="minorHAnsi" w:cstheme="minorBidi"/>
        </w:rPr>
        <w:t>%</w:t>
      </w:r>
      <w:r w:rsidR="00BD0E28" w:rsidRPr="793028F3">
        <w:rPr>
          <w:rFonts w:asciiTheme="minorHAnsi" w:hAnsiTheme="minorHAnsi" w:cstheme="minorBidi"/>
        </w:rPr>
        <w:t xml:space="preserve"> increase</w:t>
      </w:r>
      <w:r w:rsidR="00850A8D">
        <w:rPr>
          <w:rFonts w:asciiTheme="minorHAnsi" w:hAnsiTheme="minorHAnsi" w:cstheme="minorBidi"/>
        </w:rPr>
        <w:t xml:space="preserve"> (within the T2D cohort)</w:t>
      </w:r>
      <w:r w:rsidR="00E41EDD" w:rsidRPr="793028F3">
        <w:rPr>
          <w:rFonts w:asciiTheme="minorHAnsi" w:hAnsiTheme="minorHAnsi" w:cstheme="minorBidi"/>
        </w:rPr>
        <w:t xml:space="preserve"> and </w:t>
      </w:r>
      <w:r w:rsidR="00BD0E28" w:rsidRPr="793028F3">
        <w:rPr>
          <w:rFonts w:asciiTheme="minorHAnsi" w:hAnsiTheme="minorHAnsi" w:cstheme="minorBidi"/>
        </w:rPr>
        <w:t>5</w:t>
      </w:r>
      <w:r w:rsidR="00E41EDD" w:rsidRPr="793028F3">
        <w:rPr>
          <w:rFonts w:asciiTheme="minorHAnsi" w:hAnsiTheme="minorHAnsi" w:cstheme="minorBidi"/>
        </w:rPr>
        <w:t>%</w:t>
      </w:r>
      <w:r w:rsidR="00BD0E28" w:rsidRPr="793028F3">
        <w:rPr>
          <w:rFonts w:asciiTheme="minorHAnsi" w:hAnsiTheme="minorHAnsi" w:cstheme="minorBidi"/>
        </w:rPr>
        <w:t xml:space="preserve"> decrease</w:t>
      </w:r>
      <w:r w:rsidR="00850A8D">
        <w:rPr>
          <w:rFonts w:asciiTheme="minorHAnsi" w:hAnsiTheme="minorHAnsi" w:cstheme="minorBidi"/>
        </w:rPr>
        <w:t xml:space="preserve"> (in the </w:t>
      </w:r>
      <w:r w:rsidR="00850A8D" w:rsidRPr="793028F3">
        <w:rPr>
          <w:rFonts w:asciiTheme="minorHAnsi" w:hAnsiTheme="minorHAnsi" w:cstheme="minorBidi"/>
        </w:rPr>
        <w:t>cohort</w:t>
      </w:r>
      <w:r w:rsidR="00850A8D">
        <w:rPr>
          <w:rFonts w:asciiTheme="minorHAnsi" w:hAnsiTheme="minorHAnsi" w:cstheme="minorBidi"/>
        </w:rPr>
        <w:t xml:space="preserve"> without T2D)</w:t>
      </w:r>
      <w:r w:rsidR="06402723" w:rsidRPr="793028F3">
        <w:rPr>
          <w:rFonts w:asciiTheme="minorHAnsi" w:hAnsiTheme="minorHAnsi" w:cstheme="minorBidi"/>
        </w:rPr>
        <w:t xml:space="preserve"> </w:t>
      </w:r>
      <w:r w:rsidR="00850A8D" w:rsidRPr="793028F3">
        <w:rPr>
          <w:rFonts w:asciiTheme="minorHAnsi" w:hAnsiTheme="minorHAnsi" w:cstheme="minorBidi"/>
        </w:rPr>
        <w:t>in the probability of NASH</w:t>
      </w:r>
      <w:r w:rsidR="00E41EDD" w:rsidRPr="793028F3">
        <w:rPr>
          <w:rFonts w:asciiTheme="minorHAnsi" w:hAnsiTheme="minorHAnsi" w:cstheme="minorBidi"/>
        </w:rPr>
        <w:t>.</w:t>
      </w:r>
      <w:r w:rsidR="00945ED6" w:rsidRPr="793028F3">
        <w:rPr>
          <w:rFonts w:asciiTheme="minorHAnsi" w:hAnsiTheme="minorHAnsi" w:cstheme="minorBidi"/>
        </w:rPr>
        <w:t xml:space="preserve"> </w:t>
      </w:r>
      <w:r w:rsidR="000A3DEC" w:rsidRPr="793028F3">
        <w:rPr>
          <w:rFonts w:asciiTheme="minorHAnsi" w:hAnsiTheme="minorHAnsi" w:cstheme="minorBidi"/>
        </w:rPr>
        <w:t>However</w:t>
      </w:r>
      <w:r w:rsidR="00D34133">
        <w:rPr>
          <w:rFonts w:asciiTheme="minorHAnsi" w:hAnsiTheme="minorHAnsi" w:cstheme="minorBidi"/>
        </w:rPr>
        <w:t>,</w:t>
      </w:r>
      <w:r w:rsidR="00FC6312" w:rsidRPr="793028F3">
        <w:rPr>
          <w:rFonts w:asciiTheme="minorHAnsi" w:hAnsiTheme="minorHAnsi" w:cstheme="minorBidi"/>
        </w:rPr>
        <w:t xml:space="preserve"> </w:t>
      </w:r>
      <w:r w:rsidR="00850A8D">
        <w:rPr>
          <w:rFonts w:asciiTheme="minorHAnsi" w:hAnsiTheme="minorHAnsi" w:cstheme="minorBidi"/>
        </w:rPr>
        <w:t>considering the intrinsic limitations of</w:t>
      </w:r>
      <w:r w:rsidR="000A3DEC" w:rsidRPr="793028F3">
        <w:rPr>
          <w:rFonts w:asciiTheme="minorHAnsi" w:hAnsiTheme="minorHAnsi" w:cstheme="minorBidi"/>
        </w:rPr>
        <w:t xml:space="preserve"> the </w:t>
      </w:r>
      <w:r w:rsidR="000A3DEC" w:rsidRPr="793028F3">
        <w:rPr>
          <w:rFonts w:asciiTheme="minorHAnsi" w:eastAsiaTheme="minorEastAsia" w:hAnsiTheme="minorHAnsi" w:cstheme="minorBidi"/>
          <w:lang w:eastAsia="en-US"/>
        </w:rPr>
        <w:t>BMI</w:t>
      </w:r>
      <w:r w:rsidR="00850A8D">
        <w:rPr>
          <w:rFonts w:asciiTheme="minorHAnsi" w:eastAsiaTheme="minorEastAsia" w:hAnsiTheme="minorHAnsi" w:cstheme="minorBidi"/>
          <w:lang w:eastAsia="en-US"/>
        </w:rPr>
        <w:t xml:space="preserve">, aggregating all </w:t>
      </w:r>
      <w:r w:rsidR="000A3DEC" w:rsidRPr="793028F3">
        <w:rPr>
          <w:rFonts w:asciiTheme="minorHAnsi" w:eastAsiaTheme="minorEastAsia" w:hAnsiTheme="minorHAnsi" w:cstheme="minorBidi"/>
          <w:lang w:eastAsia="en-US"/>
        </w:rPr>
        <w:t xml:space="preserve">measures of body composition (for example, combining adipose tissue and skeletal muscle volumes) into a single measure, </w:t>
      </w:r>
      <w:r w:rsidR="00850A8D">
        <w:rPr>
          <w:rFonts w:asciiTheme="minorHAnsi" w:eastAsiaTheme="minorEastAsia" w:hAnsiTheme="minorHAnsi" w:cstheme="minorBidi"/>
          <w:lang w:eastAsia="en-US"/>
        </w:rPr>
        <w:t>this metric</w:t>
      </w:r>
      <w:r w:rsidR="00850A8D" w:rsidRPr="793028F3">
        <w:rPr>
          <w:rFonts w:asciiTheme="minorHAnsi" w:eastAsiaTheme="minorEastAsia" w:hAnsiTheme="minorHAnsi" w:cstheme="minorBidi"/>
          <w:lang w:eastAsia="en-US"/>
        </w:rPr>
        <w:t xml:space="preserve"> assum</w:t>
      </w:r>
      <w:r w:rsidR="00850A8D">
        <w:rPr>
          <w:rFonts w:asciiTheme="minorHAnsi" w:eastAsiaTheme="minorEastAsia" w:hAnsiTheme="minorHAnsi" w:cstheme="minorBidi"/>
          <w:lang w:eastAsia="en-US"/>
        </w:rPr>
        <w:t>es</w:t>
      </w:r>
      <w:r w:rsidR="00850A8D" w:rsidRPr="793028F3">
        <w:rPr>
          <w:rFonts w:asciiTheme="minorHAnsi" w:eastAsiaTheme="minorEastAsia" w:hAnsiTheme="minorHAnsi" w:cstheme="minorBidi"/>
          <w:lang w:eastAsia="en-US"/>
        </w:rPr>
        <w:t xml:space="preserve"> </w:t>
      </w:r>
      <w:r w:rsidR="000A3DEC" w:rsidRPr="793028F3">
        <w:rPr>
          <w:rFonts w:asciiTheme="minorHAnsi" w:eastAsiaTheme="minorEastAsia" w:hAnsiTheme="minorHAnsi" w:cstheme="minorBidi"/>
          <w:lang w:eastAsia="en-US"/>
        </w:rPr>
        <w:t>that all individuals will have a similar relative proportion of the different biological tissues.</w:t>
      </w:r>
    </w:p>
    <w:p w14:paraId="5DD86EE7" w14:textId="77777777" w:rsidR="000A3DEC" w:rsidRDefault="000A3DEC" w:rsidP="077C0FE1">
      <w:pPr>
        <w:spacing w:line="480" w:lineRule="auto"/>
        <w:jc w:val="both"/>
        <w:rPr>
          <w:rFonts w:asciiTheme="minorHAnsi" w:hAnsiTheme="minorHAnsi" w:cstheme="minorBidi"/>
        </w:rPr>
      </w:pPr>
    </w:p>
    <w:p w14:paraId="267A3982" w14:textId="12F0AAF1" w:rsidR="00392BEF" w:rsidRDefault="00146EDE" w:rsidP="077C0FE1">
      <w:pPr>
        <w:spacing w:line="480" w:lineRule="auto"/>
        <w:jc w:val="both"/>
        <w:rPr>
          <w:rFonts w:asciiTheme="minorHAnsi" w:hAnsiTheme="minorHAnsi" w:cstheme="minorBidi"/>
        </w:rPr>
      </w:pPr>
      <w:r>
        <w:rPr>
          <w:rFonts w:asciiTheme="minorHAnsi" w:hAnsiTheme="minorHAnsi" w:cstheme="minorBidi"/>
        </w:rPr>
        <w:t>Our</w:t>
      </w:r>
      <w:r w:rsidR="73235444" w:rsidRPr="077C0FE1">
        <w:rPr>
          <w:rFonts w:asciiTheme="minorHAnsi" w:hAnsiTheme="minorHAnsi" w:cstheme="minorBidi"/>
        </w:rPr>
        <w:t xml:space="preserve"> </w:t>
      </w:r>
      <w:r w:rsidR="005855E7">
        <w:rPr>
          <w:rFonts w:asciiTheme="minorHAnsi" w:hAnsiTheme="minorHAnsi" w:cstheme="minorBidi"/>
        </w:rPr>
        <w:t>work</w:t>
      </w:r>
      <w:r w:rsidR="00C15E77">
        <w:rPr>
          <w:rFonts w:asciiTheme="minorHAnsi" w:hAnsiTheme="minorHAnsi" w:cstheme="minorBidi"/>
        </w:rPr>
        <w:t xml:space="preserve"> overcomes this limitation by applying BNs to study </w:t>
      </w:r>
      <w:r w:rsidR="00BD0E28">
        <w:rPr>
          <w:rFonts w:asciiTheme="minorHAnsi" w:hAnsiTheme="minorHAnsi" w:cstheme="minorBidi"/>
        </w:rPr>
        <w:t xml:space="preserve">the association between </w:t>
      </w:r>
      <w:r w:rsidR="00C15E77">
        <w:rPr>
          <w:rFonts w:asciiTheme="minorHAnsi" w:hAnsiTheme="minorHAnsi" w:cstheme="minorBidi"/>
        </w:rPr>
        <w:t>MR-derived measures of body composition</w:t>
      </w:r>
      <w:r w:rsidR="005855E7">
        <w:rPr>
          <w:rFonts w:asciiTheme="minorHAnsi" w:hAnsiTheme="minorHAnsi" w:cstheme="minorBidi"/>
        </w:rPr>
        <w:t xml:space="preserve"> </w:t>
      </w:r>
      <w:r w:rsidR="00850A8D">
        <w:rPr>
          <w:rFonts w:asciiTheme="minorHAnsi" w:hAnsiTheme="minorHAnsi" w:cstheme="minorBidi"/>
        </w:rPr>
        <w:t xml:space="preserve">(using regional adipose tissue volumes, VAT and SAT and organ specific fat measurements) </w:t>
      </w:r>
      <w:r w:rsidR="00BD0E28">
        <w:rPr>
          <w:rFonts w:asciiTheme="minorHAnsi" w:hAnsiTheme="minorHAnsi" w:cstheme="minorBidi"/>
        </w:rPr>
        <w:t>and</w:t>
      </w:r>
      <w:r w:rsidR="005855E7">
        <w:rPr>
          <w:rFonts w:asciiTheme="minorHAnsi" w:hAnsiTheme="minorHAnsi" w:cstheme="minorBidi"/>
        </w:rPr>
        <w:t xml:space="preserve"> NASH risk</w:t>
      </w:r>
      <w:r w:rsidR="008166B6">
        <w:rPr>
          <w:rFonts w:asciiTheme="minorHAnsi" w:hAnsiTheme="minorHAnsi" w:cstheme="minorBidi"/>
        </w:rPr>
        <w:t>,</w:t>
      </w:r>
      <w:r w:rsidR="00C15E77">
        <w:rPr>
          <w:rFonts w:asciiTheme="minorHAnsi" w:hAnsiTheme="minorHAnsi" w:cstheme="minorBidi"/>
        </w:rPr>
        <w:t xml:space="preserve"> </w:t>
      </w:r>
      <w:r w:rsidR="00C15E77" w:rsidRPr="077C0FE1">
        <w:rPr>
          <w:rFonts w:asciiTheme="minorHAnsi" w:hAnsiTheme="minorHAnsi" w:cstheme="minorBidi"/>
        </w:rPr>
        <w:t>highlight</w:t>
      </w:r>
      <w:r w:rsidR="008166B6">
        <w:rPr>
          <w:rFonts w:asciiTheme="minorHAnsi" w:hAnsiTheme="minorHAnsi" w:cstheme="minorBidi"/>
        </w:rPr>
        <w:t>ing</w:t>
      </w:r>
      <w:r w:rsidR="00385F7D">
        <w:rPr>
          <w:rFonts w:asciiTheme="minorHAnsi" w:hAnsiTheme="minorHAnsi" w:cstheme="minorBidi"/>
        </w:rPr>
        <w:t xml:space="preserve"> </w:t>
      </w:r>
      <w:r w:rsidR="008166B6">
        <w:rPr>
          <w:rFonts w:asciiTheme="minorHAnsi" w:hAnsiTheme="minorHAnsi" w:cstheme="minorBidi"/>
        </w:rPr>
        <w:t>the independent contribution of</w:t>
      </w:r>
      <w:r w:rsidR="008166B6" w:rsidRPr="008166B6">
        <w:rPr>
          <w:rFonts w:asciiTheme="minorHAnsi" w:hAnsiTheme="minorHAnsi" w:cstheme="minorBidi"/>
        </w:rPr>
        <w:t xml:space="preserve"> </w:t>
      </w:r>
      <w:r w:rsidR="008166B6">
        <w:rPr>
          <w:rFonts w:asciiTheme="minorHAnsi" w:hAnsiTheme="minorHAnsi" w:cstheme="minorBidi"/>
        </w:rPr>
        <w:t>fat deposition within</w:t>
      </w:r>
      <w:r w:rsidR="0050507B">
        <w:rPr>
          <w:rFonts w:asciiTheme="minorHAnsi" w:hAnsiTheme="minorHAnsi" w:cstheme="minorBidi"/>
        </w:rPr>
        <w:t xml:space="preserve"> visceral and</w:t>
      </w:r>
      <w:r w:rsidR="008166B6">
        <w:rPr>
          <w:rFonts w:asciiTheme="minorHAnsi" w:hAnsiTheme="minorHAnsi" w:cstheme="minorBidi"/>
        </w:rPr>
        <w:t xml:space="preserve"> subcutaneous sites</w:t>
      </w:r>
      <w:r w:rsidR="00137D80">
        <w:rPr>
          <w:rFonts w:asciiTheme="minorHAnsi" w:hAnsiTheme="minorHAnsi" w:cstheme="minorBidi"/>
        </w:rPr>
        <w:t xml:space="preserve">. </w:t>
      </w:r>
      <w:r w:rsidR="008166B6">
        <w:rPr>
          <w:rFonts w:asciiTheme="minorHAnsi" w:hAnsiTheme="minorHAnsi" w:cstheme="minorBidi"/>
        </w:rPr>
        <w:t xml:space="preserve">Specifically, </w:t>
      </w:r>
      <w:r w:rsidR="00E51B89">
        <w:rPr>
          <w:rFonts w:asciiTheme="minorHAnsi" w:hAnsiTheme="minorHAnsi" w:cstheme="minorBidi"/>
        </w:rPr>
        <w:t xml:space="preserve">within the T2D cohort </w:t>
      </w:r>
      <w:r w:rsidR="008166B6">
        <w:rPr>
          <w:rFonts w:asciiTheme="minorHAnsi" w:hAnsiTheme="minorHAnsi" w:cstheme="minorBidi"/>
        </w:rPr>
        <w:t>the probability</w:t>
      </w:r>
      <w:r w:rsidR="00BA4979">
        <w:rPr>
          <w:rFonts w:asciiTheme="minorHAnsi" w:hAnsiTheme="minorHAnsi" w:cstheme="minorBidi"/>
        </w:rPr>
        <w:t xml:space="preserve"> increase</w:t>
      </w:r>
      <w:r w:rsidR="008166B6">
        <w:rPr>
          <w:rFonts w:asciiTheme="minorHAnsi" w:hAnsiTheme="minorHAnsi" w:cstheme="minorBidi"/>
        </w:rPr>
        <w:t xml:space="preserve"> </w:t>
      </w:r>
      <w:r w:rsidR="00E51B89">
        <w:rPr>
          <w:rFonts w:asciiTheme="minorHAnsi" w:hAnsiTheme="minorHAnsi" w:cstheme="minorBidi"/>
        </w:rPr>
        <w:t xml:space="preserve">of </w:t>
      </w:r>
      <w:r w:rsidR="008166B6">
        <w:rPr>
          <w:rFonts w:asciiTheme="minorHAnsi" w:hAnsiTheme="minorHAnsi" w:cstheme="minorBidi"/>
        </w:rPr>
        <w:t>NASH</w:t>
      </w:r>
      <w:r w:rsidR="00FF155A">
        <w:rPr>
          <w:rFonts w:asciiTheme="minorHAnsi" w:hAnsiTheme="minorHAnsi" w:cstheme="minorBidi"/>
        </w:rPr>
        <w:t xml:space="preserve"> was more than double</w:t>
      </w:r>
      <w:r w:rsidR="008166B6">
        <w:rPr>
          <w:rFonts w:asciiTheme="minorHAnsi" w:hAnsiTheme="minorHAnsi" w:cstheme="minorBidi"/>
        </w:rPr>
        <w:t xml:space="preserve"> </w:t>
      </w:r>
      <w:r w:rsidR="006F00D4">
        <w:rPr>
          <w:rFonts w:asciiTheme="minorHAnsi" w:hAnsiTheme="minorHAnsi" w:cstheme="minorBidi"/>
        </w:rPr>
        <w:t>under</w:t>
      </w:r>
      <w:r w:rsidR="00600783">
        <w:rPr>
          <w:rFonts w:asciiTheme="minorHAnsi" w:hAnsiTheme="minorHAnsi" w:cstheme="minorBidi"/>
        </w:rPr>
        <w:t xml:space="preserve"> </w:t>
      </w:r>
      <w:r w:rsidR="008166B6">
        <w:rPr>
          <w:rFonts w:asciiTheme="minorHAnsi" w:hAnsiTheme="minorHAnsi" w:cstheme="minorBidi"/>
        </w:rPr>
        <w:t xml:space="preserve">elevated VAT </w:t>
      </w:r>
      <w:r w:rsidR="00600783">
        <w:rPr>
          <w:rFonts w:asciiTheme="minorHAnsi" w:hAnsiTheme="minorHAnsi" w:cstheme="minorBidi"/>
        </w:rPr>
        <w:t xml:space="preserve">(+20%) </w:t>
      </w:r>
      <w:r w:rsidR="006F00D4">
        <w:rPr>
          <w:rFonts w:asciiTheme="minorHAnsi" w:hAnsiTheme="minorHAnsi" w:cstheme="minorBidi"/>
        </w:rPr>
        <w:t>than</w:t>
      </w:r>
      <w:r w:rsidR="00600783">
        <w:rPr>
          <w:rFonts w:asciiTheme="minorHAnsi" w:hAnsiTheme="minorHAnsi" w:cstheme="minorBidi"/>
        </w:rPr>
        <w:t xml:space="preserve"> elevated SAT (+7%)</w:t>
      </w:r>
      <w:r w:rsidR="006F00D4">
        <w:rPr>
          <w:rFonts w:asciiTheme="minorHAnsi" w:hAnsiTheme="minorHAnsi" w:cstheme="minorBidi"/>
        </w:rPr>
        <w:t xml:space="preserve"> conditions</w:t>
      </w:r>
      <w:r w:rsidR="008166B6">
        <w:rPr>
          <w:rFonts w:asciiTheme="minorHAnsi" w:hAnsiTheme="minorHAnsi" w:cstheme="minorBidi"/>
        </w:rPr>
        <w:t>.</w:t>
      </w:r>
      <w:r w:rsidR="005C13C4">
        <w:rPr>
          <w:rFonts w:asciiTheme="minorHAnsi" w:hAnsiTheme="minorHAnsi" w:cstheme="minorBidi"/>
        </w:rPr>
        <w:t xml:space="preserve"> </w:t>
      </w:r>
      <w:r w:rsidR="00A158FC">
        <w:rPr>
          <w:rFonts w:asciiTheme="minorHAnsi" w:hAnsiTheme="minorHAnsi" w:cstheme="minorBidi"/>
        </w:rPr>
        <w:t xml:space="preserve"> </w:t>
      </w:r>
      <w:r w:rsidR="00392BEF">
        <w:rPr>
          <w:rFonts w:asciiTheme="minorHAnsi" w:hAnsiTheme="minorHAnsi" w:cstheme="minorBidi"/>
        </w:rPr>
        <w:t xml:space="preserve">Such finding is </w:t>
      </w:r>
      <w:r w:rsidR="001E29FD">
        <w:rPr>
          <w:rFonts w:asciiTheme="minorHAnsi" w:hAnsiTheme="minorHAnsi" w:cstheme="minorBidi"/>
        </w:rPr>
        <w:t xml:space="preserve">similar to that of </w:t>
      </w:r>
      <w:r w:rsidR="00392BEF">
        <w:rPr>
          <w:rFonts w:asciiTheme="minorHAnsi" w:hAnsiTheme="minorHAnsi" w:cstheme="minorBidi"/>
        </w:rPr>
        <w:t>(</w:t>
      </w:r>
      <w:r w:rsidR="001E29FD">
        <w:rPr>
          <w:rFonts w:asciiTheme="minorHAnsi" w:hAnsiTheme="minorHAnsi" w:cstheme="minorBidi"/>
        </w:rPr>
        <w:t>23</w:t>
      </w:r>
      <w:r w:rsidR="00392BEF">
        <w:rPr>
          <w:rFonts w:asciiTheme="minorHAnsi" w:hAnsiTheme="minorHAnsi" w:cstheme="minorBidi"/>
        </w:rPr>
        <w:t>)</w:t>
      </w:r>
      <w:r w:rsidR="001E29FD">
        <w:rPr>
          <w:rFonts w:asciiTheme="minorHAnsi" w:hAnsiTheme="minorHAnsi" w:cstheme="minorBidi"/>
        </w:rPr>
        <w:t xml:space="preserve"> </w:t>
      </w:r>
      <w:r w:rsidR="00392BEF">
        <w:rPr>
          <w:rFonts w:asciiTheme="minorHAnsi" w:hAnsiTheme="minorHAnsi" w:cstheme="minorBidi"/>
        </w:rPr>
        <w:t>who</w:t>
      </w:r>
      <w:r w:rsidR="001E29FD">
        <w:rPr>
          <w:rFonts w:asciiTheme="minorHAnsi" w:hAnsiTheme="minorHAnsi" w:cstheme="minorBidi"/>
        </w:rPr>
        <w:t xml:space="preserve">, despite </w:t>
      </w:r>
      <w:r w:rsidR="001E29FD">
        <w:rPr>
          <w:rFonts w:asciiTheme="minorHAnsi" w:hAnsiTheme="minorHAnsi" w:cstheme="minorBidi"/>
        </w:rPr>
        <w:lastRenderedPageBreak/>
        <w:t xml:space="preserve">applying different statistical techniques, also observed that higher measures of VAT relative to SAT was predictive of advanced liver fibrosis in people with NAFLD. </w:t>
      </w:r>
    </w:p>
    <w:p w14:paraId="2ADF18CD" w14:textId="77777777" w:rsidR="00392BEF" w:rsidRDefault="00392BEF" w:rsidP="077C0FE1">
      <w:pPr>
        <w:spacing w:line="480" w:lineRule="auto"/>
        <w:jc w:val="both"/>
        <w:rPr>
          <w:rFonts w:asciiTheme="minorHAnsi" w:hAnsiTheme="minorHAnsi" w:cstheme="minorBidi"/>
        </w:rPr>
      </w:pPr>
    </w:p>
    <w:p w14:paraId="5FCB5E4E" w14:textId="5C633A60" w:rsidR="00C15E77" w:rsidRDefault="00267749" w:rsidP="077C0FE1">
      <w:pPr>
        <w:spacing w:line="480" w:lineRule="auto"/>
        <w:jc w:val="both"/>
        <w:rPr>
          <w:rFonts w:asciiTheme="minorHAnsi" w:hAnsiTheme="minorHAnsi" w:cstheme="minorBidi"/>
        </w:rPr>
      </w:pPr>
      <w:r w:rsidRPr="077C0FE1">
        <w:rPr>
          <w:rFonts w:asciiTheme="minorHAnsi" w:hAnsiTheme="minorHAnsi" w:cstheme="minorBidi"/>
        </w:rPr>
        <w:t>VAT area is independently associated with NASH and correlates significantly with histology confirmed NAFLD with significant fibrosis</w:t>
      </w:r>
      <w:r w:rsidR="00227B2A">
        <w:rPr>
          <w:rFonts w:asciiTheme="minorHAnsi" w:hAnsiTheme="minorHAnsi" w:cstheme="minorBidi"/>
        </w:rPr>
        <w:t xml:space="preserve"> (2</w:t>
      </w:r>
      <w:r w:rsidR="001E29FD">
        <w:rPr>
          <w:rFonts w:asciiTheme="minorHAnsi" w:hAnsiTheme="minorHAnsi" w:cstheme="minorBidi"/>
        </w:rPr>
        <w:t>4</w:t>
      </w:r>
      <w:r w:rsidR="00227B2A">
        <w:rPr>
          <w:rFonts w:asciiTheme="minorHAnsi" w:hAnsiTheme="minorHAnsi" w:cstheme="minorBidi"/>
        </w:rPr>
        <w:t>).</w:t>
      </w:r>
      <w:r w:rsidRPr="077C0FE1">
        <w:rPr>
          <w:rFonts w:asciiTheme="minorHAnsi" w:hAnsiTheme="minorHAnsi" w:cstheme="minorBidi"/>
        </w:rPr>
        <w:t xml:space="preserve"> Proposed mechanisms behind </w:t>
      </w:r>
      <w:r w:rsidR="00F9431E">
        <w:rPr>
          <w:rFonts w:asciiTheme="minorHAnsi" w:hAnsiTheme="minorHAnsi" w:cstheme="minorBidi"/>
        </w:rPr>
        <w:t xml:space="preserve">the association of </w:t>
      </w:r>
      <w:r w:rsidRPr="077C0FE1">
        <w:rPr>
          <w:rFonts w:asciiTheme="minorHAnsi" w:hAnsiTheme="minorHAnsi" w:cstheme="minorBidi"/>
        </w:rPr>
        <w:t xml:space="preserve">elevated VAT and NASH include </w:t>
      </w:r>
      <w:proofErr w:type="spellStart"/>
      <w:r w:rsidRPr="077C0FE1">
        <w:rPr>
          <w:rFonts w:asciiTheme="minorHAnsi" w:hAnsiTheme="minorHAnsi" w:cstheme="minorBidi"/>
        </w:rPr>
        <w:t>lipotoxicity</w:t>
      </w:r>
      <w:proofErr w:type="spellEnd"/>
      <w:r w:rsidRPr="077C0FE1">
        <w:rPr>
          <w:rFonts w:asciiTheme="minorHAnsi" w:hAnsiTheme="minorHAnsi" w:cstheme="minorBidi"/>
        </w:rPr>
        <w:t xml:space="preserve"> and an overexpression of proinflammatory cytokines that promote inflammation and fibrosis within the hepatocytes</w:t>
      </w:r>
      <w:r w:rsidR="00AA2B7A">
        <w:rPr>
          <w:rFonts w:asciiTheme="minorHAnsi" w:hAnsiTheme="minorHAnsi" w:cstheme="minorBidi"/>
        </w:rPr>
        <w:t xml:space="preserve"> (2</w:t>
      </w:r>
      <w:r w:rsidR="001E29FD">
        <w:rPr>
          <w:rFonts w:asciiTheme="minorHAnsi" w:hAnsiTheme="minorHAnsi" w:cstheme="minorBidi"/>
        </w:rPr>
        <w:t>5</w:t>
      </w:r>
      <w:r w:rsidR="00AA2B7A">
        <w:rPr>
          <w:rFonts w:asciiTheme="minorHAnsi" w:hAnsiTheme="minorHAnsi" w:cstheme="minorBidi"/>
        </w:rPr>
        <w:t>).</w:t>
      </w:r>
      <w:r w:rsidR="00A158FC">
        <w:rPr>
          <w:rFonts w:asciiTheme="minorHAnsi" w:hAnsiTheme="minorHAnsi" w:cstheme="minorBidi"/>
        </w:rPr>
        <w:t xml:space="preserve"> Such </w:t>
      </w:r>
      <w:r w:rsidR="00B83D73">
        <w:rPr>
          <w:rFonts w:asciiTheme="minorHAnsi" w:hAnsiTheme="minorHAnsi" w:cstheme="minorBidi"/>
        </w:rPr>
        <w:t>overexpression of</w:t>
      </w:r>
      <w:r w:rsidR="00FA5421">
        <w:rPr>
          <w:rFonts w:asciiTheme="minorHAnsi" w:hAnsiTheme="minorHAnsi" w:cstheme="minorBidi"/>
        </w:rPr>
        <w:t xml:space="preserve"> cytokines has been linked to fat deposition within visceral, </w:t>
      </w:r>
      <w:r w:rsidR="00B83D73">
        <w:rPr>
          <w:rFonts w:asciiTheme="minorHAnsi" w:hAnsiTheme="minorHAnsi" w:cstheme="minorBidi"/>
        </w:rPr>
        <w:t xml:space="preserve">but </w:t>
      </w:r>
      <w:r w:rsidR="00FA5421">
        <w:rPr>
          <w:rFonts w:asciiTheme="minorHAnsi" w:hAnsiTheme="minorHAnsi" w:cstheme="minorBidi"/>
        </w:rPr>
        <w:t>not subcutaneous,</w:t>
      </w:r>
      <w:r w:rsidR="006D0482">
        <w:rPr>
          <w:rFonts w:asciiTheme="minorHAnsi" w:hAnsiTheme="minorHAnsi" w:cstheme="minorBidi"/>
        </w:rPr>
        <w:t xml:space="preserve"> adipose</w:t>
      </w:r>
      <w:r w:rsidR="00FA5421">
        <w:rPr>
          <w:rFonts w:asciiTheme="minorHAnsi" w:hAnsiTheme="minorHAnsi" w:cstheme="minorBidi"/>
        </w:rPr>
        <w:t xml:space="preserve"> sites</w:t>
      </w:r>
      <w:r w:rsidR="009A4CB1">
        <w:rPr>
          <w:rFonts w:asciiTheme="minorHAnsi" w:hAnsiTheme="minorHAnsi" w:cstheme="minorBidi"/>
        </w:rPr>
        <w:t xml:space="preserve"> (2</w:t>
      </w:r>
      <w:r w:rsidR="001E29FD">
        <w:rPr>
          <w:rFonts w:asciiTheme="minorHAnsi" w:hAnsiTheme="minorHAnsi" w:cstheme="minorBidi"/>
        </w:rPr>
        <w:t>6</w:t>
      </w:r>
      <w:r w:rsidR="009A4CB1">
        <w:rPr>
          <w:rFonts w:asciiTheme="minorHAnsi" w:hAnsiTheme="minorHAnsi" w:cstheme="minorBidi"/>
        </w:rPr>
        <w:t>)</w:t>
      </w:r>
      <w:r w:rsidR="00FA5421">
        <w:rPr>
          <w:rFonts w:asciiTheme="minorHAnsi" w:hAnsiTheme="minorHAnsi" w:cstheme="minorBidi"/>
        </w:rPr>
        <w:t xml:space="preserve">. </w:t>
      </w:r>
    </w:p>
    <w:p w14:paraId="432B7425" w14:textId="77777777" w:rsidR="001365E2" w:rsidRPr="003A2521" w:rsidRDefault="001365E2" w:rsidP="00C314D8">
      <w:pPr>
        <w:spacing w:line="480" w:lineRule="auto"/>
        <w:jc w:val="both"/>
        <w:rPr>
          <w:rFonts w:asciiTheme="minorHAnsi" w:hAnsiTheme="minorHAnsi" w:cstheme="minorHAnsi"/>
          <w:sz w:val="10"/>
          <w:szCs w:val="10"/>
        </w:rPr>
      </w:pPr>
    </w:p>
    <w:p w14:paraId="50036F41" w14:textId="6299F317" w:rsidR="003D4167" w:rsidRDefault="003D4167" w:rsidP="077C0FE1">
      <w:pPr>
        <w:spacing w:line="480" w:lineRule="auto"/>
        <w:jc w:val="both"/>
        <w:rPr>
          <w:rFonts w:asciiTheme="minorHAnsi" w:hAnsiTheme="minorHAnsi" w:cstheme="minorBidi"/>
        </w:rPr>
      </w:pPr>
      <w:r w:rsidRPr="077C0FE1">
        <w:rPr>
          <w:rFonts w:asciiTheme="minorHAnsi" w:hAnsiTheme="minorHAnsi" w:cstheme="minorBidi"/>
        </w:rPr>
        <w:t xml:space="preserve">In participants </w:t>
      </w:r>
      <w:r w:rsidR="00B61CF2">
        <w:rPr>
          <w:rFonts w:asciiTheme="minorHAnsi" w:hAnsiTheme="minorHAnsi" w:cstheme="minorBidi"/>
        </w:rPr>
        <w:t>with</w:t>
      </w:r>
      <w:r w:rsidRPr="077C0FE1">
        <w:rPr>
          <w:rFonts w:asciiTheme="minorHAnsi" w:hAnsiTheme="minorHAnsi" w:cstheme="minorBidi"/>
        </w:rPr>
        <w:t xml:space="preserve"> T2D, our </w:t>
      </w:r>
      <w:r w:rsidR="00267749" w:rsidRPr="077C0FE1">
        <w:rPr>
          <w:rFonts w:asciiTheme="minorHAnsi" w:hAnsiTheme="minorHAnsi" w:cstheme="minorBidi"/>
        </w:rPr>
        <w:t>analysis</w:t>
      </w:r>
      <w:r w:rsidRPr="077C0FE1">
        <w:rPr>
          <w:rFonts w:asciiTheme="minorHAnsi" w:hAnsiTheme="minorHAnsi" w:cstheme="minorBidi"/>
        </w:rPr>
        <w:t xml:space="preserve"> revealed a </w:t>
      </w:r>
      <w:r w:rsidR="00B61CF2">
        <w:rPr>
          <w:rFonts w:asciiTheme="minorHAnsi" w:hAnsiTheme="minorHAnsi" w:cstheme="minorBidi"/>
        </w:rPr>
        <w:t>22</w:t>
      </w:r>
      <w:r w:rsidRPr="077C0FE1">
        <w:rPr>
          <w:rFonts w:asciiTheme="minorHAnsi" w:hAnsiTheme="minorHAnsi" w:cstheme="minorBidi"/>
        </w:rPr>
        <w:t>% reduction in the probability of NASH when lowering HbA1c from the ‘high’</w:t>
      </w:r>
      <w:r w:rsidR="00462FF1">
        <w:rPr>
          <w:rFonts w:asciiTheme="minorHAnsi" w:hAnsiTheme="minorHAnsi" w:cstheme="minorBidi"/>
        </w:rPr>
        <w:t xml:space="preserve"> (&gt;</w:t>
      </w:r>
      <w:r w:rsidR="00DC2DB8">
        <w:rPr>
          <w:rFonts w:asciiTheme="minorHAnsi" w:hAnsiTheme="minorHAnsi" w:cstheme="minorBidi"/>
        </w:rPr>
        <w:t>6</w:t>
      </w:r>
      <w:r w:rsidR="00624ECF">
        <w:rPr>
          <w:rFonts w:asciiTheme="minorHAnsi" w:hAnsiTheme="minorHAnsi" w:cstheme="minorBidi"/>
        </w:rPr>
        <w:t>2</w:t>
      </w:r>
      <w:r w:rsidR="00462FF1">
        <w:rPr>
          <w:rFonts w:asciiTheme="minorHAnsi" w:hAnsiTheme="minorHAnsi" w:cstheme="minorBidi"/>
        </w:rPr>
        <w:t>mmol/mol)</w:t>
      </w:r>
      <w:r w:rsidR="00850A8D">
        <w:rPr>
          <w:rFonts w:asciiTheme="minorHAnsi" w:hAnsiTheme="minorHAnsi" w:cstheme="minorBidi"/>
        </w:rPr>
        <w:t xml:space="preserve"> </w:t>
      </w:r>
      <w:r w:rsidRPr="077C0FE1">
        <w:rPr>
          <w:rFonts w:asciiTheme="minorHAnsi" w:hAnsiTheme="minorHAnsi" w:cstheme="minorBidi"/>
        </w:rPr>
        <w:t xml:space="preserve">to ‘low’ </w:t>
      </w:r>
      <w:r w:rsidR="00462FF1">
        <w:rPr>
          <w:rFonts w:asciiTheme="minorHAnsi" w:hAnsiTheme="minorHAnsi" w:cstheme="minorBidi"/>
        </w:rPr>
        <w:t>(&lt;</w:t>
      </w:r>
      <w:r w:rsidR="00DC2DB8">
        <w:rPr>
          <w:rFonts w:asciiTheme="minorHAnsi" w:hAnsiTheme="minorHAnsi" w:cstheme="minorBidi"/>
        </w:rPr>
        <w:t>6</w:t>
      </w:r>
      <w:r w:rsidR="00624ECF">
        <w:rPr>
          <w:rFonts w:asciiTheme="minorHAnsi" w:hAnsiTheme="minorHAnsi" w:cstheme="minorBidi"/>
        </w:rPr>
        <w:t>2</w:t>
      </w:r>
      <w:r w:rsidR="00462FF1">
        <w:rPr>
          <w:rFonts w:asciiTheme="minorHAnsi" w:hAnsiTheme="minorHAnsi" w:cstheme="minorBidi"/>
        </w:rPr>
        <w:t xml:space="preserve">mmol/mol) </w:t>
      </w:r>
      <w:r w:rsidRPr="077C0FE1">
        <w:rPr>
          <w:rFonts w:asciiTheme="minorHAnsi" w:hAnsiTheme="minorHAnsi" w:cstheme="minorBidi"/>
        </w:rPr>
        <w:t>range. Furthermore, NASH</w:t>
      </w:r>
      <w:r w:rsidR="009121C2" w:rsidRPr="077C0FE1">
        <w:rPr>
          <w:rFonts w:asciiTheme="minorHAnsi" w:hAnsiTheme="minorHAnsi" w:cstheme="minorBidi"/>
        </w:rPr>
        <w:t xml:space="preserve"> risk</w:t>
      </w:r>
      <w:r w:rsidRPr="077C0FE1">
        <w:rPr>
          <w:rFonts w:asciiTheme="minorHAnsi" w:hAnsiTheme="minorHAnsi" w:cstheme="minorBidi"/>
        </w:rPr>
        <w:t xml:space="preserve"> was reduced by </w:t>
      </w:r>
      <w:r w:rsidR="00DC2DB8">
        <w:rPr>
          <w:rFonts w:asciiTheme="minorHAnsi" w:hAnsiTheme="minorHAnsi" w:cstheme="minorBidi"/>
        </w:rPr>
        <w:t>29</w:t>
      </w:r>
      <w:r w:rsidR="00120956" w:rsidRPr="077C0FE1">
        <w:rPr>
          <w:rFonts w:asciiTheme="minorHAnsi" w:hAnsiTheme="minorHAnsi" w:cstheme="minorBidi"/>
        </w:rPr>
        <w:t>% when lowering HbA1c in an example high risk</w:t>
      </w:r>
      <w:r w:rsidR="002A4527" w:rsidRPr="077C0FE1">
        <w:rPr>
          <w:rFonts w:asciiTheme="minorHAnsi" w:hAnsiTheme="minorHAnsi" w:cstheme="minorBidi"/>
        </w:rPr>
        <w:t xml:space="preserve"> </w:t>
      </w:r>
      <w:r w:rsidR="00120956" w:rsidRPr="077C0FE1">
        <w:rPr>
          <w:rFonts w:asciiTheme="minorHAnsi" w:hAnsiTheme="minorHAnsi" w:cstheme="minorBidi"/>
        </w:rPr>
        <w:t xml:space="preserve">phenotype. Importantly, this </w:t>
      </w:r>
      <w:r w:rsidRPr="077C0FE1">
        <w:rPr>
          <w:rFonts w:asciiTheme="minorHAnsi" w:hAnsiTheme="minorHAnsi" w:cstheme="minorBidi"/>
        </w:rPr>
        <w:t>was achieved with</w:t>
      </w:r>
      <w:r w:rsidR="00886A1A">
        <w:rPr>
          <w:rFonts w:asciiTheme="minorHAnsi" w:hAnsiTheme="minorHAnsi" w:cstheme="minorBidi"/>
        </w:rPr>
        <w:t>o</w:t>
      </w:r>
      <w:r w:rsidRPr="077C0FE1">
        <w:rPr>
          <w:rFonts w:asciiTheme="minorHAnsi" w:hAnsiTheme="minorHAnsi" w:cstheme="minorBidi"/>
        </w:rPr>
        <w:t xml:space="preserve">ut specifying changes to obesity status, liver fat content or body composition. </w:t>
      </w:r>
      <w:r w:rsidR="00886A1A">
        <w:rPr>
          <w:rFonts w:asciiTheme="minorHAnsi" w:hAnsiTheme="minorHAnsi" w:cstheme="minorBidi"/>
        </w:rPr>
        <w:t>Chronically e</w:t>
      </w:r>
      <w:r w:rsidR="009374C4">
        <w:rPr>
          <w:rFonts w:asciiTheme="minorHAnsi" w:hAnsiTheme="minorHAnsi" w:cstheme="minorBidi"/>
        </w:rPr>
        <w:t>levated blood glucose (</w:t>
      </w:r>
      <w:r w:rsidR="00850A8D">
        <w:rPr>
          <w:rFonts w:asciiTheme="minorHAnsi" w:hAnsiTheme="minorHAnsi" w:cstheme="minorBidi"/>
        </w:rPr>
        <w:t>i</w:t>
      </w:r>
      <w:r w:rsidR="00886A1A">
        <w:rPr>
          <w:rFonts w:asciiTheme="minorHAnsi" w:hAnsiTheme="minorHAnsi" w:cstheme="minorBidi"/>
        </w:rPr>
        <w:t xml:space="preserve">.e., </w:t>
      </w:r>
      <w:r w:rsidR="00850A8D">
        <w:rPr>
          <w:rFonts w:asciiTheme="minorHAnsi" w:hAnsiTheme="minorHAnsi" w:cstheme="minorBidi"/>
        </w:rPr>
        <w:t>glucotoxicity</w:t>
      </w:r>
      <w:r w:rsidR="009374C4">
        <w:rPr>
          <w:rFonts w:asciiTheme="minorHAnsi" w:hAnsiTheme="minorHAnsi" w:cstheme="minorBidi"/>
        </w:rPr>
        <w:t>)</w:t>
      </w:r>
      <w:r w:rsidR="00E92C8B">
        <w:rPr>
          <w:rFonts w:asciiTheme="minorHAnsi" w:hAnsiTheme="minorHAnsi" w:cstheme="minorBidi"/>
        </w:rPr>
        <w:t xml:space="preserve"> </w:t>
      </w:r>
      <w:r w:rsidR="001F5DE6">
        <w:rPr>
          <w:rFonts w:asciiTheme="minorHAnsi" w:hAnsiTheme="minorHAnsi" w:cstheme="minorBidi"/>
        </w:rPr>
        <w:t>has been linked to</w:t>
      </w:r>
      <w:r w:rsidR="00667602">
        <w:rPr>
          <w:rFonts w:asciiTheme="minorHAnsi" w:hAnsiTheme="minorHAnsi" w:cstheme="minorBidi"/>
        </w:rPr>
        <w:t xml:space="preserve"> </w:t>
      </w:r>
      <w:r w:rsidR="002E0B51">
        <w:rPr>
          <w:rFonts w:asciiTheme="minorHAnsi" w:hAnsiTheme="minorHAnsi" w:cstheme="minorBidi"/>
        </w:rPr>
        <w:t>NASH</w:t>
      </w:r>
      <w:r w:rsidR="005C3496">
        <w:rPr>
          <w:rFonts w:asciiTheme="minorHAnsi" w:hAnsiTheme="minorHAnsi" w:cstheme="minorBidi"/>
        </w:rPr>
        <w:t xml:space="preserve"> development</w:t>
      </w:r>
      <w:r w:rsidR="00667602">
        <w:rPr>
          <w:rFonts w:asciiTheme="minorHAnsi" w:hAnsiTheme="minorHAnsi" w:cstheme="minorBidi"/>
        </w:rPr>
        <w:t xml:space="preserve"> </w:t>
      </w:r>
      <w:r w:rsidR="00CB22AB">
        <w:rPr>
          <w:rFonts w:asciiTheme="minorHAnsi" w:hAnsiTheme="minorHAnsi" w:cstheme="minorBidi"/>
        </w:rPr>
        <w:t>via its effects on</w:t>
      </w:r>
      <w:r w:rsidR="00E92C8B">
        <w:rPr>
          <w:rFonts w:asciiTheme="minorHAnsi" w:hAnsiTheme="minorHAnsi" w:cstheme="minorBidi"/>
        </w:rPr>
        <w:t xml:space="preserve"> </w:t>
      </w:r>
      <w:r w:rsidR="002E0B51">
        <w:rPr>
          <w:rFonts w:asciiTheme="minorHAnsi" w:hAnsiTheme="minorHAnsi" w:cstheme="minorBidi"/>
        </w:rPr>
        <w:t>increasing TCA cycle</w:t>
      </w:r>
      <w:r w:rsidR="005C3496">
        <w:rPr>
          <w:rFonts w:asciiTheme="minorHAnsi" w:hAnsiTheme="minorHAnsi" w:cstheme="minorBidi"/>
        </w:rPr>
        <w:t xml:space="preserve"> activity</w:t>
      </w:r>
      <w:r w:rsidR="00DA7EA5">
        <w:rPr>
          <w:rFonts w:asciiTheme="minorHAnsi" w:hAnsiTheme="minorHAnsi" w:cstheme="minorBidi"/>
        </w:rPr>
        <w:t xml:space="preserve"> and synthesis of Acyl </w:t>
      </w:r>
      <w:r w:rsidR="00CB22AB">
        <w:rPr>
          <w:rFonts w:asciiTheme="minorHAnsi" w:hAnsiTheme="minorHAnsi" w:cstheme="minorBidi"/>
        </w:rPr>
        <w:t>CoA</w:t>
      </w:r>
      <w:r w:rsidR="002E0B51">
        <w:rPr>
          <w:rFonts w:asciiTheme="minorHAnsi" w:hAnsiTheme="minorHAnsi" w:cstheme="minorBidi"/>
        </w:rPr>
        <w:t xml:space="preserve"> </w:t>
      </w:r>
      <w:r w:rsidR="00CB22AB">
        <w:rPr>
          <w:rFonts w:asciiTheme="minorHAnsi" w:hAnsiTheme="minorHAnsi" w:cstheme="minorBidi"/>
        </w:rPr>
        <w:t>that promote</w:t>
      </w:r>
      <w:r w:rsidR="002253D3">
        <w:rPr>
          <w:rFonts w:asciiTheme="minorHAnsi" w:hAnsiTheme="minorHAnsi" w:cstheme="minorBidi"/>
        </w:rPr>
        <w:t xml:space="preserve"> de novo </w:t>
      </w:r>
      <w:r w:rsidR="00A07CC8">
        <w:rPr>
          <w:rFonts w:asciiTheme="minorHAnsi" w:hAnsiTheme="minorHAnsi" w:cstheme="minorBidi"/>
        </w:rPr>
        <w:t>lipogenesis</w:t>
      </w:r>
      <w:r w:rsidR="005B6C0B">
        <w:rPr>
          <w:rFonts w:asciiTheme="minorHAnsi" w:hAnsiTheme="minorHAnsi" w:cstheme="minorBidi"/>
        </w:rPr>
        <w:t xml:space="preserve"> and</w:t>
      </w:r>
      <w:r w:rsidR="00842EC8">
        <w:rPr>
          <w:rFonts w:asciiTheme="minorHAnsi" w:hAnsiTheme="minorHAnsi" w:cstheme="minorBidi"/>
        </w:rPr>
        <w:t xml:space="preserve"> </w:t>
      </w:r>
      <w:r w:rsidR="00A07CC8">
        <w:rPr>
          <w:rFonts w:asciiTheme="minorHAnsi" w:hAnsiTheme="minorHAnsi" w:cstheme="minorBidi"/>
        </w:rPr>
        <w:t>oxidative stress</w:t>
      </w:r>
      <w:r w:rsidR="00272D4D">
        <w:rPr>
          <w:rFonts w:asciiTheme="minorHAnsi" w:hAnsiTheme="minorHAnsi" w:cstheme="minorBidi"/>
        </w:rPr>
        <w:t xml:space="preserve"> </w:t>
      </w:r>
      <w:r w:rsidR="00A07CC8">
        <w:rPr>
          <w:rFonts w:asciiTheme="minorHAnsi" w:hAnsiTheme="minorHAnsi" w:cstheme="minorBidi"/>
        </w:rPr>
        <w:t>(</w:t>
      </w:r>
      <w:r w:rsidR="00B82554">
        <w:rPr>
          <w:rFonts w:asciiTheme="minorHAnsi" w:hAnsiTheme="minorHAnsi" w:cstheme="minorBidi"/>
        </w:rPr>
        <w:t>2</w:t>
      </w:r>
      <w:r w:rsidR="001E29FD">
        <w:rPr>
          <w:rFonts w:asciiTheme="minorHAnsi" w:hAnsiTheme="minorHAnsi" w:cstheme="minorBidi"/>
        </w:rPr>
        <w:t>7</w:t>
      </w:r>
      <w:r w:rsidR="00A07CC8">
        <w:rPr>
          <w:rFonts w:asciiTheme="minorHAnsi" w:hAnsiTheme="minorHAnsi" w:cstheme="minorBidi"/>
        </w:rPr>
        <w:t xml:space="preserve">). </w:t>
      </w:r>
      <w:r w:rsidR="0AB415AB" w:rsidRPr="077C0FE1">
        <w:rPr>
          <w:rFonts w:asciiTheme="minorHAnsi" w:hAnsiTheme="minorHAnsi" w:cstheme="minorBidi"/>
        </w:rPr>
        <w:t>A</w:t>
      </w:r>
      <w:r w:rsidRPr="077C0FE1">
        <w:rPr>
          <w:rFonts w:asciiTheme="minorHAnsi" w:hAnsiTheme="minorHAnsi" w:cstheme="minorBidi"/>
        </w:rPr>
        <w:t>t the time of writing</w:t>
      </w:r>
      <w:r w:rsidR="7CD6D1FF" w:rsidRPr="077C0FE1">
        <w:rPr>
          <w:rFonts w:asciiTheme="minorHAnsi" w:hAnsiTheme="minorHAnsi" w:cstheme="minorBidi"/>
        </w:rPr>
        <w:t>,</w:t>
      </w:r>
      <w:r w:rsidRPr="077C0FE1">
        <w:rPr>
          <w:rFonts w:asciiTheme="minorHAnsi" w:hAnsiTheme="minorHAnsi" w:cstheme="minorBidi"/>
        </w:rPr>
        <w:t xml:space="preserve"> no FDA-approved pharmacological medications are available for the treatment of NASH</w:t>
      </w:r>
      <w:r w:rsidR="67CD546A" w:rsidRPr="077C0FE1">
        <w:rPr>
          <w:rFonts w:asciiTheme="minorHAnsi" w:hAnsiTheme="minorHAnsi" w:cstheme="minorBidi"/>
        </w:rPr>
        <w:t>.  To this end, our</w:t>
      </w:r>
      <w:r w:rsidRPr="077C0FE1">
        <w:rPr>
          <w:rFonts w:asciiTheme="minorHAnsi" w:hAnsiTheme="minorHAnsi" w:cstheme="minorBidi"/>
        </w:rPr>
        <w:t xml:space="preserve"> finding</w:t>
      </w:r>
      <w:r w:rsidR="57A17E10" w:rsidRPr="077C0FE1">
        <w:rPr>
          <w:rFonts w:asciiTheme="minorHAnsi" w:hAnsiTheme="minorHAnsi" w:cstheme="minorBidi"/>
        </w:rPr>
        <w:t>s</w:t>
      </w:r>
      <w:r w:rsidRPr="077C0FE1">
        <w:rPr>
          <w:rFonts w:asciiTheme="minorHAnsi" w:hAnsiTheme="minorHAnsi" w:cstheme="minorBidi"/>
        </w:rPr>
        <w:t xml:space="preserve"> highlight the potential of glucose lowering therapies for </w:t>
      </w:r>
      <w:r w:rsidR="00850A8D">
        <w:rPr>
          <w:rFonts w:asciiTheme="minorHAnsi" w:hAnsiTheme="minorHAnsi" w:cstheme="minorBidi"/>
        </w:rPr>
        <w:t>mitigating</w:t>
      </w:r>
      <w:r w:rsidR="00850A8D" w:rsidRPr="077C0FE1">
        <w:rPr>
          <w:rFonts w:asciiTheme="minorHAnsi" w:hAnsiTheme="minorHAnsi" w:cstheme="minorBidi"/>
        </w:rPr>
        <w:t xml:space="preserve"> </w:t>
      </w:r>
      <w:r w:rsidRPr="077C0FE1">
        <w:rPr>
          <w:rFonts w:asciiTheme="minorHAnsi" w:hAnsiTheme="minorHAnsi" w:cstheme="minorBidi"/>
        </w:rPr>
        <w:t>NASH risk</w:t>
      </w:r>
      <w:r w:rsidR="706D1EA7" w:rsidRPr="077C0FE1">
        <w:rPr>
          <w:rFonts w:asciiTheme="minorHAnsi" w:hAnsiTheme="minorHAnsi" w:cstheme="minorBidi"/>
        </w:rPr>
        <w:t>, particularly</w:t>
      </w:r>
      <w:r w:rsidRPr="077C0FE1">
        <w:rPr>
          <w:rFonts w:asciiTheme="minorHAnsi" w:hAnsiTheme="minorHAnsi" w:cstheme="minorBidi"/>
        </w:rPr>
        <w:t xml:space="preserve"> in high-risk </w:t>
      </w:r>
      <w:r w:rsidR="00850A8D">
        <w:rPr>
          <w:rFonts w:asciiTheme="minorHAnsi" w:hAnsiTheme="minorHAnsi" w:cstheme="minorBidi"/>
        </w:rPr>
        <w:t xml:space="preserve">metabolically unhealthy </w:t>
      </w:r>
      <w:r w:rsidRPr="077C0FE1">
        <w:rPr>
          <w:rFonts w:asciiTheme="minorHAnsi" w:hAnsiTheme="minorHAnsi" w:cstheme="minorBidi"/>
        </w:rPr>
        <w:t>population</w:t>
      </w:r>
      <w:r w:rsidR="6A558FED" w:rsidRPr="077C0FE1">
        <w:rPr>
          <w:rFonts w:asciiTheme="minorHAnsi" w:hAnsiTheme="minorHAnsi" w:cstheme="minorBidi"/>
        </w:rPr>
        <w:t>s</w:t>
      </w:r>
      <w:r w:rsidR="00850A8D">
        <w:rPr>
          <w:rFonts w:asciiTheme="minorHAnsi" w:hAnsiTheme="minorHAnsi" w:cstheme="minorBidi"/>
        </w:rPr>
        <w:t xml:space="preserve"> or those with overweight/obesity</w:t>
      </w:r>
      <w:r w:rsidRPr="077C0FE1">
        <w:rPr>
          <w:rFonts w:asciiTheme="minorHAnsi" w:hAnsiTheme="minorHAnsi" w:cstheme="minorBidi"/>
        </w:rPr>
        <w:t>. I</w:t>
      </w:r>
      <w:r w:rsidR="2FA76052" w:rsidRPr="077C0FE1">
        <w:rPr>
          <w:rFonts w:asciiTheme="minorHAnsi" w:hAnsiTheme="minorHAnsi" w:cstheme="minorBidi"/>
        </w:rPr>
        <w:t>nterestingly</w:t>
      </w:r>
      <w:r w:rsidRPr="077C0FE1">
        <w:rPr>
          <w:rFonts w:asciiTheme="minorHAnsi" w:hAnsiTheme="minorHAnsi" w:cstheme="minorBidi"/>
        </w:rPr>
        <w:t>,</w:t>
      </w:r>
      <w:r w:rsidR="00762D5D">
        <w:rPr>
          <w:rFonts w:asciiTheme="minorHAnsi" w:hAnsiTheme="minorHAnsi" w:cstheme="minorBidi"/>
        </w:rPr>
        <w:t xml:space="preserve"> newer T2D therapies such as GLP1-</w:t>
      </w:r>
      <w:r w:rsidR="00850A8D">
        <w:rPr>
          <w:rFonts w:asciiTheme="minorHAnsi" w:hAnsiTheme="minorHAnsi" w:cstheme="minorBidi"/>
        </w:rPr>
        <w:t xml:space="preserve">receptor agonists (liraglutide, </w:t>
      </w:r>
      <w:proofErr w:type="spellStart"/>
      <w:r w:rsidR="00850A8D">
        <w:rPr>
          <w:rFonts w:asciiTheme="minorHAnsi" w:hAnsiTheme="minorHAnsi" w:cstheme="minorBidi"/>
        </w:rPr>
        <w:t>semaglutide</w:t>
      </w:r>
      <w:proofErr w:type="spellEnd"/>
      <w:r w:rsidR="00850A8D">
        <w:rPr>
          <w:rFonts w:asciiTheme="minorHAnsi" w:hAnsiTheme="minorHAnsi" w:cstheme="minorBidi"/>
        </w:rPr>
        <w:t>), novel dual and triple peptides (</w:t>
      </w:r>
      <w:proofErr w:type="gramStart"/>
      <w:r w:rsidR="00850A8D">
        <w:rPr>
          <w:rFonts w:asciiTheme="minorHAnsi" w:hAnsiTheme="minorHAnsi" w:cstheme="minorBidi"/>
        </w:rPr>
        <w:t>e.g.</w:t>
      </w:r>
      <w:proofErr w:type="gramEnd"/>
      <w:r w:rsidR="00850A8D">
        <w:rPr>
          <w:rFonts w:asciiTheme="minorHAnsi" w:hAnsiTheme="minorHAnsi" w:cstheme="minorBidi"/>
        </w:rPr>
        <w:t xml:space="preserve"> </w:t>
      </w:r>
      <w:proofErr w:type="spellStart"/>
      <w:r w:rsidR="00850A8D">
        <w:rPr>
          <w:rFonts w:asciiTheme="minorHAnsi" w:hAnsiTheme="minorHAnsi" w:cstheme="minorBidi"/>
        </w:rPr>
        <w:t>tirzepatide</w:t>
      </w:r>
      <w:proofErr w:type="spellEnd"/>
      <w:r w:rsidR="00850A8D">
        <w:rPr>
          <w:rFonts w:asciiTheme="minorHAnsi" w:hAnsiTheme="minorHAnsi" w:cstheme="minorBidi"/>
        </w:rPr>
        <w:t>)</w:t>
      </w:r>
      <w:r w:rsidR="0021400D">
        <w:rPr>
          <w:rFonts w:asciiTheme="minorHAnsi" w:hAnsiTheme="minorHAnsi" w:cstheme="minorBidi"/>
        </w:rPr>
        <w:t xml:space="preserve"> and</w:t>
      </w:r>
      <w:r w:rsidR="00850A8D">
        <w:rPr>
          <w:rFonts w:asciiTheme="minorHAnsi" w:hAnsiTheme="minorHAnsi" w:cstheme="minorBidi"/>
        </w:rPr>
        <w:t xml:space="preserve"> </w:t>
      </w:r>
      <w:r w:rsidRPr="077C0FE1">
        <w:rPr>
          <w:rFonts w:asciiTheme="minorHAnsi" w:hAnsiTheme="minorHAnsi" w:cstheme="minorBidi"/>
        </w:rPr>
        <w:t>SGLT2-</w:t>
      </w:r>
      <w:r w:rsidR="00850A8D">
        <w:rPr>
          <w:rFonts w:asciiTheme="minorHAnsi" w:hAnsiTheme="minorHAnsi" w:cstheme="minorBidi"/>
        </w:rPr>
        <w:t>inhibitors</w:t>
      </w:r>
      <w:r w:rsidRPr="077C0FE1">
        <w:rPr>
          <w:rFonts w:asciiTheme="minorHAnsi" w:hAnsiTheme="minorHAnsi" w:cstheme="minorBidi"/>
        </w:rPr>
        <w:t xml:space="preserve"> have </w:t>
      </w:r>
      <w:r w:rsidR="34F4681B" w:rsidRPr="077C0FE1">
        <w:rPr>
          <w:rFonts w:asciiTheme="minorHAnsi" w:hAnsiTheme="minorHAnsi" w:cstheme="minorBidi"/>
        </w:rPr>
        <w:t xml:space="preserve">been </w:t>
      </w:r>
      <w:r w:rsidRPr="077C0FE1">
        <w:rPr>
          <w:rFonts w:asciiTheme="minorHAnsi" w:hAnsiTheme="minorHAnsi" w:cstheme="minorBidi"/>
        </w:rPr>
        <w:t>shown to decrease levels of ALT</w:t>
      </w:r>
      <w:r w:rsidR="009204B0">
        <w:rPr>
          <w:rFonts w:asciiTheme="minorHAnsi" w:hAnsiTheme="minorHAnsi" w:cstheme="minorBidi"/>
        </w:rPr>
        <w:t xml:space="preserve"> </w:t>
      </w:r>
      <w:r w:rsidR="0021400D">
        <w:rPr>
          <w:rFonts w:asciiTheme="minorHAnsi" w:hAnsiTheme="minorHAnsi" w:cstheme="minorBidi"/>
        </w:rPr>
        <w:t>and lower liver fat (measured by MRI-</w:t>
      </w:r>
      <w:r w:rsidR="0021400D">
        <w:rPr>
          <w:rFonts w:asciiTheme="minorHAnsi" w:hAnsiTheme="minorHAnsi" w:cstheme="minorBidi"/>
        </w:rPr>
        <w:lastRenderedPageBreak/>
        <w:t xml:space="preserve">PDFF) </w:t>
      </w:r>
      <w:r w:rsidR="009204B0">
        <w:rPr>
          <w:rFonts w:asciiTheme="minorHAnsi" w:hAnsiTheme="minorHAnsi" w:cstheme="minorBidi"/>
        </w:rPr>
        <w:t xml:space="preserve">in people </w:t>
      </w:r>
      <w:r w:rsidR="00A83B14">
        <w:rPr>
          <w:rFonts w:asciiTheme="minorHAnsi" w:hAnsiTheme="minorHAnsi" w:cstheme="minorBidi"/>
        </w:rPr>
        <w:t>with T2D</w:t>
      </w:r>
      <w:r w:rsidR="00B25282">
        <w:rPr>
          <w:rFonts w:asciiTheme="minorHAnsi" w:hAnsiTheme="minorHAnsi" w:cstheme="minorBidi"/>
        </w:rPr>
        <w:t xml:space="preserve"> and </w:t>
      </w:r>
      <w:r w:rsidRPr="077C0FE1">
        <w:rPr>
          <w:rFonts w:asciiTheme="minorHAnsi" w:hAnsiTheme="minorHAnsi" w:cstheme="minorBidi"/>
        </w:rPr>
        <w:t>areas of fibrosis</w:t>
      </w:r>
      <w:r w:rsidR="00B25282">
        <w:rPr>
          <w:rFonts w:asciiTheme="minorHAnsi" w:hAnsiTheme="minorHAnsi" w:cstheme="minorBidi"/>
        </w:rPr>
        <w:t>, ALT/AST</w:t>
      </w:r>
      <w:r w:rsidRPr="077C0FE1">
        <w:rPr>
          <w:rFonts w:asciiTheme="minorHAnsi" w:hAnsiTheme="minorHAnsi" w:cstheme="minorBidi"/>
        </w:rPr>
        <w:t xml:space="preserve"> and hepatic lipid content in murine NASH models (</w:t>
      </w:r>
      <w:r w:rsidR="008D18CD">
        <w:rPr>
          <w:rFonts w:asciiTheme="minorHAnsi" w:hAnsiTheme="minorHAnsi" w:cstheme="minorBidi"/>
        </w:rPr>
        <w:t>2</w:t>
      </w:r>
      <w:r w:rsidR="001E29FD">
        <w:rPr>
          <w:rFonts w:asciiTheme="minorHAnsi" w:hAnsiTheme="minorHAnsi" w:cstheme="minorBidi"/>
        </w:rPr>
        <w:t>8</w:t>
      </w:r>
      <w:r w:rsidRPr="077C0FE1">
        <w:rPr>
          <w:rFonts w:asciiTheme="minorHAnsi" w:hAnsiTheme="minorHAnsi" w:cstheme="minorBidi"/>
        </w:rPr>
        <w:t>)</w:t>
      </w:r>
      <w:r w:rsidR="008D18CD">
        <w:rPr>
          <w:rFonts w:asciiTheme="minorHAnsi" w:hAnsiTheme="minorHAnsi" w:cstheme="minorBidi"/>
        </w:rPr>
        <w:t xml:space="preserve"> (2</w:t>
      </w:r>
      <w:r w:rsidR="001E29FD">
        <w:rPr>
          <w:rFonts w:asciiTheme="minorHAnsi" w:hAnsiTheme="minorHAnsi" w:cstheme="minorBidi"/>
        </w:rPr>
        <w:t>9</w:t>
      </w:r>
      <w:r w:rsidR="008D18CD">
        <w:rPr>
          <w:rFonts w:asciiTheme="minorHAnsi" w:hAnsiTheme="minorHAnsi" w:cstheme="minorBidi"/>
        </w:rPr>
        <w:t>)</w:t>
      </w:r>
      <w:r w:rsidRPr="077C0FE1">
        <w:rPr>
          <w:rFonts w:asciiTheme="minorHAnsi" w:hAnsiTheme="minorHAnsi" w:cstheme="minorBidi"/>
        </w:rPr>
        <w:t>.</w:t>
      </w:r>
    </w:p>
    <w:p w14:paraId="16E69985" w14:textId="1060C172" w:rsidR="00030CE4" w:rsidRDefault="00030CE4" w:rsidP="077C0FE1">
      <w:pPr>
        <w:spacing w:line="480" w:lineRule="auto"/>
        <w:jc w:val="both"/>
        <w:rPr>
          <w:rFonts w:asciiTheme="minorHAnsi" w:hAnsiTheme="minorHAnsi" w:cstheme="minorBidi"/>
        </w:rPr>
      </w:pPr>
    </w:p>
    <w:p w14:paraId="017F208B" w14:textId="4A3DE16F" w:rsidR="00693058" w:rsidRDefault="00030CE4" w:rsidP="00087EC8">
      <w:pPr>
        <w:spacing w:line="480" w:lineRule="auto"/>
        <w:jc w:val="both"/>
        <w:rPr>
          <w:rFonts w:asciiTheme="minorHAnsi" w:hAnsiTheme="minorHAnsi" w:cstheme="minorBidi"/>
        </w:rPr>
      </w:pPr>
      <w:r>
        <w:rPr>
          <w:rFonts w:asciiTheme="minorHAnsi" w:hAnsiTheme="minorHAnsi" w:cstheme="minorBidi"/>
        </w:rPr>
        <w:t xml:space="preserve">Notably, </w:t>
      </w:r>
      <w:r w:rsidR="00153D0B">
        <w:rPr>
          <w:rFonts w:asciiTheme="minorHAnsi" w:hAnsiTheme="minorHAnsi" w:cstheme="minorBidi"/>
        </w:rPr>
        <w:t xml:space="preserve">and </w:t>
      </w:r>
      <w:r w:rsidR="00CE4D4C">
        <w:rPr>
          <w:rFonts w:asciiTheme="minorHAnsi" w:hAnsiTheme="minorHAnsi" w:cstheme="minorBidi"/>
        </w:rPr>
        <w:t>despite similar measures of BMI</w:t>
      </w:r>
      <w:r w:rsidR="00523AF0">
        <w:rPr>
          <w:rFonts w:asciiTheme="minorHAnsi" w:hAnsiTheme="minorHAnsi" w:cstheme="minorBidi"/>
        </w:rPr>
        <w:t xml:space="preserve"> and body composition (</w:t>
      </w:r>
      <w:r w:rsidR="00B83489">
        <w:rPr>
          <w:rFonts w:asciiTheme="minorHAnsi" w:hAnsiTheme="minorHAnsi" w:cstheme="minorBidi"/>
        </w:rPr>
        <w:t xml:space="preserve">see </w:t>
      </w:r>
      <w:r w:rsidR="00790C37">
        <w:rPr>
          <w:rFonts w:asciiTheme="minorHAnsi" w:hAnsiTheme="minorHAnsi" w:cstheme="minorBidi"/>
        </w:rPr>
        <w:t>T</w:t>
      </w:r>
      <w:r w:rsidR="00523AF0">
        <w:rPr>
          <w:rFonts w:asciiTheme="minorHAnsi" w:hAnsiTheme="minorHAnsi" w:cstheme="minorBidi"/>
        </w:rPr>
        <w:t xml:space="preserve">able </w:t>
      </w:r>
      <w:r w:rsidR="00790C37">
        <w:rPr>
          <w:rFonts w:asciiTheme="minorHAnsi" w:hAnsiTheme="minorHAnsi" w:cstheme="minorBidi"/>
        </w:rPr>
        <w:t>1</w:t>
      </w:r>
      <w:r w:rsidR="00523AF0">
        <w:rPr>
          <w:rFonts w:asciiTheme="minorHAnsi" w:hAnsiTheme="minorHAnsi" w:cstheme="minorBidi"/>
        </w:rPr>
        <w:t>)</w:t>
      </w:r>
      <w:r w:rsidR="00150935">
        <w:rPr>
          <w:rFonts w:asciiTheme="minorHAnsi" w:hAnsiTheme="minorHAnsi" w:cstheme="minorBidi"/>
        </w:rPr>
        <w:t>,</w:t>
      </w:r>
      <w:r w:rsidR="00523AF0">
        <w:rPr>
          <w:rFonts w:asciiTheme="minorHAnsi" w:hAnsiTheme="minorHAnsi" w:cstheme="minorBidi"/>
        </w:rPr>
        <w:t xml:space="preserve"> we </w:t>
      </w:r>
      <w:r w:rsidR="00FB007A">
        <w:rPr>
          <w:rFonts w:asciiTheme="minorHAnsi" w:hAnsiTheme="minorHAnsi" w:cstheme="minorBidi"/>
        </w:rPr>
        <w:t>found</w:t>
      </w:r>
      <w:r w:rsidR="00523AF0">
        <w:rPr>
          <w:rFonts w:asciiTheme="minorHAnsi" w:hAnsiTheme="minorHAnsi" w:cstheme="minorBidi"/>
        </w:rPr>
        <w:t xml:space="preserve"> </w:t>
      </w:r>
      <w:r w:rsidR="00150C23">
        <w:rPr>
          <w:rFonts w:asciiTheme="minorHAnsi" w:hAnsiTheme="minorHAnsi" w:cstheme="minorBidi"/>
        </w:rPr>
        <w:t xml:space="preserve">significantly greater </w:t>
      </w:r>
      <w:r w:rsidR="00E76C7D">
        <w:rPr>
          <w:rFonts w:asciiTheme="minorHAnsi" w:hAnsiTheme="minorHAnsi" w:cstheme="minorBidi"/>
        </w:rPr>
        <w:t xml:space="preserve">measures of liver cT1, liver fat and </w:t>
      </w:r>
      <w:r w:rsidR="00150C23">
        <w:rPr>
          <w:rFonts w:asciiTheme="minorHAnsi" w:hAnsiTheme="minorHAnsi" w:cstheme="minorBidi"/>
        </w:rPr>
        <w:t xml:space="preserve">prevalence of NASH within the T2D cohort. </w:t>
      </w:r>
      <w:r w:rsidR="00720527">
        <w:rPr>
          <w:rFonts w:asciiTheme="minorHAnsi" w:hAnsiTheme="minorHAnsi" w:cstheme="minorBidi"/>
        </w:rPr>
        <w:t>This</w:t>
      </w:r>
      <w:r w:rsidR="00087EC8">
        <w:rPr>
          <w:rFonts w:asciiTheme="minorHAnsi" w:hAnsiTheme="minorHAnsi" w:cstheme="minorBidi"/>
        </w:rPr>
        <w:t xml:space="preserve"> highlights </w:t>
      </w:r>
      <w:r w:rsidR="00693058">
        <w:rPr>
          <w:rFonts w:asciiTheme="minorHAnsi" w:hAnsiTheme="minorHAnsi" w:cstheme="minorBidi"/>
        </w:rPr>
        <w:t xml:space="preserve">the </w:t>
      </w:r>
      <w:r w:rsidR="00720527">
        <w:rPr>
          <w:rFonts w:asciiTheme="minorHAnsi" w:hAnsiTheme="minorHAnsi" w:cstheme="minorBidi"/>
        </w:rPr>
        <w:t>clinical need</w:t>
      </w:r>
      <w:r w:rsidR="00693058">
        <w:rPr>
          <w:rFonts w:asciiTheme="minorHAnsi" w:hAnsiTheme="minorHAnsi" w:cstheme="minorBidi"/>
        </w:rPr>
        <w:t xml:space="preserve"> to screen </w:t>
      </w:r>
      <w:r w:rsidR="005552A8">
        <w:rPr>
          <w:rFonts w:asciiTheme="minorHAnsi" w:hAnsiTheme="minorHAnsi" w:cstheme="minorBidi"/>
        </w:rPr>
        <w:t xml:space="preserve">people with T2D </w:t>
      </w:r>
      <w:r w:rsidR="00693058">
        <w:rPr>
          <w:rFonts w:asciiTheme="minorHAnsi" w:hAnsiTheme="minorHAnsi" w:cstheme="minorBidi"/>
        </w:rPr>
        <w:t xml:space="preserve">for </w:t>
      </w:r>
      <w:r w:rsidR="00720527" w:rsidRPr="077C0FE1">
        <w:rPr>
          <w:rFonts w:asciiTheme="minorHAnsi" w:hAnsiTheme="minorHAnsi" w:cstheme="minorBidi"/>
        </w:rPr>
        <w:t xml:space="preserve">concomitant </w:t>
      </w:r>
      <w:r w:rsidR="00181BFB">
        <w:rPr>
          <w:rFonts w:asciiTheme="minorHAnsi" w:hAnsiTheme="minorHAnsi" w:cstheme="minorBidi"/>
        </w:rPr>
        <w:t xml:space="preserve">liver disease </w:t>
      </w:r>
      <w:r w:rsidR="00693058">
        <w:rPr>
          <w:rFonts w:asciiTheme="minorHAnsi" w:hAnsiTheme="minorHAnsi" w:cstheme="minorBidi"/>
        </w:rPr>
        <w:t>and NASH</w:t>
      </w:r>
      <w:r w:rsidR="007D6B21">
        <w:rPr>
          <w:rFonts w:asciiTheme="minorHAnsi" w:hAnsiTheme="minorHAnsi" w:cstheme="minorBidi"/>
        </w:rPr>
        <w:t>, where</w:t>
      </w:r>
      <w:r w:rsidR="00B94170">
        <w:rPr>
          <w:rFonts w:asciiTheme="minorHAnsi" w:hAnsiTheme="minorHAnsi" w:cstheme="minorBidi"/>
        </w:rPr>
        <w:t xml:space="preserve"> </w:t>
      </w:r>
      <w:r w:rsidR="007D6B21">
        <w:rPr>
          <w:rFonts w:asciiTheme="minorHAnsi" w:hAnsiTheme="minorHAnsi" w:cstheme="minorBidi"/>
        </w:rPr>
        <w:t>c</w:t>
      </w:r>
      <w:r w:rsidR="00B94170">
        <w:rPr>
          <w:rFonts w:asciiTheme="minorHAnsi" w:hAnsiTheme="minorHAnsi" w:cstheme="minorBidi"/>
        </w:rPr>
        <w:t>ritically,</w:t>
      </w:r>
      <w:r w:rsidR="005552A8">
        <w:rPr>
          <w:rFonts w:asciiTheme="minorHAnsi" w:hAnsiTheme="minorHAnsi" w:cstheme="minorBidi"/>
        </w:rPr>
        <w:t xml:space="preserve"> we observed simil</w:t>
      </w:r>
      <w:r w:rsidR="00EF0978">
        <w:rPr>
          <w:rFonts w:asciiTheme="minorHAnsi" w:hAnsiTheme="minorHAnsi" w:cstheme="minorBidi"/>
        </w:rPr>
        <w:t>a</w:t>
      </w:r>
      <w:r w:rsidR="005552A8">
        <w:rPr>
          <w:rFonts w:asciiTheme="minorHAnsi" w:hAnsiTheme="minorHAnsi" w:cstheme="minorBidi"/>
        </w:rPr>
        <w:t xml:space="preserve">r measures of ALT and significantly greater AST in the non-T2D </w:t>
      </w:r>
      <w:r w:rsidR="00EF0978">
        <w:rPr>
          <w:rFonts w:asciiTheme="minorHAnsi" w:hAnsiTheme="minorHAnsi" w:cstheme="minorBidi"/>
        </w:rPr>
        <w:t>cohort</w:t>
      </w:r>
      <w:r w:rsidR="007D6B21">
        <w:rPr>
          <w:rFonts w:asciiTheme="minorHAnsi" w:hAnsiTheme="minorHAnsi" w:cstheme="minorBidi"/>
        </w:rPr>
        <w:t>. Screening for</w:t>
      </w:r>
      <w:r w:rsidR="00B94170">
        <w:rPr>
          <w:rFonts w:asciiTheme="minorHAnsi" w:hAnsiTheme="minorHAnsi" w:cstheme="minorBidi"/>
        </w:rPr>
        <w:t xml:space="preserve"> </w:t>
      </w:r>
      <w:r w:rsidR="00F41BC0">
        <w:rPr>
          <w:rFonts w:asciiTheme="minorHAnsi" w:hAnsiTheme="minorHAnsi" w:cstheme="minorBidi"/>
        </w:rPr>
        <w:t>liver disease needs to</w:t>
      </w:r>
      <w:r w:rsidR="0036056C">
        <w:rPr>
          <w:rFonts w:asciiTheme="minorHAnsi" w:hAnsiTheme="minorHAnsi" w:cstheme="minorBidi"/>
        </w:rPr>
        <w:t xml:space="preserve"> adopt a multi-modality approach that</w:t>
      </w:r>
      <w:r w:rsidR="00F41BC0">
        <w:rPr>
          <w:rFonts w:asciiTheme="minorHAnsi" w:hAnsiTheme="minorHAnsi" w:cstheme="minorBidi"/>
        </w:rPr>
        <w:t xml:space="preserve"> exten</w:t>
      </w:r>
      <w:r w:rsidR="0036056C">
        <w:rPr>
          <w:rFonts w:asciiTheme="minorHAnsi" w:hAnsiTheme="minorHAnsi" w:cstheme="minorBidi"/>
        </w:rPr>
        <w:t>ds</w:t>
      </w:r>
      <w:r w:rsidR="00F41BC0">
        <w:rPr>
          <w:rFonts w:asciiTheme="minorHAnsi" w:hAnsiTheme="minorHAnsi" w:cstheme="minorBidi"/>
        </w:rPr>
        <w:t xml:space="preserve"> beyond the </w:t>
      </w:r>
      <w:r w:rsidR="0036056C">
        <w:rPr>
          <w:rFonts w:asciiTheme="minorHAnsi" w:hAnsiTheme="minorHAnsi" w:cstheme="minorBidi"/>
        </w:rPr>
        <w:t>reliance</w:t>
      </w:r>
      <w:r w:rsidR="00F41BC0">
        <w:rPr>
          <w:rFonts w:asciiTheme="minorHAnsi" w:hAnsiTheme="minorHAnsi" w:cstheme="minorBidi"/>
        </w:rPr>
        <w:t xml:space="preserve"> </w:t>
      </w:r>
      <w:r w:rsidR="0036056C">
        <w:rPr>
          <w:rFonts w:asciiTheme="minorHAnsi" w:hAnsiTheme="minorHAnsi" w:cstheme="minorBidi"/>
        </w:rPr>
        <w:t xml:space="preserve">on </w:t>
      </w:r>
      <w:r w:rsidR="00F41BC0">
        <w:rPr>
          <w:rFonts w:asciiTheme="minorHAnsi" w:hAnsiTheme="minorHAnsi" w:cstheme="minorBidi"/>
        </w:rPr>
        <w:t xml:space="preserve">circulating biomarkers alone. </w:t>
      </w:r>
    </w:p>
    <w:p w14:paraId="7AD0E89C" w14:textId="77777777" w:rsidR="003004C0" w:rsidRDefault="003004C0" w:rsidP="00C314D8">
      <w:pPr>
        <w:spacing w:line="480" w:lineRule="auto"/>
        <w:jc w:val="both"/>
        <w:rPr>
          <w:rFonts w:asciiTheme="minorHAnsi" w:hAnsiTheme="minorHAnsi" w:cstheme="minorHAnsi"/>
        </w:rPr>
      </w:pPr>
    </w:p>
    <w:p w14:paraId="5D222A2F" w14:textId="1F8D29EA" w:rsidR="00945ED6" w:rsidRDefault="00DE14C5" w:rsidP="077C0FE1">
      <w:pPr>
        <w:spacing w:line="480" w:lineRule="auto"/>
        <w:jc w:val="both"/>
        <w:rPr>
          <w:rFonts w:asciiTheme="minorHAnsi" w:hAnsiTheme="minorHAnsi" w:cstheme="minorBidi"/>
        </w:rPr>
      </w:pPr>
      <w:r w:rsidRPr="077C0FE1">
        <w:rPr>
          <w:rFonts w:asciiTheme="minorHAnsi" w:hAnsiTheme="minorHAnsi" w:cstheme="minorBidi"/>
        </w:rPr>
        <w:t xml:space="preserve">Limitations </w:t>
      </w:r>
      <w:r w:rsidR="19F50C97" w:rsidRPr="077C0FE1">
        <w:rPr>
          <w:rFonts w:asciiTheme="minorHAnsi" w:hAnsiTheme="minorHAnsi" w:cstheme="minorBidi"/>
        </w:rPr>
        <w:t xml:space="preserve">of this study ultimately </w:t>
      </w:r>
      <w:r w:rsidRPr="077C0FE1">
        <w:rPr>
          <w:rFonts w:asciiTheme="minorHAnsi" w:hAnsiTheme="minorHAnsi" w:cstheme="minorBidi"/>
        </w:rPr>
        <w:t xml:space="preserve">derive from the fact that </w:t>
      </w:r>
      <w:r w:rsidR="00F800BC" w:rsidRPr="077C0FE1">
        <w:rPr>
          <w:rFonts w:asciiTheme="minorHAnsi" w:hAnsiTheme="minorHAnsi" w:cstheme="minorBidi"/>
        </w:rPr>
        <w:t xml:space="preserve">NASH is a complex and multifactorial disease that involves numerous mechanisms </w:t>
      </w:r>
      <w:r w:rsidR="0F87F4F3" w:rsidRPr="077C0FE1">
        <w:rPr>
          <w:rFonts w:asciiTheme="minorHAnsi" w:hAnsiTheme="minorHAnsi" w:cstheme="minorBidi"/>
        </w:rPr>
        <w:t xml:space="preserve">that are </w:t>
      </w:r>
      <w:r w:rsidR="00F800BC" w:rsidRPr="077C0FE1">
        <w:rPr>
          <w:rFonts w:asciiTheme="minorHAnsi" w:hAnsiTheme="minorHAnsi" w:cstheme="minorBidi"/>
        </w:rPr>
        <w:t xml:space="preserve">not investigated </w:t>
      </w:r>
      <w:r w:rsidR="2F1203D9" w:rsidRPr="077C0FE1">
        <w:rPr>
          <w:rFonts w:asciiTheme="minorHAnsi" w:hAnsiTheme="minorHAnsi" w:cstheme="minorBidi"/>
        </w:rPr>
        <w:t>in our work to date</w:t>
      </w:r>
      <w:r w:rsidR="00F800BC" w:rsidRPr="077C0FE1">
        <w:rPr>
          <w:rFonts w:asciiTheme="minorHAnsi" w:hAnsiTheme="minorHAnsi" w:cstheme="minorBidi"/>
        </w:rPr>
        <w:t xml:space="preserve">. </w:t>
      </w:r>
      <w:r w:rsidR="6F5B51DC" w:rsidRPr="077C0FE1">
        <w:rPr>
          <w:rFonts w:asciiTheme="minorHAnsi" w:hAnsiTheme="minorHAnsi" w:cstheme="minorBidi"/>
        </w:rPr>
        <w:t xml:space="preserve">However, the BN methodology that we use is intrinsically extensible.  </w:t>
      </w:r>
      <w:r w:rsidR="00F800BC" w:rsidRPr="077C0FE1">
        <w:rPr>
          <w:rFonts w:asciiTheme="minorHAnsi" w:hAnsiTheme="minorHAnsi" w:cstheme="minorBidi"/>
        </w:rPr>
        <w:t xml:space="preserve">Future work will seek to broaden the variables included </w:t>
      </w:r>
      <w:r w:rsidR="00881830" w:rsidRPr="077C0FE1">
        <w:rPr>
          <w:rFonts w:asciiTheme="minorHAnsi" w:hAnsiTheme="minorHAnsi" w:cstheme="minorBidi"/>
        </w:rPr>
        <w:t>in</w:t>
      </w:r>
      <w:r w:rsidR="00F800BC" w:rsidRPr="077C0FE1">
        <w:rPr>
          <w:rFonts w:asciiTheme="minorHAnsi" w:hAnsiTheme="minorHAnsi" w:cstheme="minorBidi"/>
        </w:rPr>
        <w:t xml:space="preserve"> network construction, such as biochemical pathways associated with hepatocyte injury</w:t>
      </w:r>
      <w:r w:rsidR="006E5C2F" w:rsidRPr="077C0FE1">
        <w:rPr>
          <w:rFonts w:asciiTheme="minorHAnsi" w:hAnsiTheme="minorHAnsi" w:cstheme="minorBidi"/>
        </w:rPr>
        <w:t>, for a more comprehensive assessment of NASH risk</w:t>
      </w:r>
      <w:r w:rsidR="00F800BC" w:rsidRPr="077C0FE1">
        <w:rPr>
          <w:rFonts w:asciiTheme="minorHAnsi" w:hAnsiTheme="minorHAnsi" w:cstheme="minorBidi"/>
        </w:rPr>
        <w:t>.</w:t>
      </w:r>
    </w:p>
    <w:p w14:paraId="2234FB0F" w14:textId="77777777" w:rsidR="00945ED6" w:rsidRDefault="00945ED6" w:rsidP="00C314D8">
      <w:pPr>
        <w:spacing w:line="480" w:lineRule="auto"/>
        <w:jc w:val="both"/>
        <w:rPr>
          <w:rFonts w:asciiTheme="minorHAnsi" w:hAnsiTheme="minorHAnsi" w:cstheme="minorHAnsi"/>
        </w:rPr>
      </w:pPr>
    </w:p>
    <w:p w14:paraId="1AD008E0" w14:textId="01C91304" w:rsidR="00D524CB" w:rsidRDefault="00F800BC" w:rsidP="00C314D8">
      <w:pPr>
        <w:spacing w:line="480" w:lineRule="auto"/>
        <w:jc w:val="both"/>
        <w:rPr>
          <w:rFonts w:asciiTheme="minorHAnsi" w:hAnsiTheme="minorHAnsi" w:cstheme="minorHAnsi"/>
        </w:rPr>
      </w:pPr>
      <w:r>
        <w:rPr>
          <w:rFonts w:asciiTheme="minorHAnsi" w:hAnsiTheme="minorHAnsi" w:cstheme="minorHAnsi"/>
        </w:rPr>
        <w:t xml:space="preserve">In conclusion, this paper applied Bayesian-networks and probabilistic reasoning to identify </w:t>
      </w:r>
      <w:r w:rsidR="006E5C2F">
        <w:rPr>
          <w:rFonts w:asciiTheme="minorHAnsi" w:hAnsiTheme="minorHAnsi" w:cstheme="minorHAnsi"/>
        </w:rPr>
        <w:t>populations</w:t>
      </w:r>
      <w:r>
        <w:rPr>
          <w:rFonts w:asciiTheme="minorHAnsi" w:hAnsiTheme="minorHAnsi" w:cstheme="minorHAnsi"/>
        </w:rPr>
        <w:t xml:space="preserve"> at a high risk of NASH. We </w:t>
      </w:r>
      <w:r w:rsidR="004F067A">
        <w:rPr>
          <w:rFonts w:asciiTheme="minorHAnsi" w:hAnsiTheme="minorHAnsi" w:cstheme="minorHAnsi"/>
        </w:rPr>
        <w:t>emphasise</w:t>
      </w:r>
      <w:r>
        <w:rPr>
          <w:rFonts w:asciiTheme="minorHAnsi" w:hAnsiTheme="minorHAnsi" w:cstheme="minorHAnsi"/>
        </w:rPr>
        <w:t xml:space="preserve"> the role of elevated VAT, liver fat and obesity status in driving the probability of NASH</w:t>
      </w:r>
      <w:r w:rsidR="0021400D">
        <w:rPr>
          <w:rFonts w:asciiTheme="minorHAnsi" w:hAnsiTheme="minorHAnsi" w:cstheme="minorHAnsi"/>
        </w:rPr>
        <w:t xml:space="preserve">, and these effects are most significant in people with type 2 diabetes </w:t>
      </w:r>
      <w:r w:rsidR="004F067A">
        <w:rPr>
          <w:rFonts w:asciiTheme="minorHAnsi" w:hAnsiTheme="minorHAnsi" w:cstheme="minorHAnsi"/>
        </w:rPr>
        <w:t>highlight</w:t>
      </w:r>
      <w:r w:rsidR="0021400D">
        <w:rPr>
          <w:rFonts w:asciiTheme="minorHAnsi" w:hAnsiTheme="minorHAnsi" w:cstheme="minorHAnsi"/>
        </w:rPr>
        <w:t>ing the importance of prevention and good</w:t>
      </w:r>
      <w:r w:rsidR="004F067A">
        <w:rPr>
          <w:rFonts w:asciiTheme="minorHAnsi" w:hAnsiTheme="minorHAnsi" w:cstheme="minorHAnsi"/>
        </w:rPr>
        <w:t xml:space="preserve"> </w:t>
      </w:r>
      <w:r w:rsidR="0021400D">
        <w:rPr>
          <w:rFonts w:asciiTheme="minorHAnsi" w:hAnsiTheme="minorHAnsi" w:cstheme="minorHAnsi"/>
        </w:rPr>
        <w:t xml:space="preserve">glycaemic management </w:t>
      </w:r>
      <w:r w:rsidR="00676172">
        <w:rPr>
          <w:rFonts w:asciiTheme="minorHAnsi" w:hAnsiTheme="minorHAnsi" w:cstheme="minorHAnsi"/>
        </w:rPr>
        <w:t>as a potential therapeutic target</w:t>
      </w:r>
      <w:r w:rsidR="0021400D">
        <w:rPr>
          <w:rFonts w:asciiTheme="minorHAnsi" w:hAnsiTheme="minorHAnsi" w:cstheme="minorHAnsi"/>
        </w:rPr>
        <w:t xml:space="preserve"> for addressing the epidemic of NAFLD/NASH.</w:t>
      </w:r>
    </w:p>
    <w:p w14:paraId="316E74AC" w14:textId="40D572D2" w:rsidR="00D8611E" w:rsidRPr="00A330B9" w:rsidRDefault="00D8611E" w:rsidP="00A330B9">
      <w:pPr>
        <w:spacing w:line="480" w:lineRule="auto"/>
        <w:jc w:val="both"/>
        <w:rPr>
          <w:rFonts w:asciiTheme="minorHAnsi" w:hAnsiTheme="minorHAnsi" w:cstheme="minorHAnsi"/>
        </w:rPr>
      </w:pPr>
      <w:r>
        <w:rPr>
          <w:rFonts w:cstheme="minorHAnsi"/>
          <w:b/>
          <w:bCs/>
        </w:rPr>
        <w:br w:type="page"/>
      </w:r>
    </w:p>
    <w:p w14:paraId="59233B19" w14:textId="3F0E4DBE" w:rsidR="00FF4C34" w:rsidRDefault="00D82654" w:rsidP="00FF4C34">
      <w:pPr>
        <w:spacing w:line="480" w:lineRule="auto"/>
        <w:jc w:val="both"/>
        <w:rPr>
          <w:rFonts w:cstheme="minorHAnsi"/>
          <w:color w:val="000000" w:themeColor="text1"/>
        </w:rPr>
      </w:pPr>
      <w:r w:rsidRPr="00F145D6">
        <w:rPr>
          <w:rFonts w:asciiTheme="minorHAnsi" w:hAnsiTheme="minorHAnsi" w:cstheme="minorHAnsi"/>
          <w:b/>
          <w:bCs/>
        </w:rPr>
        <w:lastRenderedPageBreak/>
        <w:t>References</w:t>
      </w:r>
    </w:p>
    <w:p w14:paraId="7E8F9416" w14:textId="2C9578D9" w:rsidR="00FF4C34" w:rsidRPr="00FF4C34" w:rsidRDefault="00FF4C34" w:rsidP="00FF4C34">
      <w:pPr>
        <w:pStyle w:val="ListParagraph"/>
        <w:numPr>
          <w:ilvl w:val="0"/>
          <w:numId w:val="13"/>
        </w:numPr>
        <w:jc w:val="both"/>
        <w:rPr>
          <w:rFonts w:cstheme="minorHAnsi"/>
          <w:color w:val="000000" w:themeColor="text1"/>
        </w:rPr>
      </w:pPr>
      <w:r>
        <w:rPr>
          <w:rFonts w:cstheme="minorHAnsi"/>
          <w:color w:val="000000" w:themeColor="text1"/>
        </w:rPr>
        <w:t xml:space="preserve">World Health Organisation 2021. </w:t>
      </w:r>
      <w:r w:rsidRPr="00FF4C34">
        <w:rPr>
          <w:rFonts w:cstheme="minorHAnsi"/>
          <w:i/>
          <w:iCs/>
          <w:color w:val="000000" w:themeColor="text1"/>
        </w:rPr>
        <w:t>Obesity and Overweight</w:t>
      </w:r>
      <w:r>
        <w:rPr>
          <w:rFonts w:cstheme="minorHAnsi"/>
          <w:i/>
          <w:iCs/>
          <w:color w:val="000000" w:themeColor="text1"/>
        </w:rPr>
        <w:t xml:space="preserve"> fact sheet</w:t>
      </w:r>
      <w:r>
        <w:rPr>
          <w:rFonts w:cstheme="minorHAnsi"/>
          <w:color w:val="000000" w:themeColor="text1"/>
        </w:rPr>
        <w:t>, accessed October 2022, &lt;</w:t>
      </w:r>
      <w:proofErr w:type="spellStart"/>
      <w:proofErr w:type="gramStart"/>
      <w:r>
        <w:rPr>
          <w:rFonts w:cstheme="minorHAnsi"/>
          <w:color w:val="000000" w:themeColor="text1"/>
        </w:rPr>
        <w:t>https:www.who.int</w:t>
      </w:r>
      <w:proofErr w:type="spellEnd"/>
      <w:r>
        <w:rPr>
          <w:rFonts w:cstheme="minorHAnsi"/>
          <w:color w:val="000000" w:themeColor="text1"/>
        </w:rPr>
        <w:t>/</w:t>
      </w:r>
      <w:proofErr w:type="gramEnd"/>
      <w:r>
        <w:rPr>
          <w:rFonts w:cstheme="minorHAnsi"/>
          <w:color w:val="000000" w:themeColor="text1"/>
        </w:rPr>
        <w:t>&gt;.</w:t>
      </w:r>
    </w:p>
    <w:p w14:paraId="63EA50D4" w14:textId="77777777" w:rsidR="00137BFD" w:rsidRPr="00FF4C34" w:rsidRDefault="00137BFD" w:rsidP="00137BFD">
      <w:pPr>
        <w:pStyle w:val="ListParagraph"/>
        <w:jc w:val="both"/>
        <w:rPr>
          <w:rFonts w:cstheme="minorHAnsi"/>
          <w:color w:val="000000" w:themeColor="text1"/>
        </w:rPr>
      </w:pPr>
    </w:p>
    <w:p w14:paraId="3F1EE81E" w14:textId="1734A55C" w:rsidR="00F051C1" w:rsidRPr="00FF4C34" w:rsidRDefault="00F051C1" w:rsidP="00CD771C">
      <w:pPr>
        <w:pStyle w:val="ListParagraph"/>
        <w:numPr>
          <w:ilvl w:val="0"/>
          <w:numId w:val="13"/>
        </w:numPr>
        <w:jc w:val="both"/>
        <w:rPr>
          <w:rFonts w:cstheme="minorHAnsi"/>
          <w:color w:val="000000" w:themeColor="text1"/>
        </w:rPr>
      </w:pPr>
      <w:proofErr w:type="spellStart"/>
      <w:r w:rsidRPr="00FF4C34">
        <w:rPr>
          <w:rFonts w:cstheme="minorHAnsi"/>
          <w:color w:val="000000" w:themeColor="text1"/>
          <w:shd w:val="clear" w:color="auto" w:fill="FFFFFF"/>
        </w:rPr>
        <w:t>Saeedi</w:t>
      </w:r>
      <w:proofErr w:type="spellEnd"/>
      <w:r w:rsidRPr="00FF4C34">
        <w:rPr>
          <w:rFonts w:cstheme="minorHAnsi"/>
          <w:color w:val="000000" w:themeColor="text1"/>
          <w:shd w:val="clear" w:color="auto" w:fill="FFFFFF"/>
        </w:rPr>
        <w:t xml:space="preserve">, P., </w:t>
      </w:r>
      <w:proofErr w:type="spellStart"/>
      <w:r w:rsidRPr="00FF4C34">
        <w:rPr>
          <w:rFonts w:cstheme="minorHAnsi"/>
          <w:color w:val="000000" w:themeColor="text1"/>
          <w:shd w:val="clear" w:color="auto" w:fill="FFFFFF"/>
        </w:rPr>
        <w:t>Petersohn</w:t>
      </w:r>
      <w:proofErr w:type="spellEnd"/>
      <w:r w:rsidRPr="00FF4C34">
        <w:rPr>
          <w:rFonts w:cstheme="minorHAnsi"/>
          <w:color w:val="000000" w:themeColor="text1"/>
          <w:shd w:val="clear" w:color="auto" w:fill="FFFFFF"/>
        </w:rPr>
        <w:t xml:space="preserve">, I., </w:t>
      </w:r>
      <w:proofErr w:type="spellStart"/>
      <w:r w:rsidRPr="00FF4C34">
        <w:rPr>
          <w:rFonts w:cstheme="minorHAnsi"/>
          <w:color w:val="000000" w:themeColor="text1"/>
          <w:shd w:val="clear" w:color="auto" w:fill="FFFFFF"/>
        </w:rPr>
        <w:t>Salpea</w:t>
      </w:r>
      <w:proofErr w:type="spellEnd"/>
      <w:r w:rsidRPr="00FF4C34">
        <w:rPr>
          <w:rFonts w:cstheme="minorHAnsi"/>
          <w:color w:val="000000" w:themeColor="text1"/>
          <w:shd w:val="clear" w:color="auto" w:fill="FFFFFF"/>
        </w:rPr>
        <w:t xml:space="preserve">, P., Malanda, B., </w:t>
      </w:r>
      <w:proofErr w:type="spellStart"/>
      <w:r w:rsidRPr="00FF4C34">
        <w:rPr>
          <w:rFonts w:cstheme="minorHAnsi"/>
          <w:color w:val="000000" w:themeColor="text1"/>
          <w:shd w:val="clear" w:color="auto" w:fill="FFFFFF"/>
        </w:rPr>
        <w:t>Karuranga</w:t>
      </w:r>
      <w:proofErr w:type="spellEnd"/>
      <w:r w:rsidRPr="00FF4C34">
        <w:rPr>
          <w:rFonts w:cstheme="minorHAnsi"/>
          <w:color w:val="000000" w:themeColor="text1"/>
          <w:shd w:val="clear" w:color="auto" w:fill="FFFFFF"/>
        </w:rPr>
        <w:t xml:space="preserve">, S., Unwin, N., </w:t>
      </w:r>
      <w:proofErr w:type="spellStart"/>
      <w:r w:rsidRPr="00FF4C34">
        <w:rPr>
          <w:rFonts w:cstheme="minorHAnsi"/>
          <w:color w:val="000000" w:themeColor="text1"/>
          <w:shd w:val="clear" w:color="auto" w:fill="FFFFFF"/>
        </w:rPr>
        <w:t>Colagiuri</w:t>
      </w:r>
      <w:proofErr w:type="spellEnd"/>
      <w:r w:rsidRPr="00FF4C34">
        <w:rPr>
          <w:rFonts w:cstheme="minorHAnsi"/>
          <w:color w:val="000000" w:themeColor="text1"/>
          <w:shd w:val="clear" w:color="auto" w:fill="FFFFFF"/>
        </w:rPr>
        <w:t xml:space="preserve">, S., </w:t>
      </w:r>
      <w:proofErr w:type="spellStart"/>
      <w:r w:rsidRPr="00FF4C34">
        <w:rPr>
          <w:rFonts w:cstheme="minorHAnsi"/>
          <w:color w:val="000000" w:themeColor="text1"/>
          <w:shd w:val="clear" w:color="auto" w:fill="FFFFFF"/>
        </w:rPr>
        <w:t>Guariguata</w:t>
      </w:r>
      <w:proofErr w:type="spellEnd"/>
      <w:r w:rsidRPr="00FF4C34">
        <w:rPr>
          <w:rFonts w:cstheme="minorHAnsi"/>
          <w:color w:val="000000" w:themeColor="text1"/>
          <w:shd w:val="clear" w:color="auto" w:fill="FFFFFF"/>
        </w:rPr>
        <w:t xml:space="preserve">, L., </w:t>
      </w:r>
      <w:proofErr w:type="spellStart"/>
      <w:r w:rsidRPr="00FF4C34">
        <w:rPr>
          <w:rFonts w:cstheme="minorHAnsi"/>
          <w:color w:val="000000" w:themeColor="text1"/>
          <w:shd w:val="clear" w:color="auto" w:fill="FFFFFF"/>
        </w:rPr>
        <w:t>Motala</w:t>
      </w:r>
      <w:proofErr w:type="spellEnd"/>
      <w:r w:rsidRPr="00FF4C34">
        <w:rPr>
          <w:rFonts w:cstheme="minorHAnsi"/>
          <w:color w:val="000000" w:themeColor="text1"/>
          <w:shd w:val="clear" w:color="auto" w:fill="FFFFFF"/>
        </w:rPr>
        <w:t xml:space="preserve">, A.A., </w:t>
      </w:r>
      <w:proofErr w:type="spellStart"/>
      <w:r w:rsidRPr="00FF4C34">
        <w:rPr>
          <w:rFonts w:cstheme="minorHAnsi"/>
          <w:color w:val="000000" w:themeColor="text1"/>
          <w:shd w:val="clear" w:color="auto" w:fill="FFFFFF"/>
        </w:rPr>
        <w:t>Ogurtsova</w:t>
      </w:r>
      <w:proofErr w:type="spellEnd"/>
      <w:r w:rsidRPr="00FF4C34">
        <w:rPr>
          <w:rFonts w:cstheme="minorHAnsi"/>
          <w:color w:val="000000" w:themeColor="text1"/>
          <w:shd w:val="clear" w:color="auto" w:fill="FFFFFF"/>
        </w:rPr>
        <w:t>, K. and Shaw, J.E., 2019. Global and regional diabetes prevalence estimates for 2019 and projections for 2030 and 2045: Results from the International Diabetes Federation Diabetes Atlas.</w:t>
      </w:r>
      <w:r w:rsidRPr="00FF4C34">
        <w:rPr>
          <w:rStyle w:val="apple-converted-space"/>
          <w:rFonts w:cstheme="minorHAnsi"/>
          <w:color w:val="000000" w:themeColor="text1"/>
          <w:shd w:val="clear" w:color="auto" w:fill="FFFFFF"/>
        </w:rPr>
        <w:t> </w:t>
      </w:r>
      <w:r w:rsidRPr="00FF4C34">
        <w:rPr>
          <w:rFonts w:cstheme="minorHAnsi"/>
          <w:i/>
          <w:iCs/>
          <w:color w:val="000000" w:themeColor="text1"/>
        </w:rPr>
        <w:t>Diabetes research and clinical practice</w:t>
      </w:r>
      <w:r w:rsidRPr="00FF4C34">
        <w:rPr>
          <w:rFonts w:cstheme="minorHAnsi"/>
          <w:color w:val="000000" w:themeColor="text1"/>
          <w:shd w:val="clear" w:color="auto" w:fill="FFFFFF"/>
        </w:rPr>
        <w:t>,</w:t>
      </w:r>
      <w:r w:rsidRPr="00FF4C34">
        <w:rPr>
          <w:rStyle w:val="apple-converted-space"/>
          <w:rFonts w:cstheme="minorHAnsi"/>
          <w:color w:val="000000" w:themeColor="text1"/>
          <w:shd w:val="clear" w:color="auto" w:fill="FFFFFF"/>
        </w:rPr>
        <w:t> </w:t>
      </w:r>
      <w:r w:rsidRPr="00FF4C34">
        <w:rPr>
          <w:rFonts w:cstheme="minorHAnsi"/>
          <w:i/>
          <w:iCs/>
          <w:color w:val="000000" w:themeColor="text1"/>
        </w:rPr>
        <w:t>157</w:t>
      </w:r>
      <w:r w:rsidRPr="00FF4C34">
        <w:rPr>
          <w:rFonts w:cstheme="minorHAnsi"/>
          <w:color w:val="000000" w:themeColor="text1"/>
          <w:shd w:val="clear" w:color="auto" w:fill="FFFFFF"/>
        </w:rPr>
        <w:t>, p.107843.</w:t>
      </w:r>
    </w:p>
    <w:p w14:paraId="59B87E3B" w14:textId="77777777" w:rsidR="00137BFD" w:rsidRPr="00FF4C34" w:rsidRDefault="00137BFD" w:rsidP="00137BFD">
      <w:pPr>
        <w:jc w:val="both"/>
        <w:rPr>
          <w:rFonts w:asciiTheme="minorHAnsi" w:hAnsiTheme="minorHAnsi" w:cstheme="minorHAnsi"/>
          <w:color w:val="000000" w:themeColor="text1"/>
        </w:rPr>
      </w:pPr>
    </w:p>
    <w:p w14:paraId="353EE939" w14:textId="0C9B49F4" w:rsidR="00C86D59" w:rsidRPr="00FF4C34" w:rsidRDefault="00C86D59" w:rsidP="00C86D59">
      <w:pPr>
        <w:pStyle w:val="ListParagraph"/>
        <w:numPr>
          <w:ilvl w:val="0"/>
          <w:numId w:val="13"/>
        </w:numPr>
        <w:jc w:val="both"/>
        <w:rPr>
          <w:rFonts w:cstheme="minorHAnsi"/>
          <w:color w:val="000000" w:themeColor="text1"/>
        </w:rPr>
      </w:pPr>
      <w:proofErr w:type="spellStart"/>
      <w:r w:rsidRPr="00FF4C34">
        <w:rPr>
          <w:rFonts w:cstheme="minorHAnsi"/>
          <w:color w:val="000000" w:themeColor="text1"/>
          <w:shd w:val="clear" w:color="auto" w:fill="FFFFFF"/>
        </w:rPr>
        <w:t>Targher</w:t>
      </w:r>
      <w:proofErr w:type="spellEnd"/>
      <w:r w:rsidRPr="00FF4C34">
        <w:rPr>
          <w:rFonts w:cstheme="minorHAnsi"/>
          <w:color w:val="000000" w:themeColor="text1"/>
          <w:shd w:val="clear" w:color="auto" w:fill="FFFFFF"/>
        </w:rPr>
        <w:t xml:space="preserve">, G., Corey, K.E., Byrne, C.D. and </w:t>
      </w:r>
      <w:proofErr w:type="spellStart"/>
      <w:r w:rsidRPr="00FF4C34">
        <w:rPr>
          <w:rFonts w:cstheme="minorHAnsi"/>
          <w:color w:val="000000" w:themeColor="text1"/>
          <w:shd w:val="clear" w:color="auto" w:fill="FFFFFF"/>
        </w:rPr>
        <w:t>Roden</w:t>
      </w:r>
      <w:proofErr w:type="spellEnd"/>
      <w:r w:rsidRPr="00FF4C34">
        <w:rPr>
          <w:rFonts w:cstheme="minorHAnsi"/>
          <w:color w:val="000000" w:themeColor="text1"/>
          <w:shd w:val="clear" w:color="auto" w:fill="FFFFFF"/>
        </w:rPr>
        <w:t>, M., 2021. The complex link between NAFLD and type 2 diabetes mellitus—mechanisms and treatments.</w:t>
      </w:r>
      <w:r w:rsidRPr="00FF4C34">
        <w:rPr>
          <w:rStyle w:val="apple-converted-space"/>
          <w:rFonts w:cstheme="minorHAnsi"/>
          <w:color w:val="000000" w:themeColor="text1"/>
          <w:shd w:val="clear" w:color="auto" w:fill="FFFFFF"/>
        </w:rPr>
        <w:t> </w:t>
      </w:r>
      <w:r w:rsidRPr="00FF4C34">
        <w:rPr>
          <w:rFonts w:cstheme="minorHAnsi"/>
          <w:i/>
          <w:iCs/>
          <w:color w:val="000000" w:themeColor="text1"/>
        </w:rPr>
        <w:t>Nature reviews Gastroenterology &amp; hepatology</w:t>
      </w:r>
      <w:r w:rsidRPr="00FF4C34">
        <w:rPr>
          <w:rFonts w:cstheme="minorHAnsi"/>
          <w:color w:val="000000" w:themeColor="text1"/>
          <w:shd w:val="clear" w:color="auto" w:fill="FFFFFF"/>
        </w:rPr>
        <w:t>,</w:t>
      </w:r>
      <w:r w:rsidRPr="00FF4C34">
        <w:rPr>
          <w:rStyle w:val="apple-converted-space"/>
          <w:rFonts w:cstheme="minorHAnsi"/>
          <w:color w:val="000000" w:themeColor="text1"/>
          <w:shd w:val="clear" w:color="auto" w:fill="FFFFFF"/>
        </w:rPr>
        <w:t> </w:t>
      </w:r>
      <w:r w:rsidRPr="00FF4C34">
        <w:rPr>
          <w:rFonts w:cstheme="minorHAnsi"/>
          <w:i/>
          <w:iCs/>
          <w:color w:val="000000" w:themeColor="text1"/>
        </w:rPr>
        <w:t>18</w:t>
      </w:r>
      <w:r w:rsidRPr="00FF4C34">
        <w:rPr>
          <w:rFonts w:cstheme="minorHAnsi"/>
          <w:color w:val="000000" w:themeColor="text1"/>
          <w:shd w:val="clear" w:color="auto" w:fill="FFFFFF"/>
        </w:rPr>
        <w:t>(9), pp.599-612.</w:t>
      </w:r>
    </w:p>
    <w:p w14:paraId="41DCEA82" w14:textId="77777777" w:rsidR="00137BFD" w:rsidRPr="00FF4C34" w:rsidRDefault="00137BFD" w:rsidP="00FF4C34">
      <w:pPr>
        <w:pStyle w:val="ListParagraph"/>
        <w:rPr>
          <w:rFonts w:cstheme="minorHAnsi"/>
          <w:color w:val="000000" w:themeColor="text1"/>
        </w:rPr>
      </w:pPr>
    </w:p>
    <w:p w14:paraId="0AD70468" w14:textId="46DA2BD7" w:rsidR="00F051C1" w:rsidRPr="00FF4C34" w:rsidRDefault="00F051C1" w:rsidP="00CD771C">
      <w:pPr>
        <w:pStyle w:val="ListParagraph"/>
        <w:numPr>
          <w:ilvl w:val="0"/>
          <w:numId w:val="13"/>
        </w:numPr>
        <w:jc w:val="both"/>
        <w:rPr>
          <w:rFonts w:cstheme="minorHAnsi"/>
          <w:color w:val="000000" w:themeColor="text1"/>
        </w:rPr>
      </w:pPr>
      <w:proofErr w:type="spellStart"/>
      <w:r w:rsidRPr="00FF4C34">
        <w:rPr>
          <w:rFonts w:cstheme="minorHAnsi"/>
          <w:color w:val="000000" w:themeColor="text1"/>
          <w:shd w:val="clear" w:color="auto" w:fill="FFFFFF"/>
        </w:rPr>
        <w:t>Younossi</w:t>
      </w:r>
      <w:proofErr w:type="spellEnd"/>
      <w:r w:rsidRPr="00FF4C34">
        <w:rPr>
          <w:rFonts w:cstheme="minorHAnsi"/>
          <w:color w:val="000000" w:themeColor="text1"/>
          <w:shd w:val="clear" w:color="auto" w:fill="FFFFFF"/>
        </w:rPr>
        <w:t xml:space="preserve">, Z.M., </w:t>
      </w:r>
      <w:proofErr w:type="spellStart"/>
      <w:r w:rsidRPr="00FF4C34">
        <w:rPr>
          <w:rFonts w:cstheme="minorHAnsi"/>
          <w:color w:val="000000" w:themeColor="text1"/>
          <w:shd w:val="clear" w:color="auto" w:fill="FFFFFF"/>
        </w:rPr>
        <w:t>Golabi</w:t>
      </w:r>
      <w:proofErr w:type="spellEnd"/>
      <w:r w:rsidRPr="00FF4C34">
        <w:rPr>
          <w:rFonts w:cstheme="minorHAnsi"/>
          <w:color w:val="000000" w:themeColor="text1"/>
          <w:shd w:val="clear" w:color="auto" w:fill="FFFFFF"/>
        </w:rPr>
        <w:t xml:space="preserve">, P., de Avila, L., Paik, J.M., </w:t>
      </w:r>
      <w:proofErr w:type="spellStart"/>
      <w:r w:rsidRPr="00FF4C34">
        <w:rPr>
          <w:rFonts w:cstheme="minorHAnsi"/>
          <w:color w:val="000000" w:themeColor="text1"/>
          <w:shd w:val="clear" w:color="auto" w:fill="FFFFFF"/>
        </w:rPr>
        <w:t>Srishord</w:t>
      </w:r>
      <w:proofErr w:type="spellEnd"/>
      <w:r w:rsidRPr="00FF4C34">
        <w:rPr>
          <w:rFonts w:cstheme="minorHAnsi"/>
          <w:color w:val="000000" w:themeColor="text1"/>
          <w:shd w:val="clear" w:color="auto" w:fill="FFFFFF"/>
        </w:rPr>
        <w:t xml:space="preserve">, M., Fukui, N., </w:t>
      </w:r>
      <w:proofErr w:type="spellStart"/>
      <w:r w:rsidRPr="00FF4C34">
        <w:rPr>
          <w:rFonts w:cstheme="minorHAnsi"/>
          <w:color w:val="000000" w:themeColor="text1"/>
          <w:shd w:val="clear" w:color="auto" w:fill="FFFFFF"/>
        </w:rPr>
        <w:t>Qiu</w:t>
      </w:r>
      <w:proofErr w:type="spellEnd"/>
      <w:r w:rsidRPr="00FF4C34">
        <w:rPr>
          <w:rFonts w:cstheme="minorHAnsi"/>
          <w:color w:val="000000" w:themeColor="text1"/>
          <w:shd w:val="clear" w:color="auto" w:fill="FFFFFF"/>
        </w:rPr>
        <w:t xml:space="preserve">, Y., Burns, L., </w:t>
      </w:r>
      <w:proofErr w:type="spellStart"/>
      <w:r w:rsidRPr="00FF4C34">
        <w:rPr>
          <w:rFonts w:cstheme="minorHAnsi"/>
          <w:color w:val="000000" w:themeColor="text1"/>
          <w:shd w:val="clear" w:color="auto" w:fill="FFFFFF"/>
        </w:rPr>
        <w:t>Afendy</w:t>
      </w:r>
      <w:proofErr w:type="spellEnd"/>
      <w:r w:rsidRPr="00FF4C34">
        <w:rPr>
          <w:rFonts w:cstheme="minorHAnsi"/>
          <w:color w:val="000000" w:themeColor="text1"/>
          <w:shd w:val="clear" w:color="auto" w:fill="FFFFFF"/>
        </w:rPr>
        <w:t>, A. and Nader, F., 2019. The global epidemiology of NAFLD and NASH in patients with type 2 diabetes: a systematic review and meta-analysis.</w:t>
      </w:r>
      <w:r w:rsidRPr="00FF4C34">
        <w:rPr>
          <w:rStyle w:val="apple-converted-space"/>
          <w:rFonts w:cstheme="minorHAnsi"/>
          <w:color w:val="000000" w:themeColor="text1"/>
          <w:shd w:val="clear" w:color="auto" w:fill="FFFFFF"/>
        </w:rPr>
        <w:t> </w:t>
      </w:r>
      <w:r w:rsidRPr="00FF4C34">
        <w:rPr>
          <w:rFonts w:cstheme="minorHAnsi"/>
          <w:i/>
          <w:iCs/>
          <w:color w:val="000000" w:themeColor="text1"/>
        </w:rPr>
        <w:t>Journal of hepatology</w:t>
      </w:r>
      <w:r w:rsidRPr="00FF4C34">
        <w:rPr>
          <w:rFonts w:cstheme="minorHAnsi"/>
          <w:color w:val="000000" w:themeColor="text1"/>
          <w:shd w:val="clear" w:color="auto" w:fill="FFFFFF"/>
        </w:rPr>
        <w:t>,</w:t>
      </w:r>
      <w:r w:rsidRPr="00FF4C34">
        <w:rPr>
          <w:rStyle w:val="apple-converted-space"/>
          <w:rFonts w:cstheme="minorHAnsi"/>
          <w:color w:val="000000" w:themeColor="text1"/>
          <w:shd w:val="clear" w:color="auto" w:fill="FFFFFF"/>
        </w:rPr>
        <w:t> </w:t>
      </w:r>
      <w:r w:rsidRPr="00FF4C34">
        <w:rPr>
          <w:rFonts w:cstheme="minorHAnsi"/>
          <w:i/>
          <w:iCs/>
          <w:color w:val="000000" w:themeColor="text1"/>
        </w:rPr>
        <w:t>71</w:t>
      </w:r>
      <w:r w:rsidRPr="00FF4C34">
        <w:rPr>
          <w:rFonts w:cstheme="minorHAnsi"/>
          <w:color w:val="000000" w:themeColor="text1"/>
          <w:shd w:val="clear" w:color="auto" w:fill="FFFFFF"/>
        </w:rPr>
        <w:t>(4), pp.793-801.</w:t>
      </w:r>
    </w:p>
    <w:p w14:paraId="3AD0C075" w14:textId="77777777" w:rsidR="00137BFD" w:rsidRPr="00FF4C34" w:rsidRDefault="00137BFD" w:rsidP="00137BFD">
      <w:pPr>
        <w:jc w:val="both"/>
        <w:rPr>
          <w:rFonts w:asciiTheme="minorHAnsi" w:hAnsiTheme="minorHAnsi" w:cstheme="minorHAnsi"/>
          <w:color w:val="000000" w:themeColor="text1"/>
        </w:rPr>
      </w:pPr>
    </w:p>
    <w:p w14:paraId="111E4F26" w14:textId="55AD5758" w:rsidR="00963075" w:rsidRPr="00FF4C34" w:rsidRDefault="00963075" w:rsidP="00963075">
      <w:pPr>
        <w:pStyle w:val="ListParagraph"/>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themeColor="text1"/>
        </w:rPr>
      </w:pPr>
      <w:proofErr w:type="spellStart"/>
      <w:r w:rsidRPr="00FF4C34">
        <w:rPr>
          <w:rFonts w:cstheme="minorHAnsi"/>
          <w:color w:val="000000" w:themeColor="text1"/>
          <w:shd w:val="clear" w:color="auto" w:fill="FFFFFF"/>
        </w:rPr>
        <w:t>Golabi</w:t>
      </w:r>
      <w:proofErr w:type="spellEnd"/>
      <w:r w:rsidRPr="00FF4C34">
        <w:rPr>
          <w:rFonts w:cstheme="minorHAnsi"/>
          <w:color w:val="000000" w:themeColor="text1"/>
          <w:shd w:val="clear" w:color="auto" w:fill="FFFFFF"/>
        </w:rPr>
        <w:t xml:space="preserve">, P., </w:t>
      </w:r>
      <w:proofErr w:type="spellStart"/>
      <w:r w:rsidRPr="00FF4C34">
        <w:rPr>
          <w:rFonts w:cstheme="minorHAnsi"/>
          <w:color w:val="000000" w:themeColor="text1"/>
          <w:shd w:val="clear" w:color="auto" w:fill="FFFFFF"/>
        </w:rPr>
        <w:t>Otgonsuren</w:t>
      </w:r>
      <w:proofErr w:type="spellEnd"/>
      <w:r w:rsidRPr="00FF4C34">
        <w:rPr>
          <w:rFonts w:cstheme="minorHAnsi"/>
          <w:color w:val="000000" w:themeColor="text1"/>
          <w:shd w:val="clear" w:color="auto" w:fill="FFFFFF"/>
        </w:rPr>
        <w:t xml:space="preserve">, M., de Avila, L., </w:t>
      </w:r>
      <w:proofErr w:type="spellStart"/>
      <w:r w:rsidRPr="00FF4C34">
        <w:rPr>
          <w:rFonts w:cstheme="minorHAnsi"/>
          <w:color w:val="000000" w:themeColor="text1"/>
          <w:shd w:val="clear" w:color="auto" w:fill="FFFFFF"/>
        </w:rPr>
        <w:t>Sayiner</w:t>
      </w:r>
      <w:proofErr w:type="spellEnd"/>
      <w:r w:rsidRPr="00FF4C34">
        <w:rPr>
          <w:rFonts w:cstheme="minorHAnsi"/>
          <w:color w:val="000000" w:themeColor="text1"/>
          <w:shd w:val="clear" w:color="auto" w:fill="FFFFFF"/>
        </w:rPr>
        <w:t xml:space="preserve">, M., Rafiq, N. and </w:t>
      </w:r>
      <w:proofErr w:type="spellStart"/>
      <w:r w:rsidRPr="00FF4C34">
        <w:rPr>
          <w:rFonts w:cstheme="minorHAnsi"/>
          <w:color w:val="000000" w:themeColor="text1"/>
          <w:shd w:val="clear" w:color="auto" w:fill="FFFFFF"/>
        </w:rPr>
        <w:t>Younossi</w:t>
      </w:r>
      <w:proofErr w:type="spellEnd"/>
      <w:r w:rsidRPr="00FF4C34">
        <w:rPr>
          <w:rFonts w:cstheme="minorHAnsi"/>
          <w:color w:val="000000" w:themeColor="text1"/>
          <w:shd w:val="clear" w:color="auto" w:fill="FFFFFF"/>
        </w:rPr>
        <w:t xml:space="preserve">, Z.M., 2018. Components of metabolic syndrome increase the risk of mortality in </w:t>
      </w:r>
      <w:proofErr w:type="spellStart"/>
      <w:r w:rsidRPr="00FF4C34">
        <w:rPr>
          <w:rFonts w:cstheme="minorHAnsi"/>
          <w:color w:val="000000" w:themeColor="text1"/>
          <w:shd w:val="clear" w:color="auto" w:fill="FFFFFF"/>
        </w:rPr>
        <w:t>nonalcoholic</w:t>
      </w:r>
      <w:proofErr w:type="spellEnd"/>
      <w:r w:rsidRPr="00FF4C34">
        <w:rPr>
          <w:rFonts w:cstheme="minorHAnsi"/>
          <w:color w:val="000000" w:themeColor="text1"/>
          <w:shd w:val="clear" w:color="auto" w:fill="FFFFFF"/>
        </w:rPr>
        <w:t xml:space="preserve"> fatty liver disease (NAFLD). </w:t>
      </w:r>
      <w:r w:rsidRPr="00FF4C34">
        <w:rPr>
          <w:rFonts w:cstheme="minorHAnsi"/>
          <w:i/>
          <w:iCs/>
          <w:color w:val="000000" w:themeColor="text1"/>
          <w:shd w:val="clear" w:color="auto" w:fill="FFFFFF"/>
        </w:rPr>
        <w:t>Medicine</w:t>
      </w:r>
      <w:r w:rsidRPr="00FF4C34">
        <w:rPr>
          <w:rFonts w:cstheme="minorHAnsi"/>
          <w:color w:val="000000" w:themeColor="text1"/>
          <w:shd w:val="clear" w:color="auto" w:fill="FFFFFF"/>
        </w:rPr>
        <w:t>, </w:t>
      </w:r>
      <w:r w:rsidRPr="00FF4C34">
        <w:rPr>
          <w:rFonts w:cstheme="minorHAnsi"/>
          <w:i/>
          <w:iCs/>
          <w:color w:val="000000" w:themeColor="text1"/>
          <w:shd w:val="clear" w:color="auto" w:fill="FFFFFF"/>
        </w:rPr>
        <w:t>97</w:t>
      </w:r>
      <w:r w:rsidRPr="00FF4C34">
        <w:rPr>
          <w:rFonts w:cstheme="minorHAnsi"/>
          <w:color w:val="000000" w:themeColor="text1"/>
          <w:shd w:val="clear" w:color="auto" w:fill="FFFFFF"/>
        </w:rPr>
        <w:t>(13).</w:t>
      </w:r>
    </w:p>
    <w:p w14:paraId="2026D903" w14:textId="77777777" w:rsidR="00137BFD" w:rsidRPr="00FF4C34" w:rsidRDefault="00137BFD" w:rsidP="00FF4C34">
      <w:pPr>
        <w:pStyle w:val="ListParagraph"/>
        <w:rPr>
          <w:rFonts w:cstheme="minorHAnsi"/>
          <w:color w:val="000000" w:themeColor="text1"/>
        </w:rPr>
      </w:pPr>
    </w:p>
    <w:p w14:paraId="5AAA4455" w14:textId="278CE798" w:rsidR="00C87805" w:rsidRPr="00FF4C34" w:rsidRDefault="00963075" w:rsidP="00FF4C34">
      <w:pPr>
        <w:pStyle w:val="ListParagraph"/>
        <w:numPr>
          <w:ilvl w:val="0"/>
          <w:numId w:val="13"/>
        </w:numPr>
        <w:rPr>
          <w:rFonts w:cstheme="minorHAnsi"/>
          <w:color w:val="000000" w:themeColor="text1"/>
        </w:rPr>
      </w:pPr>
      <w:proofErr w:type="spellStart"/>
      <w:r w:rsidRPr="00FF4C34">
        <w:rPr>
          <w:rFonts w:cstheme="minorHAnsi"/>
          <w:color w:val="000000" w:themeColor="text1"/>
          <w:shd w:val="clear" w:color="auto" w:fill="FFFFFF"/>
        </w:rPr>
        <w:t>Younossi</w:t>
      </w:r>
      <w:proofErr w:type="spellEnd"/>
      <w:r w:rsidRPr="00FF4C34">
        <w:rPr>
          <w:rFonts w:cstheme="minorHAnsi"/>
          <w:color w:val="000000" w:themeColor="text1"/>
          <w:shd w:val="clear" w:color="auto" w:fill="FFFFFF"/>
        </w:rPr>
        <w:t xml:space="preserve">, Z.M., </w:t>
      </w:r>
      <w:proofErr w:type="spellStart"/>
      <w:r w:rsidRPr="00FF4C34">
        <w:rPr>
          <w:rFonts w:cstheme="minorHAnsi"/>
          <w:color w:val="000000" w:themeColor="text1"/>
          <w:shd w:val="clear" w:color="auto" w:fill="FFFFFF"/>
        </w:rPr>
        <w:t>Gramlich</w:t>
      </w:r>
      <w:proofErr w:type="spellEnd"/>
      <w:r w:rsidRPr="00FF4C34">
        <w:rPr>
          <w:rFonts w:cstheme="minorHAnsi"/>
          <w:color w:val="000000" w:themeColor="text1"/>
          <w:shd w:val="clear" w:color="auto" w:fill="FFFFFF"/>
        </w:rPr>
        <w:t xml:space="preserve">, T., </w:t>
      </w:r>
      <w:proofErr w:type="spellStart"/>
      <w:r w:rsidRPr="00FF4C34">
        <w:rPr>
          <w:rFonts w:cstheme="minorHAnsi"/>
          <w:color w:val="000000" w:themeColor="text1"/>
          <w:shd w:val="clear" w:color="auto" w:fill="FFFFFF"/>
        </w:rPr>
        <w:t>Matteoni</w:t>
      </w:r>
      <w:proofErr w:type="spellEnd"/>
      <w:r w:rsidRPr="00FF4C34">
        <w:rPr>
          <w:rFonts w:cstheme="minorHAnsi"/>
          <w:color w:val="000000" w:themeColor="text1"/>
          <w:shd w:val="clear" w:color="auto" w:fill="FFFFFF"/>
        </w:rPr>
        <w:t xml:space="preserve">, C.A., Boparai, </w:t>
      </w:r>
      <w:proofErr w:type="gramStart"/>
      <w:r w:rsidRPr="00FF4C34">
        <w:rPr>
          <w:rFonts w:cstheme="minorHAnsi"/>
          <w:color w:val="000000" w:themeColor="text1"/>
          <w:shd w:val="clear" w:color="auto" w:fill="FFFFFF"/>
        </w:rPr>
        <w:t>N.</w:t>
      </w:r>
      <w:proofErr w:type="gramEnd"/>
      <w:r w:rsidRPr="00FF4C34">
        <w:rPr>
          <w:rFonts w:cstheme="minorHAnsi"/>
          <w:color w:val="000000" w:themeColor="text1"/>
          <w:shd w:val="clear" w:color="auto" w:fill="FFFFFF"/>
        </w:rPr>
        <w:t xml:space="preserve"> and McCullough, A.J., 2004. </w:t>
      </w:r>
      <w:proofErr w:type="spellStart"/>
      <w:r w:rsidRPr="00FF4C34">
        <w:rPr>
          <w:rFonts w:cstheme="minorHAnsi"/>
          <w:color w:val="000000" w:themeColor="text1"/>
          <w:shd w:val="clear" w:color="auto" w:fill="FFFFFF"/>
        </w:rPr>
        <w:t>Nonalcoholic</w:t>
      </w:r>
      <w:proofErr w:type="spellEnd"/>
      <w:r w:rsidRPr="00FF4C34">
        <w:rPr>
          <w:rFonts w:cstheme="minorHAnsi"/>
          <w:color w:val="000000" w:themeColor="text1"/>
          <w:shd w:val="clear" w:color="auto" w:fill="FFFFFF"/>
        </w:rPr>
        <w:t xml:space="preserve"> fatty liver disease in patients with type 2 diabetes. </w:t>
      </w:r>
      <w:r w:rsidRPr="00FF4C34">
        <w:rPr>
          <w:rFonts w:cstheme="minorHAnsi"/>
          <w:i/>
          <w:iCs/>
          <w:color w:val="000000" w:themeColor="text1"/>
          <w:shd w:val="clear" w:color="auto" w:fill="FFFFFF"/>
        </w:rPr>
        <w:t>Clinical Gastroenterology and Hepatology</w:t>
      </w:r>
      <w:r w:rsidRPr="00FF4C34">
        <w:rPr>
          <w:rFonts w:cstheme="minorHAnsi"/>
          <w:color w:val="000000" w:themeColor="text1"/>
          <w:shd w:val="clear" w:color="auto" w:fill="FFFFFF"/>
        </w:rPr>
        <w:t>, </w:t>
      </w:r>
      <w:r w:rsidRPr="00FF4C34">
        <w:rPr>
          <w:rFonts w:cstheme="minorHAnsi"/>
          <w:i/>
          <w:iCs/>
          <w:color w:val="000000" w:themeColor="text1"/>
          <w:shd w:val="clear" w:color="auto" w:fill="FFFFFF"/>
        </w:rPr>
        <w:t>2</w:t>
      </w:r>
      <w:r w:rsidRPr="00FF4C34">
        <w:rPr>
          <w:rFonts w:cstheme="minorHAnsi"/>
          <w:color w:val="000000" w:themeColor="text1"/>
          <w:shd w:val="clear" w:color="auto" w:fill="FFFFFF"/>
        </w:rPr>
        <w:t>(3), pp.262-265.</w:t>
      </w:r>
    </w:p>
    <w:p w14:paraId="62BCBAFE" w14:textId="77777777" w:rsidR="00C87805" w:rsidRPr="00FF4C34" w:rsidRDefault="00C87805" w:rsidP="00C878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rPr>
      </w:pPr>
    </w:p>
    <w:p w14:paraId="7A8B9103" w14:textId="2831FBE8" w:rsidR="00137BFD" w:rsidRPr="00FF4C34" w:rsidRDefault="00F051C1" w:rsidP="00CD771C">
      <w:pPr>
        <w:pStyle w:val="ListParagraph"/>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themeColor="text1"/>
        </w:rPr>
      </w:pPr>
      <w:r w:rsidRPr="00FF4C34">
        <w:rPr>
          <w:rFonts w:cstheme="minorHAnsi"/>
          <w:color w:val="000000" w:themeColor="text1"/>
        </w:rPr>
        <w:t>Tada T, Toyoda H, Sone Y, et al. Type 2 diabetes mellitus: a risk factor for progression of liver fibrosis in middle-aged patients with non- alcoholic fatty liver disease</w:t>
      </w:r>
      <w:r w:rsidR="00963075" w:rsidRPr="00FF4C34">
        <w:rPr>
          <w:rFonts w:cstheme="minorHAnsi"/>
          <w:color w:val="000000" w:themeColor="text1"/>
        </w:rPr>
        <w:t>., 2019</w:t>
      </w:r>
      <w:r w:rsidRPr="00FF4C34">
        <w:rPr>
          <w:rFonts w:cstheme="minorHAnsi"/>
          <w:color w:val="000000" w:themeColor="text1"/>
        </w:rPr>
        <w:t xml:space="preserve">. </w:t>
      </w:r>
      <w:r w:rsidRPr="00FF4C34">
        <w:rPr>
          <w:rFonts w:cstheme="minorHAnsi"/>
          <w:i/>
          <w:iCs/>
          <w:color w:val="000000" w:themeColor="text1"/>
        </w:rPr>
        <w:t xml:space="preserve">J Gastroenterol </w:t>
      </w:r>
      <w:proofErr w:type="gramStart"/>
      <w:r w:rsidRPr="00FF4C34">
        <w:rPr>
          <w:rFonts w:cstheme="minorHAnsi"/>
          <w:i/>
          <w:iCs/>
          <w:color w:val="000000" w:themeColor="text1"/>
        </w:rPr>
        <w:t>Hepatol</w:t>
      </w:r>
      <w:r w:rsidR="00963075" w:rsidRPr="00FF4C34">
        <w:rPr>
          <w:rFonts w:cstheme="minorHAnsi"/>
          <w:color w:val="000000" w:themeColor="text1"/>
        </w:rPr>
        <w:t>,(</w:t>
      </w:r>
      <w:proofErr w:type="gramEnd"/>
      <w:r w:rsidRPr="00FF4C34">
        <w:rPr>
          <w:rFonts w:cstheme="minorHAnsi"/>
          <w:color w:val="000000" w:themeColor="text1"/>
        </w:rPr>
        <w:t>34</w:t>
      </w:r>
      <w:r w:rsidR="00963075" w:rsidRPr="00FF4C34">
        <w:rPr>
          <w:rFonts w:cstheme="minorHAnsi"/>
          <w:color w:val="000000" w:themeColor="text1"/>
        </w:rPr>
        <w:t>), pp.</w:t>
      </w:r>
      <w:r w:rsidRPr="00FF4C34">
        <w:rPr>
          <w:rFonts w:cstheme="minorHAnsi"/>
          <w:color w:val="000000" w:themeColor="text1"/>
        </w:rPr>
        <w:t>2011–2018</w:t>
      </w:r>
    </w:p>
    <w:p w14:paraId="48591DC3" w14:textId="77777777" w:rsidR="00F051C1" w:rsidRPr="00FF4C34" w:rsidRDefault="00F051C1" w:rsidP="00C878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heme="minorHAnsi" w:hAnsiTheme="minorHAnsi" w:cstheme="minorHAnsi"/>
          <w:color w:val="000000" w:themeColor="text1"/>
        </w:rPr>
      </w:pPr>
    </w:p>
    <w:p w14:paraId="26DAC0D1" w14:textId="27A02C1D" w:rsidR="00963075" w:rsidRPr="00FF4C34" w:rsidRDefault="00963075" w:rsidP="00FF4C34">
      <w:pPr>
        <w:pStyle w:val="ListParagraph"/>
        <w:numPr>
          <w:ilvl w:val="0"/>
          <w:numId w:val="13"/>
        </w:numPr>
        <w:rPr>
          <w:rFonts w:cstheme="minorHAnsi"/>
          <w:color w:val="000000" w:themeColor="text1"/>
        </w:rPr>
      </w:pPr>
      <w:r w:rsidRPr="00FF4C34">
        <w:rPr>
          <w:rFonts w:cstheme="minorHAnsi"/>
          <w:color w:val="000000" w:themeColor="text1"/>
          <w:shd w:val="clear" w:color="auto" w:fill="FFFFFF"/>
        </w:rPr>
        <w:t>El-</w:t>
      </w:r>
      <w:proofErr w:type="spellStart"/>
      <w:r w:rsidRPr="00FF4C34">
        <w:rPr>
          <w:rFonts w:cstheme="minorHAnsi"/>
          <w:color w:val="000000" w:themeColor="text1"/>
          <w:shd w:val="clear" w:color="auto" w:fill="FFFFFF"/>
        </w:rPr>
        <w:t>Serag</w:t>
      </w:r>
      <w:proofErr w:type="spellEnd"/>
      <w:r w:rsidRPr="00FF4C34">
        <w:rPr>
          <w:rFonts w:cstheme="minorHAnsi"/>
          <w:color w:val="000000" w:themeColor="text1"/>
          <w:shd w:val="clear" w:color="auto" w:fill="FFFFFF"/>
        </w:rPr>
        <w:t xml:space="preserve">, H.B., Tran, </w:t>
      </w:r>
      <w:proofErr w:type="gramStart"/>
      <w:r w:rsidRPr="00FF4C34">
        <w:rPr>
          <w:rFonts w:cstheme="minorHAnsi"/>
          <w:color w:val="000000" w:themeColor="text1"/>
          <w:shd w:val="clear" w:color="auto" w:fill="FFFFFF"/>
        </w:rPr>
        <w:t>T.</w:t>
      </w:r>
      <w:proofErr w:type="gramEnd"/>
      <w:r w:rsidRPr="00FF4C34">
        <w:rPr>
          <w:rFonts w:cstheme="minorHAnsi"/>
          <w:color w:val="000000" w:themeColor="text1"/>
          <w:shd w:val="clear" w:color="auto" w:fill="FFFFFF"/>
        </w:rPr>
        <w:t xml:space="preserve"> and Everhart, J.E., 2004. Diabetes increases the risk of chronic liver disease and hepatocellular carcinoma. </w:t>
      </w:r>
      <w:r w:rsidRPr="00FF4C34">
        <w:rPr>
          <w:rFonts w:cstheme="minorHAnsi"/>
          <w:i/>
          <w:iCs/>
          <w:color w:val="000000" w:themeColor="text1"/>
          <w:shd w:val="clear" w:color="auto" w:fill="FFFFFF"/>
        </w:rPr>
        <w:t>Gastroenterology</w:t>
      </w:r>
      <w:r w:rsidRPr="00FF4C34">
        <w:rPr>
          <w:rFonts w:cstheme="minorHAnsi"/>
          <w:color w:val="000000" w:themeColor="text1"/>
          <w:shd w:val="clear" w:color="auto" w:fill="FFFFFF"/>
        </w:rPr>
        <w:t>, </w:t>
      </w:r>
      <w:r w:rsidRPr="00FF4C34">
        <w:rPr>
          <w:rFonts w:cstheme="minorHAnsi"/>
          <w:i/>
          <w:iCs/>
          <w:color w:val="000000" w:themeColor="text1"/>
          <w:shd w:val="clear" w:color="auto" w:fill="FFFFFF"/>
        </w:rPr>
        <w:t>126</w:t>
      </w:r>
      <w:r w:rsidRPr="00FF4C34">
        <w:rPr>
          <w:rFonts w:cstheme="minorHAnsi"/>
          <w:color w:val="000000" w:themeColor="text1"/>
          <w:shd w:val="clear" w:color="auto" w:fill="FFFFFF"/>
        </w:rPr>
        <w:t>(2), pp.460-468.</w:t>
      </w:r>
    </w:p>
    <w:p w14:paraId="724A11B1" w14:textId="77777777" w:rsidR="00F051C1" w:rsidRPr="00FF4C34" w:rsidRDefault="00F051C1" w:rsidP="00963075">
      <w:pPr>
        <w:pStyle w:val="ListParagraph"/>
        <w:jc w:val="both"/>
        <w:rPr>
          <w:rFonts w:cstheme="minorHAnsi"/>
          <w:color w:val="000000" w:themeColor="text1"/>
        </w:rPr>
      </w:pPr>
    </w:p>
    <w:p w14:paraId="6EBA810F" w14:textId="1F44A2FA" w:rsidR="00137BFD" w:rsidRPr="00FF4C34" w:rsidRDefault="00F051C1" w:rsidP="00CD771C">
      <w:pPr>
        <w:pStyle w:val="ListParagraph"/>
        <w:numPr>
          <w:ilvl w:val="0"/>
          <w:numId w:val="13"/>
        </w:numPr>
        <w:jc w:val="both"/>
        <w:rPr>
          <w:rFonts w:cstheme="minorHAnsi"/>
          <w:color w:val="000000" w:themeColor="text1"/>
        </w:rPr>
      </w:pPr>
      <w:proofErr w:type="spellStart"/>
      <w:r w:rsidRPr="00FF4C34">
        <w:rPr>
          <w:rFonts w:cstheme="minorHAnsi"/>
          <w:color w:val="000000" w:themeColor="text1"/>
        </w:rPr>
        <w:t>Younossi</w:t>
      </w:r>
      <w:proofErr w:type="spellEnd"/>
      <w:r w:rsidRPr="00FF4C34">
        <w:rPr>
          <w:rFonts w:cstheme="minorHAnsi"/>
          <w:color w:val="000000" w:themeColor="text1"/>
        </w:rPr>
        <w:t xml:space="preserve">, Z.M., </w:t>
      </w:r>
      <w:proofErr w:type="spellStart"/>
      <w:r w:rsidRPr="00FF4C34">
        <w:rPr>
          <w:rFonts w:cstheme="minorHAnsi"/>
          <w:color w:val="000000" w:themeColor="text1"/>
        </w:rPr>
        <w:t>Tampi</w:t>
      </w:r>
      <w:proofErr w:type="spellEnd"/>
      <w:r w:rsidRPr="00FF4C34">
        <w:rPr>
          <w:rFonts w:cstheme="minorHAnsi"/>
          <w:color w:val="000000" w:themeColor="text1"/>
        </w:rPr>
        <w:t xml:space="preserve">, R.P., </w:t>
      </w:r>
      <w:proofErr w:type="spellStart"/>
      <w:r w:rsidRPr="00FF4C34">
        <w:rPr>
          <w:rFonts w:cstheme="minorHAnsi"/>
          <w:color w:val="000000" w:themeColor="text1"/>
        </w:rPr>
        <w:t>Racila</w:t>
      </w:r>
      <w:proofErr w:type="spellEnd"/>
      <w:r w:rsidRPr="00FF4C34">
        <w:rPr>
          <w:rFonts w:cstheme="minorHAnsi"/>
          <w:color w:val="000000" w:themeColor="text1"/>
        </w:rPr>
        <w:t xml:space="preserve">, A., </w:t>
      </w:r>
      <w:proofErr w:type="spellStart"/>
      <w:r w:rsidRPr="00FF4C34">
        <w:rPr>
          <w:rFonts w:cstheme="minorHAnsi"/>
          <w:color w:val="000000" w:themeColor="text1"/>
        </w:rPr>
        <w:t>Qiu</w:t>
      </w:r>
      <w:proofErr w:type="spellEnd"/>
      <w:r w:rsidRPr="00FF4C34">
        <w:rPr>
          <w:rFonts w:cstheme="minorHAnsi"/>
          <w:color w:val="000000" w:themeColor="text1"/>
        </w:rPr>
        <w:t xml:space="preserve">, Y., Burns, L., </w:t>
      </w:r>
      <w:proofErr w:type="spellStart"/>
      <w:r w:rsidRPr="00FF4C34">
        <w:rPr>
          <w:rFonts w:cstheme="minorHAnsi"/>
          <w:color w:val="000000" w:themeColor="text1"/>
        </w:rPr>
        <w:t>Younossi</w:t>
      </w:r>
      <w:proofErr w:type="spellEnd"/>
      <w:r w:rsidRPr="00FF4C34">
        <w:rPr>
          <w:rFonts w:cstheme="minorHAnsi"/>
          <w:color w:val="000000" w:themeColor="text1"/>
        </w:rPr>
        <w:t xml:space="preserve">, I. and Nader, F., 2020. Economic and clinical burden of </w:t>
      </w:r>
      <w:proofErr w:type="spellStart"/>
      <w:r w:rsidRPr="00FF4C34">
        <w:rPr>
          <w:rFonts w:cstheme="minorHAnsi"/>
          <w:color w:val="000000" w:themeColor="text1"/>
        </w:rPr>
        <w:t>nonalcoholic</w:t>
      </w:r>
      <w:proofErr w:type="spellEnd"/>
      <w:r w:rsidRPr="00FF4C34">
        <w:rPr>
          <w:rFonts w:cstheme="minorHAnsi"/>
          <w:color w:val="000000" w:themeColor="text1"/>
        </w:rPr>
        <w:t xml:space="preserve"> steatohepatitis in patients with type 2 diabetes in the US. </w:t>
      </w:r>
      <w:r w:rsidRPr="00FF4C34">
        <w:rPr>
          <w:rFonts w:cstheme="minorHAnsi"/>
          <w:i/>
          <w:iCs/>
          <w:color w:val="000000" w:themeColor="text1"/>
        </w:rPr>
        <w:t>Diabetes care</w:t>
      </w:r>
      <w:r w:rsidRPr="00FF4C34">
        <w:rPr>
          <w:rFonts w:cstheme="minorHAnsi"/>
          <w:color w:val="000000" w:themeColor="text1"/>
        </w:rPr>
        <w:t>, 43(2), pp.283-289.</w:t>
      </w:r>
    </w:p>
    <w:p w14:paraId="6D510D6C" w14:textId="77777777" w:rsidR="00F051C1" w:rsidRPr="00FF4C34" w:rsidRDefault="00F051C1" w:rsidP="00137BFD">
      <w:pPr>
        <w:pStyle w:val="ListParagraph"/>
        <w:jc w:val="both"/>
        <w:rPr>
          <w:rFonts w:cstheme="minorHAnsi"/>
          <w:color w:val="000000" w:themeColor="text1"/>
        </w:rPr>
      </w:pPr>
    </w:p>
    <w:p w14:paraId="597CD8ED" w14:textId="55E61C5C" w:rsidR="00F051C1" w:rsidRPr="00FF4C34" w:rsidRDefault="00F051C1" w:rsidP="00CD771C">
      <w:pPr>
        <w:pStyle w:val="ListParagraph"/>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themeColor="text1"/>
        </w:rPr>
      </w:pPr>
      <w:r w:rsidRPr="00FF4C34">
        <w:rPr>
          <w:rFonts w:cstheme="minorHAnsi"/>
          <w:color w:val="000000" w:themeColor="text1"/>
        </w:rPr>
        <w:t xml:space="preserve">  Waddell, T., </w:t>
      </w:r>
      <w:proofErr w:type="spellStart"/>
      <w:r w:rsidRPr="00FF4C34">
        <w:rPr>
          <w:rFonts w:cstheme="minorHAnsi"/>
          <w:color w:val="000000" w:themeColor="text1"/>
        </w:rPr>
        <w:t>Bagur</w:t>
      </w:r>
      <w:proofErr w:type="spellEnd"/>
      <w:r w:rsidRPr="00FF4C34">
        <w:rPr>
          <w:rFonts w:cstheme="minorHAnsi"/>
          <w:color w:val="000000" w:themeColor="text1"/>
        </w:rPr>
        <w:t xml:space="preserve">, A., Cunha, D., </w:t>
      </w:r>
      <w:proofErr w:type="spellStart"/>
      <w:r w:rsidRPr="00FF4C34">
        <w:rPr>
          <w:rFonts w:cstheme="minorHAnsi"/>
          <w:color w:val="000000" w:themeColor="text1"/>
        </w:rPr>
        <w:t>Thomaides‐Brears</w:t>
      </w:r>
      <w:proofErr w:type="spellEnd"/>
      <w:r w:rsidRPr="00FF4C34">
        <w:rPr>
          <w:rFonts w:cstheme="minorHAnsi"/>
          <w:color w:val="000000" w:themeColor="text1"/>
        </w:rPr>
        <w:t xml:space="preserve">, H., Banerjee, R., Cuthbertson, D.J., Brown, E., </w:t>
      </w:r>
      <w:proofErr w:type="spellStart"/>
      <w:r w:rsidRPr="00FF4C34">
        <w:rPr>
          <w:rFonts w:cstheme="minorHAnsi"/>
          <w:color w:val="000000" w:themeColor="text1"/>
        </w:rPr>
        <w:t>Cusi</w:t>
      </w:r>
      <w:proofErr w:type="spellEnd"/>
      <w:r w:rsidRPr="00FF4C34">
        <w:rPr>
          <w:rFonts w:cstheme="minorHAnsi"/>
          <w:color w:val="000000" w:themeColor="text1"/>
        </w:rPr>
        <w:t xml:space="preserve">, K., </w:t>
      </w:r>
      <w:proofErr w:type="spellStart"/>
      <w:r w:rsidRPr="00FF4C34">
        <w:rPr>
          <w:rFonts w:cstheme="minorHAnsi"/>
          <w:color w:val="000000" w:themeColor="text1"/>
        </w:rPr>
        <w:t>Després</w:t>
      </w:r>
      <w:proofErr w:type="spellEnd"/>
      <w:r w:rsidRPr="00FF4C34">
        <w:rPr>
          <w:rFonts w:cstheme="minorHAnsi"/>
          <w:color w:val="000000" w:themeColor="text1"/>
        </w:rPr>
        <w:t xml:space="preserve">, J.P. and Brady, M., 2022. Greater ectopic fat deposition and liver </w:t>
      </w:r>
      <w:proofErr w:type="spellStart"/>
      <w:r w:rsidRPr="00FF4C34">
        <w:rPr>
          <w:rFonts w:cstheme="minorHAnsi"/>
          <w:color w:val="000000" w:themeColor="text1"/>
        </w:rPr>
        <w:t>fibroinflammation</w:t>
      </w:r>
      <w:proofErr w:type="spellEnd"/>
      <w:r w:rsidRPr="00FF4C34">
        <w:rPr>
          <w:rFonts w:cstheme="minorHAnsi"/>
          <w:color w:val="000000" w:themeColor="text1"/>
        </w:rPr>
        <w:t>, and lower skeletal muscle mass in people with type 2 diabetes. Obesity.</w:t>
      </w:r>
    </w:p>
    <w:p w14:paraId="77DACF8F" w14:textId="77777777" w:rsidR="00137BFD" w:rsidRPr="00FF4C34" w:rsidRDefault="00137BFD" w:rsidP="00C8780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themeColor="text1"/>
        </w:rPr>
      </w:pPr>
    </w:p>
    <w:p w14:paraId="259ADD22" w14:textId="7CA3550A" w:rsidR="00F051C1" w:rsidRPr="00FF4C34" w:rsidRDefault="00F051C1" w:rsidP="00CD771C">
      <w:pPr>
        <w:pStyle w:val="ListParagraph"/>
        <w:numPr>
          <w:ilvl w:val="0"/>
          <w:numId w:val="13"/>
        </w:numPr>
        <w:jc w:val="both"/>
        <w:rPr>
          <w:rFonts w:cstheme="minorHAnsi"/>
          <w:color w:val="000000" w:themeColor="text1"/>
        </w:rPr>
      </w:pPr>
      <w:r w:rsidRPr="00FF4C34">
        <w:rPr>
          <w:rFonts w:cstheme="minorHAnsi"/>
          <w:color w:val="000000" w:themeColor="text1"/>
        </w:rPr>
        <w:t xml:space="preserve">  </w:t>
      </w:r>
      <w:proofErr w:type="spellStart"/>
      <w:r w:rsidRPr="00FF4C34">
        <w:rPr>
          <w:rFonts w:cstheme="minorHAnsi"/>
          <w:color w:val="000000" w:themeColor="text1"/>
        </w:rPr>
        <w:t>Levelt</w:t>
      </w:r>
      <w:proofErr w:type="spellEnd"/>
      <w:r w:rsidRPr="00FF4C34">
        <w:rPr>
          <w:rFonts w:cstheme="minorHAnsi"/>
          <w:color w:val="000000" w:themeColor="text1"/>
        </w:rPr>
        <w:t xml:space="preserve">, E., </w:t>
      </w:r>
      <w:proofErr w:type="spellStart"/>
      <w:r w:rsidRPr="00FF4C34">
        <w:rPr>
          <w:rFonts w:cstheme="minorHAnsi"/>
          <w:color w:val="000000" w:themeColor="text1"/>
        </w:rPr>
        <w:t>Pavlides</w:t>
      </w:r>
      <w:proofErr w:type="spellEnd"/>
      <w:r w:rsidRPr="00FF4C34">
        <w:rPr>
          <w:rFonts w:cstheme="minorHAnsi"/>
          <w:color w:val="000000" w:themeColor="text1"/>
        </w:rPr>
        <w:t xml:space="preserve">, M., Banerjee, R., </w:t>
      </w:r>
      <w:proofErr w:type="spellStart"/>
      <w:r w:rsidRPr="00FF4C34">
        <w:rPr>
          <w:rFonts w:cstheme="minorHAnsi"/>
          <w:color w:val="000000" w:themeColor="text1"/>
        </w:rPr>
        <w:t>Mahmod</w:t>
      </w:r>
      <w:proofErr w:type="spellEnd"/>
      <w:r w:rsidRPr="00FF4C34">
        <w:rPr>
          <w:rFonts w:cstheme="minorHAnsi"/>
          <w:color w:val="000000" w:themeColor="text1"/>
        </w:rPr>
        <w:t xml:space="preserve">, M., Kelly, C., </w:t>
      </w:r>
      <w:proofErr w:type="spellStart"/>
      <w:r w:rsidRPr="00FF4C34">
        <w:rPr>
          <w:rFonts w:cstheme="minorHAnsi"/>
          <w:color w:val="000000" w:themeColor="text1"/>
        </w:rPr>
        <w:t>Sellwood</w:t>
      </w:r>
      <w:proofErr w:type="spellEnd"/>
      <w:r w:rsidRPr="00FF4C34">
        <w:rPr>
          <w:rFonts w:cstheme="minorHAnsi"/>
          <w:color w:val="000000" w:themeColor="text1"/>
        </w:rPr>
        <w:t xml:space="preserve">, J., </w:t>
      </w:r>
      <w:proofErr w:type="spellStart"/>
      <w:r w:rsidRPr="00FF4C34">
        <w:rPr>
          <w:rFonts w:cstheme="minorHAnsi"/>
          <w:color w:val="000000" w:themeColor="text1"/>
        </w:rPr>
        <w:t>Ariga</w:t>
      </w:r>
      <w:proofErr w:type="spellEnd"/>
      <w:r w:rsidRPr="00FF4C34">
        <w:rPr>
          <w:rFonts w:cstheme="minorHAnsi"/>
          <w:color w:val="000000" w:themeColor="text1"/>
        </w:rPr>
        <w:t xml:space="preserve">, R., Thomas, S., Francis, J., Rodgers, C. and Clarke, W., 2016. Ectopic and visceral fat deposition </w:t>
      </w:r>
      <w:r w:rsidRPr="00FF4C34">
        <w:rPr>
          <w:rFonts w:cstheme="minorHAnsi"/>
          <w:color w:val="000000" w:themeColor="text1"/>
        </w:rPr>
        <w:lastRenderedPageBreak/>
        <w:t>in lean and obese patients with type 2 diabetes. </w:t>
      </w:r>
      <w:r w:rsidRPr="00FF4C34">
        <w:rPr>
          <w:rFonts w:cstheme="minorHAnsi"/>
          <w:i/>
          <w:iCs/>
          <w:color w:val="000000" w:themeColor="text1"/>
        </w:rPr>
        <w:t>Journal of the American College of Cardiology</w:t>
      </w:r>
      <w:r w:rsidRPr="00FF4C34">
        <w:rPr>
          <w:rFonts w:cstheme="minorHAnsi"/>
          <w:color w:val="000000" w:themeColor="text1"/>
        </w:rPr>
        <w:t>, 68(1), pp.53-63.</w:t>
      </w:r>
    </w:p>
    <w:p w14:paraId="715A7460" w14:textId="77777777" w:rsidR="00B756A1" w:rsidRPr="00FF4C34" w:rsidRDefault="00B756A1" w:rsidP="007E0D7D">
      <w:pPr>
        <w:pStyle w:val="ListParagraph"/>
        <w:rPr>
          <w:rFonts w:cstheme="minorHAnsi"/>
          <w:color w:val="000000" w:themeColor="text1"/>
        </w:rPr>
      </w:pPr>
    </w:p>
    <w:p w14:paraId="21024A22" w14:textId="7AEAC9EE" w:rsidR="00B756A1" w:rsidRPr="00FF4C34" w:rsidRDefault="00B756A1" w:rsidP="00CD771C">
      <w:pPr>
        <w:pStyle w:val="ListParagraph"/>
        <w:numPr>
          <w:ilvl w:val="0"/>
          <w:numId w:val="13"/>
        </w:numPr>
        <w:jc w:val="both"/>
        <w:rPr>
          <w:rFonts w:cstheme="minorHAnsi"/>
          <w:color w:val="000000" w:themeColor="text1"/>
        </w:rPr>
      </w:pPr>
      <w:r w:rsidRPr="00FF4C34">
        <w:rPr>
          <w:rFonts w:cstheme="minorHAnsi"/>
          <w:color w:val="000000" w:themeColor="text1"/>
          <w:shd w:val="clear" w:color="auto" w:fill="FFFFFF"/>
        </w:rPr>
        <w:t xml:space="preserve">Shah, R.V., Murthy, V.L., Abbasi, S.A., </w:t>
      </w:r>
      <w:proofErr w:type="spellStart"/>
      <w:r w:rsidRPr="00FF4C34">
        <w:rPr>
          <w:rFonts w:cstheme="minorHAnsi"/>
          <w:color w:val="000000" w:themeColor="text1"/>
          <w:shd w:val="clear" w:color="auto" w:fill="FFFFFF"/>
        </w:rPr>
        <w:t>Blankstein</w:t>
      </w:r>
      <w:proofErr w:type="spellEnd"/>
      <w:r w:rsidRPr="00FF4C34">
        <w:rPr>
          <w:rFonts w:cstheme="minorHAnsi"/>
          <w:color w:val="000000" w:themeColor="text1"/>
          <w:shd w:val="clear" w:color="auto" w:fill="FFFFFF"/>
        </w:rPr>
        <w:t xml:space="preserve">, R., </w:t>
      </w:r>
      <w:proofErr w:type="spellStart"/>
      <w:r w:rsidRPr="00FF4C34">
        <w:rPr>
          <w:rFonts w:cstheme="minorHAnsi"/>
          <w:color w:val="000000" w:themeColor="text1"/>
          <w:shd w:val="clear" w:color="auto" w:fill="FFFFFF"/>
        </w:rPr>
        <w:t>Kwong</w:t>
      </w:r>
      <w:proofErr w:type="spellEnd"/>
      <w:r w:rsidRPr="00FF4C34">
        <w:rPr>
          <w:rFonts w:cstheme="minorHAnsi"/>
          <w:color w:val="000000" w:themeColor="text1"/>
          <w:shd w:val="clear" w:color="auto" w:fill="FFFFFF"/>
        </w:rPr>
        <w:t xml:space="preserve">, R.Y., </w:t>
      </w:r>
      <w:proofErr w:type="spellStart"/>
      <w:r w:rsidRPr="00FF4C34">
        <w:rPr>
          <w:rFonts w:cstheme="minorHAnsi"/>
          <w:color w:val="000000" w:themeColor="text1"/>
          <w:shd w:val="clear" w:color="auto" w:fill="FFFFFF"/>
        </w:rPr>
        <w:t>Goldfine</w:t>
      </w:r>
      <w:proofErr w:type="spellEnd"/>
      <w:r w:rsidRPr="00FF4C34">
        <w:rPr>
          <w:rFonts w:cstheme="minorHAnsi"/>
          <w:color w:val="000000" w:themeColor="text1"/>
          <w:shd w:val="clear" w:color="auto" w:fill="FFFFFF"/>
        </w:rPr>
        <w:t xml:space="preserve">, A.B., </w:t>
      </w:r>
      <w:proofErr w:type="spellStart"/>
      <w:r w:rsidRPr="00FF4C34">
        <w:rPr>
          <w:rFonts w:cstheme="minorHAnsi"/>
          <w:color w:val="000000" w:themeColor="text1"/>
          <w:shd w:val="clear" w:color="auto" w:fill="FFFFFF"/>
        </w:rPr>
        <w:t>Jerosch</w:t>
      </w:r>
      <w:proofErr w:type="spellEnd"/>
      <w:r w:rsidRPr="00FF4C34">
        <w:rPr>
          <w:rFonts w:cstheme="minorHAnsi"/>
          <w:color w:val="000000" w:themeColor="text1"/>
          <w:shd w:val="clear" w:color="auto" w:fill="FFFFFF"/>
        </w:rPr>
        <w:t>-Herold, M., Lima, J.A., Ding, J. and Allison, M.A., 2014. Visceral adiposity and the risk of metabolic syndrome across body mass index: the MESA Study.</w:t>
      </w:r>
      <w:r w:rsidRPr="00FF4C34">
        <w:rPr>
          <w:rStyle w:val="apple-converted-space"/>
          <w:rFonts w:cstheme="minorHAnsi"/>
          <w:color w:val="000000" w:themeColor="text1"/>
          <w:shd w:val="clear" w:color="auto" w:fill="FFFFFF"/>
        </w:rPr>
        <w:t> </w:t>
      </w:r>
      <w:r w:rsidRPr="00FF4C34">
        <w:rPr>
          <w:rFonts w:cstheme="minorHAnsi"/>
          <w:i/>
          <w:iCs/>
          <w:color w:val="000000" w:themeColor="text1"/>
        </w:rPr>
        <w:t>JACC: Cardiovascular Imaging</w:t>
      </w:r>
      <w:r w:rsidRPr="00FF4C34">
        <w:rPr>
          <w:rFonts w:cstheme="minorHAnsi"/>
          <w:color w:val="000000" w:themeColor="text1"/>
          <w:shd w:val="clear" w:color="auto" w:fill="FFFFFF"/>
        </w:rPr>
        <w:t>,</w:t>
      </w:r>
      <w:r w:rsidRPr="00FF4C34">
        <w:rPr>
          <w:rStyle w:val="apple-converted-space"/>
          <w:rFonts w:cstheme="minorHAnsi"/>
          <w:color w:val="000000" w:themeColor="text1"/>
          <w:shd w:val="clear" w:color="auto" w:fill="FFFFFF"/>
        </w:rPr>
        <w:t> </w:t>
      </w:r>
      <w:r w:rsidRPr="00FF4C34">
        <w:rPr>
          <w:rFonts w:cstheme="minorHAnsi"/>
          <w:i/>
          <w:iCs/>
          <w:color w:val="000000" w:themeColor="text1"/>
        </w:rPr>
        <w:t>7</w:t>
      </w:r>
      <w:r w:rsidRPr="00FF4C34">
        <w:rPr>
          <w:rFonts w:cstheme="minorHAnsi"/>
          <w:color w:val="000000" w:themeColor="text1"/>
          <w:shd w:val="clear" w:color="auto" w:fill="FFFFFF"/>
        </w:rPr>
        <w:t>(12), pp.1221-1235.</w:t>
      </w:r>
    </w:p>
    <w:p w14:paraId="335A26A9" w14:textId="77777777" w:rsidR="00B756A1" w:rsidRPr="00FF4C34" w:rsidRDefault="00B756A1" w:rsidP="007E0D7D">
      <w:pPr>
        <w:pStyle w:val="ListParagraph"/>
        <w:rPr>
          <w:rFonts w:cstheme="minorHAnsi"/>
          <w:color w:val="000000" w:themeColor="text1"/>
        </w:rPr>
      </w:pPr>
    </w:p>
    <w:p w14:paraId="1C51B283" w14:textId="344F3B33" w:rsidR="00B756A1" w:rsidRPr="00FF4C34" w:rsidRDefault="00B756A1" w:rsidP="00CD771C">
      <w:pPr>
        <w:pStyle w:val="ListParagraph"/>
        <w:numPr>
          <w:ilvl w:val="0"/>
          <w:numId w:val="13"/>
        </w:numPr>
        <w:jc w:val="both"/>
        <w:rPr>
          <w:rFonts w:cstheme="minorHAnsi"/>
          <w:color w:val="000000" w:themeColor="text1"/>
        </w:rPr>
      </w:pPr>
      <w:r w:rsidRPr="00FF4C34">
        <w:rPr>
          <w:rFonts w:cstheme="minorHAnsi"/>
          <w:color w:val="000000" w:themeColor="text1"/>
          <w:shd w:val="clear" w:color="auto" w:fill="FFFFFF"/>
        </w:rPr>
        <w:t xml:space="preserve">Kwon, H., Kim, </w:t>
      </w:r>
      <w:proofErr w:type="gramStart"/>
      <w:r w:rsidRPr="00FF4C34">
        <w:rPr>
          <w:rFonts w:cstheme="minorHAnsi"/>
          <w:color w:val="000000" w:themeColor="text1"/>
          <w:shd w:val="clear" w:color="auto" w:fill="FFFFFF"/>
        </w:rPr>
        <w:t>D.</w:t>
      </w:r>
      <w:proofErr w:type="gramEnd"/>
      <w:r w:rsidRPr="00FF4C34">
        <w:rPr>
          <w:rFonts w:cstheme="minorHAnsi"/>
          <w:color w:val="000000" w:themeColor="text1"/>
          <w:shd w:val="clear" w:color="auto" w:fill="FFFFFF"/>
        </w:rPr>
        <w:t xml:space="preserve"> and Kim, J.S., 2017. Body fat distribution and the risk of incident metabolic syndrome: a longitudinal cohort study.</w:t>
      </w:r>
      <w:r w:rsidRPr="00FF4C34">
        <w:rPr>
          <w:rStyle w:val="apple-converted-space"/>
          <w:rFonts w:cstheme="minorHAnsi"/>
          <w:color w:val="000000" w:themeColor="text1"/>
          <w:shd w:val="clear" w:color="auto" w:fill="FFFFFF"/>
        </w:rPr>
        <w:t> </w:t>
      </w:r>
      <w:r w:rsidRPr="00FF4C34">
        <w:rPr>
          <w:rFonts w:cstheme="minorHAnsi"/>
          <w:i/>
          <w:iCs/>
          <w:color w:val="000000" w:themeColor="text1"/>
        </w:rPr>
        <w:t>Scientific reports</w:t>
      </w:r>
      <w:r w:rsidRPr="00FF4C34">
        <w:rPr>
          <w:rFonts w:cstheme="minorHAnsi"/>
          <w:color w:val="000000" w:themeColor="text1"/>
          <w:shd w:val="clear" w:color="auto" w:fill="FFFFFF"/>
        </w:rPr>
        <w:t>,</w:t>
      </w:r>
      <w:r w:rsidRPr="00FF4C34">
        <w:rPr>
          <w:rStyle w:val="apple-converted-space"/>
          <w:rFonts w:cstheme="minorHAnsi"/>
          <w:color w:val="000000" w:themeColor="text1"/>
          <w:shd w:val="clear" w:color="auto" w:fill="FFFFFF"/>
        </w:rPr>
        <w:t> </w:t>
      </w:r>
      <w:r w:rsidRPr="00FF4C34">
        <w:rPr>
          <w:rFonts w:cstheme="minorHAnsi"/>
          <w:i/>
          <w:iCs/>
          <w:color w:val="000000" w:themeColor="text1"/>
        </w:rPr>
        <w:t>7</w:t>
      </w:r>
      <w:r w:rsidRPr="00FF4C34">
        <w:rPr>
          <w:rFonts w:cstheme="minorHAnsi"/>
          <w:color w:val="000000" w:themeColor="text1"/>
          <w:shd w:val="clear" w:color="auto" w:fill="FFFFFF"/>
        </w:rPr>
        <w:t>(1), pp.1-8.</w:t>
      </w:r>
    </w:p>
    <w:p w14:paraId="5A7D0058" w14:textId="77777777" w:rsidR="00137BFD" w:rsidRPr="00FF4C34" w:rsidRDefault="00137BFD" w:rsidP="00C87805">
      <w:pPr>
        <w:pStyle w:val="ListParagraph"/>
        <w:rPr>
          <w:rFonts w:cstheme="minorHAnsi"/>
          <w:color w:val="000000" w:themeColor="text1"/>
        </w:rPr>
      </w:pPr>
    </w:p>
    <w:p w14:paraId="06E03DCD" w14:textId="77777777" w:rsidR="00137BFD" w:rsidRPr="00FF4C34" w:rsidRDefault="00137BFD" w:rsidP="00C87805">
      <w:pPr>
        <w:pStyle w:val="ListParagraph"/>
        <w:jc w:val="both"/>
        <w:rPr>
          <w:rFonts w:cstheme="minorHAnsi"/>
          <w:color w:val="000000" w:themeColor="text1"/>
        </w:rPr>
      </w:pPr>
    </w:p>
    <w:p w14:paraId="0AFEC15C" w14:textId="045D149E" w:rsidR="00963075" w:rsidRPr="00FF4C34" w:rsidRDefault="00963075" w:rsidP="00963075">
      <w:pPr>
        <w:pStyle w:val="ListParagraph"/>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themeColor="text1"/>
        </w:rPr>
      </w:pPr>
      <w:r w:rsidRPr="00FF4C34">
        <w:rPr>
          <w:rFonts w:cstheme="minorHAnsi"/>
          <w:color w:val="000000" w:themeColor="text1"/>
          <w:shd w:val="clear" w:color="auto" w:fill="FFFFFF"/>
        </w:rPr>
        <w:t xml:space="preserve">Middleton, M.S., Heba, E.R., Hooker, C.A., Bashir, M.R., Fowler, K.J., </w:t>
      </w:r>
      <w:proofErr w:type="spellStart"/>
      <w:r w:rsidRPr="00FF4C34">
        <w:rPr>
          <w:rFonts w:cstheme="minorHAnsi"/>
          <w:color w:val="000000" w:themeColor="text1"/>
          <w:shd w:val="clear" w:color="auto" w:fill="FFFFFF"/>
        </w:rPr>
        <w:t>Sandrasegaran</w:t>
      </w:r>
      <w:proofErr w:type="spellEnd"/>
      <w:r w:rsidRPr="00FF4C34">
        <w:rPr>
          <w:rFonts w:cstheme="minorHAnsi"/>
          <w:color w:val="000000" w:themeColor="text1"/>
          <w:shd w:val="clear" w:color="auto" w:fill="FFFFFF"/>
        </w:rPr>
        <w:t xml:space="preserve">, K., Brunt, E.M., Kleiner, D.E., Doo, E., Van Natta, M.L. and Lavine, J.E., 2017. Agreement between magnetic resonance imaging proton density fat fraction measurements and pathologist-assigned steatosis grades of liver biopsies from adults with </w:t>
      </w:r>
      <w:proofErr w:type="spellStart"/>
      <w:r w:rsidRPr="00FF4C34">
        <w:rPr>
          <w:rFonts w:cstheme="minorHAnsi"/>
          <w:color w:val="000000" w:themeColor="text1"/>
          <w:shd w:val="clear" w:color="auto" w:fill="FFFFFF"/>
        </w:rPr>
        <w:t>nonalcoholic</w:t>
      </w:r>
      <w:proofErr w:type="spellEnd"/>
      <w:r w:rsidRPr="00FF4C34">
        <w:rPr>
          <w:rFonts w:cstheme="minorHAnsi"/>
          <w:color w:val="000000" w:themeColor="text1"/>
          <w:shd w:val="clear" w:color="auto" w:fill="FFFFFF"/>
        </w:rPr>
        <w:t xml:space="preserve"> steatohepatitis. </w:t>
      </w:r>
      <w:r w:rsidRPr="00FF4C34">
        <w:rPr>
          <w:rFonts w:cstheme="minorHAnsi"/>
          <w:i/>
          <w:iCs/>
          <w:color w:val="000000" w:themeColor="text1"/>
          <w:shd w:val="clear" w:color="auto" w:fill="FFFFFF"/>
        </w:rPr>
        <w:t>Gastroenterology</w:t>
      </w:r>
      <w:r w:rsidRPr="00FF4C34">
        <w:rPr>
          <w:rFonts w:cstheme="minorHAnsi"/>
          <w:color w:val="000000" w:themeColor="text1"/>
          <w:shd w:val="clear" w:color="auto" w:fill="FFFFFF"/>
        </w:rPr>
        <w:t>, </w:t>
      </w:r>
      <w:r w:rsidRPr="00FF4C34">
        <w:rPr>
          <w:rFonts w:cstheme="minorHAnsi"/>
          <w:i/>
          <w:iCs/>
          <w:color w:val="000000" w:themeColor="text1"/>
          <w:shd w:val="clear" w:color="auto" w:fill="FFFFFF"/>
        </w:rPr>
        <w:t>153</w:t>
      </w:r>
      <w:r w:rsidRPr="00FF4C34">
        <w:rPr>
          <w:rFonts w:cstheme="minorHAnsi"/>
          <w:color w:val="000000" w:themeColor="text1"/>
          <w:shd w:val="clear" w:color="auto" w:fill="FFFFFF"/>
        </w:rPr>
        <w:t>(3), pp.753-761.</w:t>
      </w:r>
    </w:p>
    <w:p w14:paraId="54D06BD0" w14:textId="49FE2A3D" w:rsidR="00F051C1" w:rsidRPr="00FF4C34" w:rsidRDefault="00F051C1" w:rsidP="009630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themeColor="text1"/>
        </w:rPr>
      </w:pPr>
    </w:p>
    <w:p w14:paraId="1B524776" w14:textId="0D67D272" w:rsidR="00963075" w:rsidRPr="00FF4C34" w:rsidRDefault="00963075" w:rsidP="00963075">
      <w:pPr>
        <w:pStyle w:val="ListParagraph"/>
        <w:numPr>
          <w:ilvl w:val="0"/>
          <w:numId w:val="13"/>
        </w:numPr>
        <w:jc w:val="both"/>
        <w:rPr>
          <w:rFonts w:cstheme="minorHAnsi"/>
          <w:color w:val="000000" w:themeColor="text1"/>
        </w:rPr>
      </w:pPr>
      <w:proofErr w:type="spellStart"/>
      <w:r w:rsidRPr="00FF4C34">
        <w:rPr>
          <w:rFonts w:cstheme="minorHAnsi"/>
          <w:color w:val="000000" w:themeColor="text1"/>
          <w:shd w:val="clear" w:color="auto" w:fill="FFFFFF"/>
        </w:rPr>
        <w:t>Noureddin</w:t>
      </w:r>
      <w:proofErr w:type="spellEnd"/>
      <w:r w:rsidRPr="00FF4C34">
        <w:rPr>
          <w:rFonts w:cstheme="minorHAnsi"/>
          <w:color w:val="000000" w:themeColor="text1"/>
          <w:shd w:val="clear" w:color="auto" w:fill="FFFFFF"/>
        </w:rPr>
        <w:t xml:space="preserve">, M., Lam, J., Peterson, M.R., Middleton, M., Hamilton, G., Le, T.A., Bettencourt, R., </w:t>
      </w:r>
      <w:proofErr w:type="spellStart"/>
      <w:r w:rsidRPr="00FF4C34">
        <w:rPr>
          <w:rFonts w:cstheme="minorHAnsi"/>
          <w:color w:val="000000" w:themeColor="text1"/>
          <w:shd w:val="clear" w:color="auto" w:fill="FFFFFF"/>
        </w:rPr>
        <w:t>Changchien</w:t>
      </w:r>
      <w:proofErr w:type="spellEnd"/>
      <w:r w:rsidRPr="00FF4C34">
        <w:rPr>
          <w:rFonts w:cstheme="minorHAnsi"/>
          <w:color w:val="000000" w:themeColor="text1"/>
          <w:shd w:val="clear" w:color="auto" w:fill="FFFFFF"/>
        </w:rPr>
        <w:t xml:space="preserve">, C., Brenner, D.A., </w:t>
      </w:r>
      <w:proofErr w:type="spellStart"/>
      <w:r w:rsidRPr="00FF4C34">
        <w:rPr>
          <w:rFonts w:cstheme="minorHAnsi"/>
          <w:color w:val="000000" w:themeColor="text1"/>
          <w:shd w:val="clear" w:color="auto" w:fill="FFFFFF"/>
        </w:rPr>
        <w:t>Sirlin</w:t>
      </w:r>
      <w:proofErr w:type="spellEnd"/>
      <w:r w:rsidRPr="00FF4C34">
        <w:rPr>
          <w:rFonts w:cstheme="minorHAnsi"/>
          <w:color w:val="000000" w:themeColor="text1"/>
          <w:shd w:val="clear" w:color="auto" w:fill="FFFFFF"/>
        </w:rPr>
        <w:t xml:space="preserve">, C. and Loomba, R., 2013. Utility of magnetic resonance imaging versus histology for quantifying changes in liver fat in </w:t>
      </w:r>
      <w:proofErr w:type="spellStart"/>
      <w:r w:rsidRPr="00FF4C34">
        <w:rPr>
          <w:rFonts w:cstheme="minorHAnsi"/>
          <w:color w:val="000000" w:themeColor="text1"/>
          <w:shd w:val="clear" w:color="auto" w:fill="FFFFFF"/>
        </w:rPr>
        <w:t>nonalcoholic</w:t>
      </w:r>
      <w:proofErr w:type="spellEnd"/>
      <w:r w:rsidRPr="00FF4C34">
        <w:rPr>
          <w:rFonts w:cstheme="minorHAnsi"/>
          <w:color w:val="000000" w:themeColor="text1"/>
          <w:shd w:val="clear" w:color="auto" w:fill="FFFFFF"/>
        </w:rPr>
        <w:t xml:space="preserve"> fatty liver disease trials. </w:t>
      </w:r>
      <w:r w:rsidRPr="00FF4C34">
        <w:rPr>
          <w:rFonts w:cstheme="minorHAnsi"/>
          <w:i/>
          <w:iCs/>
          <w:color w:val="000000" w:themeColor="text1"/>
          <w:shd w:val="clear" w:color="auto" w:fill="FFFFFF"/>
        </w:rPr>
        <w:t>Hepatology</w:t>
      </w:r>
      <w:r w:rsidRPr="00FF4C34">
        <w:rPr>
          <w:rFonts w:cstheme="minorHAnsi"/>
          <w:color w:val="000000" w:themeColor="text1"/>
          <w:shd w:val="clear" w:color="auto" w:fill="FFFFFF"/>
        </w:rPr>
        <w:t>, </w:t>
      </w:r>
      <w:r w:rsidRPr="00FF4C34">
        <w:rPr>
          <w:rFonts w:cstheme="minorHAnsi"/>
          <w:i/>
          <w:iCs/>
          <w:color w:val="000000" w:themeColor="text1"/>
          <w:shd w:val="clear" w:color="auto" w:fill="FFFFFF"/>
        </w:rPr>
        <w:t>58</w:t>
      </w:r>
      <w:r w:rsidRPr="00FF4C34">
        <w:rPr>
          <w:rFonts w:cstheme="minorHAnsi"/>
          <w:color w:val="000000" w:themeColor="text1"/>
          <w:shd w:val="clear" w:color="auto" w:fill="FFFFFF"/>
        </w:rPr>
        <w:t>(6), pp.1930-1940.</w:t>
      </w:r>
    </w:p>
    <w:p w14:paraId="52214B0F" w14:textId="77777777" w:rsidR="00F051C1" w:rsidRPr="00FF4C34" w:rsidRDefault="00F051C1" w:rsidP="00963075">
      <w:pPr>
        <w:pStyle w:val="ListParagraph"/>
        <w:jc w:val="both"/>
        <w:rPr>
          <w:rFonts w:cstheme="minorHAnsi"/>
          <w:color w:val="000000" w:themeColor="text1"/>
        </w:rPr>
      </w:pPr>
    </w:p>
    <w:p w14:paraId="02A108FF" w14:textId="37DBF7A2" w:rsidR="00137BFD" w:rsidRPr="00FF4C34" w:rsidRDefault="00F051C1" w:rsidP="00CD771C">
      <w:pPr>
        <w:pStyle w:val="ListParagraph"/>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themeColor="text1"/>
        </w:rPr>
      </w:pPr>
      <w:r w:rsidRPr="00FF4C34">
        <w:rPr>
          <w:rFonts w:cstheme="minorHAnsi"/>
          <w:color w:val="000000" w:themeColor="text1"/>
        </w:rPr>
        <w:t xml:space="preserve">G., </w:t>
      </w:r>
      <w:proofErr w:type="spellStart"/>
      <w:r w:rsidRPr="00FF4C34">
        <w:rPr>
          <w:rFonts w:cstheme="minorHAnsi"/>
          <w:color w:val="000000" w:themeColor="text1"/>
        </w:rPr>
        <w:t>Pavlides</w:t>
      </w:r>
      <w:proofErr w:type="spellEnd"/>
      <w:r w:rsidRPr="00FF4C34">
        <w:rPr>
          <w:rFonts w:cstheme="minorHAnsi"/>
          <w:color w:val="000000" w:themeColor="text1"/>
        </w:rPr>
        <w:t xml:space="preserve">, M., Sanyal, A.J., </w:t>
      </w:r>
      <w:proofErr w:type="spellStart"/>
      <w:r w:rsidRPr="00FF4C34">
        <w:rPr>
          <w:rFonts w:cstheme="minorHAnsi"/>
          <w:color w:val="000000" w:themeColor="text1"/>
        </w:rPr>
        <w:t>Noureddin</w:t>
      </w:r>
      <w:proofErr w:type="spellEnd"/>
      <w:r w:rsidRPr="00FF4C34">
        <w:rPr>
          <w:rFonts w:cstheme="minorHAnsi"/>
          <w:color w:val="000000" w:themeColor="text1"/>
        </w:rPr>
        <w:t xml:space="preserve">, M., Banerjee, R. and Dennis, A., 2021. Clinical Utility of Magnetic Resonance Imaging Biomarkers for Identifying </w:t>
      </w:r>
      <w:proofErr w:type="spellStart"/>
      <w:r w:rsidRPr="00FF4C34">
        <w:rPr>
          <w:rFonts w:cstheme="minorHAnsi"/>
          <w:color w:val="000000" w:themeColor="text1"/>
        </w:rPr>
        <w:t>Nonalcoholic</w:t>
      </w:r>
      <w:proofErr w:type="spellEnd"/>
      <w:r w:rsidRPr="00FF4C34">
        <w:rPr>
          <w:rFonts w:cstheme="minorHAnsi"/>
          <w:color w:val="000000" w:themeColor="text1"/>
        </w:rPr>
        <w:t xml:space="preserve"> Steatohepatitis Patients at High Risk of Progression: A </w:t>
      </w:r>
      <w:proofErr w:type="spellStart"/>
      <w:r w:rsidRPr="00FF4C34">
        <w:rPr>
          <w:rFonts w:cstheme="minorHAnsi"/>
          <w:color w:val="000000" w:themeColor="text1"/>
        </w:rPr>
        <w:t>Multicenter</w:t>
      </w:r>
      <w:proofErr w:type="spellEnd"/>
      <w:r w:rsidRPr="00FF4C34">
        <w:rPr>
          <w:rFonts w:cstheme="minorHAnsi"/>
          <w:color w:val="000000" w:themeColor="text1"/>
        </w:rPr>
        <w:t xml:space="preserve"> Pooled Data and Meta-Analysis. </w:t>
      </w:r>
      <w:r w:rsidRPr="00FF4C34">
        <w:rPr>
          <w:rFonts w:cstheme="minorHAnsi"/>
          <w:i/>
          <w:iCs/>
          <w:color w:val="000000" w:themeColor="text1"/>
        </w:rPr>
        <w:t>Clinical Gastroenterology and Hepatology</w:t>
      </w:r>
      <w:r w:rsidRPr="00FF4C34">
        <w:rPr>
          <w:rFonts w:cstheme="minorHAnsi"/>
          <w:color w:val="000000" w:themeColor="text1"/>
        </w:rPr>
        <w:t>.</w:t>
      </w:r>
    </w:p>
    <w:p w14:paraId="333CFB83" w14:textId="77777777" w:rsidR="00F051C1" w:rsidRPr="00FF4C34" w:rsidRDefault="00F051C1" w:rsidP="00C8780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themeColor="text1"/>
        </w:rPr>
      </w:pPr>
    </w:p>
    <w:p w14:paraId="4A9BEE9E" w14:textId="6EB4130C" w:rsidR="00963075" w:rsidRPr="00FF4C34" w:rsidRDefault="00963075" w:rsidP="00963075">
      <w:pPr>
        <w:pStyle w:val="ListParagraph"/>
        <w:numPr>
          <w:ilvl w:val="0"/>
          <w:numId w:val="13"/>
        </w:numPr>
        <w:jc w:val="both"/>
        <w:rPr>
          <w:rFonts w:cstheme="minorHAnsi"/>
          <w:color w:val="000000" w:themeColor="text1"/>
        </w:rPr>
      </w:pPr>
      <w:r w:rsidRPr="00FF4C34">
        <w:rPr>
          <w:rFonts w:cstheme="minorHAnsi"/>
          <w:color w:val="000000" w:themeColor="text1"/>
          <w:shd w:val="clear" w:color="auto" w:fill="FFFFFF"/>
        </w:rPr>
        <w:t xml:space="preserve">Dennis, A., </w:t>
      </w:r>
      <w:proofErr w:type="spellStart"/>
      <w:r w:rsidRPr="00FF4C34">
        <w:rPr>
          <w:rFonts w:cstheme="minorHAnsi"/>
          <w:color w:val="000000" w:themeColor="text1"/>
          <w:shd w:val="clear" w:color="auto" w:fill="FFFFFF"/>
        </w:rPr>
        <w:t>Mouchti</w:t>
      </w:r>
      <w:proofErr w:type="spellEnd"/>
      <w:r w:rsidRPr="00FF4C34">
        <w:rPr>
          <w:rFonts w:cstheme="minorHAnsi"/>
          <w:color w:val="000000" w:themeColor="text1"/>
          <w:shd w:val="clear" w:color="auto" w:fill="FFFFFF"/>
        </w:rPr>
        <w:t xml:space="preserve">, S., Kelly, M., Fallowfield, J.A., Hirschfield, G., </w:t>
      </w:r>
      <w:proofErr w:type="spellStart"/>
      <w:r w:rsidRPr="00FF4C34">
        <w:rPr>
          <w:rFonts w:cstheme="minorHAnsi"/>
          <w:color w:val="000000" w:themeColor="text1"/>
          <w:shd w:val="clear" w:color="auto" w:fill="FFFFFF"/>
        </w:rPr>
        <w:t>Pavlides</w:t>
      </w:r>
      <w:proofErr w:type="spellEnd"/>
      <w:r w:rsidRPr="00FF4C34">
        <w:rPr>
          <w:rFonts w:cstheme="minorHAnsi"/>
          <w:color w:val="000000" w:themeColor="text1"/>
          <w:shd w:val="clear" w:color="auto" w:fill="FFFFFF"/>
        </w:rPr>
        <w:t>, M. and Banerjee, R., 2020. A composite biomarker using multiparametric magnetic resonance imaging and blood analytes accurately identifies patients with non-alcoholic steatohepatitis and significant fibrosis. </w:t>
      </w:r>
      <w:r w:rsidRPr="00FF4C34">
        <w:rPr>
          <w:rFonts w:cstheme="minorHAnsi"/>
          <w:i/>
          <w:iCs/>
          <w:color w:val="000000" w:themeColor="text1"/>
          <w:shd w:val="clear" w:color="auto" w:fill="FFFFFF"/>
        </w:rPr>
        <w:t>Scientific reports</w:t>
      </w:r>
      <w:r w:rsidRPr="00FF4C34">
        <w:rPr>
          <w:rFonts w:cstheme="minorHAnsi"/>
          <w:color w:val="000000" w:themeColor="text1"/>
          <w:shd w:val="clear" w:color="auto" w:fill="FFFFFF"/>
        </w:rPr>
        <w:t>, </w:t>
      </w:r>
      <w:r w:rsidRPr="00FF4C34">
        <w:rPr>
          <w:rFonts w:cstheme="minorHAnsi"/>
          <w:i/>
          <w:iCs/>
          <w:color w:val="000000" w:themeColor="text1"/>
          <w:shd w:val="clear" w:color="auto" w:fill="FFFFFF"/>
        </w:rPr>
        <w:t>10</w:t>
      </w:r>
      <w:r w:rsidRPr="00FF4C34">
        <w:rPr>
          <w:rFonts w:cstheme="minorHAnsi"/>
          <w:color w:val="000000" w:themeColor="text1"/>
          <w:shd w:val="clear" w:color="auto" w:fill="FFFFFF"/>
        </w:rPr>
        <w:t>(1), pp.1-11.</w:t>
      </w:r>
    </w:p>
    <w:p w14:paraId="4C33FCF4" w14:textId="77777777" w:rsidR="00F051C1" w:rsidRPr="00FF4C34" w:rsidRDefault="00F051C1" w:rsidP="00963075">
      <w:pPr>
        <w:pStyle w:val="ListParagraph"/>
        <w:jc w:val="both"/>
        <w:rPr>
          <w:rFonts w:cstheme="minorHAnsi"/>
          <w:color w:val="000000" w:themeColor="text1"/>
        </w:rPr>
      </w:pPr>
    </w:p>
    <w:p w14:paraId="38787D7A" w14:textId="0B2A75A8" w:rsidR="00137BFD" w:rsidRPr="00FF4C34" w:rsidRDefault="00F051C1" w:rsidP="00CD771C">
      <w:pPr>
        <w:pStyle w:val="ListParagraph"/>
        <w:numPr>
          <w:ilvl w:val="0"/>
          <w:numId w:val="13"/>
        </w:numPr>
        <w:jc w:val="both"/>
        <w:rPr>
          <w:rFonts w:cstheme="minorHAnsi"/>
          <w:color w:val="000000" w:themeColor="text1"/>
        </w:rPr>
      </w:pPr>
      <w:proofErr w:type="spellStart"/>
      <w:r w:rsidRPr="00FF4C34">
        <w:rPr>
          <w:rFonts w:cstheme="minorHAnsi"/>
          <w:color w:val="000000" w:themeColor="text1"/>
          <w:shd w:val="clear" w:color="auto" w:fill="FFFFFF"/>
        </w:rPr>
        <w:t>Eichert</w:t>
      </w:r>
      <w:proofErr w:type="spellEnd"/>
      <w:r w:rsidRPr="00FF4C34">
        <w:rPr>
          <w:rFonts w:cstheme="minorHAnsi"/>
          <w:color w:val="000000" w:themeColor="text1"/>
          <w:shd w:val="clear" w:color="auto" w:fill="FFFFFF"/>
        </w:rPr>
        <w:t xml:space="preserve">, N., Gibbons, K., Hamid, A., </w:t>
      </w:r>
      <w:proofErr w:type="spellStart"/>
      <w:r w:rsidRPr="00FF4C34">
        <w:rPr>
          <w:rFonts w:cstheme="minorHAnsi"/>
          <w:color w:val="000000" w:themeColor="text1"/>
          <w:shd w:val="clear" w:color="auto" w:fill="FFFFFF"/>
        </w:rPr>
        <w:t>Deelchand</w:t>
      </w:r>
      <w:proofErr w:type="spellEnd"/>
      <w:r w:rsidRPr="00FF4C34">
        <w:rPr>
          <w:rFonts w:cstheme="minorHAnsi"/>
          <w:color w:val="000000" w:themeColor="text1"/>
          <w:shd w:val="clear" w:color="auto" w:fill="FFFFFF"/>
        </w:rPr>
        <w:t xml:space="preserve">, V., </w:t>
      </w:r>
      <w:proofErr w:type="spellStart"/>
      <w:r w:rsidRPr="00FF4C34">
        <w:rPr>
          <w:rFonts w:cstheme="minorHAnsi"/>
          <w:color w:val="000000" w:themeColor="text1"/>
          <w:shd w:val="clear" w:color="auto" w:fill="FFFFFF"/>
        </w:rPr>
        <w:t>Woolgar</w:t>
      </w:r>
      <w:proofErr w:type="spellEnd"/>
      <w:r w:rsidRPr="00FF4C34">
        <w:rPr>
          <w:rFonts w:cstheme="minorHAnsi"/>
          <w:color w:val="000000" w:themeColor="text1"/>
          <w:shd w:val="clear" w:color="auto" w:fill="FFFFFF"/>
        </w:rPr>
        <w:t xml:space="preserve">, J., </w:t>
      </w:r>
      <w:proofErr w:type="spellStart"/>
      <w:r w:rsidRPr="00FF4C34">
        <w:rPr>
          <w:rFonts w:cstheme="minorHAnsi"/>
          <w:color w:val="000000" w:themeColor="text1"/>
          <w:shd w:val="clear" w:color="auto" w:fill="FFFFFF"/>
        </w:rPr>
        <w:t>Suriano</w:t>
      </w:r>
      <w:proofErr w:type="spellEnd"/>
      <w:r w:rsidRPr="00FF4C34">
        <w:rPr>
          <w:rFonts w:cstheme="minorHAnsi"/>
          <w:color w:val="000000" w:themeColor="text1"/>
          <w:shd w:val="clear" w:color="auto" w:fill="FFFFFF"/>
        </w:rPr>
        <w:t xml:space="preserve">, R., </w:t>
      </w:r>
      <w:proofErr w:type="spellStart"/>
      <w:r w:rsidRPr="00FF4C34">
        <w:rPr>
          <w:rFonts w:cstheme="minorHAnsi"/>
          <w:color w:val="000000" w:themeColor="text1"/>
          <w:shd w:val="clear" w:color="auto" w:fill="FFFFFF"/>
        </w:rPr>
        <w:t>Thomaides-Brears</w:t>
      </w:r>
      <w:proofErr w:type="spellEnd"/>
      <w:r w:rsidRPr="00FF4C34">
        <w:rPr>
          <w:rFonts w:cstheme="minorHAnsi"/>
          <w:color w:val="000000" w:themeColor="text1"/>
          <w:shd w:val="clear" w:color="auto" w:fill="FFFFFF"/>
        </w:rPr>
        <w:t xml:space="preserve">, H., Banerjee, R., Kemp, G., Ali, S. and </w:t>
      </w:r>
      <w:proofErr w:type="spellStart"/>
      <w:r w:rsidRPr="00FF4C34">
        <w:rPr>
          <w:rFonts w:cstheme="minorHAnsi"/>
          <w:color w:val="000000" w:themeColor="text1"/>
          <w:shd w:val="clear" w:color="auto" w:fill="FFFFFF"/>
        </w:rPr>
        <w:t>Thanabalasingham</w:t>
      </w:r>
      <w:proofErr w:type="spellEnd"/>
      <w:r w:rsidRPr="00FF4C34">
        <w:rPr>
          <w:rFonts w:cstheme="minorHAnsi"/>
          <w:color w:val="000000" w:themeColor="text1"/>
          <w:shd w:val="clear" w:color="auto" w:fill="FFFFFF"/>
        </w:rPr>
        <w:t xml:space="preserve">, G., 2022. High prevalence of multi-organ steatosis and </w:t>
      </w:r>
      <w:proofErr w:type="spellStart"/>
      <w:r w:rsidRPr="00FF4C34">
        <w:rPr>
          <w:rFonts w:cstheme="minorHAnsi"/>
          <w:color w:val="000000" w:themeColor="text1"/>
          <w:shd w:val="clear" w:color="auto" w:fill="FFFFFF"/>
        </w:rPr>
        <w:t>fibroinflammation</w:t>
      </w:r>
      <w:proofErr w:type="spellEnd"/>
      <w:r w:rsidRPr="00FF4C34">
        <w:rPr>
          <w:rFonts w:cstheme="minorHAnsi"/>
          <w:color w:val="000000" w:themeColor="text1"/>
          <w:shd w:val="clear" w:color="auto" w:fill="FFFFFF"/>
        </w:rPr>
        <w:t>, identified by multi-parametric magnetic resonance imaging, in people with type 2 diabetes.</w:t>
      </w:r>
      <w:r w:rsidRPr="00FF4C34">
        <w:rPr>
          <w:rStyle w:val="apple-converted-space"/>
          <w:rFonts w:cstheme="minorHAnsi"/>
          <w:color w:val="000000" w:themeColor="text1"/>
          <w:shd w:val="clear" w:color="auto" w:fill="FFFFFF"/>
        </w:rPr>
        <w:t> </w:t>
      </w:r>
      <w:r w:rsidRPr="00FF4C34">
        <w:rPr>
          <w:rFonts w:cstheme="minorHAnsi"/>
          <w:i/>
          <w:iCs/>
          <w:color w:val="000000" w:themeColor="text1"/>
        </w:rPr>
        <w:t>Journal of Hepatology</w:t>
      </w:r>
      <w:r w:rsidRPr="00FF4C34">
        <w:rPr>
          <w:rFonts w:cstheme="minorHAnsi"/>
          <w:color w:val="000000" w:themeColor="text1"/>
          <w:shd w:val="clear" w:color="auto" w:fill="FFFFFF"/>
        </w:rPr>
        <w:t>,</w:t>
      </w:r>
      <w:r w:rsidRPr="00FF4C34">
        <w:rPr>
          <w:rStyle w:val="apple-converted-space"/>
          <w:rFonts w:cstheme="minorHAnsi"/>
          <w:color w:val="000000" w:themeColor="text1"/>
          <w:shd w:val="clear" w:color="auto" w:fill="FFFFFF"/>
        </w:rPr>
        <w:t> </w:t>
      </w:r>
      <w:r w:rsidRPr="00FF4C34">
        <w:rPr>
          <w:rFonts w:cstheme="minorHAnsi"/>
          <w:i/>
          <w:iCs/>
          <w:color w:val="000000" w:themeColor="text1"/>
        </w:rPr>
        <w:t>77</w:t>
      </w:r>
      <w:r w:rsidRPr="00FF4C34">
        <w:rPr>
          <w:rFonts w:cstheme="minorHAnsi"/>
          <w:color w:val="000000" w:themeColor="text1"/>
          <w:shd w:val="clear" w:color="auto" w:fill="FFFFFF"/>
        </w:rPr>
        <w:t xml:space="preserve">, </w:t>
      </w:r>
      <w:proofErr w:type="gramStart"/>
      <w:r w:rsidRPr="00FF4C34">
        <w:rPr>
          <w:rFonts w:cstheme="minorHAnsi"/>
          <w:color w:val="000000" w:themeColor="text1"/>
          <w:shd w:val="clear" w:color="auto" w:fill="FFFFFF"/>
        </w:rPr>
        <w:t>pp.S</w:t>
      </w:r>
      <w:proofErr w:type="gramEnd"/>
      <w:r w:rsidRPr="00FF4C34">
        <w:rPr>
          <w:rFonts w:cstheme="minorHAnsi"/>
          <w:color w:val="000000" w:themeColor="text1"/>
          <w:shd w:val="clear" w:color="auto" w:fill="FFFFFF"/>
        </w:rPr>
        <w:t>433-S434.</w:t>
      </w:r>
    </w:p>
    <w:p w14:paraId="0BF93ADE" w14:textId="77777777" w:rsidR="00F051C1" w:rsidRPr="00FF4C34" w:rsidRDefault="00F051C1" w:rsidP="00137BFD">
      <w:pPr>
        <w:pStyle w:val="ListParagraph"/>
        <w:jc w:val="both"/>
        <w:rPr>
          <w:rFonts w:cstheme="minorHAnsi"/>
          <w:color w:val="000000" w:themeColor="text1"/>
        </w:rPr>
      </w:pPr>
    </w:p>
    <w:p w14:paraId="73540D7F" w14:textId="77777777" w:rsidR="00F051C1" w:rsidRPr="00FF4C34" w:rsidRDefault="00F051C1" w:rsidP="00CD771C">
      <w:pPr>
        <w:pStyle w:val="ListParagraph"/>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themeColor="text1"/>
        </w:rPr>
      </w:pPr>
      <w:r w:rsidRPr="00FF4C34">
        <w:rPr>
          <w:rFonts w:cstheme="minorHAnsi"/>
          <w:color w:val="000000" w:themeColor="text1"/>
        </w:rPr>
        <w:t xml:space="preserve">Andersson, A., Kelly, M., </w:t>
      </w:r>
      <w:proofErr w:type="spellStart"/>
      <w:r w:rsidRPr="00FF4C34">
        <w:rPr>
          <w:rFonts w:cstheme="minorHAnsi"/>
          <w:color w:val="000000" w:themeColor="text1"/>
        </w:rPr>
        <w:t>Imajo</w:t>
      </w:r>
      <w:proofErr w:type="spellEnd"/>
      <w:r w:rsidRPr="00FF4C34">
        <w:rPr>
          <w:rFonts w:cstheme="minorHAnsi"/>
          <w:color w:val="000000" w:themeColor="text1"/>
        </w:rPr>
        <w:t xml:space="preserve">, K., Nakajima, A., Fallowfield, J.A., Hirschfield, G., </w:t>
      </w:r>
      <w:proofErr w:type="spellStart"/>
      <w:r w:rsidRPr="00FF4C34">
        <w:rPr>
          <w:rFonts w:cstheme="minorHAnsi"/>
          <w:color w:val="000000" w:themeColor="text1"/>
        </w:rPr>
        <w:t>Pavlides</w:t>
      </w:r>
      <w:proofErr w:type="spellEnd"/>
      <w:r w:rsidRPr="00FF4C34">
        <w:rPr>
          <w:rFonts w:cstheme="minorHAnsi"/>
          <w:color w:val="000000" w:themeColor="text1"/>
        </w:rPr>
        <w:t xml:space="preserve">, M., Sanyal, A.J., </w:t>
      </w:r>
      <w:proofErr w:type="spellStart"/>
      <w:r w:rsidRPr="00FF4C34">
        <w:rPr>
          <w:rFonts w:cstheme="minorHAnsi"/>
          <w:color w:val="000000" w:themeColor="text1"/>
        </w:rPr>
        <w:t>Noureddin</w:t>
      </w:r>
      <w:proofErr w:type="spellEnd"/>
      <w:r w:rsidRPr="00FF4C34">
        <w:rPr>
          <w:rFonts w:cstheme="minorHAnsi"/>
          <w:color w:val="000000" w:themeColor="text1"/>
        </w:rPr>
        <w:t xml:space="preserve">, M., Banerjee, R. and Dennis, A., 2021. Clinical Utility of Magnetic Resonance Imaging Biomarkers for Identifying </w:t>
      </w:r>
      <w:proofErr w:type="spellStart"/>
      <w:r w:rsidRPr="00FF4C34">
        <w:rPr>
          <w:rFonts w:cstheme="minorHAnsi"/>
          <w:color w:val="000000" w:themeColor="text1"/>
        </w:rPr>
        <w:t>Nonalcoholic</w:t>
      </w:r>
      <w:proofErr w:type="spellEnd"/>
      <w:r w:rsidRPr="00FF4C34">
        <w:rPr>
          <w:rFonts w:cstheme="minorHAnsi"/>
          <w:color w:val="000000" w:themeColor="text1"/>
        </w:rPr>
        <w:t xml:space="preserve"> Steatohepatitis Patients at High Risk of Progression: A </w:t>
      </w:r>
      <w:proofErr w:type="spellStart"/>
      <w:r w:rsidRPr="00FF4C34">
        <w:rPr>
          <w:rFonts w:cstheme="minorHAnsi"/>
          <w:color w:val="000000" w:themeColor="text1"/>
        </w:rPr>
        <w:t>Multicenter</w:t>
      </w:r>
      <w:proofErr w:type="spellEnd"/>
      <w:r w:rsidRPr="00FF4C34">
        <w:rPr>
          <w:rFonts w:cstheme="minorHAnsi"/>
          <w:color w:val="000000" w:themeColor="text1"/>
        </w:rPr>
        <w:t xml:space="preserve"> Pooled Data and Meta-Analysis. </w:t>
      </w:r>
      <w:r w:rsidRPr="00FF4C34">
        <w:rPr>
          <w:rFonts w:cstheme="minorHAnsi"/>
          <w:i/>
          <w:iCs/>
          <w:color w:val="000000" w:themeColor="text1"/>
        </w:rPr>
        <w:t>Clinical Gastroenterology and Hepatology</w:t>
      </w:r>
      <w:r w:rsidRPr="00FF4C34">
        <w:rPr>
          <w:rFonts w:cstheme="minorHAnsi"/>
          <w:color w:val="000000" w:themeColor="text1"/>
        </w:rPr>
        <w:t>.</w:t>
      </w:r>
    </w:p>
    <w:p w14:paraId="7A96A4FA" w14:textId="77777777" w:rsidR="00F051C1" w:rsidRPr="00FF4C34" w:rsidRDefault="00F051C1" w:rsidP="00CD77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rPr>
      </w:pPr>
    </w:p>
    <w:p w14:paraId="0043F958" w14:textId="77777777" w:rsidR="00F051C1" w:rsidRPr="00FF4C34" w:rsidRDefault="00F051C1" w:rsidP="00CD771C">
      <w:pPr>
        <w:pStyle w:val="ListParagraph"/>
        <w:numPr>
          <w:ilvl w:val="0"/>
          <w:numId w:val="13"/>
        </w:numPr>
        <w:jc w:val="both"/>
        <w:rPr>
          <w:rFonts w:cstheme="minorHAnsi"/>
          <w:color w:val="000000" w:themeColor="text1"/>
        </w:rPr>
      </w:pPr>
      <w:proofErr w:type="spellStart"/>
      <w:r w:rsidRPr="00FF4C34">
        <w:rPr>
          <w:rFonts w:cstheme="minorHAnsi"/>
          <w:color w:val="000000" w:themeColor="text1"/>
        </w:rPr>
        <w:t>Imajo</w:t>
      </w:r>
      <w:proofErr w:type="spellEnd"/>
      <w:r w:rsidRPr="00FF4C34">
        <w:rPr>
          <w:rFonts w:cstheme="minorHAnsi"/>
          <w:color w:val="000000" w:themeColor="text1"/>
        </w:rPr>
        <w:t xml:space="preserve">, K., </w:t>
      </w:r>
      <w:proofErr w:type="spellStart"/>
      <w:r w:rsidRPr="00FF4C34">
        <w:rPr>
          <w:rFonts w:cstheme="minorHAnsi"/>
          <w:color w:val="000000" w:themeColor="text1"/>
        </w:rPr>
        <w:t>Tetlow</w:t>
      </w:r>
      <w:proofErr w:type="spellEnd"/>
      <w:r w:rsidRPr="00FF4C34">
        <w:rPr>
          <w:rFonts w:cstheme="minorHAnsi"/>
          <w:color w:val="000000" w:themeColor="text1"/>
        </w:rPr>
        <w:t xml:space="preserve">, L., Dennis, A., </w:t>
      </w:r>
      <w:proofErr w:type="spellStart"/>
      <w:r w:rsidRPr="00FF4C34">
        <w:rPr>
          <w:rFonts w:cstheme="minorHAnsi"/>
          <w:color w:val="000000" w:themeColor="text1"/>
        </w:rPr>
        <w:t>Shumbayawonda</w:t>
      </w:r>
      <w:proofErr w:type="spellEnd"/>
      <w:r w:rsidRPr="00FF4C34">
        <w:rPr>
          <w:rFonts w:cstheme="minorHAnsi"/>
          <w:color w:val="000000" w:themeColor="text1"/>
        </w:rPr>
        <w:t xml:space="preserve">, E., </w:t>
      </w:r>
      <w:proofErr w:type="spellStart"/>
      <w:r w:rsidRPr="00FF4C34">
        <w:rPr>
          <w:rFonts w:cstheme="minorHAnsi"/>
          <w:color w:val="000000" w:themeColor="text1"/>
        </w:rPr>
        <w:t>Mouchti</w:t>
      </w:r>
      <w:proofErr w:type="spellEnd"/>
      <w:r w:rsidRPr="00FF4C34">
        <w:rPr>
          <w:rFonts w:cstheme="minorHAnsi"/>
          <w:color w:val="000000" w:themeColor="text1"/>
        </w:rPr>
        <w:t xml:space="preserve">, S., Kendall, T.J., Fryer, E., Yamanaka, S., Honda, Y., </w:t>
      </w:r>
      <w:proofErr w:type="spellStart"/>
      <w:r w:rsidRPr="00FF4C34">
        <w:rPr>
          <w:rFonts w:cstheme="minorHAnsi"/>
          <w:color w:val="000000" w:themeColor="text1"/>
        </w:rPr>
        <w:t>Kessoku</w:t>
      </w:r>
      <w:proofErr w:type="spellEnd"/>
      <w:r w:rsidRPr="00FF4C34">
        <w:rPr>
          <w:rFonts w:cstheme="minorHAnsi"/>
          <w:color w:val="000000" w:themeColor="text1"/>
        </w:rPr>
        <w:t xml:space="preserve">, T. and Ogawa, Y., 2021. Quantitative multiparametric </w:t>
      </w:r>
      <w:r w:rsidRPr="00FF4C34">
        <w:rPr>
          <w:rFonts w:cstheme="minorHAnsi"/>
          <w:color w:val="000000" w:themeColor="text1"/>
        </w:rPr>
        <w:lastRenderedPageBreak/>
        <w:t xml:space="preserve">magnetic resonance imaging can aid non-alcoholic steatohepatitis diagnosis in a Japanese cohort. </w:t>
      </w:r>
      <w:r w:rsidRPr="00FF4C34">
        <w:rPr>
          <w:rFonts w:cstheme="minorHAnsi"/>
          <w:i/>
          <w:iCs/>
          <w:color w:val="000000" w:themeColor="text1"/>
        </w:rPr>
        <w:t>World Journal of Gastroenterology</w:t>
      </w:r>
      <w:r w:rsidRPr="00FF4C34">
        <w:rPr>
          <w:rFonts w:cstheme="minorHAnsi"/>
          <w:color w:val="000000" w:themeColor="text1"/>
        </w:rPr>
        <w:t>, 27(7), p.609.</w:t>
      </w:r>
    </w:p>
    <w:p w14:paraId="4AC15572" w14:textId="77777777" w:rsidR="00F051C1" w:rsidRPr="00FF4C34" w:rsidRDefault="00F051C1" w:rsidP="00CD771C">
      <w:pPr>
        <w:pStyle w:val="ListParagraph"/>
        <w:jc w:val="both"/>
        <w:rPr>
          <w:rFonts w:cstheme="minorHAnsi"/>
          <w:color w:val="000000" w:themeColor="text1"/>
        </w:rPr>
      </w:pPr>
    </w:p>
    <w:p w14:paraId="75F7E442" w14:textId="77777777" w:rsidR="00F051C1" w:rsidRPr="00FF4C34" w:rsidRDefault="00F051C1" w:rsidP="00CD771C">
      <w:pPr>
        <w:pStyle w:val="ListParagraph"/>
        <w:numPr>
          <w:ilvl w:val="0"/>
          <w:numId w:val="13"/>
        </w:numPr>
        <w:jc w:val="both"/>
        <w:rPr>
          <w:rFonts w:cstheme="minorHAnsi"/>
          <w:color w:val="000000" w:themeColor="text1"/>
        </w:rPr>
      </w:pPr>
      <w:r w:rsidRPr="00FF4C34">
        <w:rPr>
          <w:rFonts w:cstheme="minorHAnsi"/>
          <w:color w:val="000000" w:themeColor="text1"/>
        </w:rPr>
        <w:t xml:space="preserve">Y. Li, X. Chen, Z. Shen, Y. Wang, J. Hu, Y. Zhang, J. Xu, and X. Ding, “Prediction </w:t>
      </w:r>
      <w:proofErr w:type="gramStart"/>
      <w:r w:rsidRPr="00FF4C34">
        <w:rPr>
          <w:rFonts w:cstheme="minorHAnsi"/>
          <w:color w:val="000000" w:themeColor="text1"/>
        </w:rPr>
        <w:t>models  for</w:t>
      </w:r>
      <w:proofErr w:type="gramEnd"/>
      <w:r w:rsidRPr="00FF4C34">
        <w:rPr>
          <w:rFonts w:cstheme="minorHAnsi"/>
          <w:color w:val="000000" w:themeColor="text1"/>
        </w:rPr>
        <w:t xml:space="preserve"> acute kidney injury in patients with gastrointestinal cancers: a real-world study based on </w:t>
      </w:r>
      <w:proofErr w:type="spellStart"/>
      <w:r w:rsidRPr="00FF4C34">
        <w:rPr>
          <w:rFonts w:cstheme="minorHAnsi"/>
          <w:color w:val="000000" w:themeColor="text1"/>
        </w:rPr>
        <w:t>bayesian</w:t>
      </w:r>
      <w:proofErr w:type="spellEnd"/>
      <w:r w:rsidRPr="00FF4C34">
        <w:rPr>
          <w:rFonts w:cstheme="minorHAnsi"/>
          <w:color w:val="000000" w:themeColor="text1"/>
        </w:rPr>
        <w:t xml:space="preserve"> networks,” </w:t>
      </w:r>
      <w:r w:rsidRPr="00FF4C34">
        <w:rPr>
          <w:rFonts w:cstheme="minorHAnsi"/>
          <w:i/>
          <w:iCs/>
          <w:color w:val="000000" w:themeColor="text1"/>
        </w:rPr>
        <w:t>Renal failure</w:t>
      </w:r>
      <w:r w:rsidRPr="00FF4C34">
        <w:rPr>
          <w:rFonts w:cstheme="minorHAnsi"/>
          <w:color w:val="000000" w:themeColor="text1"/>
        </w:rPr>
        <w:t>, vol. 42, no. 1, pp. 869–876, 2020.</w:t>
      </w:r>
    </w:p>
    <w:p w14:paraId="41FCAB24" w14:textId="77777777" w:rsidR="00F051C1" w:rsidRPr="00FF4C34" w:rsidRDefault="00F051C1" w:rsidP="00CD771C">
      <w:pPr>
        <w:pStyle w:val="ListParagraph"/>
        <w:jc w:val="both"/>
        <w:rPr>
          <w:rFonts w:cstheme="minorHAnsi"/>
          <w:color w:val="000000" w:themeColor="text1"/>
        </w:rPr>
      </w:pPr>
    </w:p>
    <w:p w14:paraId="153E64F7" w14:textId="3BF193A9" w:rsidR="00F051C1" w:rsidRDefault="00F051C1" w:rsidP="00CD771C">
      <w:pPr>
        <w:pStyle w:val="ListParagraph"/>
        <w:numPr>
          <w:ilvl w:val="0"/>
          <w:numId w:val="13"/>
        </w:numPr>
        <w:jc w:val="both"/>
        <w:rPr>
          <w:rFonts w:cstheme="minorHAnsi"/>
          <w:color w:val="000000" w:themeColor="text1"/>
        </w:rPr>
      </w:pPr>
      <w:r w:rsidRPr="00FF4C34">
        <w:rPr>
          <w:rFonts w:cstheme="minorHAnsi"/>
          <w:color w:val="000000" w:themeColor="text1"/>
        </w:rPr>
        <w:t xml:space="preserve">Selman, </w:t>
      </w:r>
      <w:proofErr w:type="gramStart"/>
      <w:r w:rsidRPr="00FF4C34">
        <w:rPr>
          <w:rFonts w:cstheme="minorHAnsi"/>
          <w:color w:val="000000" w:themeColor="text1"/>
        </w:rPr>
        <w:t>B.</w:t>
      </w:r>
      <w:proofErr w:type="gramEnd"/>
      <w:r w:rsidRPr="00FF4C34">
        <w:rPr>
          <w:rFonts w:cstheme="minorHAnsi"/>
          <w:color w:val="000000" w:themeColor="text1"/>
        </w:rPr>
        <w:t xml:space="preserve"> and Gomes, C.P., 2006. Hill-climbing search. </w:t>
      </w:r>
      <w:proofErr w:type="spellStart"/>
      <w:r w:rsidRPr="00FF4C34">
        <w:rPr>
          <w:rFonts w:cstheme="minorHAnsi"/>
          <w:i/>
          <w:iCs/>
          <w:color w:val="000000" w:themeColor="text1"/>
        </w:rPr>
        <w:t>Encyclopedia</w:t>
      </w:r>
      <w:proofErr w:type="spellEnd"/>
      <w:r w:rsidRPr="00FF4C34">
        <w:rPr>
          <w:rFonts w:cstheme="minorHAnsi"/>
          <w:i/>
          <w:iCs/>
          <w:color w:val="000000" w:themeColor="text1"/>
        </w:rPr>
        <w:t xml:space="preserve"> of cognitive science</w:t>
      </w:r>
      <w:r w:rsidRPr="00FF4C34">
        <w:rPr>
          <w:rFonts w:cstheme="minorHAnsi"/>
          <w:color w:val="000000" w:themeColor="text1"/>
        </w:rPr>
        <w:t>, 81, p.82.</w:t>
      </w:r>
    </w:p>
    <w:p w14:paraId="7B3EE927" w14:textId="77777777" w:rsidR="001E29FD" w:rsidRPr="001E29FD" w:rsidRDefault="001E29FD" w:rsidP="001E29FD">
      <w:pPr>
        <w:pStyle w:val="ListParagraph"/>
        <w:rPr>
          <w:rFonts w:cstheme="minorHAnsi"/>
          <w:color w:val="000000" w:themeColor="text1"/>
        </w:rPr>
      </w:pPr>
    </w:p>
    <w:p w14:paraId="3DBA8BEB" w14:textId="4CB9251E" w:rsidR="001E29FD" w:rsidRPr="001E29FD" w:rsidRDefault="001E29FD" w:rsidP="00CD771C">
      <w:pPr>
        <w:pStyle w:val="ListParagraph"/>
        <w:numPr>
          <w:ilvl w:val="0"/>
          <w:numId w:val="13"/>
        </w:numPr>
        <w:jc w:val="both"/>
        <w:rPr>
          <w:rFonts w:cstheme="minorHAnsi"/>
          <w:color w:val="000000" w:themeColor="text1"/>
          <w:sz w:val="36"/>
          <w:szCs w:val="36"/>
        </w:rPr>
      </w:pPr>
      <w:r w:rsidRPr="001E29FD">
        <w:rPr>
          <w:rFonts w:cstheme="minorHAnsi"/>
          <w:color w:val="000000" w:themeColor="text1"/>
          <w:shd w:val="clear" w:color="auto" w:fill="FFFFFF"/>
        </w:rPr>
        <w:t xml:space="preserve">Jung, C.H., Rhee, E.J., Kwon, H., Chang, Y., Ryu, </w:t>
      </w:r>
      <w:proofErr w:type="gramStart"/>
      <w:r w:rsidRPr="001E29FD">
        <w:rPr>
          <w:rFonts w:cstheme="minorHAnsi"/>
          <w:color w:val="000000" w:themeColor="text1"/>
          <w:shd w:val="clear" w:color="auto" w:fill="FFFFFF"/>
        </w:rPr>
        <w:t>S.</w:t>
      </w:r>
      <w:proofErr w:type="gramEnd"/>
      <w:r w:rsidRPr="001E29FD">
        <w:rPr>
          <w:rFonts w:cstheme="minorHAnsi"/>
          <w:color w:val="000000" w:themeColor="text1"/>
          <w:shd w:val="clear" w:color="auto" w:fill="FFFFFF"/>
        </w:rPr>
        <w:t xml:space="preserve"> and Lee, W.Y., 2020. Visceral-to-subcutaneous abdominal fat ratio is associated with </w:t>
      </w:r>
      <w:proofErr w:type="spellStart"/>
      <w:r w:rsidRPr="001E29FD">
        <w:rPr>
          <w:rFonts w:cstheme="minorHAnsi"/>
          <w:color w:val="000000" w:themeColor="text1"/>
          <w:shd w:val="clear" w:color="auto" w:fill="FFFFFF"/>
        </w:rPr>
        <w:t>nonalcoholic</w:t>
      </w:r>
      <w:proofErr w:type="spellEnd"/>
      <w:r w:rsidRPr="001E29FD">
        <w:rPr>
          <w:rFonts w:cstheme="minorHAnsi"/>
          <w:color w:val="000000" w:themeColor="text1"/>
          <w:shd w:val="clear" w:color="auto" w:fill="FFFFFF"/>
        </w:rPr>
        <w:t xml:space="preserve"> fatty liver disease and liver fibrosis. </w:t>
      </w:r>
      <w:r w:rsidRPr="001E29FD">
        <w:rPr>
          <w:rFonts w:cstheme="minorHAnsi"/>
          <w:i/>
          <w:iCs/>
          <w:color w:val="000000" w:themeColor="text1"/>
          <w:shd w:val="clear" w:color="auto" w:fill="FFFFFF"/>
        </w:rPr>
        <w:t>Endocrinology and Metabolism</w:t>
      </w:r>
      <w:r w:rsidRPr="001E29FD">
        <w:rPr>
          <w:rFonts w:cstheme="minorHAnsi"/>
          <w:color w:val="000000" w:themeColor="text1"/>
          <w:shd w:val="clear" w:color="auto" w:fill="FFFFFF"/>
        </w:rPr>
        <w:t>, </w:t>
      </w:r>
      <w:r w:rsidRPr="001E29FD">
        <w:rPr>
          <w:rFonts w:cstheme="minorHAnsi"/>
          <w:i/>
          <w:iCs/>
          <w:color w:val="000000" w:themeColor="text1"/>
          <w:shd w:val="clear" w:color="auto" w:fill="FFFFFF"/>
        </w:rPr>
        <w:t>35</w:t>
      </w:r>
      <w:r w:rsidRPr="001E29FD">
        <w:rPr>
          <w:rFonts w:cstheme="minorHAnsi"/>
          <w:color w:val="000000" w:themeColor="text1"/>
          <w:shd w:val="clear" w:color="auto" w:fill="FFFFFF"/>
        </w:rPr>
        <w:t>(1), pp.165-176.</w:t>
      </w:r>
    </w:p>
    <w:p w14:paraId="15B405E4" w14:textId="77777777" w:rsidR="00F051C1" w:rsidRPr="00FF4C34" w:rsidRDefault="00F051C1" w:rsidP="00CD771C">
      <w:pPr>
        <w:pStyle w:val="ListParagraph"/>
        <w:jc w:val="both"/>
        <w:rPr>
          <w:rFonts w:cstheme="minorHAnsi"/>
          <w:color w:val="000000" w:themeColor="text1"/>
        </w:rPr>
      </w:pPr>
    </w:p>
    <w:p w14:paraId="3652AB1C" w14:textId="77777777" w:rsidR="00F051C1" w:rsidRPr="00FF4C34" w:rsidRDefault="00F051C1" w:rsidP="00CD771C">
      <w:pPr>
        <w:pStyle w:val="ListParagraph"/>
        <w:numPr>
          <w:ilvl w:val="0"/>
          <w:numId w:val="13"/>
        </w:numPr>
        <w:jc w:val="both"/>
        <w:rPr>
          <w:rFonts w:cstheme="minorHAnsi"/>
          <w:color w:val="000000" w:themeColor="text1"/>
        </w:rPr>
      </w:pPr>
      <w:r w:rsidRPr="00FF4C34">
        <w:rPr>
          <w:rFonts w:cstheme="minorHAnsi"/>
          <w:color w:val="000000" w:themeColor="text1"/>
        </w:rPr>
        <w:t xml:space="preserve">Yu, S.J., Kim, W., Kim, D., Yoon, J.H., Lee, K., Kim, J.H., Cho, E.J., Lee, J.H., Kim, H.Y., Kim, Y.J. and Kim, C.Y., 2015. Visceral obesity predicts significant fibrosis in patients with </w:t>
      </w:r>
      <w:proofErr w:type="spellStart"/>
      <w:r w:rsidRPr="00FF4C34">
        <w:rPr>
          <w:rFonts w:cstheme="minorHAnsi"/>
          <w:color w:val="000000" w:themeColor="text1"/>
        </w:rPr>
        <w:t>nonalcoholic</w:t>
      </w:r>
      <w:proofErr w:type="spellEnd"/>
      <w:r w:rsidRPr="00FF4C34">
        <w:rPr>
          <w:rFonts w:cstheme="minorHAnsi"/>
          <w:color w:val="000000" w:themeColor="text1"/>
        </w:rPr>
        <w:t xml:space="preserve"> fatty liver disease. </w:t>
      </w:r>
      <w:r w:rsidRPr="00FF4C34">
        <w:rPr>
          <w:rFonts w:cstheme="minorHAnsi"/>
          <w:i/>
          <w:iCs/>
          <w:color w:val="000000" w:themeColor="text1"/>
        </w:rPr>
        <w:t>Medicine</w:t>
      </w:r>
      <w:r w:rsidRPr="00FF4C34">
        <w:rPr>
          <w:rFonts w:cstheme="minorHAnsi"/>
          <w:color w:val="000000" w:themeColor="text1"/>
        </w:rPr>
        <w:t>, 94(48).</w:t>
      </w:r>
    </w:p>
    <w:p w14:paraId="1C7B1C41" w14:textId="77777777" w:rsidR="00F051C1" w:rsidRPr="00FF4C34" w:rsidRDefault="00F051C1" w:rsidP="00CD771C">
      <w:pPr>
        <w:pStyle w:val="ListParagraph"/>
        <w:jc w:val="both"/>
        <w:rPr>
          <w:rFonts w:cstheme="minorHAnsi"/>
          <w:color w:val="000000" w:themeColor="text1"/>
        </w:rPr>
      </w:pPr>
    </w:p>
    <w:p w14:paraId="39F79D3D" w14:textId="77777777" w:rsidR="00F051C1" w:rsidRPr="00FF4C34" w:rsidRDefault="00F051C1" w:rsidP="00CD771C">
      <w:pPr>
        <w:pStyle w:val="ListParagraph"/>
        <w:numPr>
          <w:ilvl w:val="0"/>
          <w:numId w:val="13"/>
        </w:numPr>
        <w:jc w:val="both"/>
        <w:rPr>
          <w:rFonts w:cstheme="minorHAnsi"/>
          <w:color w:val="000000" w:themeColor="text1"/>
        </w:rPr>
      </w:pPr>
      <w:proofErr w:type="spellStart"/>
      <w:r w:rsidRPr="00FF4C34">
        <w:rPr>
          <w:rFonts w:cstheme="minorHAnsi"/>
          <w:color w:val="000000" w:themeColor="text1"/>
        </w:rPr>
        <w:t>Schäffler</w:t>
      </w:r>
      <w:proofErr w:type="spellEnd"/>
      <w:r w:rsidRPr="00FF4C34">
        <w:rPr>
          <w:rFonts w:cstheme="minorHAnsi"/>
          <w:color w:val="000000" w:themeColor="text1"/>
        </w:rPr>
        <w:t xml:space="preserve">, A., </w:t>
      </w:r>
      <w:proofErr w:type="spellStart"/>
      <w:r w:rsidRPr="00FF4C34">
        <w:rPr>
          <w:rFonts w:cstheme="minorHAnsi"/>
          <w:color w:val="000000" w:themeColor="text1"/>
        </w:rPr>
        <w:t>Schölmerich</w:t>
      </w:r>
      <w:proofErr w:type="spellEnd"/>
      <w:r w:rsidRPr="00FF4C34">
        <w:rPr>
          <w:rFonts w:cstheme="minorHAnsi"/>
          <w:color w:val="000000" w:themeColor="text1"/>
        </w:rPr>
        <w:t xml:space="preserve">, J. and </w:t>
      </w:r>
      <w:proofErr w:type="spellStart"/>
      <w:r w:rsidRPr="00FF4C34">
        <w:rPr>
          <w:rFonts w:cstheme="minorHAnsi"/>
          <w:color w:val="000000" w:themeColor="text1"/>
        </w:rPr>
        <w:t>Büchler</w:t>
      </w:r>
      <w:proofErr w:type="spellEnd"/>
      <w:r w:rsidRPr="00FF4C34">
        <w:rPr>
          <w:rFonts w:cstheme="minorHAnsi"/>
          <w:color w:val="000000" w:themeColor="text1"/>
        </w:rPr>
        <w:t xml:space="preserve">, C., 2005. Mechanisms of disease: adipocytokines and visceral adipose tissue—emerging role in </w:t>
      </w:r>
      <w:proofErr w:type="spellStart"/>
      <w:r w:rsidRPr="00FF4C34">
        <w:rPr>
          <w:rFonts w:cstheme="minorHAnsi"/>
          <w:color w:val="000000" w:themeColor="text1"/>
        </w:rPr>
        <w:t>nonalcoholic</w:t>
      </w:r>
      <w:proofErr w:type="spellEnd"/>
      <w:r w:rsidRPr="00FF4C34">
        <w:rPr>
          <w:rFonts w:cstheme="minorHAnsi"/>
          <w:color w:val="000000" w:themeColor="text1"/>
        </w:rPr>
        <w:t xml:space="preserve"> fatty liver disease. </w:t>
      </w:r>
      <w:r w:rsidRPr="00FF4C34">
        <w:rPr>
          <w:rFonts w:cstheme="minorHAnsi"/>
          <w:i/>
          <w:iCs/>
          <w:color w:val="000000" w:themeColor="text1"/>
        </w:rPr>
        <w:t>Nature Clinical Practice Gastroenterology &amp; Hepatology</w:t>
      </w:r>
      <w:r w:rsidRPr="00FF4C34">
        <w:rPr>
          <w:rFonts w:cstheme="minorHAnsi"/>
          <w:color w:val="000000" w:themeColor="text1"/>
        </w:rPr>
        <w:t>, 2(6), pp.273-280.</w:t>
      </w:r>
    </w:p>
    <w:p w14:paraId="6B580CC4" w14:textId="77777777" w:rsidR="00F051C1" w:rsidRPr="00FF4C34" w:rsidRDefault="00F051C1" w:rsidP="00CD771C">
      <w:pPr>
        <w:pStyle w:val="ListParagraph"/>
        <w:jc w:val="both"/>
        <w:rPr>
          <w:rFonts w:cstheme="minorHAnsi"/>
          <w:color w:val="000000" w:themeColor="text1"/>
        </w:rPr>
      </w:pPr>
    </w:p>
    <w:p w14:paraId="2BEEB2B7" w14:textId="77777777" w:rsidR="00F051C1" w:rsidRPr="00FF4C34" w:rsidRDefault="00F051C1" w:rsidP="00CD771C">
      <w:pPr>
        <w:pStyle w:val="ListParagraph"/>
        <w:numPr>
          <w:ilvl w:val="0"/>
          <w:numId w:val="13"/>
        </w:numPr>
        <w:jc w:val="both"/>
        <w:rPr>
          <w:rFonts w:cstheme="minorHAnsi"/>
          <w:color w:val="000000" w:themeColor="text1"/>
        </w:rPr>
      </w:pPr>
      <w:proofErr w:type="spellStart"/>
      <w:r w:rsidRPr="00FF4C34">
        <w:rPr>
          <w:rFonts w:cstheme="minorHAnsi"/>
          <w:color w:val="000000" w:themeColor="text1"/>
          <w:shd w:val="clear" w:color="auto" w:fill="FFFFFF"/>
        </w:rPr>
        <w:t>Małodobra</w:t>
      </w:r>
      <w:proofErr w:type="spellEnd"/>
      <w:r w:rsidRPr="00FF4C34">
        <w:rPr>
          <w:rFonts w:cstheme="minorHAnsi"/>
          <w:color w:val="000000" w:themeColor="text1"/>
          <w:shd w:val="clear" w:color="auto" w:fill="FFFFFF"/>
        </w:rPr>
        <w:t xml:space="preserve">-Mazur, M., </w:t>
      </w:r>
      <w:proofErr w:type="spellStart"/>
      <w:r w:rsidRPr="00FF4C34">
        <w:rPr>
          <w:rFonts w:cstheme="minorHAnsi"/>
          <w:color w:val="000000" w:themeColor="text1"/>
          <w:shd w:val="clear" w:color="auto" w:fill="FFFFFF"/>
        </w:rPr>
        <w:t>Cierzniak</w:t>
      </w:r>
      <w:proofErr w:type="spellEnd"/>
      <w:r w:rsidRPr="00FF4C34">
        <w:rPr>
          <w:rFonts w:cstheme="minorHAnsi"/>
          <w:color w:val="000000" w:themeColor="text1"/>
          <w:shd w:val="clear" w:color="auto" w:fill="FFFFFF"/>
        </w:rPr>
        <w:t xml:space="preserve">, A., </w:t>
      </w:r>
      <w:proofErr w:type="spellStart"/>
      <w:r w:rsidRPr="00FF4C34">
        <w:rPr>
          <w:rFonts w:cstheme="minorHAnsi"/>
          <w:color w:val="000000" w:themeColor="text1"/>
          <w:shd w:val="clear" w:color="auto" w:fill="FFFFFF"/>
        </w:rPr>
        <w:t>Pawełka</w:t>
      </w:r>
      <w:proofErr w:type="spellEnd"/>
      <w:r w:rsidRPr="00FF4C34">
        <w:rPr>
          <w:rFonts w:cstheme="minorHAnsi"/>
          <w:color w:val="000000" w:themeColor="text1"/>
          <w:shd w:val="clear" w:color="auto" w:fill="FFFFFF"/>
        </w:rPr>
        <w:t xml:space="preserve">, D., </w:t>
      </w:r>
      <w:proofErr w:type="spellStart"/>
      <w:r w:rsidRPr="00FF4C34">
        <w:rPr>
          <w:rFonts w:cstheme="minorHAnsi"/>
          <w:color w:val="000000" w:themeColor="text1"/>
          <w:shd w:val="clear" w:color="auto" w:fill="FFFFFF"/>
        </w:rPr>
        <w:t>Kaliszewski</w:t>
      </w:r>
      <w:proofErr w:type="spellEnd"/>
      <w:r w:rsidRPr="00FF4C34">
        <w:rPr>
          <w:rFonts w:cstheme="minorHAnsi"/>
          <w:color w:val="000000" w:themeColor="text1"/>
          <w:shd w:val="clear" w:color="auto" w:fill="FFFFFF"/>
        </w:rPr>
        <w:t xml:space="preserve">, K., </w:t>
      </w:r>
      <w:proofErr w:type="spellStart"/>
      <w:r w:rsidRPr="00FF4C34">
        <w:rPr>
          <w:rFonts w:cstheme="minorHAnsi"/>
          <w:color w:val="000000" w:themeColor="text1"/>
          <w:shd w:val="clear" w:color="auto" w:fill="FFFFFF"/>
        </w:rPr>
        <w:t>Rudnicki</w:t>
      </w:r>
      <w:proofErr w:type="spellEnd"/>
      <w:r w:rsidRPr="00FF4C34">
        <w:rPr>
          <w:rFonts w:cstheme="minorHAnsi"/>
          <w:color w:val="000000" w:themeColor="text1"/>
          <w:shd w:val="clear" w:color="auto" w:fill="FFFFFF"/>
        </w:rPr>
        <w:t xml:space="preserve">, J. and </w:t>
      </w:r>
      <w:proofErr w:type="spellStart"/>
      <w:r w:rsidRPr="00FF4C34">
        <w:rPr>
          <w:rFonts w:cstheme="minorHAnsi"/>
          <w:color w:val="000000" w:themeColor="text1"/>
          <w:shd w:val="clear" w:color="auto" w:fill="FFFFFF"/>
        </w:rPr>
        <w:t>Dobosz</w:t>
      </w:r>
      <w:proofErr w:type="spellEnd"/>
      <w:r w:rsidRPr="00FF4C34">
        <w:rPr>
          <w:rFonts w:cstheme="minorHAnsi"/>
          <w:color w:val="000000" w:themeColor="text1"/>
          <w:shd w:val="clear" w:color="auto" w:fill="FFFFFF"/>
        </w:rPr>
        <w:t>, T., 2020. Metabolic differences between subcutaneous and visceral adipocytes differentiated with an excess of saturated and monounsaturated fatty acids.</w:t>
      </w:r>
      <w:r w:rsidRPr="00FF4C34">
        <w:rPr>
          <w:rStyle w:val="apple-converted-space"/>
          <w:rFonts w:cstheme="minorHAnsi"/>
          <w:color w:val="000000" w:themeColor="text1"/>
          <w:shd w:val="clear" w:color="auto" w:fill="FFFFFF"/>
        </w:rPr>
        <w:t> </w:t>
      </w:r>
      <w:r w:rsidRPr="00FF4C34">
        <w:rPr>
          <w:rFonts w:cstheme="minorHAnsi"/>
          <w:i/>
          <w:iCs/>
          <w:color w:val="000000" w:themeColor="text1"/>
        </w:rPr>
        <w:t>Genes</w:t>
      </w:r>
      <w:r w:rsidRPr="00FF4C34">
        <w:rPr>
          <w:rFonts w:cstheme="minorHAnsi"/>
          <w:color w:val="000000" w:themeColor="text1"/>
          <w:shd w:val="clear" w:color="auto" w:fill="FFFFFF"/>
        </w:rPr>
        <w:t>,</w:t>
      </w:r>
      <w:r w:rsidRPr="00FF4C34">
        <w:rPr>
          <w:rStyle w:val="apple-converted-space"/>
          <w:rFonts w:cstheme="minorHAnsi"/>
          <w:color w:val="000000" w:themeColor="text1"/>
          <w:shd w:val="clear" w:color="auto" w:fill="FFFFFF"/>
        </w:rPr>
        <w:t> </w:t>
      </w:r>
      <w:r w:rsidRPr="00FF4C34">
        <w:rPr>
          <w:rFonts w:cstheme="minorHAnsi"/>
          <w:i/>
          <w:iCs/>
          <w:color w:val="000000" w:themeColor="text1"/>
        </w:rPr>
        <w:t>11</w:t>
      </w:r>
      <w:r w:rsidRPr="00FF4C34">
        <w:rPr>
          <w:rFonts w:cstheme="minorHAnsi"/>
          <w:color w:val="000000" w:themeColor="text1"/>
          <w:shd w:val="clear" w:color="auto" w:fill="FFFFFF"/>
        </w:rPr>
        <w:t>(9), p.1092.</w:t>
      </w:r>
    </w:p>
    <w:p w14:paraId="7F4AE587" w14:textId="77777777" w:rsidR="00F051C1" w:rsidRPr="00FF4C34" w:rsidRDefault="00F051C1" w:rsidP="00CD771C">
      <w:pPr>
        <w:pStyle w:val="ListParagraph"/>
        <w:jc w:val="both"/>
        <w:rPr>
          <w:rFonts w:cstheme="minorHAnsi"/>
          <w:color w:val="000000" w:themeColor="text1"/>
        </w:rPr>
      </w:pPr>
    </w:p>
    <w:p w14:paraId="77545E15" w14:textId="77777777" w:rsidR="00F051C1" w:rsidRPr="00FF4C34" w:rsidRDefault="00F051C1" w:rsidP="00CD771C">
      <w:pPr>
        <w:pStyle w:val="ListParagraph"/>
        <w:numPr>
          <w:ilvl w:val="0"/>
          <w:numId w:val="13"/>
        </w:numPr>
        <w:jc w:val="both"/>
        <w:rPr>
          <w:rFonts w:cstheme="minorHAnsi"/>
          <w:color w:val="000000" w:themeColor="text1"/>
        </w:rPr>
      </w:pPr>
      <w:proofErr w:type="spellStart"/>
      <w:r w:rsidRPr="00FF4C34">
        <w:rPr>
          <w:rFonts w:cstheme="minorHAnsi"/>
          <w:color w:val="000000" w:themeColor="text1"/>
        </w:rPr>
        <w:t>Gastaldelli</w:t>
      </w:r>
      <w:proofErr w:type="spellEnd"/>
      <w:r w:rsidRPr="00FF4C34">
        <w:rPr>
          <w:rFonts w:cstheme="minorHAnsi"/>
          <w:color w:val="000000" w:themeColor="text1"/>
        </w:rPr>
        <w:t xml:space="preserve">, A. and </w:t>
      </w:r>
      <w:proofErr w:type="spellStart"/>
      <w:r w:rsidRPr="00FF4C34">
        <w:rPr>
          <w:rFonts w:cstheme="minorHAnsi"/>
          <w:color w:val="000000" w:themeColor="text1"/>
        </w:rPr>
        <w:t>Cusi</w:t>
      </w:r>
      <w:proofErr w:type="spellEnd"/>
      <w:r w:rsidRPr="00FF4C34">
        <w:rPr>
          <w:rFonts w:cstheme="minorHAnsi"/>
          <w:color w:val="000000" w:themeColor="text1"/>
        </w:rPr>
        <w:t>, K., 2019. From NASH to diabetes and from diabetes to NASH: mechanisms and treatment options. JHEP Reports, 1(4), pp.312-328.</w:t>
      </w:r>
    </w:p>
    <w:p w14:paraId="7AAA3726" w14:textId="77777777" w:rsidR="00F051C1" w:rsidRPr="00FF4C34" w:rsidRDefault="00F051C1" w:rsidP="00CD771C">
      <w:pPr>
        <w:pStyle w:val="ListParagraph"/>
        <w:jc w:val="both"/>
        <w:rPr>
          <w:rFonts w:cstheme="minorHAnsi"/>
          <w:color w:val="000000" w:themeColor="text1"/>
        </w:rPr>
      </w:pPr>
    </w:p>
    <w:p w14:paraId="6F129FD1" w14:textId="77777777" w:rsidR="00F051C1" w:rsidRPr="00FF4C34" w:rsidRDefault="00F051C1" w:rsidP="00CD771C">
      <w:pPr>
        <w:pStyle w:val="ListParagraph"/>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themeColor="text1"/>
        </w:rPr>
      </w:pPr>
      <w:r w:rsidRPr="00FF4C34">
        <w:rPr>
          <w:rFonts w:cstheme="minorHAnsi"/>
          <w:color w:val="000000" w:themeColor="text1"/>
        </w:rPr>
        <w:t xml:space="preserve">Zhang, E., Zhao, Y. and Hu, H., 2021. Impact of Sodium Glucose Cotransporter 2 Inhibitors on </w:t>
      </w:r>
      <w:proofErr w:type="spellStart"/>
      <w:r w:rsidRPr="00FF4C34">
        <w:rPr>
          <w:rFonts w:cstheme="minorHAnsi"/>
          <w:color w:val="000000" w:themeColor="text1"/>
        </w:rPr>
        <w:t>Nonalcoholic</w:t>
      </w:r>
      <w:proofErr w:type="spellEnd"/>
      <w:r w:rsidRPr="00FF4C34">
        <w:rPr>
          <w:rFonts w:cstheme="minorHAnsi"/>
          <w:color w:val="000000" w:themeColor="text1"/>
        </w:rPr>
        <w:t xml:space="preserve"> Fatty Liver Disease Complicated by Diabetes Mellitus. </w:t>
      </w:r>
      <w:r w:rsidRPr="00FF4C34">
        <w:rPr>
          <w:rFonts w:cstheme="minorHAnsi"/>
          <w:i/>
          <w:iCs/>
          <w:color w:val="000000" w:themeColor="text1"/>
        </w:rPr>
        <w:t>Hepatology Communications</w:t>
      </w:r>
      <w:r w:rsidRPr="00FF4C34">
        <w:rPr>
          <w:rFonts w:cstheme="minorHAnsi"/>
          <w:color w:val="000000" w:themeColor="text1"/>
        </w:rPr>
        <w:t>, 5(5), pp.736-748.</w:t>
      </w:r>
    </w:p>
    <w:p w14:paraId="388A0E3C" w14:textId="77777777" w:rsidR="00F051C1" w:rsidRPr="00FF4C34" w:rsidRDefault="00F051C1" w:rsidP="00CD77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rPr>
      </w:pPr>
    </w:p>
    <w:p w14:paraId="2350F0A3" w14:textId="77777777" w:rsidR="00F051C1" w:rsidRPr="00FF4C34" w:rsidRDefault="00F051C1" w:rsidP="00CD771C">
      <w:pPr>
        <w:pStyle w:val="ListParagraph"/>
        <w:numPr>
          <w:ilvl w:val="0"/>
          <w:numId w:val="13"/>
        </w:numPr>
        <w:jc w:val="both"/>
        <w:rPr>
          <w:rFonts w:cstheme="minorHAnsi"/>
          <w:color w:val="000000" w:themeColor="text1"/>
        </w:rPr>
      </w:pPr>
      <w:r w:rsidRPr="00FF4C34">
        <w:rPr>
          <w:rFonts w:cstheme="minorHAnsi"/>
          <w:color w:val="000000" w:themeColor="text1"/>
        </w:rPr>
        <w:t xml:space="preserve">Newsome, P., </w:t>
      </w:r>
      <w:proofErr w:type="spellStart"/>
      <w:r w:rsidRPr="00FF4C34">
        <w:rPr>
          <w:rFonts w:cstheme="minorHAnsi"/>
          <w:color w:val="000000" w:themeColor="text1"/>
        </w:rPr>
        <w:t>Francque</w:t>
      </w:r>
      <w:proofErr w:type="spellEnd"/>
      <w:r w:rsidRPr="00FF4C34">
        <w:rPr>
          <w:rFonts w:cstheme="minorHAnsi"/>
          <w:color w:val="000000" w:themeColor="text1"/>
        </w:rPr>
        <w:t xml:space="preserve">, S., Harrison, S., </w:t>
      </w:r>
      <w:proofErr w:type="spellStart"/>
      <w:r w:rsidRPr="00FF4C34">
        <w:rPr>
          <w:rFonts w:cstheme="minorHAnsi"/>
          <w:color w:val="000000" w:themeColor="text1"/>
        </w:rPr>
        <w:t>Ratziu</w:t>
      </w:r>
      <w:proofErr w:type="spellEnd"/>
      <w:r w:rsidRPr="00FF4C34">
        <w:rPr>
          <w:rFonts w:cstheme="minorHAnsi"/>
          <w:color w:val="000000" w:themeColor="text1"/>
        </w:rPr>
        <w:t xml:space="preserve">, V., Van </w:t>
      </w:r>
      <w:proofErr w:type="spellStart"/>
      <w:r w:rsidRPr="00FF4C34">
        <w:rPr>
          <w:rFonts w:cstheme="minorHAnsi"/>
          <w:color w:val="000000" w:themeColor="text1"/>
        </w:rPr>
        <w:t>Gaal</w:t>
      </w:r>
      <w:proofErr w:type="spellEnd"/>
      <w:r w:rsidRPr="00FF4C34">
        <w:rPr>
          <w:rFonts w:cstheme="minorHAnsi"/>
          <w:color w:val="000000" w:themeColor="text1"/>
        </w:rPr>
        <w:t xml:space="preserve">, L., </w:t>
      </w:r>
      <w:proofErr w:type="spellStart"/>
      <w:r w:rsidRPr="00FF4C34">
        <w:rPr>
          <w:rFonts w:cstheme="minorHAnsi"/>
          <w:color w:val="000000" w:themeColor="text1"/>
        </w:rPr>
        <w:t>Calanna</w:t>
      </w:r>
      <w:proofErr w:type="spellEnd"/>
      <w:r w:rsidRPr="00FF4C34">
        <w:rPr>
          <w:rFonts w:cstheme="minorHAnsi"/>
          <w:color w:val="000000" w:themeColor="text1"/>
        </w:rPr>
        <w:t xml:space="preserve">, S., Hansen, M., Linder, M. and Sanyal, A., 2019. Effect of </w:t>
      </w:r>
      <w:proofErr w:type="spellStart"/>
      <w:r w:rsidRPr="00FF4C34">
        <w:rPr>
          <w:rFonts w:cstheme="minorHAnsi"/>
          <w:color w:val="000000" w:themeColor="text1"/>
        </w:rPr>
        <w:t>semaglutide</w:t>
      </w:r>
      <w:proofErr w:type="spellEnd"/>
      <w:r w:rsidRPr="00FF4C34">
        <w:rPr>
          <w:rFonts w:cstheme="minorHAnsi"/>
          <w:color w:val="000000" w:themeColor="text1"/>
        </w:rPr>
        <w:t xml:space="preserve"> on liver enzymes and markers of inflammation in subjects with type 2 diabetes and/or obesity. </w:t>
      </w:r>
      <w:r w:rsidRPr="00FF4C34">
        <w:rPr>
          <w:rFonts w:cstheme="minorHAnsi"/>
          <w:i/>
          <w:iCs/>
          <w:color w:val="000000" w:themeColor="text1"/>
        </w:rPr>
        <w:t>Alimentary pharmacology &amp; therapeutics</w:t>
      </w:r>
      <w:r w:rsidRPr="00FF4C34">
        <w:rPr>
          <w:rFonts w:cstheme="minorHAnsi"/>
          <w:color w:val="000000" w:themeColor="text1"/>
        </w:rPr>
        <w:t>, 50(2), pp.193-203.</w:t>
      </w:r>
    </w:p>
    <w:p w14:paraId="5BFE7BA4" w14:textId="77777777" w:rsidR="004E2244" w:rsidRDefault="004E2244" w:rsidP="0038362A">
      <w:pPr>
        <w:spacing w:line="480" w:lineRule="auto"/>
        <w:jc w:val="both"/>
        <w:rPr>
          <w:rFonts w:asciiTheme="minorHAnsi" w:hAnsiTheme="minorHAnsi" w:cstheme="minorHAnsi"/>
          <w:b/>
          <w:bCs/>
        </w:rPr>
      </w:pPr>
    </w:p>
    <w:p w14:paraId="4AA74785" w14:textId="56E8AA39" w:rsidR="009233D5" w:rsidRDefault="009233D5" w:rsidP="003860D5">
      <w:pPr>
        <w:rPr>
          <w:rFonts w:asciiTheme="minorHAnsi" w:hAnsiTheme="minorHAnsi" w:cstheme="minorHAnsi"/>
          <w:b/>
          <w:bCs/>
        </w:rPr>
      </w:pPr>
      <w:r>
        <w:rPr>
          <w:rFonts w:asciiTheme="minorHAnsi" w:hAnsiTheme="minorHAnsi" w:cstheme="minorHAnsi"/>
          <w:b/>
          <w:bCs/>
        </w:rPr>
        <w:br w:type="page"/>
      </w:r>
    </w:p>
    <w:p w14:paraId="36D743D8" w14:textId="1B368DB5" w:rsidR="00210F36" w:rsidRDefault="00210F36" w:rsidP="00682154">
      <w:pPr>
        <w:jc w:val="both"/>
        <w:rPr>
          <w:rFonts w:asciiTheme="minorHAnsi" w:hAnsiTheme="minorHAnsi" w:cstheme="minorBidi"/>
        </w:rPr>
      </w:pPr>
      <w:r w:rsidRPr="00210F36">
        <w:rPr>
          <w:rFonts w:asciiTheme="minorHAnsi" w:hAnsiTheme="minorHAnsi" w:cstheme="minorBidi"/>
          <w:b/>
          <w:bCs/>
        </w:rPr>
        <w:lastRenderedPageBreak/>
        <w:t>Table 1.</w:t>
      </w:r>
      <w:r>
        <w:rPr>
          <w:rFonts w:asciiTheme="minorHAnsi" w:hAnsiTheme="minorHAnsi" w:cstheme="minorBidi"/>
        </w:rPr>
        <w:t xml:space="preserve"> Baseline characteristics of </w:t>
      </w:r>
      <w:r w:rsidR="00D206ED">
        <w:rPr>
          <w:rFonts w:asciiTheme="minorHAnsi" w:hAnsiTheme="minorHAnsi" w:cstheme="minorBidi"/>
        </w:rPr>
        <w:t>T2D</w:t>
      </w:r>
      <w:r>
        <w:rPr>
          <w:rFonts w:asciiTheme="minorHAnsi" w:hAnsiTheme="minorHAnsi" w:cstheme="minorBidi"/>
        </w:rPr>
        <w:t xml:space="preserve"> and </w:t>
      </w:r>
      <w:r w:rsidR="00D206ED">
        <w:rPr>
          <w:rFonts w:asciiTheme="minorHAnsi" w:hAnsiTheme="minorHAnsi" w:cstheme="minorBidi"/>
        </w:rPr>
        <w:t>non-T2D</w:t>
      </w:r>
      <w:r>
        <w:rPr>
          <w:rFonts w:asciiTheme="minorHAnsi" w:hAnsiTheme="minorHAnsi" w:cstheme="minorBidi"/>
        </w:rPr>
        <w:t xml:space="preserve"> cohorts. Data is median [IQR]. Bold denotes significance.</w:t>
      </w:r>
    </w:p>
    <w:p w14:paraId="0DFC2803" w14:textId="4D8EA3B9" w:rsidR="00210F36" w:rsidRDefault="00210F36" w:rsidP="003860D5">
      <w:pPr>
        <w:rPr>
          <w:rFonts w:asciiTheme="minorHAnsi" w:hAnsiTheme="minorHAnsi" w:cstheme="minorBidi"/>
        </w:rPr>
      </w:pPr>
    </w:p>
    <w:tbl>
      <w:tblPr>
        <w:tblStyle w:val="TableGrid"/>
        <w:tblW w:w="9219" w:type="dxa"/>
        <w:tblLook w:val="04A0" w:firstRow="1" w:lastRow="0" w:firstColumn="1" w:lastColumn="0" w:noHBand="0" w:noVBand="1"/>
      </w:tblPr>
      <w:tblGrid>
        <w:gridCol w:w="3066"/>
        <w:gridCol w:w="2032"/>
        <w:gridCol w:w="2188"/>
        <w:gridCol w:w="1933"/>
      </w:tblGrid>
      <w:tr w:rsidR="00D206ED" w14:paraId="036842FF" w14:textId="77777777" w:rsidTr="00D206ED">
        <w:trPr>
          <w:trHeight w:val="528"/>
        </w:trPr>
        <w:tc>
          <w:tcPr>
            <w:tcW w:w="3066" w:type="dxa"/>
          </w:tcPr>
          <w:p w14:paraId="49C9019B" w14:textId="77777777" w:rsidR="00D206ED" w:rsidRDefault="00D206ED" w:rsidP="005B59EC">
            <w:pPr>
              <w:spacing w:line="480" w:lineRule="auto"/>
              <w:jc w:val="both"/>
              <w:rPr>
                <w:rFonts w:asciiTheme="minorHAnsi" w:hAnsiTheme="minorHAnsi" w:cstheme="minorHAnsi"/>
                <w:b/>
                <w:bCs/>
              </w:rPr>
            </w:pPr>
            <w:r>
              <w:rPr>
                <w:rFonts w:asciiTheme="minorHAnsi" w:hAnsiTheme="minorHAnsi" w:cstheme="minorHAnsi"/>
                <w:b/>
                <w:bCs/>
              </w:rPr>
              <w:t>Characteristic</w:t>
            </w:r>
          </w:p>
        </w:tc>
        <w:tc>
          <w:tcPr>
            <w:tcW w:w="2032" w:type="dxa"/>
          </w:tcPr>
          <w:p w14:paraId="3F4F86BA" w14:textId="48D73E01" w:rsidR="00D206ED" w:rsidRDefault="00D206ED" w:rsidP="005B59EC">
            <w:pPr>
              <w:spacing w:line="480" w:lineRule="auto"/>
              <w:jc w:val="both"/>
              <w:rPr>
                <w:rFonts w:asciiTheme="minorHAnsi" w:hAnsiTheme="minorHAnsi" w:cstheme="minorHAnsi"/>
                <w:b/>
                <w:bCs/>
              </w:rPr>
            </w:pPr>
            <w:r>
              <w:rPr>
                <w:rFonts w:asciiTheme="minorHAnsi" w:hAnsiTheme="minorHAnsi" w:cstheme="minorHAnsi"/>
                <w:b/>
                <w:bCs/>
              </w:rPr>
              <w:t>T2D (n = 221)</w:t>
            </w:r>
          </w:p>
        </w:tc>
        <w:tc>
          <w:tcPr>
            <w:tcW w:w="2188" w:type="dxa"/>
          </w:tcPr>
          <w:p w14:paraId="6724F83D" w14:textId="2B00308A" w:rsidR="00D206ED" w:rsidRDefault="00D206ED" w:rsidP="005B59EC">
            <w:pPr>
              <w:spacing w:line="480" w:lineRule="auto"/>
              <w:jc w:val="both"/>
              <w:rPr>
                <w:rFonts w:asciiTheme="minorHAnsi" w:hAnsiTheme="minorHAnsi" w:cstheme="minorHAnsi"/>
                <w:b/>
                <w:bCs/>
              </w:rPr>
            </w:pPr>
            <w:r>
              <w:rPr>
                <w:rFonts w:asciiTheme="minorHAnsi" w:hAnsiTheme="minorHAnsi" w:cstheme="minorHAnsi"/>
                <w:b/>
                <w:bCs/>
              </w:rPr>
              <w:t>Non-T2D (n = 135)</w:t>
            </w:r>
          </w:p>
        </w:tc>
        <w:tc>
          <w:tcPr>
            <w:tcW w:w="1933" w:type="dxa"/>
          </w:tcPr>
          <w:p w14:paraId="745CBC82" w14:textId="4F17FE07" w:rsidR="00D206ED" w:rsidRDefault="00D206ED" w:rsidP="005B59EC">
            <w:pPr>
              <w:spacing w:line="480" w:lineRule="auto"/>
              <w:jc w:val="both"/>
              <w:rPr>
                <w:rFonts w:asciiTheme="minorHAnsi" w:hAnsiTheme="minorHAnsi" w:cstheme="minorHAnsi"/>
                <w:b/>
                <w:bCs/>
              </w:rPr>
            </w:pPr>
            <w:r>
              <w:rPr>
                <w:rFonts w:asciiTheme="minorHAnsi" w:hAnsiTheme="minorHAnsi" w:cstheme="minorHAnsi"/>
                <w:b/>
                <w:bCs/>
              </w:rPr>
              <w:t xml:space="preserve">p-value </w:t>
            </w:r>
          </w:p>
        </w:tc>
      </w:tr>
      <w:tr w:rsidR="00D206ED" w14:paraId="2EF3E731" w14:textId="77777777" w:rsidTr="00D206ED">
        <w:trPr>
          <w:trHeight w:val="393"/>
        </w:trPr>
        <w:tc>
          <w:tcPr>
            <w:tcW w:w="3066" w:type="dxa"/>
          </w:tcPr>
          <w:p w14:paraId="51DEE23D" w14:textId="77777777" w:rsidR="00D206ED" w:rsidRPr="004405A2" w:rsidRDefault="00D206ED" w:rsidP="005B59EC">
            <w:pPr>
              <w:spacing w:line="480" w:lineRule="auto"/>
              <w:jc w:val="both"/>
              <w:rPr>
                <w:rFonts w:asciiTheme="minorHAnsi" w:hAnsiTheme="minorHAnsi" w:cstheme="minorHAnsi"/>
                <w:b/>
                <w:bCs/>
              </w:rPr>
            </w:pPr>
            <w:r w:rsidRPr="004405A2">
              <w:rPr>
                <w:rFonts w:asciiTheme="minorHAnsi" w:hAnsiTheme="minorHAnsi" w:cstheme="minorHAnsi"/>
                <w:b/>
                <w:bCs/>
              </w:rPr>
              <w:t>Clinical data</w:t>
            </w:r>
          </w:p>
        </w:tc>
        <w:tc>
          <w:tcPr>
            <w:tcW w:w="2032" w:type="dxa"/>
          </w:tcPr>
          <w:p w14:paraId="6E9A2170" w14:textId="77777777" w:rsidR="00D206ED" w:rsidRDefault="00D206ED" w:rsidP="005B59EC">
            <w:pPr>
              <w:spacing w:line="480" w:lineRule="auto"/>
              <w:jc w:val="both"/>
              <w:rPr>
                <w:rFonts w:asciiTheme="minorHAnsi" w:hAnsiTheme="minorHAnsi" w:cstheme="minorHAnsi"/>
              </w:rPr>
            </w:pPr>
          </w:p>
        </w:tc>
        <w:tc>
          <w:tcPr>
            <w:tcW w:w="2188" w:type="dxa"/>
          </w:tcPr>
          <w:p w14:paraId="0670D09C" w14:textId="77777777" w:rsidR="00D206ED" w:rsidRDefault="00D206ED" w:rsidP="005B59EC">
            <w:pPr>
              <w:spacing w:line="480" w:lineRule="auto"/>
              <w:jc w:val="both"/>
              <w:rPr>
                <w:rFonts w:asciiTheme="minorHAnsi" w:hAnsiTheme="minorHAnsi" w:cstheme="minorHAnsi"/>
              </w:rPr>
            </w:pPr>
          </w:p>
        </w:tc>
        <w:tc>
          <w:tcPr>
            <w:tcW w:w="1933" w:type="dxa"/>
          </w:tcPr>
          <w:p w14:paraId="144C7DE3" w14:textId="77777777" w:rsidR="00D206ED" w:rsidRDefault="00D206ED" w:rsidP="005B59EC">
            <w:pPr>
              <w:spacing w:line="480" w:lineRule="auto"/>
              <w:jc w:val="both"/>
              <w:rPr>
                <w:rFonts w:asciiTheme="minorHAnsi" w:hAnsiTheme="minorHAnsi" w:cstheme="minorHAnsi"/>
              </w:rPr>
            </w:pPr>
          </w:p>
        </w:tc>
      </w:tr>
      <w:tr w:rsidR="00D206ED" w14:paraId="09E7D17C" w14:textId="77777777" w:rsidTr="00D206ED">
        <w:trPr>
          <w:trHeight w:val="393"/>
        </w:trPr>
        <w:tc>
          <w:tcPr>
            <w:tcW w:w="3066" w:type="dxa"/>
          </w:tcPr>
          <w:p w14:paraId="5DF91B37" w14:textId="77777777" w:rsidR="00D206ED" w:rsidRPr="00C74CB1" w:rsidRDefault="00D206ED" w:rsidP="005B59EC">
            <w:pPr>
              <w:spacing w:line="480" w:lineRule="auto"/>
              <w:jc w:val="both"/>
              <w:rPr>
                <w:rFonts w:asciiTheme="minorHAnsi" w:hAnsiTheme="minorHAnsi" w:cstheme="minorHAnsi"/>
              </w:rPr>
            </w:pPr>
            <w:r w:rsidRPr="00C74CB1">
              <w:rPr>
                <w:rFonts w:asciiTheme="minorHAnsi" w:hAnsiTheme="minorHAnsi" w:cstheme="minorHAnsi"/>
              </w:rPr>
              <w:t>Age (</w:t>
            </w:r>
            <w:proofErr w:type="spellStart"/>
            <w:r w:rsidRPr="00C74CB1">
              <w:rPr>
                <w:rFonts w:asciiTheme="minorHAnsi" w:hAnsiTheme="minorHAnsi" w:cstheme="minorHAnsi"/>
              </w:rPr>
              <w:t>yrs</w:t>
            </w:r>
            <w:proofErr w:type="spellEnd"/>
            <w:r w:rsidRPr="00C74CB1">
              <w:rPr>
                <w:rFonts w:asciiTheme="minorHAnsi" w:hAnsiTheme="minorHAnsi" w:cstheme="minorHAnsi"/>
              </w:rPr>
              <w:t>)</w:t>
            </w:r>
          </w:p>
        </w:tc>
        <w:tc>
          <w:tcPr>
            <w:tcW w:w="2032" w:type="dxa"/>
          </w:tcPr>
          <w:p w14:paraId="3895F3B5" w14:textId="14A600C4" w:rsidR="00D206ED" w:rsidRPr="00C74CB1" w:rsidRDefault="0017234E" w:rsidP="005B59EC">
            <w:pPr>
              <w:spacing w:line="480" w:lineRule="auto"/>
              <w:jc w:val="both"/>
              <w:rPr>
                <w:rFonts w:asciiTheme="minorHAnsi" w:hAnsiTheme="minorHAnsi" w:cstheme="minorHAnsi"/>
              </w:rPr>
            </w:pPr>
            <w:r>
              <w:rPr>
                <w:rFonts w:asciiTheme="minorHAnsi" w:hAnsiTheme="minorHAnsi" w:cstheme="minorHAnsi"/>
              </w:rPr>
              <w:t>57 [52-64]</w:t>
            </w:r>
          </w:p>
        </w:tc>
        <w:tc>
          <w:tcPr>
            <w:tcW w:w="2188" w:type="dxa"/>
          </w:tcPr>
          <w:p w14:paraId="16BB2058" w14:textId="53F1C4B8" w:rsidR="00D206ED" w:rsidRDefault="0017234E" w:rsidP="005B59EC">
            <w:pPr>
              <w:spacing w:line="480" w:lineRule="auto"/>
              <w:jc w:val="both"/>
              <w:rPr>
                <w:rFonts w:asciiTheme="minorHAnsi" w:hAnsiTheme="minorHAnsi" w:cstheme="minorHAnsi"/>
              </w:rPr>
            </w:pPr>
            <w:r>
              <w:rPr>
                <w:rFonts w:asciiTheme="minorHAnsi" w:hAnsiTheme="minorHAnsi" w:cstheme="minorHAnsi"/>
              </w:rPr>
              <w:t>57 [53-63]</w:t>
            </w:r>
          </w:p>
        </w:tc>
        <w:tc>
          <w:tcPr>
            <w:tcW w:w="1933" w:type="dxa"/>
          </w:tcPr>
          <w:p w14:paraId="66FF5A8E" w14:textId="1EBEC5EB" w:rsidR="00D206ED" w:rsidRDefault="0017234E" w:rsidP="005B59EC">
            <w:pPr>
              <w:spacing w:line="480" w:lineRule="auto"/>
              <w:jc w:val="both"/>
              <w:rPr>
                <w:rFonts w:asciiTheme="minorHAnsi" w:hAnsiTheme="minorHAnsi" w:cstheme="minorHAnsi"/>
              </w:rPr>
            </w:pPr>
            <w:r>
              <w:rPr>
                <w:rFonts w:asciiTheme="minorHAnsi" w:hAnsiTheme="minorHAnsi" w:cstheme="minorHAnsi"/>
              </w:rPr>
              <w:t>0.3</w:t>
            </w:r>
          </w:p>
        </w:tc>
      </w:tr>
      <w:tr w:rsidR="00D206ED" w14:paraId="16BE30D8" w14:textId="77777777" w:rsidTr="00D206ED">
        <w:trPr>
          <w:trHeight w:val="1178"/>
        </w:trPr>
        <w:tc>
          <w:tcPr>
            <w:tcW w:w="3066" w:type="dxa"/>
          </w:tcPr>
          <w:p w14:paraId="1D5C3B38" w14:textId="77777777" w:rsidR="00D206ED" w:rsidRPr="00C74CB1" w:rsidRDefault="00D206ED" w:rsidP="005B59EC">
            <w:pPr>
              <w:spacing w:line="480" w:lineRule="auto"/>
              <w:jc w:val="both"/>
              <w:rPr>
                <w:rFonts w:asciiTheme="minorHAnsi" w:hAnsiTheme="minorHAnsi" w:cstheme="minorHAnsi"/>
              </w:rPr>
            </w:pPr>
            <w:r w:rsidRPr="00C74CB1">
              <w:rPr>
                <w:rFonts w:asciiTheme="minorHAnsi" w:hAnsiTheme="minorHAnsi" w:cstheme="minorHAnsi"/>
              </w:rPr>
              <w:t>Sex (n of male participants [%])</w:t>
            </w:r>
          </w:p>
        </w:tc>
        <w:tc>
          <w:tcPr>
            <w:tcW w:w="2032" w:type="dxa"/>
          </w:tcPr>
          <w:p w14:paraId="76589D85" w14:textId="73A229B8" w:rsidR="00D206ED" w:rsidRPr="00C74CB1" w:rsidRDefault="0017234E" w:rsidP="005B59EC">
            <w:pPr>
              <w:spacing w:line="480" w:lineRule="auto"/>
              <w:jc w:val="both"/>
              <w:rPr>
                <w:rFonts w:asciiTheme="minorHAnsi" w:hAnsiTheme="minorHAnsi" w:cstheme="minorHAnsi"/>
              </w:rPr>
            </w:pPr>
            <w:r>
              <w:rPr>
                <w:rFonts w:asciiTheme="minorHAnsi" w:hAnsiTheme="minorHAnsi" w:cstheme="minorHAnsi"/>
              </w:rPr>
              <w:t>146 (66%)</w:t>
            </w:r>
          </w:p>
        </w:tc>
        <w:tc>
          <w:tcPr>
            <w:tcW w:w="2188" w:type="dxa"/>
          </w:tcPr>
          <w:p w14:paraId="6B905E85" w14:textId="4E3D783A" w:rsidR="00D206ED" w:rsidRDefault="0017234E" w:rsidP="005B59EC">
            <w:pPr>
              <w:spacing w:line="480" w:lineRule="auto"/>
              <w:jc w:val="both"/>
              <w:rPr>
                <w:rFonts w:asciiTheme="minorHAnsi" w:hAnsiTheme="minorHAnsi" w:cstheme="minorHAnsi"/>
              </w:rPr>
            </w:pPr>
            <w:r>
              <w:rPr>
                <w:rFonts w:asciiTheme="minorHAnsi" w:hAnsiTheme="minorHAnsi" w:cstheme="minorHAnsi"/>
              </w:rPr>
              <w:t>98 (73%)</w:t>
            </w:r>
          </w:p>
        </w:tc>
        <w:tc>
          <w:tcPr>
            <w:tcW w:w="1933" w:type="dxa"/>
          </w:tcPr>
          <w:p w14:paraId="371E0B41" w14:textId="6661C2FF" w:rsidR="00D206ED" w:rsidRDefault="0017234E" w:rsidP="005B59EC">
            <w:pPr>
              <w:spacing w:line="480" w:lineRule="auto"/>
              <w:jc w:val="both"/>
              <w:rPr>
                <w:rFonts w:asciiTheme="minorHAnsi" w:hAnsiTheme="minorHAnsi" w:cstheme="minorHAnsi"/>
              </w:rPr>
            </w:pPr>
            <w:r>
              <w:rPr>
                <w:rFonts w:asciiTheme="minorHAnsi" w:hAnsiTheme="minorHAnsi" w:cstheme="minorHAnsi"/>
              </w:rPr>
              <w:t>0.2</w:t>
            </w:r>
          </w:p>
        </w:tc>
      </w:tr>
      <w:tr w:rsidR="00D206ED" w14:paraId="17BF2BA2" w14:textId="77777777" w:rsidTr="00D206ED">
        <w:trPr>
          <w:trHeight w:val="382"/>
        </w:trPr>
        <w:tc>
          <w:tcPr>
            <w:tcW w:w="3066" w:type="dxa"/>
          </w:tcPr>
          <w:p w14:paraId="19647E47" w14:textId="13ED2E04" w:rsidR="00D206ED" w:rsidRPr="00C74CB1" w:rsidRDefault="00D206ED" w:rsidP="005B59EC">
            <w:pPr>
              <w:spacing w:line="480" w:lineRule="auto"/>
              <w:jc w:val="both"/>
              <w:rPr>
                <w:rFonts w:asciiTheme="minorHAnsi" w:hAnsiTheme="minorHAnsi" w:cstheme="minorHAnsi"/>
              </w:rPr>
            </w:pPr>
            <w:r w:rsidRPr="00C74CB1">
              <w:rPr>
                <w:rFonts w:asciiTheme="minorHAnsi" w:hAnsiTheme="minorHAnsi" w:cstheme="minorHAnsi"/>
              </w:rPr>
              <w:t>BMI (k</w:t>
            </w:r>
            <w:r>
              <w:rPr>
                <w:rFonts w:asciiTheme="minorHAnsi" w:hAnsiTheme="minorHAnsi" w:cstheme="minorHAnsi"/>
              </w:rPr>
              <w:t>g</w:t>
            </w:r>
            <w:r w:rsidRPr="00C74CB1">
              <w:rPr>
                <w:rFonts w:asciiTheme="minorHAnsi" w:hAnsiTheme="minorHAnsi" w:cstheme="minorHAnsi"/>
              </w:rPr>
              <w:t>/m</w:t>
            </w:r>
            <w:r w:rsidRPr="00C74CB1">
              <w:rPr>
                <w:rFonts w:asciiTheme="minorHAnsi" w:hAnsiTheme="minorHAnsi" w:cstheme="minorHAnsi"/>
                <w:vertAlign w:val="superscript"/>
              </w:rPr>
              <w:t>2</w:t>
            </w:r>
            <w:r w:rsidRPr="00C74CB1">
              <w:rPr>
                <w:rFonts w:asciiTheme="minorHAnsi" w:hAnsiTheme="minorHAnsi" w:cstheme="minorHAnsi"/>
              </w:rPr>
              <w:t>)</w:t>
            </w:r>
          </w:p>
        </w:tc>
        <w:tc>
          <w:tcPr>
            <w:tcW w:w="2032" w:type="dxa"/>
          </w:tcPr>
          <w:p w14:paraId="3F4D18EC" w14:textId="3170380D" w:rsidR="00D206ED" w:rsidRPr="00C74CB1" w:rsidRDefault="0017234E" w:rsidP="005B59EC">
            <w:pPr>
              <w:spacing w:line="480" w:lineRule="auto"/>
              <w:jc w:val="both"/>
              <w:rPr>
                <w:rFonts w:asciiTheme="minorHAnsi" w:hAnsiTheme="minorHAnsi" w:cstheme="minorHAnsi"/>
              </w:rPr>
            </w:pPr>
            <w:r>
              <w:rPr>
                <w:rFonts w:asciiTheme="minorHAnsi" w:hAnsiTheme="minorHAnsi" w:cstheme="minorHAnsi"/>
              </w:rPr>
              <w:t>30 [27-34]</w:t>
            </w:r>
          </w:p>
        </w:tc>
        <w:tc>
          <w:tcPr>
            <w:tcW w:w="2188" w:type="dxa"/>
          </w:tcPr>
          <w:p w14:paraId="480C68BC" w14:textId="687F4D37" w:rsidR="00D206ED" w:rsidRDefault="0017234E" w:rsidP="005B59EC">
            <w:pPr>
              <w:spacing w:line="480" w:lineRule="auto"/>
              <w:jc w:val="both"/>
              <w:rPr>
                <w:rFonts w:asciiTheme="minorHAnsi" w:hAnsiTheme="minorHAnsi" w:cstheme="minorHAnsi"/>
              </w:rPr>
            </w:pPr>
            <w:r>
              <w:rPr>
                <w:rFonts w:asciiTheme="minorHAnsi" w:hAnsiTheme="minorHAnsi" w:cstheme="minorHAnsi"/>
              </w:rPr>
              <w:t>29 [26-33]</w:t>
            </w:r>
          </w:p>
        </w:tc>
        <w:tc>
          <w:tcPr>
            <w:tcW w:w="1933" w:type="dxa"/>
          </w:tcPr>
          <w:p w14:paraId="08502039" w14:textId="1C2B7EDE" w:rsidR="00D206ED" w:rsidRDefault="0017234E" w:rsidP="005B59EC">
            <w:pPr>
              <w:spacing w:line="480" w:lineRule="auto"/>
              <w:jc w:val="both"/>
              <w:rPr>
                <w:rFonts w:asciiTheme="minorHAnsi" w:hAnsiTheme="minorHAnsi" w:cstheme="minorHAnsi"/>
              </w:rPr>
            </w:pPr>
            <w:r>
              <w:rPr>
                <w:rFonts w:asciiTheme="minorHAnsi" w:hAnsiTheme="minorHAnsi" w:cstheme="minorHAnsi"/>
              </w:rPr>
              <w:t>0.3</w:t>
            </w:r>
          </w:p>
        </w:tc>
      </w:tr>
      <w:tr w:rsidR="00D206ED" w14:paraId="20CEA36E" w14:textId="77777777" w:rsidTr="00D206ED">
        <w:trPr>
          <w:trHeight w:val="785"/>
        </w:trPr>
        <w:tc>
          <w:tcPr>
            <w:tcW w:w="3066" w:type="dxa"/>
          </w:tcPr>
          <w:p w14:paraId="1BF99163" w14:textId="77777777" w:rsidR="00D206ED" w:rsidRPr="00C74CB1" w:rsidRDefault="00D206ED" w:rsidP="005B59EC">
            <w:pPr>
              <w:spacing w:line="480" w:lineRule="auto"/>
              <w:jc w:val="both"/>
              <w:rPr>
                <w:rFonts w:asciiTheme="minorHAnsi" w:hAnsiTheme="minorHAnsi" w:cstheme="minorHAnsi"/>
              </w:rPr>
            </w:pPr>
            <w:r w:rsidRPr="00C74CB1">
              <w:rPr>
                <w:rFonts w:asciiTheme="minorHAnsi" w:hAnsiTheme="minorHAnsi" w:cstheme="minorHAnsi"/>
              </w:rPr>
              <w:t>HbA1c (mmol/mol)</w:t>
            </w:r>
          </w:p>
        </w:tc>
        <w:tc>
          <w:tcPr>
            <w:tcW w:w="2032" w:type="dxa"/>
          </w:tcPr>
          <w:p w14:paraId="504B4AE5" w14:textId="59642366" w:rsidR="00D206ED" w:rsidRDefault="0017234E" w:rsidP="005B59EC">
            <w:pPr>
              <w:spacing w:line="480" w:lineRule="auto"/>
              <w:jc w:val="both"/>
              <w:rPr>
                <w:rFonts w:asciiTheme="minorHAnsi" w:hAnsiTheme="minorHAnsi" w:cstheme="minorHAnsi"/>
              </w:rPr>
            </w:pPr>
            <w:r>
              <w:rPr>
                <w:rFonts w:asciiTheme="minorHAnsi" w:hAnsiTheme="minorHAnsi" w:cstheme="minorHAnsi"/>
              </w:rPr>
              <w:t>50 [41-62]</w:t>
            </w:r>
          </w:p>
        </w:tc>
        <w:tc>
          <w:tcPr>
            <w:tcW w:w="2188" w:type="dxa"/>
          </w:tcPr>
          <w:p w14:paraId="7F80D3C6" w14:textId="242EE9A6" w:rsidR="00D206ED" w:rsidRDefault="0017234E" w:rsidP="005B59EC">
            <w:pPr>
              <w:spacing w:line="480" w:lineRule="auto"/>
              <w:jc w:val="both"/>
              <w:rPr>
                <w:rFonts w:asciiTheme="minorHAnsi" w:hAnsiTheme="minorHAnsi" w:cstheme="minorHAnsi"/>
              </w:rPr>
            </w:pPr>
            <w:r>
              <w:rPr>
                <w:rFonts w:asciiTheme="minorHAnsi" w:hAnsiTheme="minorHAnsi" w:cstheme="minorHAnsi"/>
              </w:rPr>
              <w:t>36 [33-38]</w:t>
            </w:r>
          </w:p>
        </w:tc>
        <w:tc>
          <w:tcPr>
            <w:tcW w:w="1933" w:type="dxa"/>
          </w:tcPr>
          <w:p w14:paraId="0874B49B" w14:textId="57D5E5A1" w:rsidR="00D206ED" w:rsidRPr="00C44D3F" w:rsidRDefault="0017234E" w:rsidP="005B59EC">
            <w:pPr>
              <w:spacing w:line="480" w:lineRule="auto"/>
              <w:jc w:val="both"/>
              <w:rPr>
                <w:rFonts w:asciiTheme="minorHAnsi" w:hAnsiTheme="minorHAnsi" w:cstheme="minorHAnsi"/>
                <w:b/>
                <w:bCs/>
              </w:rPr>
            </w:pPr>
            <w:r w:rsidRPr="00C44D3F">
              <w:rPr>
                <w:rFonts w:asciiTheme="minorHAnsi" w:hAnsiTheme="minorHAnsi" w:cstheme="minorHAnsi"/>
                <w:b/>
                <w:bCs/>
              </w:rPr>
              <w:t>&lt;0.001</w:t>
            </w:r>
          </w:p>
        </w:tc>
      </w:tr>
      <w:tr w:rsidR="00A14551" w14:paraId="5C4371BC" w14:textId="77777777" w:rsidTr="00D206ED">
        <w:trPr>
          <w:trHeight w:val="785"/>
        </w:trPr>
        <w:tc>
          <w:tcPr>
            <w:tcW w:w="3066" w:type="dxa"/>
          </w:tcPr>
          <w:p w14:paraId="162D6479" w14:textId="39A90627" w:rsidR="00A14551" w:rsidRPr="00C74CB1" w:rsidRDefault="00A14551" w:rsidP="005B59EC">
            <w:pPr>
              <w:spacing w:line="480" w:lineRule="auto"/>
              <w:jc w:val="both"/>
              <w:rPr>
                <w:rFonts w:asciiTheme="minorHAnsi" w:hAnsiTheme="minorHAnsi" w:cstheme="minorHAnsi"/>
              </w:rPr>
            </w:pPr>
            <w:r>
              <w:rPr>
                <w:rFonts w:asciiTheme="minorHAnsi" w:hAnsiTheme="minorHAnsi" w:cstheme="minorHAnsi"/>
              </w:rPr>
              <w:t>AST (IU/L)</w:t>
            </w:r>
          </w:p>
        </w:tc>
        <w:tc>
          <w:tcPr>
            <w:tcW w:w="2032" w:type="dxa"/>
          </w:tcPr>
          <w:p w14:paraId="66742323" w14:textId="04495BB0" w:rsidR="00A14551" w:rsidRDefault="006B37A5" w:rsidP="005B59EC">
            <w:pPr>
              <w:spacing w:line="480" w:lineRule="auto"/>
              <w:jc w:val="both"/>
              <w:rPr>
                <w:rFonts w:asciiTheme="minorHAnsi" w:hAnsiTheme="minorHAnsi" w:cstheme="minorHAnsi"/>
              </w:rPr>
            </w:pPr>
            <w:r>
              <w:rPr>
                <w:rFonts w:asciiTheme="minorHAnsi" w:hAnsiTheme="minorHAnsi" w:cstheme="minorHAnsi"/>
              </w:rPr>
              <w:t>24 [19-29]</w:t>
            </w:r>
          </w:p>
        </w:tc>
        <w:tc>
          <w:tcPr>
            <w:tcW w:w="2188" w:type="dxa"/>
          </w:tcPr>
          <w:p w14:paraId="1074E3DD" w14:textId="7159467E" w:rsidR="00A14551" w:rsidRDefault="00EA4038" w:rsidP="005B59EC">
            <w:pPr>
              <w:spacing w:line="480" w:lineRule="auto"/>
              <w:jc w:val="both"/>
              <w:rPr>
                <w:rFonts w:asciiTheme="minorHAnsi" w:hAnsiTheme="minorHAnsi" w:cstheme="minorHAnsi"/>
              </w:rPr>
            </w:pPr>
            <w:r>
              <w:rPr>
                <w:rFonts w:asciiTheme="minorHAnsi" w:hAnsiTheme="minorHAnsi" w:cstheme="minorHAnsi"/>
              </w:rPr>
              <w:t>27 [23-32]</w:t>
            </w:r>
          </w:p>
        </w:tc>
        <w:tc>
          <w:tcPr>
            <w:tcW w:w="1933" w:type="dxa"/>
          </w:tcPr>
          <w:p w14:paraId="6F564935" w14:textId="57D9A4B6" w:rsidR="00A14551" w:rsidRPr="00C44D3F" w:rsidRDefault="00EA4038" w:rsidP="005B59EC">
            <w:pPr>
              <w:spacing w:line="480" w:lineRule="auto"/>
              <w:jc w:val="both"/>
              <w:rPr>
                <w:rFonts w:asciiTheme="minorHAnsi" w:hAnsiTheme="minorHAnsi" w:cstheme="minorHAnsi"/>
                <w:b/>
                <w:bCs/>
              </w:rPr>
            </w:pPr>
            <w:r w:rsidRPr="00C44D3F">
              <w:rPr>
                <w:rFonts w:asciiTheme="minorHAnsi" w:hAnsiTheme="minorHAnsi" w:cstheme="minorHAnsi"/>
                <w:b/>
                <w:bCs/>
              </w:rPr>
              <w:t>&lt;0.001</w:t>
            </w:r>
          </w:p>
        </w:tc>
      </w:tr>
      <w:tr w:rsidR="00A14551" w14:paraId="67C53716" w14:textId="77777777" w:rsidTr="00D206ED">
        <w:trPr>
          <w:trHeight w:val="785"/>
        </w:trPr>
        <w:tc>
          <w:tcPr>
            <w:tcW w:w="3066" w:type="dxa"/>
          </w:tcPr>
          <w:p w14:paraId="2981D8C9" w14:textId="30AB2CB0" w:rsidR="00A14551" w:rsidRPr="00C74CB1" w:rsidRDefault="00A14551" w:rsidP="005B59EC">
            <w:pPr>
              <w:spacing w:line="480" w:lineRule="auto"/>
              <w:jc w:val="both"/>
              <w:rPr>
                <w:rFonts w:asciiTheme="minorHAnsi" w:hAnsiTheme="minorHAnsi" w:cstheme="minorHAnsi"/>
              </w:rPr>
            </w:pPr>
            <w:r>
              <w:rPr>
                <w:rFonts w:asciiTheme="minorHAnsi" w:hAnsiTheme="minorHAnsi" w:cstheme="minorHAnsi"/>
              </w:rPr>
              <w:t>ALT (IU/L)</w:t>
            </w:r>
          </w:p>
        </w:tc>
        <w:tc>
          <w:tcPr>
            <w:tcW w:w="2032" w:type="dxa"/>
          </w:tcPr>
          <w:p w14:paraId="756661CC" w14:textId="14B4DD26" w:rsidR="00A14551" w:rsidRDefault="00EA4038" w:rsidP="005B59EC">
            <w:pPr>
              <w:spacing w:line="480" w:lineRule="auto"/>
              <w:jc w:val="both"/>
              <w:rPr>
                <w:rFonts w:asciiTheme="minorHAnsi" w:hAnsiTheme="minorHAnsi" w:cstheme="minorHAnsi"/>
              </w:rPr>
            </w:pPr>
            <w:r>
              <w:rPr>
                <w:rFonts w:asciiTheme="minorHAnsi" w:hAnsiTheme="minorHAnsi" w:cstheme="minorHAnsi"/>
              </w:rPr>
              <w:t>27 [20-36]</w:t>
            </w:r>
          </w:p>
        </w:tc>
        <w:tc>
          <w:tcPr>
            <w:tcW w:w="2188" w:type="dxa"/>
          </w:tcPr>
          <w:p w14:paraId="73C2B396" w14:textId="5601C6DB" w:rsidR="00A14551" w:rsidRDefault="00EA4038" w:rsidP="005B59EC">
            <w:pPr>
              <w:spacing w:line="480" w:lineRule="auto"/>
              <w:jc w:val="both"/>
              <w:rPr>
                <w:rFonts w:asciiTheme="minorHAnsi" w:hAnsiTheme="minorHAnsi" w:cstheme="minorHAnsi"/>
              </w:rPr>
            </w:pPr>
            <w:r>
              <w:rPr>
                <w:rFonts w:asciiTheme="minorHAnsi" w:hAnsiTheme="minorHAnsi" w:cstheme="minorHAnsi"/>
              </w:rPr>
              <w:t>26 [19-35]</w:t>
            </w:r>
          </w:p>
        </w:tc>
        <w:tc>
          <w:tcPr>
            <w:tcW w:w="1933" w:type="dxa"/>
          </w:tcPr>
          <w:p w14:paraId="0F7071AA" w14:textId="67F1749C" w:rsidR="00A14551" w:rsidRDefault="00EA4038" w:rsidP="005B59EC">
            <w:pPr>
              <w:spacing w:line="480" w:lineRule="auto"/>
              <w:jc w:val="both"/>
              <w:rPr>
                <w:rFonts w:asciiTheme="minorHAnsi" w:hAnsiTheme="minorHAnsi" w:cstheme="minorHAnsi"/>
              </w:rPr>
            </w:pPr>
            <w:r>
              <w:rPr>
                <w:rFonts w:asciiTheme="minorHAnsi" w:hAnsiTheme="minorHAnsi" w:cstheme="minorHAnsi"/>
              </w:rPr>
              <w:t>0.5</w:t>
            </w:r>
          </w:p>
        </w:tc>
      </w:tr>
      <w:tr w:rsidR="00D206ED" w14:paraId="2E2326B5" w14:textId="77777777" w:rsidTr="00D206ED">
        <w:trPr>
          <w:trHeight w:val="393"/>
        </w:trPr>
        <w:tc>
          <w:tcPr>
            <w:tcW w:w="3066" w:type="dxa"/>
          </w:tcPr>
          <w:p w14:paraId="326084DC" w14:textId="77777777" w:rsidR="00D206ED" w:rsidRPr="004405A2" w:rsidRDefault="00D206ED" w:rsidP="005B59EC">
            <w:pPr>
              <w:spacing w:line="480" w:lineRule="auto"/>
              <w:jc w:val="both"/>
              <w:rPr>
                <w:rFonts w:asciiTheme="minorHAnsi" w:hAnsiTheme="minorHAnsi" w:cstheme="minorHAnsi"/>
                <w:b/>
                <w:bCs/>
              </w:rPr>
            </w:pPr>
            <w:r w:rsidRPr="004405A2">
              <w:rPr>
                <w:rFonts w:asciiTheme="minorHAnsi" w:hAnsiTheme="minorHAnsi" w:cstheme="minorHAnsi"/>
                <w:b/>
                <w:bCs/>
              </w:rPr>
              <w:t>MRI data</w:t>
            </w:r>
          </w:p>
        </w:tc>
        <w:tc>
          <w:tcPr>
            <w:tcW w:w="2032" w:type="dxa"/>
          </w:tcPr>
          <w:p w14:paraId="3BD5B3DB" w14:textId="77777777" w:rsidR="00D206ED" w:rsidRDefault="00D206ED" w:rsidP="005B59EC">
            <w:pPr>
              <w:spacing w:line="480" w:lineRule="auto"/>
              <w:jc w:val="both"/>
              <w:rPr>
                <w:rFonts w:asciiTheme="minorHAnsi" w:hAnsiTheme="minorHAnsi" w:cstheme="minorHAnsi"/>
              </w:rPr>
            </w:pPr>
          </w:p>
        </w:tc>
        <w:tc>
          <w:tcPr>
            <w:tcW w:w="2188" w:type="dxa"/>
          </w:tcPr>
          <w:p w14:paraId="4D73E8F6" w14:textId="77777777" w:rsidR="00D206ED" w:rsidRDefault="00D206ED" w:rsidP="005B59EC">
            <w:pPr>
              <w:spacing w:line="480" w:lineRule="auto"/>
              <w:jc w:val="both"/>
              <w:rPr>
                <w:rFonts w:asciiTheme="minorHAnsi" w:hAnsiTheme="minorHAnsi" w:cstheme="minorHAnsi"/>
              </w:rPr>
            </w:pPr>
          </w:p>
        </w:tc>
        <w:tc>
          <w:tcPr>
            <w:tcW w:w="1933" w:type="dxa"/>
          </w:tcPr>
          <w:p w14:paraId="604FA607" w14:textId="77777777" w:rsidR="00D206ED" w:rsidRDefault="00D206ED" w:rsidP="005B59EC">
            <w:pPr>
              <w:spacing w:line="480" w:lineRule="auto"/>
              <w:jc w:val="both"/>
              <w:rPr>
                <w:rFonts w:asciiTheme="minorHAnsi" w:hAnsiTheme="minorHAnsi" w:cstheme="minorHAnsi"/>
              </w:rPr>
            </w:pPr>
          </w:p>
        </w:tc>
      </w:tr>
      <w:tr w:rsidR="00D206ED" w14:paraId="7827D23D" w14:textId="77777777" w:rsidTr="00D206ED">
        <w:trPr>
          <w:trHeight w:val="393"/>
        </w:trPr>
        <w:tc>
          <w:tcPr>
            <w:tcW w:w="3066" w:type="dxa"/>
          </w:tcPr>
          <w:p w14:paraId="1590C7E5" w14:textId="77777777" w:rsidR="00D206ED" w:rsidRPr="00C74CB1" w:rsidRDefault="00D206ED" w:rsidP="005B59EC">
            <w:pPr>
              <w:spacing w:line="480" w:lineRule="auto"/>
              <w:jc w:val="both"/>
              <w:rPr>
                <w:rFonts w:asciiTheme="minorHAnsi" w:hAnsiTheme="minorHAnsi" w:cstheme="minorHAnsi"/>
              </w:rPr>
            </w:pPr>
            <w:r w:rsidRPr="00C74CB1">
              <w:rPr>
                <w:rFonts w:asciiTheme="minorHAnsi" w:hAnsiTheme="minorHAnsi" w:cstheme="minorHAnsi"/>
              </w:rPr>
              <w:t>Liver cT1 (</w:t>
            </w:r>
            <w:proofErr w:type="spellStart"/>
            <w:r w:rsidRPr="00C74CB1">
              <w:rPr>
                <w:rFonts w:asciiTheme="minorHAnsi" w:hAnsiTheme="minorHAnsi" w:cstheme="minorHAnsi"/>
              </w:rPr>
              <w:t>ms</w:t>
            </w:r>
            <w:proofErr w:type="spellEnd"/>
            <w:r w:rsidRPr="00C74CB1">
              <w:rPr>
                <w:rFonts w:asciiTheme="minorHAnsi" w:hAnsiTheme="minorHAnsi" w:cstheme="minorHAnsi"/>
              </w:rPr>
              <w:t>)</w:t>
            </w:r>
          </w:p>
        </w:tc>
        <w:tc>
          <w:tcPr>
            <w:tcW w:w="2032" w:type="dxa"/>
          </w:tcPr>
          <w:p w14:paraId="6E51635F" w14:textId="40038F05" w:rsidR="00D206ED" w:rsidRPr="00C74CB1" w:rsidRDefault="0017234E" w:rsidP="005B59EC">
            <w:pPr>
              <w:spacing w:line="480" w:lineRule="auto"/>
              <w:jc w:val="both"/>
              <w:rPr>
                <w:rFonts w:asciiTheme="minorHAnsi" w:hAnsiTheme="minorHAnsi" w:cstheme="minorHAnsi"/>
              </w:rPr>
            </w:pPr>
            <w:r>
              <w:rPr>
                <w:rFonts w:asciiTheme="minorHAnsi" w:hAnsiTheme="minorHAnsi" w:cstheme="minorHAnsi"/>
              </w:rPr>
              <w:t>751 [695-827]</w:t>
            </w:r>
          </w:p>
        </w:tc>
        <w:tc>
          <w:tcPr>
            <w:tcW w:w="2188" w:type="dxa"/>
          </w:tcPr>
          <w:p w14:paraId="5E4D93CD" w14:textId="0C662643" w:rsidR="00D206ED" w:rsidRDefault="0017234E" w:rsidP="005B59EC">
            <w:pPr>
              <w:spacing w:line="480" w:lineRule="auto"/>
              <w:jc w:val="both"/>
              <w:rPr>
                <w:rFonts w:asciiTheme="minorHAnsi" w:hAnsiTheme="minorHAnsi" w:cstheme="minorHAnsi"/>
              </w:rPr>
            </w:pPr>
            <w:r>
              <w:rPr>
                <w:rFonts w:asciiTheme="minorHAnsi" w:hAnsiTheme="minorHAnsi" w:cstheme="minorHAnsi"/>
              </w:rPr>
              <w:t>709 [672-752]</w:t>
            </w:r>
          </w:p>
        </w:tc>
        <w:tc>
          <w:tcPr>
            <w:tcW w:w="1933" w:type="dxa"/>
          </w:tcPr>
          <w:p w14:paraId="625BDDA9" w14:textId="64521C05" w:rsidR="00D206ED" w:rsidRPr="00C44D3F" w:rsidRDefault="0017234E" w:rsidP="005B59EC">
            <w:pPr>
              <w:spacing w:line="480" w:lineRule="auto"/>
              <w:jc w:val="both"/>
              <w:rPr>
                <w:rFonts w:asciiTheme="minorHAnsi" w:hAnsiTheme="minorHAnsi" w:cstheme="minorHAnsi"/>
                <w:b/>
                <w:bCs/>
              </w:rPr>
            </w:pPr>
            <w:r w:rsidRPr="00C44D3F">
              <w:rPr>
                <w:rFonts w:asciiTheme="minorHAnsi" w:hAnsiTheme="minorHAnsi" w:cstheme="minorHAnsi"/>
                <w:b/>
                <w:bCs/>
              </w:rPr>
              <w:t>&lt;0.001</w:t>
            </w:r>
          </w:p>
        </w:tc>
      </w:tr>
      <w:tr w:rsidR="00D206ED" w14:paraId="40834E20" w14:textId="77777777" w:rsidTr="00D206ED">
        <w:trPr>
          <w:trHeight w:val="393"/>
        </w:trPr>
        <w:tc>
          <w:tcPr>
            <w:tcW w:w="3066" w:type="dxa"/>
          </w:tcPr>
          <w:p w14:paraId="2AB956E9" w14:textId="77777777" w:rsidR="00D206ED" w:rsidRPr="00C74CB1" w:rsidRDefault="00D206ED" w:rsidP="005B59EC">
            <w:pPr>
              <w:spacing w:line="480" w:lineRule="auto"/>
              <w:jc w:val="both"/>
              <w:rPr>
                <w:rFonts w:asciiTheme="minorHAnsi" w:hAnsiTheme="minorHAnsi" w:cstheme="minorHAnsi"/>
              </w:rPr>
            </w:pPr>
            <w:r w:rsidRPr="00C74CB1">
              <w:rPr>
                <w:rFonts w:asciiTheme="minorHAnsi" w:hAnsiTheme="minorHAnsi" w:cstheme="minorHAnsi"/>
              </w:rPr>
              <w:t>Liver fat (%)</w:t>
            </w:r>
          </w:p>
        </w:tc>
        <w:tc>
          <w:tcPr>
            <w:tcW w:w="2032" w:type="dxa"/>
          </w:tcPr>
          <w:p w14:paraId="23480017" w14:textId="255AA538" w:rsidR="00D206ED" w:rsidRPr="00C74CB1" w:rsidRDefault="0017234E" w:rsidP="005B59EC">
            <w:pPr>
              <w:spacing w:line="480" w:lineRule="auto"/>
              <w:jc w:val="both"/>
              <w:rPr>
                <w:rFonts w:asciiTheme="minorHAnsi" w:hAnsiTheme="minorHAnsi" w:cstheme="minorHAnsi"/>
              </w:rPr>
            </w:pPr>
            <w:r>
              <w:rPr>
                <w:rFonts w:asciiTheme="minorHAnsi" w:hAnsiTheme="minorHAnsi" w:cstheme="minorHAnsi"/>
              </w:rPr>
              <w:t>8 [4-14]</w:t>
            </w:r>
          </w:p>
        </w:tc>
        <w:tc>
          <w:tcPr>
            <w:tcW w:w="2188" w:type="dxa"/>
          </w:tcPr>
          <w:p w14:paraId="5A23ED51" w14:textId="40CAC73B" w:rsidR="00D206ED" w:rsidRDefault="0017234E" w:rsidP="005B59EC">
            <w:pPr>
              <w:spacing w:line="480" w:lineRule="auto"/>
              <w:jc w:val="both"/>
              <w:rPr>
                <w:rFonts w:asciiTheme="minorHAnsi" w:hAnsiTheme="minorHAnsi" w:cstheme="minorHAnsi"/>
              </w:rPr>
            </w:pPr>
            <w:r>
              <w:rPr>
                <w:rFonts w:asciiTheme="minorHAnsi" w:hAnsiTheme="minorHAnsi" w:cstheme="minorHAnsi"/>
              </w:rPr>
              <w:t>5 [3-11]</w:t>
            </w:r>
          </w:p>
        </w:tc>
        <w:tc>
          <w:tcPr>
            <w:tcW w:w="1933" w:type="dxa"/>
          </w:tcPr>
          <w:p w14:paraId="292CC1C7" w14:textId="7ABD014A" w:rsidR="00D206ED" w:rsidRPr="00C44D3F" w:rsidRDefault="0017234E" w:rsidP="005B59EC">
            <w:pPr>
              <w:spacing w:line="480" w:lineRule="auto"/>
              <w:jc w:val="both"/>
              <w:rPr>
                <w:rFonts w:asciiTheme="minorHAnsi" w:hAnsiTheme="minorHAnsi" w:cstheme="minorHAnsi"/>
                <w:b/>
                <w:bCs/>
              </w:rPr>
            </w:pPr>
            <w:r w:rsidRPr="00C44D3F">
              <w:rPr>
                <w:rFonts w:asciiTheme="minorHAnsi" w:hAnsiTheme="minorHAnsi" w:cstheme="minorHAnsi"/>
                <w:b/>
                <w:bCs/>
              </w:rPr>
              <w:t>&lt;0.001</w:t>
            </w:r>
          </w:p>
        </w:tc>
      </w:tr>
      <w:tr w:rsidR="00D206ED" w14:paraId="2D730976" w14:textId="77777777" w:rsidTr="00D206ED">
        <w:trPr>
          <w:trHeight w:val="438"/>
        </w:trPr>
        <w:tc>
          <w:tcPr>
            <w:tcW w:w="3066" w:type="dxa"/>
          </w:tcPr>
          <w:p w14:paraId="09C3A2C0" w14:textId="71D18CF6" w:rsidR="00D206ED" w:rsidRPr="00852638" w:rsidRDefault="00D206ED" w:rsidP="005B59EC">
            <w:pPr>
              <w:spacing w:line="480" w:lineRule="auto"/>
              <w:jc w:val="both"/>
              <w:rPr>
                <w:rFonts w:asciiTheme="minorHAnsi" w:hAnsiTheme="minorHAnsi" w:cstheme="minorHAnsi"/>
              </w:rPr>
            </w:pPr>
            <w:r w:rsidRPr="00852638">
              <w:rPr>
                <w:rFonts w:asciiTheme="minorHAnsi" w:hAnsiTheme="minorHAnsi" w:cstheme="minorHAnsi"/>
              </w:rPr>
              <w:t>Pancreatic fat (%)</w:t>
            </w:r>
          </w:p>
        </w:tc>
        <w:tc>
          <w:tcPr>
            <w:tcW w:w="2032" w:type="dxa"/>
          </w:tcPr>
          <w:p w14:paraId="31475F4A" w14:textId="5D16173B" w:rsidR="00D206ED" w:rsidRPr="00852638" w:rsidRDefault="0017234E" w:rsidP="005B59EC">
            <w:pPr>
              <w:spacing w:line="480" w:lineRule="auto"/>
              <w:jc w:val="both"/>
              <w:rPr>
                <w:rFonts w:asciiTheme="minorHAnsi" w:hAnsiTheme="minorHAnsi" w:cstheme="minorHAnsi"/>
              </w:rPr>
            </w:pPr>
            <w:r>
              <w:rPr>
                <w:rFonts w:asciiTheme="minorHAnsi" w:hAnsiTheme="minorHAnsi" w:cstheme="minorHAnsi"/>
              </w:rPr>
              <w:t>5 [3-9]</w:t>
            </w:r>
          </w:p>
        </w:tc>
        <w:tc>
          <w:tcPr>
            <w:tcW w:w="2188" w:type="dxa"/>
          </w:tcPr>
          <w:p w14:paraId="0C1443A7" w14:textId="0CBB5529" w:rsidR="00D206ED" w:rsidRPr="00852638" w:rsidRDefault="0017234E" w:rsidP="005B59EC">
            <w:pPr>
              <w:spacing w:line="480" w:lineRule="auto"/>
              <w:jc w:val="both"/>
              <w:rPr>
                <w:rFonts w:asciiTheme="minorHAnsi" w:hAnsiTheme="minorHAnsi" w:cstheme="minorHAnsi"/>
              </w:rPr>
            </w:pPr>
            <w:r>
              <w:rPr>
                <w:rFonts w:asciiTheme="minorHAnsi" w:hAnsiTheme="minorHAnsi" w:cstheme="minorHAnsi"/>
              </w:rPr>
              <w:t>5 [3-8]</w:t>
            </w:r>
          </w:p>
        </w:tc>
        <w:tc>
          <w:tcPr>
            <w:tcW w:w="1933" w:type="dxa"/>
          </w:tcPr>
          <w:p w14:paraId="287D0565" w14:textId="58789F80" w:rsidR="00D206ED" w:rsidRPr="00852638" w:rsidRDefault="0017234E" w:rsidP="005B59EC">
            <w:pPr>
              <w:spacing w:line="480" w:lineRule="auto"/>
              <w:jc w:val="both"/>
              <w:rPr>
                <w:rFonts w:asciiTheme="minorHAnsi" w:hAnsiTheme="minorHAnsi" w:cstheme="minorHAnsi"/>
              </w:rPr>
            </w:pPr>
            <w:r>
              <w:rPr>
                <w:rFonts w:asciiTheme="minorHAnsi" w:hAnsiTheme="minorHAnsi" w:cstheme="minorHAnsi"/>
              </w:rPr>
              <w:t>0.6</w:t>
            </w:r>
          </w:p>
        </w:tc>
      </w:tr>
      <w:tr w:rsidR="00D206ED" w14:paraId="66BCE37F" w14:textId="77777777" w:rsidTr="00D206ED">
        <w:trPr>
          <w:trHeight w:val="382"/>
        </w:trPr>
        <w:tc>
          <w:tcPr>
            <w:tcW w:w="3066" w:type="dxa"/>
          </w:tcPr>
          <w:p w14:paraId="0858F4CD" w14:textId="77777777" w:rsidR="00D206ED" w:rsidRPr="00C74CB1" w:rsidRDefault="00D206ED" w:rsidP="005B59EC">
            <w:pPr>
              <w:spacing w:line="480" w:lineRule="auto"/>
              <w:jc w:val="both"/>
              <w:rPr>
                <w:rFonts w:asciiTheme="minorHAnsi" w:hAnsiTheme="minorHAnsi" w:cstheme="minorHAnsi"/>
              </w:rPr>
            </w:pPr>
            <w:r w:rsidRPr="00C74CB1">
              <w:rPr>
                <w:rFonts w:asciiTheme="minorHAnsi" w:hAnsiTheme="minorHAnsi" w:cstheme="minorHAnsi"/>
              </w:rPr>
              <w:t>VAT (cm</w:t>
            </w:r>
            <w:r w:rsidRPr="00C74CB1">
              <w:rPr>
                <w:rFonts w:asciiTheme="minorHAnsi" w:hAnsiTheme="minorHAnsi" w:cstheme="minorHAnsi"/>
                <w:vertAlign w:val="superscript"/>
              </w:rPr>
              <w:t>2</w:t>
            </w:r>
            <w:r w:rsidRPr="00C74CB1">
              <w:rPr>
                <w:rFonts w:asciiTheme="minorHAnsi" w:hAnsiTheme="minorHAnsi" w:cstheme="minorHAnsi"/>
              </w:rPr>
              <w:t>)</w:t>
            </w:r>
          </w:p>
        </w:tc>
        <w:tc>
          <w:tcPr>
            <w:tcW w:w="2032" w:type="dxa"/>
          </w:tcPr>
          <w:p w14:paraId="57B40169" w14:textId="2B23942C" w:rsidR="00D206ED" w:rsidRPr="00C74CB1" w:rsidRDefault="0017234E" w:rsidP="005B59EC">
            <w:pPr>
              <w:spacing w:line="480" w:lineRule="auto"/>
              <w:jc w:val="both"/>
              <w:rPr>
                <w:rFonts w:asciiTheme="minorHAnsi" w:hAnsiTheme="minorHAnsi" w:cstheme="minorHAnsi"/>
              </w:rPr>
            </w:pPr>
            <w:r>
              <w:rPr>
                <w:rFonts w:asciiTheme="minorHAnsi" w:hAnsiTheme="minorHAnsi" w:cstheme="minorHAnsi"/>
              </w:rPr>
              <w:t>238 [173-307]</w:t>
            </w:r>
          </w:p>
        </w:tc>
        <w:tc>
          <w:tcPr>
            <w:tcW w:w="2188" w:type="dxa"/>
          </w:tcPr>
          <w:p w14:paraId="50571437" w14:textId="5F30D64F" w:rsidR="00D206ED" w:rsidRDefault="0017234E" w:rsidP="005B59EC">
            <w:pPr>
              <w:spacing w:line="480" w:lineRule="auto"/>
              <w:jc w:val="both"/>
              <w:rPr>
                <w:rFonts w:asciiTheme="minorHAnsi" w:hAnsiTheme="minorHAnsi" w:cstheme="minorHAnsi"/>
              </w:rPr>
            </w:pPr>
            <w:r>
              <w:rPr>
                <w:rFonts w:asciiTheme="minorHAnsi" w:hAnsiTheme="minorHAnsi" w:cstheme="minorHAnsi"/>
              </w:rPr>
              <w:t>215 [149-279]</w:t>
            </w:r>
          </w:p>
        </w:tc>
        <w:tc>
          <w:tcPr>
            <w:tcW w:w="1933" w:type="dxa"/>
          </w:tcPr>
          <w:p w14:paraId="478BF8CE" w14:textId="7BF40744" w:rsidR="00D206ED" w:rsidRDefault="0017234E" w:rsidP="005B59EC">
            <w:pPr>
              <w:spacing w:line="480" w:lineRule="auto"/>
              <w:jc w:val="both"/>
              <w:rPr>
                <w:rFonts w:asciiTheme="minorHAnsi" w:hAnsiTheme="minorHAnsi" w:cstheme="minorHAnsi"/>
              </w:rPr>
            </w:pPr>
            <w:r>
              <w:rPr>
                <w:rFonts w:asciiTheme="minorHAnsi" w:hAnsiTheme="minorHAnsi" w:cstheme="minorHAnsi"/>
              </w:rPr>
              <w:t>0.065</w:t>
            </w:r>
          </w:p>
        </w:tc>
      </w:tr>
      <w:tr w:rsidR="00D206ED" w14:paraId="3C4C5B84" w14:textId="77777777" w:rsidTr="00D206ED">
        <w:trPr>
          <w:trHeight w:val="393"/>
        </w:trPr>
        <w:tc>
          <w:tcPr>
            <w:tcW w:w="3066" w:type="dxa"/>
          </w:tcPr>
          <w:p w14:paraId="7770791E" w14:textId="77777777" w:rsidR="00D206ED" w:rsidRPr="00C74CB1" w:rsidRDefault="00D206ED" w:rsidP="005B59EC">
            <w:pPr>
              <w:spacing w:line="480" w:lineRule="auto"/>
              <w:jc w:val="both"/>
              <w:rPr>
                <w:rFonts w:asciiTheme="minorHAnsi" w:hAnsiTheme="minorHAnsi" w:cstheme="minorHAnsi"/>
              </w:rPr>
            </w:pPr>
            <w:r w:rsidRPr="00C74CB1">
              <w:rPr>
                <w:rFonts w:asciiTheme="minorHAnsi" w:hAnsiTheme="minorHAnsi" w:cstheme="minorHAnsi"/>
              </w:rPr>
              <w:t>SAT (cm</w:t>
            </w:r>
            <w:r w:rsidRPr="00C74CB1">
              <w:rPr>
                <w:rFonts w:asciiTheme="minorHAnsi" w:hAnsiTheme="minorHAnsi" w:cstheme="minorHAnsi"/>
                <w:vertAlign w:val="superscript"/>
              </w:rPr>
              <w:t>2</w:t>
            </w:r>
            <w:r w:rsidRPr="00C74CB1">
              <w:rPr>
                <w:rFonts w:asciiTheme="minorHAnsi" w:hAnsiTheme="minorHAnsi" w:cstheme="minorHAnsi"/>
              </w:rPr>
              <w:t>)</w:t>
            </w:r>
          </w:p>
        </w:tc>
        <w:tc>
          <w:tcPr>
            <w:tcW w:w="2032" w:type="dxa"/>
          </w:tcPr>
          <w:p w14:paraId="30E36903" w14:textId="1659A94A" w:rsidR="00D206ED" w:rsidRPr="00C74CB1" w:rsidRDefault="0017234E" w:rsidP="005B59EC">
            <w:pPr>
              <w:spacing w:line="480" w:lineRule="auto"/>
              <w:jc w:val="both"/>
              <w:rPr>
                <w:rFonts w:asciiTheme="minorHAnsi" w:hAnsiTheme="minorHAnsi" w:cstheme="minorHAnsi"/>
              </w:rPr>
            </w:pPr>
            <w:r>
              <w:rPr>
                <w:rFonts w:asciiTheme="minorHAnsi" w:hAnsiTheme="minorHAnsi" w:cstheme="minorHAnsi"/>
              </w:rPr>
              <w:t>249 [180-322]</w:t>
            </w:r>
          </w:p>
        </w:tc>
        <w:tc>
          <w:tcPr>
            <w:tcW w:w="2188" w:type="dxa"/>
          </w:tcPr>
          <w:p w14:paraId="7C25CEA5" w14:textId="7C239EBA" w:rsidR="00D206ED" w:rsidRDefault="0017234E" w:rsidP="005B59EC">
            <w:pPr>
              <w:spacing w:line="480" w:lineRule="auto"/>
              <w:jc w:val="both"/>
              <w:rPr>
                <w:rFonts w:asciiTheme="minorHAnsi" w:hAnsiTheme="minorHAnsi" w:cstheme="minorHAnsi"/>
              </w:rPr>
            </w:pPr>
            <w:r>
              <w:rPr>
                <w:rFonts w:asciiTheme="minorHAnsi" w:hAnsiTheme="minorHAnsi" w:cstheme="minorHAnsi"/>
              </w:rPr>
              <w:t>271 [181-366]</w:t>
            </w:r>
          </w:p>
        </w:tc>
        <w:tc>
          <w:tcPr>
            <w:tcW w:w="1933" w:type="dxa"/>
          </w:tcPr>
          <w:p w14:paraId="4300818B" w14:textId="0FA10332" w:rsidR="00D206ED" w:rsidRDefault="0017234E" w:rsidP="005B59EC">
            <w:pPr>
              <w:spacing w:line="480" w:lineRule="auto"/>
              <w:jc w:val="both"/>
              <w:rPr>
                <w:rFonts w:asciiTheme="minorHAnsi" w:hAnsiTheme="minorHAnsi" w:cstheme="minorHAnsi"/>
              </w:rPr>
            </w:pPr>
            <w:r>
              <w:rPr>
                <w:rFonts w:asciiTheme="minorHAnsi" w:hAnsiTheme="minorHAnsi" w:cstheme="minorHAnsi"/>
              </w:rPr>
              <w:t>0.3</w:t>
            </w:r>
          </w:p>
        </w:tc>
      </w:tr>
      <w:tr w:rsidR="00AE45CC" w14:paraId="0FDB6EEF" w14:textId="77777777" w:rsidTr="00D206ED">
        <w:trPr>
          <w:trHeight w:val="393"/>
        </w:trPr>
        <w:tc>
          <w:tcPr>
            <w:tcW w:w="3066" w:type="dxa"/>
          </w:tcPr>
          <w:p w14:paraId="257D1BAA" w14:textId="78CE4855" w:rsidR="00AE45CC" w:rsidRPr="00C74CB1" w:rsidRDefault="00AE45CC" w:rsidP="005B59EC">
            <w:pPr>
              <w:spacing w:line="480" w:lineRule="auto"/>
              <w:jc w:val="both"/>
              <w:rPr>
                <w:rFonts w:asciiTheme="minorHAnsi" w:hAnsiTheme="minorHAnsi" w:cstheme="minorHAnsi"/>
              </w:rPr>
            </w:pPr>
            <w:r>
              <w:rPr>
                <w:rFonts w:asciiTheme="minorHAnsi" w:hAnsiTheme="minorHAnsi" w:cstheme="minorHAnsi"/>
              </w:rPr>
              <w:t>VAT/SAT ratio</w:t>
            </w:r>
          </w:p>
        </w:tc>
        <w:tc>
          <w:tcPr>
            <w:tcW w:w="2032" w:type="dxa"/>
          </w:tcPr>
          <w:p w14:paraId="4B9B1629" w14:textId="494DD49E" w:rsidR="00AE45CC" w:rsidRDefault="00AE45CC" w:rsidP="005B59EC">
            <w:pPr>
              <w:spacing w:line="480" w:lineRule="auto"/>
              <w:jc w:val="both"/>
              <w:rPr>
                <w:rFonts w:asciiTheme="minorHAnsi" w:hAnsiTheme="minorHAnsi" w:cstheme="minorHAnsi"/>
              </w:rPr>
            </w:pPr>
            <w:r>
              <w:rPr>
                <w:rFonts w:asciiTheme="minorHAnsi" w:hAnsiTheme="minorHAnsi" w:cstheme="minorHAnsi"/>
              </w:rPr>
              <w:t>0.90 [0.58-1.33]</w:t>
            </w:r>
          </w:p>
        </w:tc>
        <w:tc>
          <w:tcPr>
            <w:tcW w:w="2188" w:type="dxa"/>
          </w:tcPr>
          <w:p w14:paraId="17ADEEBA" w14:textId="18EFF688" w:rsidR="00AE45CC" w:rsidRDefault="00AE45CC" w:rsidP="005B59EC">
            <w:pPr>
              <w:spacing w:line="480" w:lineRule="auto"/>
              <w:jc w:val="both"/>
              <w:rPr>
                <w:rFonts w:asciiTheme="minorHAnsi" w:hAnsiTheme="minorHAnsi" w:cstheme="minorHAnsi"/>
              </w:rPr>
            </w:pPr>
            <w:r>
              <w:rPr>
                <w:rFonts w:asciiTheme="minorHAnsi" w:hAnsiTheme="minorHAnsi" w:cstheme="minorHAnsi"/>
              </w:rPr>
              <w:t>0.79 [0.57-1.15]</w:t>
            </w:r>
          </w:p>
        </w:tc>
        <w:tc>
          <w:tcPr>
            <w:tcW w:w="1933" w:type="dxa"/>
          </w:tcPr>
          <w:p w14:paraId="06AC0228" w14:textId="14F00CB6" w:rsidR="00AE45CC" w:rsidRDefault="00AE45CC" w:rsidP="005B59EC">
            <w:pPr>
              <w:spacing w:line="480" w:lineRule="auto"/>
              <w:jc w:val="both"/>
              <w:rPr>
                <w:rFonts w:asciiTheme="minorHAnsi" w:hAnsiTheme="minorHAnsi" w:cstheme="minorHAnsi"/>
              </w:rPr>
            </w:pPr>
            <w:r>
              <w:rPr>
                <w:rFonts w:asciiTheme="minorHAnsi" w:hAnsiTheme="minorHAnsi" w:cstheme="minorHAnsi"/>
              </w:rPr>
              <w:t>0.034</w:t>
            </w:r>
          </w:p>
        </w:tc>
      </w:tr>
      <w:tr w:rsidR="00D206ED" w14:paraId="50BEEF11" w14:textId="77777777" w:rsidTr="00D206ED">
        <w:trPr>
          <w:trHeight w:val="393"/>
        </w:trPr>
        <w:tc>
          <w:tcPr>
            <w:tcW w:w="3066" w:type="dxa"/>
          </w:tcPr>
          <w:p w14:paraId="585FB24A" w14:textId="77777777" w:rsidR="00D206ED" w:rsidRPr="00C74CB1" w:rsidRDefault="00D206ED" w:rsidP="005B59EC">
            <w:pPr>
              <w:spacing w:line="480" w:lineRule="auto"/>
              <w:jc w:val="both"/>
              <w:rPr>
                <w:rFonts w:asciiTheme="minorHAnsi" w:hAnsiTheme="minorHAnsi" w:cstheme="minorHAnsi"/>
              </w:rPr>
            </w:pPr>
            <w:r w:rsidRPr="00C74CB1">
              <w:rPr>
                <w:rFonts w:asciiTheme="minorHAnsi" w:hAnsiTheme="minorHAnsi" w:cstheme="minorHAnsi"/>
              </w:rPr>
              <w:t>SMI (cm</w:t>
            </w:r>
            <w:r w:rsidRPr="00C74CB1">
              <w:rPr>
                <w:rFonts w:asciiTheme="minorHAnsi" w:hAnsiTheme="minorHAnsi" w:cstheme="minorHAnsi"/>
                <w:vertAlign w:val="superscript"/>
              </w:rPr>
              <w:t>2</w:t>
            </w:r>
            <w:r w:rsidRPr="00C74CB1">
              <w:rPr>
                <w:rFonts w:asciiTheme="minorHAnsi" w:hAnsiTheme="minorHAnsi" w:cstheme="minorHAnsi"/>
              </w:rPr>
              <w:t>/m</w:t>
            </w:r>
            <w:r w:rsidRPr="00C74CB1">
              <w:rPr>
                <w:rFonts w:asciiTheme="minorHAnsi" w:hAnsiTheme="minorHAnsi" w:cstheme="minorHAnsi"/>
                <w:vertAlign w:val="superscript"/>
              </w:rPr>
              <w:t>2</w:t>
            </w:r>
            <w:r w:rsidRPr="00C74CB1">
              <w:rPr>
                <w:rFonts w:asciiTheme="minorHAnsi" w:hAnsiTheme="minorHAnsi" w:cstheme="minorHAnsi"/>
              </w:rPr>
              <w:t>)</w:t>
            </w:r>
          </w:p>
        </w:tc>
        <w:tc>
          <w:tcPr>
            <w:tcW w:w="2032" w:type="dxa"/>
          </w:tcPr>
          <w:p w14:paraId="6A47AAD4" w14:textId="0960BE35" w:rsidR="00D206ED" w:rsidRPr="00C74CB1" w:rsidRDefault="0017234E" w:rsidP="005B59EC">
            <w:pPr>
              <w:spacing w:line="480" w:lineRule="auto"/>
              <w:jc w:val="both"/>
              <w:rPr>
                <w:rFonts w:asciiTheme="minorHAnsi" w:hAnsiTheme="minorHAnsi" w:cstheme="minorHAnsi"/>
              </w:rPr>
            </w:pPr>
            <w:r>
              <w:rPr>
                <w:rFonts w:asciiTheme="minorHAnsi" w:hAnsiTheme="minorHAnsi" w:cstheme="minorHAnsi"/>
              </w:rPr>
              <w:t>49 [42-56]</w:t>
            </w:r>
          </w:p>
        </w:tc>
        <w:tc>
          <w:tcPr>
            <w:tcW w:w="2188" w:type="dxa"/>
          </w:tcPr>
          <w:p w14:paraId="484B4F94" w14:textId="21242927" w:rsidR="00D206ED" w:rsidRDefault="0017234E" w:rsidP="005B59EC">
            <w:pPr>
              <w:spacing w:line="480" w:lineRule="auto"/>
              <w:jc w:val="both"/>
              <w:rPr>
                <w:rFonts w:asciiTheme="minorHAnsi" w:hAnsiTheme="minorHAnsi" w:cstheme="minorHAnsi"/>
              </w:rPr>
            </w:pPr>
            <w:r>
              <w:rPr>
                <w:rFonts w:asciiTheme="minorHAnsi" w:hAnsiTheme="minorHAnsi" w:cstheme="minorHAnsi"/>
              </w:rPr>
              <w:t>51 [43-56]</w:t>
            </w:r>
          </w:p>
        </w:tc>
        <w:tc>
          <w:tcPr>
            <w:tcW w:w="1933" w:type="dxa"/>
          </w:tcPr>
          <w:p w14:paraId="57502B86" w14:textId="0FA7C74A" w:rsidR="00D206ED" w:rsidRDefault="0017234E" w:rsidP="005B59EC">
            <w:pPr>
              <w:spacing w:line="480" w:lineRule="auto"/>
              <w:jc w:val="both"/>
              <w:rPr>
                <w:rFonts w:asciiTheme="minorHAnsi" w:hAnsiTheme="minorHAnsi" w:cstheme="minorHAnsi"/>
              </w:rPr>
            </w:pPr>
            <w:r>
              <w:rPr>
                <w:rFonts w:asciiTheme="minorHAnsi" w:hAnsiTheme="minorHAnsi" w:cstheme="minorHAnsi"/>
              </w:rPr>
              <w:t>0.6</w:t>
            </w:r>
          </w:p>
        </w:tc>
      </w:tr>
      <w:tr w:rsidR="00D206ED" w14:paraId="0A605169" w14:textId="77777777" w:rsidTr="00D206ED">
        <w:trPr>
          <w:trHeight w:val="331"/>
        </w:trPr>
        <w:tc>
          <w:tcPr>
            <w:tcW w:w="3066" w:type="dxa"/>
          </w:tcPr>
          <w:p w14:paraId="7B5B664C" w14:textId="77777777" w:rsidR="00D206ED" w:rsidRPr="00C74CB1" w:rsidRDefault="00D206ED" w:rsidP="005B59EC">
            <w:pPr>
              <w:spacing w:line="480" w:lineRule="auto"/>
              <w:jc w:val="both"/>
              <w:rPr>
                <w:rFonts w:asciiTheme="minorHAnsi" w:hAnsiTheme="minorHAnsi" w:cstheme="minorHAnsi"/>
              </w:rPr>
            </w:pPr>
            <w:r w:rsidRPr="00C74CB1">
              <w:rPr>
                <w:rFonts w:asciiTheme="minorHAnsi" w:hAnsiTheme="minorHAnsi" w:cstheme="minorHAnsi"/>
              </w:rPr>
              <w:t>NASH (n of participants [%])</w:t>
            </w:r>
          </w:p>
        </w:tc>
        <w:tc>
          <w:tcPr>
            <w:tcW w:w="2032" w:type="dxa"/>
          </w:tcPr>
          <w:p w14:paraId="7C707A80" w14:textId="0D69B697" w:rsidR="00D206ED" w:rsidRPr="0096531C" w:rsidRDefault="0054470F" w:rsidP="005B59EC">
            <w:pPr>
              <w:spacing w:line="480" w:lineRule="auto"/>
              <w:jc w:val="both"/>
              <w:rPr>
                <w:rFonts w:asciiTheme="minorHAnsi" w:hAnsiTheme="minorHAnsi" w:cstheme="minorHAnsi"/>
              </w:rPr>
            </w:pPr>
            <w:r>
              <w:rPr>
                <w:rFonts w:asciiTheme="minorHAnsi" w:hAnsiTheme="minorHAnsi" w:cstheme="minorHAnsi"/>
              </w:rPr>
              <w:t>69 (31%)</w:t>
            </w:r>
          </w:p>
        </w:tc>
        <w:tc>
          <w:tcPr>
            <w:tcW w:w="2188" w:type="dxa"/>
          </w:tcPr>
          <w:p w14:paraId="5A8FCF48" w14:textId="1BB84517" w:rsidR="00D206ED" w:rsidRPr="0096531C" w:rsidRDefault="0054470F" w:rsidP="005B59EC">
            <w:pPr>
              <w:spacing w:line="480" w:lineRule="auto"/>
              <w:jc w:val="both"/>
              <w:rPr>
                <w:rFonts w:asciiTheme="minorHAnsi" w:hAnsiTheme="minorHAnsi" w:cstheme="minorHAnsi"/>
              </w:rPr>
            </w:pPr>
            <w:r>
              <w:rPr>
                <w:rFonts w:asciiTheme="minorHAnsi" w:hAnsiTheme="minorHAnsi" w:cstheme="minorHAnsi"/>
              </w:rPr>
              <w:t>13 (9%)</w:t>
            </w:r>
          </w:p>
        </w:tc>
        <w:tc>
          <w:tcPr>
            <w:tcW w:w="1933" w:type="dxa"/>
          </w:tcPr>
          <w:p w14:paraId="635A5FEA" w14:textId="29472277" w:rsidR="00D206ED" w:rsidRPr="00C44D3F" w:rsidRDefault="0054470F" w:rsidP="005B59EC">
            <w:pPr>
              <w:spacing w:line="480" w:lineRule="auto"/>
              <w:jc w:val="both"/>
              <w:rPr>
                <w:rFonts w:asciiTheme="minorHAnsi" w:hAnsiTheme="minorHAnsi" w:cstheme="minorHAnsi"/>
                <w:b/>
                <w:bCs/>
              </w:rPr>
            </w:pPr>
            <w:r w:rsidRPr="00C44D3F">
              <w:rPr>
                <w:rFonts w:asciiTheme="minorHAnsi" w:hAnsiTheme="minorHAnsi" w:cstheme="minorHAnsi"/>
                <w:b/>
                <w:bCs/>
              </w:rPr>
              <w:t>&lt;0.001</w:t>
            </w:r>
          </w:p>
        </w:tc>
      </w:tr>
    </w:tbl>
    <w:p w14:paraId="742BCD6A" w14:textId="77777777" w:rsidR="00210F36" w:rsidRDefault="00210F36" w:rsidP="003860D5">
      <w:pPr>
        <w:rPr>
          <w:rFonts w:asciiTheme="minorHAnsi" w:hAnsiTheme="minorHAnsi" w:cstheme="minorBidi"/>
        </w:rPr>
      </w:pPr>
    </w:p>
    <w:p w14:paraId="1C1796AC" w14:textId="7654866A" w:rsidR="00210F36" w:rsidRDefault="00210F36">
      <w:pPr>
        <w:rPr>
          <w:rFonts w:asciiTheme="minorHAnsi" w:hAnsiTheme="minorHAnsi" w:cstheme="minorBidi"/>
        </w:rPr>
      </w:pPr>
      <w:r>
        <w:rPr>
          <w:rFonts w:asciiTheme="minorHAnsi" w:hAnsiTheme="minorHAnsi" w:cstheme="minorBidi"/>
        </w:rPr>
        <w:br w:type="page"/>
      </w:r>
    </w:p>
    <w:p w14:paraId="517DF358" w14:textId="77777777" w:rsidR="00767710" w:rsidRDefault="00767710" w:rsidP="004405A2">
      <w:pPr>
        <w:spacing w:line="480" w:lineRule="auto"/>
        <w:jc w:val="both"/>
        <w:rPr>
          <w:rFonts w:asciiTheme="minorHAnsi" w:hAnsiTheme="minorHAnsi" w:cstheme="minorBidi"/>
          <w:b/>
        </w:rPr>
        <w:sectPr w:rsidR="00767710" w:rsidSect="00F05B09">
          <w:footerReference w:type="even" r:id="rId11"/>
          <w:footerReference w:type="default" r:id="rId12"/>
          <w:pgSz w:w="11900" w:h="16840"/>
          <w:pgMar w:top="1440" w:right="1440" w:bottom="1440" w:left="1440" w:header="708" w:footer="708" w:gutter="0"/>
          <w:lnNumType w:countBy="1" w:restart="continuous"/>
          <w:cols w:space="708"/>
          <w:docGrid w:linePitch="360"/>
        </w:sectPr>
      </w:pPr>
    </w:p>
    <w:p w14:paraId="6BE7CE8D" w14:textId="4822C37A" w:rsidR="004405A2" w:rsidRDefault="004405A2" w:rsidP="004405A2">
      <w:pPr>
        <w:spacing w:line="480" w:lineRule="auto"/>
        <w:jc w:val="both"/>
        <w:rPr>
          <w:rFonts w:asciiTheme="minorHAnsi" w:hAnsiTheme="minorHAnsi" w:cstheme="minorBidi"/>
        </w:rPr>
      </w:pPr>
      <w:r w:rsidRPr="700688C2">
        <w:rPr>
          <w:rFonts w:asciiTheme="minorHAnsi" w:hAnsiTheme="minorHAnsi" w:cstheme="minorBidi"/>
          <w:b/>
        </w:rPr>
        <w:lastRenderedPageBreak/>
        <w:t>Table 2.</w:t>
      </w:r>
      <w:r w:rsidRPr="700688C2">
        <w:rPr>
          <w:rFonts w:asciiTheme="minorHAnsi" w:hAnsiTheme="minorHAnsi" w:cstheme="minorBidi"/>
        </w:rPr>
        <w:t xml:space="preserve"> Probability of NASH (%) under different </w:t>
      </w:r>
      <w:r>
        <w:rPr>
          <w:rFonts w:asciiTheme="minorHAnsi" w:hAnsiTheme="minorHAnsi" w:cstheme="minorBidi"/>
        </w:rPr>
        <w:t>variable settings</w:t>
      </w:r>
      <w:r w:rsidRPr="700688C2">
        <w:rPr>
          <w:rFonts w:asciiTheme="minorHAnsi" w:hAnsiTheme="minorHAnsi" w:cstheme="minorBidi"/>
        </w:rPr>
        <w:t xml:space="preserve"> in the </w:t>
      </w:r>
      <w:r w:rsidR="00D206ED">
        <w:rPr>
          <w:rFonts w:asciiTheme="minorHAnsi" w:hAnsiTheme="minorHAnsi" w:cstheme="minorBidi"/>
        </w:rPr>
        <w:t>T2D</w:t>
      </w:r>
      <w:r w:rsidRPr="700688C2">
        <w:rPr>
          <w:rFonts w:asciiTheme="minorHAnsi" w:hAnsiTheme="minorHAnsi" w:cstheme="minorBidi"/>
        </w:rPr>
        <w:t xml:space="preserve"> and </w:t>
      </w:r>
      <w:r w:rsidR="00D206ED">
        <w:rPr>
          <w:rFonts w:asciiTheme="minorHAnsi" w:hAnsiTheme="minorHAnsi" w:cstheme="minorBidi"/>
        </w:rPr>
        <w:t>non-T2D</w:t>
      </w:r>
      <w:r w:rsidRPr="700688C2">
        <w:rPr>
          <w:rFonts w:asciiTheme="minorHAnsi" w:hAnsiTheme="minorHAnsi" w:cstheme="minorBidi"/>
        </w:rPr>
        <w:t xml:space="preserve"> cohorts.</w:t>
      </w:r>
    </w:p>
    <w:tbl>
      <w:tblPr>
        <w:tblStyle w:val="TableGrid"/>
        <w:tblW w:w="12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056"/>
        <w:gridCol w:w="3057"/>
      </w:tblGrid>
      <w:tr w:rsidR="00767710" w14:paraId="0F37E320" w14:textId="77777777" w:rsidTr="00D34133">
        <w:trPr>
          <w:trHeight w:val="298"/>
        </w:trPr>
        <w:tc>
          <w:tcPr>
            <w:tcW w:w="6237" w:type="dxa"/>
            <w:tcBorders>
              <w:top w:val="single" w:sz="4" w:space="0" w:color="auto"/>
            </w:tcBorders>
          </w:tcPr>
          <w:p w14:paraId="5313B8CF" w14:textId="77777777" w:rsidR="004405A2" w:rsidRPr="008A7ABD" w:rsidRDefault="004405A2" w:rsidP="00D34133">
            <w:pPr>
              <w:spacing w:line="360" w:lineRule="auto"/>
              <w:jc w:val="center"/>
              <w:rPr>
                <w:rFonts w:asciiTheme="minorHAnsi" w:hAnsiTheme="minorHAnsi" w:cstheme="minorHAnsi"/>
                <w:b/>
                <w:bCs/>
              </w:rPr>
            </w:pPr>
            <w:r>
              <w:rPr>
                <w:rFonts w:asciiTheme="minorHAnsi" w:hAnsiTheme="minorHAnsi" w:cstheme="minorHAnsi"/>
                <w:b/>
                <w:bCs/>
              </w:rPr>
              <w:t>Biomarker</w:t>
            </w:r>
          </w:p>
        </w:tc>
        <w:tc>
          <w:tcPr>
            <w:tcW w:w="6113" w:type="dxa"/>
            <w:gridSpan w:val="2"/>
            <w:tcBorders>
              <w:top w:val="single" w:sz="4" w:space="0" w:color="auto"/>
            </w:tcBorders>
          </w:tcPr>
          <w:p w14:paraId="36A5BC5C" w14:textId="77777777" w:rsidR="004405A2" w:rsidRPr="008A7ABD" w:rsidRDefault="004405A2" w:rsidP="00D34133">
            <w:pPr>
              <w:spacing w:line="360" w:lineRule="auto"/>
              <w:jc w:val="center"/>
              <w:rPr>
                <w:rFonts w:asciiTheme="minorHAnsi" w:hAnsiTheme="minorHAnsi" w:cstheme="minorHAnsi"/>
                <w:b/>
                <w:bCs/>
              </w:rPr>
            </w:pPr>
            <w:r w:rsidRPr="008A7ABD">
              <w:rPr>
                <w:rFonts w:asciiTheme="minorHAnsi" w:hAnsiTheme="minorHAnsi" w:cstheme="minorHAnsi"/>
                <w:b/>
                <w:bCs/>
              </w:rPr>
              <w:t>Cohort</w:t>
            </w:r>
          </w:p>
        </w:tc>
      </w:tr>
      <w:tr w:rsidR="00767710" w14:paraId="2E5D2F7E" w14:textId="77777777" w:rsidTr="00D34133">
        <w:trPr>
          <w:trHeight w:val="196"/>
        </w:trPr>
        <w:tc>
          <w:tcPr>
            <w:tcW w:w="6237" w:type="dxa"/>
            <w:tcBorders>
              <w:bottom w:val="single" w:sz="4" w:space="0" w:color="auto"/>
            </w:tcBorders>
          </w:tcPr>
          <w:p w14:paraId="6E1103F6" w14:textId="77777777" w:rsidR="004405A2" w:rsidRDefault="004405A2" w:rsidP="00D34133">
            <w:pPr>
              <w:spacing w:line="360" w:lineRule="auto"/>
              <w:jc w:val="both"/>
              <w:rPr>
                <w:rFonts w:asciiTheme="minorHAnsi" w:hAnsiTheme="minorHAnsi" w:cstheme="minorHAnsi"/>
              </w:rPr>
            </w:pPr>
          </w:p>
        </w:tc>
        <w:tc>
          <w:tcPr>
            <w:tcW w:w="3056" w:type="dxa"/>
            <w:tcBorders>
              <w:bottom w:val="single" w:sz="4" w:space="0" w:color="auto"/>
            </w:tcBorders>
          </w:tcPr>
          <w:p w14:paraId="1DD1DD32" w14:textId="085093ED" w:rsidR="004405A2" w:rsidRPr="00DC520A" w:rsidRDefault="00D206ED" w:rsidP="00D34133">
            <w:pPr>
              <w:spacing w:line="360" w:lineRule="auto"/>
              <w:jc w:val="center"/>
              <w:rPr>
                <w:rFonts w:asciiTheme="minorHAnsi" w:hAnsiTheme="minorHAnsi" w:cstheme="minorBidi"/>
                <w:b/>
              </w:rPr>
            </w:pPr>
            <w:r>
              <w:rPr>
                <w:rFonts w:asciiTheme="minorHAnsi" w:hAnsiTheme="minorHAnsi" w:cstheme="minorBidi"/>
                <w:b/>
              </w:rPr>
              <w:t>T2D</w:t>
            </w:r>
            <w:r w:rsidR="004405A2" w:rsidRPr="683E4DAE">
              <w:rPr>
                <w:rFonts w:asciiTheme="minorHAnsi" w:hAnsiTheme="minorHAnsi" w:cstheme="minorBidi"/>
                <w:b/>
              </w:rPr>
              <w:t xml:space="preserve"> (n = </w:t>
            </w:r>
            <w:r>
              <w:rPr>
                <w:rFonts w:asciiTheme="minorHAnsi" w:hAnsiTheme="minorHAnsi" w:cstheme="minorBidi"/>
                <w:b/>
              </w:rPr>
              <w:t>221</w:t>
            </w:r>
            <w:r w:rsidR="004405A2" w:rsidRPr="683E4DAE">
              <w:rPr>
                <w:rFonts w:asciiTheme="minorHAnsi" w:hAnsiTheme="minorHAnsi" w:cstheme="minorBidi"/>
                <w:b/>
              </w:rPr>
              <w:t>)</w:t>
            </w:r>
          </w:p>
        </w:tc>
        <w:tc>
          <w:tcPr>
            <w:tcW w:w="3057" w:type="dxa"/>
            <w:tcBorders>
              <w:bottom w:val="single" w:sz="4" w:space="0" w:color="auto"/>
            </w:tcBorders>
          </w:tcPr>
          <w:p w14:paraId="171F7F23" w14:textId="431AB19D" w:rsidR="004405A2" w:rsidRPr="00DC520A" w:rsidRDefault="00D206ED" w:rsidP="00D34133">
            <w:pPr>
              <w:spacing w:line="360" w:lineRule="auto"/>
              <w:jc w:val="center"/>
              <w:rPr>
                <w:rFonts w:asciiTheme="minorHAnsi" w:hAnsiTheme="minorHAnsi" w:cstheme="minorHAnsi"/>
                <w:b/>
                <w:bCs/>
              </w:rPr>
            </w:pPr>
            <w:r>
              <w:rPr>
                <w:rFonts w:asciiTheme="minorHAnsi" w:hAnsiTheme="minorHAnsi" w:cstheme="minorHAnsi"/>
                <w:b/>
                <w:bCs/>
              </w:rPr>
              <w:t>Non-T2D</w:t>
            </w:r>
            <w:r w:rsidR="004405A2">
              <w:rPr>
                <w:rFonts w:asciiTheme="minorHAnsi" w:hAnsiTheme="minorHAnsi" w:cstheme="minorHAnsi"/>
                <w:b/>
                <w:bCs/>
              </w:rPr>
              <w:t xml:space="preserve"> (n = </w:t>
            </w:r>
            <w:r>
              <w:rPr>
                <w:rFonts w:asciiTheme="minorHAnsi" w:hAnsiTheme="minorHAnsi" w:cstheme="minorHAnsi"/>
                <w:b/>
                <w:bCs/>
              </w:rPr>
              <w:t>135</w:t>
            </w:r>
            <w:r w:rsidR="004405A2">
              <w:rPr>
                <w:rFonts w:asciiTheme="minorHAnsi" w:hAnsiTheme="minorHAnsi" w:cstheme="minorHAnsi"/>
                <w:b/>
                <w:bCs/>
              </w:rPr>
              <w:t>)</w:t>
            </w:r>
          </w:p>
        </w:tc>
      </w:tr>
      <w:tr w:rsidR="004F7280" w14:paraId="5B009D4B" w14:textId="77777777" w:rsidTr="00D34133">
        <w:trPr>
          <w:trHeight w:val="116"/>
        </w:trPr>
        <w:tc>
          <w:tcPr>
            <w:tcW w:w="6237" w:type="dxa"/>
            <w:tcBorders>
              <w:top w:val="single" w:sz="4" w:space="0" w:color="auto"/>
            </w:tcBorders>
          </w:tcPr>
          <w:p w14:paraId="47F3BD14" w14:textId="77777777" w:rsidR="004405A2" w:rsidRPr="004F0A4F" w:rsidRDefault="004405A2" w:rsidP="00D34133">
            <w:pPr>
              <w:spacing w:line="360" w:lineRule="auto"/>
              <w:jc w:val="both"/>
              <w:rPr>
                <w:rFonts w:asciiTheme="minorHAnsi" w:hAnsiTheme="minorHAnsi" w:cstheme="minorHAnsi"/>
                <w:b/>
                <w:bCs/>
                <w:i/>
                <w:iCs/>
              </w:rPr>
            </w:pPr>
            <w:r w:rsidRPr="004F0A4F">
              <w:rPr>
                <w:rFonts w:asciiTheme="minorHAnsi" w:hAnsiTheme="minorHAnsi" w:cstheme="minorHAnsi"/>
                <w:b/>
                <w:bCs/>
                <w:i/>
                <w:iCs/>
              </w:rPr>
              <w:t>Obesity status (BMI)</w:t>
            </w:r>
          </w:p>
        </w:tc>
        <w:tc>
          <w:tcPr>
            <w:tcW w:w="3056" w:type="dxa"/>
            <w:tcBorders>
              <w:top w:val="single" w:sz="4" w:space="0" w:color="auto"/>
            </w:tcBorders>
          </w:tcPr>
          <w:p w14:paraId="6CA98CF8" w14:textId="77777777" w:rsidR="004405A2" w:rsidRDefault="004405A2" w:rsidP="00D34133">
            <w:pPr>
              <w:spacing w:line="360" w:lineRule="auto"/>
              <w:jc w:val="center"/>
              <w:rPr>
                <w:rFonts w:asciiTheme="minorHAnsi" w:hAnsiTheme="minorHAnsi" w:cstheme="minorHAnsi"/>
              </w:rPr>
            </w:pPr>
          </w:p>
        </w:tc>
        <w:tc>
          <w:tcPr>
            <w:tcW w:w="3057" w:type="dxa"/>
            <w:tcBorders>
              <w:top w:val="single" w:sz="4" w:space="0" w:color="auto"/>
            </w:tcBorders>
          </w:tcPr>
          <w:p w14:paraId="3F91E4BB" w14:textId="77777777" w:rsidR="004405A2" w:rsidRDefault="004405A2" w:rsidP="00D34133">
            <w:pPr>
              <w:spacing w:line="360" w:lineRule="auto"/>
              <w:jc w:val="center"/>
              <w:rPr>
                <w:rFonts w:asciiTheme="minorHAnsi" w:hAnsiTheme="minorHAnsi" w:cstheme="minorHAnsi"/>
              </w:rPr>
            </w:pPr>
          </w:p>
        </w:tc>
      </w:tr>
      <w:tr w:rsidR="00767710" w14:paraId="5B7F5AA5" w14:textId="77777777" w:rsidTr="00D34133">
        <w:trPr>
          <w:trHeight w:val="101"/>
        </w:trPr>
        <w:tc>
          <w:tcPr>
            <w:tcW w:w="6237" w:type="dxa"/>
          </w:tcPr>
          <w:p w14:paraId="419F2B66" w14:textId="77777777" w:rsidR="004405A2" w:rsidRPr="002400B9" w:rsidRDefault="004405A2" w:rsidP="00D34133">
            <w:pPr>
              <w:spacing w:line="276" w:lineRule="auto"/>
              <w:jc w:val="both"/>
              <w:rPr>
                <w:rFonts w:asciiTheme="minorHAnsi" w:hAnsiTheme="minorHAnsi" w:cstheme="minorHAnsi"/>
              </w:rPr>
            </w:pPr>
            <w:r>
              <w:rPr>
                <w:rFonts w:asciiTheme="minorHAnsi" w:hAnsiTheme="minorHAnsi" w:cstheme="minorHAnsi"/>
              </w:rPr>
              <w:t>Normal weight (&lt;25kg/m</w:t>
            </w:r>
            <w:r>
              <w:rPr>
                <w:rFonts w:asciiTheme="minorHAnsi" w:hAnsiTheme="minorHAnsi" w:cstheme="minorHAnsi"/>
                <w:vertAlign w:val="superscript"/>
              </w:rPr>
              <w:t>2</w:t>
            </w:r>
            <w:r>
              <w:rPr>
                <w:rFonts w:asciiTheme="minorHAnsi" w:hAnsiTheme="minorHAnsi" w:cstheme="minorHAnsi"/>
              </w:rPr>
              <w:t>)</w:t>
            </w:r>
          </w:p>
        </w:tc>
        <w:tc>
          <w:tcPr>
            <w:tcW w:w="3056" w:type="dxa"/>
          </w:tcPr>
          <w:p w14:paraId="1250CA24" w14:textId="19A82F03" w:rsidR="004405A2" w:rsidRDefault="00D206ED" w:rsidP="00D34133">
            <w:pPr>
              <w:spacing w:line="276" w:lineRule="auto"/>
              <w:jc w:val="center"/>
              <w:rPr>
                <w:rFonts w:asciiTheme="minorHAnsi" w:hAnsiTheme="minorHAnsi" w:cstheme="minorHAnsi"/>
              </w:rPr>
            </w:pPr>
            <w:r>
              <w:rPr>
                <w:rFonts w:asciiTheme="minorHAnsi" w:hAnsiTheme="minorHAnsi" w:cstheme="minorHAnsi"/>
              </w:rPr>
              <w:t>13%</w:t>
            </w:r>
          </w:p>
        </w:tc>
        <w:tc>
          <w:tcPr>
            <w:tcW w:w="3057" w:type="dxa"/>
          </w:tcPr>
          <w:p w14:paraId="406771A3" w14:textId="6A376AF8" w:rsidR="004405A2" w:rsidRDefault="00D206ED" w:rsidP="00D34133">
            <w:pPr>
              <w:spacing w:line="276" w:lineRule="auto"/>
              <w:jc w:val="center"/>
              <w:rPr>
                <w:rFonts w:asciiTheme="minorHAnsi" w:hAnsiTheme="minorHAnsi" w:cstheme="minorHAnsi"/>
              </w:rPr>
            </w:pPr>
            <w:r>
              <w:rPr>
                <w:rFonts w:asciiTheme="minorHAnsi" w:hAnsiTheme="minorHAnsi" w:cstheme="minorHAnsi"/>
              </w:rPr>
              <w:t>16%</w:t>
            </w:r>
          </w:p>
        </w:tc>
      </w:tr>
      <w:tr w:rsidR="00767710" w14:paraId="2E23989A" w14:textId="77777777" w:rsidTr="00D34133">
        <w:trPr>
          <w:trHeight w:val="227"/>
        </w:trPr>
        <w:tc>
          <w:tcPr>
            <w:tcW w:w="6237" w:type="dxa"/>
          </w:tcPr>
          <w:p w14:paraId="3FC56361" w14:textId="77777777" w:rsidR="004405A2" w:rsidRDefault="004405A2" w:rsidP="00D34133">
            <w:pPr>
              <w:spacing w:line="276" w:lineRule="auto"/>
              <w:jc w:val="both"/>
              <w:rPr>
                <w:rFonts w:asciiTheme="minorHAnsi" w:hAnsiTheme="minorHAnsi" w:cstheme="minorHAnsi"/>
              </w:rPr>
            </w:pPr>
            <w:r>
              <w:rPr>
                <w:rFonts w:asciiTheme="minorHAnsi" w:hAnsiTheme="minorHAnsi" w:cstheme="minorHAnsi"/>
              </w:rPr>
              <w:t>Overweight (25-30kg/m</w:t>
            </w:r>
            <w:r>
              <w:rPr>
                <w:rFonts w:asciiTheme="minorHAnsi" w:hAnsiTheme="minorHAnsi" w:cstheme="minorHAnsi"/>
                <w:vertAlign w:val="superscript"/>
              </w:rPr>
              <w:t>2</w:t>
            </w:r>
            <w:r>
              <w:rPr>
                <w:rFonts w:asciiTheme="minorHAnsi" w:hAnsiTheme="minorHAnsi" w:cstheme="minorHAnsi"/>
              </w:rPr>
              <w:t>)</w:t>
            </w:r>
          </w:p>
        </w:tc>
        <w:tc>
          <w:tcPr>
            <w:tcW w:w="3056" w:type="dxa"/>
          </w:tcPr>
          <w:p w14:paraId="1282483F" w14:textId="3169EAD2" w:rsidR="004405A2" w:rsidRDefault="00D206ED" w:rsidP="00D34133">
            <w:pPr>
              <w:spacing w:line="276" w:lineRule="auto"/>
              <w:jc w:val="center"/>
              <w:rPr>
                <w:rFonts w:asciiTheme="minorHAnsi" w:hAnsiTheme="minorHAnsi" w:cstheme="minorHAnsi"/>
              </w:rPr>
            </w:pPr>
            <w:r>
              <w:rPr>
                <w:rFonts w:asciiTheme="minorHAnsi" w:hAnsiTheme="minorHAnsi" w:cstheme="minorHAnsi"/>
              </w:rPr>
              <w:t>23%</w:t>
            </w:r>
          </w:p>
        </w:tc>
        <w:tc>
          <w:tcPr>
            <w:tcW w:w="3057" w:type="dxa"/>
          </w:tcPr>
          <w:p w14:paraId="2B1A61B8" w14:textId="67612773" w:rsidR="004405A2" w:rsidRDefault="00D206ED" w:rsidP="00D34133">
            <w:pPr>
              <w:spacing w:line="276" w:lineRule="auto"/>
              <w:jc w:val="center"/>
              <w:rPr>
                <w:rFonts w:asciiTheme="minorHAnsi" w:hAnsiTheme="minorHAnsi" w:cstheme="minorHAnsi"/>
              </w:rPr>
            </w:pPr>
            <w:r>
              <w:rPr>
                <w:rFonts w:asciiTheme="minorHAnsi" w:hAnsiTheme="minorHAnsi" w:cstheme="minorHAnsi"/>
              </w:rPr>
              <w:t>6%</w:t>
            </w:r>
          </w:p>
        </w:tc>
      </w:tr>
      <w:tr w:rsidR="00767710" w14:paraId="32D76F70" w14:textId="77777777" w:rsidTr="00D34133">
        <w:trPr>
          <w:trHeight w:val="363"/>
        </w:trPr>
        <w:tc>
          <w:tcPr>
            <w:tcW w:w="6237" w:type="dxa"/>
          </w:tcPr>
          <w:p w14:paraId="26A20DBC" w14:textId="77777777" w:rsidR="004405A2" w:rsidRDefault="004405A2" w:rsidP="00D34133">
            <w:pPr>
              <w:spacing w:line="276" w:lineRule="auto"/>
              <w:jc w:val="both"/>
              <w:rPr>
                <w:rFonts w:asciiTheme="minorHAnsi" w:hAnsiTheme="minorHAnsi" w:cstheme="minorHAnsi"/>
              </w:rPr>
            </w:pPr>
            <w:r>
              <w:rPr>
                <w:rFonts w:asciiTheme="minorHAnsi" w:hAnsiTheme="minorHAnsi" w:cstheme="minorHAnsi"/>
              </w:rPr>
              <w:t>Obese (30-40kg/m</w:t>
            </w:r>
            <w:r>
              <w:rPr>
                <w:rFonts w:asciiTheme="minorHAnsi" w:hAnsiTheme="minorHAnsi" w:cstheme="minorHAnsi"/>
                <w:vertAlign w:val="superscript"/>
              </w:rPr>
              <w:t>2</w:t>
            </w:r>
            <w:r>
              <w:rPr>
                <w:rFonts w:asciiTheme="minorHAnsi" w:hAnsiTheme="minorHAnsi" w:cstheme="minorHAnsi"/>
              </w:rPr>
              <w:t>)</w:t>
            </w:r>
          </w:p>
        </w:tc>
        <w:tc>
          <w:tcPr>
            <w:tcW w:w="3056" w:type="dxa"/>
          </w:tcPr>
          <w:p w14:paraId="31F5AB35" w14:textId="19015B0E" w:rsidR="004405A2" w:rsidRDefault="00D206ED" w:rsidP="00D34133">
            <w:pPr>
              <w:spacing w:line="276" w:lineRule="auto"/>
              <w:jc w:val="center"/>
              <w:rPr>
                <w:rFonts w:asciiTheme="minorHAnsi" w:hAnsiTheme="minorHAnsi" w:cstheme="minorHAnsi"/>
              </w:rPr>
            </w:pPr>
            <w:r>
              <w:rPr>
                <w:rFonts w:asciiTheme="minorHAnsi" w:hAnsiTheme="minorHAnsi" w:cstheme="minorHAnsi"/>
              </w:rPr>
              <w:t>36%</w:t>
            </w:r>
          </w:p>
        </w:tc>
        <w:tc>
          <w:tcPr>
            <w:tcW w:w="3057" w:type="dxa"/>
          </w:tcPr>
          <w:p w14:paraId="38B5D5CA" w14:textId="7BA4E871" w:rsidR="004405A2" w:rsidRDefault="00D206ED" w:rsidP="00D34133">
            <w:pPr>
              <w:spacing w:line="276" w:lineRule="auto"/>
              <w:jc w:val="center"/>
              <w:rPr>
                <w:rFonts w:asciiTheme="minorHAnsi" w:hAnsiTheme="minorHAnsi" w:cstheme="minorHAnsi"/>
              </w:rPr>
            </w:pPr>
            <w:r>
              <w:rPr>
                <w:rFonts w:asciiTheme="minorHAnsi" w:hAnsiTheme="minorHAnsi" w:cstheme="minorHAnsi"/>
              </w:rPr>
              <w:t>11%</w:t>
            </w:r>
          </w:p>
        </w:tc>
      </w:tr>
      <w:tr w:rsidR="00767710" w14:paraId="774AFABA" w14:textId="77777777" w:rsidTr="00D34133">
        <w:trPr>
          <w:trHeight w:val="401"/>
        </w:trPr>
        <w:tc>
          <w:tcPr>
            <w:tcW w:w="6237" w:type="dxa"/>
            <w:tcBorders>
              <w:bottom w:val="single" w:sz="4" w:space="0" w:color="auto"/>
            </w:tcBorders>
          </w:tcPr>
          <w:p w14:paraId="249CA71F" w14:textId="0DB3DED3" w:rsidR="004405A2" w:rsidRDefault="00634904" w:rsidP="00D34133">
            <w:pPr>
              <w:spacing w:line="276" w:lineRule="auto"/>
              <w:jc w:val="both"/>
              <w:rPr>
                <w:rFonts w:asciiTheme="minorHAnsi" w:hAnsiTheme="minorHAnsi" w:cstheme="minorHAnsi"/>
              </w:rPr>
            </w:pPr>
            <w:r>
              <w:rPr>
                <w:rFonts w:asciiTheme="minorHAnsi" w:hAnsiTheme="minorHAnsi" w:cstheme="minorHAnsi"/>
              </w:rPr>
              <w:t>Severe</w:t>
            </w:r>
            <w:r w:rsidR="004405A2">
              <w:rPr>
                <w:rFonts w:asciiTheme="minorHAnsi" w:hAnsiTheme="minorHAnsi" w:cstheme="minorHAnsi"/>
              </w:rPr>
              <w:t xml:space="preserve"> obesity</w:t>
            </w:r>
            <w:r w:rsidR="00767710">
              <w:rPr>
                <w:rFonts w:asciiTheme="minorHAnsi" w:hAnsiTheme="minorHAnsi" w:cstheme="minorHAnsi"/>
              </w:rPr>
              <w:t xml:space="preserve"> </w:t>
            </w:r>
            <w:r w:rsidR="004405A2">
              <w:rPr>
                <w:rFonts w:asciiTheme="minorHAnsi" w:hAnsiTheme="minorHAnsi" w:cstheme="minorHAnsi"/>
              </w:rPr>
              <w:t>(&gt;40kg/m</w:t>
            </w:r>
            <w:r w:rsidR="004405A2">
              <w:rPr>
                <w:rFonts w:asciiTheme="minorHAnsi" w:hAnsiTheme="minorHAnsi" w:cstheme="minorHAnsi"/>
                <w:vertAlign w:val="superscript"/>
              </w:rPr>
              <w:t>2</w:t>
            </w:r>
            <w:r w:rsidR="004405A2">
              <w:rPr>
                <w:rFonts w:asciiTheme="minorHAnsi" w:hAnsiTheme="minorHAnsi" w:cstheme="minorHAnsi"/>
              </w:rPr>
              <w:t>)</w:t>
            </w:r>
          </w:p>
        </w:tc>
        <w:tc>
          <w:tcPr>
            <w:tcW w:w="3056" w:type="dxa"/>
            <w:tcBorders>
              <w:bottom w:val="single" w:sz="4" w:space="0" w:color="auto"/>
            </w:tcBorders>
          </w:tcPr>
          <w:p w14:paraId="28C4174C" w14:textId="0DB5845D" w:rsidR="004405A2" w:rsidRDefault="00D206ED" w:rsidP="00D34133">
            <w:pPr>
              <w:spacing w:line="276" w:lineRule="auto"/>
              <w:jc w:val="center"/>
              <w:rPr>
                <w:rFonts w:asciiTheme="minorHAnsi" w:hAnsiTheme="minorHAnsi" w:cstheme="minorHAnsi"/>
              </w:rPr>
            </w:pPr>
            <w:r>
              <w:rPr>
                <w:rFonts w:asciiTheme="minorHAnsi" w:hAnsiTheme="minorHAnsi" w:cstheme="minorHAnsi"/>
              </w:rPr>
              <w:t>62%</w:t>
            </w:r>
          </w:p>
        </w:tc>
        <w:tc>
          <w:tcPr>
            <w:tcW w:w="3057" w:type="dxa"/>
            <w:tcBorders>
              <w:bottom w:val="single" w:sz="4" w:space="0" w:color="auto"/>
            </w:tcBorders>
          </w:tcPr>
          <w:p w14:paraId="05BE7995" w14:textId="6312B5F8" w:rsidR="004405A2" w:rsidRDefault="00D206ED" w:rsidP="00D34133">
            <w:pPr>
              <w:spacing w:line="276" w:lineRule="auto"/>
              <w:jc w:val="center"/>
              <w:rPr>
                <w:rFonts w:asciiTheme="minorHAnsi" w:hAnsiTheme="minorHAnsi" w:cstheme="minorHAnsi"/>
              </w:rPr>
            </w:pPr>
            <w:r>
              <w:rPr>
                <w:rFonts w:asciiTheme="minorHAnsi" w:hAnsiTheme="minorHAnsi" w:cstheme="minorHAnsi"/>
              </w:rPr>
              <w:t>30%</w:t>
            </w:r>
          </w:p>
        </w:tc>
      </w:tr>
      <w:tr w:rsidR="00767710" w14:paraId="61A047E8" w14:textId="77777777" w:rsidTr="00D34133">
        <w:trPr>
          <w:trHeight w:val="297"/>
        </w:trPr>
        <w:tc>
          <w:tcPr>
            <w:tcW w:w="6237" w:type="dxa"/>
            <w:tcBorders>
              <w:top w:val="single" w:sz="4" w:space="0" w:color="auto"/>
            </w:tcBorders>
          </w:tcPr>
          <w:p w14:paraId="1281BB37" w14:textId="77777777" w:rsidR="004405A2" w:rsidRPr="004F0A4F" w:rsidRDefault="004405A2" w:rsidP="00D34133">
            <w:pPr>
              <w:spacing w:line="276" w:lineRule="auto"/>
              <w:jc w:val="both"/>
              <w:rPr>
                <w:rFonts w:asciiTheme="minorHAnsi" w:hAnsiTheme="minorHAnsi" w:cstheme="minorHAnsi"/>
                <w:b/>
                <w:bCs/>
                <w:i/>
                <w:iCs/>
              </w:rPr>
            </w:pPr>
            <w:r>
              <w:rPr>
                <w:rFonts w:asciiTheme="minorHAnsi" w:hAnsiTheme="minorHAnsi" w:cstheme="minorHAnsi"/>
                <w:b/>
                <w:bCs/>
                <w:i/>
                <w:iCs/>
              </w:rPr>
              <w:t>Body composition &amp; f</w:t>
            </w:r>
            <w:r w:rsidRPr="004F0A4F">
              <w:rPr>
                <w:rFonts w:asciiTheme="minorHAnsi" w:hAnsiTheme="minorHAnsi" w:cstheme="minorHAnsi"/>
                <w:b/>
                <w:bCs/>
                <w:i/>
                <w:iCs/>
              </w:rPr>
              <w:t xml:space="preserve">at deposition </w:t>
            </w:r>
          </w:p>
        </w:tc>
        <w:tc>
          <w:tcPr>
            <w:tcW w:w="3056" w:type="dxa"/>
            <w:tcBorders>
              <w:top w:val="single" w:sz="4" w:space="0" w:color="auto"/>
            </w:tcBorders>
          </w:tcPr>
          <w:p w14:paraId="15F7FA62" w14:textId="77777777" w:rsidR="004405A2" w:rsidRDefault="004405A2" w:rsidP="00D34133">
            <w:pPr>
              <w:spacing w:line="276" w:lineRule="auto"/>
              <w:jc w:val="center"/>
              <w:rPr>
                <w:rFonts w:asciiTheme="minorHAnsi" w:hAnsiTheme="minorHAnsi" w:cstheme="minorHAnsi"/>
              </w:rPr>
            </w:pPr>
          </w:p>
        </w:tc>
        <w:tc>
          <w:tcPr>
            <w:tcW w:w="3057" w:type="dxa"/>
            <w:tcBorders>
              <w:top w:val="single" w:sz="4" w:space="0" w:color="auto"/>
            </w:tcBorders>
          </w:tcPr>
          <w:p w14:paraId="654D4D6D" w14:textId="77777777" w:rsidR="004405A2" w:rsidRDefault="004405A2" w:rsidP="00D34133">
            <w:pPr>
              <w:spacing w:line="276" w:lineRule="auto"/>
              <w:jc w:val="center"/>
              <w:rPr>
                <w:rFonts w:asciiTheme="minorHAnsi" w:hAnsiTheme="minorHAnsi" w:cstheme="minorHAnsi"/>
              </w:rPr>
            </w:pPr>
          </w:p>
        </w:tc>
      </w:tr>
      <w:tr w:rsidR="00767710" w14:paraId="6A3BB91D" w14:textId="77777777" w:rsidTr="00D34133">
        <w:trPr>
          <w:trHeight w:val="153"/>
        </w:trPr>
        <w:tc>
          <w:tcPr>
            <w:tcW w:w="6237" w:type="dxa"/>
          </w:tcPr>
          <w:p w14:paraId="5CF36C0B" w14:textId="77777777" w:rsidR="004405A2" w:rsidRDefault="004405A2" w:rsidP="00D34133">
            <w:pPr>
              <w:spacing w:line="276" w:lineRule="auto"/>
              <w:jc w:val="both"/>
              <w:rPr>
                <w:rFonts w:asciiTheme="minorHAnsi" w:hAnsiTheme="minorHAnsi" w:cstheme="minorHAnsi"/>
              </w:rPr>
            </w:pPr>
            <w:r>
              <w:rPr>
                <w:rFonts w:asciiTheme="minorHAnsi" w:hAnsiTheme="minorHAnsi" w:cstheme="minorHAnsi"/>
              </w:rPr>
              <w:t>Normal VAT</w:t>
            </w:r>
          </w:p>
        </w:tc>
        <w:tc>
          <w:tcPr>
            <w:tcW w:w="3056" w:type="dxa"/>
          </w:tcPr>
          <w:p w14:paraId="0184B6E5" w14:textId="335062EB" w:rsidR="004405A2" w:rsidRDefault="00D206ED" w:rsidP="00D34133">
            <w:pPr>
              <w:spacing w:line="276" w:lineRule="auto"/>
              <w:jc w:val="center"/>
              <w:rPr>
                <w:rFonts w:asciiTheme="minorHAnsi" w:hAnsiTheme="minorHAnsi" w:cstheme="minorHAnsi"/>
              </w:rPr>
            </w:pPr>
            <w:r>
              <w:rPr>
                <w:rFonts w:asciiTheme="minorHAnsi" w:hAnsiTheme="minorHAnsi" w:cstheme="minorHAnsi"/>
              </w:rPr>
              <w:t>16%</w:t>
            </w:r>
          </w:p>
        </w:tc>
        <w:tc>
          <w:tcPr>
            <w:tcW w:w="3057" w:type="dxa"/>
          </w:tcPr>
          <w:p w14:paraId="5B691AF3" w14:textId="6CDD6C17" w:rsidR="004405A2" w:rsidRDefault="00D206ED" w:rsidP="00D34133">
            <w:pPr>
              <w:spacing w:line="276" w:lineRule="auto"/>
              <w:jc w:val="center"/>
              <w:rPr>
                <w:rFonts w:asciiTheme="minorHAnsi" w:hAnsiTheme="minorHAnsi" w:cstheme="minorHAnsi"/>
              </w:rPr>
            </w:pPr>
            <w:r>
              <w:rPr>
                <w:rFonts w:asciiTheme="minorHAnsi" w:hAnsiTheme="minorHAnsi" w:cstheme="minorHAnsi"/>
              </w:rPr>
              <w:t>10%</w:t>
            </w:r>
          </w:p>
        </w:tc>
      </w:tr>
      <w:tr w:rsidR="00767710" w14:paraId="05D7A4FA" w14:textId="77777777" w:rsidTr="00D34133">
        <w:trPr>
          <w:trHeight w:val="293"/>
        </w:trPr>
        <w:tc>
          <w:tcPr>
            <w:tcW w:w="6237" w:type="dxa"/>
            <w:tcBorders>
              <w:bottom w:val="single" w:sz="4" w:space="0" w:color="auto"/>
            </w:tcBorders>
          </w:tcPr>
          <w:p w14:paraId="103974DD" w14:textId="77777777" w:rsidR="004405A2" w:rsidRDefault="004405A2" w:rsidP="00D34133">
            <w:pPr>
              <w:spacing w:line="276" w:lineRule="auto"/>
              <w:jc w:val="both"/>
              <w:rPr>
                <w:rFonts w:asciiTheme="minorHAnsi" w:hAnsiTheme="minorHAnsi" w:cstheme="minorHAnsi"/>
              </w:rPr>
            </w:pPr>
            <w:r>
              <w:rPr>
                <w:rFonts w:asciiTheme="minorHAnsi" w:hAnsiTheme="minorHAnsi" w:cstheme="minorHAnsi"/>
              </w:rPr>
              <w:t>Elevated VAT</w:t>
            </w:r>
          </w:p>
        </w:tc>
        <w:tc>
          <w:tcPr>
            <w:tcW w:w="3056" w:type="dxa"/>
            <w:tcBorders>
              <w:bottom w:val="single" w:sz="4" w:space="0" w:color="auto"/>
            </w:tcBorders>
          </w:tcPr>
          <w:p w14:paraId="07450846" w14:textId="6193641E" w:rsidR="004405A2" w:rsidRDefault="00D206ED" w:rsidP="00D34133">
            <w:pPr>
              <w:spacing w:line="276" w:lineRule="auto"/>
              <w:jc w:val="center"/>
              <w:rPr>
                <w:rFonts w:asciiTheme="minorHAnsi" w:hAnsiTheme="minorHAnsi" w:cstheme="minorHAnsi"/>
              </w:rPr>
            </w:pPr>
            <w:r>
              <w:rPr>
                <w:rFonts w:asciiTheme="minorHAnsi" w:hAnsiTheme="minorHAnsi" w:cstheme="minorHAnsi"/>
              </w:rPr>
              <w:t>36%</w:t>
            </w:r>
          </w:p>
        </w:tc>
        <w:tc>
          <w:tcPr>
            <w:tcW w:w="3057" w:type="dxa"/>
            <w:tcBorders>
              <w:bottom w:val="single" w:sz="4" w:space="0" w:color="auto"/>
            </w:tcBorders>
          </w:tcPr>
          <w:p w14:paraId="7E5B0B91" w14:textId="1D7B87DC" w:rsidR="004405A2" w:rsidRDefault="00D206ED" w:rsidP="00D34133">
            <w:pPr>
              <w:spacing w:line="276" w:lineRule="auto"/>
              <w:jc w:val="center"/>
              <w:rPr>
                <w:rFonts w:asciiTheme="minorHAnsi" w:hAnsiTheme="minorHAnsi" w:cstheme="minorHAnsi"/>
              </w:rPr>
            </w:pPr>
            <w:r>
              <w:rPr>
                <w:rFonts w:asciiTheme="minorHAnsi" w:hAnsiTheme="minorHAnsi" w:cstheme="minorHAnsi"/>
              </w:rPr>
              <w:t>11%</w:t>
            </w:r>
          </w:p>
        </w:tc>
      </w:tr>
      <w:tr w:rsidR="00767710" w14:paraId="3C91DE71" w14:textId="77777777" w:rsidTr="00D34133">
        <w:trPr>
          <w:trHeight w:val="409"/>
        </w:trPr>
        <w:tc>
          <w:tcPr>
            <w:tcW w:w="6237" w:type="dxa"/>
            <w:tcBorders>
              <w:top w:val="single" w:sz="4" w:space="0" w:color="auto"/>
            </w:tcBorders>
          </w:tcPr>
          <w:p w14:paraId="3CE0C27E" w14:textId="77777777" w:rsidR="004405A2" w:rsidRDefault="004405A2" w:rsidP="00D34133">
            <w:pPr>
              <w:spacing w:line="276" w:lineRule="auto"/>
              <w:jc w:val="both"/>
              <w:rPr>
                <w:rFonts w:asciiTheme="minorHAnsi" w:hAnsiTheme="minorHAnsi" w:cstheme="minorHAnsi"/>
              </w:rPr>
            </w:pPr>
            <w:r>
              <w:rPr>
                <w:rFonts w:asciiTheme="minorHAnsi" w:hAnsiTheme="minorHAnsi" w:cstheme="minorHAnsi"/>
              </w:rPr>
              <w:t>Normal SAT</w:t>
            </w:r>
          </w:p>
        </w:tc>
        <w:tc>
          <w:tcPr>
            <w:tcW w:w="3056" w:type="dxa"/>
            <w:tcBorders>
              <w:top w:val="single" w:sz="4" w:space="0" w:color="auto"/>
            </w:tcBorders>
          </w:tcPr>
          <w:p w14:paraId="1592340B" w14:textId="3240FAC5" w:rsidR="004405A2" w:rsidRDefault="00D206ED" w:rsidP="00D34133">
            <w:pPr>
              <w:spacing w:line="276" w:lineRule="auto"/>
              <w:jc w:val="center"/>
              <w:rPr>
                <w:rFonts w:asciiTheme="minorHAnsi" w:hAnsiTheme="minorHAnsi" w:cstheme="minorHAnsi"/>
              </w:rPr>
            </w:pPr>
            <w:r>
              <w:rPr>
                <w:rFonts w:asciiTheme="minorHAnsi" w:hAnsiTheme="minorHAnsi" w:cstheme="minorHAnsi"/>
              </w:rPr>
              <w:t>27%</w:t>
            </w:r>
          </w:p>
        </w:tc>
        <w:tc>
          <w:tcPr>
            <w:tcW w:w="3057" w:type="dxa"/>
            <w:tcBorders>
              <w:top w:val="single" w:sz="4" w:space="0" w:color="auto"/>
            </w:tcBorders>
          </w:tcPr>
          <w:p w14:paraId="24E33C6D" w14:textId="7AE7A463" w:rsidR="004405A2" w:rsidRDefault="0017234E" w:rsidP="00D34133">
            <w:pPr>
              <w:spacing w:line="276" w:lineRule="auto"/>
              <w:jc w:val="center"/>
              <w:rPr>
                <w:rFonts w:asciiTheme="minorHAnsi" w:hAnsiTheme="minorHAnsi" w:cstheme="minorHAnsi"/>
              </w:rPr>
            </w:pPr>
            <w:r>
              <w:rPr>
                <w:rFonts w:asciiTheme="minorHAnsi" w:hAnsiTheme="minorHAnsi" w:cstheme="minorHAnsi"/>
              </w:rPr>
              <w:t>10%</w:t>
            </w:r>
          </w:p>
        </w:tc>
      </w:tr>
      <w:tr w:rsidR="00767710" w14:paraId="70871155" w14:textId="77777777" w:rsidTr="00D34133">
        <w:trPr>
          <w:trHeight w:val="335"/>
        </w:trPr>
        <w:tc>
          <w:tcPr>
            <w:tcW w:w="6237" w:type="dxa"/>
            <w:tcBorders>
              <w:bottom w:val="single" w:sz="4" w:space="0" w:color="auto"/>
            </w:tcBorders>
          </w:tcPr>
          <w:p w14:paraId="430F5B69" w14:textId="77777777" w:rsidR="004405A2" w:rsidRDefault="004405A2" w:rsidP="00D34133">
            <w:pPr>
              <w:spacing w:line="276" w:lineRule="auto"/>
              <w:jc w:val="both"/>
              <w:rPr>
                <w:rFonts w:asciiTheme="minorHAnsi" w:hAnsiTheme="minorHAnsi" w:cstheme="minorHAnsi"/>
              </w:rPr>
            </w:pPr>
            <w:r>
              <w:rPr>
                <w:rFonts w:asciiTheme="minorHAnsi" w:hAnsiTheme="minorHAnsi" w:cstheme="minorHAnsi"/>
              </w:rPr>
              <w:t>Elevated SAT</w:t>
            </w:r>
          </w:p>
        </w:tc>
        <w:tc>
          <w:tcPr>
            <w:tcW w:w="3056" w:type="dxa"/>
            <w:tcBorders>
              <w:bottom w:val="single" w:sz="4" w:space="0" w:color="auto"/>
            </w:tcBorders>
          </w:tcPr>
          <w:p w14:paraId="3F329420" w14:textId="0CF963EC" w:rsidR="004405A2" w:rsidRDefault="0017234E" w:rsidP="00D34133">
            <w:pPr>
              <w:spacing w:line="276" w:lineRule="auto"/>
              <w:jc w:val="center"/>
              <w:rPr>
                <w:rFonts w:asciiTheme="minorHAnsi" w:hAnsiTheme="minorHAnsi" w:cstheme="minorHAnsi"/>
              </w:rPr>
            </w:pPr>
            <w:r>
              <w:rPr>
                <w:rFonts w:asciiTheme="minorHAnsi" w:hAnsiTheme="minorHAnsi" w:cstheme="minorHAnsi"/>
              </w:rPr>
              <w:t>34%</w:t>
            </w:r>
          </w:p>
        </w:tc>
        <w:tc>
          <w:tcPr>
            <w:tcW w:w="3057" w:type="dxa"/>
            <w:tcBorders>
              <w:bottom w:val="single" w:sz="4" w:space="0" w:color="auto"/>
            </w:tcBorders>
          </w:tcPr>
          <w:p w14:paraId="12696652" w14:textId="1A2F92C7" w:rsidR="004405A2" w:rsidRDefault="0017234E" w:rsidP="00D34133">
            <w:pPr>
              <w:spacing w:line="276" w:lineRule="auto"/>
              <w:jc w:val="center"/>
              <w:rPr>
                <w:rFonts w:asciiTheme="minorHAnsi" w:hAnsiTheme="minorHAnsi" w:cstheme="minorHAnsi"/>
              </w:rPr>
            </w:pPr>
            <w:r>
              <w:rPr>
                <w:rFonts w:asciiTheme="minorHAnsi" w:hAnsiTheme="minorHAnsi" w:cstheme="minorHAnsi"/>
              </w:rPr>
              <w:t>10%</w:t>
            </w:r>
          </w:p>
        </w:tc>
      </w:tr>
      <w:tr w:rsidR="00767710" w14:paraId="45C76BFF" w14:textId="77777777" w:rsidTr="00D34133">
        <w:trPr>
          <w:trHeight w:val="367"/>
        </w:trPr>
        <w:tc>
          <w:tcPr>
            <w:tcW w:w="6237" w:type="dxa"/>
            <w:tcBorders>
              <w:top w:val="single" w:sz="4" w:space="0" w:color="auto"/>
            </w:tcBorders>
          </w:tcPr>
          <w:p w14:paraId="08B0D6E7" w14:textId="77777777" w:rsidR="004405A2" w:rsidRDefault="004405A2" w:rsidP="00D34133">
            <w:pPr>
              <w:spacing w:line="276" w:lineRule="auto"/>
              <w:jc w:val="both"/>
              <w:rPr>
                <w:rFonts w:asciiTheme="minorHAnsi" w:hAnsiTheme="minorHAnsi" w:cstheme="minorHAnsi"/>
              </w:rPr>
            </w:pPr>
            <w:r>
              <w:rPr>
                <w:rFonts w:asciiTheme="minorHAnsi" w:hAnsiTheme="minorHAnsi" w:cstheme="minorHAnsi"/>
              </w:rPr>
              <w:t>Normal SMI</w:t>
            </w:r>
          </w:p>
        </w:tc>
        <w:tc>
          <w:tcPr>
            <w:tcW w:w="3056" w:type="dxa"/>
            <w:tcBorders>
              <w:top w:val="single" w:sz="4" w:space="0" w:color="auto"/>
            </w:tcBorders>
          </w:tcPr>
          <w:p w14:paraId="03311A7D" w14:textId="38574E04" w:rsidR="004405A2" w:rsidRDefault="0017234E" w:rsidP="00D34133">
            <w:pPr>
              <w:spacing w:line="276" w:lineRule="auto"/>
              <w:jc w:val="center"/>
              <w:rPr>
                <w:rFonts w:asciiTheme="minorHAnsi" w:hAnsiTheme="minorHAnsi" w:cstheme="minorHAnsi"/>
              </w:rPr>
            </w:pPr>
            <w:r>
              <w:rPr>
                <w:rFonts w:asciiTheme="minorHAnsi" w:hAnsiTheme="minorHAnsi" w:cstheme="minorHAnsi"/>
              </w:rPr>
              <w:t>30%</w:t>
            </w:r>
          </w:p>
        </w:tc>
        <w:tc>
          <w:tcPr>
            <w:tcW w:w="3057" w:type="dxa"/>
            <w:tcBorders>
              <w:top w:val="single" w:sz="4" w:space="0" w:color="auto"/>
            </w:tcBorders>
          </w:tcPr>
          <w:p w14:paraId="0DD1D43A" w14:textId="4B364B93" w:rsidR="004405A2" w:rsidRDefault="0017234E" w:rsidP="00D34133">
            <w:pPr>
              <w:spacing w:line="276" w:lineRule="auto"/>
              <w:jc w:val="center"/>
              <w:rPr>
                <w:rFonts w:asciiTheme="minorHAnsi" w:hAnsiTheme="minorHAnsi" w:cstheme="minorHAnsi"/>
              </w:rPr>
            </w:pPr>
            <w:r>
              <w:rPr>
                <w:rFonts w:asciiTheme="minorHAnsi" w:hAnsiTheme="minorHAnsi" w:cstheme="minorHAnsi"/>
              </w:rPr>
              <w:t>10%</w:t>
            </w:r>
          </w:p>
        </w:tc>
      </w:tr>
      <w:tr w:rsidR="00767710" w14:paraId="701BDE37" w14:textId="77777777" w:rsidTr="00D34133">
        <w:trPr>
          <w:trHeight w:val="363"/>
        </w:trPr>
        <w:tc>
          <w:tcPr>
            <w:tcW w:w="6237" w:type="dxa"/>
            <w:tcBorders>
              <w:bottom w:val="single" w:sz="4" w:space="0" w:color="auto"/>
            </w:tcBorders>
          </w:tcPr>
          <w:p w14:paraId="0E86E597" w14:textId="77777777" w:rsidR="004405A2" w:rsidRDefault="004405A2" w:rsidP="00D34133">
            <w:pPr>
              <w:spacing w:line="276" w:lineRule="auto"/>
              <w:jc w:val="both"/>
              <w:rPr>
                <w:rFonts w:asciiTheme="minorHAnsi" w:hAnsiTheme="minorHAnsi" w:cstheme="minorHAnsi"/>
              </w:rPr>
            </w:pPr>
            <w:r>
              <w:rPr>
                <w:rFonts w:asciiTheme="minorHAnsi" w:hAnsiTheme="minorHAnsi" w:cstheme="minorHAnsi"/>
              </w:rPr>
              <w:t xml:space="preserve">Reduced SMI </w:t>
            </w:r>
          </w:p>
        </w:tc>
        <w:tc>
          <w:tcPr>
            <w:tcW w:w="3056" w:type="dxa"/>
            <w:tcBorders>
              <w:bottom w:val="single" w:sz="4" w:space="0" w:color="auto"/>
            </w:tcBorders>
          </w:tcPr>
          <w:p w14:paraId="68227E10" w14:textId="2C12AA87" w:rsidR="004405A2" w:rsidRDefault="0017234E" w:rsidP="00D34133">
            <w:pPr>
              <w:spacing w:line="276" w:lineRule="auto"/>
              <w:jc w:val="center"/>
              <w:rPr>
                <w:rFonts w:asciiTheme="minorHAnsi" w:hAnsiTheme="minorHAnsi" w:cstheme="minorHAnsi"/>
              </w:rPr>
            </w:pPr>
            <w:r>
              <w:rPr>
                <w:rFonts w:asciiTheme="minorHAnsi" w:hAnsiTheme="minorHAnsi" w:cstheme="minorHAnsi"/>
              </w:rPr>
              <w:t>26%</w:t>
            </w:r>
          </w:p>
        </w:tc>
        <w:tc>
          <w:tcPr>
            <w:tcW w:w="3057" w:type="dxa"/>
            <w:tcBorders>
              <w:bottom w:val="single" w:sz="4" w:space="0" w:color="auto"/>
            </w:tcBorders>
          </w:tcPr>
          <w:p w14:paraId="0E4B0C19" w14:textId="5ED15C19" w:rsidR="004405A2" w:rsidRDefault="0017234E" w:rsidP="00D34133">
            <w:pPr>
              <w:spacing w:line="276" w:lineRule="auto"/>
              <w:jc w:val="center"/>
              <w:rPr>
                <w:rFonts w:asciiTheme="minorHAnsi" w:hAnsiTheme="minorHAnsi" w:cstheme="minorHAnsi"/>
              </w:rPr>
            </w:pPr>
            <w:r>
              <w:rPr>
                <w:rFonts w:asciiTheme="minorHAnsi" w:hAnsiTheme="minorHAnsi" w:cstheme="minorHAnsi"/>
              </w:rPr>
              <w:t>11%</w:t>
            </w:r>
          </w:p>
        </w:tc>
      </w:tr>
      <w:tr w:rsidR="00767710" w14:paraId="301C9854" w14:textId="77777777" w:rsidTr="00D34133">
        <w:trPr>
          <w:trHeight w:val="325"/>
        </w:trPr>
        <w:tc>
          <w:tcPr>
            <w:tcW w:w="6237" w:type="dxa"/>
          </w:tcPr>
          <w:p w14:paraId="7828DA97" w14:textId="77777777" w:rsidR="004405A2" w:rsidRDefault="004405A2" w:rsidP="00D34133">
            <w:pPr>
              <w:spacing w:line="276" w:lineRule="auto"/>
              <w:jc w:val="both"/>
              <w:rPr>
                <w:rFonts w:asciiTheme="minorHAnsi" w:hAnsiTheme="minorHAnsi" w:cstheme="minorHAnsi"/>
              </w:rPr>
            </w:pPr>
            <w:r>
              <w:rPr>
                <w:rFonts w:asciiTheme="minorHAnsi" w:hAnsiTheme="minorHAnsi" w:cstheme="minorHAnsi"/>
              </w:rPr>
              <w:t>Liver fat 5.6-10%</w:t>
            </w:r>
          </w:p>
        </w:tc>
        <w:tc>
          <w:tcPr>
            <w:tcW w:w="3056" w:type="dxa"/>
          </w:tcPr>
          <w:p w14:paraId="5256C160" w14:textId="46A93CCD" w:rsidR="004405A2" w:rsidRDefault="0017234E" w:rsidP="00D34133">
            <w:pPr>
              <w:spacing w:line="276" w:lineRule="auto"/>
              <w:jc w:val="center"/>
              <w:rPr>
                <w:rFonts w:asciiTheme="minorHAnsi" w:hAnsiTheme="minorHAnsi" w:cstheme="minorHAnsi"/>
              </w:rPr>
            </w:pPr>
            <w:r>
              <w:rPr>
                <w:rFonts w:asciiTheme="minorHAnsi" w:hAnsiTheme="minorHAnsi" w:cstheme="minorHAnsi"/>
              </w:rPr>
              <w:t>25%</w:t>
            </w:r>
          </w:p>
        </w:tc>
        <w:tc>
          <w:tcPr>
            <w:tcW w:w="3057" w:type="dxa"/>
          </w:tcPr>
          <w:p w14:paraId="654556B7" w14:textId="1FB12CA9" w:rsidR="004405A2" w:rsidRDefault="0017234E" w:rsidP="00D34133">
            <w:pPr>
              <w:spacing w:line="276" w:lineRule="auto"/>
              <w:jc w:val="center"/>
              <w:rPr>
                <w:rFonts w:asciiTheme="minorHAnsi" w:hAnsiTheme="minorHAnsi" w:cstheme="minorHAnsi"/>
              </w:rPr>
            </w:pPr>
            <w:r>
              <w:rPr>
                <w:rFonts w:asciiTheme="minorHAnsi" w:hAnsiTheme="minorHAnsi" w:cstheme="minorHAnsi"/>
              </w:rPr>
              <w:t>7%</w:t>
            </w:r>
          </w:p>
        </w:tc>
      </w:tr>
      <w:tr w:rsidR="00767710" w14:paraId="2DD9F32B" w14:textId="77777777" w:rsidTr="00D34133">
        <w:trPr>
          <w:trHeight w:val="363"/>
        </w:trPr>
        <w:tc>
          <w:tcPr>
            <w:tcW w:w="6237" w:type="dxa"/>
            <w:tcBorders>
              <w:bottom w:val="single" w:sz="4" w:space="0" w:color="auto"/>
            </w:tcBorders>
          </w:tcPr>
          <w:p w14:paraId="540C8CEE" w14:textId="77777777" w:rsidR="004405A2" w:rsidRDefault="004405A2" w:rsidP="00D34133">
            <w:pPr>
              <w:spacing w:line="276" w:lineRule="auto"/>
              <w:jc w:val="both"/>
              <w:rPr>
                <w:rFonts w:asciiTheme="minorHAnsi" w:hAnsiTheme="minorHAnsi" w:cstheme="minorHAnsi"/>
              </w:rPr>
            </w:pPr>
            <w:r>
              <w:rPr>
                <w:rFonts w:asciiTheme="minorHAnsi" w:hAnsiTheme="minorHAnsi" w:cstheme="minorHAnsi"/>
              </w:rPr>
              <w:t>Liver fat &gt;10%</w:t>
            </w:r>
          </w:p>
        </w:tc>
        <w:tc>
          <w:tcPr>
            <w:tcW w:w="3056" w:type="dxa"/>
            <w:tcBorders>
              <w:bottom w:val="single" w:sz="4" w:space="0" w:color="auto"/>
            </w:tcBorders>
          </w:tcPr>
          <w:p w14:paraId="00876C11" w14:textId="7F32CB85" w:rsidR="004405A2" w:rsidRDefault="0017234E" w:rsidP="00D34133">
            <w:pPr>
              <w:spacing w:line="276" w:lineRule="auto"/>
              <w:jc w:val="center"/>
              <w:rPr>
                <w:rFonts w:asciiTheme="minorHAnsi" w:hAnsiTheme="minorHAnsi" w:cstheme="minorHAnsi"/>
              </w:rPr>
            </w:pPr>
            <w:r>
              <w:rPr>
                <w:rFonts w:asciiTheme="minorHAnsi" w:hAnsiTheme="minorHAnsi" w:cstheme="minorHAnsi"/>
              </w:rPr>
              <w:t>56%</w:t>
            </w:r>
          </w:p>
        </w:tc>
        <w:tc>
          <w:tcPr>
            <w:tcW w:w="3057" w:type="dxa"/>
            <w:tcBorders>
              <w:bottom w:val="single" w:sz="4" w:space="0" w:color="auto"/>
            </w:tcBorders>
          </w:tcPr>
          <w:p w14:paraId="66498757" w14:textId="4B3FC0D7" w:rsidR="004405A2" w:rsidRDefault="0017234E" w:rsidP="00D34133">
            <w:pPr>
              <w:spacing w:line="276" w:lineRule="auto"/>
              <w:jc w:val="center"/>
              <w:rPr>
                <w:rFonts w:asciiTheme="minorHAnsi" w:hAnsiTheme="minorHAnsi" w:cstheme="minorHAnsi"/>
              </w:rPr>
            </w:pPr>
            <w:r>
              <w:rPr>
                <w:rFonts w:asciiTheme="minorHAnsi" w:hAnsiTheme="minorHAnsi" w:cstheme="minorHAnsi"/>
              </w:rPr>
              <w:t>30%</w:t>
            </w:r>
          </w:p>
        </w:tc>
      </w:tr>
      <w:tr w:rsidR="00767710" w14:paraId="5614296F" w14:textId="77777777" w:rsidTr="00D34133">
        <w:trPr>
          <w:trHeight w:val="241"/>
        </w:trPr>
        <w:tc>
          <w:tcPr>
            <w:tcW w:w="6237" w:type="dxa"/>
          </w:tcPr>
          <w:p w14:paraId="5E06BD2B" w14:textId="1861CDDA" w:rsidR="00A25ABE" w:rsidRDefault="00A25ABE" w:rsidP="00D34133">
            <w:pPr>
              <w:spacing w:line="276" w:lineRule="auto"/>
              <w:jc w:val="both"/>
              <w:rPr>
                <w:rFonts w:asciiTheme="minorHAnsi" w:hAnsiTheme="minorHAnsi" w:cstheme="minorHAnsi"/>
              </w:rPr>
            </w:pPr>
            <w:r>
              <w:rPr>
                <w:rFonts w:asciiTheme="minorHAnsi" w:hAnsiTheme="minorHAnsi" w:cstheme="minorHAnsi"/>
              </w:rPr>
              <w:t xml:space="preserve">Normal pancreatic fat </w:t>
            </w:r>
          </w:p>
        </w:tc>
        <w:tc>
          <w:tcPr>
            <w:tcW w:w="3056" w:type="dxa"/>
          </w:tcPr>
          <w:p w14:paraId="43940399" w14:textId="40D1C820" w:rsidR="00A25ABE" w:rsidRDefault="00A25ABE" w:rsidP="00D34133">
            <w:pPr>
              <w:spacing w:line="276" w:lineRule="auto"/>
              <w:jc w:val="center"/>
              <w:rPr>
                <w:rFonts w:asciiTheme="minorHAnsi" w:hAnsiTheme="minorHAnsi" w:cstheme="minorHAnsi"/>
              </w:rPr>
            </w:pPr>
            <w:r>
              <w:rPr>
                <w:rFonts w:asciiTheme="minorHAnsi" w:hAnsiTheme="minorHAnsi" w:cstheme="minorHAnsi"/>
              </w:rPr>
              <w:t>29%</w:t>
            </w:r>
          </w:p>
        </w:tc>
        <w:tc>
          <w:tcPr>
            <w:tcW w:w="3057" w:type="dxa"/>
          </w:tcPr>
          <w:p w14:paraId="205ACA6B" w14:textId="6AD95FDB" w:rsidR="00A25ABE" w:rsidRDefault="00A56375" w:rsidP="00D34133">
            <w:pPr>
              <w:spacing w:line="276" w:lineRule="auto"/>
              <w:jc w:val="center"/>
              <w:rPr>
                <w:rFonts w:asciiTheme="minorHAnsi" w:hAnsiTheme="minorHAnsi" w:cstheme="minorHAnsi"/>
              </w:rPr>
            </w:pPr>
            <w:r>
              <w:rPr>
                <w:rFonts w:asciiTheme="minorHAnsi" w:hAnsiTheme="minorHAnsi" w:cstheme="minorHAnsi"/>
              </w:rPr>
              <w:t>10%</w:t>
            </w:r>
          </w:p>
        </w:tc>
      </w:tr>
      <w:tr w:rsidR="00767710" w14:paraId="1BB1CC36" w14:textId="77777777" w:rsidTr="00D34133">
        <w:trPr>
          <w:trHeight w:val="349"/>
        </w:trPr>
        <w:tc>
          <w:tcPr>
            <w:tcW w:w="6237" w:type="dxa"/>
            <w:tcBorders>
              <w:bottom w:val="single" w:sz="4" w:space="0" w:color="auto"/>
            </w:tcBorders>
          </w:tcPr>
          <w:p w14:paraId="2BE7C2BD" w14:textId="545A95F3" w:rsidR="00A25ABE" w:rsidRDefault="00A25ABE" w:rsidP="00D34133">
            <w:pPr>
              <w:spacing w:line="276" w:lineRule="auto"/>
              <w:jc w:val="both"/>
              <w:rPr>
                <w:rFonts w:asciiTheme="minorHAnsi" w:hAnsiTheme="minorHAnsi" w:cstheme="minorHAnsi"/>
              </w:rPr>
            </w:pPr>
            <w:r>
              <w:rPr>
                <w:rFonts w:asciiTheme="minorHAnsi" w:hAnsiTheme="minorHAnsi" w:cstheme="minorHAnsi"/>
              </w:rPr>
              <w:t xml:space="preserve">Elevated pancreatic fat </w:t>
            </w:r>
          </w:p>
        </w:tc>
        <w:tc>
          <w:tcPr>
            <w:tcW w:w="3056" w:type="dxa"/>
            <w:tcBorders>
              <w:bottom w:val="single" w:sz="4" w:space="0" w:color="auto"/>
            </w:tcBorders>
          </w:tcPr>
          <w:p w14:paraId="75269DCE" w14:textId="33693A29" w:rsidR="00A25ABE" w:rsidRDefault="00A25ABE" w:rsidP="00D34133">
            <w:pPr>
              <w:spacing w:line="276" w:lineRule="auto"/>
              <w:jc w:val="center"/>
              <w:rPr>
                <w:rFonts w:asciiTheme="minorHAnsi" w:hAnsiTheme="minorHAnsi" w:cstheme="minorHAnsi"/>
              </w:rPr>
            </w:pPr>
            <w:r>
              <w:rPr>
                <w:rFonts w:asciiTheme="minorHAnsi" w:hAnsiTheme="minorHAnsi" w:cstheme="minorHAnsi"/>
              </w:rPr>
              <w:t>30%</w:t>
            </w:r>
          </w:p>
        </w:tc>
        <w:tc>
          <w:tcPr>
            <w:tcW w:w="3057" w:type="dxa"/>
            <w:tcBorders>
              <w:bottom w:val="single" w:sz="4" w:space="0" w:color="auto"/>
            </w:tcBorders>
          </w:tcPr>
          <w:p w14:paraId="6580DD2C" w14:textId="28AF580C" w:rsidR="00A25ABE" w:rsidRDefault="00A56375" w:rsidP="00D34133">
            <w:pPr>
              <w:spacing w:line="276" w:lineRule="auto"/>
              <w:jc w:val="center"/>
              <w:rPr>
                <w:rFonts w:asciiTheme="minorHAnsi" w:hAnsiTheme="minorHAnsi" w:cstheme="minorHAnsi"/>
              </w:rPr>
            </w:pPr>
            <w:r>
              <w:rPr>
                <w:rFonts w:asciiTheme="minorHAnsi" w:hAnsiTheme="minorHAnsi" w:cstheme="minorHAnsi"/>
              </w:rPr>
              <w:t>10%</w:t>
            </w:r>
          </w:p>
        </w:tc>
      </w:tr>
      <w:tr w:rsidR="00767710" w14:paraId="0FA0C70B" w14:textId="77777777" w:rsidTr="00D34133">
        <w:trPr>
          <w:trHeight w:val="213"/>
        </w:trPr>
        <w:tc>
          <w:tcPr>
            <w:tcW w:w="6237" w:type="dxa"/>
            <w:tcBorders>
              <w:top w:val="single" w:sz="4" w:space="0" w:color="auto"/>
            </w:tcBorders>
          </w:tcPr>
          <w:p w14:paraId="1D528068" w14:textId="1EA80981" w:rsidR="004405A2" w:rsidRPr="004F0A4F" w:rsidRDefault="004405A2" w:rsidP="00D34133">
            <w:pPr>
              <w:spacing w:line="276" w:lineRule="auto"/>
              <w:jc w:val="both"/>
              <w:rPr>
                <w:rFonts w:asciiTheme="minorHAnsi" w:hAnsiTheme="minorHAnsi" w:cstheme="minorBidi"/>
                <w:b/>
                <w:i/>
              </w:rPr>
            </w:pPr>
            <w:r w:rsidRPr="5DFDAA96">
              <w:rPr>
                <w:rFonts w:asciiTheme="minorHAnsi" w:hAnsiTheme="minorHAnsi" w:cstheme="minorBidi"/>
                <w:b/>
                <w:i/>
              </w:rPr>
              <w:t>HbA1c rang</w:t>
            </w:r>
            <w:r w:rsidR="00D34133">
              <w:rPr>
                <w:rFonts w:asciiTheme="minorHAnsi" w:hAnsiTheme="minorHAnsi" w:cstheme="minorBidi"/>
                <w:b/>
                <w:i/>
              </w:rPr>
              <w:t>e</w:t>
            </w:r>
          </w:p>
        </w:tc>
        <w:tc>
          <w:tcPr>
            <w:tcW w:w="3056" w:type="dxa"/>
            <w:tcBorders>
              <w:top w:val="single" w:sz="4" w:space="0" w:color="auto"/>
            </w:tcBorders>
          </w:tcPr>
          <w:p w14:paraId="0114C9B6" w14:textId="77777777" w:rsidR="004405A2" w:rsidRDefault="004405A2" w:rsidP="00D34133">
            <w:pPr>
              <w:spacing w:line="276" w:lineRule="auto"/>
              <w:jc w:val="center"/>
              <w:rPr>
                <w:rFonts w:asciiTheme="minorHAnsi" w:hAnsiTheme="minorHAnsi" w:cstheme="minorHAnsi"/>
              </w:rPr>
            </w:pPr>
          </w:p>
        </w:tc>
        <w:tc>
          <w:tcPr>
            <w:tcW w:w="3057" w:type="dxa"/>
            <w:tcBorders>
              <w:top w:val="single" w:sz="4" w:space="0" w:color="auto"/>
            </w:tcBorders>
          </w:tcPr>
          <w:p w14:paraId="158AF9E0" w14:textId="77777777" w:rsidR="004405A2" w:rsidRDefault="004405A2" w:rsidP="00D34133">
            <w:pPr>
              <w:spacing w:line="276" w:lineRule="auto"/>
              <w:jc w:val="center"/>
              <w:rPr>
                <w:rFonts w:asciiTheme="minorHAnsi" w:hAnsiTheme="minorHAnsi" w:cstheme="minorHAnsi"/>
              </w:rPr>
            </w:pPr>
          </w:p>
        </w:tc>
      </w:tr>
      <w:tr w:rsidR="00767710" w14:paraId="6E68E7BE" w14:textId="77777777" w:rsidTr="00D34133">
        <w:trPr>
          <w:trHeight w:val="125"/>
        </w:trPr>
        <w:tc>
          <w:tcPr>
            <w:tcW w:w="6237" w:type="dxa"/>
            <w:shd w:val="clear" w:color="auto" w:fill="auto"/>
          </w:tcPr>
          <w:p w14:paraId="2600A69C" w14:textId="1BBEDA50" w:rsidR="004405A2" w:rsidRPr="0054470F" w:rsidRDefault="004405A2" w:rsidP="00D34133">
            <w:pPr>
              <w:spacing w:line="276" w:lineRule="auto"/>
              <w:rPr>
                <w:rFonts w:asciiTheme="minorHAnsi" w:hAnsiTheme="minorHAnsi" w:cstheme="minorHAnsi"/>
              </w:rPr>
            </w:pPr>
            <w:r w:rsidRPr="0054470F">
              <w:rPr>
                <w:rFonts w:asciiTheme="minorHAnsi" w:hAnsiTheme="minorHAnsi" w:cstheme="minorHAnsi"/>
              </w:rPr>
              <w:t>Low (</w:t>
            </w:r>
            <w:r w:rsidR="000033E0" w:rsidRPr="0054470F">
              <w:rPr>
                <w:rFonts w:asciiTheme="minorHAnsi" w:hAnsiTheme="minorHAnsi" w:cstheme="minorHAnsi"/>
              </w:rPr>
              <w:t>&lt;</w:t>
            </w:r>
            <w:r w:rsidR="0054470F" w:rsidRPr="0054470F">
              <w:rPr>
                <w:rFonts w:asciiTheme="minorHAnsi" w:hAnsiTheme="minorHAnsi" w:cstheme="minorHAnsi"/>
              </w:rPr>
              <w:t>62</w:t>
            </w:r>
            <w:r w:rsidR="000033E0" w:rsidRPr="0054470F">
              <w:rPr>
                <w:rFonts w:asciiTheme="minorHAnsi" w:hAnsiTheme="minorHAnsi" w:cstheme="minorHAnsi"/>
              </w:rPr>
              <w:t>mmol/mol [</w:t>
            </w:r>
            <w:r w:rsidR="0054470F" w:rsidRPr="0054470F">
              <w:rPr>
                <w:rFonts w:asciiTheme="minorHAnsi" w:hAnsiTheme="minorHAnsi" w:cstheme="minorHAnsi"/>
              </w:rPr>
              <w:t>T2D</w:t>
            </w:r>
            <w:r w:rsidR="000033E0" w:rsidRPr="0054470F">
              <w:rPr>
                <w:rFonts w:asciiTheme="minorHAnsi" w:hAnsiTheme="minorHAnsi" w:cstheme="minorHAnsi"/>
              </w:rPr>
              <w:t xml:space="preserve">]; </w:t>
            </w:r>
            <w:r w:rsidRPr="0054470F">
              <w:rPr>
                <w:rFonts w:asciiTheme="minorHAnsi" w:hAnsiTheme="minorHAnsi" w:cstheme="minorHAnsi"/>
              </w:rPr>
              <w:t>&lt;</w:t>
            </w:r>
            <w:r w:rsidR="0054470F" w:rsidRPr="0054470F">
              <w:rPr>
                <w:rFonts w:asciiTheme="minorHAnsi" w:hAnsiTheme="minorHAnsi" w:cstheme="minorHAnsi"/>
              </w:rPr>
              <w:t>38</w:t>
            </w:r>
            <w:r w:rsidRPr="0054470F">
              <w:rPr>
                <w:rFonts w:asciiTheme="minorHAnsi" w:hAnsiTheme="minorHAnsi" w:cstheme="minorHAnsi"/>
              </w:rPr>
              <w:t>mmol/mol</w:t>
            </w:r>
            <w:r w:rsidR="000033E0" w:rsidRPr="0054470F">
              <w:rPr>
                <w:rFonts w:asciiTheme="minorHAnsi" w:hAnsiTheme="minorHAnsi" w:cstheme="minorHAnsi"/>
              </w:rPr>
              <w:t xml:space="preserve"> [</w:t>
            </w:r>
            <w:r w:rsidR="0054470F" w:rsidRPr="0054470F">
              <w:rPr>
                <w:rFonts w:asciiTheme="minorHAnsi" w:hAnsiTheme="minorHAnsi" w:cstheme="minorHAnsi"/>
              </w:rPr>
              <w:t>non-T2D</w:t>
            </w:r>
            <w:r w:rsidR="000033E0" w:rsidRPr="0054470F">
              <w:rPr>
                <w:rFonts w:asciiTheme="minorHAnsi" w:hAnsiTheme="minorHAnsi" w:cstheme="minorHAnsi"/>
              </w:rPr>
              <w:t>]</w:t>
            </w:r>
            <w:r w:rsidRPr="0054470F">
              <w:rPr>
                <w:rFonts w:asciiTheme="minorHAnsi" w:hAnsiTheme="minorHAnsi" w:cstheme="minorHAnsi"/>
              </w:rPr>
              <w:t>)</w:t>
            </w:r>
          </w:p>
        </w:tc>
        <w:tc>
          <w:tcPr>
            <w:tcW w:w="3056" w:type="dxa"/>
          </w:tcPr>
          <w:p w14:paraId="020473F2" w14:textId="5D88DC3A" w:rsidR="004405A2" w:rsidRDefault="0017234E" w:rsidP="00D34133">
            <w:pPr>
              <w:spacing w:line="276" w:lineRule="auto"/>
              <w:jc w:val="center"/>
              <w:rPr>
                <w:rFonts w:asciiTheme="minorHAnsi" w:hAnsiTheme="minorHAnsi" w:cstheme="minorHAnsi"/>
              </w:rPr>
            </w:pPr>
            <w:r>
              <w:rPr>
                <w:rFonts w:asciiTheme="minorHAnsi" w:hAnsiTheme="minorHAnsi" w:cstheme="minorHAnsi"/>
              </w:rPr>
              <w:t>86%</w:t>
            </w:r>
          </w:p>
        </w:tc>
        <w:tc>
          <w:tcPr>
            <w:tcW w:w="3057" w:type="dxa"/>
          </w:tcPr>
          <w:p w14:paraId="7FE0CEC2" w14:textId="746D564F" w:rsidR="004405A2" w:rsidRDefault="0017234E" w:rsidP="00D34133">
            <w:pPr>
              <w:spacing w:line="276" w:lineRule="auto"/>
              <w:jc w:val="center"/>
              <w:rPr>
                <w:rFonts w:asciiTheme="minorHAnsi" w:hAnsiTheme="minorHAnsi" w:cstheme="minorHAnsi"/>
              </w:rPr>
            </w:pPr>
            <w:r>
              <w:rPr>
                <w:rFonts w:asciiTheme="minorHAnsi" w:hAnsiTheme="minorHAnsi" w:cstheme="minorHAnsi"/>
              </w:rPr>
              <w:t>30%</w:t>
            </w:r>
          </w:p>
        </w:tc>
      </w:tr>
      <w:tr w:rsidR="00767710" w14:paraId="07EE82E3" w14:textId="77777777" w:rsidTr="00D34133">
        <w:trPr>
          <w:trHeight w:val="209"/>
        </w:trPr>
        <w:tc>
          <w:tcPr>
            <w:tcW w:w="6237" w:type="dxa"/>
            <w:tcBorders>
              <w:bottom w:val="single" w:sz="4" w:space="0" w:color="auto"/>
            </w:tcBorders>
            <w:shd w:val="clear" w:color="auto" w:fill="auto"/>
          </w:tcPr>
          <w:p w14:paraId="498F558A" w14:textId="396E0648" w:rsidR="004405A2" w:rsidRPr="0054470F" w:rsidRDefault="004405A2" w:rsidP="00D34133">
            <w:pPr>
              <w:spacing w:line="276" w:lineRule="auto"/>
              <w:rPr>
                <w:rFonts w:asciiTheme="minorHAnsi" w:hAnsiTheme="minorHAnsi" w:cstheme="minorHAnsi"/>
              </w:rPr>
            </w:pPr>
            <w:r w:rsidRPr="0054470F">
              <w:rPr>
                <w:rFonts w:asciiTheme="minorHAnsi" w:hAnsiTheme="minorHAnsi" w:cstheme="minorHAnsi"/>
              </w:rPr>
              <w:t>High (</w:t>
            </w:r>
            <w:r w:rsidR="000033E0" w:rsidRPr="0054470F">
              <w:rPr>
                <w:rFonts w:asciiTheme="minorHAnsi" w:hAnsiTheme="minorHAnsi" w:cstheme="minorHAnsi"/>
              </w:rPr>
              <w:t>&gt;=</w:t>
            </w:r>
            <w:r w:rsidR="0054470F" w:rsidRPr="0054470F">
              <w:rPr>
                <w:rFonts w:asciiTheme="minorHAnsi" w:hAnsiTheme="minorHAnsi" w:cstheme="minorHAnsi"/>
              </w:rPr>
              <w:t>62</w:t>
            </w:r>
            <w:r w:rsidR="000033E0" w:rsidRPr="0054470F">
              <w:rPr>
                <w:rFonts w:asciiTheme="minorHAnsi" w:hAnsiTheme="minorHAnsi" w:cstheme="minorHAnsi"/>
              </w:rPr>
              <w:t xml:space="preserve">mmol/mol [MODIFY]; </w:t>
            </w:r>
            <w:r w:rsidRPr="0054470F">
              <w:rPr>
                <w:rFonts w:asciiTheme="minorHAnsi" w:hAnsiTheme="minorHAnsi" w:cstheme="minorHAnsi"/>
              </w:rPr>
              <w:t>&gt;=</w:t>
            </w:r>
            <w:r w:rsidR="0054470F" w:rsidRPr="0054470F">
              <w:rPr>
                <w:rFonts w:asciiTheme="minorHAnsi" w:hAnsiTheme="minorHAnsi" w:cstheme="minorHAnsi"/>
              </w:rPr>
              <w:t>38</w:t>
            </w:r>
            <w:r w:rsidRPr="0054470F">
              <w:rPr>
                <w:rFonts w:asciiTheme="minorHAnsi" w:hAnsiTheme="minorHAnsi" w:cstheme="minorHAnsi"/>
              </w:rPr>
              <w:t>mml/mol</w:t>
            </w:r>
            <w:r w:rsidR="000033E0" w:rsidRPr="0054470F">
              <w:rPr>
                <w:rFonts w:asciiTheme="minorHAnsi" w:hAnsiTheme="minorHAnsi" w:cstheme="minorHAnsi"/>
              </w:rPr>
              <w:t xml:space="preserve"> [</w:t>
            </w:r>
            <w:r w:rsidR="0054470F" w:rsidRPr="0054470F">
              <w:rPr>
                <w:rFonts w:asciiTheme="minorHAnsi" w:hAnsiTheme="minorHAnsi" w:cstheme="minorHAnsi"/>
              </w:rPr>
              <w:t>non-T2D</w:t>
            </w:r>
            <w:r w:rsidR="000033E0" w:rsidRPr="0054470F">
              <w:rPr>
                <w:rFonts w:asciiTheme="minorHAnsi" w:hAnsiTheme="minorHAnsi" w:cstheme="minorHAnsi"/>
              </w:rPr>
              <w:t>]</w:t>
            </w:r>
            <w:r w:rsidRPr="0054470F">
              <w:rPr>
                <w:rFonts w:asciiTheme="minorHAnsi" w:hAnsiTheme="minorHAnsi" w:cstheme="minorHAnsi"/>
              </w:rPr>
              <w:t>)</w:t>
            </w:r>
          </w:p>
        </w:tc>
        <w:tc>
          <w:tcPr>
            <w:tcW w:w="3056" w:type="dxa"/>
            <w:tcBorders>
              <w:bottom w:val="single" w:sz="4" w:space="0" w:color="auto"/>
            </w:tcBorders>
          </w:tcPr>
          <w:p w14:paraId="1AD1702B" w14:textId="22D9CA23" w:rsidR="004405A2" w:rsidRDefault="0017234E" w:rsidP="00D34133">
            <w:pPr>
              <w:spacing w:line="276" w:lineRule="auto"/>
              <w:jc w:val="center"/>
              <w:rPr>
                <w:rFonts w:asciiTheme="minorHAnsi" w:hAnsiTheme="minorHAnsi" w:cstheme="minorHAnsi"/>
              </w:rPr>
            </w:pPr>
            <w:r>
              <w:rPr>
                <w:rFonts w:asciiTheme="minorHAnsi" w:hAnsiTheme="minorHAnsi" w:cstheme="minorHAnsi"/>
              </w:rPr>
              <w:t>67%</w:t>
            </w:r>
          </w:p>
        </w:tc>
        <w:tc>
          <w:tcPr>
            <w:tcW w:w="3057" w:type="dxa"/>
            <w:tcBorders>
              <w:bottom w:val="single" w:sz="4" w:space="0" w:color="auto"/>
            </w:tcBorders>
          </w:tcPr>
          <w:p w14:paraId="6FC8DDB6" w14:textId="03617867" w:rsidR="004405A2" w:rsidRDefault="0017234E" w:rsidP="00D34133">
            <w:pPr>
              <w:spacing w:line="276" w:lineRule="auto"/>
              <w:jc w:val="center"/>
              <w:rPr>
                <w:rFonts w:asciiTheme="minorHAnsi" w:hAnsiTheme="minorHAnsi" w:cstheme="minorHAnsi"/>
              </w:rPr>
            </w:pPr>
            <w:r>
              <w:rPr>
                <w:rFonts w:asciiTheme="minorHAnsi" w:hAnsiTheme="minorHAnsi" w:cstheme="minorHAnsi"/>
              </w:rPr>
              <w:t>27%</w:t>
            </w:r>
          </w:p>
        </w:tc>
      </w:tr>
    </w:tbl>
    <w:p w14:paraId="67ED4844" w14:textId="77777777" w:rsidR="00767710" w:rsidRDefault="00767710" w:rsidP="003860D5">
      <w:pPr>
        <w:rPr>
          <w:rFonts w:asciiTheme="minorHAnsi" w:hAnsiTheme="minorHAnsi" w:cstheme="minorBidi"/>
        </w:rPr>
        <w:sectPr w:rsidR="00767710" w:rsidSect="00D34133">
          <w:pgSz w:w="16817" w:h="11901" w:orient="landscape"/>
          <w:pgMar w:top="1440" w:right="1440" w:bottom="1440" w:left="1440" w:header="709" w:footer="709" w:gutter="0"/>
          <w:lnNumType w:countBy="1" w:restart="continuous"/>
          <w:cols w:space="708"/>
          <w:docGrid w:linePitch="360"/>
        </w:sectPr>
      </w:pPr>
    </w:p>
    <w:p w14:paraId="3649F67D" w14:textId="25A16BEB" w:rsidR="0003303D" w:rsidRPr="0003303D" w:rsidRDefault="002E6EE9" w:rsidP="00D34133">
      <w:pPr>
        <w:spacing w:line="360" w:lineRule="auto"/>
        <w:rPr>
          <w:rFonts w:asciiTheme="minorHAnsi" w:hAnsiTheme="minorHAnsi" w:cstheme="minorHAnsi"/>
          <w:b/>
          <w:bCs/>
        </w:rPr>
      </w:pPr>
      <w:r w:rsidRPr="002E6EE9">
        <w:rPr>
          <w:rFonts w:asciiTheme="minorHAnsi" w:hAnsiTheme="minorHAnsi" w:cstheme="minorBidi"/>
          <w:b/>
          <w:bCs/>
        </w:rPr>
        <w:lastRenderedPageBreak/>
        <w:t xml:space="preserve">Figure 1. </w:t>
      </w:r>
      <w:r w:rsidR="0003303D" w:rsidRPr="0003303D">
        <w:rPr>
          <w:rFonts w:asciiTheme="minorHAnsi" w:hAnsiTheme="minorHAnsi" w:cstheme="minorBidi"/>
        </w:rPr>
        <w:t>(Top left)</w:t>
      </w:r>
      <w:r w:rsidR="0003303D">
        <w:rPr>
          <w:rFonts w:asciiTheme="minorHAnsi" w:hAnsiTheme="minorHAnsi" w:cstheme="minorBidi"/>
          <w:b/>
          <w:bCs/>
        </w:rPr>
        <w:t xml:space="preserve"> </w:t>
      </w:r>
      <w:r w:rsidR="0003303D" w:rsidRPr="0003303D">
        <w:rPr>
          <w:rFonts w:asciiTheme="minorHAnsi" w:hAnsiTheme="minorHAnsi" w:cstheme="minorHAnsi"/>
        </w:rPr>
        <w:t>Example MR images of body composition segmentation</w:t>
      </w:r>
      <w:r w:rsidR="0003303D">
        <w:rPr>
          <w:rFonts w:asciiTheme="minorHAnsi" w:hAnsiTheme="minorHAnsi" w:cstheme="minorHAnsi"/>
        </w:rPr>
        <w:t>: SMI</w:t>
      </w:r>
      <w:r w:rsidR="00907F9F">
        <w:rPr>
          <w:rFonts w:asciiTheme="minorHAnsi" w:hAnsiTheme="minorHAnsi" w:cstheme="minorHAnsi"/>
        </w:rPr>
        <w:t xml:space="preserve"> – skeletal muscle index; SAT – subcutaneous adipose tissue; VAT – visceral adipose tissue</w:t>
      </w:r>
      <w:r w:rsidR="009B3604">
        <w:rPr>
          <w:rFonts w:asciiTheme="minorHAnsi" w:hAnsiTheme="minorHAnsi" w:cstheme="minorHAnsi"/>
        </w:rPr>
        <w:t>. (Top right) p</w:t>
      </w:r>
      <w:r w:rsidR="0003303D" w:rsidRPr="0003303D">
        <w:rPr>
          <w:rFonts w:asciiTheme="minorHAnsi" w:hAnsiTheme="minorHAnsi" w:cstheme="minorHAnsi"/>
        </w:rPr>
        <w:t>ancreas with example typical ROI placement (H – head, B – body, T – tail)</w:t>
      </w:r>
      <w:r w:rsidR="000D3025">
        <w:rPr>
          <w:rFonts w:asciiTheme="minorHAnsi" w:hAnsiTheme="minorHAnsi" w:cstheme="minorHAnsi"/>
        </w:rPr>
        <w:t>.</w:t>
      </w:r>
      <w:r w:rsidR="009B3604">
        <w:rPr>
          <w:rFonts w:asciiTheme="minorHAnsi" w:hAnsiTheme="minorHAnsi" w:cstheme="minorHAnsi"/>
        </w:rPr>
        <w:t xml:space="preserve"> (</w:t>
      </w:r>
      <w:r w:rsidR="000D3025">
        <w:rPr>
          <w:rFonts w:asciiTheme="minorHAnsi" w:hAnsiTheme="minorHAnsi" w:cstheme="minorHAnsi"/>
        </w:rPr>
        <w:t>M</w:t>
      </w:r>
      <w:r w:rsidR="009B3604">
        <w:rPr>
          <w:rFonts w:asciiTheme="minorHAnsi" w:hAnsiTheme="minorHAnsi" w:cstheme="minorHAnsi"/>
        </w:rPr>
        <w:t>iddle)</w:t>
      </w:r>
      <w:r w:rsidR="0003303D" w:rsidRPr="0003303D">
        <w:rPr>
          <w:rFonts w:asciiTheme="minorHAnsi" w:hAnsiTheme="minorHAnsi" w:cstheme="minorHAnsi"/>
        </w:rPr>
        <w:t xml:space="preserve"> liver cT1 and </w:t>
      </w:r>
      <w:r w:rsidR="009B3604">
        <w:rPr>
          <w:rFonts w:asciiTheme="minorHAnsi" w:hAnsiTheme="minorHAnsi" w:cstheme="minorHAnsi"/>
        </w:rPr>
        <w:t xml:space="preserve">(bottom) </w:t>
      </w:r>
      <w:r w:rsidR="0003303D" w:rsidRPr="0003303D">
        <w:rPr>
          <w:rFonts w:asciiTheme="minorHAnsi" w:hAnsiTheme="minorHAnsi" w:cstheme="minorHAnsi"/>
        </w:rPr>
        <w:t>liver PDFF</w:t>
      </w:r>
      <w:r w:rsidR="00FF4C34">
        <w:rPr>
          <w:rFonts w:asciiTheme="minorHAnsi" w:hAnsiTheme="minorHAnsi" w:cstheme="minorHAnsi"/>
        </w:rPr>
        <w:t xml:space="preserve"> with corresponding reference values</w:t>
      </w:r>
      <w:r w:rsidR="009B3604">
        <w:rPr>
          <w:rFonts w:asciiTheme="minorHAnsi" w:hAnsiTheme="minorHAnsi" w:cstheme="minorHAnsi"/>
        </w:rPr>
        <w:t>.</w:t>
      </w:r>
    </w:p>
    <w:p w14:paraId="5C7CE7EB" w14:textId="4E81EF94" w:rsidR="002E6EE9" w:rsidRDefault="002E6EE9" w:rsidP="00D34133">
      <w:pPr>
        <w:spacing w:line="360" w:lineRule="auto"/>
        <w:rPr>
          <w:rFonts w:asciiTheme="minorHAnsi" w:hAnsiTheme="minorHAnsi" w:cstheme="minorBidi"/>
          <w:b/>
          <w:bCs/>
        </w:rPr>
      </w:pPr>
    </w:p>
    <w:p w14:paraId="095121BF" w14:textId="3725A407" w:rsidR="002E6EE9" w:rsidRDefault="002E6EE9" w:rsidP="003860D5">
      <w:pPr>
        <w:rPr>
          <w:rFonts w:asciiTheme="minorHAnsi" w:hAnsiTheme="minorHAnsi" w:cstheme="minorBidi"/>
          <w:b/>
          <w:bCs/>
        </w:rPr>
      </w:pPr>
    </w:p>
    <w:p w14:paraId="27E8F7B4" w14:textId="59238FE4" w:rsidR="002E6EE9" w:rsidRDefault="002E6EE9" w:rsidP="003860D5">
      <w:pPr>
        <w:rPr>
          <w:rFonts w:asciiTheme="minorHAnsi" w:hAnsiTheme="minorHAnsi" w:cstheme="minorBidi"/>
          <w:b/>
          <w:bCs/>
        </w:rPr>
      </w:pPr>
    </w:p>
    <w:p w14:paraId="14A3D112" w14:textId="3CB21E44" w:rsidR="002E6EE9" w:rsidRPr="002E6EE9" w:rsidRDefault="002E6EE9" w:rsidP="003860D5">
      <w:pPr>
        <w:rPr>
          <w:rFonts w:asciiTheme="minorHAnsi" w:hAnsiTheme="minorHAnsi" w:cstheme="minorBidi"/>
          <w:b/>
          <w:bCs/>
        </w:rPr>
      </w:pPr>
    </w:p>
    <w:p w14:paraId="479933A4" w14:textId="6A48D341" w:rsidR="002E6EE9" w:rsidRDefault="002E6EE9" w:rsidP="003860D5">
      <w:pPr>
        <w:rPr>
          <w:rFonts w:asciiTheme="minorHAnsi" w:hAnsiTheme="minorHAnsi" w:cstheme="minorBidi"/>
        </w:rPr>
      </w:pPr>
    </w:p>
    <w:p w14:paraId="06DD5DC7" w14:textId="77777777" w:rsidR="002E6EE9" w:rsidRDefault="002E6EE9" w:rsidP="003860D5">
      <w:pPr>
        <w:rPr>
          <w:rFonts w:asciiTheme="minorHAnsi" w:hAnsiTheme="minorHAnsi" w:cstheme="minorBidi"/>
        </w:rPr>
      </w:pPr>
    </w:p>
    <w:p w14:paraId="3DA393F5" w14:textId="7429B1D9" w:rsidR="002E6EE9" w:rsidRPr="003A2521" w:rsidRDefault="002E6EE9" w:rsidP="003860D5">
      <w:pPr>
        <w:rPr>
          <w:rFonts w:asciiTheme="minorHAnsi" w:hAnsiTheme="minorHAnsi" w:cstheme="minorBidi"/>
        </w:rPr>
      </w:pPr>
      <w:r>
        <w:rPr>
          <w:rFonts w:asciiTheme="minorHAnsi" w:hAnsiTheme="minorHAnsi" w:cstheme="minorBidi"/>
        </w:rPr>
        <w:br w:type="page"/>
      </w:r>
    </w:p>
    <w:p w14:paraId="4B0236D1" w14:textId="6E8C11D3" w:rsidR="003A2521" w:rsidRDefault="003A2521" w:rsidP="004405A2">
      <w:pPr>
        <w:spacing w:line="480" w:lineRule="auto"/>
        <w:jc w:val="both"/>
        <w:rPr>
          <w:rFonts w:asciiTheme="minorHAnsi" w:hAnsiTheme="minorHAnsi" w:cstheme="minorHAnsi"/>
        </w:rPr>
      </w:pPr>
      <w:r>
        <w:rPr>
          <w:rFonts w:asciiTheme="minorHAnsi" w:hAnsiTheme="minorHAnsi" w:cstheme="minorHAnsi"/>
          <w:b/>
          <w:bCs/>
        </w:rPr>
        <w:lastRenderedPageBreak/>
        <w:t xml:space="preserve">Figure </w:t>
      </w:r>
      <w:r w:rsidR="002E6EE9">
        <w:rPr>
          <w:rFonts w:asciiTheme="minorHAnsi" w:hAnsiTheme="minorHAnsi" w:cstheme="minorHAnsi"/>
          <w:b/>
          <w:bCs/>
        </w:rPr>
        <w:t>2</w:t>
      </w:r>
      <w:r>
        <w:rPr>
          <w:rFonts w:asciiTheme="minorHAnsi" w:hAnsiTheme="minorHAnsi" w:cstheme="minorHAnsi"/>
          <w:b/>
          <w:bCs/>
        </w:rPr>
        <w:t xml:space="preserve">. </w:t>
      </w:r>
      <w:r>
        <w:rPr>
          <w:rFonts w:asciiTheme="minorHAnsi" w:hAnsiTheme="minorHAnsi" w:cstheme="minorHAnsi"/>
        </w:rPr>
        <w:t xml:space="preserve">Bayesian-network structure from the </w:t>
      </w:r>
      <w:r w:rsidR="003D1522">
        <w:rPr>
          <w:rFonts w:asciiTheme="minorHAnsi" w:hAnsiTheme="minorHAnsi" w:cstheme="minorHAnsi"/>
        </w:rPr>
        <w:t>T2D</w:t>
      </w:r>
      <w:r>
        <w:rPr>
          <w:rFonts w:asciiTheme="minorHAnsi" w:hAnsiTheme="minorHAnsi" w:cstheme="minorHAnsi"/>
        </w:rPr>
        <w:t xml:space="preserve"> cohort. </w:t>
      </w:r>
    </w:p>
    <w:p w14:paraId="2E6B6CC7" w14:textId="454E6DAF" w:rsidR="00586B64" w:rsidRDefault="00586B64" w:rsidP="004405A2">
      <w:pPr>
        <w:spacing w:line="480" w:lineRule="auto"/>
        <w:jc w:val="both"/>
        <w:rPr>
          <w:rFonts w:asciiTheme="minorHAnsi" w:hAnsiTheme="minorHAnsi" w:cstheme="minorHAnsi"/>
        </w:rPr>
      </w:pPr>
    </w:p>
    <w:p w14:paraId="06E7DAE3" w14:textId="2CC30AFD" w:rsidR="00586B64" w:rsidRDefault="00586B64" w:rsidP="004405A2">
      <w:pPr>
        <w:spacing w:line="480" w:lineRule="auto"/>
        <w:jc w:val="both"/>
        <w:rPr>
          <w:rFonts w:asciiTheme="minorHAnsi" w:hAnsiTheme="minorHAnsi" w:cstheme="minorHAnsi"/>
        </w:rPr>
      </w:pPr>
    </w:p>
    <w:p w14:paraId="25E2C255" w14:textId="2F7DA94B" w:rsidR="003A2521" w:rsidRDefault="003A2521">
      <w:pPr>
        <w:rPr>
          <w:rFonts w:asciiTheme="minorHAnsi" w:hAnsiTheme="minorHAnsi" w:cstheme="minorHAnsi"/>
        </w:rPr>
      </w:pPr>
      <w:r>
        <w:rPr>
          <w:rFonts w:asciiTheme="minorHAnsi" w:hAnsiTheme="minorHAnsi" w:cstheme="minorHAnsi"/>
        </w:rPr>
        <w:br w:type="page"/>
      </w:r>
    </w:p>
    <w:p w14:paraId="02D48202" w14:textId="11BB1F99" w:rsidR="003A2521" w:rsidRDefault="003A2521" w:rsidP="004405A2">
      <w:pPr>
        <w:spacing w:line="480" w:lineRule="auto"/>
        <w:jc w:val="both"/>
        <w:rPr>
          <w:rFonts w:asciiTheme="minorHAnsi" w:hAnsiTheme="minorHAnsi" w:cstheme="minorHAnsi"/>
        </w:rPr>
      </w:pPr>
      <w:r w:rsidRPr="003A2521">
        <w:rPr>
          <w:rFonts w:asciiTheme="minorHAnsi" w:hAnsiTheme="minorHAnsi" w:cstheme="minorHAnsi"/>
          <w:b/>
          <w:bCs/>
        </w:rPr>
        <w:lastRenderedPageBreak/>
        <w:t xml:space="preserve">Figure </w:t>
      </w:r>
      <w:r w:rsidR="002E6EE9">
        <w:rPr>
          <w:rFonts w:asciiTheme="minorHAnsi" w:hAnsiTheme="minorHAnsi" w:cstheme="minorHAnsi"/>
          <w:b/>
          <w:bCs/>
        </w:rPr>
        <w:t>3</w:t>
      </w:r>
      <w:r w:rsidRPr="003A2521">
        <w:rPr>
          <w:rFonts w:asciiTheme="minorHAnsi" w:hAnsiTheme="minorHAnsi" w:cstheme="minorHAnsi"/>
          <w:b/>
          <w:bCs/>
        </w:rPr>
        <w:t>.</w:t>
      </w:r>
      <w:r>
        <w:rPr>
          <w:rFonts w:asciiTheme="minorHAnsi" w:hAnsiTheme="minorHAnsi" w:cstheme="minorHAnsi"/>
        </w:rPr>
        <w:t xml:space="preserve"> Bayesian-network structure from the </w:t>
      </w:r>
      <w:r w:rsidR="003D1522">
        <w:rPr>
          <w:rFonts w:asciiTheme="minorHAnsi" w:hAnsiTheme="minorHAnsi" w:cstheme="minorHAnsi"/>
        </w:rPr>
        <w:t>non-T2D</w:t>
      </w:r>
      <w:r>
        <w:rPr>
          <w:rFonts w:asciiTheme="minorHAnsi" w:hAnsiTheme="minorHAnsi" w:cstheme="minorHAnsi"/>
        </w:rPr>
        <w:t xml:space="preserve"> cohort.</w:t>
      </w:r>
    </w:p>
    <w:p w14:paraId="4B0878F1" w14:textId="72098DFB" w:rsidR="00586B64" w:rsidRPr="003A2521" w:rsidRDefault="00586B64" w:rsidP="004405A2">
      <w:pPr>
        <w:spacing w:line="480" w:lineRule="auto"/>
        <w:jc w:val="both"/>
        <w:rPr>
          <w:rFonts w:asciiTheme="minorHAnsi" w:hAnsiTheme="minorHAnsi" w:cstheme="minorHAnsi"/>
        </w:rPr>
      </w:pPr>
    </w:p>
    <w:p w14:paraId="6793EB77" w14:textId="7FD9592A" w:rsidR="003A2521" w:rsidRDefault="003A2521" w:rsidP="003A2521">
      <w:pPr>
        <w:rPr>
          <w:rFonts w:asciiTheme="minorHAnsi" w:hAnsiTheme="minorHAnsi" w:cstheme="minorHAnsi"/>
          <w:b/>
          <w:bCs/>
        </w:rPr>
      </w:pPr>
      <w:r>
        <w:rPr>
          <w:rFonts w:asciiTheme="minorHAnsi" w:hAnsiTheme="minorHAnsi" w:cstheme="minorHAnsi"/>
          <w:b/>
          <w:bCs/>
        </w:rPr>
        <w:br w:type="page"/>
      </w:r>
    </w:p>
    <w:p w14:paraId="160B93EB" w14:textId="3B9D0436" w:rsidR="009E1245" w:rsidRDefault="009233D5" w:rsidP="009E1245">
      <w:pPr>
        <w:spacing w:line="480" w:lineRule="auto"/>
        <w:jc w:val="both"/>
        <w:rPr>
          <w:rFonts w:asciiTheme="minorHAnsi" w:hAnsiTheme="minorHAnsi" w:cstheme="minorHAnsi"/>
        </w:rPr>
      </w:pPr>
      <w:r w:rsidRPr="00875555">
        <w:rPr>
          <w:rFonts w:asciiTheme="minorHAnsi" w:hAnsiTheme="minorHAnsi" w:cstheme="minorHAnsi"/>
          <w:b/>
          <w:bCs/>
        </w:rPr>
        <w:lastRenderedPageBreak/>
        <w:t xml:space="preserve">Figure </w:t>
      </w:r>
      <w:r w:rsidR="00F400B1">
        <w:rPr>
          <w:rFonts w:asciiTheme="minorHAnsi" w:hAnsiTheme="minorHAnsi" w:cstheme="minorHAnsi"/>
          <w:b/>
          <w:bCs/>
        </w:rPr>
        <w:t>4</w:t>
      </w:r>
      <w:r w:rsidRPr="00875555">
        <w:rPr>
          <w:rFonts w:asciiTheme="minorHAnsi" w:hAnsiTheme="minorHAnsi" w:cstheme="minorHAnsi"/>
          <w:b/>
          <w:bCs/>
        </w:rPr>
        <w:t xml:space="preserve">. </w:t>
      </w:r>
      <w:r w:rsidR="004405A2">
        <w:rPr>
          <w:rFonts w:asciiTheme="minorHAnsi" w:hAnsiTheme="minorHAnsi" w:cstheme="minorHAnsi"/>
        </w:rPr>
        <w:t xml:space="preserve">Probability of NASH (%) by obesity category (BMI) in the </w:t>
      </w:r>
      <w:r w:rsidR="00110E15">
        <w:rPr>
          <w:rFonts w:asciiTheme="minorHAnsi" w:hAnsiTheme="minorHAnsi" w:cstheme="minorHAnsi"/>
        </w:rPr>
        <w:t>non-</w:t>
      </w:r>
      <w:r w:rsidR="00B25A25">
        <w:rPr>
          <w:rFonts w:asciiTheme="minorHAnsi" w:hAnsiTheme="minorHAnsi" w:cstheme="minorHAnsi"/>
        </w:rPr>
        <w:t xml:space="preserve">T2D </w:t>
      </w:r>
      <w:r w:rsidR="004405A2">
        <w:rPr>
          <w:rFonts w:asciiTheme="minorHAnsi" w:hAnsiTheme="minorHAnsi" w:cstheme="minorHAnsi"/>
        </w:rPr>
        <w:t xml:space="preserve">(red) and </w:t>
      </w:r>
      <w:r w:rsidR="00B25A25">
        <w:rPr>
          <w:rFonts w:asciiTheme="minorHAnsi" w:hAnsiTheme="minorHAnsi" w:cstheme="minorHAnsi"/>
        </w:rPr>
        <w:t xml:space="preserve">T2D </w:t>
      </w:r>
      <w:r w:rsidR="004405A2">
        <w:rPr>
          <w:rFonts w:asciiTheme="minorHAnsi" w:hAnsiTheme="minorHAnsi" w:cstheme="minorHAnsi"/>
        </w:rPr>
        <w:t>(blue) cohorts.</w:t>
      </w:r>
    </w:p>
    <w:p w14:paraId="02D1D870" w14:textId="0540EE11" w:rsidR="0036005E" w:rsidRDefault="0036005E" w:rsidP="009233D5">
      <w:pPr>
        <w:spacing w:line="360" w:lineRule="auto"/>
        <w:jc w:val="both"/>
        <w:rPr>
          <w:rFonts w:asciiTheme="minorHAnsi" w:hAnsiTheme="minorHAnsi" w:cstheme="minorHAnsi"/>
        </w:rPr>
      </w:pPr>
    </w:p>
    <w:p w14:paraId="346EAD15" w14:textId="202C6DE4" w:rsidR="009233D5" w:rsidRPr="00D224DE" w:rsidRDefault="009233D5" w:rsidP="003860D5">
      <w:pPr>
        <w:rPr>
          <w:rFonts w:asciiTheme="minorHAnsi" w:hAnsiTheme="minorHAnsi" w:cstheme="minorHAnsi"/>
        </w:rPr>
      </w:pPr>
      <w:r>
        <w:rPr>
          <w:rFonts w:asciiTheme="minorHAnsi" w:hAnsiTheme="minorHAnsi" w:cstheme="minorHAnsi"/>
        </w:rPr>
        <w:br w:type="page"/>
      </w:r>
    </w:p>
    <w:p w14:paraId="577F9E81" w14:textId="77777777" w:rsidR="00767710" w:rsidRDefault="00767710" w:rsidP="009233D5">
      <w:pPr>
        <w:spacing w:line="480" w:lineRule="auto"/>
        <w:jc w:val="both"/>
        <w:rPr>
          <w:rFonts w:asciiTheme="minorHAnsi" w:hAnsiTheme="minorHAnsi" w:cstheme="minorHAnsi"/>
          <w:b/>
          <w:bCs/>
        </w:rPr>
        <w:sectPr w:rsidR="00767710" w:rsidSect="00F05B09">
          <w:pgSz w:w="11900" w:h="16840"/>
          <w:pgMar w:top="1440" w:right="1440" w:bottom="1440" w:left="1440" w:header="708" w:footer="708" w:gutter="0"/>
          <w:lnNumType w:countBy="1" w:restart="continuous"/>
          <w:cols w:space="708"/>
          <w:docGrid w:linePitch="360"/>
        </w:sectPr>
      </w:pPr>
    </w:p>
    <w:p w14:paraId="14F2CBBC" w14:textId="238E29F8" w:rsidR="009233D5" w:rsidRDefault="009233D5" w:rsidP="009233D5">
      <w:pPr>
        <w:spacing w:line="480" w:lineRule="auto"/>
        <w:jc w:val="both"/>
        <w:rPr>
          <w:rFonts w:asciiTheme="minorHAnsi" w:hAnsiTheme="minorHAnsi" w:cstheme="minorHAnsi"/>
          <w:b/>
          <w:bCs/>
        </w:rPr>
      </w:pPr>
      <w:r w:rsidRPr="00FF54F6">
        <w:rPr>
          <w:rFonts w:asciiTheme="minorHAnsi" w:hAnsiTheme="minorHAnsi" w:cstheme="minorHAnsi"/>
          <w:b/>
          <w:bCs/>
        </w:rPr>
        <w:lastRenderedPageBreak/>
        <w:t xml:space="preserve">Figure </w:t>
      </w:r>
      <w:r w:rsidR="009E1245">
        <w:rPr>
          <w:rFonts w:asciiTheme="minorHAnsi" w:hAnsiTheme="minorHAnsi" w:cstheme="minorHAnsi"/>
          <w:b/>
          <w:bCs/>
        </w:rPr>
        <w:t>5</w:t>
      </w:r>
      <w:r w:rsidRPr="00FF54F6">
        <w:rPr>
          <w:rFonts w:asciiTheme="minorHAnsi" w:hAnsiTheme="minorHAnsi" w:cstheme="minorHAnsi"/>
          <w:b/>
          <w:bCs/>
        </w:rPr>
        <w:t xml:space="preserve">. </w:t>
      </w:r>
      <w:r w:rsidR="009E1245">
        <w:rPr>
          <w:rFonts w:asciiTheme="minorHAnsi" w:hAnsiTheme="minorHAnsi" w:cstheme="minorHAnsi"/>
        </w:rPr>
        <w:t>Probability of NASH (%)</w:t>
      </w:r>
      <w:r w:rsidR="00AD28CF">
        <w:rPr>
          <w:rFonts w:asciiTheme="minorHAnsi" w:hAnsiTheme="minorHAnsi" w:cstheme="minorHAnsi"/>
        </w:rPr>
        <w:t xml:space="preserve"> </w:t>
      </w:r>
      <w:r w:rsidR="003D3090">
        <w:rPr>
          <w:rFonts w:asciiTheme="minorHAnsi" w:hAnsiTheme="minorHAnsi" w:cstheme="minorHAnsi"/>
        </w:rPr>
        <w:t>under</w:t>
      </w:r>
      <w:r w:rsidR="00C632F8">
        <w:rPr>
          <w:rFonts w:asciiTheme="minorHAnsi" w:hAnsiTheme="minorHAnsi" w:cstheme="minorHAnsi"/>
        </w:rPr>
        <w:t xml:space="preserve"> VAT (top left), SAT (top right), SMI (bottom left) and HbA1c status (bottom right) </w:t>
      </w:r>
      <w:r w:rsidR="003D3090">
        <w:rPr>
          <w:rFonts w:asciiTheme="minorHAnsi" w:hAnsiTheme="minorHAnsi" w:cstheme="minorHAnsi"/>
        </w:rPr>
        <w:t xml:space="preserve">conditions </w:t>
      </w:r>
      <w:r w:rsidR="009E1245">
        <w:rPr>
          <w:rFonts w:asciiTheme="minorHAnsi" w:hAnsiTheme="minorHAnsi" w:cstheme="minorHAnsi"/>
        </w:rPr>
        <w:t xml:space="preserve">in the </w:t>
      </w:r>
      <w:r w:rsidR="007F642C">
        <w:rPr>
          <w:rFonts w:asciiTheme="minorHAnsi" w:hAnsiTheme="minorHAnsi" w:cstheme="minorHAnsi"/>
        </w:rPr>
        <w:t>non-</w:t>
      </w:r>
      <w:r w:rsidR="009E1245">
        <w:rPr>
          <w:rFonts w:asciiTheme="minorHAnsi" w:hAnsiTheme="minorHAnsi" w:cstheme="minorHAnsi"/>
        </w:rPr>
        <w:t>T2D (red) and T2D (blue) cohorts.</w:t>
      </w:r>
    </w:p>
    <w:p w14:paraId="55F09214" w14:textId="77777777" w:rsidR="00767710" w:rsidRDefault="00767710" w:rsidP="009233D5">
      <w:pPr>
        <w:spacing w:line="480" w:lineRule="auto"/>
        <w:jc w:val="both"/>
        <w:rPr>
          <w:rFonts w:asciiTheme="minorHAnsi" w:hAnsiTheme="minorHAnsi" w:cstheme="minorHAnsi"/>
        </w:rPr>
        <w:sectPr w:rsidR="00767710" w:rsidSect="00D34133">
          <w:pgSz w:w="16817" w:h="11901" w:orient="landscape"/>
          <w:pgMar w:top="1440" w:right="1440" w:bottom="1440" w:left="1440" w:header="709" w:footer="709" w:gutter="0"/>
          <w:lnNumType w:countBy="1" w:restart="continuous"/>
          <w:cols w:space="708"/>
          <w:docGrid w:linePitch="360"/>
        </w:sectPr>
      </w:pPr>
    </w:p>
    <w:p w14:paraId="0738B216" w14:textId="02C896C3" w:rsidR="00853DDB" w:rsidRDefault="00F535A5" w:rsidP="00D34133">
      <w:pPr>
        <w:spacing w:line="360" w:lineRule="auto"/>
        <w:jc w:val="both"/>
        <w:rPr>
          <w:rFonts w:asciiTheme="minorHAnsi" w:hAnsiTheme="minorHAnsi" w:cstheme="minorHAnsi"/>
          <w:b/>
          <w:bCs/>
        </w:rPr>
      </w:pPr>
      <w:r>
        <w:rPr>
          <w:rFonts w:asciiTheme="minorHAnsi" w:hAnsiTheme="minorHAnsi" w:cstheme="minorHAnsi"/>
          <w:b/>
          <w:bCs/>
        </w:rPr>
        <w:lastRenderedPageBreak/>
        <w:t>Acknowledgements</w:t>
      </w:r>
    </w:p>
    <w:p w14:paraId="6C8CCE4E" w14:textId="5825C059" w:rsidR="00284F3B" w:rsidRPr="00284F3B" w:rsidRDefault="00F535A5" w:rsidP="0038362A">
      <w:pPr>
        <w:spacing w:line="480" w:lineRule="auto"/>
        <w:jc w:val="both"/>
        <w:rPr>
          <w:rFonts w:asciiTheme="minorHAnsi" w:hAnsiTheme="minorHAnsi" w:cstheme="minorHAnsi"/>
          <w:highlight w:val="yellow"/>
        </w:rPr>
      </w:pPr>
      <w:r w:rsidRPr="00284F3B">
        <w:rPr>
          <w:rFonts w:asciiTheme="minorHAnsi" w:hAnsiTheme="minorHAnsi" w:cstheme="minorHAnsi"/>
        </w:rPr>
        <w:t xml:space="preserve">We thank the research volunteers for participating in the </w:t>
      </w:r>
      <w:r w:rsidR="00581255" w:rsidRPr="00284F3B">
        <w:rPr>
          <w:rFonts w:asciiTheme="minorHAnsi" w:hAnsiTheme="minorHAnsi" w:cstheme="minorHAnsi"/>
        </w:rPr>
        <w:t>MODIFY and UK Biobank</w:t>
      </w:r>
      <w:r w:rsidRPr="00284F3B">
        <w:rPr>
          <w:rFonts w:asciiTheme="minorHAnsi" w:hAnsiTheme="minorHAnsi" w:cstheme="minorHAnsi"/>
        </w:rPr>
        <w:t xml:space="preserve"> stud</w:t>
      </w:r>
      <w:r w:rsidR="00581255" w:rsidRPr="00284F3B">
        <w:rPr>
          <w:rFonts w:asciiTheme="minorHAnsi" w:hAnsiTheme="minorHAnsi" w:cstheme="minorHAnsi"/>
        </w:rPr>
        <w:t>ies</w:t>
      </w:r>
      <w:r w:rsidR="00C56744" w:rsidRPr="00284F3B">
        <w:rPr>
          <w:rFonts w:asciiTheme="minorHAnsi" w:hAnsiTheme="minorHAnsi" w:cstheme="minorHAnsi"/>
        </w:rPr>
        <w:t xml:space="preserve"> and the Royal Commission for the Exhibition of 1851 for their funding support</w:t>
      </w:r>
      <w:r w:rsidR="00C56744" w:rsidRPr="00F145D6">
        <w:rPr>
          <w:rFonts w:asciiTheme="minorHAnsi" w:hAnsiTheme="minorHAnsi" w:cstheme="minorHAnsi"/>
        </w:rPr>
        <w:t>.</w:t>
      </w:r>
      <w:r w:rsidR="00AC06F9" w:rsidRPr="00F145D6">
        <w:rPr>
          <w:rFonts w:asciiTheme="minorHAnsi" w:hAnsiTheme="minorHAnsi" w:cstheme="minorHAnsi"/>
        </w:rPr>
        <w:t xml:space="preserve"> </w:t>
      </w:r>
      <w:r w:rsidR="00284F3B" w:rsidRPr="00F145D6">
        <w:rPr>
          <w:rFonts w:asciiTheme="minorHAnsi" w:hAnsiTheme="minorHAnsi" w:cstheme="minorHAnsi"/>
        </w:rPr>
        <w:t xml:space="preserve">The MODIFY study </w:t>
      </w:r>
      <w:r w:rsidR="00AC06F9" w:rsidRPr="00F145D6">
        <w:rPr>
          <w:rFonts w:asciiTheme="minorHAnsi" w:hAnsiTheme="minorHAnsi" w:cstheme="minorHAnsi"/>
        </w:rPr>
        <w:t>has received funding from</w:t>
      </w:r>
      <w:r w:rsidR="00284F3B" w:rsidRPr="00F145D6">
        <w:rPr>
          <w:rFonts w:asciiTheme="minorHAnsi" w:hAnsiTheme="minorHAnsi" w:cstheme="minorHAnsi"/>
        </w:rPr>
        <w:t xml:space="preserve"> the </w:t>
      </w:r>
      <w:r w:rsidR="00284F3B" w:rsidRPr="00F145D6">
        <w:rPr>
          <w:rFonts w:asciiTheme="minorHAnsi" w:hAnsiTheme="minorHAnsi" w:cstheme="minorHAnsi"/>
          <w:shd w:val="clear" w:color="auto" w:fill="FFFFFF"/>
        </w:rPr>
        <w:t>Innovate UK Digital Health Technology Catalyst scheme.</w:t>
      </w:r>
    </w:p>
    <w:p w14:paraId="0557DCB4" w14:textId="77777777" w:rsidR="007A2854" w:rsidRDefault="007A2854" w:rsidP="0038362A">
      <w:pPr>
        <w:spacing w:line="480" w:lineRule="auto"/>
        <w:jc w:val="both"/>
        <w:rPr>
          <w:rFonts w:asciiTheme="minorHAnsi" w:hAnsiTheme="minorHAnsi" w:cstheme="minorHAnsi"/>
        </w:rPr>
      </w:pPr>
    </w:p>
    <w:p w14:paraId="5D7DF059" w14:textId="77777777" w:rsidR="007A2854" w:rsidRDefault="007A2854" w:rsidP="0038362A">
      <w:pPr>
        <w:spacing w:line="480" w:lineRule="auto"/>
        <w:jc w:val="both"/>
        <w:rPr>
          <w:rFonts w:asciiTheme="minorHAnsi" w:hAnsiTheme="minorHAnsi" w:cstheme="minorHAnsi"/>
          <w:b/>
          <w:bCs/>
        </w:rPr>
      </w:pPr>
      <w:r>
        <w:rPr>
          <w:rFonts w:asciiTheme="minorHAnsi" w:hAnsiTheme="minorHAnsi" w:cstheme="minorHAnsi"/>
          <w:b/>
          <w:bCs/>
        </w:rPr>
        <w:t>Author contributions</w:t>
      </w:r>
    </w:p>
    <w:p w14:paraId="311FCD80" w14:textId="087EBFB9" w:rsidR="00D82654" w:rsidRDefault="00B03BD3" w:rsidP="0038362A">
      <w:pPr>
        <w:spacing w:line="480" w:lineRule="auto"/>
        <w:jc w:val="both"/>
        <w:rPr>
          <w:rFonts w:asciiTheme="minorHAnsi" w:hAnsiTheme="minorHAnsi" w:cstheme="minorHAnsi"/>
        </w:rPr>
      </w:pPr>
      <w:r>
        <w:rPr>
          <w:rFonts w:asciiTheme="minorHAnsi" w:hAnsiTheme="minorHAnsi" w:cstheme="minorHAnsi"/>
        </w:rPr>
        <w:t xml:space="preserve">TW analysed the data, </w:t>
      </w:r>
      <w:r w:rsidR="00890B25">
        <w:rPr>
          <w:rFonts w:asciiTheme="minorHAnsi" w:hAnsiTheme="minorHAnsi" w:cstheme="minorHAnsi"/>
        </w:rPr>
        <w:t>built</w:t>
      </w:r>
      <w:r w:rsidR="006713BB">
        <w:rPr>
          <w:rFonts w:asciiTheme="minorHAnsi" w:hAnsiTheme="minorHAnsi" w:cstheme="minorHAnsi"/>
        </w:rPr>
        <w:t xml:space="preserve"> the </w:t>
      </w:r>
      <w:r w:rsidR="00890B25">
        <w:rPr>
          <w:rFonts w:asciiTheme="minorHAnsi" w:hAnsiTheme="minorHAnsi" w:cstheme="minorHAnsi"/>
        </w:rPr>
        <w:t>Bayesian-network</w:t>
      </w:r>
      <w:r w:rsidR="000E7E42">
        <w:rPr>
          <w:rFonts w:asciiTheme="minorHAnsi" w:hAnsiTheme="minorHAnsi" w:cstheme="minorHAnsi"/>
        </w:rPr>
        <w:t>, conducted the probabilistic reasoning statistics</w:t>
      </w:r>
      <w:r w:rsidR="00442F65">
        <w:rPr>
          <w:rFonts w:asciiTheme="minorHAnsi" w:hAnsiTheme="minorHAnsi" w:cstheme="minorHAnsi"/>
        </w:rPr>
        <w:t>,</w:t>
      </w:r>
      <w:r w:rsidR="00890B25">
        <w:rPr>
          <w:rFonts w:asciiTheme="minorHAnsi" w:hAnsiTheme="minorHAnsi" w:cstheme="minorHAnsi"/>
        </w:rPr>
        <w:t xml:space="preserve"> and </w:t>
      </w:r>
      <w:r w:rsidR="000E7E42">
        <w:rPr>
          <w:rFonts w:asciiTheme="minorHAnsi" w:hAnsiTheme="minorHAnsi" w:cstheme="minorHAnsi"/>
        </w:rPr>
        <w:t xml:space="preserve">wrote the manuscript. </w:t>
      </w:r>
      <w:r w:rsidR="00442F65">
        <w:rPr>
          <w:rFonts w:asciiTheme="minorHAnsi" w:hAnsiTheme="minorHAnsi" w:cstheme="minorHAnsi"/>
        </w:rPr>
        <w:t xml:space="preserve">PD and AN supported in revising the manuscript and </w:t>
      </w:r>
      <w:r w:rsidR="00C84FDF">
        <w:rPr>
          <w:rFonts w:asciiTheme="minorHAnsi" w:hAnsiTheme="minorHAnsi" w:cstheme="minorHAnsi"/>
        </w:rPr>
        <w:t>offered technical assistance in</w:t>
      </w:r>
      <w:r w:rsidR="00442F65">
        <w:rPr>
          <w:rFonts w:asciiTheme="minorHAnsi" w:hAnsiTheme="minorHAnsi" w:cstheme="minorHAnsi"/>
        </w:rPr>
        <w:t xml:space="preserve"> </w:t>
      </w:r>
      <w:r w:rsidR="00522904">
        <w:rPr>
          <w:rFonts w:asciiTheme="minorHAnsi" w:hAnsiTheme="minorHAnsi" w:cstheme="minorHAnsi"/>
        </w:rPr>
        <w:t>study methodology</w:t>
      </w:r>
      <w:r w:rsidR="00C84FDF">
        <w:rPr>
          <w:rFonts w:asciiTheme="minorHAnsi" w:hAnsiTheme="minorHAnsi" w:cstheme="minorHAnsi"/>
        </w:rPr>
        <w:t>.</w:t>
      </w:r>
      <w:r w:rsidR="00442F65">
        <w:rPr>
          <w:rFonts w:asciiTheme="minorHAnsi" w:hAnsiTheme="minorHAnsi" w:cstheme="minorHAnsi"/>
        </w:rPr>
        <w:t xml:space="preserve"> </w:t>
      </w:r>
      <w:r w:rsidR="003C2844">
        <w:rPr>
          <w:rFonts w:asciiTheme="minorHAnsi" w:hAnsiTheme="minorHAnsi" w:cstheme="minorHAnsi"/>
        </w:rPr>
        <w:t>HTB supported in revising the manuscript. DC provided clinical support in building the network</w:t>
      </w:r>
      <w:r w:rsidR="008F6E4A">
        <w:rPr>
          <w:rFonts w:asciiTheme="minorHAnsi" w:hAnsiTheme="minorHAnsi" w:cstheme="minorHAnsi"/>
        </w:rPr>
        <w:t xml:space="preserve">, </w:t>
      </w:r>
      <w:r w:rsidR="003C2844">
        <w:rPr>
          <w:rFonts w:asciiTheme="minorHAnsi" w:hAnsiTheme="minorHAnsi" w:cstheme="minorHAnsi"/>
        </w:rPr>
        <w:t xml:space="preserve">devising probabilistic </w:t>
      </w:r>
      <w:r w:rsidR="008F6E4A">
        <w:rPr>
          <w:rFonts w:asciiTheme="minorHAnsi" w:hAnsiTheme="minorHAnsi" w:cstheme="minorHAnsi"/>
        </w:rPr>
        <w:t>reasoning questions</w:t>
      </w:r>
      <w:r w:rsidR="004D5773">
        <w:rPr>
          <w:rFonts w:asciiTheme="minorHAnsi" w:hAnsiTheme="minorHAnsi" w:cstheme="minorHAnsi"/>
        </w:rPr>
        <w:t>,</w:t>
      </w:r>
      <w:r w:rsidR="008F6E4A">
        <w:rPr>
          <w:rFonts w:asciiTheme="minorHAnsi" w:hAnsiTheme="minorHAnsi" w:cstheme="minorHAnsi"/>
        </w:rPr>
        <w:t xml:space="preserve"> revising the </w:t>
      </w:r>
      <w:r w:rsidR="00A45C45">
        <w:rPr>
          <w:rFonts w:asciiTheme="minorHAnsi" w:hAnsiTheme="minorHAnsi" w:cstheme="minorHAnsi"/>
        </w:rPr>
        <w:t>manuscript,</w:t>
      </w:r>
      <w:r w:rsidR="003D3090">
        <w:rPr>
          <w:rFonts w:asciiTheme="minorHAnsi" w:hAnsiTheme="minorHAnsi" w:cstheme="minorHAnsi"/>
        </w:rPr>
        <w:t xml:space="preserve"> and producing figure plots</w:t>
      </w:r>
      <w:r w:rsidR="008F6E4A">
        <w:rPr>
          <w:rFonts w:asciiTheme="minorHAnsi" w:hAnsiTheme="minorHAnsi" w:cstheme="minorHAnsi"/>
        </w:rPr>
        <w:t xml:space="preserve">. </w:t>
      </w:r>
      <w:r w:rsidR="00581255">
        <w:rPr>
          <w:rFonts w:asciiTheme="minorHAnsi" w:hAnsiTheme="minorHAnsi" w:cstheme="minorHAnsi"/>
        </w:rPr>
        <w:t>AT</w:t>
      </w:r>
      <w:r w:rsidR="003335FE">
        <w:rPr>
          <w:rFonts w:asciiTheme="minorHAnsi" w:hAnsiTheme="minorHAnsi" w:cstheme="minorHAnsi"/>
        </w:rPr>
        <w:t xml:space="preserve"> provided technical </w:t>
      </w:r>
      <w:r w:rsidR="004D5773">
        <w:rPr>
          <w:rFonts w:asciiTheme="minorHAnsi" w:hAnsiTheme="minorHAnsi" w:cstheme="minorHAnsi"/>
        </w:rPr>
        <w:t xml:space="preserve">assistance </w:t>
      </w:r>
      <w:r w:rsidR="00581255">
        <w:rPr>
          <w:rFonts w:asciiTheme="minorHAnsi" w:hAnsiTheme="minorHAnsi" w:cstheme="minorHAnsi"/>
        </w:rPr>
        <w:t>on statistical methodology</w:t>
      </w:r>
      <w:r w:rsidR="004D5773">
        <w:rPr>
          <w:rFonts w:asciiTheme="minorHAnsi" w:hAnsiTheme="minorHAnsi" w:cstheme="minorHAnsi"/>
        </w:rPr>
        <w:t>.</w:t>
      </w:r>
      <w:r w:rsidR="00581255">
        <w:rPr>
          <w:rFonts w:asciiTheme="minorHAnsi" w:hAnsiTheme="minorHAnsi" w:cstheme="minorHAnsi"/>
        </w:rPr>
        <w:t xml:space="preserve"> AF collected and synthesised genetic data from the UK Biobank.</w:t>
      </w:r>
      <w:r w:rsidR="004D5773">
        <w:rPr>
          <w:rFonts w:asciiTheme="minorHAnsi" w:hAnsiTheme="minorHAnsi" w:cstheme="minorHAnsi"/>
        </w:rPr>
        <w:t xml:space="preserve"> MB </w:t>
      </w:r>
      <w:r w:rsidR="00F9277D">
        <w:rPr>
          <w:rFonts w:asciiTheme="minorHAnsi" w:hAnsiTheme="minorHAnsi" w:cstheme="minorHAnsi"/>
        </w:rPr>
        <w:t>assisted with drafting the manuscript, defining project scope, and revising the manuscript for publication.</w:t>
      </w:r>
    </w:p>
    <w:p w14:paraId="315D338A" w14:textId="6D3C7681" w:rsidR="00493C74" w:rsidRPr="00B70B66" w:rsidRDefault="00514434" w:rsidP="0036005E">
      <w:pPr>
        <w:spacing w:line="480" w:lineRule="auto"/>
        <w:jc w:val="both"/>
        <w:rPr>
          <w:rFonts w:asciiTheme="minorHAnsi" w:hAnsiTheme="minorHAnsi" w:cstheme="minorHAnsi"/>
        </w:rPr>
      </w:pPr>
      <w:r>
        <w:rPr>
          <w:rFonts w:asciiTheme="minorHAnsi" w:hAnsiTheme="minorHAnsi" w:cstheme="minorHAnsi"/>
        </w:rPr>
        <w:t xml:space="preserve"> </w:t>
      </w:r>
    </w:p>
    <w:sectPr w:rsidR="00493C74" w:rsidRPr="00B70B66" w:rsidSect="00F05B09">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84689" w14:textId="77777777" w:rsidR="0066214E" w:rsidRDefault="0066214E" w:rsidP="00770FC5">
      <w:r>
        <w:separator/>
      </w:r>
    </w:p>
  </w:endnote>
  <w:endnote w:type="continuationSeparator" w:id="0">
    <w:p w14:paraId="1C238877" w14:textId="77777777" w:rsidR="0066214E" w:rsidRDefault="0066214E" w:rsidP="00770FC5">
      <w:r>
        <w:continuationSeparator/>
      </w:r>
    </w:p>
  </w:endnote>
  <w:endnote w:type="continuationNotice" w:id="1">
    <w:p w14:paraId="4CFE9069" w14:textId="77777777" w:rsidR="0066214E" w:rsidRDefault="006621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66AF" w14:textId="2A26045B" w:rsidR="00ED4127" w:rsidRDefault="00ED4127" w:rsidP="009C40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C2B45">
      <w:rPr>
        <w:rStyle w:val="PageNumber"/>
        <w:noProof/>
      </w:rPr>
      <w:t>7</w:t>
    </w:r>
    <w:r>
      <w:rPr>
        <w:rStyle w:val="PageNumber"/>
      </w:rPr>
      <w:fldChar w:fldCharType="end"/>
    </w:r>
  </w:p>
  <w:p w14:paraId="029E28A1" w14:textId="77777777" w:rsidR="00ED4127" w:rsidRDefault="00ED4127" w:rsidP="00ED41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6783787"/>
      <w:docPartObj>
        <w:docPartGallery w:val="Page Numbers (Bottom of Page)"/>
        <w:docPartUnique/>
      </w:docPartObj>
    </w:sdtPr>
    <w:sdtContent>
      <w:p w14:paraId="383390E3" w14:textId="6DBD55E2" w:rsidR="00ED4127" w:rsidRDefault="00ED4127" w:rsidP="009C40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C15DAC" w14:textId="77777777" w:rsidR="00ED4127" w:rsidRDefault="00ED4127" w:rsidP="00ED41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77735" w14:textId="77777777" w:rsidR="0066214E" w:rsidRDefault="0066214E" w:rsidP="00770FC5">
      <w:r>
        <w:separator/>
      </w:r>
    </w:p>
  </w:footnote>
  <w:footnote w:type="continuationSeparator" w:id="0">
    <w:p w14:paraId="08D5FC00" w14:textId="77777777" w:rsidR="0066214E" w:rsidRDefault="0066214E" w:rsidP="00770FC5">
      <w:r>
        <w:continuationSeparator/>
      </w:r>
    </w:p>
  </w:footnote>
  <w:footnote w:type="continuationNotice" w:id="1">
    <w:p w14:paraId="3F5768C3" w14:textId="77777777" w:rsidR="0066214E" w:rsidRDefault="006621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304E"/>
    <w:multiLevelType w:val="hybridMultilevel"/>
    <w:tmpl w:val="69B24E1E"/>
    <w:lvl w:ilvl="0" w:tplc="8DE0338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046C2"/>
    <w:multiLevelType w:val="hybridMultilevel"/>
    <w:tmpl w:val="3FC6DC08"/>
    <w:lvl w:ilvl="0" w:tplc="ADBC77BE">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5A7229"/>
    <w:multiLevelType w:val="multilevel"/>
    <w:tmpl w:val="A4BC4E12"/>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334747"/>
    <w:multiLevelType w:val="hybridMultilevel"/>
    <w:tmpl w:val="D8DE4170"/>
    <w:lvl w:ilvl="0" w:tplc="0E4CCB3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F1FE1"/>
    <w:multiLevelType w:val="hybridMultilevel"/>
    <w:tmpl w:val="CC08F032"/>
    <w:lvl w:ilvl="0" w:tplc="36E410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6555EB"/>
    <w:multiLevelType w:val="multilevel"/>
    <w:tmpl w:val="B064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AE73BA"/>
    <w:multiLevelType w:val="multilevel"/>
    <w:tmpl w:val="DB085BEC"/>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BD68E7"/>
    <w:multiLevelType w:val="hybridMultilevel"/>
    <w:tmpl w:val="0BB0AEFC"/>
    <w:lvl w:ilvl="0" w:tplc="3E360F3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1013F5"/>
    <w:multiLevelType w:val="hybridMultilevel"/>
    <w:tmpl w:val="CCD8FE5C"/>
    <w:lvl w:ilvl="0" w:tplc="8BD8489A">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221A15"/>
    <w:multiLevelType w:val="hybridMultilevel"/>
    <w:tmpl w:val="78DE76B0"/>
    <w:lvl w:ilvl="0" w:tplc="620AB1C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D948ED"/>
    <w:multiLevelType w:val="multilevel"/>
    <w:tmpl w:val="FFC8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4420F2"/>
    <w:multiLevelType w:val="multilevel"/>
    <w:tmpl w:val="306CE9E8"/>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ED7F68"/>
    <w:multiLevelType w:val="hybridMultilevel"/>
    <w:tmpl w:val="DC88C59E"/>
    <w:lvl w:ilvl="0" w:tplc="05002CE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3448309">
    <w:abstractNumId w:val="0"/>
  </w:num>
  <w:num w:numId="2" w16cid:durableId="233667984">
    <w:abstractNumId w:val="2"/>
  </w:num>
  <w:num w:numId="3" w16cid:durableId="1117455427">
    <w:abstractNumId w:val="11"/>
  </w:num>
  <w:num w:numId="4" w16cid:durableId="551044247">
    <w:abstractNumId w:val="6"/>
  </w:num>
  <w:num w:numId="5" w16cid:durableId="1146357373">
    <w:abstractNumId w:val="4"/>
  </w:num>
  <w:num w:numId="6" w16cid:durableId="909267199">
    <w:abstractNumId w:val="3"/>
  </w:num>
  <w:num w:numId="7" w16cid:durableId="890076049">
    <w:abstractNumId w:val="8"/>
  </w:num>
  <w:num w:numId="8" w16cid:durableId="666903981">
    <w:abstractNumId w:val="7"/>
  </w:num>
  <w:num w:numId="9" w16cid:durableId="823813511">
    <w:abstractNumId w:val="9"/>
  </w:num>
  <w:num w:numId="10" w16cid:durableId="1456096033">
    <w:abstractNumId w:val="12"/>
  </w:num>
  <w:num w:numId="11" w16cid:durableId="257296777">
    <w:abstractNumId w:val="5"/>
  </w:num>
  <w:num w:numId="12" w16cid:durableId="1073814775">
    <w:abstractNumId w:val="10"/>
  </w:num>
  <w:num w:numId="13" w16cid:durableId="276718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E7C"/>
    <w:rsid w:val="000007E5"/>
    <w:rsid w:val="000023DE"/>
    <w:rsid w:val="000025C1"/>
    <w:rsid w:val="000033E0"/>
    <w:rsid w:val="00003C53"/>
    <w:rsid w:val="00004E44"/>
    <w:rsid w:val="00004E8D"/>
    <w:rsid w:val="0000514C"/>
    <w:rsid w:val="000057A5"/>
    <w:rsid w:val="00005B56"/>
    <w:rsid w:val="00006662"/>
    <w:rsid w:val="00007080"/>
    <w:rsid w:val="0000719F"/>
    <w:rsid w:val="00007F86"/>
    <w:rsid w:val="000102C7"/>
    <w:rsid w:val="000110AA"/>
    <w:rsid w:val="0001114C"/>
    <w:rsid w:val="00011256"/>
    <w:rsid w:val="000117FC"/>
    <w:rsid w:val="000118B9"/>
    <w:rsid w:val="00012302"/>
    <w:rsid w:val="0001234E"/>
    <w:rsid w:val="00012F8C"/>
    <w:rsid w:val="00013D21"/>
    <w:rsid w:val="00014205"/>
    <w:rsid w:val="00014D91"/>
    <w:rsid w:val="00014DD4"/>
    <w:rsid w:val="00014FCD"/>
    <w:rsid w:val="0001590C"/>
    <w:rsid w:val="00015C7E"/>
    <w:rsid w:val="000174DD"/>
    <w:rsid w:val="00017522"/>
    <w:rsid w:val="000175F5"/>
    <w:rsid w:val="00020A83"/>
    <w:rsid w:val="00020AE0"/>
    <w:rsid w:val="000211B0"/>
    <w:rsid w:val="00023484"/>
    <w:rsid w:val="000237AB"/>
    <w:rsid w:val="0002440A"/>
    <w:rsid w:val="00024880"/>
    <w:rsid w:val="0002517C"/>
    <w:rsid w:val="0002609E"/>
    <w:rsid w:val="0002697E"/>
    <w:rsid w:val="0002785B"/>
    <w:rsid w:val="00027884"/>
    <w:rsid w:val="00027C95"/>
    <w:rsid w:val="00030CE4"/>
    <w:rsid w:val="00031394"/>
    <w:rsid w:val="0003183C"/>
    <w:rsid w:val="00031933"/>
    <w:rsid w:val="0003223F"/>
    <w:rsid w:val="00032AE4"/>
    <w:rsid w:val="00032B63"/>
    <w:rsid w:val="00032CEE"/>
    <w:rsid w:val="00032D32"/>
    <w:rsid w:val="0003303D"/>
    <w:rsid w:val="000333D0"/>
    <w:rsid w:val="000336DE"/>
    <w:rsid w:val="0003421B"/>
    <w:rsid w:val="000353B9"/>
    <w:rsid w:val="00035869"/>
    <w:rsid w:val="00037137"/>
    <w:rsid w:val="000371AC"/>
    <w:rsid w:val="00037E82"/>
    <w:rsid w:val="00040449"/>
    <w:rsid w:val="00040F1D"/>
    <w:rsid w:val="0004170B"/>
    <w:rsid w:val="00041790"/>
    <w:rsid w:val="000418B8"/>
    <w:rsid w:val="00041977"/>
    <w:rsid w:val="00042585"/>
    <w:rsid w:val="00042EA2"/>
    <w:rsid w:val="00042FA5"/>
    <w:rsid w:val="00043524"/>
    <w:rsid w:val="00043B71"/>
    <w:rsid w:val="00043E19"/>
    <w:rsid w:val="00044535"/>
    <w:rsid w:val="00044AD9"/>
    <w:rsid w:val="0004529C"/>
    <w:rsid w:val="0004578C"/>
    <w:rsid w:val="00046E75"/>
    <w:rsid w:val="00046EBA"/>
    <w:rsid w:val="000471EB"/>
    <w:rsid w:val="00047728"/>
    <w:rsid w:val="000479CD"/>
    <w:rsid w:val="000505DC"/>
    <w:rsid w:val="0005091F"/>
    <w:rsid w:val="00050BC4"/>
    <w:rsid w:val="0005201A"/>
    <w:rsid w:val="000521E8"/>
    <w:rsid w:val="00052817"/>
    <w:rsid w:val="00052E22"/>
    <w:rsid w:val="00053D7F"/>
    <w:rsid w:val="000541F1"/>
    <w:rsid w:val="00054D19"/>
    <w:rsid w:val="00055A41"/>
    <w:rsid w:val="0005680B"/>
    <w:rsid w:val="00056ACC"/>
    <w:rsid w:val="00056C55"/>
    <w:rsid w:val="00057EF7"/>
    <w:rsid w:val="0006120D"/>
    <w:rsid w:val="00061266"/>
    <w:rsid w:val="00061465"/>
    <w:rsid w:val="00062680"/>
    <w:rsid w:val="00063D90"/>
    <w:rsid w:val="000641BB"/>
    <w:rsid w:val="00066839"/>
    <w:rsid w:val="000706D2"/>
    <w:rsid w:val="00070824"/>
    <w:rsid w:val="00071101"/>
    <w:rsid w:val="0007167C"/>
    <w:rsid w:val="00071C54"/>
    <w:rsid w:val="000724C2"/>
    <w:rsid w:val="000725D0"/>
    <w:rsid w:val="0007262C"/>
    <w:rsid w:val="00072B03"/>
    <w:rsid w:val="00073213"/>
    <w:rsid w:val="0007394E"/>
    <w:rsid w:val="0007445B"/>
    <w:rsid w:val="000749D2"/>
    <w:rsid w:val="00074EDB"/>
    <w:rsid w:val="000757B6"/>
    <w:rsid w:val="00076C25"/>
    <w:rsid w:val="00080046"/>
    <w:rsid w:val="0008054C"/>
    <w:rsid w:val="00080A07"/>
    <w:rsid w:val="00080E10"/>
    <w:rsid w:val="0008107D"/>
    <w:rsid w:val="0008125C"/>
    <w:rsid w:val="00082460"/>
    <w:rsid w:val="00082DA2"/>
    <w:rsid w:val="000834A3"/>
    <w:rsid w:val="0008521C"/>
    <w:rsid w:val="000858CD"/>
    <w:rsid w:val="0008635B"/>
    <w:rsid w:val="000865DD"/>
    <w:rsid w:val="00086702"/>
    <w:rsid w:val="00086BDA"/>
    <w:rsid w:val="00086EFE"/>
    <w:rsid w:val="000874D8"/>
    <w:rsid w:val="00087565"/>
    <w:rsid w:val="0008798F"/>
    <w:rsid w:val="00087BDF"/>
    <w:rsid w:val="00087EC8"/>
    <w:rsid w:val="000903AA"/>
    <w:rsid w:val="000908AF"/>
    <w:rsid w:val="00091002"/>
    <w:rsid w:val="000915D8"/>
    <w:rsid w:val="000916D7"/>
    <w:rsid w:val="000918E4"/>
    <w:rsid w:val="000927B5"/>
    <w:rsid w:val="00093BBA"/>
    <w:rsid w:val="00094265"/>
    <w:rsid w:val="0009477D"/>
    <w:rsid w:val="00094941"/>
    <w:rsid w:val="00094A46"/>
    <w:rsid w:val="00094B5C"/>
    <w:rsid w:val="00095280"/>
    <w:rsid w:val="0009566E"/>
    <w:rsid w:val="00095DBA"/>
    <w:rsid w:val="00096B7E"/>
    <w:rsid w:val="00096FF8"/>
    <w:rsid w:val="000974C0"/>
    <w:rsid w:val="00097609"/>
    <w:rsid w:val="000A0476"/>
    <w:rsid w:val="000A0CE6"/>
    <w:rsid w:val="000A1012"/>
    <w:rsid w:val="000A124F"/>
    <w:rsid w:val="000A12CA"/>
    <w:rsid w:val="000A1C95"/>
    <w:rsid w:val="000A2356"/>
    <w:rsid w:val="000A26D1"/>
    <w:rsid w:val="000A2C7C"/>
    <w:rsid w:val="000A2CD4"/>
    <w:rsid w:val="000A3363"/>
    <w:rsid w:val="000A360E"/>
    <w:rsid w:val="000A3679"/>
    <w:rsid w:val="000A3DEC"/>
    <w:rsid w:val="000A42C9"/>
    <w:rsid w:val="000A47AE"/>
    <w:rsid w:val="000A49DA"/>
    <w:rsid w:val="000A4AC1"/>
    <w:rsid w:val="000A4B65"/>
    <w:rsid w:val="000A4E99"/>
    <w:rsid w:val="000A5F1E"/>
    <w:rsid w:val="000A60CE"/>
    <w:rsid w:val="000A649F"/>
    <w:rsid w:val="000A653D"/>
    <w:rsid w:val="000A6659"/>
    <w:rsid w:val="000A78D1"/>
    <w:rsid w:val="000A7B57"/>
    <w:rsid w:val="000B21A1"/>
    <w:rsid w:val="000B25FF"/>
    <w:rsid w:val="000B3B7D"/>
    <w:rsid w:val="000B41A6"/>
    <w:rsid w:val="000B50DD"/>
    <w:rsid w:val="000B55E6"/>
    <w:rsid w:val="000B5D8B"/>
    <w:rsid w:val="000B651D"/>
    <w:rsid w:val="000B65AA"/>
    <w:rsid w:val="000B7C4E"/>
    <w:rsid w:val="000B7D38"/>
    <w:rsid w:val="000C0828"/>
    <w:rsid w:val="000C1718"/>
    <w:rsid w:val="000C1855"/>
    <w:rsid w:val="000C1D9C"/>
    <w:rsid w:val="000C283D"/>
    <w:rsid w:val="000C316E"/>
    <w:rsid w:val="000C366A"/>
    <w:rsid w:val="000C44D1"/>
    <w:rsid w:val="000C5A2F"/>
    <w:rsid w:val="000C6191"/>
    <w:rsid w:val="000C68C1"/>
    <w:rsid w:val="000C6A08"/>
    <w:rsid w:val="000C751D"/>
    <w:rsid w:val="000C760B"/>
    <w:rsid w:val="000C7A00"/>
    <w:rsid w:val="000D00A4"/>
    <w:rsid w:val="000D1161"/>
    <w:rsid w:val="000D131F"/>
    <w:rsid w:val="000D227C"/>
    <w:rsid w:val="000D27E2"/>
    <w:rsid w:val="000D2BF6"/>
    <w:rsid w:val="000D2E8D"/>
    <w:rsid w:val="000D3025"/>
    <w:rsid w:val="000D329F"/>
    <w:rsid w:val="000D385F"/>
    <w:rsid w:val="000D3EAC"/>
    <w:rsid w:val="000D4609"/>
    <w:rsid w:val="000D4DAC"/>
    <w:rsid w:val="000D5A9C"/>
    <w:rsid w:val="000D5B47"/>
    <w:rsid w:val="000D6A1F"/>
    <w:rsid w:val="000D77E1"/>
    <w:rsid w:val="000D78ED"/>
    <w:rsid w:val="000D7DE0"/>
    <w:rsid w:val="000E002F"/>
    <w:rsid w:val="000E05BE"/>
    <w:rsid w:val="000E102C"/>
    <w:rsid w:val="000E1D0B"/>
    <w:rsid w:val="000E27BC"/>
    <w:rsid w:val="000E2AE5"/>
    <w:rsid w:val="000E31B2"/>
    <w:rsid w:val="000E3A9E"/>
    <w:rsid w:val="000E3E72"/>
    <w:rsid w:val="000E4166"/>
    <w:rsid w:val="000E459F"/>
    <w:rsid w:val="000E489E"/>
    <w:rsid w:val="000E4A67"/>
    <w:rsid w:val="000E5124"/>
    <w:rsid w:val="000E540B"/>
    <w:rsid w:val="000E542F"/>
    <w:rsid w:val="000E545B"/>
    <w:rsid w:val="000E6D91"/>
    <w:rsid w:val="000E7E42"/>
    <w:rsid w:val="000F1160"/>
    <w:rsid w:val="000F15A3"/>
    <w:rsid w:val="000F188C"/>
    <w:rsid w:val="000F1933"/>
    <w:rsid w:val="000F22C6"/>
    <w:rsid w:val="000F239A"/>
    <w:rsid w:val="000F3451"/>
    <w:rsid w:val="000F4F7E"/>
    <w:rsid w:val="000F4FD8"/>
    <w:rsid w:val="000F5A9A"/>
    <w:rsid w:val="000F66D2"/>
    <w:rsid w:val="000F7899"/>
    <w:rsid w:val="001000A0"/>
    <w:rsid w:val="00100448"/>
    <w:rsid w:val="00100A0A"/>
    <w:rsid w:val="0010176D"/>
    <w:rsid w:val="00102BD4"/>
    <w:rsid w:val="00102C58"/>
    <w:rsid w:val="00103004"/>
    <w:rsid w:val="0010548D"/>
    <w:rsid w:val="0010565B"/>
    <w:rsid w:val="001058DC"/>
    <w:rsid w:val="00105948"/>
    <w:rsid w:val="00106519"/>
    <w:rsid w:val="00106D82"/>
    <w:rsid w:val="00106F03"/>
    <w:rsid w:val="00107213"/>
    <w:rsid w:val="00107827"/>
    <w:rsid w:val="0010782E"/>
    <w:rsid w:val="0011020B"/>
    <w:rsid w:val="00110E15"/>
    <w:rsid w:val="001127C7"/>
    <w:rsid w:val="0011447C"/>
    <w:rsid w:val="001153A4"/>
    <w:rsid w:val="00115C87"/>
    <w:rsid w:val="0011710D"/>
    <w:rsid w:val="00117E23"/>
    <w:rsid w:val="00120541"/>
    <w:rsid w:val="00120956"/>
    <w:rsid w:val="00120BA5"/>
    <w:rsid w:val="0012112E"/>
    <w:rsid w:val="0012136C"/>
    <w:rsid w:val="00121C37"/>
    <w:rsid w:val="00121E00"/>
    <w:rsid w:val="00122A5E"/>
    <w:rsid w:val="001235A3"/>
    <w:rsid w:val="00123FD1"/>
    <w:rsid w:val="00124C08"/>
    <w:rsid w:val="00124C3D"/>
    <w:rsid w:val="00125052"/>
    <w:rsid w:val="00125066"/>
    <w:rsid w:val="00125D54"/>
    <w:rsid w:val="00126386"/>
    <w:rsid w:val="0012647E"/>
    <w:rsid w:val="001270D7"/>
    <w:rsid w:val="001271E3"/>
    <w:rsid w:val="00127A73"/>
    <w:rsid w:val="0013045D"/>
    <w:rsid w:val="00130D85"/>
    <w:rsid w:val="0013193A"/>
    <w:rsid w:val="0013219D"/>
    <w:rsid w:val="0013225E"/>
    <w:rsid w:val="0013239A"/>
    <w:rsid w:val="0013242B"/>
    <w:rsid w:val="0013314C"/>
    <w:rsid w:val="001332DF"/>
    <w:rsid w:val="00133CD2"/>
    <w:rsid w:val="00133FEF"/>
    <w:rsid w:val="00134017"/>
    <w:rsid w:val="00134809"/>
    <w:rsid w:val="00134A79"/>
    <w:rsid w:val="00134D2D"/>
    <w:rsid w:val="001350D8"/>
    <w:rsid w:val="001357E5"/>
    <w:rsid w:val="00136243"/>
    <w:rsid w:val="001365E2"/>
    <w:rsid w:val="001370E6"/>
    <w:rsid w:val="00137294"/>
    <w:rsid w:val="001374C0"/>
    <w:rsid w:val="00137BFD"/>
    <w:rsid w:val="00137D80"/>
    <w:rsid w:val="00140976"/>
    <w:rsid w:val="00141268"/>
    <w:rsid w:val="001415C1"/>
    <w:rsid w:val="00141FF6"/>
    <w:rsid w:val="001420C4"/>
    <w:rsid w:val="001421DF"/>
    <w:rsid w:val="0014294E"/>
    <w:rsid w:val="00142C28"/>
    <w:rsid w:val="0014302C"/>
    <w:rsid w:val="001432CD"/>
    <w:rsid w:val="00143399"/>
    <w:rsid w:val="00143C15"/>
    <w:rsid w:val="00143E51"/>
    <w:rsid w:val="00144C6F"/>
    <w:rsid w:val="00145B01"/>
    <w:rsid w:val="0014644F"/>
    <w:rsid w:val="001464E2"/>
    <w:rsid w:val="0014668D"/>
    <w:rsid w:val="001469FA"/>
    <w:rsid w:val="00146EDE"/>
    <w:rsid w:val="00147481"/>
    <w:rsid w:val="001503BD"/>
    <w:rsid w:val="0015086A"/>
    <w:rsid w:val="00150935"/>
    <w:rsid w:val="00150C23"/>
    <w:rsid w:val="00151C8E"/>
    <w:rsid w:val="00152500"/>
    <w:rsid w:val="00153D0B"/>
    <w:rsid w:val="001542BF"/>
    <w:rsid w:val="0015453E"/>
    <w:rsid w:val="0015470C"/>
    <w:rsid w:val="00155133"/>
    <w:rsid w:val="001558AD"/>
    <w:rsid w:val="0015623E"/>
    <w:rsid w:val="00156976"/>
    <w:rsid w:val="00156C42"/>
    <w:rsid w:val="00160017"/>
    <w:rsid w:val="001602FE"/>
    <w:rsid w:val="001621DF"/>
    <w:rsid w:val="001628CE"/>
    <w:rsid w:val="00162B33"/>
    <w:rsid w:val="00163178"/>
    <w:rsid w:val="00163A70"/>
    <w:rsid w:val="0016669D"/>
    <w:rsid w:val="0016672B"/>
    <w:rsid w:val="00166ECC"/>
    <w:rsid w:val="0016712E"/>
    <w:rsid w:val="0016729C"/>
    <w:rsid w:val="001678DD"/>
    <w:rsid w:val="00167A6F"/>
    <w:rsid w:val="00167FC4"/>
    <w:rsid w:val="0017010B"/>
    <w:rsid w:val="001705B3"/>
    <w:rsid w:val="00170B2E"/>
    <w:rsid w:val="00171BD3"/>
    <w:rsid w:val="00171DC8"/>
    <w:rsid w:val="0017234E"/>
    <w:rsid w:val="001727BF"/>
    <w:rsid w:val="00172977"/>
    <w:rsid w:val="00172D4F"/>
    <w:rsid w:val="00173348"/>
    <w:rsid w:val="001734C9"/>
    <w:rsid w:val="00173600"/>
    <w:rsid w:val="00173A6E"/>
    <w:rsid w:val="0017463A"/>
    <w:rsid w:val="001760C6"/>
    <w:rsid w:val="0017654B"/>
    <w:rsid w:val="00176BD6"/>
    <w:rsid w:val="00176C04"/>
    <w:rsid w:val="00176DAA"/>
    <w:rsid w:val="00176EEA"/>
    <w:rsid w:val="00177566"/>
    <w:rsid w:val="00177929"/>
    <w:rsid w:val="00180822"/>
    <w:rsid w:val="001810CF"/>
    <w:rsid w:val="001812D0"/>
    <w:rsid w:val="00181778"/>
    <w:rsid w:val="00181BFB"/>
    <w:rsid w:val="00181D27"/>
    <w:rsid w:val="0018246A"/>
    <w:rsid w:val="00182C8B"/>
    <w:rsid w:val="00184537"/>
    <w:rsid w:val="00184E1D"/>
    <w:rsid w:val="00186346"/>
    <w:rsid w:val="001867FC"/>
    <w:rsid w:val="0018684E"/>
    <w:rsid w:val="0018783D"/>
    <w:rsid w:val="00187CC5"/>
    <w:rsid w:val="001903A6"/>
    <w:rsid w:val="001907FC"/>
    <w:rsid w:val="00190CAB"/>
    <w:rsid w:val="001918C0"/>
    <w:rsid w:val="00192F4F"/>
    <w:rsid w:val="00193302"/>
    <w:rsid w:val="00193581"/>
    <w:rsid w:val="0019383D"/>
    <w:rsid w:val="001938B5"/>
    <w:rsid w:val="00193A40"/>
    <w:rsid w:val="001941DB"/>
    <w:rsid w:val="00196ACC"/>
    <w:rsid w:val="00197458"/>
    <w:rsid w:val="001977B8"/>
    <w:rsid w:val="001978DB"/>
    <w:rsid w:val="00197B65"/>
    <w:rsid w:val="001A03DC"/>
    <w:rsid w:val="001A0732"/>
    <w:rsid w:val="001A0A9E"/>
    <w:rsid w:val="001A131B"/>
    <w:rsid w:val="001A25B2"/>
    <w:rsid w:val="001A3FAC"/>
    <w:rsid w:val="001A48D2"/>
    <w:rsid w:val="001A671A"/>
    <w:rsid w:val="001A74ED"/>
    <w:rsid w:val="001A7625"/>
    <w:rsid w:val="001A77F6"/>
    <w:rsid w:val="001A787B"/>
    <w:rsid w:val="001B011C"/>
    <w:rsid w:val="001B0886"/>
    <w:rsid w:val="001B0C0A"/>
    <w:rsid w:val="001B0EC6"/>
    <w:rsid w:val="001B141A"/>
    <w:rsid w:val="001B1789"/>
    <w:rsid w:val="001B1809"/>
    <w:rsid w:val="001B19D1"/>
    <w:rsid w:val="001B1C7C"/>
    <w:rsid w:val="001B2652"/>
    <w:rsid w:val="001B2B87"/>
    <w:rsid w:val="001B2E73"/>
    <w:rsid w:val="001B373C"/>
    <w:rsid w:val="001B3A0C"/>
    <w:rsid w:val="001B3B35"/>
    <w:rsid w:val="001B409C"/>
    <w:rsid w:val="001B443F"/>
    <w:rsid w:val="001B4851"/>
    <w:rsid w:val="001B5474"/>
    <w:rsid w:val="001B5F77"/>
    <w:rsid w:val="001B64C7"/>
    <w:rsid w:val="001B6C55"/>
    <w:rsid w:val="001B7836"/>
    <w:rsid w:val="001B7B2C"/>
    <w:rsid w:val="001C06F1"/>
    <w:rsid w:val="001C0745"/>
    <w:rsid w:val="001C09FD"/>
    <w:rsid w:val="001C110A"/>
    <w:rsid w:val="001C3272"/>
    <w:rsid w:val="001C4097"/>
    <w:rsid w:val="001C46D0"/>
    <w:rsid w:val="001C67E9"/>
    <w:rsid w:val="001C6861"/>
    <w:rsid w:val="001C751B"/>
    <w:rsid w:val="001D1BBA"/>
    <w:rsid w:val="001D2EE9"/>
    <w:rsid w:val="001D31A1"/>
    <w:rsid w:val="001D411C"/>
    <w:rsid w:val="001D4D63"/>
    <w:rsid w:val="001D56D8"/>
    <w:rsid w:val="001D6D0B"/>
    <w:rsid w:val="001D7109"/>
    <w:rsid w:val="001E0239"/>
    <w:rsid w:val="001E133C"/>
    <w:rsid w:val="001E187E"/>
    <w:rsid w:val="001E21BD"/>
    <w:rsid w:val="001E243F"/>
    <w:rsid w:val="001E26DF"/>
    <w:rsid w:val="001E29FD"/>
    <w:rsid w:val="001E2F78"/>
    <w:rsid w:val="001E3522"/>
    <w:rsid w:val="001E3900"/>
    <w:rsid w:val="001E4B6A"/>
    <w:rsid w:val="001E4E68"/>
    <w:rsid w:val="001E503B"/>
    <w:rsid w:val="001E54F5"/>
    <w:rsid w:val="001E5684"/>
    <w:rsid w:val="001E60F1"/>
    <w:rsid w:val="001E63FF"/>
    <w:rsid w:val="001E70ED"/>
    <w:rsid w:val="001E7233"/>
    <w:rsid w:val="001E7353"/>
    <w:rsid w:val="001E7F81"/>
    <w:rsid w:val="001F0289"/>
    <w:rsid w:val="001F068A"/>
    <w:rsid w:val="001F0962"/>
    <w:rsid w:val="001F1330"/>
    <w:rsid w:val="001F1680"/>
    <w:rsid w:val="001F1751"/>
    <w:rsid w:val="001F2104"/>
    <w:rsid w:val="001F2311"/>
    <w:rsid w:val="001F23BD"/>
    <w:rsid w:val="001F37A0"/>
    <w:rsid w:val="001F37F3"/>
    <w:rsid w:val="001F39CB"/>
    <w:rsid w:val="001F3B13"/>
    <w:rsid w:val="001F43A0"/>
    <w:rsid w:val="001F4737"/>
    <w:rsid w:val="001F5DE6"/>
    <w:rsid w:val="001F6AA9"/>
    <w:rsid w:val="001F79A6"/>
    <w:rsid w:val="001F7F96"/>
    <w:rsid w:val="00200755"/>
    <w:rsid w:val="002029AC"/>
    <w:rsid w:val="00202A3E"/>
    <w:rsid w:val="00202C85"/>
    <w:rsid w:val="00203310"/>
    <w:rsid w:val="002034D2"/>
    <w:rsid w:val="002056D5"/>
    <w:rsid w:val="00205938"/>
    <w:rsid w:val="002062EF"/>
    <w:rsid w:val="002068EE"/>
    <w:rsid w:val="00206ECA"/>
    <w:rsid w:val="002072FF"/>
    <w:rsid w:val="0021024A"/>
    <w:rsid w:val="0021096F"/>
    <w:rsid w:val="00210EA3"/>
    <w:rsid w:val="00210F36"/>
    <w:rsid w:val="002117A6"/>
    <w:rsid w:val="00211875"/>
    <w:rsid w:val="0021199A"/>
    <w:rsid w:val="00211B9F"/>
    <w:rsid w:val="002125CA"/>
    <w:rsid w:val="00212F7B"/>
    <w:rsid w:val="00213085"/>
    <w:rsid w:val="00213782"/>
    <w:rsid w:val="0021400D"/>
    <w:rsid w:val="0021433C"/>
    <w:rsid w:val="002145E1"/>
    <w:rsid w:val="0021490A"/>
    <w:rsid w:val="00214DD5"/>
    <w:rsid w:val="002167CD"/>
    <w:rsid w:val="00216DDD"/>
    <w:rsid w:val="0021729C"/>
    <w:rsid w:val="00217488"/>
    <w:rsid w:val="00217D6A"/>
    <w:rsid w:val="00220520"/>
    <w:rsid w:val="00220EF2"/>
    <w:rsid w:val="0022157F"/>
    <w:rsid w:val="00221687"/>
    <w:rsid w:val="002219C9"/>
    <w:rsid w:val="002237D7"/>
    <w:rsid w:val="0022424D"/>
    <w:rsid w:val="002243FB"/>
    <w:rsid w:val="00224503"/>
    <w:rsid w:val="002248F1"/>
    <w:rsid w:val="00224C3C"/>
    <w:rsid w:val="0022534C"/>
    <w:rsid w:val="002253D3"/>
    <w:rsid w:val="00225D37"/>
    <w:rsid w:val="00226989"/>
    <w:rsid w:val="00227B2A"/>
    <w:rsid w:val="00231935"/>
    <w:rsid w:val="00231A93"/>
    <w:rsid w:val="00232253"/>
    <w:rsid w:val="0023285D"/>
    <w:rsid w:val="00233247"/>
    <w:rsid w:val="00233FB1"/>
    <w:rsid w:val="002357E5"/>
    <w:rsid w:val="002358A9"/>
    <w:rsid w:val="00236587"/>
    <w:rsid w:val="00236857"/>
    <w:rsid w:val="00237961"/>
    <w:rsid w:val="002379C5"/>
    <w:rsid w:val="00237B21"/>
    <w:rsid w:val="00237C3B"/>
    <w:rsid w:val="00237E24"/>
    <w:rsid w:val="002400B9"/>
    <w:rsid w:val="00241623"/>
    <w:rsid w:val="0024236B"/>
    <w:rsid w:val="002430E2"/>
    <w:rsid w:val="0024350E"/>
    <w:rsid w:val="0024415C"/>
    <w:rsid w:val="00244280"/>
    <w:rsid w:val="0024562D"/>
    <w:rsid w:val="00245BC1"/>
    <w:rsid w:val="002463FE"/>
    <w:rsid w:val="00246C86"/>
    <w:rsid w:val="00247E22"/>
    <w:rsid w:val="00250408"/>
    <w:rsid w:val="00250768"/>
    <w:rsid w:val="00252075"/>
    <w:rsid w:val="002523C6"/>
    <w:rsid w:val="002525A5"/>
    <w:rsid w:val="0025287E"/>
    <w:rsid w:val="002528E6"/>
    <w:rsid w:val="00253137"/>
    <w:rsid w:val="00253340"/>
    <w:rsid w:val="00253412"/>
    <w:rsid w:val="00253FB0"/>
    <w:rsid w:val="002544A3"/>
    <w:rsid w:val="00254A06"/>
    <w:rsid w:val="00254B80"/>
    <w:rsid w:val="00256246"/>
    <w:rsid w:val="00256568"/>
    <w:rsid w:val="00256823"/>
    <w:rsid w:val="00256C82"/>
    <w:rsid w:val="00257AFE"/>
    <w:rsid w:val="00257CA0"/>
    <w:rsid w:val="00261485"/>
    <w:rsid w:val="002615F7"/>
    <w:rsid w:val="00261CF6"/>
    <w:rsid w:val="00261F11"/>
    <w:rsid w:val="00262747"/>
    <w:rsid w:val="00262B44"/>
    <w:rsid w:val="00262B7B"/>
    <w:rsid w:val="0026376C"/>
    <w:rsid w:val="00263C2B"/>
    <w:rsid w:val="00263D08"/>
    <w:rsid w:val="002640EE"/>
    <w:rsid w:val="002643D1"/>
    <w:rsid w:val="0026453E"/>
    <w:rsid w:val="00264606"/>
    <w:rsid w:val="002657AF"/>
    <w:rsid w:val="00265DCC"/>
    <w:rsid w:val="00267351"/>
    <w:rsid w:val="00267749"/>
    <w:rsid w:val="00270855"/>
    <w:rsid w:val="002716E3"/>
    <w:rsid w:val="00271834"/>
    <w:rsid w:val="00272066"/>
    <w:rsid w:val="0027257C"/>
    <w:rsid w:val="00272BC4"/>
    <w:rsid w:val="00272C05"/>
    <w:rsid w:val="00272D4D"/>
    <w:rsid w:val="00273021"/>
    <w:rsid w:val="00273CBD"/>
    <w:rsid w:val="00274095"/>
    <w:rsid w:val="0027419F"/>
    <w:rsid w:val="00274BA3"/>
    <w:rsid w:val="002751AE"/>
    <w:rsid w:val="002753B7"/>
    <w:rsid w:val="00276D9A"/>
    <w:rsid w:val="002776B3"/>
    <w:rsid w:val="0028047D"/>
    <w:rsid w:val="00280C06"/>
    <w:rsid w:val="00281A95"/>
    <w:rsid w:val="00281C7C"/>
    <w:rsid w:val="00282033"/>
    <w:rsid w:val="00283EB7"/>
    <w:rsid w:val="00283F84"/>
    <w:rsid w:val="00284032"/>
    <w:rsid w:val="00284A9B"/>
    <w:rsid w:val="00284F3B"/>
    <w:rsid w:val="00284FF1"/>
    <w:rsid w:val="00285455"/>
    <w:rsid w:val="00285690"/>
    <w:rsid w:val="002857B1"/>
    <w:rsid w:val="0028601D"/>
    <w:rsid w:val="002865B1"/>
    <w:rsid w:val="00287BD1"/>
    <w:rsid w:val="002907F0"/>
    <w:rsid w:val="00290C3F"/>
    <w:rsid w:val="002910C6"/>
    <w:rsid w:val="00291B57"/>
    <w:rsid w:val="00291CEC"/>
    <w:rsid w:val="00293147"/>
    <w:rsid w:val="00293717"/>
    <w:rsid w:val="0029482A"/>
    <w:rsid w:val="00294CF1"/>
    <w:rsid w:val="00294EF3"/>
    <w:rsid w:val="0029554A"/>
    <w:rsid w:val="002969DE"/>
    <w:rsid w:val="00296EE2"/>
    <w:rsid w:val="00297325"/>
    <w:rsid w:val="002A05B0"/>
    <w:rsid w:val="002A0671"/>
    <w:rsid w:val="002A0BA6"/>
    <w:rsid w:val="002A1711"/>
    <w:rsid w:val="002A1C20"/>
    <w:rsid w:val="002A1C66"/>
    <w:rsid w:val="002A2876"/>
    <w:rsid w:val="002A2ABE"/>
    <w:rsid w:val="002A2EE5"/>
    <w:rsid w:val="002A40D8"/>
    <w:rsid w:val="002A4527"/>
    <w:rsid w:val="002A4ADB"/>
    <w:rsid w:val="002A521A"/>
    <w:rsid w:val="002A5A61"/>
    <w:rsid w:val="002A5DC9"/>
    <w:rsid w:val="002A643A"/>
    <w:rsid w:val="002A677D"/>
    <w:rsid w:val="002A6F2F"/>
    <w:rsid w:val="002A72C9"/>
    <w:rsid w:val="002A72D6"/>
    <w:rsid w:val="002A75C2"/>
    <w:rsid w:val="002A7AC5"/>
    <w:rsid w:val="002B057F"/>
    <w:rsid w:val="002B1C6C"/>
    <w:rsid w:val="002B20F2"/>
    <w:rsid w:val="002B27E4"/>
    <w:rsid w:val="002B2A91"/>
    <w:rsid w:val="002B2E93"/>
    <w:rsid w:val="002B2F16"/>
    <w:rsid w:val="002B35F7"/>
    <w:rsid w:val="002B43BB"/>
    <w:rsid w:val="002B473B"/>
    <w:rsid w:val="002B4A7F"/>
    <w:rsid w:val="002B4D34"/>
    <w:rsid w:val="002B5D2D"/>
    <w:rsid w:val="002B6436"/>
    <w:rsid w:val="002B6A96"/>
    <w:rsid w:val="002C0064"/>
    <w:rsid w:val="002C0423"/>
    <w:rsid w:val="002C0BD0"/>
    <w:rsid w:val="002C113F"/>
    <w:rsid w:val="002C117D"/>
    <w:rsid w:val="002C13DE"/>
    <w:rsid w:val="002C1514"/>
    <w:rsid w:val="002C15B2"/>
    <w:rsid w:val="002C216B"/>
    <w:rsid w:val="002C21DB"/>
    <w:rsid w:val="002C2AD2"/>
    <w:rsid w:val="002C3029"/>
    <w:rsid w:val="002C31E1"/>
    <w:rsid w:val="002C3F04"/>
    <w:rsid w:val="002C4606"/>
    <w:rsid w:val="002C6CC8"/>
    <w:rsid w:val="002D0A5C"/>
    <w:rsid w:val="002D0CF5"/>
    <w:rsid w:val="002D1C1D"/>
    <w:rsid w:val="002D1D13"/>
    <w:rsid w:val="002D2677"/>
    <w:rsid w:val="002D2A39"/>
    <w:rsid w:val="002D2DC0"/>
    <w:rsid w:val="002D3BB5"/>
    <w:rsid w:val="002D465B"/>
    <w:rsid w:val="002D67E6"/>
    <w:rsid w:val="002D6A8E"/>
    <w:rsid w:val="002D7AEB"/>
    <w:rsid w:val="002D7D3A"/>
    <w:rsid w:val="002E002A"/>
    <w:rsid w:val="002E040B"/>
    <w:rsid w:val="002E0471"/>
    <w:rsid w:val="002E06CF"/>
    <w:rsid w:val="002E088B"/>
    <w:rsid w:val="002E0B51"/>
    <w:rsid w:val="002E0BA3"/>
    <w:rsid w:val="002E10A2"/>
    <w:rsid w:val="002E1884"/>
    <w:rsid w:val="002E1C04"/>
    <w:rsid w:val="002E253A"/>
    <w:rsid w:val="002E2656"/>
    <w:rsid w:val="002E37BA"/>
    <w:rsid w:val="002E38E7"/>
    <w:rsid w:val="002E3952"/>
    <w:rsid w:val="002E3BBD"/>
    <w:rsid w:val="002E4B43"/>
    <w:rsid w:val="002E528D"/>
    <w:rsid w:val="002E5681"/>
    <w:rsid w:val="002E583A"/>
    <w:rsid w:val="002E58C3"/>
    <w:rsid w:val="002E6EE9"/>
    <w:rsid w:val="002E7005"/>
    <w:rsid w:val="002E7046"/>
    <w:rsid w:val="002E7282"/>
    <w:rsid w:val="002E7673"/>
    <w:rsid w:val="002E7961"/>
    <w:rsid w:val="002F036A"/>
    <w:rsid w:val="002F0CED"/>
    <w:rsid w:val="002F12DF"/>
    <w:rsid w:val="002F310D"/>
    <w:rsid w:val="002F39DE"/>
    <w:rsid w:val="002F5271"/>
    <w:rsid w:val="002F6086"/>
    <w:rsid w:val="002F625B"/>
    <w:rsid w:val="002F6BBA"/>
    <w:rsid w:val="002F6F54"/>
    <w:rsid w:val="002F7672"/>
    <w:rsid w:val="002F7C6F"/>
    <w:rsid w:val="003004C0"/>
    <w:rsid w:val="00300E68"/>
    <w:rsid w:val="0030126D"/>
    <w:rsid w:val="00302AFE"/>
    <w:rsid w:val="00303256"/>
    <w:rsid w:val="00303BD1"/>
    <w:rsid w:val="00304D79"/>
    <w:rsid w:val="00304E4C"/>
    <w:rsid w:val="003053DA"/>
    <w:rsid w:val="0030711A"/>
    <w:rsid w:val="00307A04"/>
    <w:rsid w:val="00310B70"/>
    <w:rsid w:val="00310FD8"/>
    <w:rsid w:val="00311F3B"/>
    <w:rsid w:val="00312220"/>
    <w:rsid w:val="003140E0"/>
    <w:rsid w:val="00314DA5"/>
    <w:rsid w:val="0031557D"/>
    <w:rsid w:val="0031566B"/>
    <w:rsid w:val="00315BF1"/>
    <w:rsid w:val="0031623B"/>
    <w:rsid w:val="003168D4"/>
    <w:rsid w:val="00316E8B"/>
    <w:rsid w:val="0032010F"/>
    <w:rsid w:val="00320C84"/>
    <w:rsid w:val="003217CC"/>
    <w:rsid w:val="00322876"/>
    <w:rsid w:val="00322DA0"/>
    <w:rsid w:val="00323228"/>
    <w:rsid w:val="00323AEA"/>
    <w:rsid w:val="00323DFB"/>
    <w:rsid w:val="003248EA"/>
    <w:rsid w:val="003249A3"/>
    <w:rsid w:val="00324E18"/>
    <w:rsid w:val="003250AC"/>
    <w:rsid w:val="003254E9"/>
    <w:rsid w:val="0032550C"/>
    <w:rsid w:val="003256D8"/>
    <w:rsid w:val="00325E00"/>
    <w:rsid w:val="00325FB6"/>
    <w:rsid w:val="00326C6F"/>
    <w:rsid w:val="00327631"/>
    <w:rsid w:val="003305AB"/>
    <w:rsid w:val="003309F0"/>
    <w:rsid w:val="00331056"/>
    <w:rsid w:val="003325B5"/>
    <w:rsid w:val="00333164"/>
    <w:rsid w:val="003335FE"/>
    <w:rsid w:val="003339F6"/>
    <w:rsid w:val="00333B38"/>
    <w:rsid w:val="003342F4"/>
    <w:rsid w:val="003355E3"/>
    <w:rsid w:val="00335CD1"/>
    <w:rsid w:val="00336222"/>
    <w:rsid w:val="00336A5D"/>
    <w:rsid w:val="00336E5B"/>
    <w:rsid w:val="003376E3"/>
    <w:rsid w:val="00340D4F"/>
    <w:rsid w:val="00340F1A"/>
    <w:rsid w:val="00340FD2"/>
    <w:rsid w:val="0034115B"/>
    <w:rsid w:val="00341218"/>
    <w:rsid w:val="00342B4E"/>
    <w:rsid w:val="00342E03"/>
    <w:rsid w:val="00343D16"/>
    <w:rsid w:val="003441F0"/>
    <w:rsid w:val="00344201"/>
    <w:rsid w:val="003442BD"/>
    <w:rsid w:val="00344522"/>
    <w:rsid w:val="00345FAC"/>
    <w:rsid w:val="00346408"/>
    <w:rsid w:val="00347035"/>
    <w:rsid w:val="003479E3"/>
    <w:rsid w:val="00347AF4"/>
    <w:rsid w:val="00347B22"/>
    <w:rsid w:val="00347CF5"/>
    <w:rsid w:val="00347E6D"/>
    <w:rsid w:val="00350961"/>
    <w:rsid w:val="00351931"/>
    <w:rsid w:val="00352673"/>
    <w:rsid w:val="00352B5C"/>
    <w:rsid w:val="00352CE4"/>
    <w:rsid w:val="003532A3"/>
    <w:rsid w:val="00353B7B"/>
    <w:rsid w:val="00353D3F"/>
    <w:rsid w:val="00354264"/>
    <w:rsid w:val="00354296"/>
    <w:rsid w:val="00354344"/>
    <w:rsid w:val="003544DA"/>
    <w:rsid w:val="0035455B"/>
    <w:rsid w:val="00355795"/>
    <w:rsid w:val="0035604D"/>
    <w:rsid w:val="0035661C"/>
    <w:rsid w:val="003567E6"/>
    <w:rsid w:val="003568BB"/>
    <w:rsid w:val="00356B44"/>
    <w:rsid w:val="00356B55"/>
    <w:rsid w:val="0036005E"/>
    <w:rsid w:val="0036032A"/>
    <w:rsid w:val="0036056C"/>
    <w:rsid w:val="00360FCA"/>
    <w:rsid w:val="00361682"/>
    <w:rsid w:val="0036169E"/>
    <w:rsid w:val="00362D25"/>
    <w:rsid w:val="003637E9"/>
    <w:rsid w:val="003642C8"/>
    <w:rsid w:val="0036480E"/>
    <w:rsid w:val="00365473"/>
    <w:rsid w:val="003656C7"/>
    <w:rsid w:val="00365724"/>
    <w:rsid w:val="00365810"/>
    <w:rsid w:val="00365CC6"/>
    <w:rsid w:val="0036705B"/>
    <w:rsid w:val="00367EE5"/>
    <w:rsid w:val="0037379E"/>
    <w:rsid w:val="003737FB"/>
    <w:rsid w:val="003738CA"/>
    <w:rsid w:val="00374C8F"/>
    <w:rsid w:val="0037588F"/>
    <w:rsid w:val="003777AF"/>
    <w:rsid w:val="00381A6D"/>
    <w:rsid w:val="00381B28"/>
    <w:rsid w:val="00381B62"/>
    <w:rsid w:val="00382D5D"/>
    <w:rsid w:val="0038362A"/>
    <w:rsid w:val="0038382F"/>
    <w:rsid w:val="003838C9"/>
    <w:rsid w:val="003849BD"/>
    <w:rsid w:val="0038597E"/>
    <w:rsid w:val="00385E67"/>
    <w:rsid w:val="00385F7D"/>
    <w:rsid w:val="00385FBB"/>
    <w:rsid w:val="003860D5"/>
    <w:rsid w:val="00386496"/>
    <w:rsid w:val="00386978"/>
    <w:rsid w:val="00387911"/>
    <w:rsid w:val="003879BF"/>
    <w:rsid w:val="00390045"/>
    <w:rsid w:val="00390708"/>
    <w:rsid w:val="003907D1"/>
    <w:rsid w:val="00390B37"/>
    <w:rsid w:val="00391583"/>
    <w:rsid w:val="00391E8C"/>
    <w:rsid w:val="00392592"/>
    <w:rsid w:val="00392928"/>
    <w:rsid w:val="00392BEF"/>
    <w:rsid w:val="00393B33"/>
    <w:rsid w:val="00393B5C"/>
    <w:rsid w:val="00394325"/>
    <w:rsid w:val="00394635"/>
    <w:rsid w:val="00394F7D"/>
    <w:rsid w:val="00394F86"/>
    <w:rsid w:val="0039539E"/>
    <w:rsid w:val="00395945"/>
    <w:rsid w:val="003961C3"/>
    <w:rsid w:val="0039648F"/>
    <w:rsid w:val="00396970"/>
    <w:rsid w:val="003977DD"/>
    <w:rsid w:val="003A11D9"/>
    <w:rsid w:val="003A217C"/>
    <w:rsid w:val="003A2394"/>
    <w:rsid w:val="003A2521"/>
    <w:rsid w:val="003A26C8"/>
    <w:rsid w:val="003A2EE8"/>
    <w:rsid w:val="003A45A2"/>
    <w:rsid w:val="003A55A5"/>
    <w:rsid w:val="003A5756"/>
    <w:rsid w:val="003A5964"/>
    <w:rsid w:val="003A5FA5"/>
    <w:rsid w:val="003A677B"/>
    <w:rsid w:val="003A68EA"/>
    <w:rsid w:val="003A7396"/>
    <w:rsid w:val="003A7BEF"/>
    <w:rsid w:val="003A7EB0"/>
    <w:rsid w:val="003B12A0"/>
    <w:rsid w:val="003B12B4"/>
    <w:rsid w:val="003B1629"/>
    <w:rsid w:val="003B2231"/>
    <w:rsid w:val="003B2B43"/>
    <w:rsid w:val="003B31D3"/>
    <w:rsid w:val="003B3B64"/>
    <w:rsid w:val="003B3E6C"/>
    <w:rsid w:val="003B3F3A"/>
    <w:rsid w:val="003B4282"/>
    <w:rsid w:val="003B434C"/>
    <w:rsid w:val="003B550F"/>
    <w:rsid w:val="003B6AB0"/>
    <w:rsid w:val="003B6B2E"/>
    <w:rsid w:val="003B7200"/>
    <w:rsid w:val="003B7239"/>
    <w:rsid w:val="003B7A35"/>
    <w:rsid w:val="003C0F5A"/>
    <w:rsid w:val="003C1D63"/>
    <w:rsid w:val="003C1DFC"/>
    <w:rsid w:val="003C2361"/>
    <w:rsid w:val="003C2844"/>
    <w:rsid w:val="003C2D57"/>
    <w:rsid w:val="003C33A3"/>
    <w:rsid w:val="003C5F54"/>
    <w:rsid w:val="003C7625"/>
    <w:rsid w:val="003C7B87"/>
    <w:rsid w:val="003D12D7"/>
    <w:rsid w:val="003D1522"/>
    <w:rsid w:val="003D1ED6"/>
    <w:rsid w:val="003D1F63"/>
    <w:rsid w:val="003D2808"/>
    <w:rsid w:val="003D2D9D"/>
    <w:rsid w:val="003D3090"/>
    <w:rsid w:val="003D3A65"/>
    <w:rsid w:val="003D3A6D"/>
    <w:rsid w:val="003D4167"/>
    <w:rsid w:val="003D4280"/>
    <w:rsid w:val="003D4826"/>
    <w:rsid w:val="003D4EDC"/>
    <w:rsid w:val="003D52AC"/>
    <w:rsid w:val="003D6F7E"/>
    <w:rsid w:val="003E0512"/>
    <w:rsid w:val="003E0D19"/>
    <w:rsid w:val="003E1329"/>
    <w:rsid w:val="003E133B"/>
    <w:rsid w:val="003E137C"/>
    <w:rsid w:val="003E1C87"/>
    <w:rsid w:val="003E2334"/>
    <w:rsid w:val="003E261E"/>
    <w:rsid w:val="003E4408"/>
    <w:rsid w:val="003E4654"/>
    <w:rsid w:val="003E65BB"/>
    <w:rsid w:val="003E78D8"/>
    <w:rsid w:val="003F0622"/>
    <w:rsid w:val="003F0B33"/>
    <w:rsid w:val="003F0F89"/>
    <w:rsid w:val="003F1254"/>
    <w:rsid w:val="003F1EA2"/>
    <w:rsid w:val="003F23A1"/>
    <w:rsid w:val="003F3B19"/>
    <w:rsid w:val="003F5123"/>
    <w:rsid w:val="003F5726"/>
    <w:rsid w:val="003F65CA"/>
    <w:rsid w:val="003F6693"/>
    <w:rsid w:val="003F6BF0"/>
    <w:rsid w:val="003F71AA"/>
    <w:rsid w:val="0040053D"/>
    <w:rsid w:val="00400C6D"/>
    <w:rsid w:val="0040199F"/>
    <w:rsid w:val="004024CA"/>
    <w:rsid w:val="004038E3"/>
    <w:rsid w:val="00403AD4"/>
    <w:rsid w:val="00403B2F"/>
    <w:rsid w:val="00403EAC"/>
    <w:rsid w:val="00404758"/>
    <w:rsid w:val="00407198"/>
    <w:rsid w:val="0040796D"/>
    <w:rsid w:val="00407B5F"/>
    <w:rsid w:val="00407E21"/>
    <w:rsid w:val="004113F7"/>
    <w:rsid w:val="0041173D"/>
    <w:rsid w:val="004123A3"/>
    <w:rsid w:val="0041242A"/>
    <w:rsid w:val="004129C2"/>
    <w:rsid w:val="0041310C"/>
    <w:rsid w:val="0041354F"/>
    <w:rsid w:val="00413799"/>
    <w:rsid w:val="00413C4C"/>
    <w:rsid w:val="00413F9B"/>
    <w:rsid w:val="00414D21"/>
    <w:rsid w:val="00415D02"/>
    <w:rsid w:val="00416B00"/>
    <w:rsid w:val="00416C2B"/>
    <w:rsid w:val="00416DF7"/>
    <w:rsid w:val="004170AA"/>
    <w:rsid w:val="00417B83"/>
    <w:rsid w:val="0042047D"/>
    <w:rsid w:val="004206D4"/>
    <w:rsid w:val="00420A72"/>
    <w:rsid w:val="00420BDE"/>
    <w:rsid w:val="00420C32"/>
    <w:rsid w:val="00421296"/>
    <w:rsid w:val="00422732"/>
    <w:rsid w:val="00422B02"/>
    <w:rsid w:val="00422B04"/>
    <w:rsid w:val="004246F4"/>
    <w:rsid w:val="00425396"/>
    <w:rsid w:val="00425F65"/>
    <w:rsid w:val="004263AA"/>
    <w:rsid w:val="00426A8E"/>
    <w:rsid w:val="00426B51"/>
    <w:rsid w:val="00426EBF"/>
    <w:rsid w:val="00430303"/>
    <w:rsid w:val="0043036B"/>
    <w:rsid w:val="0043076E"/>
    <w:rsid w:val="004319C6"/>
    <w:rsid w:val="00431C69"/>
    <w:rsid w:val="00431F5E"/>
    <w:rsid w:val="004321B5"/>
    <w:rsid w:val="00432C45"/>
    <w:rsid w:val="00433884"/>
    <w:rsid w:val="004338BC"/>
    <w:rsid w:val="004352BA"/>
    <w:rsid w:val="00435B45"/>
    <w:rsid w:val="00436058"/>
    <w:rsid w:val="00436AAB"/>
    <w:rsid w:val="004376DF"/>
    <w:rsid w:val="004405A2"/>
    <w:rsid w:val="0044077F"/>
    <w:rsid w:val="0044096B"/>
    <w:rsid w:val="00440B9B"/>
    <w:rsid w:val="00440CD8"/>
    <w:rsid w:val="00440D85"/>
    <w:rsid w:val="004412AC"/>
    <w:rsid w:val="004420BA"/>
    <w:rsid w:val="0044246F"/>
    <w:rsid w:val="00442927"/>
    <w:rsid w:val="00442F65"/>
    <w:rsid w:val="00443F54"/>
    <w:rsid w:val="004448CC"/>
    <w:rsid w:val="004458CE"/>
    <w:rsid w:val="00445D74"/>
    <w:rsid w:val="00446390"/>
    <w:rsid w:val="00446764"/>
    <w:rsid w:val="00446B2F"/>
    <w:rsid w:val="00446E97"/>
    <w:rsid w:val="00447157"/>
    <w:rsid w:val="004503F6"/>
    <w:rsid w:val="00450C6F"/>
    <w:rsid w:val="00451155"/>
    <w:rsid w:val="004511AB"/>
    <w:rsid w:val="004514AC"/>
    <w:rsid w:val="004514C6"/>
    <w:rsid w:val="0045209B"/>
    <w:rsid w:val="004521D3"/>
    <w:rsid w:val="0045278B"/>
    <w:rsid w:val="00452A21"/>
    <w:rsid w:val="00452E10"/>
    <w:rsid w:val="00452EC6"/>
    <w:rsid w:val="004532AA"/>
    <w:rsid w:val="00453A95"/>
    <w:rsid w:val="004540CB"/>
    <w:rsid w:val="00455259"/>
    <w:rsid w:val="0045583C"/>
    <w:rsid w:val="00455EE2"/>
    <w:rsid w:val="004562F6"/>
    <w:rsid w:val="004600EE"/>
    <w:rsid w:val="00460E09"/>
    <w:rsid w:val="004612A2"/>
    <w:rsid w:val="00461316"/>
    <w:rsid w:val="004629DD"/>
    <w:rsid w:val="00462A41"/>
    <w:rsid w:val="00462FF1"/>
    <w:rsid w:val="0046315D"/>
    <w:rsid w:val="00463887"/>
    <w:rsid w:val="00464120"/>
    <w:rsid w:val="00464951"/>
    <w:rsid w:val="004660BF"/>
    <w:rsid w:val="00466A4C"/>
    <w:rsid w:val="00466B6C"/>
    <w:rsid w:val="00466D5F"/>
    <w:rsid w:val="00466D88"/>
    <w:rsid w:val="0046763B"/>
    <w:rsid w:val="004679D6"/>
    <w:rsid w:val="00470819"/>
    <w:rsid w:val="00470FAC"/>
    <w:rsid w:val="00470FE4"/>
    <w:rsid w:val="004713E4"/>
    <w:rsid w:val="00471E77"/>
    <w:rsid w:val="00472070"/>
    <w:rsid w:val="004726E8"/>
    <w:rsid w:val="00472837"/>
    <w:rsid w:val="004729C9"/>
    <w:rsid w:val="00472F3D"/>
    <w:rsid w:val="00473785"/>
    <w:rsid w:val="00473955"/>
    <w:rsid w:val="00473B03"/>
    <w:rsid w:val="00473BC5"/>
    <w:rsid w:val="0047442B"/>
    <w:rsid w:val="0047527A"/>
    <w:rsid w:val="00475290"/>
    <w:rsid w:val="00475321"/>
    <w:rsid w:val="004768EC"/>
    <w:rsid w:val="00476F2D"/>
    <w:rsid w:val="00476F70"/>
    <w:rsid w:val="00477B87"/>
    <w:rsid w:val="0048033F"/>
    <w:rsid w:val="00480DDE"/>
    <w:rsid w:val="00480E6B"/>
    <w:rsid w:val="00481368"/>
    <w:rsid w:val="004822C1"/>
    <w:rsid w:val="00482A2C"/>
    <w:rsid w:val="00482A6D"/>
    <w:rsid w:val="00482F4A"/>
    <w:rsid w:val="0048430B"/>
    <w:rsid w:val="00484983"/>
    <w:rsid w:val="00485211"/>
    <w:rsid w:val="00486270"/>
    <w:rsid w:val="0048668A"/>
    <w:rsid w:val="00486912"/>
    <w:rsid w:val="004869B8"/>
    <w:rsid w:val="00486A83"/>
    <w:rsid w:val="00486D7E"/>
    <w:rsid w:val="00487089"/>
    <w:rsid w:val="00490048"/>
    <w:rsid w:val="0049016A"/>
    <w:rsid w:val="00490577"/>
    <w:rsid w:val="004905DC"/>
    <w:rsid w:val="00490967"/>
    <w:rsid w:val="00490C96"/>
    <w:rsid w:val="00490DF3"/>
    <w:rsid w:val="00491276"/>
    <w:rsid w:val="00491654"/>
    <w:rsid w:val="00491D76"/>
    <w:rsid w:val="00492347"/>
    <w:rsid w:val="00493C74"/>
    <w:rsid w:val="00493C97"/>
    <w:rsid w:val="004949DC"/>
    <w:rsid w:val="004951F4"/>
    <w:rsid w:val="00495B2C"/>
    <w:rsid w:val="004963BC"/>
    <w:rsid w:val="004A0067"/>
    <w:rsid w:val="004A0665"/>
    <w:rsid w:val="004A0886"/>
    <w:rsid w:val="004A1475"/>
    <w:rsid w:val="004A21A2"/>
    <w:rsid w:val="004A2D6D"/>
    <w:rsid w:val="004A35E2"/>
    <w:rsid w:val="004A4BBB"/>
    <w:rsid w:val="004A4F32"/>
    <w:rsid w:val="004A5095"/>
    <w:rsid w:val="004A55CE"/>
    <w:rsid w:val="004A59C0"/>
    <w:rsid w:val="004A5ECF"/>
    <w:rsid w:val="004A6546"/>
    <w:rsid w:val="004A6805"/>
    <w:rsid w:val="004A74A3"/>
    <w:rsid w:val="004B0162"/>
    <w:rsid w:val="004B046B"/>
    <w:rsid w:val="004B07D5"/>
    <w:rsid w:val="004B19BB"/>
    <w:rsid w:val="004B1A55"/>
    <w:rsid w:val="004B294A"/>
    <w:rsid w:val="004B2D06"/>
    <w:rsid w:val="004B32AE"/>
    <w:rsid w:val="004B3518"/>
    <w:rsid w:val="004B3701"/>
    <w:rsid w:val="004B37D5"/>
    <w:rsid w:val="004B47C1"/>
    <w:rsid w:val="004B4F6E"/>
    <w:rsid w:val="004B585F"/>
    <w:rsid w:val="004B5A14"/>
    <w:rsid w:val="004B60C3"/>
    <w:rsid w:val="004B6797"/>
    <w:rsid w:val="004B6D11"/>
    <w:rsid w:val="004C02DD"/>
    <w:rsid w:val="004C04A4"/>
    <w:rsid w:val="004C0510"/>
    <w:rsid w:val="004C1296"/>
    <w:rsid w:val="004C1421"/>
    <w:rsid w:val="004C1EB1"/>
    <w:rsid w:val="004C25A8"/>
    <w:rsid w:val="004C2B45"/>
    <w:rsid w:val="004C3777"/>
    <w:rsid w:val="004C567B"/>
    <w:rsid w:val="004C6378"/>
    <w:rsid w:val="004D0775"/>
    <w:rsid w:val="004D07AC"/>
    <w:rsid w:val="004D1974"/>
    <w:rsid w:val="004D19FB"/>
    <w:rsid w:val="004D203F"/>
    <w:rsid w:val="004D3274"/>
    <w:rsid w:val="004D35EE"/>
    <w:rsid w:val="004D3A4E"/>
    <w:rsid w:val="004D3C4C"/>
    <w:rsid w:val="004D3D6D"/>
    <w:rsid w:val="004D4231"/>
    <w:rsid w:val="004D4902"/>
    <w:rsid w:val="004D4A80"/>
    <w:rsid w:val="004D4FAA"/>
    <w:rsid w:val="004D5773"/>
    <w:rsid w:val="004D6102"/>
    <w:rsid w:val="004D6712"/>
    <w:rsid w:val="004D676E"/>
    <w:rsid w:val="004D6D8F"/>
    <w:rsid w:val="004D6F5F"/>
    <w:rsid w:val="004D72B8"/>
    <w:rsid w:val="004D7955"/>
    <w:rsid w:val="004E1152"/>
    <w:rsid w:val="004E2244"/>
    <w:rsid w:val="004E2C71"/>
    <w:rsid w:val="004E2DA9"/>
    <w:rsid w:val="004E4A6B"/>
    <w:rsid w:val="004E58CA"/>
    <w:rsid w:val="004E5907"/>
    <w:rsid w:val="004E5945"/>
    <w:rsid w:val="004E5A2C"/>
    <w:rsid w:val="004E5BC2"/>
    <w:rsid w:val="004E68FA"/>
    <w:rsid w:val="004E6D1A"/>
    <w:rsid w:val="004E6E70"/>
    <w:rsid w:val="004F02CC"/>
    <w:rsid w:val="004F067A"/>
    <w:rsid w:val="004F0A4F"/>
    <w:rsid w:val="004F0C2F"/>
    <w:rsid w:val="004F185C"/>
    <w:rsid w:val="004F1C2D"/>
    <w:rsid w:val="004F20AD"/>
    <w:rsid w:val="004F23E1"/>
    <w:rsid w:val="004F2E1D"/>
    <w:rsid w:val="004F2F76"/>
    <w:rsid w:val="004F3190"/>
    <w:rsid w:val="004F4DC6"/>
    <w:rsid w:val="004F51E0"/>
    <w:rsid w:val="004F52A8"/>
    <w:rsid w:val="004F6873"/>
    <w:rsid w:val="004F6C7A"/>
    <w:rsid w:val="004F7280"/>
    <w:rsid w:val="004F765B"/>
    <w:rsid w:val="0050013A"/>
    <w:rsid w:val="005023D3"/>
    <w:rsid w:val="00503A18"/>
    <w:rsid w:val="005046CD"/>
    <w:rsid w:val="00504BA1"/>
    <w:rsid w:val="00504E6E"/>
    <w:rsid w:val="0050507B"/>
    <w:rsid w:val="005051EC"/>
    <w:rsid w:val="00505680"/>
    <w:rsid w:val="005069B9"/>
    <w:rsid w:val="00507128"/>
    <w:rsid w:val="00507237"/>
    <w:rsid w:val="00507E8D"/>
    <w:rsid w:val="00511D05"/>
    <w:rsid w:val="00511F76"/>
    <w:rsid w:val="005126BA"/>
    <w:rsid w:val="00512E97"/>
    <w:rsid w:val="00513416"/>
    <w:rsid w:val="00513683"/>
    <w:rsid w:val="00513E21"/>
    <w:rsid w:val="00514049"/>
    <w:rsid w:val="00514434"/>
    <w:rsid w:val="005151EB"/>
    <w:rsid w:val="0051525B"/>
    <w:rsid w:val="005155EE"/>
    <w:rsid w:val="00515F34"/>
    <w:rsid w:val="00516047"/>
    <w:rsid w:val="0051620A"/>
    <w:rsid w:val="00516BF9"/>
    <w:rsid w:val="00516C6A"/>
    <w:rsid w:val="00516D01"/>
    <w:rsid w:val="00516E07"/>
    <w:rsid w:val="00516FDA"/>
    <w:rsid w:val="005176D4"/>
    <w:rsid w:val="00517AC1"/>
    <w:rsid w:val="00517BFF"/>
    <w:rsid w:val="00520B18"/>
    <w:rsid w:val="005216CD"/>
    <w:rsid w:val="00521766"/>
    <w:rsid w:val="005219E9"/>
    <w:rsid w:val="00521B7C"/>
    <w:rsid w:val="005223D2"/>
    <w:rsid w:val="00522904"/>
    <w:rsid w:val="00522AC3"/>
    <w:rsid w:val="00522B9A"/>
    <w:rsid w:val="00522E6B"/>
    <w:rsid w:val="00523510"/>
    <w:rsid w:val="00523AF0"/>
    <w:rsid w:val="00524FAC"/>
    <w:rsid w:val="00525456"/>
    <w:rsid w:val="00525964"/>
    <w:rsid w:val="005262E1"/>
    <w:rsid w:val="00526384"/>
    <w:rsid w:val="00526A70"/>
    <w:rsid w:val="00527D9C"/>
    <w:rsid w:val="00530E86"/>
    <w:rsid w:val="00532EC3"/>
    <w:rsid w:val="00533022"/>
    <w:rsid w:val="00533C2D"/>
    <w:rsid w:val="00533EC8"/>
    <w:rsid w:val="00534112"/>
    <w:rsid w:val="00534204"/>
    <w:rsid w:val="00534488"/>
    <w:rsid w:val="00534602"/>
    <w:rsid w:val="00534DC2"/>
    <w:rsid w:val="00536009"/>
    <w:rsid w:val="005360D6"/>
    <w:rsid w:val="00540D7D"/>
    <w:rsid w:val="005412DA"/>
    <w:rsid w:val="005413E9"/>
    <w:rsid w:val="00541780"/>
    <w:rsid w:val="005418F6"/>
    <w:rsid w:val="00541F25"/>
    <w:rsid w:val="00543720"/>
    <w:rsid w:val="005438D3"/>
    <w:rsid w:val="0054470F"/>
    <w:rsid w:val="00544AE3"/>
    <w:rsid w:val="00545038"/>
    <w:rsid w:val="00546BA7"/>
    <w:rsid w:val="00546E3F"/>
    <w:rsid w:val="00547772"/>
    <w:rsid w:val="0054784D"/>
    <w:rsid w:val="00547BEE"/>
    <w:rsid w:val="005511D8"/>
    <w:rsid w:val="00551267"/>
    <w:rsid w:val="005519A3"/>
    <w:rsid w:val="0055233E"/>
    <w:rsid w:val="005526CE"/>
    <w:rsid w:val="00552BFA"/>
    <w:rsid w:val="00552CF0"/>
    <w:rsid w:val="0055430D"/>
    <w:rsid w:val="00554E19"/>
    <w:rsid w:val="005550E8"/>
    <w:rsid w:val="00555165"/>
    <w:rsid w:val="005552A8"/>
    <w:rsid w:val="00555301"/>
    <w:rsid w:val="005553C4"/>
    <w:rsid w:val="0055563D"/>
    <w:rsid w:val="0055695B"/>
    <w:rsid w:val="00556A9C"/>
    <w:rsid w:val="00556AE8"/>
    <w:rsid w:val="00556BD9"/>
    <w:rsid w:val="00557098"/>
    <w:rsid w:val="005578CC"/>
    <w:rsid w:val="00557DB7"/>
    <w:rsid w:val="005600EA"/>
    <w:rsid w:val="00560595"/>
    <w:rsid w:val="0056241A"/>
    <w:rsid w:val="00562BAF"/>
    <w:rsid w:val="005630E8"/>
    <w:rsid w:val="00563601"/>
    <w:rsid w:val="0056470E"/>
    <w:rsid w:val="00564D3C"/>
    <w:rsid w:val="0056559A"/>
    <w:rsid w:val="00565855"/>
    <w:rsid w:val="0056633D"/>
    <w:rsid w:val="00566CE6"/>
    <w:rsid w:val="00567AA7"/>
    <w:rsid w:val="00570A38"/>
    <w:rsid w:val="00570FF5"/>
    <w:rsid w:val="0057114D"/>
    <w:rsid w:val="005711C7"/>
    <w:rsid w:val="00571BF5"/>
    <w:rsid w:val="00571E2E"/>
    <w:rsid w:val="00572AF7"/>
    <w:rsid w:val="005738F6"/>
    <w:rsid w:val="00573B0E"/>
    <w:rsid w:val="005742D4"/>
    <w:rsid w:val="005747D9"/>
    <w:rsid w:val="00574A8F"/>
    <w:rsid w:val="005752F3"/>
    <w:rsid w:val="005757A5"/>
    <w:rsid w:val="00575E60"/>
    <w:rsid w:val="00576492"/>
    <w:rsid w:val="005775A3"/>
    <w:rsid w:val="00577847"/>
    <w:rsid w:val="00577A41"/>
    <w:rsid w:val="0058019F"/>
    <w:rsid w:val="00580513"/>
    <w:rsid w:val="00580A87"/>
    <w:rsid w:val="00580C47"/>
    <w:rsid w:val="00580E9D"/>
    <w:rsid w:val="00581255"/>
    <w:rsid w:val="00581614"/>
    <w:rsid w:val="00582351"/>
    <w:rsid w:val="00582BEF"/>
    <w:rsid w:val="00583265"/>
    <w:rsid w:val="00583DC6"/>
    <w:rsid w:val="00584655"/>
    <w:rsid w:val="005847F5"/>
    <w:rsid w:val="00584C46"/>
    <w:rsid w:val="005852BC"/>
    <w:rsid w:val="005854DF"/>
    <w:rsid w:val="005855E7"/>
    <w:rsid w:val="00586B64"/>
    <w:rsid w:val="005878FC"/>
    <w:rsid w:val="00587A94"/>
    <w:rsid w:val="00587AEF"/>
    <w:rsid w:val="005907B1"/>
    <w:rsid w:val="005909DC"/>
    <w:rsid w:val="00590DF0"/>
    <w:rsid w:val="00591BA8"/>
    <w:rsid w:val="00592D62"/>
    <w:rsid w:val="00593520"/>
    <w:rsid w:val="0059361C"/>
    <w:rsid w:val="0059459A"/>
    <w:rsid w:val="0059488F"/>
    <w:rsid w:val="00595033"/>
    <w:rsid w:val="0059593C"/>
    <w:rsid w:val="00595A03"/>
    <w:rsid w:val="00596133"/>
    <w:rsid w:val="00597523"/>
    <w:rsid w:val="00597841"/>
    <w:rsid w:val="00597B29"/>
    <w:rsid w:val="00597C0B"/>
    <w:rsid w:val="00597DD4"/>
    <w:rsid w:val="005A057F"/>
    <w:rsid w:val="005A05ED"/>
    <w:rsid w:val="005A1F54"/>
    <w:rsid w:val="005A2AE2"/>
    <w:rsid w:val="005A2BD6"/>
    <w:rsid w:val="005A35A1"/>
    <w:rsid w:val="005A385D"/>
    <w:rsid w:val="005A4505"/>
    <w:rsid w:val="005A49DA"/>
    <w:rsid w:val="005A4A89"/>
    <w:rsid w:val="005A5C53"/>
    <w:rsid w:val="005A6841"/>
    <w:rsid w:val="005A7585"/>
    <w:rsid w:val="005A7737"/>
    <w:rsid w:val="005A7B98"/>
    <w:rsid w:val="005A7E7A"/>
    <w:rsid w:val="005B0001"/>
    <w:rsid w:val="005B0523"/>
    <w:rsid w:val="005B065B"/>
    <w:rsid w:val="005B0C0D"/>
    <w:rsid w:val="005B0E04"/>
    <w:rsid w:val="005B1EFF"/>
    <w:rsid w:val="005B2A78"/>
    <w:rsid w:val="005B2AC7"/>
    <w:rsid w:val="005B3BF5"/>
    <w:rsid w:val="005B4228"/>
    <w:rsid w:val="005B42E6"/>
    <w:rsid w:val="005B43FC"/>
    <w:rsid w:val="005B4973"/>
    <w:rsid w:val="005B5878"/>
    <w:rsid w:val="005B59EC"/>
    <w:rsid w:val="005B6215"/>
    <w:rsid w:val="005B6321"/>
    <w:rsid w:val="005B6633"/>
    <w:rsid w:val="005B6A64"/>
    <w:rsid w:val="005B6C0B"/>
    <w:rsid w:val="005C09F6"/>
    <w:rsid w:val="005C13C4"/>
    <w:rsid w:val="005C17CA"/>
    <w:rsid w:val="005C205D"/>
    <w:rsid w:val="005C20DE"/>
    <w:rsid w:val="005C20FD"/>
    <w:rsid w:val="005C2C0C"/>
    <w:rsid w:val="005C3496"/>
    <w:rsid w:val="005C45D4"/>
    <w:rsid w:val="005C4E71"/>
    <w:rsid w:val="005C5A0A"/>
    <w:rsid w:val="005C5AD2"/>
    <w:rsid w:val="005C5BB7"/>
    <w:rsid w:val="005C64E4"/>
    <w:rsid w:val="005C70B0"/>
    <w:rsid w:val="005C70FF"/>
    <w:rsid w:val="005C7870"/>
    <w:rsid w:val="005C79AD"/>
    <w:rsid w:val="005C7CB6"/>
    <w:rsid w:val="005C7CF7"/>
    <w:rsid w:val="005D0A67"/>
    <w:rsid w:val="005D0E57"/>
    <w:rsid w:val="005D1549"/>
    <w:rsid w:val="005D15F6"/>
    <w:rsid w:val="005D1B0F"/>
    <w:rsid w:val="005D4AAF"/>
    <w:rsid w:val="005D500A"/>
    <w:rsid w:val="005D56C4"/>
    <w:rsid w:val="005D573C"/>
    <w:rsid w:val="005D7342"/>
    <w:rsid w:val="005D7B41"/>
    <w:rsid w:val="005D7CDE"/>
    <w:rsid w:val="005E08B9"/>
    <w:rsid w:val="005E09EF"/>
    <w:rsid w:val="005E2A5B"/>
    <w:rsid w:val="005E2CA5"/>
    <w:rsid w:val="005E3CA3"/>
    <w:rsid w:val="005E3E3F"/>
    <w:rsid w:val="005E4D37"/>
    <w:rsid w:val="005E515C"/>
    <w:rsid w:val="005E58D6"/>
    <w:rsid w:val="005E590B"/>
    <w:rsid w:val="005E5D96"/>
    <w:rsid w:val="005E5EA0"/>
    <w:rsid w:val="005E5F2F"/>
    <w:rsid w:val="005E5F93"/>
    <w:rsid w:val="005E690B"/>
    <w:rsid w:val="005E74F3"/>
    <w:rsid w:val="005E76EC"/>
    <w:rsid w:val="005E7955"/>
    <w:rsid w:val="005E7B29"/>
    <w:rsid w:val="005F1AFC"/>
    <w:rsid w:val="005F375D"/>
    <w:rsid w:val="005F3DFF"/>
    <w:rsid w:val="005F3F1A"/>
    <w:rsid w:val="005F48A7"/>
    <w:rsid w:val="005F50A8"/>
    <w:rsid w:val="005F622D"/>
    <w:rsid w:val="005F6C1D"/>
    <w:rsid w:val="005F6FC3"/>
    <w:rsid w:val="005F7638"/>
    <w:rsid w:val="005F7AD3"/>
    <w:rsid w:val="005F7C2E"/>
    <w:rsid w:val="006001BE"/>
    <w:rsid w:val="006001D1"/>
    <w:rsid w:val="00600783"/>
    <w:rsid w:val="00600912"/>
    <w:rsid w:val="006012A9"/>
    <w:rsid w:val="00601612"/>
    <w:rsid w:val="006018C5"/>
    <w:rsid w:val="00601FA5"/>
    <w:rsid w:val="00602198"/>
    <w:rsid w:val="00602D7A"/>
    <w:rsid w:val="00603198"/>
    <w:rsid w:val="00603937"/>
    <w:rsid w:val="00603EB4"/>
    <w:rsid w:val="00604B26"/>
    <w:rsid w:val="00604EBC"/>
    <w:rsid w:val="00605BF5"/>
    <w:rsid w:val="00605C80"/>
    <w:rsid w:val="00605D77"/>
    <w:rsid w:val="0060631E"/>
    <w:rsid w:val="006067E5"/>
    <w:rsid w:val="006071EE"/>
    <w:rsid w:val="006078EA"/>
    <w:rsid w:val="0061097D"/>
    <w:rsid w:val="006109BD"/>
    <w:rsid w:val="00610EED"/>
    <w:rsid w:val="00612EED"/>
    <w:rsid w:val="0061339C"/>
    <w:rsid w:val="006138C6"/>
    <w:rsid w:val="00613AF3"/>
    <w:rsid w:val="006145DA"/>
    <w:rsid w:val="006154BA"/>
    <w:rsid w:val="00615E9F"/>
    <w:rsid w:val="00616246"/>
    <w:rsid w:val="006164CB"/>
    <w:rsid w:val="0061655A"/>
    <w:rsid w:val="00616BBE"/>
    <w:rsid w:val="006171D2"/>
    <w:rsid w:val="00617DFC"/>
    <w:rsid w:val="00620417"/>
    <w:rsid w:val="00623711"/>
    <w:rsid w:val="00623C78"/>
    <w:rsid w:val="00624348"/>
    <w:rsid w:val="00624ECF"/>
    <w:rsid w:val="00625F36"/>
    <w:rsid w:val="006264F5"/>
    <w:rsid w:val="0062708C"/>
    <w:rsid w:val="006276DE"/>
    <w:rsid w:val="00627E98"/>
    <w:rsid w:val="00627FCE"/>
    <w:rsid w:val="0063053C"/>
    <w:rsid w:val="00630B15"/>
    <w:rsid w:val="006312CB"/>
    <w:rsid w:val="00632359"/>
    <w:rsid w:val="006323D4"/>
    <w:rsid w:val="00632582"/>
    <w:rsid w:val="00632A22"/>
    <w:rsid w:val="006331F8"/>
    <w:rsid w:val="00633F7C"/>
    <w:rsid w:val="006340E9"/>
    <w:rsid w:val="006345C8"/>
    <w:rsid w:val="00634904"/>
    <w:rsid w:val="00634CB1"/>
    <w:rsid w:val="006356A3"/>
    <w:rsid w:val="00637043"/>
    <w:rsid w:val="00637248"/>
    <w:rsid w:val="006374E6"/>
    <w:rsid w:val="006375C9"/>
    <w:rsid w:val="00637AC2"/>
    <w:rsid w:val="00637D80"/>
    <w:rsid w:val="00637E17"/>
    <w:rsid w:val="00637FA2"/>
    <w:rsid w:val="006409BF"/>
    <w:rsid w:val="006409E6"/>
    <w:rsid w:val="00640B0E"/>
    <w:rsid w:val="00640B32"/>
    <w:rsid w:val="00640F73"/>
    <w:rsid w:val="00642571"/>
    <w:rsid w:val="006429F0"/>
    <w:rsid w:val="00642FE2"/>
    <w:rsid w:val="006433F7"/>
    <w:rsid w:val="00644D75"/>
    <w:rsid w:val="006454FA"/>
    <w:rsid w:val="00646504"/>
    <w:rsid w:val="0064652C"/>
    <w:rsid w:val="00646BC5"/>
    <w:rsid w:val="00646C19"/>
    <w:rsid w:val="00647003"/>
    <w:rsid w:val="006474F3"/>
    <w:rsid w:val="006475D0"/>
    <w:rsid w:val="00647E7B"/>
    <w:rsid w:val="0065124A"/>
    <w:rsid w:val="00651595"/>
    <w:rsid w:val="0065209F"/>
    <w:rsid w:val="00652112"/>
    <w:rsid w:val="00652A75"/>
    <w:rsid w:val="00652E45"/>
    <w:rsid w:val="006537B0"/>
    <w:rsid w:val="0065529C"/>
    <w:rsid w:val="00655B8E"/>
    <w:rsid w:val="00656009"/>
    <w:rsid w:val="00656E86"/>
    <w:rsid w:val="00657F09"/>
    <w:rsid w:val="006606C8"/>
    <w:rsid w:val="00660E07"/>
    <w:rsid w:val="00661CC8"/>
    <w:rsid w:val="0066214E"/>
    <w:rsid w:val="00662191"/>
    <w:rsid w:val="00662323"/>
    <w:rsid w:val="00662BF0"/>
    <w:rsid w:val="00666399"/>
    <w:rsid w:val="0066644B"/>
    <w:rsid w:val="00666DED"/>
    <w:rsid w:val="00666E01"/>
    <w:rsid w:val="006670D7"/>
    <w:rsid w:val="00667602"/>
    <w:rsid w:val="00667B4A"/>
    <w:rsid w:val="00667D0F"/>
    <w:rsid w:val="0067005B"/>
    <w:rsid w:val="00670130"/>
    <w:rsid w:val="006702C6"/>
    <w:rsid w:val="00670AEC"/>
    <w:rsid w:val="00670B63"/>
    <w:rsid w:val="00671127"/>
    <w:rsid w:val="006713BB"/>
    <w:rsid w:val="00671871"/>
    <w:rsid w:val="00671F42"/>
    <w:rsid w:val="00672044"/>
    <w:rsid w:val="006726E1"/>
    <w:rsid w:val="0067304E"/>
    <w:rsid w:val="00673729"/>
    <w:rsid w:val="0067485C"/>
    <w:rsid w:val="0067491D"/>
    <w:rsid w:val="00675532"/>
    <w:rsid w:val="00675BEA"/>
    <w:rsid w:val="00675F61"/>
    <w:rsid w:val="00676172"/>
    <w:rsid w:val="00677D09"/>
    <w:rsid w:val="00680505"/>
    <w:rsid w:val="00680BAC"/>
    <w:rsid w:val="006815DA"/>
    <w:rsid w:val="00682154"/>
    <w:rsid w:val="00682448"/>
    <w:rsid w:val="00682A1B"/>
    <w:rsid w:val="00682C43"/>
    <w:rsid w:val="00683715"/>
    <w:rsid w:val="00683D2A"/>
    <w:rsid w:val="006840DC"/>
    <w:rsid w:val="00684346"/>
    <w:rsid w:val="006843C3"/>
    <w:rsid w:val="00684A3D"/>
    <w:rsid w:val="00684A91"/>
    <w:rsid w:val="00684F15"/>
    <w:rsid w:val="00684F22"/>
    <w:rsid w:val="00685093"/>
    <w:rsid w:val="006852C3"/>
    <w:rsid w:val="006869CF"/>
    <w:rsid w:val="00686BF6"/>
    <w:rsid w:val="00686F38"/>
    <w:rsid w:val="00687106"/>
    <w:rsid w:val="00687149"/>
    <w:rsid w:val="0068739B"/>
    <w:rsid w:val="00687F05"/>
    <w:rsid w:val="00687F33"/>
    <w:rsid w:val="00690601"/>
    <w:rsid w:val="00690CD6"/>
    <w:rsid w:val="00690DAA"/>
    <w:rsid w:val="00690DAD"/>
    <w:rsid w:val="006913A7"/>
    <w:rsid w:val="00691914"/>
    <w:rsid w:val="00692152"/>
    <w:rsid w:val="00693058"/>
    <w:rsid w:val="00693219"/>
    <w:rsid w:val="006941E7"/>
    <w:rsid w:val="0069502E"/>
    <w:rsid w:val="00695AEF"/>
    <w:rsid w:val="00695FBB"/>
    <w:rsid w:val="00696E30"/>
    <w:rsid w:val="0069732A"/>
    <w:rsid w:val="0069735D"/>
    <w:rsid w:val="0069765F"/>
    <w:rsid w:val="006A050E"/>
    <w:rsid w:val="006A0F12"/>
    <w:rsid w:val="006A0FD8"/>
    <w:rsid w:val="006A1015"/>
    <w:rsid w:val="006A19CC"/>
    <w:rsid w:val="006A1BD5"/>
    <w:rsid w:val="006A29AD"/>
    <w:rsid w:val="006A2B55"/>
    <w:rsid w:val="006A302D"/>
    <w:rsid w:val="006A3076"/>
    <w:rsid w:val="006A3270"/>
    <w:rsid w:val="006A3849"/>
    <w:rsid w:val="006A3C3C"/>
    <w:rsid w:val="006A3DF0"/>
    <w:rsid w:val="006A3FB5"/>
    <w:rsid w:val="006A4A7D"/>
    <w:rsid w:val="006A4FEF"/>
    <w:rsid w:val="006A52A7"/>
    <w:rsid w:val="006A64F3"/>
    <w:rsid w:val="006A6EC0"/>
    <w:rsid w:val="006A6FBA"/>
    <w:rsid w:val="006B0878"/>
    <w:rsid w:val="006B208C"/>
    <w:rsid w:val="006B232B"/>
    <w:rsid w:val="006B27CF"/>
    <w:rsid w:val="006B2B7D"/>
    <w:rsid w:val="006B37A5"/>
    <w:rsid w:val="006B3C89"/>
    <w:rsid w:val="006B7118"/>
    <w:rsid w:val="006B7584"/>
    <w:rsid w:val="006B76D4"/>
    <w:rsid w:val="006B786E"/>
    <w:rsid w:val="006B7AE3"/>
    <w:rsid w:val="006C030D"/>
    <w:rsid w:val="006C209E"/>
    <w:rsid w:val="006C2596"/>
    <w:rsid w:val="006C2D5C"/>
    <w:rsid w:val="006C3265"/>
    <w:rsid w:val="006C37E7"/>
    <w:rsid w:val="006C3B7C"/>
    <w:rsid w:val="006C46B7"/>
    <w:rsid w:val="006C48F6"/>
    <w:rsid w:val="006C4AF0"/>
    <w:rsid w:val="006C4BFD"/>
    <w:rsid w:val="006C52A5"/>
    <w:rsid w:val="006C531E"/>
    <w:rsid w:val="006C5FE6"/>
    <w:rsid w:val="006C64BE"/>
    <w:rsid w:val="006C7328"/>
    <w:rsid w:val="006D0482"/>
    <w:rsid w:val="006D0B09"/>
    <w:rsid w:val="006D0E95"/>
    <w:rsid w:val="006D1A0E"/>
    <w:rsid w:val="006D29BA"/>
    <w:rsid w:val="006D2B33"/>
    <w:rsid w:val="006D2F9C"/>
    <w:rsid w:val="006D31C1"/>
    <w:rsid w:val="006D3492"/>
    <w:rsid w:val="006D40BA"/>
    <w:rsid w:val="006D41C1"/>
    <w:rsid w:val="006D441B"/>
    <w:rsid w:val="006D4629"/>
    <w:rsid w:val="006D5756"/>
    <w:rsid w:val="006D5BF8"/>
    <w:rsid w:val="006D5CD8"/>
    <w:rsid w:val="006D6DB8"/>
    <w:rsid w:val="006D7061"/>
    <w:rsid w:val="006D77A3"/>
    <w:rsid w:val="006D790F"/>
    <w:rsid w:val="006D7CFE"/>
    <w:rsid w:val="006D7F0B"/>
    <w:rsid w:val="006E06AA"/>
    <w:rsid w:val="006E07DE"/>
    <w:rsid w:val="006E0D7E"/>
    <w:rsid w:val="006E1943"/>
    <w:rsid w:val="006E27D1"/>
    <w:rsid w:val="006E3F97"/>
    <w:rsid w:val="006E4E53"/>
    <w:rsid w:val="006E59A3"/>
    <w:rsid w:val="006E5B0B"/>
    <w:rsid w:val="006E5C15"/>
    <w:rsid w:val="006E5C2F"/>
    <w:rsid w:val="006E6084"/>
    <w:rsid w:val="006E6089"/>
    <w:rsid w:val="006E61DC"/>
    <w:rsid w:val="006E6532"/>
    <w:rsid w:val="006E668F"/>
    <w:rsid w:val="006E69E8"/>
    <w:rsid w:val="006E6BB6"/>
    <w:rsid w:val="006E736F"/>
    <w:rsid w:val="006E7909"/>
    <w:rsid w:val="006E7FE3"/>
    <w:rsid w:val="006F00D4"/>
    <w:rsid w:val="006F01F4"/>
    <w:rsid w:val="006F101B"/>
    <w:rsid w:val="006F1471"/>
    <w:rsid w:val="006F164A"/>
    <w:rsid w:val="006F1B06"/>
    <w:rsid w:val="006F1E94"/>
    <w:rsid w:val="006F23CB"/>
    <w:rsid w:val="006F3BFE"/>
    <w:rsid w:val="006F3C3D"/>
    <w:rsid w:val="006F3D07"/>
    <w:rsid w:val="006F3D4B"/>
    <w:rsid w:val="006F4DDD"/>
    <w:rsid w:val="006F5E6D"/>
    <w:rsid w:val="006F6360"/>
    <w:rsid w:val="006F68DC"/>
    <w:rsid w:val="006F69AF"/>
    <w:rsid w:val="006F792E"/>
    <w:rsid w:val="006F7C62"/>
    <w:rsid w:val="00700A65"/>
    <w:rsid w:val="00700B87"/>
    <w:rsid w:val="00702BA8"/>
    <w:rsid w:val="00703A7C"/>
    <w:rsid w:val="00703A90"/>
    <w:rsid w:val="00703F83"/>
    <w:rsid w:val="007061B7"/>
    <w:rsid w:val="007062BF"/>
    <w:rsid w:val="00706831"/>
    <w:rsid w:val="007069E7"/>
    <w:rsid w:val="007079F1"/>
    <w:rsid w:val="00707C1B"/>
    <w:rsid w:val="00707DF6"/>
    <w:rsid w:val="007105FC"/>
    <w:rsid w:val="00710E6F"/>
    <w:rsid w:val="0071154F"/>
    <w:rsid w:val="00711E52"/>
    <w:rsid w:val="00712704"/>
    <w:rsid w:val="00712846"/>
    <w:rsid w:val="00712AD5"/>
    <w:rsid w:val="00712BE1"/>
    <w:rsid w:val="00712DAF"/>
    <w:rsid w:val="007130A9"/>
    <w:rsid w:val="007135F0"/>
    <w:rsid w:val="007136D4"/>
    <w:rsid w:val="00713943"/>
    <w:rsid w:val="0071396B"/>
    <w:rsid w:val="00713F1B"/>
    <w:rsid w:val="00715312"/>
    <w:rsid w:val="00716E18"/>
    <w:rsid w:val="00717549"/>
    <w:rsid w:val="0071796D"/>
    <w:rsid w:val="00717F38"/>
    <w:rsid w:val="00717FC7"/>
    <w:rsid w:val="0072046F"/>
    <w:rsid w:val="00720527"/>
    <w:rsid w:val="0072154D"/>
    <w:rsid w:val="00721C65"/>
    <w:rsid w:val="00722B56"/>
    <w:rsid w:val="00722DAD"/>
    <w:rsid w:val="00722E48"/>
    <w:rsid w:val="00722FB3"/>
    <w:rsid w:val="007231BD"/>
    <w:rsid w:val="00723D06"/>
    <w:rsid w:val="0072400B"/>
    <w:rsid w:val="00724773"/>
    <w:rsid w:val="00724AD0"/>
    <w:rsid w:val="007261B6"/>
    <w:rsid w:val="00726554"/>
    <w:rsid w:val="00726A8B"/>
    <w:rsid w:val="00727901"/>
    <w:rsid w:val="00727AAA"/>
    <w:rsid w:val="00730158"/>
    <w:rsid w:val="0073032C"/>
    <w:rsid w:val="0073085B"/>
    <w:rsid w:val="00732A8F"/>
    <w:rsid w:val="00732D7C"/>
    <w:rsid w:val="007331FE"/>
    <w:rsid w:val="00733CE8"/>
    <w:rsid w:val="00734F4D"/>
    <w:rsid w:val="00734FBD"/>
    <w:rsid w:val="00735230"/>
    <w:rsid w:val="00735709"/>
    <w:rsid w:val="00735D72"/>
    <w:rsid w:val="00736839"/>
    <w:rsid w:val="00737153"/>
    <w:rsid w:val="00737A73"/>
    <w:rsid w:val="00740564"/>
    <w:rsid w:val="007410F9"/>
    <w:rsid w:val="00741CA9"/>
    <w:rsid w:val="00742F6A"/>
    <w:rsid w:val="0074383F"/>
    <w:rsid w:val="00743B27"/>
    <w:rsid w:val="00744A18"/>
    <w:rsid w:val="007456EC"/>
    <w:rsid w:val="00745ED2"/>
    <w:rsid w:val="00745FD4"/>
    <w:rsid w:val="00746245"/>
    <w:rsid w:val="0074694A"/>
    <w:rsid w:val="00747832"/>
    <w:rsid w:val="00747DCC"/>
    <w:rsid w:val="00750A49"/>
    <w:rsid w:val="00755DE7"/>
    <w:rsid w:val="00755F85"/>
    <w:rsid w:val="00756286"/>
    <w:rsid w:val="007568CF"/>
    <w:rsid w:val="00756BC8"/>
    <w:rsid w:val="007578D5"/>
    <w:rsid w:val="00757DB3"/>
    <w:rsid w:val="00760251"/>
    <w:rsid w:val="00760E39"/>
    <w:rsid w:val="00761253"/>
    <w:rsid w:val="00761800"/>
    <w:rsid w:val="00761991"/>
    <w:rsid w:val="007619FF"/>
    <w:rsid w:val="00762A36"/>
    <w:rsid w:val="00762D5D"/>
    <w:rsid w:val="00763A72"/>
    <w:rsid w:val="00763B69"/>
    <w:rsid w:val="00763CBD"/>
    <w:rsid w:val="00764443"/>
    <w:rsid w:val="00764916"/>
    <w:rsid w:val="00765B09"/>
    <w:rsid w:val="00765D38"/>
    <w:rsid w:val="00766CEB"/>
    <w:rsid w:val="007676DA"/>
    <w:rsid w:val="00767710"/>
    <w:rsid w:val="0076797B"/>
    <w:rsid w:val="007707D9"/>
    <w:rsid w:val="00770FC5"/>
    <w:rsid w:val="00771384"/>
    <w:rsid w:val="00772532"/>
    <w:rsid w:val="00772970"/>
    <w:rsid w:val="00773641"/>
    <w:rsid w:val="00773683"/>
    <w:rsid w:val="00773CFA"/>
    <w:rsid w:val="00773D64"/>
    <w:rsid w:val="00774369"/>
    <w:rsid w:val="00774478"/>
    <w:rsid w:val="0077472E"/>
    <w:rsid w:val="0077584C"/>
    <w:rsid w:val="00775E23"/>
    <w:rsid w:val="007760FA"/>
    <w:rsid w:val="0078037E"/>
    <w:rsid w:val="00782466"/>
    <w:rsid w:val="007831CD"/>
    <w:rsid w:val="00783C4F"/>
    <w:rsid w:val="007858E8"/>
    <w:rsid w:val="00785B0D"/>
    <w:rsid w:val="007863D5"/>
    <w:rsid w:val="00786716"/>
    <w:rsid w:val="007868A0"/>
    <w:rsid w:val="00786B2A"/>
    <w:rsid w:val="00786B64"/>
    <w:rsid w:val="00790591"/>
    <w:rsid w:val="00790664"/>
    <w:rsid w:val="00790720"/>
    <w:rsid w:val="00790C37"/>
    <w:rsid w:val="007911AB"/>
    <w:rsid w:val="0079298D"/>
    <w:rsid w:val="00792AB8"/>
    <w:rsid w:val="00792D83"/>
    <w:rsid w:val="00793AC7"/>
    <w:rsid w:val="00793E08"/>
    <w:rsid w:val="007944AE"/>
    <w:rsid w:val="00794671"/>
    <w:rsid w:val="007949AD"/>
    <w:rsid w:val="00794AA4"/>
    <w:rsid w:val="0079541C"/>
    <w:rsid w:val="00795B8D"/>
    <w:rsid w:val="00795F7F"/>
    <w:rsid w:val="007961E3"/>
    <w:rsid w:val="007961F6"/>
    <w:rsid w:val="0079659B"/>
    <w:rsid w:val="00796E1F"/>
    <w:rsid w:val="007974CD"/>
    <w:rsid w:val="00797BE9"/>
    <w:rsid w:val="00797D57"/>
    <w:rsid w:val="00797DB9"/>
    <w:rsid w:val="00797E30"/>
    <w:rsid w:val="007A1398"/>
    <w:rsid w:val="007A19DA"/>
    <w:rsid w:val="007A1E63"/>
    <w:rsid w:val="007A2854"/>
    <w:rsid w:val="007A28C6"/>
    <w:rsid w:val="007A30FC"/>
    <w:rsid w:val="007A3220"/>
    <w:rsid w:val="007A470C"/>
    <w:rsid w:val="007A5514"/>
    <w:rsid w:val="007A66ED"/>
    <w:rsid w:val="007A6902"/>
    <w:rsid w:val="007A74F3"/>
    <w:rsid w:val="007A7920"/>
    <w:rsid w:val="007A7F46"/>
    <w:rsid w:val="007B0332"/>
    <w:rsid w:val="007B0C69"/>
    <w:rsid w:val="007B17F6"/>
    <w:rsid w:val="007B1A59"/>
    <w:rsid w:val="007B2124"/>
    <w:rsid w:val="007B2340"/>
    <w:rsid w:val="007B2D39"/>
    <w:rsid w:val="007B2FD5"/>
    <w:rsid w:val="007B3619"/>
    <w:rsid w:val="007B382C"/>
    <w:rsid w:val="007B3E30"/>
    <w:rsid w:val="007B3E57"/>
    <w:rsid w:val="007B414C"/>
    <w:rsid w:val="007B479F"/>
    <w:rsid w:val="007B6250"/>
    <w:rsid w:val="007B6365"/>
    <w:rsid w:val="007B6814"/>
    <w:rsid w:val="007C0031"/>
    <w:rsid w:val="007C03BA"/>
    <w:rsid w:val="007C05A2"/>
    <w:rsid w:val="007C06D3"/>
    <w:rsid w:val="007C0C58"/>
    <w:rsid w:val="007C1AA2"/>
    <w:rsid w:val="007C326B"/>
    <w:rsid w:val="007C43FA"/>
    <w:rsid w:val="007C4679"/>
    <w:rsid w:val="007C4957"/>
    <w:rsid w:val="007C4DF0"/>
    <w:rsid w:val="007C50E2"/>
    <w:rsid w:val="007C5DCA"/>
    <w:rsid w:val="007C6D6C"/>
    <w:rsid w:val="007C773E"/>
    <w:rsid w:val="007C7C48"/>
    <w:rsid w:val="007C7C4B"/>
    <w:rsid w:val="007D07FF"/>
    <w:rsid w:val="007D083A"/>
    <w:rsid w:val="007D0D77"/>
    <w:rsid w:val="007D1A6A"/>
    <w:rsid w:val="007D297D"/>
    <w:rsid w:val="007D3528"/>
    <w:rsid w:val="007D3A09"/>
    <w:rsid w:val="007D4155"/>
    <w:rsid w:val="007D4265"/>
    <w:rsid w:val="007D51F3"/>
    <w:rsid w:val="007D58AA"/>
    <w:rsid w:val="007D5C0B"/>
    <w:rsid w:val="007D6156"/>
    <w:rsid w:val="007D61A3"/>
    <w:rsid w:val="007D626C"/>
    <w:rsid w:val="007D63D9"/>
    <w:rsid w:val="007D6B21"/>
    <w:rsid w:val="007D6BB9"/>
    <w:rsid w:val="007D76CD"/>
    <w:rsid w:val="007D7C42"/>
    <w:rsid w:val="007E067D"/>
    <w:rsid w:val="007E0856"/>
    <w:rsid w:val="007E0D7D"/>
    <w:rsid w:val="007E0F85"/>
    <w:rsid w:val="007E28D2"/>
    <w:rsid w:val="007E32EB"/>
    <w:rsid w:val="007E4734"/>
    <w:rsid w:val="007E4B42"/>
    <w:rsid w:val="007E4E3B"/>
    <w:rsid w:val="007E507C"/>
    <w:rsid w:val="007E6817"/>
    <w:rsid w:val="007E6E88"/>
    <w:rsid w:val="007E7DA2"/>
    <w:rsid w:val="007F086F"/>
    <w:rsid w:val="007F0E31"/>
    <w:rsid w:val="007F0F11"/>
    <w:rsid w:val="007F1864"/>
    <w:rsid w:val="007F188D"/>
    <w:rsid w:val="007F1929"/>
    <w:rsid w:val="007F210F"/>
    <w:rsid w:val="007F242B"/>
    <w:rsid w:val="007F2B19"/>
    <w:rsid w:val="007F3018"/>
    <w:rsid w:val="007F3E3A"/>
    <w:rsid w:val="007F48F5"/>
    <w:rsid w:val="007F554D"/>
    <w:rsid w:val="007F592C"/>
    <w:rsid w:val="007F5F01"/>
    <w:rsid w:val="007F642C"/>
    <w:rsid w:val="007F6617"/>
    <w:rsid w:val="007F6AC0"/>
    <w:rsid w:val="007F6CC5"/>
    <w:rsid w:val="00800F20"/>
    <w:rsid w:val="008011ED"/>
    <w:rsid w:val="00801242"/>
    <w:rsid w:val="008021FD"/>
    <w:rsid w:val="00802A97"/>
    <w:rsid w:val="00804381"/>
    <w:rsid w:val="00804522"/>
    <w:rsid w:val="008046BA"/>
    <w:rsid w:val="00804C37"/>
    <w:rsid w:val="00804C81"/>
    <w:rsid w:val="00804DA5"/>
    <w:rsid w:val="008064F8"/>
    <w:rsid w:val="0080673C"/>
    <w:rsid w:val="00806D07"/>
    <w:rsid w:val="00806DEE"/>
    <w:rsid w:val="00807139"/>
    <w:rsid w:val="008073DA"/>
    <w:rsid w:val="00811E04"/>
    <w:rsid w:val="00811F81"/>
    <w:rsid w:val="00812064"/>
    <w:rsid w:val="00812878"/>
    <w:rsid w:val="00812984"/>
    <w:rsid w:val="00813023"/>
    <w:rsid w:val="00813B3C"/>
    <w:rsid w:val="00813BBC"/>
    <w:rsid w:val="0081404D"/>
    <w:rsid w:val="00814777"/>
    <w:rsid w:val="0081565D"/>
    <w:rsid w:val="00815B42"/>
    <w:rsid w:val="00816199"/>
    <w:rsid w:val="0081660C"/>
    <w:rsid w:val="008166B6"/>
    <w:rsid w:val="00816921"/>
    <w:rsid w:val="008201D6"/>
    <w:rsid w:val="00820265"/>
    <w:rsid w:val="00820464"/>
    <w:rsid w:val="00821251"/>
    <w:rsid w:val="00821464"/>
    <w:rsid w:val="0082153F"/>
    <w:rsid w:val="00821789"/>
    <w:rsid w:val="00821F31"/>
    <w:rsid w:val="0082311C"/>
    <w:rsid w:val="00823408"/>
    <w:rsid w:val="00823A6F"/>
    <w:rsid w:val="00824772"/>
    <w:rsid w:val="00824F06"/>
    <w:rsid w:val="00825A4B"/>
    <w:rsid w:val="008309A3"/>
    <w:rsid w:val="00830AB9"/>
    <w:rsid w:val="00830B94"/>
    <w:rsid w:val="00830F16"/>
    <w:rsid w:val="008310D9"/>
    <w:rsid w:val="008315B0"/>
    <w:rsid w:val="00831914"/>
    <w:rsid w:val="00831CF9"/>
    <w:rsid w:val="00831F58"/>
    <w:rsid w:val="0083214E"/>
    <w:rsid w:val="0083268B"/>
    <w:rsid w:val="0083297B"/>
    <w:rsid w:val="00833017"/>
    <w:rsid w:val="00833B7E"/>
    <w:rsid w:val="00833E7E"/>
    <w:rsid w:val="0083416D"/>
    <w:rsid w:val="00834369"/>
    <w:rsid w:val="008348A6"/>
    <w:rsid w:val="008372D1"/>
    <w:rsid w:val="00840107"/>
    <w:rsid w:val="008402E9"/>
    <w:rsid w:val="00840BE3"/>
    <w:rsid w:val="00840DA6"/>
    <w:rsid w:val="008410BE"/>
    <w:rsid w:val="008418B3"/>
    <w:rsid w:val="008421FA"/>
    <w:rsid w:val="008427D3"/>
    <w:rsid w:val="00842EC8"/>
    <w:rsid w:val="00843249"/>
    <w:rsid w:val="008433BA"/>
    <w:rsid w:val="0084391C"/>
    <w:rsid w:val="008450B8"/>
    <w:rsid w:val="00845351"/>
    <w:rsid w:val="00845957"/>
    <w:rsid w:val="008461C7"/>
    <w:rsid w:val="00847257"/>
    <w:rsid w:val="00847A85"/>
    <w:rsid w:val="00850078"/>
    <w:rsid w:val="008505F6"/>
    <w:rsid w:val="00850632"/>
    <w:rsid w:val="0085082F"/>
    <w:rsid w:val="008509CC"/>
    <w:rsid w:val="00850A8D"/>
    <w:rsid w:val="00851106"/>
    <w:rsid w:val="00852137"/>
    <w:rsid w:val="00852638"/>
    <w:rsid w:val="00853DDB"/>
    <w:rsid w:val="00854D8A"/>
    <w:rsid w:val="00855D51"/>
    <w:rsid w:val="008562C0"/>
    <w:rsid w:val="00860D8C"/>
    <w:rsid w:val="008620E2"/>
    <w:rsid w:val="00862230"/>
    <w:rsid w:val="0086250F"/>
    <w:rsid w:val="008630C9"/>
    <w:rsid w:val="00863B2A"/>
    <w:rsid w:val="00863D7D"/>
    <w:rsid w:val="0086442A"/>
    <w:rsid w:val="008648E3"/>
    <w:rsid w:val="00864EE2"/>
    <w:rsid w:val="00865B02"/>
    <w:rsid w:val="00865F12"/>
    <w:rsid w:val="00866726"/>
    <w:rsid w:val="00866F14"/>
    <w:rsid w:val="00867C41"/>
    <w:rsid w:val="00867E9A"/>
    <w:rsid w:val="00867FCD"/>
    <w:rsid w:val="008711A9"/>
    <w:rsid w:val="00871536"/>
    <w:rsid w:val="00872D13"/>
    <w:rsid w:val="00872D38"/>
    <w:rsid w:val="00872D4D"/>
    <w:rsid w:val="00873D5F"/>
    <w:rsid w:val="0087427C"/>
    <w:rsid w:val="00875555"/>
    <w:rsid w:val="0087581D"/>
    <w:rsid w:val="00875831"/>
    <w:rsid w:val="0087621E"/>
    <w:rsid w:val="00876470"/>
    <w:rsid w:val="008765FC"/>
    <w:rsid w:val="0087719A"/>
    <w:rsid w:val="008773FC"/>
    <w:rsid w:val="008775D6"/>
    <w:rsid w:val="00877B07"/>
    <w:rsid w:val="0088007E"/>
    <w:rsid w:val="00880F99"/>
    <w:rsid w:val="00881830"/>
    <w:rsid w:val="0088192A"/>
    <w:rsid w:val="00882145"/>
    <w:rsid w:val="00882C11"/>
    <w:rsid w:val="0088302D"/>
    <w:rsid w:val="008845C4"/>
    <w:rsid w:val="00884B00"/>
    <w:rsid w:val="00885E67"/>
    <w:rsid w:val="00886112"/>
    <w:rsid w:val="0088618D"/>
    <w:rsid w:val="008861D3"/>
    <w:rsid w:val="00886A1A"/>
    <w:rsid w:val="00886CB1"/>
    <w:rsid w:val="00886E60"/>
    <w:rsid w:val="0088799B"/>
    <w:rsid w:val="00887C22"/>
    <w:rsid w:val="00890025"/>
    <w:rsid w:val="00890211"/>
    <w:rsid w:val="00890B25"/>
    <w:rsid w:val="00890C70"/>
    <w:rsid w:val="008910FD"/>
    <w:rsid w:val="00891604"/>
    <w:rsid w:val="00891DCD"/>
    <w:rsid w:val="008929F8"/>
    <w:rsid w:val="00893201"/>
    <w:rsid w:val="00893566"/>
    <w:rsid w:val="00894D39"/>
    <w:rsid w:val="00894E74"/>
    <w:rsid w:val="0089560F"/>
    <w:rsid w:val="00895668"/>
    <w:rsid w:val="008958BE"/>
    <w:rsid w:val="008959E5"/>
    <w:rsid w:val="00897CCD"/>
    <w:rsid w:val="008A0071"/>
    <w:rsid w:val="008A02F3"/>
    <w:rsid w:val="008A03E9"/>
    <w:rsid w:val="008A05B8"/>
    <w:rsid w:val="008A06A7"/>
    <w:rsid w:val="008A0731"/>
    <w:rsid w:val="008A0F41"/>
    <w:rsid w:val="008A12D0"/>
    <w:rsid w:val="008A1CD8"/>
    <w:rsid w:val="008A254D"/>
    <w:rsid w:val="008A33FE"/>
    <w:rsid w:val="008A37F6"/>
    <w:rsid w:val="008A3948"/>
    <w:rsid w:val="008A3B15"/>
    <w:rsid w:val="008A3C8C"/>
    <w:rsid w:val="008A41C4"/>
    <w:rsid w:val="008A42CC"/>
    <w:rsid w:val="008A4BAF"/>
    <w:rsid w:val="008A4D15"/>
    <w:rsid w:val="008A5728"/>
    <w:rsid w:val="008A5F62"/>
    <w:rsid w:val="008A6340"/>
    <w:rsid w:val="008A6BEC"/>
    <w:rsid w:val="008A6D1E"/>
    <w:rsid w:val="008A7304"/>
    <w:rsid w:val="008A7ABD"/>
    <w:rsid w:val="008A7ECC"/>
    <w:rsid w:val="008B031D"/>
    <w:rsid w:val="008B13E5"/>
    <w:rsid w:val="008B17EC"/>
    <w:rsid w:val="008B34D5"/>
    <w:rsid w:val="008B3A7D"/>
    <w:rsid w:val="008B3C9F"/>
    <w:rsid w:val="008B4A27"/>
    <w:rsid w:val="008B4ADB"/>
    <w:rsid w:val="008B4CF8"/>
    <w:rsid w:val="008B4E9D"/>
    <w:rsid w:val="008B4F47"/>
    <w:rsid w:val="008B5174"/>
    <w:rsid w:val="008B6ECA"/>
    <w:rsid w:val="008C038F"/>
    <w:rsid w:val="008C0D3C"/>
    <w:rsid w:val="008C115D"/>
    <w:rsid w:val="008C1B96"/>
    <w:rsid w:val="008C233D"/>
    <w:rsid w:val="008C4608"/>
    <w:rsid w:val="008C47CB"/>
    <w:rsid w:val="008C530F"/>
    <w:rsid w:val="008C5A14"/>
    <w:rsid w:val="008C622B"/>
    <w:rsid w:val="008C7547"/>
    <w:rsid w:val="008C7D16"/>
    <w:rsid w:val="008C7D26"/>
    <w:rsid w:val="008C7E05"/>
    <w:rsid w:val="008D18CD"/>
    <w:rsid w:val="008D283D"/>
    <w:rsid w:val="008D2A6D"/>
    <w:rsid w:val="008D3243"/>
    <w:rsid w:val="008D3407"/>
    <w:rsid w:val="008D3B57"/>
    <w:rsid w:val="008D4332"/>
    <w:rsid w:val="008D446C"/>
    <w:rsid w:val="008D486D"/>
    <w:rsid w:val="008D48C2"/>
    <w:rsid w:val="008D496D"/>
    <w:rsid w:val="008D6024"/>
    <w:rsid w:val="008D602A"/>
    <w:rsid w:val="008D74D8"/>
    <w:rsid w:val="008D7DF9"/>
    <w:rsid w:val="008E0AA3"/>
    <w:rsid w:val="008E1992"/>
    <w:rsid w:val="008E19FE"/>
    <w:rsid w:val="008E1AC3"/>
    <w:rsid w:val="008E1B80"/>
    <w:rsid w:val="008E319A"/>
    <w:rsid w:val="008E6161"/>
    <w:rsid w:val="008E71AE"/>
    <w:rsid w:val="008E729A"/>
    <w:rsid w:val="008F025F"/>
    <w:rsid w:val="008F18AA"/>
    <w:rsid w:val="008F2080"/>
    <w:rsid w:val="008F364D"/>
    <w:rsid w:val="008F3706"/>
    <w:rsid w:val="008F38E9"/>
    <w:rsid w:val="008F3920"/>
    <w:rsid w:val="008F3991"/>
    <w:rsid w:val="008F4F5B"/>
    <w:rsid w:val="008F5EC3"/>
    <w:rsid w:val="008F6A55"/>
    <w:rsid w:val="008F6B5E"/>
    <w:rsid w:val="008F6C1D"/>
    <w:rsid w:val="008F6C4A"/>
    <w:rsid w:val="008F6E4A"/>
    <w:rsid w:val="008F717F"/>
    <w:rsid w:val="009009CC"/>
    <w:rsid w:val="00900B8D"/>
    <w:rsid w:val="00900E1D"/>
    <w:rsid w:val="00902319"/>
    <w:rsid w:val="00902637"/>
    <w:rsid w:val="009027E4"/>
    <w:rsid w:val="00902933"/>
    <w:rsid w:val="00903605"/>
    <w:rsid w:val="0090362E"/>
    <w:rsid w:val="00904241"/>
    <w:rsid w:val="0090429C"/>
    <w:rsid w:val="00904332"/>
    <w:rsid w:val="00905068"/>
    <w:rsid w:val="00905A29"/>
    <w:rsid w:val="00905D2E"/>
    <w:rsid w:val="00905F03"/>
    <w:rsid w:val="00906848"/>
    <w:rsid w:val="00907CF2"/>
    <w:rsid w:val="00907F9F"/>
    <w:rsid w:val="009102CC"/>
    <w:rsid w:val="009107F3"/>
    <w:rsid w:val="00911290"/>
    <w:rsid w:val="009121C2"/>
    <w:rsid w:val="00912440"/>
    <w:rsid w:val="00912B31"/>
    <w:rsid w:val="0091302C"/>
    <w:rsid w:val="00913053"/>
    <w:rsid w:val="009130C1"/>
    <w:rsid w:val="009139DB"/>
    <w:rsid w:val="00913C80"/>
    <w:rsid w:val="00913E72"/>
    <w:rsid w:val="00914891"/>
    <w:rsid w:val="00914E83"/>
    <w:rsid w:val="00914EA5"/>
    <w:rsid w:val="00915B43"/>
    <w:rsid w:val="009161C9"/>
    <w:rsid w:val="00916A37"/>
    <w:rsid w:val="00917556"/>
    <w:rsid w:val="009204B0"/>
    <w:rsid w:val="00921D4A"/>
    <w:rsid w:val="009228EC"/>
    <w:rsid w:val="009233D5"/>
    <w:rsid w:val="009240C8"/>
    <w:rsid w:val="009255A3"/>
    <w:rsid w:val="00925680"/>
    <w:rsid w:val="009265C3"/>
    <w:rsid w:val="00926644"/>
    <w:rsid w:val="00926EAF"/>
    <w:rsid w:val="00927373"/>
    <w:rsid w:val="00930955"/>
    <w:rsid w:val="00930ABF"/>
    <w:rsid w:val="00931CAC"/>
    <w:rsid w:val="00931F8F"/>
    <w:rsid w:val="009322CF"/>
    <w:rsid w:val="00932787"/>
    <w:rsid w:val="00932CAE"/>
    <w:rsid w:val="0093326F"/>
    <w:rsid w:val="00933693"/>
    <w:rsid w:val="00933EA3"/>
    <w:rsid w:val="00933EC2"/>
    <w:rsid w:val="00934AAF"/>
    <w:rsid w:val="0093554D"/>
    <w:rsid w:val="00935625"/>
    <w:rsid w:val="0093570F"/>
    <w:rsid w:val="009360FA"/>
    <w:rsid w:val="009361B5"/>
    <w:rsid w:val="00936DB6"/>
    <w:rsid w:val="0093720F"/>
    <w:rsid w:val="009374C4"/>
    <w:rsid w:val="00937559"/>
    <w:rsid w:val="00937736"/>
    <w:rsid w:val="009406C0"/>
    <w:rsid w:val="009407B6"/>
    <w:rsid w:val="00940A5A"/>
    <w:rsid w:val="00940E77"/>
    <w:rsid w:val="00940F55"/>
    <w:rsid w:val="009413FF"/>
    <w:rsid w:val="00941B4C"/>
    <w:rsid w:val="009423C4"/>
    <w:rsid w:val="009426DC"/>
    <w:rsid w:val="00942939"/>
    <w:rsid w:val="00942E35"/>
    <w:rsid w:val="009438FE"/>
    <w:rsid w:val="00944956"/>
    <w:rsid w:val="00944C73"/>
    <w:rsid w:val="00944D8F"/>
    <w:rsid w:val="00945D11"/>
    <w:rsid w:val="00945ED6"/>
    <w:rsid w:val="00946FEB"/>
    <w:rsid w:val="009503AD"/>
    <w:rsid w:val="00950ED6"/>
    <w:rsid w:val="009510B9"/>
    <w:rsid w:val="00954548"/>
    <w:rsid w:val="00954787"/>
    <w:rsid w:val="00954F47"/>
    <w:rsid w:val="009560C0"/>
    <w:rsid w:val="00956A6F"/>
    <w:rsid w:val="0095793A"/>
    <w:rsid w:val="00960640"/>
    <w:rsid w:val="00960DA3"/>
    <w:rsid w:val="009616E5"/>
    <w:rsid w:val="00961A82"/>
    <w:rsid w:val="00963075"/>
    <w:rsid w:val="0096360B"/>
    <w:rsid w:val="00963FA8"/>
    <w:rsid w:val="00964313"/>
    <w:rsid w:val="00964366"/>
    <w:rsid w:val="00964ABC"/>
    <w:rsid w:val="0096531C"/>
    <w:rsid w:val="0096552D"/>
    <w:rsid w:val="0096601F"/>
    <w:rsid w:val="00966062"/>
    <w:rsid w:val="00966601"/>
    <w:rsid w:val="00966D2D"/>
    <w:rsid w:val="00966D36"/>
    <w:rsid w:val="00967143"/>
    <w:rsid w:val="00967281"/>
    <w:rsid w:val="0096756E"/>
    <w:rsid w:val="00967906"/>
    <w:rsid w:val="0096795B"/>
    <w:rsid w:val="00967DC1"/>
    <w:rsid w:val="00970639"/>
    <w:rsid w:val="0097143D"/>
    <w:rsid w:val="00971F1B"/>
    <w:rsid w:val="00972C3D"/>
    <w:rsid w:val="00974227"/>
    <w:rsid w:val="009744E7"/>
    <w:rsid w:val="00974AC9"/>
    <w:rsid w:val="00974D90"/>
    <w:rsid w:val="009750A7"/>
    <w:rsid w:val="009767E6"/>
    <w:rsid w:val="00976CC3"/>
    <w:rsid w:val="00980AD2"/>
    <w:rsid w:val="00980EF0"/>
    <w:rsid w:val="0098121A"/>
    <w:rsid w:val="009817E9"/>
    <w:rsid w:val="00981912"/>
    <w:rsid w:val="00982ADC"/>
    <w:rsid w:val="009835AF"/>
    <w:rsid w:val="00984374"/>
    <w:rsid w:val="00984986"/>
    <w:rsid w:val="00984C70"/>
    <w:rsid w:val="009850D9"/>
    <w:rsid w:val="0098750B"/>
    <w:rsid w:val="00990269"/>
    <w:rsid w:val="00990AB0"/>
    <w:rsid w:val="00990ABD"/>
    <w:rsid w:val="00991D62"/>
    <w:rsid w:val="00992682"/>
    <w:rsid w:val="00993E73"/>
    <w:rsid w:val="0099437F"/>
    <w:rsid w:val="0099455D"/>
    <w:rsid w:val="009948A0"/>
    <w:rsid w:val="00994E00"/>
    <w:rsid w:val="00995121"/>
    <w:rsid w:val="009960F9"/>
    <w:rsid w:val="009964C6"/>
    <w:rsid w:val="00996DFF"/>
    <w:rsid w:val="00997384"/>
    <w:rsid w:val="00997869"/>
    <w:rsid w:val="00997974"/>
    <w:rsid w:val="00997A28"/>
    <w:rsid w:val="009A0518"/>
    <w:rsid w:val="009A0BFA"/>
    <w:rsid w:val="009A0C07"/>
    <w:rsid w:val="009A2243"/>
    <w:rsid w:val="009A3B74"/>
    <w:rsid w:val="009A4229"/>
    <w:rsid w:val="009A4249"/>
    <w:rsid w:val="009A4CB1"/>
    <w:rsid w:val="009A5D65"/>
    <w:rsid w:val="009A63CE"/>
    <w:rsid w:val="009A7427"/>
    <w:rsid w:val="009A75C9"/>
    <w:rsid w:val="009A786A"/>
    <w:rsid w:val="009A7E7A"/>
    <w:rsid w:val="009B0EF9"/>
    <w:rsid w:val="009B1074"/>
    <w:rsid w:val="009B113D"/>
    <w:rsid w:val="009B14B1"/>
    <w:rsid w:val="009B17BB"/>
    <w:rsid w:val="009B1B09"/>
    <w:rsid w:val="009B2119"/>
    <w:rsid w:val="009B24E9"/>
    <w:rsid w:val="009B254A"/>
    <w:rsid w:val="009B2F05"/>
    <w:rsid w:val="009B3047"/>
    <w:rsid w:val="009B3340"/>
    <w:rsid w:val="009B3604"/>
    <w:rsid w:val="009B3D3D"/>
    <w:rsid w:val="009B3E1F"/>
    <w:rsid w:val="009B3E75"/>
    <w:rsid w:val="009B4925"/>
    <w:rsid w:val="009B4AF3"/>
    <w:rsid w:val="009B4E81"/>
    <w:rsid w:val="009B544C"/>
    <w:rsid w:val="009B588F"/>
    <w:rsid w:val="009B5C7D"/>
    <w:rsid w:val="009B6122"/>
    <w:rsid w:val="009B64DF"/>
    <w:rsid w:val="009B7E4C"/>
    <w:rsid w:val="009B7F46"/>
    <w:rsid w:val="009C099A"/>
    <w:rsid w:val="009C0BED"/>
    <w:rsid w:val="009C1988"/>
    <w:rsid w:val="009C1E9D"/>
    <w:rsid w:val="009C321F"/>
    <w:rsid w:val="009C40D2"/>
    <w:rsid w:val="009C4346"/>
    <w:rsid w:val="009C4425"/>
    <w:rsid w:val="009C4479"/>
    <w:rsid w:val="009C6FE8"/>
    <w:rsid w:val="009C751C"/>
    <w:rsid w:val="009C7DBA"/>
    <w:rsid w:val="009C7F1B"/>
    <w:rsid w:val="009D0061"/>
    <w:rsid w:val="009D03D8"/>
    <w:rsid w:val="009D0622"/>
    <w:rsid w:val="009D132F"/>
    <w:rsid w:val="009D1D8E"/>
    <w:rsid w:val="009D1E20"/>
    <w:rsid w:val="009D1EAF"/>
    <w:rsid w:val="009D24ED"/>
    <w:rsid w:val="009D3A06"/>
    <w:rsid w:val="009D3BBE"/>
    <w:rsid w:val="009D3E13"/>
    <w:rsid w:val="009D4B4E"/>
    <w:rsid w:val="009D5A9D"/>
    <w:rsid w:val="009D5D41"/>
    <w:rsid w:val="009D6209"/>
    <w:rsid w:val="009D64BB"/>
    <w:rsid w:val="009D6547"/>
    <w:rsid w:val="009D683E"/>
    <w:rsid w:val="009D7007"/>
    <w:rsid w:val="009E00CF"/>
    <w:rsid w:val="009E025D"/>
    <w:rsid w:val="009E1245"/>
    <w:rsid w:val="009E142A"/>
    <w:rsid w:val="009E2C97"/>
    <w:rsid w:val="009E343A"/>
    <w:rsid w:val="009E356E"/>
    <w:rsid w:val="009E392C"/>
    <w:rsid w:val="009E3E53"/>
    <w:rsid w:val="009E4E0B"/>
    <w:rsid w:val="009E59A3"/>
    <w:rsid w:val="009E5C9F"/>
    <w:rsid w:val="009E6EA7"/>
    <w:rsid w:val="009E7C01"/>
    <w:rsid w:val="009E7C47"/>
    <w:rsid w:val="009E7E72"/>
    <w:rsid w:val="009F0A08"/>
    <w:rsid w:val="009F21D2"/>
    <w:rsid w:val="009F2542"/>
    <w:rsid w:val="009F4CB8"/>
    <w:rsid w:val="009F6743"/>
    <w:rsid w:val="009F7EAC"/>
    <w:rsid w:val="00A004E1"/>
    <w:rsid w:val="00A00989"/>
    <w:rsid w:val="00A0147D"/>
    <w:rsid w:val="00A01DEA"/>
    <w:rsid w:val="00A028D0"/>
    <w:rsid w:val="00A0295F"/>
    <w:rsid w:val="00A03251"/>
    <w:rsid w:val="00A03D37"/>
    <w:rsid w:val="00A04458"/>
    <w:rsid w:val="00A0499A"/>
    <w:rsid w:val="00A050F4"/>
    <w:rsid w:val="00A063F8"/>
    <w:rsid w:val="00A064B8"/>
    <w:rsid w:val="00A06620"/>
    <w:rsid w:val="00A06B36"/>
    <w:rsid w:val="00A07CC8"/>
    <w:rsid w:val="00A10E59"/>
    <w:rsid w:val="00A1235E"/>
    <w:rsid w:val="00A128FD"/>
    <w:rsid w:val="00A14551"/>
    <w:rsid w:val="00A158FC"/>
    <w:rsid w:val="00A162EA"/>
    <w:rsid w:val="00A16A52"/>
    <w:rsid w:val="00A16B32"/>
    <w:rsid w:val="00A16D71"/>
    <w:rsid w:val="00A16F5A"/>
    <w:rsid w:val="00A17953"/>
    <w:rsid w:val="00A17C8F"/>
    <w:rsid w:val="00A20279"/>
    <w:rsid w:val="00A2078A"/>
    <w:rsid w:val="00A20A54"/>
    <w:rsid w:val="00A211FF"/>
    <w:rsid w:val="00A215E0"/>
    <w:rsid w:val="00A22FDB"/>
    <w:rsid w:val="00A23439"/>
    <w:rsid w:val="00A237E5"/>
    <w:rsid w:val="00A23D64"/>
    <w:rsid w:val="00A23D95"/>
    <w:rsid w:val="00A250B4"/>
    <w:rsid w:val="00A25ABE"/>
    <w:rsid w:val="00A260F0"/>
    <w:rsid w:val="00A2631B"/>
    <w:rsid w:val="00A26836"/>
    <w:rsid w:val="00A268E3"/>
    <w:rsid w:val="00A26C44"/>
    <w:rsid w:val="00A272BC"/>
    <w:rsid w:val="00A302C1"/>
    <w:rsid w:val="00A3066A"/>
    <w:rsid w:val="00A3087B"/>
    <w:rsid w:val="00A321B6"/>
    <w:rsid w:val="00A32406"/>
    <w:rsid w:val="00A32D17"/>
    <w:rsid w:val="00A32EFA"/>
    <w:rsid w:val="00A330B9"/>
    <w:rsid w:val="00A33392"/>
    <w:rsid w:val="00A33C45"/>
    <w:rsid w:val="00A34731"/>
    <w:rsid w:val="00A348AB"/>
    <w:rsid w:val="00A34C7F"/>
    <w:rsid w:val="00A3502C"/>
    <w:rsid w:val="00A356D1"/>
    <w:rsid w:val="00A35BBD"/>
    <w:rsid w:val="00A35E10"/>
    <w:rsid w:val="00A3675A"/>
    <w:rsid w:val="00A36A46"/>
    <w:rsid w:val="00A36B56"/>
    <w:rsid w:val="00A377DA"/>
    <w:rsid w:val="00A37B30"/>
    <w:rsid w:val="00A408E4"/>
    <w:rsid w:val="00A43031"/>
    <w:rsid w:val="00A43819"/>
    <w:rsid w:val="00A43D5B"/>
    <w:rsid w:val="00A43DD8"/>
    <w:rsid w:val="00A441D4"/>
    <w:rsid w:val="00A44875"/>
    <w:rsid w:val="00A44895"/>
    <w:rsid w:val="00A44F60"/>
    <w:rsid w:val="00A455BB"/>
    <w:rsid w:val="00A45BD6"/>
    <w:rsid w:val="00A45C45"/>
    <w:rsid w:val="00A477DB"/>
    <w:rsid w:val="00A47E3C"/>
    <w:rsid w:val="00A51A53"/>
    <w:rsid w:val="00A51AF8"/>
    <w:rsid w:val="00A52028"/>
    <w:rsid w:val="00A52BE8"/>
    <w:rsid w:val="00A52D47"/>
    <w:rsid w:val="00A53024"/>
    <w:rsid w:val="00A53695"/>
    <w:rsid w:val="00A53711"/>
    <w:rsid w:val="00A5394D"/>
    <w:rsid w:val="00A557AA"/>
    <w:rsid w:val="00A55C6E"/>
    <w:rsid w:val="00A56375"/>
    <w:rsid w:val="00A5759A"/>
    <w:rsid w:val="00A57A7E"/>
    <w:rsid w:val="00A602F4"/>
    <w:rsid w:val="00A60A73"/>
    <w:rsid w:val="00A60F28"/>
    <w:rsid w:val="00A61CAC"/>
    <w:rsid w:val="00A62715"/>
    <w:rsid w:val="00A63A77"/>
    <w:rsid w:val="00A6415F"/>
    <w:rsid w:val="00A645DA"/>
    <w:rsid w:val="00A6494D"/>
    <w:rsid w:val="00A64C17"/>
    <w:rsid w:val="00A65069"/>
    <w:rsid w:val="00A66203"/>
    <w:rsid w:val="00A66ABB"/>
    <w:rsid w:val="00A66D13"/>
    <w:rsid w:val="00A66E7F"/>
    <w:rsid w:val="00A67B3D"/>
    <w:rsid w:val="00A71209"/>
    <w:rsid w:val="00A7176E"/>
    <w:rsid w:val="00A7177F"/>
    <w:rsid w:val="00A71F0C"/>
    <w:rsid w:val="00A737FB"/>
    <w:rsid w:val="00A73A0F"/>
    <w:rsid w:val="00A748CD"/>
    <w:rsid w:val="00A74FFC"/>
    <w:rsid w:val="00A75281"/>
    <w:rsid w:val="00A75CFE"/>
    <w:rsid w:val="00A75E5F"/>
    <w:rsid w:val="00A80690"/>
    <w:rsid w:val="00A810D3"/>
    <w:rsid w:val="00A814EE"/>
    <w:rsid w:val="00A81D32"/>
    <w:rsid w:val="00A82435"/>
    <w:rsid w:val="00A83B14"/>
    <w:rsid w:val="00A84161"/>
    <w:rsid w:val="00A84643"/>
    <w:rsid w:val="00A84655"/>
    <w:rsid w:val="00A86321"/>
    <w:rsid w:val="00A86861"/>
    <w:rsid w:val="00A86D32"/>
    <w:rsid w:val="00A877AA"/>
    <w:rsid w:val="00A87DE2"/>
    <w:rsid w:val="00A91024"/>
    <w:rsid w:val="00A914E3"/>
    <w:rsid w:val="00A91807"/>
    <w:rsid w:val="00A91AA3"/>
    <w:rsid w:val="00A9257D"/>
    <w:rsid w:val="00A92823"/>
    <w:rsid w:val="00A92A48"/>
    <w:rsid w:val="00A92D95"/>
    <w:rsid w:val="00A92FB5"/>
    <w:rsid w:val="00A93C51"/>
    <w:rsid w:val="00A93F0D"/>
    <w:rsid w:val="00A94150"/>
    <w:rsid w:val="00A952B6"/>
    <w:rsid w:val="00A95503"/>
    <w:rsid w:val="00A9604D"/>
    <w:rsid w:val="00A963D4"/>
    <w:rsid w:val="00A96438"/>
    <w:rsid w:val="00AA1639"/>
    <w:rsid w:val="00AA1B47"/>
    <w:rsid w:val="00AA1D1C"/>
    <w:rsid w:val="00AA1F4A"/>
    <w:rsid w:val="00AA28E8"/>
    <w:rsid w:val="00AA293C"/>
    <w:rsid w:val="00AA295E"/>
    <w:rsid w:val="00AA2B7A"/>
    <w:rsid w:val="00AA2EC0"/>
    <w:rsid w:val="00AA3729"/>
    <w:rsid w:val="00AA4012"/>
    <w:rsid w:val="00AA498F"/>
    <w:rsid w:val="00AA5919"/>
    <w:rsid w:val="00AA6501"/>
    <w:rsid w:val="00AA6549"/>
    <w:rsid w:val="00AA72B3"/>
    <w:rsid w:val="00AA74D4"/>
    <w:rsid w:val="00AA792B"/>
    <w:rsid w:val="00AB08F3"/>
    <w:rsid w:val="00AB1692"/>
    <w:rsid w:val="00AB1A32"/>
    <w:rsid w:val="00AB1D1D"/>
    <w:rsid w:val="00AB1DF5"/>
    <w:rsid w:val="00AB32FC"/>
    <w:rsid w:val="00AB35A2"/>
    <w:rsid w:val="00AB3B7E"/>
    <w:rsid w:val="00AB491B"/>
    <w:rsid w:val="00AB520D"/>
    <w:rsid w:val="00AB52C1"/>
    <w:rsid w:val="00AB5624"/>
    <w:rsid w:val="00AB5D3C"/>
    <w:rsid w:val="00AB6F2E"/>
    <w:rsid w:val="00AB779A"/>
    <w:rsid w:val="00AC04DF"/>
    <w:rsid w:val="00AC06F9"/>
    <w:rsid w:val="00AC0E43"/>
    <w:rsid w:val="00AC23BE"/>
    <w:rsid w:val="00AC34E7"/>
    <w:rsid w:val="00AC36C8"/>
    <w:rsid w:val="00AC47E2"/>
    <w:rsid w:val="00AC5010"/>
    <w:rsid w:val="00AC57AD"/>
    <w:rsid w:val="00AC6B8A"/>
    <w:rsid w:val="00AC6B8E"/>
    <w:rsid w:val="00AC74BB"/>
    <w:rsid w:val="00AC7E32"/>
    <w:rsid w:val="00AD0DAB"/>
    <w:rsid w:val="00AD103E"/>
    <w:rsid w:val="00AD1367"/>
    <w:rsid w:val="00AD1EE5"/>
    <w:rsid w:val="00AD263B"/>
    <w:rsid w:val="00AD28CF"/>
    <w:rsid w:val="00AD29C0"/>
    <w:rsid w:val="00AD2A1E"/>
    <w:rsid w:val="00AD2DB7"/>
    <w:rsid w:val="00AD2EA9"/>
    <w:rsid w:val="00AD304C"/>
    <w:rsid w:val="00AD360B"/>
    <w:rsid w:val="00AD403A"/>
    <w:rsid w:val="00AD4A57"/>
    <w:rsid w:val="00AD4EF6"/>
    <w:rsid w:val="00AD51C8"/>
    <w:rsid w:val="00AD5BE2"/>
    <w:rsid w:val="00AE213A"/>
    <w:rsid w:val="00AE230F"/>
    <w:rsid w:val="00AE28A3"/>
    <w:rsid w:val="00AE4383"/>
    <w:rsid w:val="00AE45CC"/>
    <w:rsid w:val="00AE4E80"/>
    <w:rsid w:val="00AE63F0"/>
    <w:rsid w:val="00AE6AA6"/>
    <w:rsid w:val="00AE74C4"/>
    <w:rsid w:val="00AE7F19"/>
    <w:rsid w:val="00AF015F"/>
    <w:rsid w:val="00AF04E7"/>
    <w:rsid w:val="00AF0812"/>
    <w:rsid w:val="00AF11AA"/>
    <w:rsid w:val="00AF1640"/>
    <w:rsid w:val="00AF2F8B"/>
    <w:rsid w:val="00AF3033"/>
    <w:rsid w:val="00AF346C"/>
    <w:rsid w:val="00AF3E9D"/>
    <w:rsid w:val="00AF3F8C"/>
    <w:rsid w:val="00AF49C0"/>
    <w:rsid w:val="00AF55FA"/>
    <w:rsid w:val="00AF6471"/>
    <w:rsid w:val="00AF6BA0"/>
    <w:rsid w:val="00AF770C"/>
    <w:rsid w:val="00AF7B09"/>
    <w:rsid w:val="00B01693"/>
    <w:rsid w:val="00B0244B"/>
    <w:rsid w:val="00B029CF"/>
    <w:rsid w:val="00B02C39"/>
    <w:rsid w:val="00B03567"/>
    <w:rsid w:val="00B037EB"/>
    <w:rsid w:val="00B03BC0"/>
    <w:rsid w:val="00B03BD3"/>
    <w:rsid w:val="00B04E08"/>
    <w:rsid w:val="00B052B3"/>
    <w:rsid w:val="00B053EA"/>
    <w:rsid w:val="00B05752"/>
    <w:rsid w:val="00B06123"/>
    <w:rsid w:val="00B06885"/>
    <w:rsid w:val="00B068CD"/>
    <w:rsid w:val="00B069D2"/>
    <w:rsid w:val="00B07453"/>
    <w:rsid w:val="00B100AE"/>
    <w:rsid w:val="00B10808"/>
    <w:rsid w:val="00B1085A"/>
    <w:rsid w:val="00B10B62"/>
    <w:rsid w:val="00B11018"/>
    <w:rsid w:val="00B11572"/>
    <w:rsid w:val="00B11AD7"/>
    <w:rsid w:val="00B12376"/>
    <w:rsid w:val="00B124BD"/>
    <w:rsid w:val="00B12661"/>
    <w:rsid w:val="00B136CB"/>
    <w:rsid w:val="00B15091"/>
    <w:rsid w:val="00B160B6"/>
    <w:rsid w:val="00B1618B"/>
    <w:rsid w:val="00B16467"/>
    <w:rsid w:val="00B16E43"/>
    <w:rsid w:val="00B17405"/>
    <w:rsid w:val="00B21EAB"/>
    <w:rsid w:val="00B21EC5"/>
    <w:rsid w:val="00B231B2"/>
    <w:rsid w:val="00B23814"/>
    <w:rsid w:val="00B23830"/>
    <w:rsid w:val="00B23922"/>
    <w:rsid w:val="00B23969"/>
    <w:rsid w:val="00B23EB4"/>
    <w:rsid w:val="00B241EF"/>
    <w:rsid w:val="00B2448F"/>
    <w:rsid w:val="00B24580"/>
    <w:rsid w:val="00B24E5B"/>
    <w:rsid w:val="00B25282"/>
    <w:rsid w:val="00B25A25"/>
    <w:rsid w:val="00B25B83"/>
    <w:rsid w:val="00B2657A"/>
    <w:rsid w:val="00B2678A"/>
    <w:rsid w:val="00B268B4"/>
    <w:rsid w:val="00B26910"/>
    <w:rsid w:val="00B27628"/>
    <w:rsid w:val="00B27BCE"/>
    <w:rsid w:val="00B30899"/>
    <w:rsid w:val="00B309AE"/>
    <w:rsid w:val="00B31447"/>
    <w:rsid w:val="00B315DA"/>
    <w:rsid w:val="00B3170D"/>
    <w:rsid w:val="00B31F9A"/>
    <w:rsid w:val="00B3228C"/>
    <w:rsid w:val="00B32B2F"/>
    <w:rsid w:val="00B33FFF"/>
    <w:rsid w:val="00B34CC5"/>
    <w:rsid w:val="00B3502E"/>
    <w:rsid w:val="00B35B3B"/>
    <w:rsid w:val="00B40A40"/>
    <w:rsid w:val="00B4151B"/>
    <w:rsid w:val="00B41BC1"/>
    <w:rsid w:val="00B4213C"/>
    <w:rsid w:val="00B42999"/>
    <w:rsid w:val="00B42F2F"/>
    <w:rsid w:val="00B42F9F"/>
    <w:rsid w:val="00B4457A"/>
    <w:rsid w:val="00B44C2C"/>
    <w:rsid w:val="00B45184"/>
    <w:rsid w:val="00B47764"/>
    <w:rsid w:val="00B47EAF"/>
    <w:rsid w:val="00B47ED7"/>
    <w:rsid w:val="00B505FB"/>
    <w:rsid w:val="00B50658"/>
    <w:rsid w:val="00B51061"/>
    <w:rsid w:val="00B51124"/>
    <w:rsid w:val="00B51D3F"/>
    <w:rsid w:val="00B522FD"/>
    <w:rsid w:val="00B525A3"/>
    <w:rsid w:val="00B52994"/>
    <w:rsid w:val="00B52A5C"/>
    <w:rsid w:val="00B5314B"/>
    <w:rsid w:val="00B546BE"/>
    <w:rsid w:val="00B55619"/>
    <w:rsid w:val="00B56616"/>
    <w:rsid w:val="00B56888"/>
    <w:rsid w:val="00B56E1D"/>
    <w:rsid w:val="00B56EDC"/>
    <w:rsid w:val="00B573F4"/>
    <w:rsid w:val="00B579CA"/>
    <w:rsid w:val="00B57AEC"/>
    <w:rsid w:val="00B57AFA"/>
    <w:rsid w:val="00B6069B"/>
    <w:rsid w:val="00B60762"/>
    <w:rsid w:val="00B60E95"/>
    <w:rsid w:val="00B616B8"/>
    <w:rsid w:val="00B61CF2"/>
    <w:rsid w:val="00B6281C"/>
    <w:rsid w:val="00B634E4"/>
    <w:rsid w:val="00B6412F"/>
    <w:rsid w:val="00B648F6"/>
    <w:rsid w:val="00B64963"/>
    <w:rsid w:val="00B650A3"/>
    <w:rsid w:val="00B6594B"/>
    <w:rsid w:val="00B66337"/>
    <w:rsid w:val="00B67410"/>
    <w:rsid w:val="00B677F1"/>
    <w:rsid w:val="00B67804"/>
    <w:rsid w:val="00B70B66"/>
    <w:rsid w:val="00B70CA1"/>
    <w:rsid w:val="00B72681"/>
    <w:rsid w:val="00B7298B"/>
    <w:rsid w:val="00B72E82"/>
    <w:rsid w:val="00B736E8"/>
    <w:rsid w:val="00B73BBA"/>
    <w:rsid w:val="00B741E6"/>
    <w:rsid w:val="00B74276"/>
    <w:rsid w:val="00B74BDD"/>
    <w:rsid w:val="00B74F78"/>
    <w:rsid w:val="00B74FE5"/>
    <w:rsid w:val="00B756A1"/>
    <w:rsid w:val="00B75D11"/>
    <w:rsid w:val="00B76080"/>
    <w:rsid w:val="00B7784F"/>
    <w:rsid w:val="00B808A2"/>
    <w:rsid w:val="00B810B3"/>
    <w:rsid w:val="00B81435"/>
    <w:rsid w:val="00B818DA"/>
    <w:rsid w:val="00B82554"/>
    <w:rsid w:val="00B82757"/>
    <w:rsid w:val="00B83092"/>
    <w:rsid w:val="00B83344"/>
    <w:rsid w:val="00B8346C"/>
    <w:rsid w:val="00B83489"/>
    <w:rsid w:val="00B8398F"/>
    <w:rsid w:val="00B83D73"/>
    <w:rsid w:val="00B83E66"/>
    <w:rsid w:val="00B84906"/>
    <w:rsid w:val="00B8643A"/>
    <w:rsid w:val="00B8719F"/>
    <w:rsid w:val="00B878FE"/>
    <w:rsid w:val="00B904D2"/>
    <w:rsid w:val="00B91480"/>
    <w:rsid w:val="00B922DA"/>
    <w:rsid w:val="00B92BBF"/>
    <w:rsid w:val="00B92D5A"/>
    <w:rsid w:val="00B94170"/>
    <w:rsid w:val="00B94540"/>
    <w:rsid w:val="00B94F56"/>
    <w:rsid w:val="00B95ADF"/>
    <w:rsid w:val="00B96087"/>
    <w:rsid w:val="00B96B7F"/>
    <w:rsid w:val="00B97372"/>
    <w:rsid w:val="00B974C7"/>
    <w:rsid w:val="00B979A5"/>
    <w:rsid w:val="00BA0675"/>
    <w:rsid w:val="00BA0E67"/>
    <w:rsid w:val="00BA28AC"/>
    <w:rsid w:val="00BA2939"/>
    <w:rsid w:val="00BA339B"/>
    <w:rsid w:val="00BA39C1"/>
    <w:rsid w:val="00BA4979"/>
    <w:rsid w:val="00BA499F"/>
    <w:rsid w:val="00BA4A1A"/>
    <w:rsid w:val="00BA513F"/>
    <w:rsid w:val="00BA5785"/>
    <w:rsid w:val="00BA5F2C"/>
    <w:rsid w:val="00BA64CD"/>
    <w:rsid w:val="00BA6EFB"/>
    <w:rsid w:val="00BA7C58"/>
    <w:rsid w:val="00BB00A7"/>
    <w:rsid w:val="00BB2B06"/>
    <w:rsid w:val="00BB3002"/>
    <w:rsid w:val="00BB3359"/>
    <w:rsid w:val="00BB432A"/>
    <w:rsid w:val="00BB461C"/>
    <w:rsid w:val="00BB4826"/>
    <w:rsid w:val="00BB54CB"/>
    <w:rsid w:val="00BB5B80"/>
    <w:rsid w:val="00BB6240"/>
    <w:rsid w:val="00BB6931"/>
    <w:rsid w:val="00BB6F7B"/>
    <w:rsid w:val="00BB70D7"/>
    <w:rsid w:val="00BB7D0A"/>
    <w:rsid w:val="00BC0181"/>
    <w:rsid w:val="00BC235F"/>
    <w:rsid w:val="00BC3AEB"/>
    <w:rsid w:val="00BC44F5"/>
    <w:rsid w:val="00BC48AF"/>
    <w:rsid w:val="00BC5138"/>
    <w:rsid w:val="00BC52EB"/>
    <w:rsid w:val="00BC5513"/>
    <w:rsid w:val="00BC5DC7"/>
    <w:rsid w:val="00BC7957"/>
    <w:rsid w:val="00BD023B"/>
    <w:rsid w:val="00BD0E28"/>
    <w:rsid w:val="00BD0EAA"/>
    <w:rsid w:val="00BD1522"/>
    <w:rsid w:val="00BD164E"/>
    <w:rsid w:val="00BD20E9"/>
    <w:rsid w:val="00BD22B1"/>
    <w:rsid w:val="00BD27B4"/>
    <w:rsid w:val="00BD35FC"/>
    <w:rsid w:val="00BD36C0"/>
    <w:rsid w:val="00BD377D"/>
    <w:rsid w:val="00BD39A6"/>
    <w:rsid w:val="00BD3BB5"/>
    <w:rsid w:val="00BD3C0E"/>
    <w:rsid w:val="00BD46F2"/>
    <w:rsid w:val="00BD60CE"/>
    <w:rsid w:val="00BD67FB"/>
    <w:rsid w:val="00BD72BB"/>
    <w:rsid w:val="00BD7504"/>
    <w:rsid w:val="00BD7EC6"/>
    <w:rsid w:val="00BE09DA"/>
    <w:rsid w:val="00BE1325"/>
    <w:rsid w:val="00BE3194"/>
    <w:rsid w:val="00BE3650"/>
    <w:rsid w:val="00BE4307"/>
    <w:rsid w:val="00BE4391"/>
    <w:rsid w:val="00BE57D7"/>
    <w:rsid w:val="00BE634C"/>
    <w:rsid w:val="00BE690C"/>
    <w:rsid w:val="00BE6B15"/>
    <w:rsid w:val="00BE6D73"/>
    <w:rsid w:val="00BE7CA6"/>
    <w:rsid w:val="00BF072A"/>
    <w:rsid w:val="00BF07C8"/>
    <w:rsid w:val="00BF0A6F"/>
    <w:rsid w:val="00BF0BAF"/>
    <w:rsid w:val="00BF0F4A"/>
    <w:rsid w:val="00BF158D"/>
    <w:rsid w:val="00BF16B9"/>
    <w:rsid w:val="00BF1A8F"/>
    <w:rsid w:val="00BF2071"/>
    <w:rsid w:val="00BF4678"/>
    <w:rsid w:val="00BF6425"/>
    <w:rsid w:val="00C00189"/>
    <w:rsid w:val="00C0177A"/>
    <w:rsid w:val="00C0224B"/>
    <w:rsid w:val="00C02297"/>
    <w:rsid w:val="00C02603"/>
    <w:rsid w:val="00C03677"/>
    <w:rsid w:val="00C047F4"/>
    <w:rsid w:val="00C050A5"/>
    <w:rsid w:val="00C0512E"/>
    <w:rsid w:val="00C05C0F"/>
    <w:rsid w:val="00C06AD4"/>
    <w:rsid w:val="00C07470"/>
    <w:rsid w:val="00C075D0"/>
    <w:rsid w:val="00C0762B"/>
    <w:rsid w:val="00C10DAB"/>
    <w:rsid w:val="00C117E6"/>
    <w:rsid w:val="00C1263D"/>
    <w:rsid w:val="00C132F8"/>
    <w:rsid w:val="00C14704"/>
    <w:rsid w:val="00C15844"/>
    <w:rsid w:val="00C15E77"/>
    <w:rsid w:val="00C15F7C"/>
    <w:rsid w:val="00C160F9"/>
    <w:rsid w:val="00C166D4"/>
    <w:rsid w:val="00C17E43"/>
    <w:rsid w:val="00C206E9"/>
    <w:rsid w:val="00C20C2D"/>
    <w:rsid w:val="00C21698"/>
    <w:rsid w:val="00C233A6"/>
    <w:rsid w:val="00C23B8C"/>
    <w:rsid w:val="00C240E4"/>
    <w:rsid w:val="00C24D74"/>
    <w:rsid w:val="00C251C4"/>
    <w:rsid w:val="00C25583"/>
    <w:rsid w:val="00C25AB4"/>
    <w:rsid w:val="00C25E10"/>
    <w:rsid w:val="00C262B1"/>
    <w:rsid w:val="00C26849"/>
    <w:rsid w:val="00C26C7B"/>
    <w:rsid w:val="00C2771D"/>
    <w:rsid w:val="00C27C3E"/>
    <w:rsid w:val="00C30769"/>
    <w:rsid w:val="00C311EE"/>
    <w:rsid w:val="00C31402"/>
    <w:rsid w:val="00C314D8"/>
    <w:rsid w:val="00C31613"/>
    <w:rsid w:val="00C317FD"/>
    <w:rsid w:val="00C31AA6"/>
    <w:rsid w:val="00C32C79"/>
    <w:rsid w:val="00C32D76"/>
    <w:rsid w:val="00C330FD"/>
    <w:rsid w:val="00C34350"/>
    <w:rsid w:val="00C345C1"/>
    <w:rsid w:val="00C347E7"/>
    <w:rsid w:val="00C35DED"/>
    <w:rsid w:val="00C360D2"/>
    <w:rsid w:val="00C3610B"/>
    <w:rsid w:val="00C367E9"/>
    <w:rsid w:val="00C36FA2"/>
    <w:rsid w:val="00C36FCD"/>
    <w:rsid w:val="00C37027"/>
    <w:rsid w:val="00C373B8"/>
    <w:rsid w:val="00C41C49"/>
    <w:rsid w:val="00C42086"/>
    <w:rsid w:val="00C42AF3"/>
    <w:rsid w:val="00C42BC5"/>
    <w:rsid w:val="00C44D3F"/>
    <w:rsid w:val="00C46505"/>
    <w:rsid w:val="00C47A20"/>
    <w:rsid w:val="00C5042E"/>
    <w:rsid w:val="00C50BC8"/>
    <w:rsid w:val="00C50CB3"/>
    <w:rsid w:val="00C50FD4"/>
    <w:rsid w:val="00C51248"/>
    <w:rsid w:val="00C515A1"/>
    <w:rsid w:val="00C51C35"/>
    <w:rsid w:val="00C52B16"/>
    <w:rsid w:val="00C533B4"/>
    <w:rsid w:val="00C53905"/>
    <w:rsid w:val="00C5417C"/>
    <w:rsid w:val="00C54A20"/>
    <w:rsid w:val="00C54AF4"/>
    <w:rsid w:val="00C5538A"/>
    <w:rsid w:val="00C55758"/>
    <w:rsid w:val="00C55BA4"/>
    <w:rsid w:val="00C56744"/>
    <w:rsid w:val="00C57A6A"/>
    <w:rsid w:val="00C607ED"/>
    <w:rsid w:val="00C6097A"/>
    <w:rsid w:val="00C60BBC"/>
    <w:rsid w:val="00C61676"/>
    <w:rsid w:val="00C61744"/>
    <w:rsid w:val="00C61AD5"/>
    <w:rsid w:val="00C620D0"/>
    <w:rsid w:val="00C62130"/>
    <w:rsid w:val="00C62295"/>
    <w:rsid w:val="00C6274E"/>
    <w:rsid w:val="00C632F8"/>
    <w:rsid w:val="00C636D4"/>
    <w:rsid w:val="00C64321"/>
    <w:rsid w:val="00C65AEB"/>
    <w:rsid w:val="00C66415"/>
    <w:rsid w:val="00C67121"/>
    <w:rsid w:val="00C67516"/>
    <w:rsid w:val="00C67750"/>
    <w:rsid w:val="00C67B99"/>
    <w:rsid w:val="00C70336"/>
    <w:rsid w:val="00C7056D"/>
    <w:rsid w:val="00C70C46"/>
    <w:rsid w:val="00C71195"/>
    <w:rsid w:val="00C71A8C"/>
    <w:rsid w:val="00C723D9"/>
    <w:rsid w:val="00C7274B"/>
    <w:rsid w:val="00C72BAF"/>
    <w:rsid w:val="00C72F82"/>
    <w:rsid w:val="00C73C27"/>
    <w:rsid w:val="00C74CB1"/>
    <w:rsid w:val="00C76396"/>
    <w:rsid w:val="00C76D28"/>
    <w:rsid w:val="00C77FA3"/>
    <w:rsid w:val="00C8146E"/>
    <w:rsid w:val="00C81732"/>
    <w:rsid w:val="00C81847"/>
    <w:rsid w:val="00C81F28"/>
    <w:rsid w:val="00C82E6F"/>
    <w:rsid w:val="00C833B4"/>
    <w:rsid w:val="00C84FDF"/>
    <w:rsid w:val="00C85D0B"/>
    <w:rsid w:val="00C86A23"/>
    <w:rsid w:val="00C86D59"/>
    <w:rsid w:val="00C86FB6"/>
    <w:rsid w:val="00C8754A"/>
    <w:rsid w:val="00C875F2"/>
    <w:rsid w:val="00C87805"/>
    <w:rsid w:val="00C87CDD"/>
    <w:rsid w:val="00C90859"/>
    <w:rsid w:val="00C909A1"/>
    <w:rsid w:val="00C90FD2"/>
    <w:rsid w:val="00C91095"/>
    <w:rsid w:val="00C9174D"/>
    <w:rsid w:val="00C9193A"/>
    <w:rsid w:val="00C9204D"/>
    <w:rsid w:val="00C926E3"/>
    <w:rsid w:val="00C92915"/>
    <w:rsid w:val="00C938A5"/>
    <w:rsid w:val="00C94421"/>
    <w:rsid w:val="00C95FE8"/>
    <w:rsid w:val="00C96F6E"/>
    <w:rsid w:val="00C972DF"/>
    <w:rsid w:val="00CA0C29"/>
    <w:rsid w:val="00CA111A"/>
    <w:rsid w:val="00CA19CB"/>
    <w:rsid w:val="00CA20D0"/>
    <w:rsid w:val="00CA2543"/>
    <w:rsid w:val="00CA2922"/>
    <w:rsid w:val="00CA2C80"/>
    <w:rsid w:val="00CA34BC"/>
    <w:rsid w:val="00CA460E"/>
    <w:rsid w:val="00CA46A2"/>
    <w:rsid w:val="00CA476F"/>
    <w:rsid w:val="00CA598D"/>
    <w:rsid w:val="00CA6025"/>
    <w:rsid w:val="00CA6A99"/>
    <w:rsid w:val="00CA7B4B"/>
    <w:rsid w:val="00CB0C9E"/>
    <w:rsid w:val="00CB1125"/>
    <w:rsid w:val="00CB1B9E"/>
    <w:rsid w:val="00CB22AB"/>
    <w:rsid w:val="00CB2678"/>
    <w:rsid w:val="00CB41AC"/>
    <w:rsid w:val="00CB4683"/>
    <w:rsid w:val="00CB4B20"/>
    <w:rsid w:val="00CB4C6F"/>
    <w:rsid w:val="00CB60D4"/>
    <w:rsid w:val="00CB60FC"/>
    <w:rsid w:val="00CB635A"/>
    <w:rsid w:val="00CB6A9B"/>
    <w:rsid w:val="00CB711D"/>
    <w:rsid w:val="00CB7C64"/>
    <w:rsid w:val="00CB7D4C"/>
    <w:rsid w:val="00CC13FA"/>
    <w:rsid w:val="00CC224E"/>
    <w:rsid w:val="00CC22F2"/>
    <w:rsid w:val="00CC2D68"/>
    <w:rsid w:val="00CC388F"/>
    <w:rsid w:val="00CC4B58"/>
    <w:rsid w:val="00CC580E"/>
    <w:rsid w:val="00CC663F"/>
    <w:rsid w:val="00CC6F00"/>
    <w:rsid w:val="00CC742F"/>
    <w:rsid w:val="00CD0324"/>
    <w:rsid w:val="00CD07CC"/>
    <w:rsid w:val="00CD1526"/>
    <w:rsid w:val="00CD306B"/>
    <w:rsid w:val="00CD3B7D"/>
    <w:rsid w:val="00CD3D85"/>
    <w:rsid w:val="00CD58B9"/>
    <w:rsid w:val="00CD6497"/>
    <w:rsid w:val="00CD66A4"/>
    <w:rsid w:val="00CD6AFF"/>
    <w:rsid w:val="00CD7023"/>
    <w:rsid w:val="00CD71D5"/>
    <w:rsid w:val="00CD746D"/>
    <w:rsid w:val="00CD771C"/>
    <w:rsid w:val="00CD7911"/>
    <w:rsid w:val="00CD7BC0"/>
    <w:rsid w:val="00CD7F12"/>
    <w:rsid w:val="00CE068C"/>
    <w:rsid w:val="00CE0F25"/>
    <w:rsid w:val="00CE1D14"/>
    <w:rsid w:val="00CE2426"/>
    <w:rsid w:val="00CE2508"/>
    <w:rsid w:val="00CE2B34"/>
    <w:rsid w:val="00CE3152"/>
    <w:rsid w:val="00CE33AA"/>
    <w:rsid w:val="00CE33C2"/>
    <w:rsid w:val="00CE369E"/>
    <w:rsid w:val="00CE4D4C"/>
    <w:rsid w:val="00CE4E21"/>
    <w:rsid w:val="00CE5871"/>
    <w:rsid w:val="00CE5E76"/>
    <w:rsid w:val="00CE5FF0"/>
    <w:rsid w:val="00CE654D"/>
    <w:rsid w:val="00CE6D8D"/>
    <w:rsid w:val="00CF0314"/>
    <w:rsid w:val="00CF1220"/>
    <w:rsid w:val="00CF21D6"/>
    <w:rsid w:val="00CF2322"/>
    <w:rsid w:val="00CF27D1"/>
    <w:rsid w:val="00CF51BC"/>
    <w:rsid w:val="00CF5B5F"/>
    <w:rsid w:val="00CF5DAB"/>
    <w:rsid w:val="00CF5F5F"/>
    <w:rsid w:val="00CF666E"/>
    <w:rsid w:val="00CF76F1"/>
    <w:rsid w:val="00CF77D2"/>
    <w:rsid w:val="00CF7AFD"/>
    <w:rsid w:val="00CFE011"/>
    <w:rsid w:val="00D0018D"/>
    <w:rsid w:val="00D01270"/>
    <w:rsid w:val="00D01341"/>
    <w:rsid w:val="00D01577"/>
    <w:rsid w:val="00D015A7"/>
    <w:rsid w:val="00D01B90"/>
    <w:rsid w:val="00D02614"/>
    <w:rsid w:val="00D0296E"/>
    <w:rsid w:val="00D03062"/>
    <w:rsid w:val="00D046DF"/>
    <w:rsid w:val="00D047DF"/>
    <w:rsid w:val="00D048DA"/>
    <w:rsid w:val="00D04C77"/>
    <w:rsid w:val="00D04E66"/>
    <w:rsid w:val="00D0543D"/>
    <w:rsid w:val="00D058DA"/>
    <w:rsid w:val="00D05AFB"/>
    <w:rsid w:val="00D065E9"/>
    <w:rsid w:val="00D07225"/>
    <w:rsid w:val="00D07747"/>
    <w:rsid w:val="00D0790E"/>
    <w:rsid w:val="00D07B1D"/>
    <w:rsid w:val="00D07C7C"/>
    <w:rsid w:val="00D102C2"/>
    <w:rsid w:val="00D10D2B"/>
    <w:rsid w:val="00D11455"/>
    <w:rsid w:val="00D12748"/>
    <w:rsid w:val="00D1288A"/>
    <w:rsid w:val="00D135C0"/>
    <w:rsid w:val="00D136E2"/>
    <w:rsid w:val="00D1470C"/>
    <w:rsid w:val="00D149DC"/>
    <w:rsid w:val="00D14FBA"/>
    <w:rsid w:val="00D151E8"/>
    <w:rsid w:val="00D15F6D"/>
    <w:rsid w:val="00D1789D"/>
    <w:rsid w:val="00D206ED"/>
    <w:rsid w:val="00D20ABF"/>
    <w:rsid w:val="00D20B57"/>
    <w:rsid w:val="00D21A3E"/>
    <w:rsid w:val="00D224A6"/>
    <w:rsid w:val="00D224DE"/>
    <w:rsid w:val="00D22C8F"/>
    <w:rsid w:val="00D22DE1"/>
    <w:rsid w:val="00D24DE5"/>
    <w:rsid w:val="00D24E54"/>
    <w:rsid w:val="00D2659C"/>
    <w:rsid w:val="00D2766E"/>
    <w:rsid w:val="00D27A18"/>
    <w:rsid w:val="00D27A60"/>
    <w:rsid w:val="00D27B55"/>
    <w:rsid w:val="00D27C87"/>
    <w:rsid w:val="00D27CD7"/>
    <w:rsid w:val="00D30043"/>
    <w:rsid w:val="00D306FB"/>
    <w:rsid w:val="00D323AD"/>
    <w:rsid w:val="00D32918"/>
    <w:rsid w:val="00D3352E"/>
    <w:rsid w:val="00D3354D"/>
    <w:rsid w:val="00D34133"/>
    <w:rsid w:val="00D3431A"/>
    <w:rsid w:val="00D34E24"/>
    <w:rsid w:val="00D3543B"/>
    <w:rsid w:val="00D35569"/>
    <w:rsid w:val="00D357A8"/>
    <w:rsid w:val="00D36034"/>
    <w:rsid w:val="00D3651E"/>
    <w:rsid w:val="00D36816"/>
    <w:rsid w:val="00D37332"/>
    <w:rsid w:val="00D37577"/>
    <w:rsid w:val="00D40D37"/>
    <w:rsid w:val="00D40EEC"/>
    <w:rsid w:val="00D41AD0"/>
    <w:rsid w:val="00D41AF8"/>
    <w:rsid w:val="00D42BBD"/>
    <w:rsid w:val="00D42D6C"/>
    <w:rsid w:val="00D436D9"/>
    <w:rsid w:val="00D4435A"/>
    <w:rsid w:val="00D4440B"/>
    <w:rsid w:val="00D449D8"/>
    <w:rsid w:val="00D44D72"/>
    <w:rsid w:val="00D45948"/>
    <w:rsid w:val="00D46088"/>
    <w:rsid w:val="00D47DDC"/>
    <w:rsid w:val="00D513BB"/>
    <w:rsid w:val="00D513FE"/>
    <w:rsid w:val="00D51B99"/>
    <w:rsid w:val="00D51EF0"/>
    <w:rsid w:val="00D5214B"/>
    <w:rsid w:val="00D524CB"/>
    <w:rsid w:val="00D53511"/>
    <w:rsid w:val="00D53EE5"/>
    <w:rsid w:val="00D55773"/>
    <w:rsid w:val="00D558CA"/>
    <w:rsid w:val="00D5615E"/>
    <w:rsid w:val="00D60802"/>
    <w:rsid w:val="00D60BBE"/>
    <w:rsid w:val="00D6131D"/>
    <w:rsid w:val="00D61B2D"/>
    <w:rsid w:val="00D626F1"/>
    <w:rsid w:val="00D635D6"/>
    <w:rsid w:val="00D63A83"/>
    <w:rsid w:val="00D648EB"/>
    <w:rsid w:val="00D64AFD"/>
    <w:rsid w:val="00D654EE"/>
    <w:rsid w:val="00D65671"/>
    <w:rsid w:val="00D65E5C"/>
    <w:rsid w:val="00D66D5E"/>
    <w:rsid w:val="00D67025"/>
    <w:rsid w:val="00D6766F"/>
    <w:rsid w:val="00D70389"/>
    <w:rsid w:val="00D71A92"/>
    <w:rsid w:val="00D71F6E"/>
    <w:rsid w:val="00D73468"/>
    <w:rsid w:val="00D73A7B"/>
    <w:rsid w:val="00D7443E"/>
    <w:rsid w:val="00D747AD"/>
    <w:rsid w:val="00D74B9B"/>
    <w:rsid w:val="00D7552E"/>
    <w:rsid w:val="00D75CA5"/>
    <w:rsid w:val="00D75F83"/>
    <w:rsid w:val="00D76337"/>
    <w:rsid w:val="00D77327"/>
    <w:rsid w:val="00D80A53"/>
    <w:rsid w:val="00D80B92"/>
    <w:rsid w:val="00D80C7D"/>
    <w:rsid w:val="00D81528"/>
    <w:rsid w:val="00D81C90"/>
    <w:rsid w:val="00D82654"/>
    <w:rsid w:val="00D826D2"/>
    <w:rsid w:val="00D827AA"/>
    <w:rsid w:val="00D83278"/>
    <w:rsid w:val="00D83492"/>
    <w:rsid w:val="00D838A7"/>
    <w:rsid w:val="00D83F2B"/>
    <w:rsid w:val="00D850AC"/>
    <w:rsid w:val="00D8611E"/>
    <w:rsid w:val="00D87194"/>
    <w:rsid w:val="00D8732C"/>
    <w:rsid w:val="00D87631"/>
    <w:rsid w:val="00D8786E"/>
    <w:rsid w:val="00D90999"/>
    <w:rsid w:val="00D90B17"/>
    <w:rsid w:val="00D91BCE"/>
    <w:rsid w:val="00D91DF9"/>
    <w:rsid w:val="00D925F2"/>
    <w:rsid w:val="00D92620"/>
    <w:rsid w:val="00D929D4"/>
    <w:rsid w:val="00D92A22"/>
    <w:rsid w:val="00D93325"/>
    <w:rsid w:val="00D93494"/>
    <w:rsid w:val="00D9365E"/>
    <w:rsid w:val="00D94888"/>
    <w:rsid w:val="00D94A09"/>
    <w:rsid w:val="00D94C5B"/>
    <w:rsid w:val="00D961CF"/>
    <w:rsid w:val="00D9648B"/>
    <w:rsid w:val="00D96837"/>
    <w:rsid w:val="00D96C62"/>
    <w:rsid w:val="00DA0942"/>
    <w:rsid w:val="00DA0D55"/>
    <w:rsid w:val="00DA0DE9"/>
    <w:rsid w:val="00DA19D6"/>
    <w:rsid w:val="00DA216C"/>
    <w:rsid w:val="00DA271E"/>
    <w:rsid w:val="00DA2D37"/>
    <w:rsid w:val="00DA322D"/>
    <w:rsid w:val="00DA3598"/>
    <w:rsid w:val="00DA3D7B"/>
    <w:rsid w:val="00DA4A8B"/>
    <w:rsid w:val="00DA4B4F"/>
    <w:rsid w:val="00DA5468"/>
    <w:rsid w:val="00DA6075"/>
    <w:rsid w:val="00DA6574"/>
    <w:rsid w:val="00DA69B4"/>
    <w:rsid w:val="00DA6D3B"/>
    <w:rsid w:val="00DA6FCA"/>
    <w:rsid w:val="00DA7EA5"/>
    <w:rsid w:val="00DB0CFD"/>
    <w:rsid w:val="00DB174C"/>
    <w:rsid w:val="00DB2541"/>
    <w:rsid w:val="00DB2848"/>
    <w:rsid w:val="00DB3A11"/>
    <w:rsid w:val="00DB4429"/>
    <w:rsid w:val="00DB4A1A"/>
    <w:rsid w:val="00DB63B1"/>
    <w:rsid w:val="00DB6A1E"/>
    <w:rsid w:val="00DC00C2"/>
    <w:rsid w:val="00DC158D"/>
    <w:rsid w:val="00DC2DB8"/>
    <w:rsid w:val="00DC4A90"/>
    <w:rsid w:val="00DC520A"/>
    <w:rsid w:val="00DC5622"/>
    <w:rsid w:val="00DC61B9"/>
    <w:rsid w:val="00DC6908"/>
    <w:rsid w:val="00DC794E"/>
    <w:rsid w:val="00DD03F2"/>
    <w:rsid w:val="00DD0420"/>
    <w:rsid w:val="00DD0695"/>
    <w:rsid w:val="00DD076F"/>
    <w:rsid w:val="00DD08AB"/>
    <w:rsid w:val="00DD0DE1"/>
    <w:rsid w:val="00DD112F"/>
    <w:rsid w:val="00DD182A"/>
    <w:rsid w:val="00DD2855"/>
    <w:rsid w:val="00DD2AEC"/>
    <w:rsid w:val="00DD3D29"/>
    <w:rsid w:val="00DD4E57"/>
    <w:rsid w:val="00DD5988"/>
    <w:rsid w:val="00DD5B13"/>
    <w:rsid w:val="00DD6D8E"/>
    <w:rsid w:val="00DE033F"/>
    <w:rsid w:val="00DE07F5"/>
    <w:rsid w:val="00DE0823"/>
    <w:rsid w:val="00DE08D4"/>
    <w:rsid w:val="00DE0AED"/>
    <w:rsid w:val="00DE14C5"/>
    <w:rsid w:val="00DE1945"/>
    <w:rsid w:val="00DE20D5"/>
    <w:rsid w:val="00DE2203"/>
    <w:rsid w:val="00DE3BB6"/>
    <w:rsid w:val="00DE3E47"/>
    <w:rsid w:val="00DE4974"/>
    <w:rsid w:val="00DE5F31"/>
    <w:rsid w:val="00DE74C4"/>
    <w:rsid w:val="00DE7FCA"/>
    <w:rsid w:val="00DF1465"/>
    <w:rsid w:val="00DF1B7E"/>
    <w:rsid w:val="00DF3183"/>
    <w:rsid w:val="00DF3592"/>
    <w:rsid w:val="00DF3DDB"/>
    <w:rsid w:val="00DF3E5A"/>
    <w:rsid w:val="00DF514F"/>
    <w:rsid w:val="00DF5A6A"/>
    <w:rsid w:val="00DF625C"/>
    <w:rsid w:val="00DF62A6"/>
    <w:rsid w:val="00DF6FDE"/>
    <w:rsid w:val="00DF745E"/>
    <w:rsid w:val="00DF7D39"/>
    <w:rsid w:val="00E00937"/>
    <w:rsid w:val="00E00943"/>
    <w:rsid w:val="00E010E9"/>
    <w:rsid w:val="00E01526"/>
    <w:rsid w:val="00E01538"/>
    <w:rsid w:val="00E01741"/>
    <w:rsid w:val="00E029DB"/>
    <w:rsid w:val="00E029F7"/>
    <w:rsid w:val="00E03F76"/>
    <w:rsid w:val="00E04350"/>
    <w:rsid w:val="00E05099"/>
    <w:rsid w:val="00E058BA"/>
    <w:rsid w:val="00E070BF"/>
    <w:rsid w:val="00E0792C"/>
    <w:rsid w:val="00E079A9"/>
    <w:rsid w:val="00E11293"/>
    <w:rsid w:val="00E11485"/>
    <w:rsid w:val="00E11BA8"/>
    <w:rsid w:val="00E11CEE"/>
    <w:rsid w:val="00E12911"/>
    <w:rsid w:val="00E13315"/>
    <w:rsid w:val="00E13464"/>
    <w:rsid w:val="00E1385B"/>
    <w:rsid w:val="00E154F4"/>
    <w:rsid w:val="00E17325"/>
    <w:rsid w:val="00E2135A"/>
    <w:rsid w:val="00E217A7"/>
    <w:rsid w:val="00E222CD"/>
    <w:rsid w:val="00E22988"/>
    <w:rsid w:val="00E22EAC"/>
    <w:rsid w:val="00E250C1"/>
    <w:rsid w:val="00E252B2"/>
    <w:rsid w:val="00E25529"/>
    <w:rsid w:val="00E267E1"/>
    <w:rsid w:val="00E307CC"/>
    <w:rsid w:val="00E31286"/>
    <w:rsid w:val="00E318E1"/>
    <w:rsid w:val="00E31D6C"/>
    <w:rsid w:val="00E32408"/>
    <w:rsid w:val="00E34D6A"/>
    <w:rsid w:val="00E34E4A"/>
    <w:rsid w:val="00E35B9B"/>
    <w:rsid w:val="00E36BFD"/>
    <w:rsid w:val="00E36C40"/>
    <w:rsid w:val="00E3730D"/>
    <w:rsid w:val="00E37476"/>
    <w:rsid w:val="00E379DD"/>
    <w:rsid w:val="00E37A36"/>
    <w:rsid w:val="00E40335"/>
    <w:rsid w:val="00E40525"/>
    <w:rsid w:val="00E40C39"/>
    <w:rsid w:val="00E40F7E"/>
    <w:rsid w:val="00E4158F"/>
    <w:rsid w:val="00E415D2"/>
    <w:rsid w:val="00E41EDD"/>
    <w:rsid w:val="00E42383"/>
    <w:rsid w:val="00E425BC"/>
    <w:rsid w:val="00E42667"/>
    <w:rsid w:val="00E42D22"/>
    <w:rsid w:val="00E4314A"/>
    <w:rsid w:val="00E436E5"/>
    <w:rsid w:val="00E4380A"/>
    <w:rsid w:val="00E4475C"/>
    <w:rsid w:val="00E44EA7"/>
    <w:rsid w:val="00E459A2"/>
    <w:rsid w:val="00E46B03"/>
    <w:rsid w:val="00E4742C"/>
    <w:rsid w:val="00E475AB"/>
    <w:rsid w:val="00E47E7B"/>
    <w:rsid w:val="00E5006A"/>
    <w:rsid w:val="00E505A8"/>
    <w:rsid w:val="00E51080"/>
    <w:rsid w:val="00E510C7"/>
    <w:rsid w:val="00E51A45"/>
    <w:rsid w:val="00E51B89"/>
    <w:rsid w:val="00E525C3"/>
    <w:rsid w:val="00E5339A"/>
    <w:rsid w:val="00E5354D"/>
    <w:rsid w:val="00E53D81"/>
    <w:rsid w:val="00E53ED7"/>
    <w:rsid w:val="00E542DD"/>
    <w:rsid w:val="00E547E9"/>
    <w:rsid w:val="00E54F0D"/>
    <w:rsid w:val="00E56213"/>
    <w:rsid w:val="00E6001F"/>
    <w:rsid w:val="00E601F1"/>
    <w:rsid w:val="00E61909"/>
    <w:rsid w:val="00E63A66"/>
    <w:rsid w:val="00E63F51"/>
    <w:rsid w:val="00E63FB7"/>
    <w:rsid w:val="00E643E4"/>
    <w:rsid w:val="00E65003"/>
    <w:rsid w:val="00E6571E"/>
    <w:rsid w:val="00E6574D"/>
    <w:rsid w:val="00E65B08"/>
    <w:rsid w:val="00E66DF5"/>
    <w:rsid w:val="00E67104"/>
    <w:rsid w:val="00E702D7"/>
    <w:rsid w:val="00E7108F"/>
    <w:rsid w:val="00E71EAA"/>
    <w:rsid w:val="00E722BB"/>
    <w:rsid w:val="00E732D5"/>
    <w:rsid w:val="00E73BF0"/>
    <w:rsid w:val="00E744CD"/>
    <w:rsid w:val="00E749D8"/>
    <w:rsid w:val="00E75866"/>
    <w:rsid w:val="00E764E0"/>
    <w:rsid w:val="00E7664C"/>
    <w:rsid w:val="00E768BA"/>
    <w:rsid w:val="00E76C7D"/>
    <w:rsid w:val="00E77C5E"/>
    <w:rsid w:val="00E77DD7"/>
    <w:rsid w:val="00E77E48"/>
    <w:rsid w:val="00E80708"/>
    <w:rsid w:val="00E814B9"/>
    <w:rsid w:val="00E8270F"/>
    <w:rsid w:val="00E83242"/>
    <w:rsid w:val="00E83BF6"/>
    <w:rsid w:val="00E83D2F"/>
    <w:rsid w:val="00E85280"/>
    <w:rsid w:val="00E852A1"/>
    <w:rsid w:val="00E852C1"/>
    <w:rsid w:val="00E86526"/>
    <w:rsid w:val="00E86A76"/>
    <w:rsid w:val="00E86DC5"/>
    <w:rsid w:val="00E8799E"/>
    <w:rsid w:val="00E879F5"/>
    <w:rsid w:val="00E87E7B"/>
    <w:rsid w:val="00E903B0"/>
    <w:rsid w:val="00E9092D"/>
    <w:rsid w:val="00E9267F"/>
    <w:rsid w:val="00E92C8B"/>
    <w:rsid w:val="00E931DF"/>
    <w:rsid w:val="00E94484"/>
    <w:rsid w:val="00E9460C"/>
    <w:rsid w:val="00E94DBD"/>
    <w:rsid w:val="00E95121"/>
    <w:rsid w:val="00E9527F"/>
    <w:rsid w:val="00E96107"/>
    <w:rsid w:val="00E962DE"/>
    <w:rsid w:val="00E965E4"/>
    <w:rsid w:val="00E96935"/>
    <w:rsid w:val="00E969A4"/>
    <w:rsid w:val="00E978AE"/>
    <w:rsid w:val="00E978D2"/>
    <w:rsid w:val="00E97AED"/>
    <w:rsid w:val="00E97CBC"/>
    <w:rsid w:val="00EA0356"/>
    <w:rsid w:val="00EA073D"/>
    <w:rsid w:val="00EA08BE"/>
    <w:rsid w:val="00EA1EDC"/>
    <w:rsid w:val="00EA2365"/>
    <w:rsid w:val="00EA28FD"/>
    <w:rsid w:val="00EA29EF"/>
    <w:rsid w:val="00EA2E66"/>
    <w:rsid w:val="00EA31EE"/>
    <w:rsid w:val="00EA4038"/>
    <w:rsid w:val="00EA427B"/>
    <w:rsid w:val="00EA6741"/>
    <w:rsid w:val="00EA69E1"/>
    <w:rsid w:val="00EA6D49"/>
    <w:rsid w:val="00EA6DB2"/>
    <w:rsid w:val="00EA7838"/>
    <w:rsid w:val="00EA7C57"/>
    <w:rsid w:val="00EB0317"/>
    <w:rsid w:val="00EB110F"/>
    <w:rsid w:val="00EB1797"/>
    <w:rsid w:val="00EB1D12"/>
    <w:rsid w:val="00EB1DBB"/>
    <w:rsid w:val="00EB21F2"/>
    <w:rsid w:val="00EB224B"/>
    <w:rsid w:val="00EB29B9"/>
    <w:rsid w:val="00EB2B37"/>
    <w:rsid w:val="00EB2BFA"/>
    <w:rsid w:val="00EB31C4"/>
    <w:rsid w:val="00EB33F4"/>
    <w:rsid w:val="00EB372E"/>
    <w:rsid w:val="00EB37BB"/>
    <w:rsid w:val="00EB3A5A"/>
    <w:rsid w:val="00EB3E16"/>
    <w:rsid w:val="00EB3FE0"/>
    <w:rsid w:val="00EB466C"/>
    <w:rsid w:val="00EB51FD"/>
    <w:rsid w:val="00EB5202"/>
    <w:rsid w:val="00EB54F6"/>
    <w:rsid w:val="00EB635B"/>
    <w:rsid w:val="00EB6473"/>
    <w:rsid w:val="00EB6AB5"/>
    <w:rsid w:val="00EB7094"/>
    <w:rsid w:val="00EC0435"/>
    <w:rsid w:val="00EC0511"/>
    <w:rsid w:val="00EC0609"/>
    <w:rsid w:val="00EC0A22"/>
    <w:rsid w:val="00EC0F0C"/>
    <w:rsid w:val="00EC0FAF"/>
    <w:rsid w:val="00EC1A35"/>
    <w:rsid w:val="00EC2420"/>
    <w:rsid w:val="00EC2472"/>
    <w:rsid w:val="00EC3F37"/>
    <w:rsid w:val="00EC4019"/>
    <w:rsid w:val="00EC444B"/>
    <w:rsid w:val="00EC5019"/>
    <w:rsid w:val="00EC51C4"/>
    <w:rsid w:val="00EC5618"/>
    <w:rsid w:val="00EC56B4"/>
    <w:rsid w:val="00EC5C56"/>
    <w:rsid w:val="00EC5F52"/>
    <w:rsid w:val="00EC6EB2"/>
    <w:rsid w:val="00EC7512"/>
    <w:rsid w:val="00ED0466"/>
    <w:rsid w:val="00ED0DB1"/>
    <w:rsid w:val="00ED13D8"/>
    <w:rsid w:val="00ED1A92"/>
    <w:rsid w:val="00ED20F7"/>
    <w:rsid w:val="00ED2EFD"/>
    <w:rsid w:val="00ED3543"/>
    <w:rsid w:val="00ED35EC"/>
    <w:rsid w:val="00ED3CB0"/>
    <w:rsid w:val="00ED4127"/>
    <w:rsid w:val="00ED4CFB"/>
    <w:rsid w:val="00ED5841"/>
    <w:rsid w:val="00ED681F"/>
    <w:rsid w:val="00EE04F4"/>
    <w:rsid w:val="00EE1350"/>
    <w:rsid w:val="00EE1706"/>
    <w:rsid w:val="00EE2199"/>
    <w:rsid w:val="00EE33B6"/>
    <w:rsid w:val="00EE3B6E"/>
    <w:rsid w:val="00EE3E3B"/>
    <w:rsid w:val="00EE4519"/>
    <w:rsid w:val="00EE4772"/>
    <w:rsid w:val="00EE4B0B"/>
    <w:rsid w:val="00EE51B9"/>
    <w:rsid w:val="00EE57F7"/>
    <w:rsid w:val="00EE5E3F"/>
    <w:rsid w:val="00EE6888"/>
    <w:rsid w:val="00EE702B"/>
    <w:rsid w:val="00EF00A7"/>
    <w:rsid w:val="00EF022B"/>
    <w:rsid w:val="00EF06E8"/>
    <w:rsid w:val="00EF0978"/>
    <w:rsid w:val="00EF1123"/>
    <w:rsid w:val="00EF1785"/>
    <w:rsid w:val="00EF1D66"/>
    <w:rsid w:val="00EF2D1A"/>
    <w:rsid w:val="00EF3463"/>
    <w:rsid w:val="00EF3671"/>
    <w:rsid w:val="00EF416A"/>
    <w:rsid w:val="00EF451F"/>
    <w:rsid w:val="00EF48CD"/>
    <w:rsid w:val="00EF4A1F"/>
    <w:rsid w:val="00EF52CE"/>
    <w:rsid w:val="00EF5991"/>
    <w:rsid w:val="00EF5FAE"/>
    <w:rsid w:val="00EF7295"/>
    <w:rsid w:val="00EF74B8"/>
    <w:rsid w:val="00EF7785"/>
    <w:rsid w:val="00EF7A4F"/>
    <w:rsid w:val="00EF7B9B"/>
    <w:rsid w:val="00F003AA"/>
    <w:rsid w:val="00F00617"/>
    <w:rsid w:val="00F00CF1"/>
    <w:rsid w:val="00F00F73"/>
    <w:rsid w:val="00F02361"/>
    <w:rsid w:val="00F026AD"/>
    <w:rsid w:val="00F030EB"/>
    <w:rsid w:val="00F03A37"/>
    <w:rsid w:val="00F03A57"/>
    <w:rsid w:val="00F03DBF"/>
    <w:rsid w:val="00F0415B"/>
    <w:rsid w:val="00F04728"/>
    <w:rsid w:val="00F047C2"/>
    <w:rsid w:val="00F05079"/>
    <w:rsid w:val="00F051C1"/>
    <w:rsid w:val="00F05844"/>
    <w:rsid w:val="00F05B09"/>
    <w:rsid w:val="00F05BCB"/>
    <w:rsid w:val="00F06238"/>
    <w:rsid w:val="00F073F0"/>
    <w:rsid w:val="00F103EE"/>
    <w:rsid w:val="00F10ACE"/>
    <w:rsid w:val="00F1134A"/>
    <w:rsid w:val="00F113AB"/>
    <w:rsid w:val="00F11518"/>
    <w:rsid w:val="00F11651"/>
    <w:rsid w:val="00F138BF"/>
    <w:rsid w:val="00F13936"/>
    <w:rsid w:val="00F13B86"/>
    <w:rsid w:val="00F145D6"/>
    <w:rsid w:val="00F14C28"/>
    <w:rsid w:val="00F151B6"/>
    <w:rsid w:val="00F15856"/>
    <w:rsid w:val="00F17275"/>
    <w:rsid w:val="00F17694"/>
    <w:rsid w:val="00F176E5"/>
    <w:rsid w:val="00F17A08"/>
    <w:rsid w:val="00F202B3"/>
    <w:rsid w:val="00F2105C"/>
    <w:rsid w:val="00F21C8B"/>
    <w:rsid w:val="00F26418"/>
    <w:rsid w:val="00F267C5"/>
    <w:rsid w:val="00F26902"/>
    <w:rsid w:val="00F26D3E"/>
    <w:rsid w:val="00F26F4C"/>
    <w:rsid w:val="00F273E9"/>
    <w:rsid w:val="00F27EC2"/>
    <w:rsid w:val="00F30142"/>
    <w:rsid w:val="00F3182D"/>
    <w:rsid w:val="00F33C1B"/>
    <w:rsid w:val="00F3435B"/>
    <w:rsid w:val="00F3438D"/>
    <w:rsid w:val="00F36362"/>
    <w:rsid w:val="00F36545"/>
    <w:rsid w:val="00F37962"/>
    <w:rsid w:val="00F400B1"/>
    <w:rsid w:val="00F4078B"/>
    <w:rsid w:val="00F4101B"/>
    <w:rsid w:val="00F41BC0"/>
    <w:rsid w:val="00F426D1"/>
    <w:rsid w:val="00F428FB"/>
    <w:rsid w:val="00F43A9F"/>
    <w:rsid w:val="00F43D3E"/>
    <w:rsid w:val="00F44458"/>
    <w:rsid w:val="00F44EC4"/>
    <w:rsid w:val="00F45069"/>
    <w:rsid w:val="00F45115"/>
    <w:rsid w:val="00F4537D"/>
    <w:rsid w:val="00F46A73"/>
    <w:rsid w:val="00F46EAC"/>
    <w:rsid w:val="00F46FF8"/>
    <w:rsid w:val="00F4719B"/>
    <w:rsid w:val="00F4734A"/>
    <w:rsid w:val="00F4749A"/>
    <w:rsid w:val="00F47E19"/>
    <w:rsid w:val="00F516C0"/>
    <w:rsid w:val="00F51EF0"/>
    <w:rsid w:val="00F5253E"/>
    <w:rsid w:val="00F53551"/>
    <w:rsid w:val="00F535A5"/>
    <w:rsid w:val="00F541F9"/>
    <w:rsid w:val="00F549FD"/>
    <w:rsid w:val="00F54B44"/>
    <w:rsid w:val="00F550E1"/>
    <w:rsid w:val="00F5548D"/>
    <w:rsid w:val="00F56622"/>
    <w:rsid w:val="00F568BF"/>
    <w:rsid w:val="00F56B1C"/>
    <w:rsid w:val="00F57162"/>
    <w:rsid w:val="00F57803"/>
    <w:rsid w:val="00F57AA5"/>
    <w:rsid w:val="00F57C66"/>
    <w:rsid w:val="00F57D9A"/>
    <w:rsid w:val="00F6078B"/>
    <w:rsid w:val="00F60885"/>
    <w:rsid w:val="00F612DD"/>
    <w:rsid w:val="00F61E05"/>
    <w:rsid w:val="00F61F10"/>
    <w:rsid w:val="00F620E4"/>
    <w:rsid w:val="00F62178"/>
    <w:rsid w:val="00F62569"/>
    <w:rsid w:val="00F63B23"/>
    <w:rsid w:val="00F63D96"/>
    <w:rsid w:val="00F642B5"/>
    <w:rsid w:val="00F647CD"/>
    <w:rsid w:val="00F64845"/>
    <w:rsid w:val="00F649DF"/>
    <w:rsid w:val="00F6532D"/>
    <w:rsid w:val="00F65BD0"/>
    <w:rsid w:val="00F65F9A"/>
    <w:rsid w:val="00F6619F"/>
    <w:rsid w:val="00F67233"/>
    <w:rsid w:val="00F677CF"/>
    <w:rsid w:val="00F67E7C"/>
    <w:rsid w:val="00F7005B"/>
    <w:rsid w:val="00F70D16"/>
    <w:rsid w:val="00F71085"/>
    <w:rsid w:val="00F7267D"/>
    <w:rsid w:val="00F7305B"/>
    <w:rsid w:val="00F73443"/>
    <w:rsid w:val="00F73930"/>
    <w:rsid w:val="00F74775"/>
    <w:rsid w:val="00F74F94"/>
    <w:rsid w:val="00F75B05"/>
    <w:rsid w:val="00F75DDA"/>
    <w:rsid w:val="00F764EE"/>
    <w:rsid w:val="00F765F6"/>
    <w:rsid w:val="00F768A0"/>
    <w:rsid w:val="00F76ADD"/>
    <w:rsid w:val="00F76D37"/>
    <w:rsid w:val="00F7745C"/>
    <w:rsid w:val="00F800BC"/>
    <w:rsid w:val="00F80251"/>
    <w:rsid w:val="00F80A15"/>
    <w:rsid w:val="00F80C12"/>
    <w:rsid w:val="00F81203"/>
    <w:rsid w:val="00F8147B"/>
    <w:rsid w:val="00F814F6"/>
    <w:rsid w:val="00F82E2F"/>
    <w:rsid w:val="00F82E76"/>
    <w:rsid w:val="00F8352C"/>
    <w:rsid w:val="00F83E66"/>
    <w:rsid w:val="00F83FE7"/>
    <w:rsid w:val="00F84E94"/>
    <w:rsid w:val="00F854E5"/>
    <w:rsid w:val="00F855E4"/>
    <w:rsid w:val="00F85CD3"/>
    <w:rsid w:val="00F86544"/>
    <w:rsid w:val="00F866B6"/>
    <w:rsid w:val="00F86710"/>
    <w:rsid w:val="00F87A09"/>
    <w:rsid w:val="00F90460"/>
    <w:rsid w:val="00F90638"/>
    <w:rsid w:val="00F90E4F"/>
    <w:rsid w:val="00F90ED4"/>
    <w:rsid w:val="00F91AFA"/>
    <w:rsid w:val="00F92522"/>
    <w:rsid w:val="00F92629"/>
    <w:rsid w:val="00F9262F"/>
    <w:rsid w:val="00F92630"/>
    <w:rsid w:val="00F9277D"/>
    <w:rsid w:val="00F9431E"/>
    <w:rsid w:val="00F94B25"/>
    <w:rsid w:val="00F94C1D"/>
    <w:rsid w:val="00F958A5"/>
    <w:rsid w:val="00F959C7"/>
    <w:rsid w:val="00F95BEC"/>
    <w:rsid w:val="00F95D2F"/>
    <w:rsid w:val="00F96107"/>
    <w:rsid w:val="00F961D9"/>
    <w:rsid w:val="00F965CD"/>
    <w:rsid w:val="00F968AE"/>
    <w:rsid w:val="00F979EC"/>
    <w:rsid w:val="00FA0498"/>
    <w:rsid w:val="00FA33C3"/>
    <w:rsid w:val="00FA368E"/>
    <w:rsid w:val="00FA381D"/>
    <w:rsid w:val="00FA4604"/>
    <w:rsid w:val="00FA5410"/>
    <w:rsid w:val="00FA5421"/>
    <w:rsid w:val="00FA5C8C"/>
    <w:rsid w:val="00FA5D6C"/>
    <w:rsid w:val="00FA5DA3"/>
    <w:rsid w:val="00FA6667"/>
    <w:rsid w:val="00FA67CE"/>
    <w:rsid w:val="00FA6CBE"/>
    <w:rsid w:val="00FA7040"/>
    <w:rsid w:val="00FA7F90"/>
    <w:rsid w:val="00FB007A"/>
    <w:rsid w:val="00FB0298"/>
    <w:rsid w:val="00FB0639"/>
    <w:rsid w:val="00FB10C7"/>
    <w:rsid w:val="00FB1CE5"/>
    <w:rsid w:val="00FB24AF"/>
    <w:rsid w:val="00FB25C1"/>
    <w:rsid w:val="00FB457C"/>
    <w:rsid w:val="00FB4F66"/>
    <w:rsid w:val="00FB5EC9"/>
    <w:rsid w:val="00FB756A"/>
    <w:rsid w:val="00FB760A"/>
    <w:rsid w:val="00FB7CE0"/>
    <w:rsid w:val="00FC038F"/>
    <w:rsid w:val="00FC07DF"/>
    <w:rsid w:val="00FC07FD"/>
    <w:rsid w:val="00FC32BF"/>
    <w:rsid w:val="00FC32FB"/>
    <w:rsid w:val="00FC3717"/>
    <w:rsid w:val="00FC480E"/>
    <w:rsid w:val="00FC514E"/>
    <w:rsid w:val="00FC6312"/>
    <w:rsid w:val="00FC6530"/>
    <w:rsid w:val="00FC69B0"/>
    <w:rsid w:val="00FC6F36"/>
    <w:rsid w:val="00FC72DB"/>
    <w:rsid w:val="00FC73B1"/>
    <w:rsid w:val="00FC74AD"/>
    <w:rsid w:val="00FC75AD"/>
    <w:rsid w:val="00FC77A0"/>
    <w:rsid w:val="00FC7ACD"/>
    <w:rsid w:val="00FC7DDD"/>
    <w:rsid w:val="00FD00E0"/>
    <w:rsid w:val="00FD0BBD"/>
    <w:rsid w:val="00FD0F1A"/>
    <w:rsid w:val="00FD0F31"/>
    <w:rsid w:val="00FD0F99"/>
    <w:rsid w:val="00FD10EE"/>
    <w:rsid w:val="00FD1642"/>
    <w:rsid w:val="00FD3661"/>
    <w:rsid w:val="00FD3E12"/>
    <w:rsid w:val="00FD3E7A"/>
    <w:rsid w:val="00FD459F"/>
    <w:rsid w:val="00FD6601"/>
    <w:rsid w:val="00FD75F4"/>
    <w:rsid w:val="00FD7821"/>
    <w:rsid w:val="00FD7D24"/>
    <w:rsid w:val="00FE0468"/>
    <w:rsid w:val="00FE0867"/>
    <w:rsid w:val="00FE31E7"/>
    <w:rsid w:val="00FE3201"/>
    <w:rsid w:val="00FE3D1C"/>
    <w:rsid w:val="00FE42E6"/>
    <w:rsid w:val="00FE4578"/>
    <w:rsid w:val="00FE48C4"/>
    <w:rsid w:val="00FE4CF3"/>
    <w:rsid w:val="00FE5C46"/>
    <w:rsid w:val="00FE6D43"/>
    <w:rsid w:val="00FE70AF"/>
    <w:rsid w:val="00FE7281"/>
    <w:rsid w:val="00FE72C2"/>
    <w:rsid w:val="00FF155A"/>
    <w:rsid w:val="00FF1A4C"/>
    <w:rsid w:val="00FF1B39"/>
    <w:rsid w:val="00FF45B0"/>
    <w:rsid w:val="00FF4C34"/>
    <w:rsid w:val="00FF4CFD"/>
    <w:rsid w:val="00FF4EF5"/>
    <w:rsid w:val="00FF54F6"/>
    <w:rsid w:val="00FF5C81"/>
    <w:rsid w:val="00FF65FB"/>
    <w:rsid w:val="00FF6B04"/>
    <w:rsid w:val="00FF6D18"/>
    <w:rsid w:val="00FF7071"/>
    <w:rsid w:val="00FF73B2"/>
    <w:rsid w:val="00FF7BCE"/>
    <w:rsid w:val="00FF7F39"/>
    <w:rsid w:val="01124D1F"/>
    <w:rsid w:val="013A6534"/>
    <w:rsid w:val="013E5DD4"/>
    <w:rsid w:val="0158A148"/>
    <w:rsid w:val="0194DD74"/>
    <w:rsid w:val="01C89228"/>
    <w:rsid w:val="01CA5406"/>
    <w:rsid w:val="01F4978B"/>
    <w:rsid w:val="01FEEAF7"/>
    <w:rsid w:val="0254F957"/>
    <w:rsid w:val="025E1792"/>
    <w:rsid w:val="02745FB8"/>
    <w:rsid w:val="028B1514"/>
    <w:rsid w:val="028DCFA7"/>
    <w:rsid w:val="02955F7F"/>
    <w:rsid w:val="02A73B36"/>
    <w:rsid w:val="02ADFCED"/>
    <w:rsid w:val="02E63A23"/>
    <w:rsid w:val="02EB5F3A"/>
    <w:rsid w:val="034FD77A"/>
    <w:rsid w:val="0361AAEB"/>
    <w:rsid w:val="0398BEE5"/>
    <w:rsid w:val="03BD5CC7"/>
    <w:rsid w:val="03C1CBEB"/>
    <w:rsid w:val="03C74CED"/>
    <w:rsid w:val="03D4ADC4"/>
    <w:rsid w:val="04043CF6"/>
    <w:rsid w:val="04267B48"/>
    <w:rsid w:val="0433B163"/>
    <w:rsid w:val="044B75EC"/>
    <w:rsid w:val="0453DF6B"/>
    <w:rsid w:val="04907817"/>
    <w:rsid w:val="04A1CAFB"/>
    <w:rsid w:val="04E4B76F"/>
    <w:rsid w:val="04FF65D3"/>
    <w:rsid w:val="054B4321"/>
    <w:rsid w:val="055F46A9"/>
    <w:rsid w:val="0571C88E"/>
    <w:rsid w:val="058815BC"/>
    <w:rsid w:val="05C6C13A"/>
    <w:rsid w:val="05C83766"/>
    <w:rsid w:val="05D90A6E"/>
    <w:rsid w:val="060CB801"/>
    <w:rsid w:val="06402723"/>
    <w:rsid w:val="06ED7BEA"/>
    <w:rsid w:val="06F89161"/>
    <w:rsid w:val="06F9DB26"/>
    <w:rsid w:val="070CDCEF"/>
    <w:rsid w:val="0755D622"/>
    <w:rsid w:val="07625107"/>
    <w:rsid w:val="077974C7"/>
    <w:rsid w:val="077C0FE1"/>
    <w:rsid w:val="0796A4AC"/>
    <w:rsid w:val="07EE5D95"/>
    <w:rsid w:val="08149253"/>
    <w:rsid w:val="0827081A"/>
    <w:rsid w:val="0837DB22"/>
    <w:rsid w:val="0838B511"/>
    <w:rsid w:val="0857DD1A"/>
    <w:rsid w:val="086A8420"/>
    <w:rsid w:val="087FA324"/>
    <w:rsid w:val="08BD9318"/>
    <w:rsid w:val="08DA33FD"/>
    <w:rsid w:val="09184091"/>
    <w:rsid w:val="09B05203"/>
    <w:rsid w:val="09B14C90"/>
    <w:rsid w:val="09B26225"/>
    <w:rsid w:val="09C3A236"/>
    <w:rsid w:val="09CB2966"/>
    <w:rsid w:val="09FDB6E8"/>
    <w:rsid w:val="0A5A2619"/>
    <w:rsid w:val="0A88FD74"/>
    <w:rsid w:val="0A90B8A8"/>
    <w:rsid w:val="0AB415AB"/>
    <w:rsid w:val="0AEFF609"/>
    <w:rsid w:val="0B1A7336"/>
    <w:rsid w:val="0B326CA3"/>
    <w:rsid w:val="0B576365"/>
    <w:rsid w:val="0BB0D2F2"/>
    <w:rsid w:val="0BB96529"/>
    <w:rsid w:val="0BBA8F79"/>
    <w:rsid w:val="0BD8B3A9"/>
    <w:rsid w:val="0BE3C847"/>
    <w:rsid w:val="0BEA3F39"/>
    <w:rsid w:val="0C1FFDB0"/>
    <w:rsid w:val="0C6AB45E"/>
    <w:rsid w:val="0C7BBDAC"/>
    <w:rsid w:val="0C860B88"/>
    <w:rsid w:val="0C8A38F2"/>
    <w:rsid w:val="0CC1D985"/>
    <w:rsid w:val="0CC92E98"/>
    <w:rsid w:val="0CCFB08B"/>
    <w:rsid w:val="0D176FFF"/>
    <w:rsid w:val="0D2CC147"/>
    <w:rsid w:val="0D5E3D94"/>
    <w:rsid w:val="0D968550"/>
    <w:rsid w:val="0DD3A54E"/>
    <w:rsid w:val="0DF9964D"/>
    <w:rsid w:val="0DFD3B10"/>
    <w:rsid w:val="0E245618"/>
    <w:rsid w:val="0E246F11"/>
    <w:rsid w:val="0E402AC8"/>
    <w:rsid w:val="0E451CB6"/>
    <w:rsid w:val="0E5BF9BC"/>
    <w:rsid w:val="0E5D089C"/>
    <w:rsid w:val="0E68AA5C"/>
    <w:rsid w:val="0E733CDD"/>
    <w:rsid w:val="0E8AA8FA"/>
    <w:rsid w:val="0EA9876F"/>
    <w:rsid w:val="0EB03D2D"/>
    <w:rsid w:val="0ED2AA9A"/>
    <w:rsid w:val="0F5F3DF0"/>
    <w:rsid w:val="0F7DFF98"/>
    <w:rsid w:val="0F87F4F3"/>
    <w:rsid w:val="0F8F9C79"/>
    <w:rsid w:val="102D3564"/>
    <w:rsid w:val="105338A8"/>
    <w:rsid w:val="107B54F3"/>
    <w:rsid w:val="107E5C5E"/>
    <w:rsid w:val="10A973E6"/>
    <w:rsid w:val="10B714E7"/>
    <w:rsid w:val="10BEAB26"/>
    <w:rsid w:val="10C0419E"/>
    <w:rsid w:val="10C838AD"/>
    <w:rsid w:val="10EC0E4A"/>
    <w:rsid w:val="11029EFB"/>
    <w:rsid w:val="111FCD75"/>
    <w:rsid w:val="118C88D7"/>
    <w:rsid w:val="11A2B954"/>
    <w:rsid w:val="11D75FDE"/>
    <w:rsid w:val="120D8E3B"/>
    <w:rsid w:val="129AD3B0"/>
    <w:rsid w:val="12CEC406"/>
    <w:rsid w:val="12E4AE27"/>
    <w:rsid w:val="12F6F0B1"/>
    <w:rsid w:val="13179D52"/>
    <w:rsid w:val="13281FF7"/>
    <w:rsid w:val="13393413"/>
    <w:rsid w:val="13429614"/>
    <w:rsid w:val="136EE3EE"/>
    <w:rsid w:val="1391D4A3"/>
    <w:rsid w:val="13992832"/>
    <w:rsid w:val="13D90A45"/>
    <w:rsid w:val="13EC7043"/>
    <w:rsid w:val="13EDBFA0"/>
    <w:rsid w:val="13F44C8F"/>
    <w:rsid w:val="1430FA3E"/>
    <w:rsid w:val="1435DD65"/>
    <w:rsid w:val="14381BA9"/>
    <w:rsid w:val="143B1FD0"/>
    <w:rsid w:val="1448B536"/>
    <w:rsid w:val="14495812"/>
    <w:rsid w:val="146941A0"/>
    <w:rsid w:val="146B421B"/>
    <w:rsid w:val="148C3202"/>
    <w:rsid w:val="148CD7A4"/>
    <w:rsid w:val="14ACFEA9"/>
    <w:rsid w:val="14B9DF68"/>
    <w:rsid w:val="14C191D0"/>
    <w:rsid w:val="14EC9F27"/>
    <w:rsid w:val="1575A1DC"/>
    <w:rsid w:val="15B5AFE7"/>
    <w:rsid w:val="1613F9F5"/>
    <w:rsid w:val="16538041"/>
    <w:rsid w:val="1671C8BB"/>
    <w:rsid w:val="16AD7FE9"/>
    <w:rsid w:val="16CF741E"/>
    <w:rsid w:val="16D06763"/>
    <w:rsid w:val="172EEA67"/>
    <w:rsid w:val="17316576"/>
    <w:rsid w:val="175F2E4F"/>
    <w:rsid w:val="176AED3C"/>
    <w:rsid w:val="1780F8D4"/>
    <w:rsid w:val="17900019"/>
    <w:rsid w:val="179178E4"/>
    <w:rsid w:val="17A9CD22"/>
    <w:rsid w:val="17B8864A"/>
    <w:rsid w:val="17CC3DCB"/>
    <w:rsid w:val="17D09E22"/>
    <w:rsid w:val="17F7FF5B"/>
    <w:rsid w:val="1837CFD2"/>
    <w:rsid w:val="18497C0E"/>
    <w:rsid w:val="1856721B"/>
    <w:rsid w:val="188864B5"/>
    <w:rsid w:val="18A9D713"/>
    <w:rsid w:val="18BF0DF9"/>
    <w:rsid w:val="18F26595"/>
    <w:rsid w:val="191CC935"/>
    <w:rsid w:val="191DACD9"/>
    <w:rsid w:val="19294BBD"/>
    <w:rsid w:val="1935F192"/>
    <w:rsid w:val="1938F7D2"/>
    <w:rsid w:val="194819A3"/>
    <w:rsid w:val="194A2C59"/>
    <w:rsid w:val="19684A57"/>
    <w:rsid w:val="196B9F20"/>
    <w:rsid w:val="19758B12"/>
    <w:rsid w:val="1979D59C"/>
    <w:rsid w:val="19859CB8"/>
    <w:rsid w:val="19F50C97"/>
    <w:rsid w:val="1A052779"/>
    <w:rsid w:val="1A59F2E1"/>
    <w:rsid w:val="1A83AF5A"/>
    <w:rsid w:val="1AAB4E35"/>
    <w:rsid w:val="1AB89996"/>
    <w:rsid w:val="1AB9B02A"/>
    <w:rsid w:val="1AE7A3BD"/>
    <w:rsid w:val="1B336C48"/>
    <w:rsid w:val="1B600F52"/>
    <w:rsid w:val="1B796928"/>
    <w:rsid w:val="1B7B3362"/>
    <w:rsid w:val="1B979118"/>
    <w:rsid w:val="1BB20C37"/>
    <w:rsid w:val="1BDE4D23"/>
    <w:rsid w:val="1BF1DF8C"/>
    <w:rsid w:val="1C14CF46"/>
    <w:rsid w:val="1C42BF82"/>
    <w:rsid w:val="1CC6C44A"/>
    <w:rsid w:val="1CEE41AD"/>
    <w:rsid w:val="1D0E915C"/>
    <w:rsid w:val="1D26808A"/>
    <w:rsid w:val="1D30FC34"/>
    <w:rsid w:val="1D6C1ABB"/>
    <w:rsid w:val="1D7F1B08"/>
    <w:rsid w:val="1DD17FAA"/>
    <w:rsid w:val="1DF03D9B"/>
    <w:rsid w:val="1E070343"/>
    <w:rsid w:val="1E10B4DF"/>
    <w:rsid w:val="1E254BD2"/>
    <w:rsid w:val="1E268494"/>
    <w:rsid w:val="1E4639CE"/>
    <w:rsid w:val="1E8E960E"/>
    <w:rsid w:val="1E90F56A"/>
    <w:rsid w:val="1ED45FC8"/>
    <w:rsid w:val="1EEDFF8C"/>
    <w:rsid w:val="1F0721F0"/>
    <w:rsid w:val="1F16DC54"/>
    <w:rsid w:val="1F2266E3"/>
    <w:rsid w:val="1F6253A9"/>
    <w:rsid w:val="1F7C88E1"/>
    <w:rsid w:val="1F94183A"/>
    <w:rsid w:val="1FA6D185"/>
    <w:rsid w:val="1FDD4E52"/>
    <w:rsid w:val="2015AC6B"/>
    <w:rsid w:val="206407B0"/>
    <w:rsid w:val="20701B82"/>
    <w:rsid w:val="207654FA"/>
    <w:rsid w:val="208A7526"/>
    <w:rsid w:val="209FEF00"/>
    <w:rsid w:val="20A7F244"/>
    <w:rsid w:val="20AF9697"/>
    <w:rsid w:val="20FF23D4"/>
    <w:rsid w:val="211CE8A2"/>
    <w:rsid w:val="2126771B"/>
    <w:rsid w:val="212867AC"/>
    <w:rsid w:val="213C2A8D"/>
    <w:rsid w:val="217152CA"/>
    <w:rsid w:val="21827B85"/>
    <w:rsid w:val="21A54FE0"/>
    <w:rsid w:val="21C28CCC"/>
    <w:rsid w:val="21C51FCC"/>
    <w:rsid w:val="21CB21F0"/>
    <w:rsid w:val="2212EE91"/>
    <w:rsid w:val="2213E3B4"/>
    <w:rsid w:val="2226FE11"/>
    <w:rsid w:val="2243C2A5"/>
    <w:rsid w:val="2247FA77"/>
    <w:rsid w:val="22734FAB"/>
    <w:rsid w:val="22B7FE4D"/>
    <w:rsid w:val="22DBC132"/>
    <w:rsid w:val="22E88ADC"/>
    <w:rsid w:val="233B5D0E"/>
    <w:rsid w:val="2357D037"/>
    <w:rsid w:val="236A830E"/>
    <w:rsid w:val="239F4199"/>
    <w:rsid w:val="240A63CF"/>
    <w:rsid w:val="2420C0B7"/>
    <w:rsid w:val="244466A0"/>
    <w:rsid w:val="24A0642A"/>
    <w:rsid w:val="24B34559"/>
    <w:rsid w:val="24B60BB5"/>
    <w:rsid w:val="251D4CA8"/>
    <w:rsid w:val="25809A12"/>
    <w:rsid w:val="259E71DB"/>
    <w:rsid w:val="25A46325"/>
    <w:rsid w:val="25E77586"/>
    <w:rsid w:val="25E81968"/>
    <w:rsid w:val="26716A63"/>
    <w:rsid w:val="2683AA7F"/>
    <w:rsid w:val="269BA8EF"/>
    <w:rsid w:val="26C6C762"/>
    <w:rsid w:val="2715A23B"/>
    <w:rsid w:val="27340F25"/>
    <w:rsid w:val="274F1D93"/>
    <w:rsid w:val="275652FD"/>
    <w:rsid w:val="275ECCD3"/>
    <w:rsid w:val="276060C5"/>
    <w:rsid w:val="2771A808"/>
    <w:rsid w:val="2777F490"/>
    <w:rsid w:val="278B8C39"/>
    <w:rsid w:val="2793CCA1"/>
    <w:rsid w:val="27B1C505"/>
    <w:rsid w:val="27BA64F3"/>
    <w:rsid w:val="27CC52D2"/>
    <w:rsid w:val="27F39B28"/>
    <w:rsid w:val="28157857"/>
    <w:rsid w:val="28A02B23"/>
    <w:rsid w:val="28AEB1D5"/>
    <w:rsid w:val="28B52F38"/>
    <w:rsid w:val="295CF624"/>
    <w:rsid w:val="2963D094"/>
    <w:rsid w:val="29A913B7"/>
    <w:rsid w:val="2A0CF118"/>
    <w:rsid w:val="2A6BCBE6"/>
    <w:rsid w:val="2A7236B0"/>
    <w:rsid w:val="2A750005"/>
    <w:rsid w:val="2A750BD4"/>
    <w:rsid w:val="2AA16B37"/>
    <w:rsid w:val="2AA4C674"/>
    <w:rsid w:val="2ABE4B40"/>
    <w:rsid w:val="2B02DC8D"/>
    <w:rsid w:val="2B63CFB3"/>
    <w:rsid w:val="2B6FDC2C"/>
    <w:rsid w:val="2B9EDE10"/>
    <w:rsid w:val="2BCB9A3C"/>
    <w:rsid w:val="2BF4784B"/>
    <w:rsid w:val="2C3128C3"/>
    <w:rsid w:val="2C5168A7"/>
    <w:rsid w:val="2C5CC4CF"/>
    <w:rsid w:val="2C8DD98B"/>
    <w:rsid w:val="2CD4821A"/>
    <w:rsid w:val="2CD7A948"/>
    <w:rsid w:val="2CE38EAE"/>
    <w:rsid w:val="2CE74581"/>
    <w:rsid w:val="2D293244"/>
    <w:rsid w:val="2D5942E7"/>
    <w:rsid w:val="2D74AB26"/>
    <w:rsid w:val="2DA61502"/>
    <w:rsid w:val="2DAF9701"/>
    <w:rsid w:val="2DB0E6D8"/>
    <w:rsid w:val="2DC36C37"/>
    <w:rsid w:val="2E0840EF"/>
    <w:rsid w:val="2E101408"/>
    <w:rsid w:val="2E3DE1E6"/>
    <w:rsid w:val="2E4D403F"/>
    <w:rsid w:val="2E4D6573"/>
    <w:rsid w:val="2E5999F9"/>
    <w:rsid w:val="2F1203D9"/>
    <w:rsid w:val="2F4D5FBE"/>
    <w:rsid w:val="2F5B6C5E"/>
    <w:rsid w:val="2F634C57"/>
    <w:rsid w:val="2F6BBE6F"/>
    <w:rsid w:val="2F703BBC"/>
    <w:rsid w:val="2F827CBF"/>
    <w:rsid w:val="2F93155A"/>
    <w:rsid w:val="2FA76052"/>
    <w:rsid w:val="2FD10D5F"/>
    <w:rsid w:val="30067E43"/>
    <w:rsid w:val="3021C692"/>
    <w:rsid w:val="30618783"/>
    <w:rsid w:val="3068F6DC"/>
    <w:rsid w:val="306E3F01"/>
    <w:rsid w:val="3081E533"/>
    <w:rsid w:val="308D6BE1"/>
    <w:rsid w:val="30916CB3"/>
    <w:rsid w:val="309253C8"/>
    <w:rsid w:val="30926E3D"/>
    <w:rsid w:val="30A2A2C7"/>
    <w:rsid w:val="30AA2C3D"/>
    <w:rsid w:val="30EA533E"/>
    <w:rsid w:val="30FDF99D"/>
    <w:rsid w:val="31316B45"/>
    <w:rsid w:val="314BAC54"/>
    <w:rsid w:val="3154B6C5"/>
    <w:rsid w:val="3155F6BF"/>
    <w:rsid w:val="315BD089"/>
    <w:rsid w:val="3160E33A"/>
    <w:rsid w:val="316B130E"/>
    <w:rsid w:val="31797787"/>
    <w:rsid w:val="31E58A01"/>
    <w:rsid w:val="31FB9D76"/>
    <w:rsid w:val="32106EBA"/>
    <w:rsid w:val="3214FAD8"/>
    <w:rsid w:val="3234D578"/>
    <w:rsid w:val="32644D6D"/>
    <w:rsid w:val="326D91E7"/>
    <w:rsid w:val="32BEF627"/>
    <w:rsid w:val="32C75A1A"/>
    <w:rsid w:val="32EE3B4B"/>
    <w:rsid w:val="3366168D"/>
    <w:rsid w:val="336EC57B"/>
    <w:rsid w:val="3371CF3A"/>
    <w:rsid w:val="337BC53B"/>
    <w:rsid w:val="337CD18B"/>
    <w:rsid w:val="33831623"/>
    <w:rsid w:val="33E8329F"/>
    <w:rsid w:val="33E9EC5B"/>
    <w:rsid w:val="341A4EB4"/>
    <w:rsid w:val="343E2451"/>
    <w:rsid w:val="348D2286"/>
    <w:rsid w:val="3499EB58"/>
    <w:rsid w:val="34A8FA60"/>
    <w:rsid w:val="34AC39CB"/>
    <w:rsid w:val="34C74888"/>
    <w:rsid w:val="34F4681B"/>
    <w:rsid w:val="3543E728"/>
    <w:rsid w:val="354BFF18"/>
    <w:rsid w:val="35B08F6F"/>
    <w:rsid w:val="35B623D1"/>
    <w:rsid w:val="35E70C3C"/>
    <w:rsid w:val="36003530"/>
    <w:rsid w:val="3672BCD1"/>
    <w:rsid w:val="36D3F406"/>
    <w:rsid w:val="3737D383"/>
    <w:rsid w:val="376FB622"/>
    <w:rsid w:val="379ACB3D"/>
    <w:rsid w:val="37D0118C"/>
    <w:rsid w:val="3807F228"/>
    <w:rsid w:val="382F9D2D"/>
    <w:rsid w:val="38CF2E3B"/>
    <w:rsid w:val="390A0D90"/>
    <w:rsid w:val="3917437F"/>
    <w:rsid w:val="392FB18C"/>
    <w:rsid w:val="398F66C1"/>
    <w:rsid w:val="39972F06"/>
    <w:rsid w:val="39A4622A"/>
    <w:rsid w:val="39AB6FB9"/>
    <w:rsid w:val="39AD59D8"/>
    <w:rsid w:val="39D2986E"/>
    <w:rsid w:val="3A044B54"/>
    <w:rsid w:val="3A765243"/>
    <w:rsid w:val="3A90B1A3"/>
    <w:rsid w:val="3A93DAFA"/>
    <w:rsid w:val="3AA55453"/>
    <w:rsid w:val="3AC1BA6F"/>
    <w:rsid w:val="3ACC9CE2"/>
    <w:rsid w:val="3ACE3143"/>
    <w:rsid w:val="3AE50577"/>
    <w:rsid w:val="3AEE6D1F"/>
    <w:rsid w:val="3AF4F595"/>
    <w:rsid w:val="3AFBDCDB"/>
    <w:rsid w:val="3AFCC28D"/>
    <w:rsid w:val="3B46D1B3"/>
    <w:rsid w:val="3B6EB1CF"/>
    <w:rsid w:val="3BA3CECF"/>
    <w:rsid w:val="3BCCA7F6"/>
    <w:rsid w:val="3BD23274"/>
    <w:rsid w:val="3BD682E6"/>
    <w:rsid w:val="3BF9D849"/>
    <w:rsid w:val="3BFBED1A"/>
    <w:rsid w:val="3BFC1FEB"/>
    <w:rsid w:val="3C780BBE"/>
    <w:rsid w:val="3C86A66E"/>
    <w:rsid w:val="3C925B44"/>
    <w:rsid w:val="3D355F1C"/>
    <w:rsid w:val="3D57DBCD"/>
    <w:rsid w:val="3D6A1EAF"/>
    <w:rsid w:val="3D833ED1"/>
    <w:rsid w:val="3D876950"/>
    <w:rsid w:val="3D8A6733"/>
    <w:rsid w:val="3DF48C44"/>
    <w:rsid w:val="3E13D608"/>
    <w:rsid w:val="3EC0AC17"/>
    <w:rsid w:val="3ECB7F2F"/>
    <w:rsid w:val="3ED20CFB"/>
    <w:rsid w:val="3ED8FB60"/>
    <w:rsid w:val="3F20F25B"/>
    <w:rsid w:val="3F305190"/>
    <w:rsid w:val="3F32BC15"/>
    <w:rsid w:val="3F365CCD"/>
    <w:rsid w:val="3F373FC3"/>
    <w:rsid w:val="3F394586"/>
    <w:rsid w:val="3F43F593"/>
    <w:rsid w:val="3F696B31"/>
    <w:rsid w:val="3FB9111E"/>
    <w:rsid w:val="3FC19FC6"/>
    <w:rsid w:val="40482D40"/>
    <w:rsid w:val="406F77EB"/>
    <w:rsid w:val="407A8706"/>
    <w:rsid w:val="40977BC1"/>
    <w:rsid w:val="40CE257B"/>
    <w:rsid w:val="40E556D6"/>
    <w:rsid w:val="412E9ABF"/>
    <w:rsid w:val="41D6C509"/>
    <w:rsid w:val="41DAF7A6"/>
    <w:rsid w:val="42061CFA"/>
    <w:rsid w:val="422CF6C0"/>
    <w:rsid w:val="423C4E21"/>
    <w:rsid w:val="4240EF8D"/>
    <w:rsid w:val="4252A086"/>
    <w:rsid w:val="427B8901"/>
    <w:rsid w:val="4296BBF3"/>
    <w:rsid w:val="42C715EE"/>
    <w:rsid w:val="42C96DC5"/>
    <w:rsid w:val="42F1BEF5"/>
    <w:rsid w:val="43274DF0"/>
    <w:rsid w:val="434E22CB"/>
    <w:rsid w:val="4352B42B"/>
    <w:rsid w:val="43533240"/>
    <w:rsid w:val="4355065E"/>
    <w:rsid w:val="43D1C599"/>
    <w:rsid w:val="43F1C2EE"/>
    <w:rsid w:val="442C42C7"/>
    <w:rsid w:val="4440741D"/>
    <w:rsid w:val="44B3EDEC"/>
    <w:rsid w:val="44D8C987"/>
    <w:rsid w:val="44DC0387"/>
    <w:rsid w:val="44ED9AB2"/>
    <w:rsid w:val="4534879A"/>
    <w:rsid w:val="45483BA9"/>
    <w:rsid w:val="45785562"/>
    <w:rsid w:val="45850AA2"/>
    <w:rsid w:val="45A92B21"/>
    <w:rsid w:val="45FF32DC"/>
    <w:rsid w:val="462B847C"/>
    <w:rsid w:val="4640621F"/>
    <w:rsid w:val="46685BEF"/>
    <w:rsid w:val="466A2C49"/>
    <w:rsid w:val="46A9E63E"/>
    <w:rsid w:val="46B6784B"/>
    <w:rsid w:val="46D3B560"/>
    <w:rsid w:val="472815EC"/>
    <w:rsid w:val="4764AFFC"/>
    <w:rsid w:val="47BCFFDA"/>
    <w:rsid w:val="47D535B5"/>
    <w:rsid w:val="48055B60"/>
    <w:rsid w:val="4808F44E"/>
    <w:rsid w:val="4814B098"/>
    <w:rsid w:val="48332C02"/>
    <w:rsid w:val="485E9A3A"/>
    <w:rsid w:val="4869CE16"/>
    <w:rsid w:val="486E0B57"/>
    <w:rsid w:val="48742115"/>
    <w:rsid w:val="487A5E49"/>
    <w:rsid w:val="4883BD22"/>
    <w:rsid w:val="4884D9AE"/>
    <w:rsid w:val="4895EBDE"/>
    <w:rsid w:val="48B1496E"/>
    <w:rsid w:val="48B4C6BA"/>
    <w:rsid w:val="48B5C4CD"/>
    <w:rsid w:val="48B70BAA"/>
    <w:rsid w:val="48E79C53"/>
    <w:rsid w:val="4954F797"/>
    <w:rsid w:val="495DD0BD"/>
    <w:rsid w:val="4960BA12"/>
    <w:rsid w:val="49E9147D"/>
    <w:rsid w:val="49EBEAA4"/>
    <w:rsid w:val="4A1853D8"/>
    <w:rsid w:val="4A2D07EC"/>
    <w:rsid w:val="4A41BCAF"/>
    <w:rsid w:val="4A56B4BB"/>
    <w:rsid w:val="4A5F6F9E"/>
    <w:rsid w:val="4A68EC68"/>
    <w:rsid w:val="4A8CA659"/>
    <w:rsid w:val="4A9A3313"/>
    <w:rsid w:val="4AF24309"/>
    <w:rsid w:val="4B03DB0C"/>
    <w:rsid w:val="4B0C8384"/>
    <w:rsid w:val="4B1EA8B4"/>
    <w:rsid w:val="4B243CB7"/>
    <w:rsid w:val="4B89A5D1"/>
    <w:rsid w:val="4B9FD8D4"/>
    <w:rsid w:val="4BC21B7F"/>
    <w:rsid w:val="4BD8AC43"/>
    <w:rsid w:val="4C4A538D"/>
    <w:rsid w:val="4C716F5C"/>
    <w:rsid w:val="4C78A30A"/>
    <w:rsid w:val="4C7FE741"/>
    <w:rsid w:val="4C80D02A"/>
    <w:rsid w:val="4CA6F149"/>
    <w:rsid w:val="4CBB42A8"/>
    <w:rsid w:val="4CDDB1F0"/>
    <w:rsid w:val="4CF6D2DA"/>
    <w:rsid w:val="4D02F09C"/>
    <w:rsid w:val="4D59C150"/>
    <w:rsid w:val="4D636643"/>
    <w:rsid w:val="4D7B044F"/>
    <w:rsid w:val="4DCBE6B6"/>
    <w:rsid w:val="4E194610"/>
    <w:rsid w:val="4E5C3B1C"/>
    <w:rsid w:val="4E822C65"/>
    <w:rsid w:val="4E83B970"/>
    <w:rsid w:val="4EBDB3BF"/>
    <w:rsid w:val="4EEF3211"/>
    <w:rsid w:val="4F0D177C"/>
    <w:rsid w:val="4F13CB7A"/>
    <w:rsid w:val="4F170FB5"/>
    <w:rsid w:val="4F1A454D"/>
    <w:rsid w:val="4F4361D5"/>
    <w:rsid w:val="4F573B97"/>
    <w:rsid w:val="4F6526CF"/>
    <w:rsid w:val="4FF36010"/>
    <w:rsid w:val="50084886"/>
    <w:rsid w:val="501CBBD4"/>
    <w:rsid w:val="5055789E"/>
    <w:rsid w:val="50763BE1"/>
    <w:rsid w:val="508662CA"/>
    <w:rsid w:val="508B689A"/>
    <w:rsid w:val="50B0FE33"/>
    <w:rsid w:val="50C6C12D"/>
    <w:rsid w:val="50CC831C"/>
    <w:rsid w:val="50ED6AAA"/>
    <w:rsid w:val="512DFAF3"/>
    <w:rsid w:val="5152698C"/>
    <w:rsid w:val="515EFE5C"/>
    <w:rsid w:val="5164A440"/>
    <w:rsid w:val="518314C6"/>
    <w:rsid w:val="51A9130F"/>
    <w:rsid w:val="51A99B2F"/>
    <w:rsid w:val="51E32ABE"/>
    <w:rsid w:val="51EEE1AA"/>
    <w:rsid w:val="522EAD00"/>
    <w:rsid w:val="5250F115"/>
    <w:rsid w:val="52722708"/>
    <w:rsid w:val="52848483"/>
    <w:rsid w:val="528BCD2F"/>
    <w:rsid w:val="529244F0"/>
    <w:rsid w:val="52A4AEEF"/>
    <w:rsid w:val="52AB67F3"/>
    <w:rsid w:val="52B7EA26"/>
    <w:rsid w:val="52E2A50C"/>
    <w:rsid w:val="53405D24"/>
    <w:rsid w:val="5373DC99"/>
    <w:rsid w:val="537ED7B0"/>
    <w:rsid w:val="538C3D09"/>
    <w:rsid w:val="53E89EF5"/>
    <w:rsid w:val="53F67592"/>
    <w:rsid w:val="54196617"/>
    <w:rsid w:val="54557A9E"/>
    <w:rsid w:val="54A8B0A8"/>
    <w:rsid w:val="551D8DD2"/>
    <w:rsid w:val="55300CFE"/>
    <w:rsid w:val="553AD24E"/>
    <w:rsid w:val="558F3B9A"/>
    <w:rsid w:val="55B66374"/>
    <w:rsid w:val="55B925FB"/>
    <w:rsid w:val="55BF5635"/>
    <w:rsid w:val="56097979"/>
    <w:rsid w:val="561E0F4C"/>
    <w:rsid w:val="5674FAE3"/>
    <w:rsid w:val="56C2FDDC"/>
    <w:rsid w:val="56C77E7B"/>
    <w:rsid w:val="56D7647E"/>
    <w:rsid w:val="56D7E365"/>
    <w:rsid w:val="570ED26C"/>
    <w:rsid w:val="572FDE36"/>
    <w:rsid w:val="5730D5C9"/>
    <w:rsid w:val="57502AD9"/>
    <w:rsid w:val="57825885"/>
    <w:rsid w:val="57A17E10"/>
    <w:rsid w:val="58151D2F"/>
    <w:rsid w:val="588783C6"/>
    <w:rsid w:val="5887EEE4"/>
    <w:rsid w:val="58A91CC0"/>
    <w:rsid w:val="590A62FE"/>
    <w:rsid w:val="59135CD3"/>
    <w:rsid w:val="59392243"/>
    <w:rsid w:val="5982201C"/>
    <w:rsid w:val="59A8542D"/>
    <w:rsid w:val="5A2CA8DE"/>
    <w:rsid w:val="5A330F18"/>
    <w:rsid w:val="5A5A5CA2"/>
    <w:rsid w:val="5AA3309D"/>
    <w:rsid w:val="5AC45000"/>
    <w:rsid w:val="5AE20CF5"/>
    <w:rsid w:val="5B35D37C"/>
    <w:rsid w:val="5B3A29DB"/>
    <w:rsid w:val="5B5206D0"/>
    <w:rsid w:val="5B563EF1"/>
    <w:rsid w:val="5B708000"/>
    <w:rsid w:val="5B9D7D82"/>
    <w:rsid w:val="5BE9C984"/>
    <w:rsid w:val="5BF1C411"/>
    <w:rsid w:val="5C2714FA"/>
    <w:rsid w:val="5C2CABA2"/>
    <w:rsid w:val="5C2D4322"/>
    <w:rsid w:val="5C46C3BE"/>
    <w:rsid w:val="5C4E0EF3"/>
    <w:rsid w:val="5C5C2397"/>
    <w:rsid w:val="5C983FA6"/>
    <w:rsid w:val="5CABE4D2"/>
    <w:rsid w:val="5CC03635"/>
    <w:rsid w:val="5CE61468"/>
    <w:rsid w:val="5CF17070"/>
    <w:rsid w:val="5CF67008"/>
    <w:rsid w:val="5D51ABF7"/>
    <w:rsid w:val="5D5DE59A"/>
    <w:rsid w:val="5D7DA388"/>
    <w:rsid w:val="5DACFA3C"/>
    <w:rsid w:val="5DB84022"/>
    <w:rsid w:val="5DBDE775"/>
    <w:rsid w:val="5DC19BF8"/>
    <w:rsid w:val="5DE3F5AE"/>
    <w:rsid w:val="5DFDAA96"/>
    <w:rsid w:val="5E1856C1"/>
    <w:rsid w:val="5E277B40"/>
    <w:rsid w:val="5E7A8BC8"/>
    <w:rsid w:val="5EA5F98D"/>
    <w:rsid w:val="5EDB61BA"/>
    <w:rsid w:val="5F2C5E68"/>
    <w:rsid w:val="5F49C810"/>
    <w:rsid w:val="5F4E0321"/>
    <w:rsid w:val="5F5345AC"/>
    <w:rsid w:val="5F9CE080"/>
    <w:rsid w:val="6003FF18"/>
    <w:rsid w:val="6008AF29"/>
    <w:rsid w:val="6009612E"/>
    <w:rsid w:val="60197005"/>
    <w:rsid w:val="604A0C0F"/>
    <w:rsid w:val="609116D1"/>
    <w:rsid w:val="60954006"/>
    <w:rsid w:val="60C39496"/>
    <w:rsid w:val="6131D868"/>
    <w:rsid w:val="6145536A"/>
    <w:rsid w:val="61A530FB"/>
    <w:rsid w:val="61AAFE94"/>
    <w:rsid w:val="61B91CF6"/>
    <w:rsid w:val="61FBFF14"/>
    <w:rsid w:val="6213EE8F"/>
    <w:rsid w:val="621D9536"/>
    <w:rsid w:val="622335B4"/>
    <w:rsid w:val="62355108"/>
    <w:rsid w:val="6256EFB9"/>
    <w:rsid w:val="625B927F"/>
    <w:rsid w:val="626A7C7C"/>
    <w:rsid w:val="62960B9A"/>
    <w:rsid w:val="62997FDA"/>
    <w:rsid w:val="62BB82EF"/>
    <w:rsid w:val="62CFBE24"/>
    <w:rsid w:val="62DCD415"/>
    <w:rsid w:val="62DEA855"/>
    <w:rsid w:val="62F25770"/>
    <w:rsid w:val="62F871CF"/>
    <w:rsid w:val="634D0E00"/>
    <w:rsid w:val="6375DF53"/>
    <w:rsid w:val="6387FD23"/>
    <w:rsid w:val="639B65E2"/>
    <w:rsid w:val="63EE896B"/>
    <w:rsid w:val="63F0F738"/>
    <w:rsid w:val="6409B13A"/>
    <w:rsid w:val="640F32B6"/>
    <w:rsid w:val="64234716"/>
    <w:rsid w:val="6431E5CD"/>
    <w:rsid w:val="6440B038"/>
    <w:rsid w:val="644BA4C5"/>
    <w:rsid w:val="644FCFEE"/>
    <w:rsid w:val="645D180F"/>
    <w:rsid w:val="6492561B"/>
    <w:rsid w:val="64AA9F8A"/>
    <w:rsid w:val="64EC6FCA"/>
    <w:rsid w:val="64F168F8"/>
    <w:rsid w:val="651B41C2"/>
    <w:rsid w:val="65301306"/>
    <w:rsid w:val="6567DD28"/>
    <w:rsid w:val="656BAB17"/>
    <w:rsid w:val="657D7D33"/>
    <w:rsid w:val="65AAAADA"/>
    <w:rsid w:val="65DADAC6"/>
    <w:rsid w:val="65E9AD7C"/>
    <w:rsid w:val="666AF7F7"/>
    <w:rsid w:val="666CB5B0"/>
    <w:rsid w:val="669D6C92"/>
    <w:rsid w:val="66D3BA10"/>
    <w:rsid w:val="66E39652"/>
    <w:rsid w:val="66F08FB7"/>
    <w:rsid w:val="6735A339"/>
    <w:rsid w:val="6798C833"/>
    <w:rsid w:val="6799B5D7"/>
    <w:rsid w:val="679B2CDB"/>
    <w:rsid w:val="67A24E6F"/>
    <w:rsid w:val="67B5A0BB"/>
    <w:rsid w:val="67B6D157"/>
    <w:rsid w:val="67CB0FDB"/>
    <w:rsid w:val="67CB4738"/>
    <w:rsid w:val="67CD0A11"/>
    <w:rsid w:val="67CD546A"/>
    <w:rsid w:val="683B89FF"/>
    <w:rsid w:val="683BA101"/>
    <w:rsid w:val="683E4DAE"/>
    <w:rsid w:val="68604432"/>
    <w:rsid w:val="687A3050"/>
    <w:rsid w:val="687F66B3"/>
    <w:rsid w:val="68BCAEC1"/>
    <w:rsid w:val="690F1C73"/>
    <w:rsid w:val="692ACC8E"/>
    <w:rsid w:val="693B5E6A"/>
    <w:rsid w:val="693EB043"/>
    <w:rsid w:val="694DA2E8"/>
    <w:rsid w:val="695D3D23"/>
    <w:rsid w:val="696E6F8D"/>
    <w:rsid w:val="69738CBB"/>
    <w:rsid w:val="6A219570"/>
    <w:rsid w:val="6A27F0C7"/>
    <w:rsid w:val="6A3FA657"/>
    <w:rsid w:val="6A558FED"/>
    <w:rsid w:val="6A76F6EE"/>
    <w:rsid w:val="6A853BCC"/>
    <w:rsid w:val="6ABCB72B"/>
    <w:rsid w:val="6AD332B6"/>
    <w:rsid w:val="6B07BC29"/>
    <w:rsid w:val="6B2072A4"/>
    <w:rsid w:val="6B257931"/>
    <w:rsid w:val="6B449038"/>
    <w:rsid w:val="6B5BA91E"/>
    <w:rsid w:val="6B761E56"/>
    <w:rsid w:val="6BB4E4AF"/>
    <w:rsid w:val="6BC0215E"/>
    <w:rsid w:val="6BC4F9DD"/>
    <w:rsid w:val="6BE1ED29"/>
    <w:rsid w:val="6C01D420"/>
    <w:rsid w:val="6C05E72C"/>
    <w:rsid w:val="6C1A5105"/>
    <w:rsid w:val="6C2E89FA"/>
    <w:rsid w:val="6C38BA82"/>
    <w:rsid w:val="6C8BA194"/>
    <w:rsid w:val="6CD4DBC5"/>
    <w:rsid w:val="6CE2F6FC"/>
    <w:rsid w:val="6D0122A0"/>
    <w:rsid w:val="6D7622A5"/>
    <w:rsid w:val="6DC5A6B0"/>
    <w:rsid w:val="6DD83B33"/>
    <w:rsid w:val="6E391ED8"/>
    <w:rsid w:val="6E4F1C77"/>
    <w:rsid w:val="6E55F113"/>
    <w:rsid w:val="6E661C5A"/>
    <w:rsid w:val="6E7C425D"/>
    <w:rsid w:val="6E8EEFC0"/>
    <w:rsid w:val="6EC99740"/>
    <w:rsid w:val="6ED30A42"/>
    <w:rsid w:val="6EFF1FF5"/>
    <w:rsid w:val="6F13037F"/>
    <w:rsid w:val="6F154066"/>
    <w:rsid w:val="6F5B51DC"/>
    <w:rsid w:val="6FABCA0C"/>
    <w:rsid w:val="6FB94CF6"/>
    <w:rsid w:val="6FEBB87B"/>
    <w:rsid w:val="700688C2"/>
    <w:rsid w:val="70105E47"/>
    <w:rsid w:val="7018AA99"/>
    <w:rsid w:val="702955B9"/>
    <w:rsid w:val="70633168"/>
    <w:rsid w:val="706D1EA7"/>
    <w:rsid w:val="7071503B"/>
    <w:rsid w:val="70927F55"/>
    <w:rsid w:val="70A1BC68"/>
    <w:rsid w:val="70A35624"/>
    <w:rsid w:val="70F95895"/>
    <w:rsid w:val="70FEFADD"/>
    <w:rsid w:val="70FFAE54"/>
    <w:rsid w:val="718E2251"/>
    <w:rsid w:val="71A8253F"/>
    <w:rsid w:val="71F1729D"/>
    <w:rsid w:val="71F9B9DD"/>
    <w:rsid w:val="722B6633"/>
    <w:rsid w:val="725737F2"/>
    <w:rsid w:val="7265E181"/>
    <w:rsid w:val="72907FBA"/>
    <w:rsid w:val="72927961"/>
    <w:rsid w:val="72B3E65B"/>
    <w:rsid w:val="73112A93"/>
    <w:rsid w:val="73235444"/>
    <w:rsid w:val="73670B64"/>
    <w:rsid w:val="7375191F"/>
    <w:rsid w:val="7386FF49"/>
    <w:rsid w:val="73D45260"/>
    <w:rsid w:val="73EF1B75"/>
    <w:rsid w:val="73F30853"/>
    <w:rsid w:val="743979AB"/>
    <w:rsid w:val="7473752C"/>
    <w:rsid w:val="7479D353"/>
    <w:rsid w:val="74993BCC"/>
    <w:rsid w:val="74D40001"/>
    <w:rsid w:val="74DB3803"/>
    <w:rsid w:val="74F27136"/>
    <w:rsid w:val="751E44C1"/>
    <w:rsid w:val="7521D04E"/>
    <w:rsid w:val="754F3C4C"/>
    <w:rsid w:val="75510908"/>
    <w:rsid w:val="756CF7F1"/>
    <w:rsid w:val="75865D61"/>
    <w:rsid w:val="75E34412"/>
    <w:rsid w:val="7621E6B6"/>
    <w:rsid w:val="765704F1"/>
    <w:rsid w:val="765BCAC7"/>
    <w:rsid w:val="76A02460"/>
    <w:rsid w:val="76C4B442"/>
    <w:rsid w:val="76C6F282"/>
    <w:rsid w:val="76E5EC94"/>
    <w:rsid w:val="76E87F85"/>
    <w:rsid w:val="76F711F5"/>
    <w:rsid w:val="7723E8ED"/>
    <w:rsid w:val="7724C28C"/>
    <w:rsid w:val="772AA86F"/>
    <w:rsid w:val="775EC842"/>
    <w:rsid w:val="77945892"/>
    <w:rsid w:val="779FC732"/>
    <w:rsid w:val="77ECAA0D"/>
    <w:rsid w:val="77EFD129"/>
    <w:rsid w:val="77F21A4E"/>
    <w:rsid w:val="780576BC"/>
    <w:rsid w:val="78275320"/>
    <w:rsid w:val="782F458C"/>
    <w:rsid w:val="783458A0"/>
    <w:rsid w:val="7835022B"/>
    <w:rsid w:val="78D2CFE2"/>
    <w:rsid w:val="78DA4CCA"/>
    <w:rsid w:val="7908A389"/>
    <w:rsid w:val="791B550E"/>
    <w:rsid w:val="7923A680"/>
    <w:rsid w:val="793028F3"/>
    <w:rsid w:val="7935DC96"/>
    <w:rsid w:val="793D86E8"/>
    <w:rsid w:val="7941112E"/>
    <w:rsid w:val="79474B02"/>
    <w:rsid w:val="79892840"/>
    <w:rsid w:val="79A60E2C"/>
    <w:rsid w:val="79D3D30A"/>
    <w:rsid w:val="79DEE62C"/>
    <w:rsid w:val="7A168A30"/>
    <w:rsid w:val="7A29F96C"/>
    <w:rsid w:val="7A423BA6"/>
    <w:rsid w:val="7AB68A9D"/>
    <w:rsid w:val="7AC0AA21"/>
    <w:rsid w:val="7AD46E8C"/>
    <w:rsid w:val="7AE15474"/>
    <w:rsid w:val="7AF5C959"/>
    <w:rsid w:val="7AF5CBA4"/>
    <w:rsid w:val="7B312C17"/>
    <w:rsid w:val="7B635A20"/>
    <w:rsid w:val="7B66B029"/>
    <w:rsid w:val="7B9708F2"/>
    <w:rsid w:val="7BB0C137"/>
    <w:rsid w:val="7C0550CD"/>
    <w:rsid w:val="7C0D85B8"/>
    <w:rsid w:val="7C11F6A3"/>
    <w:rsid w:val="7C13B971"/>
    <w:rsid w:val="7C3B0053"/>
    <w:rsid w:val="7C402045"/>
    <w:rsid w:val="7CB581D3"/>
    <w:rsid w:val="7CC6AFEE"/>
    <w:rsid w:val="7CC8458D"/>
    <w:rsid w:val="7CD6D1FF"/>
    <w:rsid w:val="7CE5C677"/>
    <w:rsid w:val="7CF30DFB"/>
    <w:rsid w:val="7CFE37A5"/>
    <w:rsid w:val="7D199C95"/>
    <w:rsid w:val="7D7A5197"/>
    <w:rsid w:val="7DBB6EC0"/>
    <w:rsid w:val="7DBF2BD4"/>
    <w:rsid w:val="7DD462BA"/>
    <w:rsid w:val="7DD52D9A"/>
    <w:rsid w:val="7DEBECDF"/>
    <w:rsid w:val="7DF6A692"/>
    <w:rsid w:val="7E7D1771"/>
    <w:rsid w:val="7EA7442D"/>
    <w:rsid w:val="7EA854F8"/>
    <w:rsid w:val="7EAD7BC8"/>
    <w:rsid w:val="7EC0EB93"/>
    <w:rsid w:val="7F7EC1A9"/>
    <w:rsid w:val="7F9D3C4B"/>
    <w:rsid w:val="7FA024FA"/>
    <w:rsid w:val="7FC421ED"/>
    <w:rsid w:val="7FDAD17E"/>
    <w:rsid w:val="7FE9FB0C"/>
    <w:rsid w:val="7FFFE6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D07AE"/>
  <w15:chartTrackingRefBased/>
  <w15:docId w15:val="{4D02ECE3-973E-4D06-A8D5-700BCDB5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8D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7E7C"/>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F67E7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907FC"/>
    <w:rPr>
      <w:color w:val="0563C1" w:themeColor="hyperlink"/>
      <w:u w:val="single"/>
    </w:rPr>
  </w:style>
  <w:style w:type="character" w:styleId="CommentReference">
    <w:name w:val="annotation reference"/>
    <w:basedOn w:val="DefaultParagraphFont"/>
    <w:uiPriority w:val="99"/>
    <w:semiHidden/>
    <w:unhideWhenUsed/>
    <w:rsid w:val="001907FC"/>
    <w:rPr>
      <w:sz w:val="16"/>
      <w:szCs w:val="16"/>
    </w:rPr>
  </w:style>
  <w:style w:type="paragraph" w:styleId="CommentText">
    <w:name w:val="annotation text"/>
    <w:basedOn w:val="Normal"/>
    <w:link w:val="CommentTextChar"/>
    <w:uiPriority w:val="99"/>
    <w:unhideWhenUsed/>
    <w:rsid w:val="001907FC"/>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1907FC"/>
    <w:rPr>
      <w:sz w:val="20"/>
      <w:szCs w:val="20"/>
    </w:rPr>
  </w:style>
  <w:style w:type="character" w:styleId="UnresolvedMention">
    <w:name w:val="Unresolved Mention"/>
    <w:basedOn w:val="DefaultParagraphFont"/>
    <w:uiPriority w:val="99"/>
    <w:semiHidden/>
    <w:unhideWhenUsed/>
    <w:rsid w:val="00A441D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12440"/>
    <w:rPr>
      <w:b/>
      <w:bCs/>
    </w:rPr>
  </w:style>
  <w:style w:type="character" w:customStyle="1" w:styleId="CommentSubjectChar">
    <w:name w:val="Comment Subject Char"/>
    <w:basedOn w:val="CommentTextChar"/>
    <w:link w:val="CommentSubject"/>
    <w:uiPriority w:val="99"/>
    <w:semiHidden/>
    <w:rsid w:val="00912440"/>
    <w:rPr>
      <w:b/>
      <w:bCs/>
      <w:sz w:val="20"/>
      <w:szCs w:val="20"/>
    </w:rPr>
  </w:style>
  <w:style w:type="paragraph" w:styleId="ListParagraph">
    <w:name w:val="List Paragraph"/>
    <w:basedOn w:val="Normal"/>
    <w:uiPriority w:val="34"/>
    <w:qFormat/>
    <w:rsid w:val="00B2678A"/>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345FAC"/>
    <w:pPr>
      <w:spacing w:before="100" w:beforeAutospacing="1" w:after="100" w:afterAutospacing="1"/>
    </w:pPr>
  </w:style>
  <w:style w:type="paragraph" w:styleId="Header">
    <w:name w:val="header"/>
    <w:basedOn w:val="Normal"/>
    <w:link w:val="HeaderChar"/>
    <w:uiPriority w:val="99"/>
    <w:unhideWhenUsed/>
    <w:rsid w:val="00770FC5"/>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770FC5"/>
  </w:style>
  <w:style w:type="paragraph" w:styleId="Footer">
    <w:name w:val="footer"/>
    <w:basedOn w:val="Normal"/>
    <w:link w:val="FooterChar"/>
    <w:uiPriority w:val="99"/>
    <w:unhideWhenUsed/>
    <w:rsid w:val="00770FC5"/>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770FC5"/>
  </w:style>
  <w:style w:type="character" w:styleId="PageNumber">
    <w:name w:val="page number"/>
    <w:basedOn w:val="DefaultParagraphFont"/>
    <w:uiPriority w:val="99"/>
    <w:semiHidden/>
    <w:unhideWhenUsed/>
    <w:rsid w:val="00ED4127"/>
  </w:style>
  <w:style w:type="character" w:styleId="LineNumber">
    <w:name w:val="line number"/>
    <w:basedOn w:val="DefaultParagraphFont"/>
    <w:uiPriority w:val="99"/>
    <w:semiHidden/>
    <w:unhideWhenUsed/>
    <w:rsid w:val="00F05B09"/>
  </w:style>
  <w:style w:type="table" w:styleId="TableGrid">
    <w:name w:val="Table Grid"/>
    <w:basedOn w:val="TableNormal"/>
    <w:uiPriority w:val="39"/>
    <w:rsid w:val="00FF5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05AB"/>
    <w:rPr>
      <w:color w:val="954F72" w:themeColor="followedHyperlink"/>
      <w:u w:val="single"/>
    </w:rPr>
  </w:style>
  <w:style w:type="character" w:customStyle="1" w:styleId="apple-converted-space">
    <w:name w:val="apple-converted-space"/>
    <w:basedOn w:val="DefaultParagraphFont"/>
    <w:rsid w:val="00583DC6"/>
  </w:style>
  <w:style w:type="paragraph" w:styleId="Revision">
    <w:name w:val="Revision"/>
    <w:hidden/>
    <w:uiPriority w:val="99"/>
    <w:semiHidden/>
    <w:rsid w:val="00EE1706"/>
    <w:rPr>
      <w:rFonts w:ascii="Times New Roman" w:eastAsia="Times New Roman" w:hAnsi="Times New Roman" w:cs="Times New Roman"/>
      <w:lang w:eastAsia="en-GB"/>
    </w:rPr>
  </w:style>
  <w:style w:type="character" w:customStyle="1" w:styleId="normaltextrun">
    <w:name w:val="normaltextrun"/>
    <w:basedOn w:val="DefaultParagraphFont"/>
    <w:rsid w:val="00AF6471"/>
  </w:style>
  <w:style w:type="character" w:styleId="Mention">
    <w:name w:val="Mention"/>
    <w:basedOn w:val="DefaultParagraphFont"/>
    <w:uiPriority w:val="99"/>
    <w:unhideWhenUsed/>
    <w:rsid w:val="005D15F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6201">
      <w:bodyDiv w:val="1"/>
      <w:marLeft w:val="0"/>
      <w:marRight w:val="0"/>
      <w:marTop w:val="0"/>
      <w:marBottom w:val="0"/>
      <w:divBdr>
        <w:top w:val="none" w:sz="0" w:space="0" w:color="auto"/>
        <w:left w:val="none" w:sz="0" w:space="0" w:color="auto"/>
        <w:bottom w:val="none" w:sz="0" w:space="0" w:color="auto"/>
        <w:right w:val="none" w:sz="0" w:space="0" w:color="auto"/>
      </w:divBdr>
    </w:div>
    <w:div w:id="87238895">
      <w:bodyDiv w:val="1"/>
      <w:marLeft w:val="0"/>
      <w:marRight w:val="0"/>
      <w:marTop w:val="0"/>
      <w:marBottom w:val="0"/>
      <w:divBdr>
        <w:top w:val="none" w:sz="0" w:space="0" w:color="auto"/>
        <w:left w:val="none" w:sz="0" w:space="0" w:color="auto"/>
        <w:bottom w:val="none" w:sz="0" w:space="0" w:color="auto"/>
        <w:right w:val="none" w:sz="0" w:space="0" w:color="auto"/>
      </w:divBdr>
      <w:divsChild>
        <w:div w:id="1240142009">
          <w:marLeft w:val="0"/>
          <w:marRight w:val="0"/>
          <w:marTop w:val="0"/>
          <w:marBottom w:val="0"/>
          <w:divBdr>
            <w:top w:val="none" w:sz="0" w:space="0" w:color="auto"/>
            <w:left w:val="none" w:sz="0" w:space="0" w:color="auto"/>
            <w:bottom w:val="none" w:sz="0" w:space="0" w:color="auto"/>
            <w:right w:val="none" w:sz="0" w:space="0" w:color="auto"/>
          </w:divBdr>
          <w:divsChild>
            <w:div w:id="1268124745">
              <w:marLeft w:val="0"/>
              <w:marRight w:val="0"/>
              <w:marTop w:val="0"/>
              <w:marBottom w:val="0"/>
              <w:divBdr>
                <w:top w:val="none" w:sz="0" w:space="0" w:color="auto"/>
                <w:left w:val="none" w:sz="0" w:space="0" w:color="auto"/>
                <w:bottom w:val="none" w:sz="0" w:space="0" w:color="auto"/>
                <w:right w:val="none" w:sz="0" w:space="0" w:color="auto"/>
              </w:divBdr>
              <w:divsChild>
                <w:div w:id="730881546">
                  <w:marLeft w:val="0"/>
                  <w:marRight w:val="0"/>
                  <w:marTop w:val="0"/>
                  <w:marBottom w:val="0"/>
                  <w:divBdr>
                    <w:top w:val="none" w:sz="0" w:space="0" w:color="auto"/>
                    <w:left w:val="none" w:sz="0" w:space="0" w:color="auto"/>
                    <w:bottom w:val="none" w:sz="0" w:space="0" w:color="auto"/>
                    <w:right w:val="none" w:sz="0" w:space="0" w:color="auto"/>
                  </w:divBdr>
                  <w:divsChild>
                    <w:div w:id="124977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83154">
      <w:bodyDiv w:val="1"/>
      <w:marLeft w:val="0"/>
      <w:marRight w:val="0"/>
      <w:marTop w:val="0"/>
      <w:marBottom w:val="0"/>
      <w:divBdr>
        <w:top w:val="none" w:sz="0" w:space="0" w:color="auto"/>
        <w:left w:val="none" w:sz="0" w:space="0" w:color="auto"/>
        <w:bottom w:val="none" w:sz="0" w:space="0" w:color="auto"/>
        <w:right w:val="none" w:sz="0" w:space="0" w:color="auto"/>
      </w:divBdr>
    </w:div>
    <w:div w:id="339115485">
      <w:bodyDiv w:val="1"/>
      <w:marLeft w:val="0"/>
      <w:marRight w:val="0"/>
      <w:marTop w:val="0"/>
      <w:marBottom w:val="0"/>
      <w:divBdr>
        <w:top w:val="none" w:sz="0" w:space="0" w:color="auto"/>
        <w:left w:val="none" w:sz="0" w:space="0" w:color="auto"/>
        <w:bottom w:val="none" w:sz="0" w:space="0" w:color="auto"/>
        <w:right w:val="none" w:sz="0" w:space="0" w:color="auto"/>
      </w:divBdr>
    </w:div>
    <w:div w:id="429591173">
      <w:bodyDiv w:val="1"/>
      <w:marLeft w:val="0"/>
      <w:marRight w:val="0"/>
      <w:marTop w:val="0"/>
      <w:marBottom w:val="0"/>
      <w:divBdr>
        <w:top w:val="none" w:sz="0" w:space="0" w:color="auto"/>
        <w:left w:val="none" w:sz="0" w:space="0" w:color="auto"/>
        <w:bottom w:val="none" w:sz="0" w:space="0" w:color="auto"/>
        <w:right w:val="none" w:sz="0" w:space="0" w:color="auto"/>
      </w:divBdr>
    </w:div>
    <w:div w:id="437869175">
      <w:bodyDiv w:val="1"/>
      <w:marLeft w:val="0"/>
      <w:marRight w:val="0"/>
      <w:marTop w:val="0"/>
      <w:marBottom w:val="0"/>
      <w:divBdr>
        <w:top w:val="none" w:sz="0" w:space="0" w:color="auto"/>
        <w:left w:val="none" w:sz="0" w:space="0" w:color="auto"/>
        <w:bottom w:val="none" w:sz="0" w:space="0" w:color="auto"/>
        <w:right w:val="none" w:sz="0" w:space="0" w:color="auto"/>
      </w:divBdr>
    </w:div>
    <w:div w:id="591475372">
      <w:bodyDiv w:val="1"/>
      <w:marLeft w:val="0"/>
      <w:marRight w:val="0"/>
      <w:marTop w:val="0"/>
      <w:marBottom w:val="0"/>
      <w:divBdr>
        <w:top w:val="none" w:sz="0" w:space="0" w:color="auto"/>
        <w:left w:val="none" w:sz="0" w:space="0" w:color="auto"/>
        <w:bottom w:val="none" w:sz="0" w:space="0" w:color="auto"/>
        <w:right w:val="none" w:sz="0" w:space="0" w:color="auto"/>
      </w:divBdr>
    </w:div>
    <w:div w:id="732235913">
      <w:bodyDiv w:val="1"/>
      <w:marLeft w:val="0"/>
      <w:marRight w:val="0"/>
      <w:marTop w:val="0"/>
      <w:marBottom w:val="0"/>
      <w:divBdr>
        <w:top w:val="none" w:sz="0" w:space="0" w:color="auto"/>
        <w:left w:val="none" w:sz="0" w:space="0" w:color="auto"/>
        <w:bottom w:val="none" w:sz="0" w:space="0" w:color="auto"/>
        <w:right w:val="none" w:sz="0" w:space="0" w:color="auto"/>
      </w:divBdr>
    </w:div>
    <w:div w:id="821121434">
      <w:bodyDiv w:val="1"/>
      <w:marLeft w:val="0"/>
      <w:marRight w:val="0"/>
      <w:marTop w:val="0"/>
      <w:marBottom w:val="0"/>
      <w:divBdr>
        <w:top w:val="none" w:sz="0" w:space="0" w:color="auto"/>
        <w:left w:val="none" w:sz="0" w:space="0" w:color="auto"/>
        <w:bottom w:val="none" w:sz="0" w:space="0" w:color="auto"/>
        <w:right w:val="none" w:sz="0" w:space="0" w:color="auto"/>
      </w:divBdr>
      <w:divsChild>
        <w:div w:id="451484535">
          <w:marLeft w:val="0"/>
          <w:marRight w:val="0"/>
          <w:marTop w:val="0"/>
          <w:marBottom w:val="0"/>
          <w:divBdr>
            <w:top w:val="none" w:sz="0" w:space="0" w:color="auto"/>
            <w:left w:val="none" w:sz="0" w:space="0" w:color="auto"/>
            <w:bottom w:val="none" w:sz="0" w:space="0" w:color="auto"/>
            <w:right w:val="none" w:sz="0" w:space="0" w:color="auto"/>
          </w:divBdr>
          <w:divsChild>
            <w:div w:id="137261375">
              <w:marLeft w:val="0"/>
              <w:marRight w:val="0"/>
              <w:marTop w:val="0"/>
              <w:marBottom w:val="0"/>
              <w:divBdr>
                <w:top w:val="none" w:sz="0" w:space="0" w:color="auto"/>
                <w:left w:val="none" w:sz="0" w:space="0" w:color="auto"/>
                <w:bottom w:val="none" w:sz="0" w:space="0" w:color="auto"/>
                <w:right w:val="none" w:sz="0" w:space="0" w:color="auto"/>
              </w:divBdr>
              <w:divsChild>
                <w:div w:id="1479347234">
                  <w:marLeft w:val="0"/>
                  <w:marRight w:val="0"/>
                  <w:marTop w:val="0"/>
                  <w:marBottom w:val="0"/>
                  <w:divBdr>
                    <w:top w:val="none" w:sz="0" w:space="0" w:color="auto"/>
                    <w:left w:val="none" w:sz="0" w:space="0" w:color="auto"/>
                    <w:bottom w:val="none" w:sz="0" w:space="0" w:color="auto"/>
                    <w:right w:val="none" w:sz="0" w:space="0" w:color="auto"/>
                  </w:divBdr>
                  <w:divsChild>
                    <w:div w:id="10148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278313">
      <w:bodyDiv w:val="1"/>
      <w:marLeft w:val="0"/>
      <w:marRight w:val="0"/>
      <w:marTop w:val="0"/>
      <w:marBottom w:val="0"/>
      <w:divBdr>
        <w:top w:val="none" w:sz="0" w:space="0" w:color="auto"/>
        <w:left w:val="none" w:sz="0" w:space="0" w:color="auto"/>
        <w:bottom w:val="none" w:sz="0" w:space="0" w:color="auto"/>
        <w:right w:val="none" w:sz="0" w:space="0" w:color="auto"/>
      </w:divBdr>
    </w:div>
    <w:div w:id="1187599941">
      <w:bodyDiv w:val="1"/>
      <w:marLeft w:val="0"/>
      <w:marRight w:val="0"/>
      <w:marTop w:val="0"/>
      <w:marBottom w:val="0"/>
      <w:divBdr>
        <w:top w:val="none" w:sz="0" w:space="0" w:color="auto"/>
        <w:left w:val="none" w:sz="0" w:space="0" w:color="auto"/>
        <w:bottom w:val="none" w:sz="0" w:space="0" w:color="auto"/>
        <w:right w:val="none" w:sz="0" w:space="0" w:color="auto"/>
      </w:divBdr>
    </w:div>
    <w:div w:id="1309289906">
      <w:bodyDiv w:val="1"/>
      <w:marLeft w:val="0"/>
      <w:marRight w:val="0"/>
      <w:marTop w:val="0"/>
      <w:marBottom w:val="0"/>
      <w:divBdr>
        <w:top w:val="none" w:sz="0" w:space="0" w:color="auto"/>
        <w:left w:val="none" w:sz="0" w:space="0" w:color="auto"/>
        <w:bottom w:val="none" w:sz="0" w:space="0" w:color="auto"/>
        <w:right w:val="none" w:sz="0" w:space="0" w:color="auto"/>
      </w:divBdr>
    </w:div>
    <w:div w:id="1342049721">
      <w:bodyDiv w:val="1"/>
      <w:marLeft w:val="0"/>
      <w:marRight w:val="0"/>
      <w:marTop w:val="0"/>
      <w:marBottom w:val="0"/>
      <w:divBdr>
        <w:top w:val="none" w:sz="0" w:space="0" w:color="auto"/>
        <w:left w:val="none" w:sz="0" w:space="0" w:color="auto"/>
        <w:bottom w:val="none" w:sz="0" w:space="0" w:color="auto"/>
        <w:right w:val="none" w:sz="0" w:space="0" w:color="auto"/>
      </w:divBdr>
      <w:divsChild>
        <w:div w:id="172959432">
          <w:marLeft w:val="0"/>
          <w:marRight w:val="0"/>
          <w:marTop w:val="0"/>
          <w:marBottom w:val="0"/>
          <w:divBdr>
            <w:top w:val="none" w:sz="0" w:space="0" w:color="auto"/>
            <w:left w:val="none" w:sz="0" w:space="0" w:color="auto"/>
            <w:bottom w:val="none" w:sz="0" w:space="0" w:color="auto"/>
            <w:right w:val="none" w:sz="0" w:space="0" w:color="auto"/>
          </w:divBdr>
          <w:divsChild>
            <w:div w:id="602609606">
              <w:marLeft w:val="0"/>
              <w:marRight w:val="0"/>
              <w:marTop w:val="0"/>
              <w:marBottom w:val="0"/>
              <w:divBdr>
                <w:top w:val="none" w:sz="0" w:space="0" w:color="auto"/>
                <w:left w:val="none" w:sz="0" w:space="0" w:color="auto"/>
                <w:bottom w:val="none" w:sz="0" w:space="0" w:color="auto"/>
                <w:right w:val="none" w:sz="0" w:space="0" w:color="auto"/>
              </w:divBdr>
              <w:divsChild>
                <w:div w:id="19392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7277">
      <w:bodyDiv w:val="1"/>
      <w:marLeft w:val="0"/>
      <w:marRight w:val="0"/>
      <w:marTop w:val="0"/>
      <w:marBottom w:val="0"/>
      <w:divBdr>
        <w:top w:val="none" w:sz="0" w:space="0" w:color="auto"/>
        <w:left w:val="none" w:sz="0" w:space="0" w:color="auto"/>
        <w:bottom w:val="none" w:sz="0" w:space="0" w:color="auto"/>
        <w:right w:val="none" w:sz="0" w:space="0" w:color="auto"/>
      </w:divBdr>
    </w:div>
    <w:div w:id="1508710531">
      <w:bodyDiv w:val="1"/>
      <w:marLeft w:val="0"/>
      <w:marRight w:val="0"/>
      <w:marTop w:val="0"/>
      <w:marBottom w:val="0"/>
      <w:divBdr>
        <w:top w:val="none" w:sz="0" w:space="0" w:color="auto"/>
        <w:left w:val="none" w:sz="0" w:space="0" w:color="auto"/>
        <w:bottom w:val="none" w:sz="0" w:space="0" w:color="auto"/>
        <w:right w:val="none" w:sz="0" w:space="0" w:color="auto"/>
      </w:divBdr>
    </w:div>
    <w:div w:id="1604610891">
      <w:bodyDiv w:val="1"/>
      <w:marLeft w:val="0"/>
      <w:marRight w:val="0"/>
      <w:marTop w:val="0"/>
      <w:marBottom w:val="0"/>
      <w:divBdr>
        <w:top w:val="none" w:sz="0" w:space="0" w:color="auto"/>
        <w:left w:val="none" w:sz="0" w:space="0" w:color="auto"/>
        <w:bottom w:val="none" w:sz="0" w:space="0" w:color="auto"/>
        <w:right w:val="none" w:sz="0" w:space="0" w:color="auto"/>
      </w:divBdr>
    </w:div>
    <w:div w:id="1769957800">
      <w:bodyDiv w:val="1"/>
      <w:marLeft w:val="0"/>
      <w:marRight w:val="0"/>
      <w:marTop w:val="0"/>
      <w:marBottom w:val="0"/>
      <w:divBdr>
        <w:top w:val="none" w:sz="0" w:space="0" w:color="auto"/>
        <w:left w:val="none" w:sz="0" w:space="0" w:color="auto"/>
        <w:bottom w:val="none" w:sz="0" w:space="0" w:color="auto"/>
        <w:right w:val="none" w:sz="0" w:space="0" w:color="auto"/>
      </w:divBdr>
    </w:div>
    <w:div w:id="1874153434">
      <w:bodyDiv w:val="1"/>
      <w:marLeft w:val="0"/>
      <w:marRight w:val="0"/>
      <w:marTop w:val="0"/>
      <w:marBottom w:val="0"/>
      <w:divBdr>
        <w:top w:val="none" w:sz="0" w:space="0" w:color="auto"/>
        <w:left w:val="none" w:sz="0" w:space="0" w:color="auto"/>
        <w:bottom w:val="none" w:sz="0" w:space="0" w:color="auto"/>
        <w:right w:val="none" w:sz="0" w:space="0" w:color="auto"/>
      </w:divBdr>
    </w:div>
    <w:div w:id="1897888485">
      <w:bodyDiv w:val="1"/>
      <w:marLeft w:val="0"/>
      <w:marRight w:val="0"/>
      <w:marTop w:val="0"/>
      <w:marBottom w:val="0"/>
      <w:divBdr>
        <w:top w:val="none" w:sz="0" w:space="0" w:color="auto"/>
        <w:left w:val="none" w:sz="0" w:space="0" w:color="auto"/>
        <w:bottom w:val="none" w:sz="0" w:space="0" w:color="auto"/>
        <w:right w:val="none" w:sz="0" w:space="0" w:color="auto"/>
      </w:divBdr>
    </w:div>
    <w:div w:id="209435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tom.waddell@magd.ox.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50C42CFAF27647BB73BAE92EE301D7" ma:contentTypeVersion="18" ma:contentTypeDescription="Create a new document." ma:contentTypeScope="" ma:versionID="b6c562e1843b98e31bc8e9320cf32b38">
  <xsd:schema xmlns:xsd="http://www.w3.org/2001/XMLSchema" xmlns:xs="http://www.w3.org/2001/XMLSchema" xmlns:p="http://schemas.microsoft.com/office/2006/metadata/properties" xmlns:ns1="http://schemas.microsoft.com/sharepoint/v3" xmlns:ns2="a0679951-fb7f-4d54-a464-98788a1c218f" xmlns:ns3="5d7187d7-6500-4d7d-ba39-499eaca0d0eb" targetNamespace="http://schemas.microsoft.com/office/2006/metadata/properties" ma:root="true" ma:fieldsID="0ff5dd6968567dc00bf82251f65c0f72" ns1:_="" ns2:_="" ns3:_="">
    <xsd:import namespace="http://schemas.microsoft.com/sharepoint/v3"/>
    <xsd:import namespace="a0679951-fb7f-4d54-a464-98788a1c218f"/>
    <xsd:import namespace="5d7187d7-6500-4d7d-ba39-499eaca0d0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679951-fb7f-4d54-a464-98788a1c21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b2976648-26e4-4c6d-8eaa-57601b4099e1}" ma:internalName="TaxCatchAll" ma:showField="CatchAllData" ma:web="a0679951-fb7f-4d54-a464-98788a1c21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7187d7-6500-4d7d-ba39-499eaca0d0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7af0654-e5ec-4c91-a7b1-fd02bc10a84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d7187d7-6500-4d7d-ba39-499eaca0d0eb">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a0679951-fb7f-4d54-a464-98788a1c218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5DE0D3-E783-4A59-944A-7C8D4C265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679951-fb7f-4d54-a464-98788a1c218f"/>
    <ds:schemaRef ds:uri="5d7187d7-6500-4d7d-ba39-499eaca0d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EB16C3-8890-4B7D-8A81-15C3AD4290C4}">
  <ds:schemaRefs>
    <ds:schemaRef ds:uri="http://schemas.microsoft.com/office/2006/metadata/properties"/>
    <ds:schemaRef ds:uri="http://schemas.microsoft.com/office/infopath/2007/PartnerControls"/>
    <ds:schemaRef ds:uri="5d7187d7-6500-4d7d-ba39-499eaca0d0eb"/>
    <ds:schemaRef ds:uri="http://schemas.microsoft.com/sharepoint/v3"/>
    <ds:schemaRef ds:uri="a0679951-fb7f-4d54-a464-98788a1c218f"/>
  </ds:schemaRefs>
</ds:datastoreItem>
</file>

<file path=customXml/itemProps3.xml><?xml version="1.0" encoding="utf-8"?>
<ds:datastoreItem xmlns:ds="http://schemas.openxmlformats.org/officeDocument/2006/customXml" ds:itemID="{CA1EC0AF-13C6-4831-AE85-571DACD5CB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4579</Words>
  <Characters>26102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Waddell</dc:creator>
  <cp:keywords/>
  <dc:description/>
  <cp:lastModifiedBy>Tom Waddell</cp:lastModifiedBy>
  <cp:revision>3</cp:revision>
  <cp:lastPrinted>2022-10-07T10:31:00Z</cp:lastPrinted>
  <dcterms:created xsi:type="dcterms:W3CDTF">2023-02-08T08:13:00Z</dcterms:created>
  <dcterms:modified xsi:type="dcterms:W3CDTF">2023-02-08T08:14:00Z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0x010100D450C42CFAF27647BB73BAE92EE301D7</vt:lpwstr>
  </property>
  <property fmtid="{D5CDD505-2E9C-101B-9397-08002B2CF9AE}" pid="3" name="MediaServiceImageTags">
    <vt:lpwstr/>
  </property>
</Properties>
</file>