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E108" w14:textId="10D4F106" w:rsidR="00446D00" w:rsidRPr="009A3E2A" w:rsidRDefault="00CF69B7" w:rsidP="00BE0223">
      <w:pPr>
        <w:pStyle w:val="Title"/>
      </w:pPr>
      <w:r w:rsidRPr="009A3E2A">
        <w:t>Physiology for All – Reflections on the Design and Delivery of a MOOC to Enhance Subject Knowledge in Physiology</w:t>
      </w:r>
    </w:p>
    <w:p w14:paraId="7B3447F6" w14:textId="7EB4E5EB" w:rsidR="001828EB" w:rsidRPr="009A3E2A" w:rsidRDefault="0007382E" w:rsidP="00E67984">
      <w:pPr>
        <w:pStyle w:val="Heading2"/>
      </w:pPr>
      <w:r w:rsidRPr="009A3E2A">
        <w:t xml:space="preserve">Dr </w:t>
      </w:r>
      <w:r w:rsidR="001828EB" w:rsidRPr="009A3E2A">
        <w:t xml:space="preserve">Rebecca Randles </w:t>
      </w:r>
    </w:p>
    <w:p w14:paraId="1FB9A0EE" w14:textId="4C884102" w:rsidR="001828EB" w:rsidRPr="009A3E2A" w:rsidRDefault="001828EB" w:rsidP="00E67984">
      <w:pPr>
        <w:pStyle w:val="Subtitle"/>
      </w:pPr>
      <w:r w:rsidRPr="009A3E2A">
        <w:t>Senior Researcher</w:t>
      </w:r>
    </w:p>
    <w:p w14:paraId="565B51EC" w14:textId="5F51B837" w:rsidR="00446D00" w:rsidRPr="009A3E2A" w:rsidRDefault="001828EB" w:rsidP="00E67984">
      <w:pPr>
        <w:spacing w:after="0"/>
      </w:pPr>
      <w:r w:rsidRPr="009A3E2A">
        <w:t>Westminster Centre for Research in Veterans</w:t>
      </w:r>
      <w:r w:rsidR="001D7AF7" w:rsidRPr="009A3E2A">
        <w:t xml:space="preserve">, </w:t>
      </w:r>
      <w:r w:rsidRPr="009A3E2A">
        <w:t xml:space="preserve">Faculty of Health and Social </w:t>
      </w:r>
      <w:r w:rsidR="001D7AF7" w:rsidRPr="009A3E2A">
        <w:t xml:space="preserve">Care, </w:t>
      </w:r>
      <w:r w:rsidRPr="009A3E2A">
        <w:t>University of Chester</w:t>
      </w:r>
      <w:r w:rsidR="001D7AF7" w:rsidRPr="009A3E2A">
        <w:t xml:space="preserve">, </w:t>
      </w:r>
      <w:r w:rsidRPr="009A3E2A">
        <w:t>Riverside Campus (Rm 311) - Castle Drive, Chester CH1 1SL</w:t>
      </w:r>
    </w:p>
    <w:p w14:paraId="358AE50B" w14:textId="5088739B" w:rsidR="00DA5C00" w:rsidRPr="009A3E2A" w:rsidRDefault="00000000" w:rsidP="00E67984">
      <w:pPr>
        <w:spacing w:after="0"/>
        <w:rPr>
          <w:bCs/>
        </w:rPr>
      </w:pPr>
      <w:hyperlink r:id="rId9" w:history="1">
        <w:r w:rsidR="00DA5C00" w:rsidRPr="009A3E2A">
          <w:rPr>
            <w:rStyle w:val="Hyperlink"/>
            <w:bCs/>
            <w:color w:val="auto"/>
            <w:szCs w:val="22"/>
          </w:rPr>
          <w:t>r.randles@chester.ac.uk</w:t>
        </w:r>
      </w:hyperlink>
      <w:r w:rsidR="00DA5C00" w:rsidRPr="009A3E2A">
        <w:rPr>
          <w:bCs/>
        </w:rPr>
        <w:t xml:space="preserve"> </w:t>
      </w:r>
    </w:p>
    <w:p w14:paraId="38C9C188" w14:textId="0D21C602" w:rsidR="005256FF" w:rsidRPr="009A3E2A" w:rsidRDefault="005256FF" w:rsidP="00E67984">
      <w:pPr>
        <w:spacing w:after="0"/>
      </w:pPr>
      <w:r w:rsidRPr="009A3E2A">
        <w:t xml:space="preserve">Rebecca is a Senior Researcher in the </w:t>
      </w:r>
      <w:r w:rsidR="008955F9" w:rsidRPr="009A3E2A">
        <w:t>Westminster</w:t>
      </w:r>
      <w:r w:rsidRPr="009A3E2A">
        <w:t xml:space="preserve"> Centre for Research in Veterans at the University of Chester</w:t>
      </w:r>
      <w:r w:rsidR="00052944" w:rsidRPr="009A3E2A">
        <w:t xml:space="preserve">. </w:t>
      </w:r>
      <w:r w:rsidR="00D17EDB" w:rsidRPr="009A3E2A">
        <w:t>Rebecca completed her</w:t>
      </w:r>
      <w:r w:rsidR="009565B8" w:rsidRPr="009A3E2A">
        <w:t xml:space="preserve"> undergraduate degree in Psychology in </w:t>
      </w:r>
      <w:r w:rsidR="00E64574" w:rsidRPr="009A3E2A">
        <w:t>2013 and</w:t>
      </w:r>
      <w:r w:rsidR="009565B8" w:rsidRPr="009A3E2A">
        <w:t xml:space="preserve"> was then awarded </w:t>
      </w:r>
      <w:r w:rsidR="00222C7E" w:rsidRPr="009A3E2A">
        <w:t>her PhD</w:t>
      </w:r>
      <w:r w:rsidR="00D17EDB" w:rsidRPr="009A3E2A">
        <w:t xml:space="preserve"> in 2016 looking at </w:t>
      </w:r>
      <w:r w:rsidR="00437EEC" w:rsidRPr="009A3E2A">
        <w:t xml:space="preserve">measuring learning gain in </w:t>
      </w:r>
      <w:r w:rsidR="00056400" w:rsidRPr="009A3E2A">
        <w:t>science</w:t>
      </w:r>
      <w:r w:rsidR="00437EEC" w:rsidRPr="009A3E2A">
        <w:t xml:space="preserve"> undergraduate students</w:t>
      </w:r>
      <w:r w:rsidR="009565B8" w:rsidRPr="009A3E2A">
        <w:t>, both completed at Liverpool John Moores University</w:t>
      </w:r>
      <w:r w:rsidR="00437EEC" w:rsidRPr="009A3E2A">
        <w:t>. She also went on to work on</w:t>
      </w:r>
      <w:r w:rsidR="00CA54B8" w:rsidRPr="009A3E2A">
        <w:t xml:space="preserve"> educational projects in the University of Liverpool</w:t>
      </w:r>
      <w:r w:rsidR="003E26D5" w:rsidRPr="009A3E2A">
        <w:t xml:space="preserve"> including looking at widening participation to inform faculty action planning.</w:t>
      </w:r>
      <w:r w:rsidR="007B4967" w:rsidRPr="009A3E2A">
        <w:t xml:space="preserve"> To then working </w:t>
      </w:r>
      <w:r w:rsidR="00C400D1" w:rsidRPr="009A3E2A">
        <w:t>within</w:t>
      </w:r>
      <w:r w:rsidR="007B4967" w:rsidRPr="009A3E2A">
        <w:t xml:space="preserve"> Student Experience </w:t>
      </w:r>
      <w:r w:rsidR="00B704AF" w:rsidRPr="009A3E2A">
        <w:t>within the Faculty of Health and Life Sciences. Rebecca then moved to the University of Chester in the Westminster centre for research in veterans, as a researcher working on increasing veteran registration in primary healthcare. She then, subsequently became Senior researcher of the centre</w:t>
      </w:r>
      <w:r w:rsidR="00C71A2F" w:rsidRPr="009A3E2A">
        <w:t xml:space="preserve"> and currently works on several veteran health related projects. </w:t>
      </w:r>
    </w:p>
    <w:p w14:paraId="23E92C27" w14:textId="77777777" w:rsidR="00BE0223" w:rsidRPr="009A3E2A" w:rsidRDefault="00BE0223" w:rsidP="00E67984">
      <w:pPr>
        <w:spacing w:after="0"/>
      </w:pPr>
    </w:p>
    <w:p w14:paraId="311FCA86" w14:textId="3391C36E" w:rsidR="00BE0223" w:rsidRPr="009A3E2A" w:rsidRDefault="00222C7E" w:rsidP="00BE0223">
      <w:pPr>
        <w:pStyle w:val="Heading2"/>
      </w:pPr>
      <w:r w:rsidRPr="009A3E2A">
        <w:t>Professor</w:t>
      </w:r>
      <w:r w:rsidR="00BE0223" w:rsidRPr="009A3E2A">
        <w:t xml:space="preserve"> Denise Prescott</w:t>
      </w:r>
    </w:p>
    <w:p w14:paraId="2BA93DCA" w14:textId="77777777" w:rsidR="00BE0223" w:rsidRPr="009A3E2A" w:rsidRDefault="00BE0223" w:rsidP="00BE0223">
      <w:pPr>
        <w:pStyle w:val="Subtitle"/>
      </w:pPr>
      <w:r w:rsidRPr="009A3E2A">
        <w:t xml:space="preserve">Dean of School of Health Sciences </w:t>
      </w:r>
    </w:p>
    <w:p w14:paraId="16B43053" w14:textId="77777777" w:rsidR="00BE0223" w:rsidRPr="009A3E2A" w:rsidRDefault="00BE0223" w:rsidP="00BE0223">
      <w:pPr>
        <w:spacing w:after="0"/>
      </w:pPr>
      <w:r w:rsidRPr="009A3E2A">
        <w:t>Faculty of Health &amp; Life Sciences, The University of Liverpool, Thompson Yates Building, Brownlow Hill, Liverpool, L69 3GB</w:t>
      </w:r>
    </w:p>
    <w:p w14:paraId="629CB6DB" w14:textId="7A0E2018" w:rsidR="00BE0223" w:rsidRPr="009A3E2A" w:rsidRDefault="00000000" w:rsidP="00E67984">
      <w:pPr>
        <w:spacing w:after="0"/>
        <w:rPr>
          <w:rStyle w:val="Hyperlink"/>
          <w:color w:val="auto"/>
          <w:szCs w:val="22"/>
        </w:rPr>
      </w:pPr>
      <w:hyperlink r:id="rId10" w:history="1">
        <w:r w:rsidR="00711806" w:rsidRPr="00737C52">
          <w:rPr>
            <w:rStyle w:val="Hyperlink"/>
            <w:szCs w:val="22"/>
          </w:rPr>
          <w:t>prescotd@liverpool.ac.uk</w:t>
        </w:r>
      </w:hyperlink>
    </w:p>
    <w:p w14:paraId="2503DF77" w14:textId="63A23269" w:rsidR="00DA5C00" w:rsidRPr="009A3E2A" w:rsidRDefault="00222C7E" w:rsidP="00222C7E">
      <w:pPr>
        <w:spacing w:after="0"/>
        <w:rPr>
          <w:bCs/>
        </w:rPr>
      </w:pPr>
      <w:r w:rsidRPr="009A3E2A">
        <w:rPr>
          <w:bCs/>
        </w:rPr>
        <w:t xml:space="preserve">Professor Denise Prescott is Dean of the School of Health Sciences at the University of Liverpool. In this role Denise has responsibility for undergraduate and postgraduate healthcare education development and delivery, for multiple registerable healthcare professions. A physiotherapist by base profession, Denise has extensive experience of working in both clinical practice and in higher education and is a member of numerous professional body committees and steering groups. Her scholarly interests lie in the use of digital innovation and education for clinical practitioners, high-fidelity clinical simulation, and advanced clinical practice development. </w:t>
      </w:r>
    </w:p>
    <w:p w14:paraId="7E5FA564" w14:textId="77777777" w:rsidR="00222C7E" w:rsidRPr="009A3E2A" w:rsidRDefault="00222C7E" w:rsidP="00222C7E">
      <w:pPr>
        <w:spacing w:after="0"/>
        <w:rPr>
          <w:bCs/>
        </w:rPr>
      </w:pPr>
    </w:p>
    <w:p w14:paraId="4D978856" w14:textId="62A35BD8" w:rsidR="00DA5C00" w:rsidRPr="009A3E2A" w:rsidRDefault="00C71EB7" w:rsidP="00E67984">
      <w:pPr>
        <w:pStyle w:val="Heading2"/>
      </w:pPr>
      <w:r w:rsidRPr="009A3E2A">
        <w:t xml:space="preserve">Dr </w:t>
      </w:r>
      <w:r w:rsidR="00DA5C00" w:rsidRPr="009A3E2A">
        <w:t>Terry Gleave</w:t>
      </w:r>
    </w:p>
    <w:p w14:paraId="1E9E9BFF" w14:textId="77777777" w:rsidR="00BB2BD5" w:rsidRPr="009A3E2A" w:rsidRDefault="00BB2BD5" w:rsidP="00E67984">
      <w:pPr>
        <w:pStyle w:val="Subtitle"/>
      </w:pPr>
      <w:r w:rsidRPr="009A3E2A">
        <w:t>Programme Director for Biological &amp; Medical Sciences, Senior Lecturer, Senior Academic Advisor lead</w:t>
      </w:r>
    </w:p>
    <w:p w14:paraId="2E7B854E" w14:textId="2736B232" w:rsidR="00056400" w:rsidRPr="009A3E2A" w:rsidRDefault="00056400" w:rsidP="00E67984">
      <w:pPr>
        <w:spacing w:after="0"/>
      </w:pPr>
      <w:r w:rsidRPr="009A3E2A">
        <w:t xml:space="preserve">Room G57, </w:t>
      </w:r>
      <w:proofErr w:type="spellStart"/>
      <w:r w:rsidRPr="009A3E2A">
        <w:t>BioSciences</w:t>
      </w:r>
      <w:proofErr w:type="spellEnd"/>
      <w:r w:rsidRPr="009A3E2A">
        <w:t xml:space="preserve"> Building, Little Woolton St, Liverpool, L69 7ZB</w:t>
      </w:r>
    </w:p>
    <w:p w14:paraId="6420FFEA" w14:textId="4EEA016D" w:rsidR="001D7AF7" w:rsidRPr="009A3E2A" w:rsidRDefault="00000000" w:rsidP="00E67984">
      <w:pPr>
        <w:spacing w:after="0"/>
        <w:rPr>
          <w:bCs/>
        </w:rPr>
      </w:pPr>
      <w:hyperlink r:id="rId11" w:history="1">
        <w:r w:rsidR="00056400" w:rsidRPr="009A3E2A">
          <w:rPr>
            <w:rStyle w:val="Hyperlink"/>
            <w:color w:val="auto"/>
            <w:szCs w:val="22"/>
          </w:rPr>
          <w:t>tlgleave@liverpool.ac.uk</w:t>
        </w:r>
      </w:hyperlink>
      <w:r w:rsidR="001D7AF7" w:rsidRPr="009A3E2A">
        <w:t>,</w:t>
      </w:r>
    </w:p>
    <w:p w14:paraId="0CB1AF1D" w14:textId="2043DFD3" w:rsidR="001D7AF7" w:rsidRPr="009A3E2A" w:rsidRDefault="00401F89" w:rsidP="00401F89">
      <w:r w:rsidRPr="009A3E2A">
        <w:t>T</w:t>
      </w:r>
      <w:r w:rsidR="00B469A0" w:rsidRPr="009A3E2A">
        <w:t>erry g</w:t>
      </w:r>
      <w:r w:rsidRPr="009A3E2A">
        <w:t>raduat</w:t>
      </w:r>
      <w:r w:rsidR="00B469A0" w:rsidRPr="009A3E2A">
        <w:t>ed</w:t>
      </w:r>
      <w:r w:rsidRPr="009A3E2A">
        <w:t xml:space="preserve"> with a degree in Physiology from the University of Liverpool (1997</w:t>
      </w:r>
      <w:r w:rsidR="00245643" w:rsidRPr="009A3E2A">
        <w:t>) and</w:t>
      </w:r>
      <w:r w:rsidRPr="009A3E2A">
        <w:t xml:space="preserve"> was then awarded a PhD in Physiology by the University of Liverpool (2001). Immediately following on from this </w:t>
      </w:r>
      <w:r w:rsidR="00B469A0" w:rsidRPr="009A3E2A">
        <w:t xml:space="preserve">he started </w:t>
      </w:r>
      <w:r w:rsidRPr="009A3E2A">
        <w:t>working as a university teacher</w:t>
      </w:r>
      <w:r w:rsidR="00B469A0" w:rsidRPr="009A3E2A">
        <w:t xml:space="preserve"> </w:t>
      </w:r>
      <w:r w:rsidRPr="009A3E2A">
        <w:t xml:space="preserve">at the University of Liverpool. </w:t>
      </w:r>
      <w:r w:rsidR="00B469A0" w:rsidRPr="009A3E2A">
        <w:t>He is</w:t>
      </w:r>
      <w:r w:rsidRPr="009A3E2A">
        <w:t xml:space="preserve"> now a senior lecturer, Director for the Biological and Medical Sciences BSc</w:t>
      </w:r>
      <w:r w:rsidR="00245643" w:rsidRPr="009A3E2A">
        <w:t xml:space="preserve"> </w:t>
      </w:r>
      <w:r w:rsidRPr="009A3E2A">
        <w:t>(Hons) programme and lead of the School of Life Sciences senior academic advisor team.</w:t>
      </w:r>
      <w:r w:rsidR="00B469A0" w:rsidRPr="009A3E2A">
        <w:t xml:space="preserve"> His</w:t>
      </w:r>
      <w:r w:rsidRPr="009A3E2A">
        <w:t xml:space="preserve"> scholarly interests lie in Education beyond the lecture theatre; Assessment strategies and learner engagement with feedback; Students as partners in developing and conducting research to produce learning support and education outreach resources.</w:t>
      </w:r>
    </w:p>
    <w:p w14:paraId="29FCFAAB" w14:textId="23F0BC49" w:rsidR="00DA5C00" w:rsidRPr="009A3E2A" w:rsidRDefault="00C71EB7" w:rsidP="00E67984">
      <w:pPr>
        <w:pStyle w:val="Heading2"/>
      </w:pPr>
      <w:r w:rsidRPr="009A3E2A">
        <w:t xml:space="preserve">Dr </w:t>
      </w:r>
      <w:r w:rsidR="001D7AF7" w:rsidRPr="009A3E2A">
        <w:t>Peter Alston</w:t>
      </w:r>
    </w:p>
    <w:p w14:paraId="3AD84AB6" w14:textId="77777777" w:rsidR="00C71EB7" w:rsidRPr="009A3E2A" w:rsidRDefault="00C71EB7" w:rsidP="00E67984">
      <w:pPr>
        <w:pStyle w:val="Subtitle"/>
      </w:pPr>
      <w:r w:rsidRPr="009A3E2A">
        <w:t>Deputy Dean, Group Education Services</w:t>
      </w:r>
    </w:p>
    <w:p w14:paraId="3D9346C9" w14:textId="7CB72BA7" w:rsidR="00C618DF" w:rsidRPr="009A3E2A" w:rsidRDefault="00C618DF" w:rsidP="00E67984">
      <w:pPr>
        <w:spacing w:after="0"/>
      </w:pPr>
      <w:r w:rsidRPr="009A3E2A">
        <w:t>BPP Education Group, St James Building, 79 Oxford Street, Manchester, M1 6FQ</w:t>
      </w:r>
    </w:p>
    <w:p w14:paraId="0707AC8F" w14:textId="3794755B" w:rsidR="001D7AF7" w:rsidRPr="009A3E2A" w:rsidRDefault="00000000" w:rsidP="00E67984">
      <w:pPr>
        <w:spacing w:after="0"/>
        <w:rPr>
          <w:bCs/>
        </w:rPr>
      </w:pPr>
      <w:hyperlink r:id="rId12" w:history="1">
        <w:r w:rsidR="00C618DF" w:rsidRPr="009A3E2A">
          <w:rPr>
            <w:rStyle w:val="Hyperlink"/>
            <w:color w:val="auto"/>
            <w:szCs w:val="22"/>
          </w:rPr>
          <w:t>peteralston@bpp.com</w:t>
        </w:r>
      </w:hyperlink>
    </w:p>
    <w:p w14:paraId="7ECBC974" w14:textId="59B46980" w:rsidR="001D7AF7" w:rsidRPr="009A3E2A" w:rsidRDefault="00AA1CE2" w:rsidP="002628C0">
      <w:r w:rsidRPr="009A3E2A">
        <w:lastRenderedPageBreak/>
        <w:t xml:space="preserve">With a background in information systems and web development/programming, and a PhD in </w:t>
      </w:r>
      <w:proofErr w:type="spellStart"/>
      <w:r w:rsidRPr="009A3E2A">
        <w:t>eResearch</w:t>
      </w:r>
      <w:proofErr w:type="spellEnd"/>
      <w:r w:rsidRPr="009A3E2A">
        <w:t xml:space="preserve"> &amp; Technology Enhanced Learning, Pete is the </w:t>
      </w:r>
      <w:r>
        <w:t>Deputy Dean</w:t>
      </w:r>
      <w:r w:rsidRPr="009A3E2A">
        <w:t xml:space="preserve"> of </w:t>
      </w:r>
      <w:r>
        <w:t>Group Education Services</w:t>
      </w:r>
      <w:r w:rsidRPr="009A3E2A">
        <w:t xml:space="preserve"> at BPP </w:t>
      </w:r>
      <w:r>
        <w:t>Education Group</w:t>
      </w:r>
      <w:r w:rsidRPr="009A3E2A">
        <w:t>, previously a principal lecturer, contributing to both University and Apprenticeship L&amp;T provision. Previously, he was Director of Learning Solutions at Laureate Online Education with responsibility for cultivating relationships with partner institutions and providing strategic vision and oversight for the design and development of academic programs. Prior to joining Laureate, Pete was a Lecturer (Learning Technology) at the University of Liverpool, providing strategic direction on the use of Technology Enhanced Learning (TEL) in the School of Life Sciences, and taking a proactive and lead approach to the development of new ways of using learning technologies, social media and other web-based technologies within education. He also held a Senior Lecturer position in the Department of Computing at Edge Hill University, contributing to the teaching and project supervision on the Web Systems Development pathway, and served as a Senior SOLSTICE Fellow, to take a pro-active and lead approach to develop, broaden and deepen the impact of technology enhanced learning throughout the faculty and across the University.</w:t>
      </w:r>
    </w:p>
    <w:p w14:paraId="03481ABF" w14:textId="0433C76D" w:rsidR="001D7AF7" w:rsidRPr="009A3E2A" w:rsidRDefault="00161458" w:rsidP="00E67984">
      <w:pPr>
        <w:pStyle w:val="Heading2"/>
      </w:pPr>
      <w:r w:rsidRPr="009A3E2A">
        <w:t xml:space="preserve">Professor </w:t>
      </w:r>
      <w:r w:rsidR="001D7AF7" w:rsidRPr="009A3E2A">
        <w:t>Blair Grubb</w:t>
      </w:r>
    </w:p>
    <w:p w14:paraId="36DB6AFB" w14:textId="4626D482" w:rsidR="00482C81" w:rsidRPr="009A3E2A" w:rsidRDefault="00482C81" w:rsidP="00E67984">
      <w:pPr>
        <w:pStyle w:val="Subtitle"/>
      </w:pPr>
      <w:r w:rsidRPr="009A3E2A">
        <w:t>Vice-Principal (Education)</w:t>
      </w:r>
    </w:p>
    <w:p w14:paraId="6F6067EA" w14:textId="13A51AD4" w:rsidR="006F2C7B" w:rsidRPr="009A3E2A" w:rsidRDefault="006F2C7B" w:rsidP="006F2C7B">
      <w:pPr>
        <w:pStyle w:val="Subtitle"/>
        <w:rPr>
          <w:i w:val="0"/>
          <w:iCs w:val="0"/>
        </w:rPr>
      </w:pPr>
      <w:r w:rsidRPr="009A3E2A">
        <w:rPr>
          <w:i w:val="0"/>
          <w:iCs w:val="0"/>
        </w:rPr>
        <w:t xml:space="preserve">Tower Building, University of Dundee, </w:t>
      </w:r>
      <w:proofErr w:type="spellStart"/>
      <w:r w:rsidRPr="009A3E2A">
        <w:rPr>
          <w:i w:val="0"/>
          <w:iCs w:val="0"/>
        </w:rPr>
        <w:t>Nethergate</w:t>
      </w:r>
      <w:proofErr w:type="spellEnd"/>
      <w:r w:rsidRPr="009A3E2A">
        <w:rPr>
          <w:i w:val="0"/>
          <w:iCs w:val="0"/>
        </w:rPr>
        <w:t>, Dundee, DD1 4HN</w:t>
      </w:r>
    </w:p>
    <w:p w14:paraId="4CC62759" w14:textId="0631C57C" w:rsidR="001D7AF7" w:rsidRPr="009A3E2A" w:rsidRDefault="00000000" w:rsidP="006F2C7B">
      <w:pPr>
        <w:pStyle w:val="Subtitle"/>
        <w:rPr>
          <w:rStyle w:val="Hyperlink"/>
          <w:i w:val="0"/>
          <w:iCs w:val="0"/>
          <w:color w:val="auto"/>
          <w:u w:val="none"/>
        </w:rPr>
      </w:pPr>
      <w:hyperlink r:id="rId13" w:history="1">
        <w:r w:rsidR="006F2C7B" w:rsidRPr="009A3E2A">
          <w:rPr>
            <w:rStyle w:val="Hyperlink"/>
            <w:color w:val="auto"/>
            <w:szCs w:val="22"/>
          </w:rPr>
          <w:t>b.d.grubb@dundee.ac.uk</w:t>
        </w:r>
      </w:hyperlink>
    </w:p>
    <w:p w14:paraId="64E701B7" w14:textId="49DA7DDF" w:rsidR="00E67984" w:rsidRPr="009A3E2A" w:rsidRDefault="000872AF" w:rsidP="00752E89">
      <w:pPr>
        <w:spacing w:after="0"/>
      </w:pPr>
      <w:r w:rsidRPr="009A3E2A">
        <w:t>Formerly</w:t>
      </w:r>
      <w:r w:rsidR="00752E89" w:rsidRPr="009A3E2A">
        <w:t xml:space="preserve"> the Associate Pro-Vice Chancellor (Education) for the Faculty of Health &amp; Life Sciences at the University of Liverpool, a position he held since March 2016. Whilst at Liverpool he was also Dean of the Institute of Life &amp; Human Sciences for two years, and before that, Head of the School of Life Sciences. Key achievements during this time included leading a team that reinvigorated the undergraduate Psychology programme and chairing a university-wide project board working to transform the student digital journey. Professor Grubb also worked closely with undergraduates and postgraduates across his faculty to improve the student experience and student engagement at Liverpool. Before joining Liverpool, Professor Grubb was Head of the Department of Cell Physiology &amp; Pharmacology at the University of Leicester for nine years. His department had an excellent reputation for Life Sciences research, and he also led the development of two highly successful undergraduate programmes. Professor Grubb holds a BSc Biological Sciences (Physiology) from the University of Edinburgh and obtained his PhD in Neuroscience from the University of Newcastle.</w:t>
      </w:r>
      <w:r w:rsidR="007C2E49" w:rsidRPr="009A3E2A">
        <w:t xml:space="preserve"> </w:t>
      </w:r>
      <w:r w:rsidR="00752E89" w:rsidRPr="009A3E2A">
        <w:t>He has been a member of his professional body, the Physiological Society, for many years and chaired their national Education and Outreach Committee for four years.</w:t>
      </w:r>
    </w:p>
    <w:p w14:paraId="03C9973B" w14:textId="77777777" w:rsidR="00752E89" w:rsidRPr="009A3E2A" w:rsidRDefault="00752E89" w:rsidP="00752E89">
      <w:pPr>
        <w:spacing w:after="0"/>
      </w:pPr>
    </w:p>
    <w:p w14:paraId="6DB47A60" w14:textId="3CF654D5" w:rsidR="006A46D3" w:rsidRPr="00870FF7" w:rsidRDefault="006A46D3" w:rsidP="002628C0">
      <w:pPr>
        <w:rPr>
          <w:b/>
        </w:rPr>
      </w:pPr>
      <w:r w:rsidRPr="009A3E2A">
        <w:rPr>
          <w:b/>
        </w:rPr>
        <w:t>Key Words</w:t>
      </w:r>
      <w:r w:rsidR="002078BB" w:rsidRPr="009A3E2A">
        <w:rPr>
          <w:b/>
        </w:rPr>
        <w:t xml:space="preserve"> (4-7)</w:t>
      </w:r>
      <w:r w:rsidRPr="009A3E2A">
        <w:rPr>
          <w:b/>
        </w:rPr>
        <w:t xml:space="preserve">: </w:t>
      </w:r>
      <w:r w:rsidR="002E6C2D" w:rsidRPr="009A3E2A">
        <w:t>MOOC, Online Learning, Virtual Learning</w:t>
      </w:r>
      <w:r w:rsidR="008D229D" w:rsidRPr="009A3E2A">
        <w:t>, Higher Education</w:t>
      </w:r>
      <w:r w:rsidR="00402536" w:rsidRPr="009A3E2A">
        <w:t>, e-learning</w:t>
      </w:r>
      <w:r w:rsidRPr="009A3E2A">
        <w:br w:type="page"/>
      </w:r>
    </w:p>
    <w:p w14:paraId="7F1D2E6B" w14:textId="6D356D6B" w:rsidR="0083073B" w:rsidRDefault="006A46D3" w:rsidP="005D6C63">
      <w:pPr>
        <w:pStyle w:val="Heading1"/>
      </w:pPr>
      <w:r w:rsidRPr="009A3E2A">
        <w:lastRenderedPageBreak/>
        <w:t>Abstract</w:t>
      </w:r>
      <w:r w:rsidR="00DB2D13" w:rsidRPr="009A3E2A">
        <w:t xml:space="preserve"> (max </w:t>
      </w:r>
      <w:r w:rsidR="00166E27" w:rsidRPr="009A3E2A">
        <w:t>300 words)</w:t>
      </w:r>
    </w:p>
    <w:p w14:paraId="76006EFA" w14:textId="763F5F6E" w:rsidR="006D3561" w:rsidRPr="003D754C" w:rsidRDefault="00C043CD" w:rsidP="006D3561">
      <w:pPr>
        <w:rPr>
          <w:b/>
          <w:bCs/>
        </w:rPr>
      </w:pPr>
      <w:r>
        <w:t>Interactive digital technologies have begun to be an increasingly important tool within Higher Education (HE). One example of such technology is that of e-learning, particularly with the growing interest in Massive Open Online Courses (MOOCs)</w:t>
      </w:r>
      <w:r w:rsidR="000B1A4E">
        <w:t xml:space="preserve">. </w:t>
      </w:r>
      <w:r w:rsidR="00D9710F">
        <w:t>Prospective students would have the benefit of utilising MOOCs</w:t>
      </w:r>
      <w:r w:rsidR="00F7434F">
        <w:t xml:space="preserve"> to explore potential pathways and </w:t>
      </w:r>
      <w:r w:rsidR="003D754C">
        <w:t>subjects’</w:t>
      </w:r>
      <w:r w:rsidR="000B1A4E">
        <w:t xml:space="preserve"> </w:t>
      </w:r>
      <w:r w:rsidR="002622CD">
        <w:t xml:space="preserve">areas, with </w:t>
      </w:r>
      <w:r w:rsidR="00B16D0C">
        <w:t>Physiology chosen</w:t>
      </w:r>
      <w:r w:rsidR="00684FF2">
        <w:t xml:space="preserve"> to be developed into a MOOC</w:t>
      </w:r>
      <w:r w:rsidR="003D754C">
        <w:t xml:space="preserve"> to raise the profile with a view to improving recruitment into Physiology or Physiology related study pathways.  </w:t>
      </w:r>
      <w:r w:rsidR="00684FF2">
        <w:t xml:space="preserve">The course was created in 2017 and to date, </w:t>
      </w:r>
      <w:r w:rsidR="003E10AB">
        <w:t xml:space="preserve">17,986 individuals have enrolled onto the course with an average rating of 4.7 out of 5 stars. </w:t>
      </w:r>
      <w:r w:rsidR="00922EF1">
        <w:t xml:space="preserve">Upon reflection, the MOOC </w:t>
      </w:r>
      <w:r w:rsidR="00635607">
        <w:t>reached</w:t>
      </w:r>
      <w:r w:rsidR="00922EF1">
        <w:t xml:space="preserve"> some of the target audience however, the majority appeared to be those </w:t>
      </w:r>
      <w:r w:rsidR="00262A13">
        <w:t xml:space="preserve">who were in employment and were utilising the resource to enhance their learning. Lessons learnt from the development and implementation of the MOOC include the importance of collaboration and partnerships, particularly with the target audience, to ensure the course is fit-for-purpose. In addition, </w:t>
      </w:r>
      <w:r w:rsidR="002C2B15">
        <w:t xml:space="preserve">the planning </w:t>
      </w:r>
      <w:r w:rsidR="002B1CFF">
        <w:t>of the MOOC itself was found to be of great importance</w:t>
      </w:r>
      <w:r w:rsidR="008370A9">
        <w:t>, the team discovered the importan</w:t>
      </w:r>
      <w:r w:rsidR="00755E47">
        <w:t>ce of utilising storyboards to develop the scripts and interaction opportunities</w:t>
      </w:r>
      <w:r w:rsidR="00BB7B3F">
        <w:t xml:space="preserve"> a</w:t>
      </w:r>
      <w:r w:rsidR="00A66D6C">
        <w:t>s well as</w:t>
      </w:r>
      <w:r w:rsidR="00BB7B3F">
        <w:t xml:space="preserve"> ensuring</w:t>
      </w:r>
      <w:r w:rsidR="00237850">
        <w:t xml:space="preserve"> the inclusion of demonstrations and animations to help learners visualise key concepts and </w:t>
      </w:r>
      <w:r w:rsidR="00B16D0C">
        <w:t xml:space="preserve">essential information. </w:t>
      </w:r>
      <w:r w:rsidR="00705E4A" w:rsidRPr="7185FA47">
        <w:rPr>
          <w:rFonts w:eastAsia="Calibri"/>
        </w:rPr>
        <w:t>Whilst the initial ambition for the Physiology MOOC was targeted at a younger demographic, in preparation for their journey into further or higher education, and potentially a career in the discipline, these data indicate limited impact in this regard.</w:t>
      </w:r>
      <w:r w:rsidR="00690328" w:rsidRPr="7185FA47">
        <w:rPr>
          <w:rFonts w:eastAsia="Calibri"/>
        </w:rPr>
        <w:t xml:space="preserve"> Potential reasons for this could be the </w:t>
      </w:r>
      <w:r w:rsidR="00B16D0C" w:rsidRPr="7185FA47">
        <w:rPr>
          <w:rFonts w:eastAsia="Calibri"/>
        </w:rPr>
        <w:t>platforms to</w:t>
      </w:r>
      <w:r w:rsidR="00690328" w:rsidRPr="7185FA47">
        <w:rPr>
          <w:rFonts w:eastAsia="Calibri"/>
        </w:rPr>
        <w:t xml:space="preserve"> which the MOOC was promoted</w:t>
      </w:r>
      <w:r w:rsidR="0045782B" w:rsidRPr="7185FA47">
        <w:rPr>
          <w:rFonts w:eastAsia="Calibri"/>
        </w:rPr>
        <w:t>, the target audience may be better reached through promotion in schools and colleges</w:t>
      </w:r>
      <w:r w:rsidR="009E0814" w:rsidRPr="7185FA47">
        <w:rPr>
          <w:rFonts w:eastAsia="Calibri"/>
        </w:rPr>
        <w:t xml:space="preserve">, there may also be a lack of awareness </w:t>
      </w:r>
      <w:r w:rsidR="00C96094" w:rsidRPr="7185FA47">
        <w:rPr>
          <w:rFonts w:eastAsia="Calibri"/>
        </w:rPr>
        <w:t xml:space="preserve">of the platform </w:t>
      </w:r>
      <w:r w:rsidR="009E0814" w:rsidRPr="7185FA47">
        <w:rPr>
          <w:rFonts w:eastAsia="Calibri"/>
        </w:rPr>
        <w:t>with</w:t>
      </w:r>
      <w:r w:rsidR="00701ED6" w:rsidRPr="7185FA47">
        <w:rPr>
          <w:rFonts w:eastAsia="Calibri"/>
        </w:rPr>
        <w:t>in</w:t>
      </w:r>
      <w:r w:rsidR="009E0814" w:rsidRPr="7185FA47">
        <w:rPr>
          <w:rFonts w:eastAsia="Calibri"/>
        </w:rPr>
        <w:t xml:space="preserve"> this population.</w:t>
      </w:r>
      <w:r w:rsidR="00705E4A" w:rsidRPr="7185FA47">
        <w:rPr>
          <w:rFonts w:eastAsia="Calibri"/>
        </w:rPr>
        <w:t xml:space="preserve"> Although it is questionable as to whether a MOOC is the most appropriate vehicle for this purpose, the evidence suggests that a large number of learners across the demographic spectrum benefitted greatly from the learning materials and evaluated them highly.</w:t>
      </w:r>
    </w:p>
    <w:p w14:paraId="44DB9422" w14:textId="77777777" w:rsidR="0083073B" w:rsidRPr="009A3E2A" w:rsidRDefault="0083073B" w:rsidP="002628C0">
      <w:r w:rsidRPr="009A3E2A">
        <w:br w:type="page"/>
      </w:r>
    </w:p>
    <w:p w14:paraId="43CBDAE0" w14:textId="150CD69C" w:rsidR="00F36599" w:rsidRPr="009A3E2A" w:rsidRDefault="00EF3DA4" w:rsidP="005D6C63">
      <w:pPr>
        <w:pStyle w:val="Heading1"/>
      </w:pPr>
      <w:r w:rsidRPr="009A3E2A">
        <w:lastRenderedPageBreak/>
        <w:t>Background</w:t>
      </w:r>
    </w:p>
    <w:p w14:paraId="70C86ECE" w14:textId="534F54A3" w:rsidR="00E56461" w:rsidRPr="009A3E2A" w:rsidRDefault="00F36599" w:rsidP="002628C0">
      <w:r>
        <w:t xml:space="preserve">Interactive digital technologies </w:t>
      </w:r>
      <w:r w:rsidR="000F55ED">
        <w:t>are</w:t>
      </w:r>
      <w:r w:rsidR="00F86647">
        <w:t xml:space="preserve"> </w:t>
      </w:r>
      <w:r>
        <w:t xml:space="preserve">an increasingly important tool within Higher Education (HE) </w:t>
      </w:r>
      <w:r w:rsidRPr="59D384B5">
        <w:rPr>
          <w:vertAlign w:val="superscript"/>
        </w:rPr>
        <w:fldChar w:fldCharType="begin" w:fldLock="1"/>
      </w:r>
      <w:r w:rsidRPr="59D384B5">
        <w:rPr>
          <w:vertAlign w:val="superscript"/>
        </w:rPr>
        <w:instrText>ADDIN CSL_CITATION {"citationItems":[{"id":"ITEM-1","itemData":{"DOI":"10.5944/openpraxis.8.3.282","ISSN":"2304-070X","abstract":"This paper reports preliminary findings on students enrolled in a massive open online course, who were also assigned to work in groups. Part of a larger study on the effect of groups on retention and completion in MOOCs, the paper provides students' demographics (i.e., location, gender, education level, and employment status), and motivation for taking the course. Findings show that women outnumbered men and that students mostly enrolled into the course because of a friend. Indeed, research on MOOCs demonstrates that men outnumber women and that educational pursuit and professional development are the main motivators for taking MOOCs. Yet, this paper shows that when group work is included in a MOOC, women participate more. Furthermore, for students assigned to groups in a MOOC, friends are the principal incentive for enrolling into the course. These results are discussed in light of previous research, and implications for teaching and learning in online environments addressed.","author":[{"dropping-particle":"","family":"Bayeck","given":"Rebecca Yvonne","non-dropping-particle":"","parse-names":false,"suffix":""}],"container-title":"Open Praxis","id":"ITEM-1","issue":"3","issued":{"date-parts":[["2016"]]},"page":"223-233","title":"Exploratory study of MOOC learners’ demographics and motivation: The case of students involved in groups","type":"article-journal","volume":"8"},"uris":["http://www.mendeley.com/documents/?uuid=3e29b93d-dcc8-45bd-9be1-4b05d99daffd"]}],"mendeley":{"formattedCitation":"(1)","manualFormatting":"1","plainTextFormattedCitation":"(1)","previouslyFormattedCitation":"(1)"},"properties":{"noteIndex":0},"schema":"https://github.com/citation-style-language/schema/raw/master/csl-citation.json"}</w:instrText>
      </w:r>
      <w:r w:rsidRPr="59D384B5">
        <w:rPr>
          <w:vertAlign w:val="superscript"/>
        </w:rPr>
        <w:fldChar w:fldCharType="separate"/>
      </w:r>
      <w:r w:rsidR="00E56787" w:rsidRPr="59D384B5">
        <w:rPr>
          <w:noProof/>
          <w:vertAlign w:val="superscript"/>
        </w:rPr>
        <w:t>1</w:t>
      </w:r>
      <w:r w:rsidRPr="59D384B5">
        <w:rPr>
          <w:vertAlign w:val="superscript"/>
        </w:rPr>
        <w:fldChar w:fldCharType="end"/>
      </w:r>
      <w:r>
        <w:t xml:space="preserve">. Extensive discussion has occurred surrounding the potential to utilise these emerging technologies to allow students with different backgrounds, attributes and skillsets to be able to access courses </w:t>
      </w:r>
      <w:r w:rsidRPr="59D384B5">
        <w:rPr>
          <w:vertAlign w:val="superscript"/>
        </w:rPr>
        <w:fldChar w:fldCharType="begin" w:fldLock="1"/>
      </w:r>
      <w:r w:rsidRPr="59D384B5">
        <w:rPr>
          <w:vertAlign w:val="superscript"/>
        </w:rPr>
        <w:instrText>ADDIN CSL_CITATION {"citationItems":[{"id":"ITEM-1","itemData":{"abstract":"This study sets out to answer the question: how can we know what learning is taking place in MOOCs? From this starting point, the study then looks to identify MOOCs’ potential for future use in HE? Using a specially-adapted version of the HEA’s UK Engagement Survey (UKES) 2014, the research team at the University of Southampton asked participants who had completed one of two MOOCs delivered through the FutureLearn platform and designed and run at the university about their experiences as learners and their engagement with their respective MOOC. The results also show that both of the MOOCs were successful in enabling many participants to feel engaged in intellectual endeavours such as forming new understandings, making connections with previous knowledge and experience, and exploring knowledge actively, creatively and critically. In response to the open access approach – in which no one taking part in a MOOC is required to have a minimum level of previous educational achievement - the report shows that persistent learners engaged, regardless of prior educational attainment.","author":[{"dropping-particle":"","family":"Wintrup","given":"Julie","non-dropping-particle":"","parse-names":false,"suffix":""},{"dropping-particle":"","family":"Wakefield","given":"Kelly","non-dropping-particle":"","parse-names":false,"suffix":""},{"dropping-particle":"","family":"Davis","given":"Hugh","non-dropping-particle":"","parse-names":false,"suffix":""}],"container-title":"The Higher Education Academy","id":"ITEM-1","issued":{"date-parts":[["2015"]]},"title":"Engaged learning in MOOCs: a study using the UK Engagement Survey","type":"article-journal"},"uris":["http://www.mendeley.com/documents/?uuid=df8a3026-e0ae-41ea-a82c-40e67b70b390"]}],"mendeley":{"formattedCitation":"(2)","manualFormatting":"2","plainTextFormattedCitation":"(2)","previouslyFormattedCitation":"(2)"},"properties":{"noteIndex":0},"schema":"https://github.com/citation-style-language/schema/raw/master/csl-citation.json"}</w:instrText>
      </w:r>
      <w:r w:rsidRPr="59D384B5">
        <w:rPr>
          <w:vertAlign w:val="superscript"/>
        </w:rPr>
        <w:fldChar w:fldCharType="separate"/>
      </w:r>
      <w:r w:rsidR="00E56787" w:rsidRPr="59D384B5">
        <w:rPr>
          <w:noProof/>
          <w:vertAlign w:val="superscript"/>
        </w:rPr>
        <w:t>2</w:t>
      </w:r>
      <w:r w:rsidRPr="59D384B5">
        <w:rPr>
          <w:vertAlign w:val="superscript"/>
        </w:rPr>
        <w:fldChar w:fldCharType="end"/>
      </w:r>
      <w:r w:rsidR="00E56787">
        <w:t xml:space="preserve">. </w:t>
      </w:r>
      <w:r>
        <w:t xml:space="preserve">One example of such technology is that of e-learning, particularly with the growing interest in Massive Open Online Courses (MOOCs) which has the potential to reach prospective students on a global scale. MOOCs are a large-scale, inclusive programme that is delivered </w:t>
      </w:r>
      <w:r w:rsidR="00D4533C">
        <w:t>online</w:t>
      </w:r>
      <w:r>
        <w:t xml:space="preserve"> using various platforms such as </w:t>
      </w:r>
      <w:proofErr w:type="spellStart"/>
      <w:r w:rsidR="0857FAAD">
        <w:t>FutureLearn</w:t>
      </w:r>
      <w:proofErr w:type="spellEnd"/>
      <w:r>
        <w:t>, Coursera and edX.</w:t>
      </w:r>
      <w:r w:rsidR="003E4388">
        <w:t xml:space="preserve"> </w:t>
      </w:r>
      <w:r w:rsidR="00713F69">
        <w:t>Much of the current literature surrounding MOOCs focus</w:t>
      </w:r>
      <w:r w:rsidR="00C47C96">
        <w:t>es</w:t>
      </w:r>
      <w:r w:rsidR="00713F69">
        <w:t xml:space="preserve"> on the “global reach”</w:t>
      </w:r>
      <w:r w:rsidR="007B0443">
        <w:t xml:space="preserve"> with much less discussion on the potential implications of utilising MOOCs to prepare prospective students for </w:t>
      </w:r>
      <w:r w:rsidR="493FF31F">
        <w:t>university</w:t>
      </w:r>
      <w:r w:rsidRPr="59D384B5">
        <w:rPr>
          <w:vertAlign w:val="superscript"/>
        </w:rPr>
        <w:fldChar w:fldCharType="begin" w:fldLock="1"/>
      </w:r>
      <w:r w:rsidRPr="59D384B5">
        <w:rPr>
          <w:vertAlign w:val="superscript"/>
        </w:rPr>
        <w:instrText>ADDIN CSL_CITATION {"citationItems":[{"id":"ITEM-1","itemData":{"author":[{"dropping-particle":"","family":"Lane","given":"A","non-dropping-particle":"","parse-names":false,"suffix":""}],"container-title":"The Open and Flexible Higher Education Conference 2013","id":"ITEM-1","issued":{"date-parts":[["2013"]]},"page":"189 - 203","publisher":"EADTU","publisher-place":"Paris","title":"The potential of MOOCs to widen access to, and success in, higher education study.","type":"paper-conference"},"uris":["http://www.mendeley.com/documents/?uuid=c485fa79-c4e0-48dc-b9d0-faf7a1e1fd84","http://www.mendeley.com/documents/?uuid=e4cc2245-4e92-46ac-9185-3c043815df9a"]}],"mendeley":{"formattedCitation":"(3)","manualFormatting":"3","plainTextFormattedCitation":"(3)","previouslyFormattedCitation":"(3)"},"properties":{"noteIndex":0},"schema":"https://github.com/citation-style-language/schema/raw/master/csl-citation.json"}</w:instrText>
      </w:r>
      <w:r w:rsidRPr="59D384B5">
        <w:rPr>
          <w:vertAlign w:val="superscript"/>
        </w:rPr>
        <w:fldChar w:fldCharType="separate"/>
      </w:r>
      <w:r w:rsidR="000A5897" w:rsidRPr="59D384B5">
        <w:rPr>
          <w:noProof/>
          <w:vertAlign w:val="superscript"/>
        </w:rPr>
        <w:t>3</w:t>
      </w:r>
      <w:r w:rsidRPr="59D384B5">
        <w:rPr>
          <w:vertAlign w:val="superscript"/>
        </w:rPr>
        <w:fldChar w:fldCharType="end"/>
      </w:r>
      <w:r w:rsidR="000A5897">
        <w:t xml:space="preserve">. </w:t>
      </w:r>
      <w:r w:rsidR="007C444F">
        <w:t xml:space="preserve">MOOC research is still in </w:t>
      </w:r>
      <w:r w:rsidR="221D6AC2">
        <w:t>its</w:t>
      </w:r>
      <w:r w:rsidR="007C444F">
        <w:t xml:space="preserve"> infancy, yet the potential to promote inclusivity and widen access to HE through this technology is beginning to be explored </w:t>
      </w:r>
      <w:r w:rsidRPr="59D384B5">
        <w:rPr>
          <w:vertAlign w:val="superscript"/>
        </w:rPr>
        <w:fldChar w:fldCharType="begin" w:fldLock="1"/>
      </w:r>
      <w:r w:rsidRPr="59D384B5">
        <w:rPr>
          <w:vertAlign w:val="superscript"/>
        </w:rPr>
        <w:instrText>ADDIN CSL_CITATION {"citationItems":[{"id":"ITEM-1","itemData":{"DOI":"10.1016/j.compedu.2019.103693","ISSN":"03601315","abstract":"In recent years, hopes that Massive Open Online Courses (MOOCs) would make access to education fairer faded in the light of research showing MOOCs favoured the already educated and relatively advantaged. This paper presents the results of a systematic review of literature from 2014 to 2018. The aim was to investigate the extent that MOOCs and other free open education programs provide equitable forms of online education to address global widening participation agendas. The literature fell into two main groups: empirical reports on outcomes for students, and those providing policy or practitioner guidance. A globally diverse set of 46 studies and reports were examined, including 24 empirical evaluations of programs reaching over 440,000 disadvantaged learners in both distance and blended learning settings. Most literature claimed an interest in advancing student equity (enrolled or tertiary preparation learners) and/or social inclusion (community learners) with low-skills, low confidence, and/or low levels of previous education. In contrast to the existing literature, this study found that there was a flourishing of multi-lingual and Languages other than English (LOTE) programs and those addressing regional socio-economic disadvantage. Most cases involved MOOCs and free online resources combined with additional forms of support, including face-to-face study groups. Contrary to the existing debate in the open education literature, the review also found that the legal status of the learning materials (copyright or openly licenced) was of little consequence so long as it was free to the end user. What seemed to matter most was the intentional and collaborative design for disadvantaged cohorts, including the provision of digital or face-to-face personal support. Successful design collaborations often featured learner-centred, non-technical partnerships with community groups which increased the understanding of the needs of particular marginalised learners, while also providing more sustainable and distributed learner support. The review concludes that MOOCs which aim to widen participation in education are an alternative global practice that exists alongside more commercial MOOC offerings. Recommendations are provided for addressing gaps in offerings, and improving design and research.","author":[{"dropping-particle":"","family":"Lambert","given":"Sarah R.","non-dropping-particle":"","parse-names":false,"suffix":""}],"container-title":"Computers and Education","id":"ITEM-1","issue":"November 2018","issued":{"date-parts":[["2020"]]},"page":"103693","publisher":"Elsevier","title":"Do MOOCs contribute to student equity and social inclusion? A systematic review 2014–18","type":"article-journal","volume":"145"},"uris":["http://www.mendeley.com/documents/?uuid=0bc5175f-583d-464c-9fb1-cc428f54ffba"]}],"mendeley":{"formattedCitation":"(4)","manualFormatting":"4","plainTextFormattedCitation":"(4)","previouslyFormattedCitation":"(4)"},"properties":{"noteIndex":0},"schema":"https://github.com/citation-style-language/schema/raw/master/csl-citation.json"}</w:instrText>
      </w:r>
      <w:r w:rsidRPr="59D384B5">
        <w:rPr>
          <w:vertAlign w:val="superscript"/>
        </w:rPr>
        <w:fldChar w:fldCharType="separate"/>
      </w:r>
      <w:r w:rsidR="007C444F" w:rsidRPr="59D384B5">
        <w:rPr>
          <w:noProof/>
          <w:vertAlign w:val="superscript"/>
        </w:rPr>
        <w:t>4</w:t>
      </w:r>
      <w:r w:rsidRPr="59D384B5">
        <w:rPr>
          <w:vertAlign w:val="superscript"/>
        </w:rPr>
        <w:fldChar w:fldCharType="end"/>
      </w:r>
      <w:r w:rsidR="007C444F">
        <w:t xml:space="preserve">. </w:t>
      </w:r>
    </w:p>
    <w:p w14:paraId="04D2B23E" w14:textId="5F047242" w:rsidR="00EC5A74" w:rsidRPr="009A3E2A" w:rsidRDefault="007B1785" w:rsidP="002628C0">
      <w:r>
        <w:t xml:space="preserve">With the recent COVID-19 pandemic, </w:t>
      </w:r>
      <w:r w:rsidR="00147576">
        <w:t>education moved to having a more virtual approach</w:t>
      </w:r>
      <w:r w:rsidR="00C40E96">
        <w:t xml:space="preserve"> with online learning being the only viable option</w:t>
      </w:r>
      <w:r w:rsidRPr="59D384B5">
        <w:rPr>
          <w:vertAlign w:val="superscript"/>
        </w:rPr>
        <w:fldChar w:fldCharType="begin" w:fldLock="1"/>
      </w:r>
      <w:r w:rsidRPr="59D384B5">
        <w:rPr>
          <w:vertAlign w:val="superscript"/>
        </w:rPr>
        <w:instrText>ADDIN CSL_CITATION {"citationItems":[{"id":"ITEM-1","itemData":{"abstract":"… and private schools, including day schools and residential schools, international schools, Tahfiz … that the soft skills of the student are integrated into all programs, such as communication …","author":[{"dropping-particle":"","family":"Safri","given":"Safwana Nurwidad","non-dropping-particle":"","parse-names":false,"suffix":""},{"dropping-particle":"","family":"Mohi","given":"Zurinawati","non-dropping-particle":"","parse-names":false,"suffix":""},{"dropping-particle":"","family":"Hanafiah","given":"Mohd Hafiz","non-dropping-particle":"","parse-names":false,"suffix":""}],"container-title":"Journal of Tourism, Hospitality &amp; Culinary Arts (JTHCA) 2020,","id":"ITEM-1","issue":"December","issued":{"date-parts":[["2020"]]},"page":"120-128","title":"Massive Open Online Course (MOOC): Our saviour during COVID-19 pandemic ?","type":"article-journal","volume":"12 (3)"},"uris":["http://www.mendeley.com/documents/?uuid=dd1ac7b7-fba7-4037-9d9e-076d627f11c4"]}],"mendeley":{"formattedCitation":"(5)","manualFormatting":"5","plainTextFormattedCitation":"(5)","previouslyFormattedCitation":"(5)"},"properties":{"noteIndex":0},"schema":"https://github.com/citation-style-language/schema/raw/master/csl-citation.json"}</w:instrText>
      </w:r>
      <w:r w:rsidRPr="59D384B5">
        <w:rPr>
          <w:vertAlign w:val="superscript"/>
        </w:rPr>
        <w:fldChar w:fldCharType="separate"/>
      </w:r>
      <w:r w:rsidR="00B25FBB" w:rsidRPr="59D384B5">
        <w:rPr>
          <w:noProof/>
          <w:vertAlign w:val="superscript"/>
        </w:rPr>
        <w:t>5</w:t>
      </w:r>
      <w:r w:rsidRPr="59D384B5">
        <w:rPr>
          <w:vertAlign w:val="superscript"/>
        </w:rPr>
        <w:fldChar w:fldCharType="end"/>
      </w:r>
      <w:r w:rsidR="00B02196">
        <w:t xml:space="preserve">. For those students who </w:t>
      </w:r>
      <w:r w:rsidR="00262BD0">
        <w:t>were not prepared for more independent learning due to the nature of their course, this move to online learning saw a decreas</w:t>
      </w:r>
      <w:r w:rsidR="00D7183F">
        <w:t>e in engagement with the course</w:t>
      </w:r>
      <w:r w:rsidRPr="59D384B5">
        <w:rPr>
          <w:vertAlign w:val="superscript"/>
        </w:rPr>
        <w:fldChar w:fldCharType="begin" w:fldLock="1"/>
      </w:r>
      <w:r w:rsidRPr="59D384B5">
        <w:rPr>
          <w:vertAlign w:val="superscript"/>
        </w:rPr>
        <w:instrText>ADDIN CSL_CITATION {"citationItems":[{"id":"ITEM-1","itemData":{"DOI":"10.18510/hssr.2020.84103","abstract":"Purpose of the study: The situation of a mass transition of Universities to online education in the period of the COVID-19 pandemic allowed us to see the challenges of distance e-learning in practice. In this unique situation, the same students studying the same course changed only the form of education, which allows us to see the consequences of such a transition. The purpose of the study is the analysis of changes in students' educational activities in the transition to online learning.\r Methodology: The article provides a quantitative statistical analysis of changes in the behaviour of first-year students of Peter the Great St. Petersburg Polytechnic University (N=3122) in the framework of studying the mass open online course “Philosophy” on the platform open.edu when switching to fully e-learning in March 2020. The authors have applied data mining MOOCs from students’ learning portfolios.\r Main Findings: Existing technological solutions and educational technologies made it possible to quickly adapt the education system to the distance format. However, the transition to fully e-learning has led to a sharp increase (by 16-17%) in the number of students who do not participate in intermediate tests and not doing homework in the e-course and later did not return to normal learning.\r Applications of this study: Since modern higher education is increasingly using e-learning, it is necessary to anticipate the consequences of the implementation of e-learning. The study helps to see general trends in this area.\r Novelty/Originality of this study: The study provides an analysis of students’ learning when switching to online education based on data taken directly from students’ learning portfolios, which allows us to see a completely objective picture of changes in students' behaviour.","author":[{"dropping-particle":"","family":"Bylieva","given":"Daria","non-dropping-particle":"","parse-names":false,"suffix":""},{"dropping-particle":"","family":"Bekirogullari","given":"Zafer","non-dropping-particle":"","parse-names":false,"suffix":""},{"dropping-particle":"","family":"Lobatyuk","given":"Victoria","non-dropping-particle":"","parse-names":false,"suffix":""},{"dropping-particle":"","family":"Nam","given":"Tatiana","non-dropping-particle":"","parse-names":false,"suffix":""}],"container-title":"Humanities &amp; Social Sciences Reviews","id":"ITEM-1","issue":"4","issued":{"date-parts":[["2020"]]},"page":"1083-1093","title":"Analysis of the Consequences of the Transition To Online Learning on the Example of Mooc Philosophy During the Covid-19 Pandemic","type":"article-journal","volume":"8"},"uris":["http://www.mendeley.com/documents/?uuid=1ce8707c-fdbc-4c16-b059-009a4bc0d9c3"]}],"mendeley":{"formattedCitation":"(6)","manualFormatting":"6","plainTextFormattedCitation":"(6)","previouslyFormattedCitation":"(6)"},"properties":{"noteIndex":0},"schema":"https://github.com/citation-style-language/schema/raw/master/csl-citation.json"}</w:instrText>
      </w:r>
      <w:r w:rsidRPr="59D384B5">
        <w:rPr>
          <w:vertAlign w:val="superscript"/>
        </w:rPr>
        <w:fldChar w:fldCharType="separate"/>
      </w:r>
      <w:r w:rsidR="00D7183F" w:rsidRPr="59D384B5">
        <w:rPr>
          <w:noProof/>
          <w:vertAlign w:val="superscript"/>
        </w:rPr>
        <w:t>6</w:t>
      </w:r>
      <w:r w:rsidRPr="59D384B5">
        <w:rPr>
          <w:vertAlign w:val="superscript"/>
        </w:rPr>
        <w:fldChar w:fldCharType="end"/>
      </w:r>
      <w:r w:rsidR="00D7183F">
        <w:t xml:space="preserve">. </w:t>
      </w:r>
      <w:r w:rsidR="007712FD">
        <w:t>Pre-pandemic,</w:t>
      </w:r>
      <w:r w:rsidR="009E2AC4">
        <w:t xml:space="preserve"> reports of learner retention on MOOCS state that </w:t>
      </w:r>
      <w:r w:rsidR="004351A4">
        <w:t>retention rates were less than 10%</w:t>
      </w:r>
      <w:r w:rsidR="00800F4E">
        <w:t xml:space="preserve"> </w:t>
      </w:r>
      <w:r>
        <w:fldChar w:fldCharType="begin"/>
      </w:r>
      <w:r>
        <w:instrText>ADDIN CSL_CITATION {"citationItems":[{"id":"ITEM-1","itemData":{"DOI":"10.1080/15313220.2020.1809050","ISSN":"15313239","abstract":"The high dropout rate from Massive Open Online Courses (MOOCs) has been a major concern of researchers and educators over the years. Although academic papers on MOOCs have mushroomed over the past ten years, few studies have focused on MOOC dropout and retention. In particular, research on hospitality and tourism MOOCs has remained nascent despite the field’s significant contribution to international business and global employment. Because of the lack of relevant literature on hospitality and tourism MOOCs, this study conducts a systematic review of the MOOC literature on the broader education field, examining the MOOC dropout phenomenon and retention strategies. The results of a content analysis based on journal articles’ main research topic show four clusters: prediction, continuance intention, motivation, and attrition. Thematic analysis is used to categorize the dropout factors into seven major themes: learning experience, interactivity, course design, technology, language, time, and situation. This paper concludes with a summary of the results, recommendations, practical implications, limitations, and directions for future research.","author":[{"dropping-particle":"","family":"Goopio","given":"Joselyn","non-dropping-particle":"","parse-names":false,"suffix":""},{"dropping-particle":"","family":"Cheung","given":"Catherine","non-dropping-particle":"","parse-names":false,"suffix":""}],"container-title":"Journal of Teaching in Travel and Tourism","id":"ITEM-1","issue":"2","issued":{"date-parts":[["2021"]]},"page":"177-197","publisher":"Routledge","title":"The MOOC dropout phenomenon and retention strategies","type":"article-journal","volume":"21"},"uris":["http://www.mendeley.com/documents/?uuid=597fc13f-79d7-4e52-b1cd-689988728f52"]}],"mendeley":{"formattedCitation":"(7)","manualFormatting":"7","plainTextFormattedCitation":"(7)","previouslyFormattedCitation":"(7)"},"properties":{"noteIndex":0},"schema":"https://github.com/citation-style-language/schema/raw/master/csl-citation.json"}</w:instrText>
      </w:r>
      <w:r>
        <w:fldChar w:fldCharType="separate"/>
      </w:r>
      <w:r w:rsidR="00800F4E" w:rsidRPr="00B16D0C">
        <w:rPr>
          <w:noProof/>
          <w:vertAlign w:val="superscript"/>
        </w:rPr>
        <w:t>7</w:t>
      </w:r>
      <w:r>
        <w:fldChar w:fldCharType="end"/>
      </w:r>
      <w:r w:rsidR="005355C4">
        <w:t>.</w:t>
      </w:r>
      <w:r w:rsidR="003627C6">
        <w:t xml:space="preserve"> During the pandemic, whilst there was a substantial increase in</w:t>
      </w:r>
      <w:r w:rsidR="00290A71">
        <w:t xml:space="preserve"> the number of</w:t>
      </w:r>
      <w:r w:rsidR="003627C6">
        <w:t xml:space="preserve"> </w:t>
      </w:r>
      <w:r w:rsidR="00635612">
        <w:t xml:space="preserve">MOOCs </w:t>
      </w:r>
      <w:r w:rsidR="00290A71">
        <w:t xml:space="preserve">created </w:t>
      </w:r>
      <w:r w:rsidR="00635612">
        <w:t xml:space="preserve">and in enrolments, it is unclear whether this has impacted retention rates </w:t>
      </w:r>
      <w:r>
        <w:fldChar w:fldCharType="begin"/>
      </w:r>
      <w:r>
        <w:instrText>ADDIN CSL_CITATION {"citationItems":[{"id":"ITEM-1","itemData":{"ISBN":"0000000314497","author":[{"dropping-particle":"","family":"Tlili","given":"Ahmed","non-dropping-particle":"","parse-names":false,"suffix":""},{"dropping-particle":"","family":"Altinay","given":"Fahriye","non-dropping-particle":"","parse-names":false,"suffix":""},{"dropping-particle":"","family":"Altinay","given":"Zehra","non-dropping-particle":"","parse-names":false,"suffix":""},{"dropping-particle":"","family":"Aydin","given":"Cengiz Hakan","non-dropping-particle":"","parse-names":false,"suffix":""},{"dropping-particle":"","family":"Huang","given":"Ronghuai","non-dropping-particle":"","parse-names":false,"suffix":""},{"dropping-particle":"","family":"Sharma","given":"Ramesh C","non-dropping-particle":"","parse-names":false,"suffix":""}],"container-title":"Turkish Online Journal of Distance Education","id":"ITEM-1","issue":"July","issued":{"date-parts":[["2022"]]},"page":"1-17","title":"Reflections on Massive Open Online Courses (MOOCS) During the COVID-19 Pandemic: a Bibliometric Mapping Analysis","type":"article-journal","volume":"23"},"uris":["http://www.mendeley.com/documents/?uuid=423e2404-7832-4518-a848-3a8b70ae59c5"]}],"mendeley":{"formattedCitation":"(8)","plainTextFormattedCitation":"(8)"},"properties":{"noteIndex":0},"schema":"https://github.com/citation-style-language/schema/raw/master/csl-citation.json"}</w:instrText>
      </w:r>
      <w:r>
        <w:fldChar w:fldCharType="separate"/>
      </w:r>
      <w:r w:rsidR="00686307" w:rsidRPr="00B16D0C">
        <w:rPr>
          <w:noProof/>
          <w:vertAlign w:val="superscript"/>
        </w:rPr>
        <w:t>8</w:t>
      </w:r>
      <w:r>
        <w:fldChar w:fldCharType="end"/>
      </w:r>
      <w:r w:rsidR="005355C4">
        <w:t xml:space="preserve"> Numerous factors have been found to affect student engagement</w:t>
      </w:r>
      <w:r w:rsidR="00E9473E">
        <w:t xml:space="preserve">, </w:t>
      </w:r>
      <w:r w:rsidR="00D977D1">
        <w:t xml:space="preserve">social interaction through discussion forums </w:t>
      </w:r>
      <w:r w:rsidR="001718BB">
        <w:t xml:space="preserve">being found to be of particular importance </w:t>
      </w:r>
      <w:r w:rsidR="00D977D1">
        <w:t>and</w:t>
      </w:r>
      <w:r w:rsidR="001718BB">
        <w:t xml:space="preserve"> the use of</w:t>
      </w:r>
      <w:r w:rsidR="00D977D1">
        <w:t xml:space="preserve"> </w:t>
      </w:r>
      <w:r w:rsidR="00287671">
        <w:t>“nudging strategies” through video-based learning</w:t>
      </w:r>
      <w:r w:rsidR="001718BB">
        <w:t xml:space="preserve"> to encourage this peer interaction</w:t>
      </w:r>
      <w:r w:rsidR="00287671">
        <w:t xml:space="preserve"> </w:t>
      </w:r>
      <w:r w:rsidR="001718BB" w:rsidRPr="00B16D0C">
        <w:rPr>
          <w:vertAlign w:val="superscript"/>
        </w:rPr>
        <w:t>9</w:t>
      </w:r>
      <w:r w:rsidR="001718BB">
        <w:t>.</w:t>
      </w:r>
      <w:r w:rsidR="00A07453">
        <w:t xml:space="preserve"> </w:t>
      </w:r>
      <w:r w:rsidR="00D62D2A">
        <w:t xml:space="preserve">. Furthermore, shorter videos were found to be more engaging </w:t>
      </w:r>
      <w:r w:rsidR="00A96465">
        <w:t xml:space="preserve">with </w:t>
      </w:r>
      <w:proofErr w:type="gramStart"/>
      <w:r w:rsidR="00A96465">
        <w:t>6 minute</w:t>
      </w:r>
      <w:proofErr w:type="gramEnd"/>
      <w:r w:rsidR="00A96465">
        <w:t xml:space="preserve"> time-frame appearing to be the optimal video length</w:t>
      </w:r>
      <w:r w:rsidR="00D42D8A">
        <w:t xml:space="preserve"> with Power</w:t>
      </w:r>
      <w:r w:rsidR="004C00B9">
        <w:t>P</w:t>
      </w:r>
      <w:r w:rsidR="00D42D8A">
        <w:t>oint slides being found to be more effectiv</w:t>
      </w:r>
      <w:r w:rsidR="00616939">
        <w:t xml:space="preserve">e </w:t>
      </w:r>
      <w:r w:rsidR="00616939" w:rsidRPr="00B16D0C">
        <w:rPr>
          <w:vertAlign w:val="superscript"/>
        </w:rPr>
        <w:t>10</w:t>
      </w:r>
      <w:r w:rsidR="00616939">
        <w:t xml:space="preserve">. </w:t>
      </w:r>
      <w:r w:rsidR="00E439D3">
        <w:t xml:space="preserve"> Furth</w:t>
      </w:r>
      <w:r w:rsidR="00B316E0">
        <w:t>er</w:t>
      </w:r>
      <w:r w:rsidR="00E439D3">
        <w:t>more, the presence of a lecturer within videos</w:t>
      </w:r>
      <w:r w:rsidR="00E22532">
        <w:t xml:space="preserve"> created a sense of social presence and</w:t>
      </w:r>
      <w:r w:rsidR="00FF60DF">
        <w:t xml:space="preserve"> therefore increased learning performance</w:t>
      </w:r>
      <w:r w:rsidR="00FF60DF" w:rsidRPr="00B16D0C">
        <w:rPr>
          <w:vertAlign w:val="superscript"/>
        </w:rPr>
        <w:t>10</w:t>
      </w:r>
      <w:r w:rsidR="00FF60DF">
        <w:t>.</w:t>
      </w:r>
      <w:r w:rsidR="00E439D3">
        <w:t xml:space="preserve"> </w:t>
      </w:r>
      <w:r w:rsidR="00221561">
        <w:t xml:space="preserve"> </w:t>
      </w:r>
      <w:r w:rsidR="00E56461">
        <w:t>In addition, i</w:t>
      </w:r>
      <w:r w:rsidR="00221561">
        <w:t xml:space="preserve">nteraction with the instructor </w:t>
      </w:r>
      <w:r w:rsidR="00DB7905">
        <w:t xml:space="preserve">has been found to be one of the biggest </w:t>
      </w:r>
      <w:r w:rsidR="5928CB20">
        <w:t>influences</w:t>
      </w:r>
      <w:r w:rsidR="00DB7905">
        <w:t xml:space="preserve"> on MOOC retention rates as well as </w:t>
      </w:r>
      <w:r w:rsidR="00B17B4D">
        <w:t xml:space="preserve">expectations of the instructor prior to starting the course such as </w:t>
      </w:r>
      <w:r w:rsidR="00E56461">
        <w:t xml:space="preserve">reviewing </w:t>
      </w:r>
      <w:r w:rsidR="00B17B4D">
        <w:t>online reviews</w:t>
      </w:r>
      <w:r w:rsidRPr="59D384B5">
        <w:rPr>
          <w:vertAlign w:val="superscript"/>
        </w:rPr>
        <w:fldChar w:fldCharType="begin" w:fldLock="1"/>
      </w:r>
      <w:r w:rsidRPr="59D384B5">
        <w:rPr>
          <w:vertAlign w:val="superscript"/>
        </w:rPr>
        <w:instrText>ADDIN CSL_CITATION {"citationItems":[{"id":"ITEM-1","itemData":{"DOI":"10.1016/j.compedu.2016.03.016","ISSN":"03601315","abstract":"Massive Open Online Courses (MOOCs) hold the potential to open up educational opportunities to a global audience. However, evidence suggests that only a small proportion of MOOC participants go on to complete their courses and relatively little is understood about the MOOC design and implementation factors that influence retention. This paper reports a survey study of 379 participants enrolled at university in Cairo who were encouraged to take a MOOC of their own choice as part of their development. 122 participants (32.2%) went onto to complete an entire course. There were no significant differences in completion rates by gender, level of study (undergraduate or postgraduate) or MOOC platform. A post-MOOC survey of students' perceptions found that MOOC Course Content was a significant predictor of MOOC retention, with the relationship mediated by the effect of content on the Perceived Effectiveness of the course. Interaction with the instructor of the MOOC was also found to be significant predictor of MOOC retention. Overall these constructs explained 79% of the variance in MOOC retention.","author":[{"dropping-particle":"","family":"Hone","given":"Kate S.","non-dropping-particle":"","parse-names":false,"suffix":""},{"dropping-particle":"","family":"Said","given":"Ghada R.","non-dropping-particle":"El","parse-names":false,"suffix":""}],"container-title":"Computers and Education","id":"ITEM-1","issued":{"date-parts":[["2016"]]},"page":"157-168","publisher":"Elsevier Ltd","title":"Exploring the factors affecting MOOC retention: A survey study","type":"article-journal","volume":"98"},"uris":["http://www.mendeley.com/documents/?uuid=5db86365-6aad-42c5-bf76-3a906ef89097"]}],"mendeley":{"formattedCitation":"(11)","manualFormatting":"10","plainTextFormattedCitation":"(11)","previouslyFormattedCitation":"(10)"},"properties":{"noteIndex":0},"schema":"https://github.com/citation-style-language/schema/raw/master/csl-citation.json"}</w:instrText>
      </w:r>
      <w:r w:rsidRPr="59D384B5">
        <w:rPr>
          <w:vertAlign w:val="superscript"/>
        </w:rPr>
        <w:fldChar w:fldCharType="separate"/>
      </w:r>
      <w:r w:rsidR="001952DB" w:rsidRPr="59D384B5">
        <w:rPr>
          <w:noProof/>
          <w:vertAlign w:val="superscript"/>
        </w:rPr>
        <w:t>1</w:t>
      </w:r>
      <w:r w:rsidRPr="59D384B5">
        <w:rPr>
          <w:vertAlign w:val="superscript"/>
        </w:rPr>
        <w:fldChar w:fldCharType="end"/>
      </w:r>
      <w:r w:rsidR="009E4656" w:rsidRPr="59D384B5">
        <w:rPr>
          <w:vertAlign w:val="superscript"/>
        </w:rPr>
        <w:t>1</w:t>
      </w:r>
      <w:r w:rsidR="001952DB">
        <w:t>.</w:t>
      </w:r>
      <w:r w:rsidR="0005615C">
        <w:t xml:space="preserve"> </w:t>
      </w:r>
      <w:r w:rsidR="003045D2">
        <w:t>During the pandemic, these factors were still found to affect retention</w:t>
      </w:r>
      <w:r w:rsidR="005D3406">
        <w:t>, with a blended learning approach being recommended as the best method of</w:t>
      </w:r>
      <w:r w:rsidR="00326926">
        <w:t xml:space="preserve"> education </w:t>
      </w:r>
      <w:r w:rsidR="051E1F48">
        <w:t xml:space="preserve">delivery </w:t>
      </w:r>
      <w:r w:rsidR="00326926">
        <w:t>going forward, to be able to keep the accessibility benefits but to reduce poor engagement</w:t>
      </w:r>
      <w:r w:rsidR="00A07453">
        <w:t xml:space="preserve"> </w:t>
      </w:r>
      <w:r w:rsidRPr="59D384B5">
        <w:rPr>
          <w:vertAlign w:val="superscript"/>
        </w:rPr>
        <w:fldChar w:fldCharType="begin" w:fldLock="1"/>
      </w:r>
      <w:r w:rsidRPr="59D384B5">
        <w:rPr>
          <w:vertAlign w:val="superscript"/>
        </w:rPr>
        <w:instrText>ADDIN CSL_CITATION {"citationItems":[{"id":"ITEM-1","itemData":{"abstract":"This study aims to explore multiple factors inuencing learner retention in Massive Open Online Courses (MOOC) during the COVID-19 pandemic. To address this, a research method is developed based on structural equation modeling analysis and 14 research hypotheses. The proposed research model and research hypotheses are empirically tested with 2131 international participants. According to the results, support is found for eleven of the fourteen research hypotheses. We conrmed 14 factors inuencing learner retention (LR) in MOOC, i.e. Instructor to Learner Interaction, Instructor Support, Instructor Feedback, Learner to Learner Interaction, Course Content, Course Structure, Information Delivery, Perceived Effectiveness, Quality Resources, Flexibility and Scaffolding for Diversity, Technology, Focus of Subjects, Pre-Course Information, and Timing. The result is helpful and benecial for designers and manufacturers of MOOC to improve the quality of the products and facilitate online or blended learning during this special time. It could also help students improve their learning experience. Future research could be conducted into inuencing factors of LR in MOOC with interdisciplinary cooperation.","author":[{"dropping-particle":"","family":"Yu","given":"Zhonggen","non-dropping-particle":"","parse-names":false,"suffix":""}],"id":"ITEM-1","issued":{"date-parts":[["2021"]]},"page":"1-11","title":"A model of multiple factors inuencing learner retention in MOOC during the COVID-19 pandemic","type":"article-journal"},"uris":["http://www.mendeley.com/documents/?uuid=10c66568-92eb-4f6b-ac46-88fac6381f04"]}],"mendeley":{"formattedCitation":"(12)","manualFormatting":"11","plainTextFormattedCitation":"(12)","previouslyFormattedCitation":"(11)"},"properties":{"noteIndex":0},"schema":"https://github.com/citation-style-language/schema/raw/master/csl-citation.json"}</w:instrText>
      </w:r>
      <w:r w:rsidRPr="59D384B5">
        <w:rPr>
          <w:vertAlign w:val="superscript"/>
        </w:rPr>
        <w:fldChar w:fldCharType="separate"/>
      </w:r>
      <w:r w:rsidR="001952DB" w:rsidRPr="59D384B5">
        <w:rPr>
          <w:noProof/>
          <w:vertAlign w:val="superscript"/>
        </w:rPr>
        <w:t>11</w:t>
      </w:r>
      <w:r w:rsidRPr="59D384B5">
        <w:rPr>
          <w:vertAlign w:val="superscript"/>
        </w:rPr>
        <w:fldChar w:fldCharType="end"/>
      </w:r>
      <w:r w:rsidR="004520FC">
        <w:t xml:space="preserve">. </w:t>
      </w:r>
      <w:r w:rsidR="005378D9">
        <w:t xml:space="preserve">It has also been found that, with the correct resources, MOOCs are </w:t>
      </w:r>
      <w:r w:rsidR="00092817">
        <w:t xml:space="preserve">as valuable as face-to-face </w:t>
      </w:r>
      <w:r w:rsidR="5081F827">
        <w:t>teaching for learners</w:t>
      </w:r>
      <w:r w:rsidR="00A36A9B">
        <w:t xml:space="preserve">, with 95% of participants stating that they would </w:t>
      </w:r>
      <w:r w:rsidR="00FF2258">
        <w:t>enrol</w:t>
      </w:r>
      <w:r w:rsidR="00A36A9B">
        <w:t xml:space="preserve"> in </w:t>
      </w:r>
      <w:r w:rsidR="00F14AA7">
        <w:t xml:space="preserve">other MOOCs to acquire new knowledge, following the emergency use during the pandemic </w:t>
      </w:r>
      <w:r w:rsidRPr="59D384B5">
        <w:rPr>
          <w:vertAlign w:val="superscript"/>
        </w:rPr>
        <w:fldChar w:fldCharType="begin" w:fldLock="1"/>
      </w:r>
      <w:r w:rsidRPr="59D384B5">
        <w:rPr>
          <w:vertAlign w:val="superscript"/>
        </w:rPr>
        <w:instrText>ADDIN CSL_CITATION {"citationItems":[{"id":"ITEM-1","itemData":{"DOI":"10.3390/su14010520","ISSN":"20711050","abstract":"Universitat Politècnica de València’s students can take in-company internships during their bachelor’s degrees, and, with the COVID-19 lockdown, 224 students had their internships cancelled. EdX launched a free certificate initiative for its partners, and UPV gave the possibility of using MOOCs to cover for the credit needed to graduate. We have tried to answer the question, “Is it possible to use MOOCs to replace an in-company internship in an emergency?” using Learning Analytics; 179 students chose this possibility. More than 90% of the students got their academic credit, and their satisfaction with the initiative was 4.6/5. They scored MOOCs’ quality with 4/5 and the contribution of MOOCs to their careers with 3.6/5; 95% will take a MOOC, and 69.3% think it is worth paying for the certificate. The answers to the question evaluating if MOOCs had given them the same knowledge as a company internship are positive but much less conclusive, with an average of 2.87/5. We conclude that MOOCs achieved the pursued goal during the emergency. With more time for planning and extra resources for remote support, they can be a good solution in environments where online is the only choice, and they can even be used as a tool to reinforce some of the knowledge needed to be successful in a traditional internship.","author":[{"dropping-particle":"","family":"Despujol","given":"Ignacio","non-dropping-particle":"","parse-names":false,"suffix":""},{"dropping-particle":"","family":"Castañeda","given":"Linda","non-dropping-particle":"","parse-names":false,"suffix":""},{"dropping-particle":"","family":"Turró","given":"Carlos","non-dropping-particle":"","parse-names":false,"suffix":""}],"container-title":"Sustainability (Switzerland)","id":"ITEM-1","issue":"1","issued":{"date-parts":[["2022"]]},"title":"What Does the Data Say about Effective University Online Internships? The Universitat Politècnica de València Experience Using MOOC during COVID-19 Lockdown","type":"article-journal","volume":"14"},"uris":["http://www.mendeley.com/documents/?uuid=a5313bd3-cd19-4c84-980a-339636fedbd5"]}],"mendeley":{"formattedCitation":"(13)","manualFormatting":"12","plainTextFormattedCitation":"(13)","previouslyFormattedCitation":"(12)"},"properties":{"noteIndex":0},"schema":"https://github.com/citation-style-language/schema/raw/master/csl-citation.json"}</w:instrText>
      </w:r>
      <w:r w:rsidRPr="59D384B5">
        <w:rPr>
          <w:vertAlign w:val="superscript"/>
        </w:rPr>
        <w:fldChar w:fldCharType="separate"/>
      </w:r>
      <w:r w:rsidR="00413510" w:rsidRPr="59D384B5">
        <w:rPr>
          <w:noProof/>
          <w:vertAlign w:val="superscript"/>
        </w:rPr>
        <w:t>12</w:t>
      </w:r>
      <w:r w:rsidRPr="59D384B5">
        <w:rPr>
          <w:vertAlign w:val="superscript"/>
        </w:rPr>
        <w:fldChar w:fldCharType="end"/>
      </w:r>
      <w:r w:rsidR="00FF2258">
        <w:t xml:space="preserve">. </w:t>
      </w:r>
    </w:p>
    <w:p w14:paraId="56807AF1" w14:textId="48A031B5" w:rsidR="00E43C02" w:rsidRPr="009A3E2A" w:rsidRDefault="00453009" w:rsidP="002628C0">
      <w:r>
        <w:t xml:space="preserve">Currently, the majority of those who are utilising MOOCs appear to be </w:t>
      </w:r>
      <w:r w:rsidR="00812C3E">
        <w:t xml:space="preserve">those who are already educated and simply want to expand their knowledge </w:t>
      </w:r>
      <w:r w:rsidRPr="59D384B5">
        <w:rPr>
          <w:vertAlign w:val="superscript"/>
        </w:rPr>
        <w:fldChar w:fldCharType="begin" w:fldLock="1"/>
      </w:r>
      <w:r w:rsidRPr="59D384B5">
        <w:rPr>
          <w:vertAlign w:val="superscript"/>
        </w:rPr>
        <w:instrText>ADDIN CSL_CITATION {"citationItems":[{"id":"ITEM-1","itemData":{"author":[{"dropping-particle":"","family":"Department for Education","given":"","non-dropping-particle":"","parse-names":false,"suffix":""}],"id":"ITEM-1","issue":"June","issued":{"date-parts":[["2014"]]},"title":"MOOCs : Opportunities for their use in","type":"report"},"uris":["http://www.mendeley.com/documents/?uuid=09ff4796-a697-4705-8e33-5a1d57f44cd2"]}],"mendeley":{"formattedCitation":"(14)","manualFormatting":"13","plainTextFormattedCitation":"(14)","previouslyFormattedCitation":"(13)"},"properties":{"noteIndex":0},"schema":"https://github.com/citation-style-language/schema/raw/master/csl-citation.json"}</w:instrText>
      </w:r>
      <w:r w:rsidRPr="59D384B5">
        <w:rPr>
          <w:vertAlign w:val="superscript"/>
        </w:rPr>
        <w:fldChar w:fldCharType="separate"/>
      </w:r>
      <w:r w:rsidR="00A15F59" w:rsidRPr="59D384B5">
        <w:rPr>
          <w:noProof/>
          <w:vertAlign w:val="superscript"/>
        </w:rPr>
        <w:t>13</w:t>
      </w:r>
      <w:r w:rsidRPr="59D384B5">
        <w:rPr>
          <w:vertAlign w:val="superscript"/>
        </w:rPr>
        <w:fldChar w:fldCharType="end"/>
      </w:r>
      <w:r w:rsidR="00A15F59">
        <w:t xml:space="preserve">. </w:t>
      </w:r>
      <w:r w:rsidR="00E43C02">
        <w:t xml:space="preserve">MOOC Platforms such as edX and </w:t>
      </w:r>
      <w:proofErr w:type="spellStart"/>
      <w:r w:rsidR="00E43C02">
        <w:t>FutureLearn</w:t>
      </w:r>
      <w:proofErr w:type="spellEnd"/>
      <w:r w:rsidR="00E43C02">
        <w:t xml:space="preserve"> have both announced initiatives to focus the development of courses that are to be aimed at high school students</w:t>
      </w:r>
      <w:r w:rsidR="005012AB">
        <w:t xml:space="preserve"> </w:t>
      </w:r>
      <w:r w:rsidRPr="59D384B5">
        <w:rPr>
          <w:vertAlign w:val="superscript"/>
        </w:rPr>
        <w:fldChar w:fldCharType="begin" w:fldLock="1"/>
      </w:r>
      <w:r w:rsidRPr="59D384B5">
        <w:rPr>
          <w:vertAlign w:val="superscript"/>
        </w:rPr>
        <w:instrText>ADDIN CSL_CITATION {"citationItems":[{"id":"ITEM-1","itemData":{"URL":"https://www.edx.org/high-school","author":[{"dropping-particle":"","family":"EdX","given":"","non-dropping-particle":"","parse-names":false,"suffix":""}],"id":"ITEM-1","issued":{"date-parts":[["2015"]]},"title":"Get College Ready. Get Ahead. Get Learning!","type":"webpage"},"uris":["http://www.mendeley.com/documents/?uuid=20fb7c14-7005-4a03-88a2-c4414b9d208b"]},{"id":"ITEM-2","itemData":{"URL":"https://www.futurelearn.com/info/blog/introducing-futurelearn-choices#:~:text=Neil Harvey%2C our Head of,right degree%2C uni or career.","author":[{"dropping-particle":"","family":"Harvey","given":"Neil","non-dropping-particle":"","parse-names":false,"suffix":""}],"container-title":"FutureLearn News","id":"ITEM-2","issued":{"date-parts":[["2015"]]},"title":"Introducing FutureLearn Choices: a collection of free courses to bridge the gap between school and university","type":"webpage"},"uris":["http://www.mendeley.com/documents/?uuid=73e83899-1a91-4a68-b658-8ad4941b8251"]}],"mendeley":{"formattedCitation":"(15,16)","manualFormatting":"14,15","plainTextFormattedCitation":"(15,16)","previouslyFormattedCitation":"(14,15)"},"properties":{"noteIndex":0},"schema":"https://github.com/citation-style-language/schema/raw/master/csl-citation.json"}</w:instrText>
      </w:r>
      <w:r w:rsidRPr="59D384B5">
        <w:rPr>
          <w:vertAlign w:val="superscript"/>
        </w:rPr>
        <w:fldChar w:fldCharType="separate"/>
      </w:r>
      <w:r w:rsidR="00A15F59" w:rsidRPr="59D384B5">
        <w:rPr>
          <w:noProof/>
          <w:vertAlign w:val="superscript"/>
        </w:rPr>
        <w:t>14,15</w:t>
      </w:r>
      <w:r w:rsidRPr="59D384B5">
        <w:rPr>
          <w:vertAlign w:val="superscript"/>
        </w:rPr>
        <w:fldChar w:fldCharType="end"/>
      </w:r>
      <w:r w:rsidR="00DB046A">
        <w:t>. Potential benefits for high school students accessing MOOC</w:t>
      </w:r>
      <w:r w:rsidR="2EDA3F96">
        <w:t>s</w:t>
      </w:r>
      <w:r w:rsidR="00DB046A">
        <w:t xml:space="preserve"> include</w:t>
      </w:r>
      <w:r w:rsidR="00A51EB6">
        <w:t xml:space="preserve"> preparation for examinations, to get a feel of an institution</w:t>
      </w:r>
      <w:r w:rsidR="003E322E">
        <w:t xml:space="preserve">, to explore potential pathways and subjects, to interact with students from different backgrounds </w:t>
      </w:r>
      <w:r w:rsidR="00D65CF1">
        <w:t xml:space="preserve">and to have a head-start in subject knowledge to be able to perform better at university </w:t>
      </w:r>
      <w:r w:rsidRPr="59D384B5">
        <w:rPr>
          <w:vertAlign w:val="superscript"/>
        </w:rPr>
        <w:fldChar w:fldCharType="begin" w:fldLock="1"/>
      </w:r>
      <w:r w:rsidRPr="59D384B5">
        <w:rPr>
          <w:vertAlign w:val="superscript"/>
        </w:rPr>
        <w:instrText>ADDIN CSL_CITATION {"citationItems":[{"id":"ITEM-1","itemData":{"URL":"https://www.classcentral.com/report/five-reasons-high-schoolers-consider-taking-moocs/","author":[{"dropping-particle":"","family":"Chung","given":"Charlie","non-dropping-particle":"","parse-names":false,"suffix":""}],"container-title":"The Report","id":"ITEM-1","issued":{"date-parts":[["2015"]]},"title":"Five Reasons High School Students Should Consider MOOCs","type":"webpage"},"uris":["http://www.mendeley.com/documents/?uuid=33c323a2-62c3-4127-b674-544c4bcccd52"]}],"mendeley":{"formattedCitation":"(17)","manualFormatting":"16","plainTextFormattedCitation":"(17)","previouslyFormattedCitation":"(16)"},"properties":{"noteIndex":0},"schema":"https://github.com/citation-style-language/schema/raw/master/csl-citation.json"}</w:instrText>
      </w:r>
      <w:r w:rsidRPr="59D384B5">
        <w:rPr>
          <w:vertAlign w:val="superscript"/>
        </w:rPr>
        <w:fldChar w:fldCharType="separate"/>
      </w:r>
      <w:r w:rsidR="00A15F59" w:rsidRPr="59D384B5">
        <w:rPr>
          <w:noProof/>
          <w:vertAlign w:val="superscript"/>
        </w:rPr>
        <w:t>16</w:t>
      </w:r>
      <w:r w:rsidRPr="59D384B5">
        <w:rPr>
          <w:vertAlign w:val="superscript"/>
        </w:rPr>
        <w:fldChar w:fldCharType="end"/>
      </w:r>
      <w:r w:rsidR="00C552E3">
        <w:t xml:space="preserve">. This would suggest a </w:t>
      </w:r>
      <w:r w:rsidR="00E56461">
        <w:t>rationale</w:t>
      </w:r>
      <w:r w:rsidR="00C552E3">
        <w:t xml:space="preserve"> to design a MOOC to enhance subject knowledge of prospective students and </w:t>
      </w:r>
      <w:r w:rsidR="004C23DA">
        <w:t xml:space="preserve">to improve recruitment onto low enrolment study pathways. </w:t>
      </w:r>
    </w:p>
    <w:p w14:paraId="689247DE" w14:textId="684D19BB" w:rsidR="002C15AB" w:rsidRPr="009A3E2A" w:rsidRDefault="00EF5258" w:rsidP="005D6C63">
      <w:pPr>
        <w:pStyle w:val="Heading1"/>
      </w:pPr>
      <w:r w:rsidRPr="009A3E2A">
        <w:t>Design and Implementation</w:t>
      </w:r>
    </w:p>
    <w:p w14:paraId="3FB2675C" w14:textId="31AECF7E" w:rsidR="00B81288" w:rsidRPr="009A3E2A" w:rsidRDefault="000F5738" w:rsidP="00E519A9">
      <w:r>
        <w:t xml:space="preserve">There was found to be a significant lack of physiology content both in GCSE and A-Level specifications in the UK. Furthermore, physiology is a much less </w:t>
      </w:r>
      <w:r w:rsidR="0029712D">
        <w:t>defined sub-discipline of biology than its counterparts.</w:t>
      </w:r>
      <w:r w:rsidR="00B82A8E">
        <w:t xml:space="preserve"> Working with The Physiological Society, the University of Liverpool intended to develop a three-week MOOC to support learning of the subject in schools and further </w:t>
      </w:r>
      <w:r w:rsidR="00C47C96">
        <w:t>education, tailored</w:t>
      </w:r>
      <w:r w:rsidR="00EB67B6">
        <w:t xml:space="preserve"> towards 16–19-year-old </w:t>
      </w:r>
      <w:r w:rsidR="00EB67B6">
        <w:lastRenderedPageBreak/>
        <w:t xml:space="preserve">A-Level students, to be available as a blended learning resource, and to raise the profile of Physiology with a view to improving recruitment into Physiology or Physiology related study pathways. </w:t>
      </w:r>
      <w:r w:rsidR="0029712D">
        <w:t xml:space="preserve"> </w:t>
      </w:r>
    </w:p>
    <w:p w14:paraId="737227E1" w14:textId="2CA6CD25" w:rsidR="00721D55" w:rsidRPr="009A3E2A" w:rsidRDefault="00DC3CDF" w:rsidP="00E519A9">
      <w:pPr>
        <w:spacing w:line="257" w:lineRule="auto"/>
      </w:pPr>
      <w:r>
        <w:t xml:space="preserve">The platform chosen for the MOOC was </w:t>
      </w:r>
      <w:proofErr w:type="spellStart"/>
      <w:r w:rsidR="000D3AA9">
        <w:t>FutureLearn</w:t>
      </w:r>
      <w:proofErr w:type="spellEnd"/>
      <w:r>
        <w:t xml:space="preserve">, </w:t>
      </w:r>
      <w:r w:rsidR="00F3701C">
        <w:t>created in 2012 by the Open University, which delivers a multitude of courses in partnership with universities across the UK,</w:t>
      </w:r>
      <w:r w:rsidR="003D516D">
        <w:t xml:space="preserve"> and it is the most favoured platform for Universities</w:t>
      </w:r>
      <w:r w:rsidR="006637E9">
        <w:t xml:space="preserve"> in the UK</w:t>
      </w:r>
      <w:r w:rsidR="003D516D">
        <w:t xml:space="preserve"> to deliver MOOCs</w:t>
      </w:r>
      <w:r w:rsidR="005E1254">
        <w:t xml:space="preserve"> </w:t>
      </w:r>
      <w:r w:rsidRPr="59D384B5">
        <w:rPr>
          <w:vertAlign w:val="superscript"/>
        </w:rPr>
        <w:fldChar w:fldCharType="begin" w:fldLock="1"/>
      </w:r>
      <w:r w:rsidRPr="59D384B5">
        <w:rPr>
          <w:vertAlign w:val="superscript"/>
        </w:rPr>
        <w:instrText>ADDIN CSL_CITATION {"citationItems":[{"id":"ITEM-1","itemData":{"abstract":"A study of MOOCs offered by UK based institutions providing an insight into student interest in UK MOOCs, completion rates as well as the impact played by certain criteria such as the course length or workload on student enrolment numbers and completion rates. www.mooclab.club UK MOOC Report 2016 1 This publication is a report by Mooclab.club, a community website connecting people to online learning via discussion forums, information, guides, independent reviews and up to date news. It aims to provide evidence-based analysis into the UK MOOC market. MoocLab.club is not responsible for the use which might be made of this publication.","author":[{"dropping-particle":"","family":"Mcintyre","given":"Carolyn","non-dropping-particle":"","parse-names":false,"suffix":""}],"id":"ITEM-1","issued":{"date-parts":[["2016"]]},"title":"UK MOOC REPORT: An insight into MOOCs provided by UK Institutions","type":"report"},"uris":["http://www.mendeley.com/documents/?uuid=b77cafee-9cb3-49eb-9820-940b9c66ee03"]}],"mendeley":{"formattedCitation":"(18)","manualFormatting":"17","plainTextFormattedCitation":"(18)","previouslyFormattedCitation":"(17)"},"properties":{"noteIndex":0},"schema":"https://github.com/citation-style-language/schema/raw/master/csl-citation.json"}</w:instrText>
      </w:r>
      <w:r w:rsidRPr="59D384B5">
        <w:rPr>
          <w:vertAlign w:val="superscript"/>
        </w:rPr>
        <w:fldChar w:fldCharType="separate"/>
      </w:r>
      <w:r w:rsidR="00A15F59" w:rsidRPr="59D384B5">
        <w:rPr>
          <w:noProof/>
          <w:vertAlign w:val="superscript"/>
        </w:rPr>
        <w:t>17</w:t>
      </w:r>
      <w:r w:rsidRPr="59D384B5">
        <w:rPr>
          <w:vertAlign w:val="superscript"/>
        </w:rPr>
        <w:fldChar w:fldCharType="end"/>
      </w:r>
      <w:r w:rsidR="00F3701C" w:rsidRPr="59D384B5">
        <w:rPr>
          <w:vertAlign w:val="superscript"/>
        </w:rPr>
        <w:t>.</w:t>
      </w:r>
      <w:r w:rsidR="00F3701C">
        <w:t xml:space="preserve"> The course </w:t>
      </w:r>
      <w:r w:rsidR="00EB67B6">
        <w:t>was named</w:t>
      </w:r>
      <w:r w:rsidR="00F3701C">
        <w:t xml:space="preserve"> “Physiology: </w:t>
      </w:r>
      <w:r w:rsidR="00B77991">
        <w:t>The</w:t>
      </w:r>
      <w:r w:rsidR="00F3701C">
        <w:t xml:space="preserve"> Science of Life” and although specifically targeted at recruiting 16–19-year-old learners, it was</w:t>
      </w:r>
      <w:r w:rsidR="00EA389E">
        <w:t xml:space="preserve"> open to people of all ages and educational backgrounds</w:t>
      </w:r>
      <w:r w:rsidR="00EB67B6">
        <w:t xml:space="preserve">. </w:t>
      </w:r>
      <w:r w:rsidR="0031381D">
        <w:t xml:space="preserve">The content </w:t>
      </w:r>
      <w:r w:rsidR="1DA7FC6B">
        <w:t>and accessibility</w:t>
      </w:r>
      <w:r w:rsidR="3290C14E">
        <w:t xml:space="preserve"> </w:t>
      </w:r>
      <w:r w:rsidR="68FD0FA2">
        <w:t>of</w:t>
      </w:r>
      <w:r w:rsidR="0031381D">
        <w:t xml:space="preserve"> MOOCs is important, to increase engagement, enhance learning, fulfilment, and interaction with the course materials. For this MOOC, with it targeted specifically at a younger demographic, and the Physiological Society keen to use this as a resource for recruitment into the discipline, the first point of call was to look </w:t>
      </w:r>
      <w:r w:rsidR="0031381D" w:rsidRPr="59D384B5">
        <w:rPr>
          <w:rFonts w:eastAsia="Times New Roman"/>
        </w:rPr>
        <w:t>at the A-Level syllabi to help shape the course content.</w:t>
      </w:r>
      <w:r w:rsidR="00D74384" w:rsidRPr="59D384B5">
        <w:rPr>
          <w:rFonts w:eastAsia="Times New Roman"/>
        </w:rPr>
        <w:t xml:space="preserve"> Subsequently, scripts and storyboards were carefully created and reviewed in collaboration with </w:t>
      </w:r>
      <w:r w:rsidR="7D0B9EA1" w:rsidRPr="59D384B5">
        <w:rPr>
          <w:rFonts w:eastAsia="Times New Roman"/>
        </w:rPr>
        <w:t>students</w:t>
      </w:r>
      <w:r w:rsidR="00D74384" w:rsidRPr="59D384B5">
        <w:rPr>
          <w:rFonts w:eastAsia="Times New Roman"/>
        </w:rPr>
        <w:t xml:space="preserve"> </w:t>
      </w:r>
      <w:r w:rsidR="7D0B9EA1" w:rsidRPr="59D384B5">
        <w:rPr>
          <w:rFonts w:eastAsia="Times New Roman"/>
        </w:rPr>
        <w:t>and stakeholders</w:t>
      </w:r>
      <w:r w:rsidR="00D74384" w:rsidRPr="59D384B5">
        <w:rPr>
          <w:rFonts w:eastAsia="Times New Roman"/>
        </w:rPr>
        <w:t xml:space="preserve">, to ensure that the content was engaging and fit for purpose. </w:t>
      </w:r>
      <w:r w:rsidR="00B838B9" w:rsidRPr="59D384B5">
        <w:rPr>
          <w:rFonts w:eastAsia="Times New Roman"/>
        </w:rPr>
        <w:t xml:space="preserve">The course runs for a total of three weeks and </w:t>
      </w:r>
      <w:r w:rsidR="5F580701" w:rsidRPr="59D384B5">
        <w:rPr>
          <w:rFonts w:eastAsia="Times New Roman"/>
        </w:rPr>
        <w:t xml:space="preserve">offers an interactive opportunity to develop understanding of how the body works, focusing on the cardiovascular, </w:t>
      </w:r>
      <w:r w:rsidR="00E519A9" w:rsidRPr="59D384B5">
        <w:rPr>
          <w:rFonts w:eastAsia="Times New Roman"/>
        </w:rPr>
        <w:t>respiratory,</w:t>
      </w:r>
      <w:r w:rsidR="5F580701" w:rsidRPr="59D384B5">
        <w:rPr>
          <w:rFonts w:eastAsia="Times New Roman"/>
        </w:rPr>
        <w:t xml:space="preserve"> and nervous systems, with links to real life applications and careers in Physiology.</w:t>
      </w:r>
      <w:r w:rsidR="00BA0A7E" w:rsidRPr="59D384B5">
        <w:rPr>
          <w:rFonts w:eastAsia="Times New Roman"/>
        </w:rPr>
        <w:t xml:space="preserve"> </w:t>
      </w:r>
      <w:r w:rsidR="00A614D2" w:rsidRPr="59D384B5">
        <w:rPr>
          <w:rFonts w:eastAsia="Times New Roman"/>
        </w:rPr>
        <w:t>A</w:t>
      </w:r>
      <w:r w:rsidR="00BA0A7E" w:rsidRPr="59D384B5">
        <w:rPr>
          <w:rFonts w:eastAsia="Times New Roman"/>
        </w:rPr>
        <w:t xml:space="preserve"> t</w:t>
      </w:r>
      <w:r w:rsidR="5F580701" w:rsidRPr="59D384B5">
        <w:rPr>
          <w:rFonts w:eastAsia="Times New Roman"/>
        </w:rPr>
        <w:t>argeted recruitment</w:t>
      </w:r>
      <w:r w:rsidR="00A614D2" w:rsidRPr="59D384B5">
        <w:rPr>
          <w:rFonts w:eastAsia="Times New Roman"/>
        </w:rPr>
        <w:t xml:space="preserve"> strategy was developed to promote the MOOC, to</w:t>
      </w:r>
      <w:r w:rsidR="5F580701" w:rsidRPr="59D384B5">
        <w:rPr>
          <w:rFonts w:eastAsia="Times New Roman"/>
        </w:rPr>
        <w:t xml:space="preserve"> attract younger learners who often feel underprepared for university study </w:t>
      </w:r>
      <w:r w:rsidR="5F580701" w:rsidRPr="59D384B5">
        <w:rPr>
          <w:rFonts w:eastAsia="Times New Roman"/>
          <w:vertAlign w:val="superscript"/>
        </w:rPr>
        <w:t xml:space="preserve">18 </w:t>
      </w:r>
      <w:r w:rsidR="5F580701" w:rsidRPr="59D384B5">
        <w:rPr>
          <w:rFonts w:eastAsia="Times New Roman"/>
        </w:rPr>
        <w:t xml:space="preserve">via a marketing plan including social media channels, School and Governor networks, the Physiology Society UK </w:t>
      </w:r>
      <w:r w:rsidR="0095581B" w:rsidRPr="59D384B5">
        <w:rPr>
          <w:rFonts w:eastAsia="Times New Roman"/>
        </w:rPr>
        <w:t xml:space="preserve">web site, </w:t>
      </w:r>
      <w:r w:rsidR="5F580701" w:rsidRPr="59D384B5">
        <w:rPr>
          <w:rFonts w:eastAsia="Times New Roman"/>
        </w:rPr>
        <w:t xml:space="preserve">and University of Liverpool </w:t>
      </w:r>
      <w:r w:rsidR="00E2007E" w:rsidRPr="59D384B5">
        <w:rPr>
          <w:rFonts w:eastAsia="Times New Roman"/>
        </w:rPr>
        <w:t xml:space="preserve">outreach </w:t>
      </w:r>
      <w:r w:rsidR="5F580701" w:rsidRPr="59D384B5">
        <w:rPr>
          <w:rFonts w:eastAsia="Times New Roman"/>
        </w:rPr>
        <w:t>contacts.</w:t>
      </w:r>
      <w:r w:rsidR="006F766F" w:rsidRPr="59D384B5">
        <w:rPr>
          <w:rFonts w:eastAsia="Times New Roman"/>
        </w:rPr>
        <w:t xml:space="preserve"> Registration information and</w:t>
      </w:r>
      <w:r w:rsidR="004C00B9" w:rsidRPr="59D384B5">
        <w:rPr>
          <w:rFonts w:eastAsia="Times New Roman"/>
        </w:rPr>
        <w:t xml:space="preserve"> </w:t>
      </w:r>
      <w:r w:rsidR="55817656" w:rsidRPr="59D384B5">
        <w:rPr>
          <w:rFonts w:eastAsia="Times New Roman"/>
        </w:rPr>
        <w:t xml:space="preserve">an </w:t>
      </w:r>
      <w:r w:rsidR="004C00B9" w:rsidRPr="59D384B5">
        <w:rPr>
          <w:rFonts w:eastAsia="Times New Roman"/>
        </w:rPr>
        <w:t>outline of the course was provided, ensuring prospective learners had relevant information to hand.</w:t>
      </w:r>
      <w:r w:rsidR="5F580701" w:rsidRPr="59D384B5">
        <w:rPr>
          <w:rFonts w:eastAsia="Times New Roman"/>
        </w:rPr>
        <w:t xml:space="preserve"> Course materials were initially ‘tested’ on a convenience sample of secondary school learners, to ensure that the content was in a suitable format and accessible to the target market.</w:t>
      </w:r>
      <w:r w:rsidR="004C00B9" w:rsidRPr="59D384B5">
        <w:rPr>
          <w:rFonts w:eastAsia="Times New Roman"/>
        </w:rPr>
        <w:t xml:space="preserve"> The feedback gained </w:t>
      </w:r>
      <w:r w:rsidR="00F106DA" w:rsidRPr="59D384B5">
        <w:rPr>
          <w:rFonts w:eastAsia="Times New Roman"/>
        </w:rPr>
        <w:t>was beneficial in ensuring the material was ‘pitched’ at the right level for the intended audience.</w:t>
      </w:r>
    </w:p>
    <w:p w14:paraId="07B4EF47" w14:textId="0A29CF25" w:rsidR="00721D55" w:rsidRPr="009A3E2A" w:rsidRDefault="00CB2CCB" w:rsidP="59D384B5">
      <w:pPr>
        <w:rPr>
          <w:rFonts w:eastAsia="Times New Roman"/>
        </w:rPr>
      </w:pPr>
      <w:r w:rsidRPr="59D384B5">
        <w:rPr>
          <w:rFonts w:eastAsia="Times New Roman"/>
        </w:rPr>
        <w:t>With MOOCs having the potential for low engagement,</w:t>
      </w:r>
      <w:r w:rsidR="00556127" w:rsidRPr="59D384B5">
        <w:rPr>
          <w:rFonts w:eastAsia="Times New Roman"/>
        </w:rPr>
        <w:t xml:space="preserve"> promoting interaction throughout the course was carefully considered. </w:t>
      </w:r>
      <w:r w:rsidR="00B838B9">
        <w:t>Course materials were crafted in collaboration with colleagues from the University of Liverpool, The Physiology Society UK, subject matter exp</w:t>
      </w:r>
      <w:r w:rsidR="00B838B9" w:rsidRPr="59D384B5">
        <w:rPr>
          <w:rFonts w:eastAsia="Times New Roman"/>
        </w:rPr>
        <w:t xml:space="preserve">erts, secondary level teachers, digital educationalists and learners. Active learning was a key element of the educational approach taking </w:t>
      </w:r>
      <w:r w:rsidR="5F580701" w:rsidRPr="59D384B5">
        <w:rPr>
          <w:rFonts w:eastAsia="Times New Roman"/>
          <w:sz w:val="23"/>
          <w:szCs w:val="23"/>
        </w:rPr>
        <w:t xml:space="preserve">the learning process beyond simply listening to lectures and passive note </w:t>
      </w:r>
      <w:r w:rsidR="009A3E2A" w:rsidRPr="59D384B5">
        <w:rPr>
          <w:rFonts w:eastAsia="Times New Roman"/>
          <w:sz w:val="23"/>
          <w:szCs w:val="23"/>
        </w:rPr>
        <w:t>taking</w:t>
      </w:r>
      <w:r w:rsidR="5F580701" w:rsidRPr="59D384B5">
        <w:rPr>
          <w:rFonts w:eastAsia="Times New Roman"/>
          <w:sz w:val="23"/>
          <w:szCs w:val="23"/>
        </w:rPr>
        <w:t xml:space="preserve"> to active engagement with course materials in order to deeply embed knowledge and understanding </w:t>
      </w:r>
      <w:r w:rsidR="5F580701" w:rsidRPr="59D384B5">
        <w:rPr>
          <w:rFonts w:eastAsia="Times New Roman"/>
          <w:sz w:val="23"/>
          <w:szCs w:val="23"/>
          <w:vertAlign w:val="superscript"/>
        </w:rPr>
        <w:t>19</w:t>
      </w:r>
      <w:r w:rsidR="5F580701" w:rsidRPr="59D384B5">
        <w:rPr>
          <w:rFonts w:eastAsia="Times New Roman"/>
          <w:sz w:val="23"/>
          <w:szCs w:val="23"/>
        </w:rPr>
        <w:t>.</w:t>
      </w:r>
      <w:r w:rsidR="00B838B9">
        <w:t xml:space="preserve">  Consequently, materials comprised of educational videos, career case studies, quizzes, interactive tasks, articles, and online discussion boards. One key ambition was to encourage data </w:t>
      </w:r>
      <w:r w:rsidR="009A3E2A">
        <w:t>handling,</w:t>
      </w:r>
      <w:r w:rsidR="00B838B9">
        <w:t xml:space="preserve"> and this was promoted by learners (who were physically able) being encouraged to undertake a</w:t>
      </w:r>
      <w:r w:rsidR="4F12B4ED">
        <w:t>n exercise test, the</w:t>
      </w:r>
      <w:r w:rsidR="00B838B9">
        <w:t xml:space="preserve"> Harvard Step Test</w:t>
      </w:r>
      <w:r w:rsidR="684BFCAC">
        <w:t>,</w:t>
      </w:r>
      <w:r w:rsidR="00B838B9">
        <w:t xml:space="preserve"> and then to add their results to a shared Google Doc</w:t>
      </w:r>
      <w:r w:rsidR="00770A35">
        <w:t>ument</w:t>
      </w:r>
      <w:r w:rsidR="00B838B9">
        <w:t>, which provided an opportunity for the</w:t>
      </w:r>
      <w:r w:rsidR="00770A35">
        <w:t xml:space="preserve"> learners</w:t>
      </w:r>
      <w:r w:rsidR="00B838B9">
        <w:t xml:space="preserve"> to anonymously compare their results to those of the </w:t>
      </w:r>
      <w:r w:rsidR="00770A35">
        <w:t xml:space="preserve">same </w:t>
      </w:r>
      <w:r w:rsidR="00B838B9">
        <w:t>cohort.  Likewise, the quizzes included some data interpretation questions, which tested learners understanding of key concepts and principles. At the end of each week there was a review and ‘wrap up’ to allow those taking the course to reflect and check their understanding.</w:t>
      </w:r>
    </w:p>
    <w:p w14:paraId="246ADBFC" w14:textId="17D7BA81" w:rsidR="00B9515F" w:rsidRPr="009A3E2A" w:rsidRDefault="00B9515F" w:rsidP="001129DD">
      <w:r>
        <w:t xml:space="preserve">The course </w:t>
      </w:r>
      <w:r w:rsidR="00AC3E2B">
        <w:t xml:space="preserve">was created in 2017 </w:t>
      </w:r>
      <w:r w:rsidR="002F62F2">
        <w:t>and has had a total of f</w:t>
      </w:r>
      <w:r w:rsidR="00306576">
        <w:t>ive</w:t>
      </w:r>
      <w:r w:rsidR="002F62F2">
        <w:t xml:space="preserve"> iterations. The first three were much more ‘hands on’ and had engagement from facilitators of the programme. The </w:t>
      </w:r>
      <w:r w:rsidR="00306576">
        <w:t>more recent iterations</w:t>
      </w:r>
      <w:r w:rsidR="002F62F2">
        <w:t>, which ran in 2020</w:t>
      </w:r>
      <w:r w:rsidR="00306576">
        <w:t xml:space="preserve"> and 2022</w:t>
      </w:r>
      <w:r w:rsidR="002F62F2">
        <w:t xml:space="preserve">, </w:t>
      </w:r>
      <w:r w:rsidR="00C76C9A">
        <w:t>w</w:t>
      </w:r>
      <w:r w:rsidR="00306576">
        <w:t>ere</w:t>
      </w:r>
      <w:r w:rsidR="00C76C9A">
        <w:t xml:space="preserve"> treated as a more “on-demand” course with </w:t>
      </w:r>
      <w:r w:rsidR="2B68B620">
        <w:t>reduced</w:t>
      </w:r>
      <w:r w:rsidR="00C76C9A">
        <w:t xml:space="preserve"> interaction from the facilitators</w:t>
      </w:r>
      <w:r w:rsidR="00EF73F8">
        <w:t xml:space="preserve">, </w:t>
      </w:r>
      <w:r w:rsidR="4DEDF82B">
        <w:t>affording</w:t>
      </w:r>
      <w:r w:rsidR="00EF73F8">
        <w:t xml:space="preserve"> much more flexibility </w:t>
      </w:r>
      <w:r w:rsidR="4DEDF82B">
        <w:t>when compared to</w:t>
      </w:r>
      <w:r w:rsidR="00EF73F8">
        <w:t xml:space="preserve"> the first three iterations </w:t>
      </w:r>
      <w:r w:rsidR="4DEDF82B">
        <w:t>which had</w:t>
      </w:r>
      <w:r w:rsidR="00EF73F8">
        <w:t xml:space="preserve"> specific time constraints regarding course delivery.</w:t>
      </w:r>
      <w:r w:rsidR="00C76C9A">
        <w:t xml:space="preserve"> </w:t>
      </w:r>
      <w:r w:rsidR="00A1170F">
        <w:t xml:space="preserve">To date, </w:t>
      </w:r>
      <w:r w:rsidR="00787BBB">
        <w:t>17,986 individuals have enrolled onto the course.</w:t>
      </w:r>
      <w:r w:rsidR="00790AB7">
        <w:t xml:space="preserve"> The course also</w:t>
      </w:r>
      <w:r w:rsidR="007B55E7">
        <w:t xml:space="preserve"> currently</w:t>
      </w:r>
      <w:r w:rsidR="00790AB7">
        <w:t xml:space="preserve"> has 22 reviews, standing at an average of 4.7 stars out of 5. </w:t>
      </w:r>
      <w:r w:rsidR="009544D6">
        <w:t xml:space="preserve">Information on those </w:t>
      </w:r>
      <w:r w:rsidR="00DF6082">
        <w:t>who entered the course included demographical data such as age, gender, nationality, education level, employment status and sector</w:t>
      </w:r>
      <w:r w:rsidR="00FB3D74">
        <w:t xml:space="preserve">, achievement levels on the quizzes that were part of the course, the engagement of the learners with the educational videos including information on whether they were fully watched, finally, </w:t>
      </w:r>
      <w:r w:rsidR="00823461">
        <w:t xml:space="preserve">comments </w:t>
      </w:r>
      <w:r w:rsidR="00823461">
        <w:lastRenderedPageBreak/>
        <w:t>and feedback from the learners in both the comments section</w:t>
      </w:r>
      <w:r w:rsidR="001B27B0">
        <w:t xml:space="preserve"> of </w:t>
      </w:r>
      <w:proofErr w:type="spellStart"/>
      <w:r w:rsidR="5511FED2">
        <w:t>FutureLearn</w:t>
      </w:r>
      <w:proofErr w:type="spellEnd"/>
      <w:r w:rsidR="00823461">
        <w:t xml:space="preserve"> and</w:t>
      </w:r>
      <w:r w:rsidR="009651E6">
        <w:t xml:space="preserve"> through pre and post surveys were also collected. However, response rates for the surveys were low and generally below </w:t>
      </w:r>
      <w:r w:rsidR="000F4BAC">
        <w:t xml:space="preserve">10%. </w:t>
      </w:r>
    </w:p>
    <w:p w14:paraId="19A146F7" w14:textId="6465AEB3" w:rsidR="00EF5258" w:rsidRDefault="00EF5258" w:rsidP="005D6C63">
      <w:pPr>
        <w:pStyle w:val="Heading1"/>
      </w:pPr>
      <w:r w:rsidRPr="009A3E2A">
        <w:t>Reflections</w:t>
      </w:r>
    </w:p>
    <w:p w14:paraId="536495EE" w14:textId="26E9545E" w:rsidR="00BC13D8" w:rsidRPr="00BC13D8" w:rsidRDefault="001A090C" w:rsidP="00BC13D8">
      <w:r>
        <w:t xml:space="preserve">As this </w:t>
      </w:r>
      <w:r w:rsidR="00AC1CBB">
        <w:t xml:space="preserve">MOOC was targeted towards those who </w:t>
      </w:r>
      <w:r w:rsidR="00954BCE">
        <w:t>are currently completing their GCSE’s and A-Levels</w:t>
      </w:r>
      <w:r w:rsidR="002035D0">
        <w:t>, which</w:t>
      </w:r>
      <w:r w:rsidR="007330B0">
        <w:t xml:space="preserve"> was a different approach to previous MOOCs which tend to be targeted and utilised by those who are already in employment or by those who are retired and wish to expand their knowledge</w:t>
      </w:r>
      <w:r w:rsidR="00954BCE">
        <w:t xml:space="preserve">, there has been a number of lessons learnt in both the </w:t>
      </w:r>
      <w:r w:rsidR="005A7A79">
        <w:t xml:space="preserve">creation and implementation of the Physiology course. </w:t>
      </w:r>
    </w:p>
    <w:p w14:paraId="7AFAAE00" w14:textId="2580DCE8" w:rsidR="00E62B77" w:rsidRPr="00320573" w:rsidRDefault="00320573" w:rsidP="00320573">
      <w:pPr>
        <w:pStyle w:val="Heading3"/>
      </w:pPr>
      <w:r>
        <w:t>Participants</w:t>
      </w:r>
    </w:p>
    <w:p w14:paraId="1B287DB6" w14:textId="1618D00C" w:rsidR="00C17FD7" w:rsidRDefault="2170EED8" w:rsidP="2170EED8">
      <w:pPr>
        <w:rPr>
          <w:rFonts w:eastAsia="Calibri"/>
        </w:rPr>
      </w:pPr>
      <w:r w:rsidRPr="59D384B5">
        <w:rPr>
          <w:rFonts w:eastAsia="Calibri"/>
        </w:rPr>
        <w:t xml:space="preserve">As </w:t>
      </w:r>
      <w:r w:rsidR="00052F01" w:rsidRPr="59D384B5">
        <w:rPr>
          <w:rFonts w:eastAsia="Calibri"/>
        </w:rPr>
        <w:t>previously</w:t>
      </w:r>
      <w:r w:rsidRPr="59D384B5">
        <w:rPr>
          <w:rFonts w:eastAsia="Calibri"/>
        </w:rPr>
        <w:t xml:space="preserve"> </w:t>
      </w:r>
      <w:r w:rsidR="00A60142" w:rsidRPr="59D384B5">
        <w:rPr>
          <w:rFonts w:eastAsia="Calibri"/>
        </w:rPr>
        <w:t>stated,</w:t>
      </w:r>
      <w:r w:rsidRPr="59D384B5">
        <w:rPr>
          <w:rFonts w:eastAsia="Calibri"/>
        </w:rPr>
        <w:t xml:space="preserve"> the target audience for </w:t>
      </w:r>
      <w:r w:rsidR="00822845" w:rsidRPr="59D384B5">
        <w:rPr>
          <w:rFonts w:eastAsia="Calibri"/>
        </w:rPr>
        <w:t xml:space="preserve">the </w:t>
      </w:r>
      <w:r w:rsidRPr="59D384B5">
        <w:rPr>
          <w:rFonts w:eastAsia="Calibri"/>
        </w:rPr>
        <w:t xml:space="preserve">MOOC was the 16 – </w:t>
      </w:r>
      <w:r w:rsidR="004031F2" w:rsidRPr="59D384B5">
        <w:rPr>
          <w:rFonts w:eastAsia="Calibri"/>
        </w:rPr>
        <w:t>19-year demographic</w:t>
      </w:r>
      <w:r w:rsidRPr="59D384B5">
        <w:rPr>
          <w:rFonts w:eastAsia="Calibri"/>
        </w:rPr>
        <w:t xml:space="preserve"> of GCSE, A-level and equivalent level learners. The aim </w:t>
      </w:r>
      <w:r w:rsidR="55794B51" w:rsidRPr="59D384B5">
        <w:rPr>
          <w:rFonts w:eastAsia="Calibri"/>
        </w:rPr>
        <w:t>was</w:t>
      </w:r>
      <w:r w:rsidRPr="59D384B5">
        <w:rPr>
          <w:rFonts w:eastAsia="Calibri"/>
        </w:rPr>
        <w:t xml:space="preserve"> to support and enhance learning opportunities in Biology specifically focused on Physiology, which in turn, it was hoped, would enthuse learners to pursue the Physiology discipline in their higher education endeavours. Over the period the MOOC has been running </w:t>
      </w:r>
      <w:r w:rsidR="00052F01" w:rsidRPr="59D384B5">
        <w:rPr>
          <w:rFonts w:eastAsia="Calibri"/>
        </w:rPr>
        <w:t>there was</w:t>
      </w:r>
      <w:r w:rsidRPr="59D384B5">
        <w:rPr>
          <w:rFonts w:eastAsia="Calibri"/>
        </w:rPr>
        <w:t xml:space="preserve"> an increase in the number of learners from this demographic. However, these were</w:t>
      </w:r>
      <w:r w:rsidR="00052F01" w:rsidRPr="59D384B5">
        <w:rPr>
          <w:rFonts w:eastAsia="Calibri"/>
        </w:rPr>
        <w:t xml:space="preserve"> not</w:t>
      </w:r>
      <w:r w:rsidRPr="59D384B5">
        <w:rPr>
          <w:rFonts w:eastAsia="Calibri"/>
        </w:rPr>
        <w:t xml:space="preserve"> the majority of </w:t>
      </w:r>
      <w:r w:rsidR="00052F01" w:rsidRPr="59D384B5">
        <w:rPr>
          <w:rFonts w:eastAsia="Calibri"/>
        </w:rPr>
        <w:t>the</w:t>
      </w:r>
      <w:r w:rsidRPr="59D384B5">
        <w:rPr>
          <w:rFonts w:eastAsia="Calibri"/>
        </w:rPr>
        <w:t xml:space="preserve"> learners. This despite a detailed and targeted age-appropriate recruitment strategy for this </w:t>
      </w:r>
      <w:r w:rsidR="00C47C96" w:rsidRPr="59D384B5">
        <w:rPr>
          <w:rFonts w:eastAsia="Calibri"/>
        </w:rPr>
        <w:t>age</w:t>
      </w:r>
      <w:r w:rsidRPr="59D384B5">
        <w:rPr>
          <w:rFonts w:eastAsia="Calibri"/>
        </w:rPr>
        <w:t xml:space="preserve"> group, which reinforces the need to carefully consider the use of MOOCs as a learning conduit for younger age groups in the </w:t>
      </w:r>
      <w:r w:rsidR="00B86353" w:rsidRPr="59D384B5">
        <w:rPr>
          <w:rFonts w:eastAsia="Calibri"/>
        </w:rPr>
        <w:t>future. The</w:t>
      </w:r>
      <w:r w:rsidRPr="59D384B5">
        <w:rPr>
          <w:rFonts w:eastAsia="Calibri"/>
        </w:rPr>
        <w:t xml:space="preserve"> MOOC was used by increasing numbers of learners </w:t>
      </w:r>
      <w:r w:rsidR="004031F2" w:rsidRPr="59D384B5">
        <w:rPr>
          <w:rFonts w:eastAsia="Calibri"/>
        </w:rPr>
        <w:t>who</w:t>
      </w:r>
      <w:r w:rsidRPr="59D384B5">
        <w:rPr>
          <w:rFonts w:eastAsia="Calibri"/>
        </w:rPr>
        <w:t xml:space="preserve"> were in employment, engaging with the resource as an opportunity to enhance their learning in a manner which contributed to their continued professional development. In addition, there were those learners choosing to engage with the MOOC to keep abreast of the field, or to ‘keep their hand in’ an area from which they had retired. </w:t>
      </w:r>
      <w:r w:rsidR="00C536DF" w:rsidRPr="59D384B5">
        <w:rPr>
          <w:rFonts w:eastAsia="Calibri"/>
        </w:rPr>
        <w:t xml:space="preserve">The lack of </w:t>
      </w:r>
      <w:r w:rsidR="003567EC" w:rsidRPr="59D384B5">
        <w:rPr>
          <w:rFonts w:eastAsia="Calibri"/>
        </w:rPr>
        <w:t xml:space="preserve">engagement from a younger audience </w:t>
      </w:r>
      <w:r w:rsidR="00701ED6" w:rsidRPr="59D384B5">
        <w:rPr>
          <w:rFonts w:eastAsia="Calibri"/>
        </w:rPr>
        <w:t>could be due to a lack of awareness of MOOCs from these younger age groups. Online</w:t>
      </w:r>
      <w:r w:rsidR="001B7ED4" w:rsidRPr="59D384B5">
        <w:rPr>
          <w:rFonts w:eastAsia="Calibri"/>
        </w:rPr>
        <w:t xml:space="preserve"> and independent</w:t>
      </w:r>
      <w:r w:rsidR="00701ED6" w:rsidRPr="59D384B5">
        <w:rPr>
          <w:rFonts w:eastAsia="Calibri"/>
        </w:rPr>
        <w:t xml:space="preserve"> learning is not something which is heavily promoted </w:t>
      </w:r>
      <w:r w:rsidR="001B7ED4" w:rsidRPr="59D384B5">
        <w:rPr>
          <w:rFonts w:eastAsia="Calibri"/>
        </w:rPr>
        <w:t xml:space="preserve">prior to attending University and therefore, </w:t>
      </w:r>
      <w:r w:rsidR="22A05F02" w:rsidRPr="59D384B5">
        <w:rPr>
          <w:rFonts w:eastAsia="Calibri"/>
        </w:rPr>
        <w:t xml:space="preserve">and </w:t>
      </w:r>
      <w:r w:rsidR="001B7ED4" w:rsidRPr="59D384B5">
        <w:rPr>
          <w:rFonts w:eastAsia="Calibri"/>
        </w:rPr>
        <w:t xml:space="preserve">students may be unaware of their existence and benefits. Furthermore, the promotion of the MOOC itself may need to have been better targeted to schools </w:t>
      </w:r>
      <w:r w:rsidR="00E1638E" w:rsidRPr="59D384B5">
        <w:rPr>
          <w:rFonts w:eastAsia="Calibri"/>
        </w:rPr>
        <w:t xml:space="preserve">and colleges to increase engagement from the younger age group. </w:t>
      </w:r>
    </w:p>
    <w:p w14:paraId="35081A53" w14:textId="6DB0E784" w:rsidR="2170EED8" w:rsidRPr="00C17FD7" w:rsidRDefault="2170EED8" w:rsidP="2170EED8">
      <w:pPr>
        <w:rPr>
          <w:rFonts w:eastAsia="Calibri"/>
        </w:rPr>
      </w:pPr>
      <w:r w:rsidRPr="59D384B5">
        <w:rPr>
          <w:rFonts w:eastAsia="Calibri"/>
        </w:rPr>
        <w:t xml:space="preserve">It was also apparent </w:t>
      </w:r>
      <w:r w:rsidR="6727A875" w:rsidRPr="59D384B5">
        <w:rPr>
          <w:rFonts w:eastAsia="Calibri"/>
        </w:rPr>
        <w:t>that some</w:t>
      </w:r>
      <w:r w:rsidRPr="59D384B5">
        <w:rPr>
          <w:rFonts w:eastAsia="Calibri"/>
        </w:rPr>
        <w:t xml:space="preserve"> learners </w:t>
      </w:r>
      <w:r w:rsidR="053AE4D9" w:rsidRPr="59D384B5">
        <w:rPr>
          <w:rFonts w:eastAsia="Calibri"/>
        </w:rPr>
        <w:t>chose</w:t>
      </w:r>
      <w:r w:rsidRPr="59D384B5">
        <w:rPr>
          <w:rFonts w:eastAsia="Calibri"/>
        </w:rPr>
        <w:t xml:space="preserve"> to engage with the MOOC </w:t>
      </w:r>
      <w:r w:rsidR="2D1B48D4" w:rsidRPr="59D384B5">
        <w:rPr>
          <w:rFonts w:eastAsia="Calibri"/>
        </w:rPr>
        <w:t>by</w:t>
      </w:r>
      <w:r w:rsidRPr="59D384B5">
        <w:rPr>
          <w:rFonts w:eastAsia="Calibri"/>
        </w:rPr>
        <w:t xml:space="preserve"> ‘dip</w:t>
      </w:r>
      <w:r w:rsidR="1CFBD098" w:rsidRPr="59D384B5">
        <w:rPr>
          <w:rFonts w:eastAsia="Calibri"/>
        </w:rPr>
        <w:t>ping</w:t>
      </w:r>
      <w:r w:rsidRPr="59D384B5">
        <w:rPr>
          <w:rFonts w:eastAsia="Calibri"/>
        </w:rPr>
        <w:t xml:space="preserve"> in’ for their particular area of interest and not necessarily “complet</w:t>
      </w:r>
      <w:r w:rsidR="4333B59A" w:rsidRPr="59D384B5">
        <w:rPr>
          <w:rFonts w:eastAsia="Calibri"/>
        </w:rPr>
        <w:t>ing</w:t>
      </w:r>
      <w:r w:rsidRPr="59D384B5">
        <w:rPr>
          <w:rFonts w:eastAsia="Calibri"/>
        </w:rPr>
        <w:t xml:space="preserve">” the whole MOOC. </w:t>
      </w:r>
      <w:r w:rsidR="00140CD9" w:rsidRPr="59D384B5">
        <w:rPr>
          <w:rFonts w:eastAsia="Calibri"/>
        </w:rPr>
        <w:t xml:space="preserve">Furthermore, the majority of those learners who chose to leave course before completion cited that they simply did not have enough time to complete it or that the course had taken up more time than they had realised. </w:t>
      </w:r>
      <w:r w:rsidRPr="59D384B5">
        <w:rPr>
          <w:rFonts w:eastAsia="Calibri"/>
        </w:rPr>
        <w:t>Irrespective of the motivation to engage, it has been</w:t>
      </w:r>
      <w:r w:rsidR="00CD4D9B" w:rsidRPr="59D384B5">
        <w:rPr>
          <w:rFonts w:eastAsia="Calibri"/>
        </w:rPr>
        <w:t xml:space="preserve"> a positive experience</w:t>
      </w:r>
      <w:r w:rsidRPr="59D384B5">
        <w:rPr>
          <w:rFonts w:eastAsia="Calibri"/>
        </w:rPr>
        <w:t xml:space="preserve"> to see the MOOC providing an environment which facilitated the development of a community of learning, with not only subject specialists engaging with learners, but also learners engaging with other learners in the many discussion boards on the topics covered. </w:t>
      </w:r>
    </w:p>
    <w:p w14:paraId="44FD5DD9" w14:textId="1A035FD1" w:rsidR="00320573" w:rsidRDefault="00320573" w:rsidP="00320573">
      <w:pPr>
        <w:pStyle w:val="Heading3"/>
      </w:pPr>
      <w:r>
        <w:t>Partnerships</w:t>
      </w:r>
    </w:p>
    <w:p w14:paraId="37A14628" w14:textId="49BCF263" w:rsidR="2170EED8" w:rsidRDefault="2170EED8" w:rsidP="2170EED8">
      <w:pPr>
        <w:rPr>
          <w:rFonts w:eastAsia="Calibri"/>
        </w:rPr>
      </w:pPr>
      <w:r w:rsidRPr="4FC54D20">
        <w:rPr>
          <w:rFonts w:eastAsia="Calibri"/>
        </w:rPr>
        <w:t xml:space="preserve">Producing a MOOC is by no means a simple task, </w:t>
      </w:r>
      <w:r w:rsidR="00483EBE" w:rsidRPr="4FC54D20">
        <w:rPr>
          <w:rFonts w:eastAsia="Calibri"/>
        </w:rPr>
        <w:t>arguably,</w:t>
      </w:r>
      <w:r w:rsidRPr="4FC54D20">
        <w:rPr>
          <w:rFonts w:eastAsia="Calibri"/>
        </w:rPr>
        <w:t xml:space="preserve"> it is perhaps too large a task for an individual to undertake. A number of experts are required for their construction, from the production team with technology enhanced learning expertise in animation, sound recording, video production; students as co-creators, the subject specialists, the quality assurance team, the project manager, not forgetting the </w:t>
      </w:r>
      <w:r w:rsidR="00F36210" w:rsidRPr="4FC54D20">
        <w:rPr>
          <w:rFonts w:eastAsia="Calibri"/>
        </w:rPr>
        <w:t>postproduction</w:t>
      </w:r>
      <w:r w:rsidRPr="4FC54D20">
        <w:rPr>
          <w:rFonts w:eastAsia="Calibri"/>
        </w:rPr>
        <w:t xml:space="preserve"> analysts and moderators. The power of working with a team, the value of bringing experience and expertise together in pedagogy and learning technology coupled with the opportunities for learning were without doubt essential to the production of </w:t>
      </w:r>
      <w:r w:rsidR="00A60142" w:rsidRPr="4FC54D20">
        <w:rPr>
          <w:rFonts w:eastAsia="Calibri"/>
        </w:rPr>
        <w:t xml:space="preserve">the </w:t>
      </w:r>
      <w:r w:rsidRPr="4FC54D20">
        <w:rPr>
          <w:rFonts w:eastAsia="Calibri"/>
        </w:rPr>
        <w:t xml:space="preserve">successful MOOC. </w:t>
      </w:r>
    </w:p>
    <w:p w14:paraId="3070A0FF" w14:textId="538EAA12" w:rsidR="2170EED8" w:rsidRDefault="2170EED8" w:rsidP="2170EED8">
      <w:pPr>
        <w:rPr>
          <w:rFonts w:eastAsia="Calibri"/>
        </w:rPr>
      </w:pPr>
      <w:r w:rsidRPr="59D384B5">
        <w:rPr>
          <w:rFonts w:eastAsia="Calibri"/>
        </w:rPr>
        <w:t xml:space="preserve">A key element in the design of this MOOC was the inclusion of </w:t>
      </w:r>
      <w:r w:rsidR="00F12051" w:rsidRPr="59D384B5">
        <w:rPr>
          <w:rFonts w:eastAsia="Calibri"/>
        </w:rPr>
        <w:t>current university students</w:t>
      </w:r>
      <w:r w:rsidRPr="59D384B5">
        <w:rPr>
          <w:rFonts w:eastAsia="Calibri"/>
        </w:rPr>
        <w:t xml:space="preserve"> as co-creators </w:t>
      </w:r>
      <w:r w:rsidR="00F12051" w:rsidRPr="59D384B5">
        <w:rPr>
          <w:rFonts w:eastAsia="Calibri"/>
        </w:rPr>
        <w:t xml:space="preserve">of content </w:t>
      </w:r>
      <w:r w:rsidRPr="59D384B5">
        <w:rPr>
          <w:rFonts w:eastAsia="Calibri"/>
        </w:rPr>
        <w:t>throughout the process</w:t>
      </w:r>
      <w:r w:rsidR="002C4357" w:rsidRPr="59D384B5">
        <w:rPr>
          <w:rFonts w:eastAsia="Calibri"/>
        </w:rPr>
        <w:t xml:space="preserve">, particularly since the target audience was those who may well go on to study Physiology </w:t>
      </w:r>
      <w:r w:rsidR="00260B56" w:rsidRPr="59D384B5">
        <w:rPr>
          <w:rFonts w:eastAsia="Calibri"/>
        </w:rPr>
        <w:t>in further detail at university.</w:t>
      </w:r>
      <w:r w:rsidRPr="59D384B5">
        <w:rPr>
          <w:rFonts w:eastAsia="Calibri"/>
        </w:rPr>
        <w:t xml:space="preserve"> It is widely known that such a partnership brings with it </w:t>
      </w:r>
      <w:r w:rsidRPr="59D384B5">
        <w:rPr>
          <w:rFonts w:eastAsia="Calibri"/>
        </w:rPr>
        <w:lastRenderedPageBreak/>
        <w:t>several learning opportunities and experiences, the opportunity for students to work as an integral member of the MOOC team not only provided a wealth of authentic experience, but also provided the team with a priceless student perspective</w:t>
      </w:r>
      <w:r w:rsidR="00A07453" w:rsidRPr="59D384B5">
        <w:rPr>
          <w:rFonts w:eastAsia="Calibri"/>
        </w:rPr>
        <w:t xml:space="preserve"> </w:t>
      </w:r>
      <w:r w:rsidRPr="59D384B5">
        <w:rPr>
          <w:rFonts w:eastAsia="Calibri"/>
          <w:vertAlign w:val="superscript"/>
        </w:rPr>
        <w:t>20, 21</w:t>
      </w:r>
      <w:r w:rsidRPr="59D384B5">
        <w:rPr>
          <w:rFonts w:eastAsia="Calibri"/>
        </w:rPr>
        <w:t xml:space="preserve">. Students were not only involved in the design of the MOOC, but also the production of many of its materials and resources, as key members of the development team </w:t>
      </w:r>
      <w:r w:rsidRPr="59D384B5">
        <w:rPr>
          <w:rFonts w:eastAsia="Calibri"/>
          <w:vertAlign w:val="superscript"/>
        </w:rPr>
        <w:t>22, 23</w:t>
      </w:r>
      <w:r w:rsidRPr="59D384B5">
        <w:rPr>
          <w:rFonts w:eastAsia="Calibri"/>
        </w:rPr>
        <w:t xml:space="preserve">, for example, assisting with the demonstration videos, interactive questions, and timeline resources. These students volunteered because they had an interest in progressing onto education careers following their undergraduate degrees, and as a result, these experiences, the knowledge and confidence gained continue to serve them beyond the completion of a key element of their final year honours project. </w:t>
      </w:r>
    </w:p>
    <w:p w14:paraId="4046CCD1" w14:textId="56BE24FF" w:rsidR="2170EED8" w:rsidRDefault="2170EED8" w:rsidP="2170EED8">
      <w:pPr>
        <w:rPr>
          <w:rFonts w:eastAsia="Calibri"/>
        </w:rPr>
      </w:pPr>
      <w:r w:rsidRPr="4FC54D20">
        <w:rPr>
          <w:rFonts w:eastAsia="Calibri"/>
        </w:rPr>
        <w:t xml:space="preserve">Technology Enhanced Learning (TEL) academics came together with subject academics from the key disciplines in Physiology, to ensure the requirements set out by The Physiological Society were met. </w:t>
      </w:r>
      <w:r w:rsidR="000064C6" w:rsidRPr="4FC54D20">
        <w:rPr>
          <w:rFonts w:eastAsia="Calibri"/>
        </w:rPr>
        <w:t>T</w:t>
      </w:r>
      <w:r w:rsidRPr="4FC54D20">
        <w:rPr>
          <w:rFonts w:eastAsia="Calibri"/>
        </w:rPr>
        <w:t xml:space="preserve">his was not without its challenges, nonetheless these partnerships ensured that key knowledge and take-home messages could be conveyed to the learners in the best ways possible in the online environment. An important aspect of this was to involve the TEL academics and the production team early in the project, since without this, the smooth integration of the learning technologies with the discipline content would not have been possible. Developing an early understanding and appreciation of the best methods to provide academic content to the content developer and media specialists aided the translation of information from the mind of a subject specialist to an expertly produced audio-visual resource. </w:t>
      </w:r>
    </w:p>
    <w:p w14:paraId="4F3E9677" w14:textId="34C27CED" w:rsidR="00320573" w:rsidRDefault="00320573" w:rsidP="00320573">
      <w:pPr>
        <w:pStyle w:val="Heading3"/>
      </w:pPr>
      <w:r>
        <w:t>Planning</w:t>
      </w:r>
    </w:p>
    <w:p w14:paraId="231ED80D" w14:textId="79628C1E" w:rsidR="00EF5258" w:rsidRPr="009A3E2A" w:rsidRDefault="000064C6" w:rsidP="2170EED8">
      <w:pPr>
        <w:rPr>
          <w:rFonts w:eastAsia="Calibri"/>
        </w:rPr>
      </w:pPr>
      <w:r w:rsidRPr="59D384B5">
        <w:rPr>
          <w:rFonts w:eastAsia="Calibri"/>
        </w:rPr>
        <w:t xml:space="preserve">The academic project team </w:t>
      </w:r>
      <w:r w:rsidR="77CF6A18" w:rsidRPr="59D384B5">
        <w:rPr>
          <w:rFonts w:eastAsia="Calibri"/>
        </w:rPr>
        <w:t>was</w:t>
      </w:r>
      <w:r w:rsidRPr="59D384B5">
        <w:rPr>
          <w:rFonts w:eastAsia="Calibri"/>
        </w:rPr>
        <w:t xml:space="preserve"> </w:t>
      </w:r>
      <w:r w:rsidR="009929BA" w:rsidRPr="59D384B5">
        <w:rPr>
          <w:rFonts w:eastAsia="Calibri"/>
        </w:rPr>
        <w:t>naive</w:t>
      </w:r>
      <w:r w:rsidRPr="59D384B5">
        <w:rPr>
          <w:rFonts w:eastAsia="Calibri"/>
        </w:rPr>
        <w:t xml:space="preserve"> to</w:t>
      </w:r>
      <w:r w:rsidR="00CE1E8F" w:rsidRPr="59D384B5">
        <w:rPr>
          <w:rFonts w:eastAsia="Calibri"/>
        </w:rPr>
        <w:t xml:space="preserve"> understanding what a MOOC was, it’s purpose and how to approach</w:t>
      </w:r>
      <w:r w:rsidR="009929BA" w:rsidRPr="59D384B5">
        <w:rPr>
          <w:rFonts w:eastAsia="Calibri"/>
        </w:rPr>
        <w:t xml:space="preserve"> the development and implementation.</w:t>
      </w:r>
      <w:r w:rsidR="2170EED8" w:rsidRPr="59D384B5">
        <w:rPr>
          <w:rFonts w:eastAsia="Calibri"/>
        </w:rPr>
        <w:t xml:space="preserve"> </w:t>
      </w:r>
      <w:r w:rsidR="009929BA" w:rsidRPr="59D384B5">
        <w:rPr>
          <w:rFonts w:eastAsia="Calibri"/>
        </w:rPr>
        <w:t>Lessons learnt include allowing</w:t>
      </w:r>
      <w:r w:rsidR="2170EED8" w:rsidRPr="59D384B5">
        <w:rPr>
          <w:rFonts w:eastAsia="Calibri"/>
        </w:rPr>
        <w:t xml:space="preserve"> plenty of time and hav</w:t>
      </w:r>
      <w:r w:rsidR="009929BA" w:rsidRPr="59D384B5">
        <w:rPr>
          <w:rFonts w:eastAsia="Calibri"/>
        </w:rPr>
        <w:t>ing</w:t>
      </w:r>
      <w:r w:rsidR="2170EED8" w:rsidRPr="59D384B5">
        <w:rPr>
          <w:rFonts w:eastAsia="Calibri"/>
        </w:rPr>
        <w:t xml:space="preserve"> a clear </w:t>
      </w:r>
      <w:r w:rsidR="1335780E" w:rsidRPr="59D384B5">
        <w:rPr>
          <w:rFonts w:eastAsia="Calibri"/>
        </w:rPr>
        <w:t xml:space="preserve">project </w:t>
      </w:r>
      <w:r w:rsidR="2170EED8" w:rsidRPr="59D384B5">
        <w:rPr>
          <w:rFonts w:eastAsia="Calibri"/>
        </w:rPr>
        <w:t xml:space="preserve">plan, plus the value of good project management </w:t>
      </w:r>
      <w:r w:rsidR="008B2B68" w:rsidRPr="59D384B5">
        <w:rPr>
          <w:rFonts w:eastAsia="Calibri"/>
        </w:rPr>
        <w:t>must not</w:t>
      </w:r>
      <w:r w:rsidR="2170EED8" w:rsidRPr="59D384B5">
        <w:rPr>
          <w:rFonts w:eastAsia="Calibri"/>
        </w:rPr>
        <w:t xml:space="preserve"> be underestimated. </w:t>
      </w:r>
      <w:r w:rsidR="006E1E42" w:rsidRPr="59D384B5">
        <w:rPr>
          <w:rFonts w:eastAsia="Calibri"/>
        </w:rPr>
        <w:t xml:space="preserve">The team discovered that a key aspect to planning is to consider </w:t>
      </w:r>
      <w:r w:rsidR="2170EED8" w:rsidRPr="59D384B5">
        <w:rPr>
          <w:rFonts w:eastAsia="Calibri"/>
        </w:rPr>
        <w:t xml:space="preserve">project aims, project content to be </w:t>
      </w:r>
      <w:r w:rsidR="00B16D0C" w:rsidRPr="59D384B5">
        <w:rPr>
          <w:rFonts w:eastAsia="Calibri"/>
        </w:rPr>
        <w:t>delivered, project</w:t>
      </w:r>
      <w:r w:rsidR="2170EED8" w:rsidRPr="59D384B5">
        <w:rPr>
          <w:rFonts w:eastAsia="Calibri"/>
        </w:rPr>
        <w:t xml:space="preserve"> production, and the roles of individual team members. </w:t>
      </w:r>
      <w:r w:rsidR="005616A7" w:rsidRPr="59D384B5">
        <w:rPr>
          <w:rFonts w:eastAsia="Calibri"/>
        </w:rPr>
        <w:t xml:space="preserve"> Furthermore, the team found that u</w:t>
      </w:r>
      <w:r w:rsidR="2170EED8" w:rsidRPr="59D384B5">
        <w:rPr>
          <w:rFonts w:eastAsia="Calibri"/>
        </w:rPr>
        <w:t xml:space="preserve">sing storyboards to </w:t>
      </w:r>
      <w:r w:rsidR="005616A7" w:rsidRPr="59D384B5">
        <w:rPr>
          <w:rFonts w:eastAsia="Calibri"/>
        </w:rPr>
        <w:t>develop t</w:t>
      </w:r>
      <w:r w:rsidR="2170EED8" w:rsidRPr="59D384B5">
        <w:rPr>
          <w:rFonts w:eastAsia="Calibri"/>
        </w:rPr>
        <w:t>he scripts, the audio, the visuals, the style of presentation</w:t>
      </w:r>
      <w:r w:rsidR="005616A7" w:rsidRPr="59D384B5">
        <w:rPr>
          <w:rFonts w:eastAsia="Calibri"/>
        </w:rPr>
        <w:t xml:space="preserve"> and </w:t>
      </w:r>
      <w:r w:rsidR="2170EED8" w:rsidRPr="59D384B5">
        <w:rPr>
          <w:rFonts w:eastAsia="Calibri"/>
        </w:rPr>
        <w:t xml:space="preserve">the interaction opportunities was vital to project success </w:t>
      </w:r>
      <w:r w:rsidR="005616A7" w:rsidRPr="59D384B5">
        <w:rPr>
          <w:rFonts w:eastAsia="Calibri"/>
        </w:rPr>
        <w:t xml:space="preserve">These aspects were time-consuming, and required a great deal of effort, but </w:t>
      </w:r>
      <w:r w:rsidR="00C47C96" w:rsidRPr="59D384B5">
        <w:rPr>
          <w:rFonts w:eastAsia="Calibri"/>
        </w:rPr>
        <w:t>were key</w:t>
      </w:r>
      <w:r w:rsidR="005616A7" w:rsidRPr="59D384B5">
        <w:rPr>
          <w:rFonts w:eastAsia="Calibri"/>
        </w:rPr>
        <w:t xml:space="preserve"> in developing a successful </w:t>
      </w:r>
      <w:r w:rsidR="0025785B" w:rsidRPr="59D384B5">
        <w:rPr>
          <w:rFonts w:eastAsia="Calibri"/>
        </w:rPr>
        <w:t xml:space="preserve">MOOC. </w:t>
      </w:r>
      <w:r w:rsidR="0091379C" w:rsidRPr="59D384B5">
        <w:rPr>
          <w:rFonts w:eastAsia="Calibri"/>
        </w:rPr>
        <w:t xml:space="preserve">In addition, </w:t>
      </w:r>
      <w:r w:rsidR="004F3981" w:rsidRPr="59D384B5">
        <w:rPr>
          <w:rFonts w:eastAsia="Calibri"/>
        </w:rPr>
        <w:t xml:space="preserve">the utilisation of both demonstrations and animations were integral to help </w:t>
      </w:r>
      <w:r w:rsidR="2170EED8" w:rsidRPr="59D384B5">
        <w:rPr>
          <w:rFonts w:eastAsia="Calibri"/>
        </w:rPr>
        <w:t xml:space="preserve">learners visualise the concepts and key information. Bringing these elements together helps to focus and appreciate how to adapt delivery to allow opportunities for interaction. </w:t>
      </w:r>
    </w:p>
    <w:p w14:paraId="5237535C" w14:textId="6DE46AB9" w:rsidR="00EF5258" w:rsidRPr="009A3E2A" w:rsidRDefault="00A30956" w:rsidP="2170EED8">
      <w:pPr>
        <w:rPr>
          <w:rFonts w:eastAsia="Calibri"/>
        </w:rPr>
      </w:pPr>
      <w:r w:rsidRPr="75874676">
        <w:rPr>
          <w:rFonts w:eastAsia="Calibri"/>
        </w:rPr>
        <w:t xml:space="preserve">Moreover, </w:t>
      </w:r>
      <w:r w:rsidR="00DB667E" w:rsidRPr="75874676">
        <w:rPr>
          <w:rFonts w:eastAsia="Calibri"/>
        </w:rPr>
        <w:t>c</w:t>
      </w:r>
      <w:r w:rsidR="2170EED8" w:rsidRPr="75874676">
        <w:rPr>
          <w:rFonts w:eastAsia="Calibri"/>
        </w:rPr>
        <w:t xml:space="preserve">hoosing the appropriate content </w:t>
      </w:r>
      <w:r w:rsidRPr="75874676">
        <w:rPr>
          <w:rFonts w:eastAsia="Calibri"/>
        </w:rPr>
        <w:t>is a key aspect of developing a MOOC</w:t>
      </w:r>
      <w:r w:rsidR="2170EED8" w:rsidRPr="75874676">
        <w:rPr>
          <w:rFonts w:eastAsia="Calibri"/>
        </w:rPr>
        <w:t xml:space="preserve">. </w:t>
      </w:r>
      <w:r w:rsidR="00DB667E" w:rsidRPr="75874676">
        <w:rPr>
          <w:rFonts w:eastAsia="Calibri"/>
        </w:rPr>
        <w:t>Ensuring that</w:t>
      </w:r>
      <w:r w:rsidR="00506825" w:rsidRPr="75874676">
        <w:rPr>
          <w:rFonts w:eastAsia="Calibri"/>
        </w:rPr>
        <w:t xml:space="preserve"> </w:t>
      </w:r>
      <w:r w:rsidR="00C47C96" w:rsidRPr="75874676">
        <w:rPr>
          <w:rFonts w:eastAsia="Calibri"/>
        </w:rPr>
        <w:t>th</w:t>
      </w:r>
      <w:r w:rsidR="00C47C96">
        <w:rPr>
          <w:rFonts w:eastAsia="Calibri"/>
        </w:rPr>
        <w:t>ey’re</w:t>
      </w:r>
      <w:r w:rsidR="00C47C96" w:rsidRPr="75874676">
        <w:rPr>
          <w:rFonts w:eastAsia="Calibri"/>
        </w:rPr>
        <w:t xml:space="preserve"> both</w:t>
      </w:r>
      <w:r w:rsidR="00506825" w:rsidRPr="75874676">
        <w:rPr>
          <w:rFonts w:eastAsia="Calibri"/>
        </w:rPr>
        <w:t xml:space="preserve"> the</w:t>
      </w:r>
      <w:r w:rsidR="2170EED8" w:rsidRPr="75874676">
        <w:rPr>
          <w:rFonts w:eastAsia="Calibri"/>
        </w:rPr>
        <w:t xml:space="preserve"> intended learning outcomes </w:t>
      </w:r>
      <w:r w:rsidR="00506825" w:rsidRPr="75874676">
        <w:rPr>
          <w:rFonts w:eastAsia="Calibri"/>
        </w:rPr>
        <w:t>and the overall</w:t>
      </w:r>
      <w:r w:rsidR="2170EED8" w:rsidRPr="75874676">
        <w:rPr>
          <w:rFonts w:eastAsia="Calibri"/>
        </w:rPr>
        <w:t xml:space="preserve"> aim of the MOOC are clear from the outset is vital. For </w:t>
      </w:r>
      <w:r w:rsidR="003B70CB" w:rsidRPr="75874676">
        <w:rPr>
          <w:rFonts w:eastAsia="Calibri"/>
        </w:rPr>
        <w:t>this</w:t>
      </w:r>
      <w:r w:rsidR="2170EED8" w:rsidRPr="75874676">
        <w:rPr>
          <w:rFonts w:eastAsia="Calibri"/>
        </w:rPr>
        <w:t xml:space="preserve"> MOOC it was important to choose content from the GCSE and Biology syllabi, which would be of most use to learners and educators. It was surprising to see for example, the degree of variation between the five major UK A-level exam boards, in respect of Physiology coverage. With only three main Physiological systems (Respiratory, Cardiovascular and Nervous systems) being common to all specifications. There was an unexpected degree of variability between the specifications in their coverage of the Musculoskeletal and Renal systems for example. Mapping the MOOC content to the common activity areas spanning several of the A-level Biology specifications, ensured the MOOC would be useful to the </w:t>
      </w:r>
      <w:r w:rsidR="00C47C96" w:rsidRPr="75874676">
        <w:rPr>
          <w:rFonts w:eastAsia="Calibri"/>
        </w:rPr>
        <w:t>widest reach</w:t>
      </w:r>
      <w:r w:rsidR="2170EED8" w:rsidRPr="75874676">
        <w:rPr>
          <w:rFonts w:eastAsia="Calibri"/>
        </w:rPr>
        <w:t xml:space="preserve"> for </w:t>
      </w:r>
      <w:r w:rsidR="00272F4A" w:rsidRPr="75874676">
        <w:rPr>
          <w:rFonts w:eastAsia="Calibri"/>
        </w:rPr>
        <w:t>the</w:t>
      </w:r>
      <w:r w:rsidR="2170EED8" w:rsidRPr="75874676">
        <w:rPr>
          <w:rFonts w:eastAsia="Calibri"/>
        </w:rPr>
        <w:t xml:space="preserve"> target audience. At the same time aligning with areas covered in the early parts of associated undergraduate degrees, to aid in learner transition to HE, helping to scaffold learning and allow the MOOC to serve as a useful learning resource beyond the target demographic. </w:t>
      </w:r>
    </w:p>
    <w:p w14:paraId="123BB93E" w14:textId="65E3EE3F" w:rsidR="00EF5258" w:rsidRPr="009A3E2A" w:rsidRDefault="2170EED8" w:rsidP="2170EED8">
      <w:pPr>
        <w:rPr>
          <w:rFonts w:eastAsia="Calibri"/>
        </w:rPr>
      </w:pPr>
      <w:r w:rsidRPr="75874676">
        <w:rPr>
          <w:rFonts w:eastAsia="Calibri"/>
        </w:rPr>
        <w:t>An essential step to include</w:t>
      </w:r>
      <w:r w:rsidR="004C00B9">
        <w:rPr>
          <w:rFonts w:eastAsia="Calibri"/>
        </w:rPr>
        <w:t xml:space="preserve"> </w:t>
      </w:r>
      <w:r w:rsidRPr="75874676">
        <w:rPr>
          <w:rFonts w:eastAsia="Calibri"/>
        </w:rPr>
        <w:t xml:space="preserve">is Quality Assurance (QA). </w:t>
      </w:r>
      <w:r w:rsidRPr="1AB5DFBE">
        <w:rPr>
          <w:rFonts w:eastAsia="Calibri"/>
        </w:rPr>
        <w:t>In</w:t>
      </w:r>
      <w:r w:rsidRPr="75874676">
        <w:rPr>
          <w:rFonts w:eastAsia="Calibri"/>
        </w:rPr>
        <w:t xml:space="preserve"> the </w:t>
      </w:r>
      <w:r w:rsidRPr="1AB5DFBE">
        <w:rPr>
          <w:rFonts w:eastAsia="Calibri"/>
        </w:rPr>
        <w:t>initial planning</w:t>
      </w:r>
      <w:r w:rsidRPr="4B4855C4">
        <w:rPr>
          <w:rFonts w:eastAsia="Calibri"/>
        </w:rPr>
        <w:t xml:space="preserve"> phase,</w:t>
      </w:r>
      <w:r w:rsidRPr="1C87BE84">
        <w:rPr>
          <w:rFonts w:eastAsia="Calibri"/>
        </w:rPr>
        <w:t xml:space="preserve"> it was intended</w:t>
      </w:r>
      <w:r w:rsidRPr="1AB5DFBE">
        <w:rPr>
          <w:rFonts w:eastAsia="Calibri"/>
        </w:rPr>
        <w:t xml:space="preserve"> </w:t>
      </w:r>
      <w:r w:rsidRPr="632BEA92">
        <w:rPr>
          <w:rFonts w:eastAsia="Calibri"/>
        </w:rPr>
        <w:t>that</w:t>
      </w:r>
      <w:r w:rsidRPr="1AB5DFBE">
        <w:rPr>
          <w:rFonts w:eastAsia="Calibri"/>
        </w:rPr>
        <w:t xml:space="preserve"> the majority of</w:t>
      </w:r>
      <w:r w:rsidRPr="75874676">
        <w:rPr>
          <w:rFonts w:eastAsia="Calibri"/>
        </w:rPr>
        <w:t xml:space="preserve"> resources </w:t>
      </w:r>
      <w:r w:rsidRPr="4602F030">
        <w:rPr>
          <w:rFonts w:eastAsia="Calibri"/>
        </w:rPr>
        <w:t xml:space="preserve">would </w:t>
      </w:r>
      <w:r w:rsidRPr="4286EFF7">
        <w:rPr>
          <w:rFonts w:eastAsia="Calibri"/>
        </w:rPr>
        <w:t>be</w:t>
      </w:r>
      <w:r w:rsidRPr="75874676">
        <w:rPr>
          <w:rFonts w:eastAsia="Calibri"/>
        </w:rPr>
        <w:t xml:space="preserve"> audio/visual</w:t>
      </w:r>
      <w:r w:rsidRPr="4286EFF7">
        <w:rPr>
          <w:rFonts w:eastAsia="Calibri"/>
        </w:rPr>
        <w:t xml:space="preserve"> in nature</w:t>
      </w:r>
      <w:r w:rsidRPr="75874676">
        <w:rPr>
          <w:rFonts w:eastAsia="Calibri"/>
        </w:rPr>
        <w:t xml:space="preserve">, therefore likely the costliest in their production, </w:t>
      </w:r>
      <w:r w:rsidRPr="64C0CA87">
        <w:rPr>
          <w:rFonts w:eastAsia="Calibri"/>
        </w:rPr>
        <w:t>and it</w:t>
      </w:r>
      <w:r w:rsidRPr="75874676">
        <w:rPr>
          <w:rFonts w:eastAsia="Calibri"/>
        </w:rPr>
        <w:t xml:space="preserve"> was imperative that these were reviewed by all interested parties. As the MOOC was being run in discrete weeks for each system, </w:t>
      </w:r>
      <w:r w:rsidR="00F26997" w:rsidRPr="75874676">
        <w:rPr>
          <w:rFonts w:eastAsia="Calibri"/>
        </w:rPr>
        <w:t>packs were produced</w:t>
      </w:r>
      <w:r w:rsidRPr="75874676">
        <w:rPr>
          <w:rFonts w:eastAsia="Calibri"/>
        </w:rPr>
        <w:t xml:space="preserve"> for the review teams containing scripts, storyboards, </w:t>
      </w:r>
      <w:r w:rsidRPr="75874676">
        <w:rPr>
          <w:rFonts w:eastAsia="Calibri"/>
        </w:rPr>
        <w:lastRenderedPageBreak/>
        <w:t xml:space="preserve">interactive assessment, discussion board topics and feeder questions, historical </w:t>
      </w:r>
      <w:r w:rsidR="007A341A" w:rsidRPr="75874676">
        <w:rPr>
          <w:rFonts w:eastAsia="Calibri"/>
        </w:rPr>
        <w:t>timelines,</w:t>
      </w:r>
      <w:r w:rsidRPr="75874676">
        <w:rPr>
          <w:rFonts w:eastAsia="Calibri"/>
        </w:rPr>
        <w:t xml:space="preserve"> and any additional material. Reviewers' comments were then collated and </w:t>
      </w:r>
      <w:r w:rsidRPr="290003DF">
        <w:rPr>
          <w:rFonts w:eastAsia="Calibri"/>
        </w:rPr>
        <w:t>actioned (</w:t>
      </w:r>
      <w:r w:rsidRPr="75874676">
        <w:rPr>
          <w:rFonts w:eastAsia="Calibri"/>
        </w:rPr>
        <w:t>where possible</w:t>
      </w:r>
      <w:r w:rsidRPr="4C5219E6">
        <w:rPr>
          <w:rFonts w:eastAsia="Calibri"/>
        </w:rPr>
        <w:t>)</w:t>
      </w:r>
      <w:r w:rsidRPr="75874676">
        <w:rPr>
          <w:rFonts w:eastAsia="Calibri"/>
        </w:rPr>
        <w:t xml:space="preserve"> by the </w:t>
      </w:r>
      <w:r w:rsidRPr="170093C7">
        <w:rPr>
          <w:rFonts w:eastAsia="Calibri"/>
        </w:rPr>
        <w:t>development team.</w:t>
      </w:r>
      <w:r w:rsidRPr="75874676">
        <w:rPr>
          <w:rFonts w:eastAsia="Calibri"/>
        </w:rPr>
        <w:t xml:space="preserve"> It is important to ensure continuity throughout the MOOC, which also includes the review team, to ensure a consistency in the final product. Feedback was focused on use of language and its balance between the scientific and that of the target (often lay) audience, at times needing to forgo one to ensure accessibility for the other. </w:t>
      </w:r>
      <w:r w:rsidR="00C1303F" w:rsidRPr="75874676">
        <w:rPr>
          <w:rFonts w:eastAsia="Calibri"/>
        </w:rPr>
        <w:t>A</w:t>
      </w:r>
      <w:r w:rsidRPr="75874676">
        <w:rPr>
          <w:rFonts w:eastAsia="Calibri"/>
        </w:rPr>
        <w:t xml:space="preserve"> narrative approach</w:t>
      </w:r>
      <w:r w:rsidR="00C1303F" w:rsidRPr="75874676">
        <w:rPr>
          <w:rFonts w:eastAsia="Calibri"/>
        </w:rPr>
        <w:t xml:space="preserve"> was taken</w:t>
      </w:r>
      <w:r w:rsidRPr="75874676">
        <w:rPr>
          <w:rFonts w:eastAsia="Calibri"/>
        </w:rPr>
        <w:t xml:space="preserve"> to increase the appeal of the MOOC to the target demographic</w:t>
      </w:r>
      <w:r w:rsidR="00686ABA" w:rsidRPr="75874676">
        <w:rPr>
          <w:rFonts w:eastAsia="Calibri"/>
          <w:vertAlign w:val="superscript"/>
        </w:rPr>
        <w:t>24</w:t>
      </w:r>
      <w:r w:rsidRPr="75874676">
        <w:rPr>
          <w:rFonts w:eastAsia="Calibri"/>
        </w:rPr>
        <w:t>. Following review, materials were produced and packaged into a ‘learner-ready’ suite of materials, these were to be checked one final time for any clarity and quality issues in audio and visual production. The final QA procedure was via the platform provider (</w:t>
      </w:r>
      <w:proofErr w:type="spellStart"/>
      <w:r w:rsidR="3FDA1E44" w:rsidRPr="7E2E8F3D">
        <w:rPr>
          <w:rFonts w:eastAsia="Calibri"/>
        </w:rPr>
        <w:t>FutureLearn</w:t>
      </w:r>
      <w:proofErr w:type="spellEnd"/>
      <w:r w:rsidRPr="75874676">
        <w:rPr>
          <w:rFonts w:eastAsia="Calibri"/>
        </w:rPr>
        <w:t xml:space="preserve">) to check for technological and accessibility issues. Overall, the QA process, was costly in terms of time, nonetheless it provided opportunity for additional discussion and input from a wider panel of experts, in doing so providing valuable insight especially from those </w:t>
      </w:r>
      <w:r w:rsidR="00A627DB" w:rsidRPr="75874676">
        <w:rPr>
          <w:rFonts w:eastAsia="Calibri"/>
        </w:rPr>
        <w:t>who</w:t>
      </w:r>
      <w:r w:rsidRPr="75874676">
        <w:rPr>
          <w:rFonts w:eastAsia="Calibri"/>
        </w:rPr>
        <w:t xml:space="preserve"> interacted with </w:t>
      </w:r>
      <w:r w:rsidR="00A60142" w:rsidRPr="75874676">
        <w:rPr>
          <w:rFonts w:eastAsia="Calibri"/>
        </w:rPr>
        <w:t>the</w:t>
      </w:r>
      <w:r w:rsidRPr="75874676">
        <w:rPr>
          <w:rFonts w:eastAsia="Calibri"/>
        </w:rPr>
        <w:t xml:space="preserve"> target demographic on a regular basis. </w:t>
      </w:r>
    </w:p>
    <w:p w14:paraId="16568EB3" w14:textId="42F00882" w:rsidR="00EF5258" w:rsidRDefault="00320573" w:rsidP="2170EED8">
      <w:pPr>
        <w:rPr>
          <w:i/>
          <w:iCs/>
        </w:rPr>
      </w:pPr>
      <w:r w:rsidRPr="00F74424">
        <w:rPr>
          <w:i/>
          <w:iCs/>
        </w:rPr>
        <w:t>Platform</w:t>
      </w:r>
    </w:p>
    <w:p w14:paraId="749A4154" w14:textId="70CA9C5C" w:rsidR="2170EED8" w:rsidRPr="002F0B3D" w:rsidRDefault="00F81CF7" w:rsidP="2170EED8">
      <w:pPr>
        <w:rPr>
          <w:rFonts w:eastAsia="Calibri"/>
          <w:highlight w:val="yellow"/>
        </w:rPr>
      </w:pPr>
      <w:proofErr w:type="spellStart"/>
      <w:r>
        <w:t>FutureLearn</w:t>
      </w:r>
      <w:proofErr w:type="spellEnd"/>
      <w:r>
        <w:t xml:space="preserve"> was chosen </w:t>
      </w:r>
      <w:r w:rsidR="00AF2A43">
        <w:t xml:space="preserve">as the MOOC platform by The Physiological </w:t>
      </w:r>
      <w:r w:rsidR="009815E9">
        <w:t>Society and</w:t>
      </w:r>
      <w:r w:rsidR="00AF2A43">
        <w:t xml:space="preserve"> enabled the University of Liverpool to continue with their already successful partnership agreement with the platform. </w:t>
      </w:r>
      <w:r w:rsidR="00E03928">
        <w:t xml:space="preserve">The </w:t>
      </w:r>
      <w:proofErr w:type="spellStart"/>
      <w:r w:rsidR="00E03928">
        <w:t>FutureLearn</w:t>
      </w:r>
      <w:proofErr w:type="spellEnd"/>
      <w:r w:rsidR="00E03928">
        <w:t xml:space="preserve"> platform</w:t>
      </w:r>
      <w:r w:rsidR="007B68BD">
        <w:t xml:space="preserve"> is also a common choice among UK universities</w:t>
      </w:r>
      <w:r w:rsidR="00E03928">
        <w:t>,</w:t>
      </w:r>
      <w:r w:rsidR="007B68BD">
        <w:t xml:space="preserve"> </w:t>
      </w:r>
      <w:r w:rsidR="00EC5198">
        <w:t xml:space="preserve">with </w:t>
      </w:r>
      <w:r w:rsidR="0081369A">
        <w:t>77% of courses</w:t>
      </w:r>
      <w:r w:rsidR="00E03928">
        <w:t xml:space="preserve"> </w:t>
      </w:r>
      <w:r w:rsidR="002B5E1C">
        <w:t>provided</w:t>
      </w:r>
      <w:r w:rsidR="00E03928">
        <w:t xml:space="preserve"> by a </w:t>
      </w:r>
      <w:r w:rsidR="002B5E1C">
        <w:t xml:space="preserve">UK </w:t>
      </w:r>
      <w:r w:rsidR="00E03928">
        <w:t xml:space="preserve">university being delivered through the platform </w:t>
      </w:r>
      <w:r w:rsidR="00E03928" w:rsidRPr="531E7D9C">
        <w:rPr>
          <w:vertAlign w:val="superscript"/>
        </w:rPr>
        <w:t>25</w:t>
      </w:r>
      <w:r w:rsidR="00E03928">
        <w:t xml:space="preserve">. </w:t>
      </w:r>
      <w:r w:rsidR="2170EED8" w:rsidRPr="001434FF">
        <w:rPr>
          <w:rFonts w:eastAsia="Calibri"/>
        </w:rPr>
        <w:t xml:space="preserve">From the lead educator perspective this platform was excellent in the facilities it provided and </w:t>
      </w:r>
      <w:r w:rsidR="001434FF" w:rsidRPr="001434FF">
        <w:rPr>
          <w:rFonts w:eastAsia="Calibri"/>
        </w:rPr>
        <w:t>its</w:t>
      </w:r>
      <w:r w:rsidR="2170EED8" w:rsidRPr="001434FF">
        <w:rPr>
          <w:rFonts w:eastAsia="Calibri"/>
        </w:rPr>
        <w:t xml:space="preserve"> ease of use. </w:t>
      </w:r>
      <w:r w:rsidR="001434FF">
        <w:rPr>
          <w:rFonts w:eastAsia="Calibri"/>
        </w:rPr>
        <w:t xml:space="preserve">One potential improvement for this platform </w:t>
      </w:r>
      <w:r w:rsidR="2170EED8" w:rsidRPr="001434FF">
        <w:rPr>
          <w:rFonts w:eastAsia="Calibri"/>
        </w:rPr>
        <w:t xml:space="preserve">would be to simplify the navigation process to progress through each step of the course. The presence of two navigation buttons (complete and next) </w:t>
      </w:r>
      <w:r w:rsidR="001434FF">
        <w:rPr>
          <w:rFonts w:eastAsia="Calibri"/>
        </w:rPr>
        <w:t>could cause confusion</w:t>
      </w:r>
      <w:r w:rsidR="2170EED8" w:rsidRPr="001434FF">
        <w:rPr>
          <w:rFonts w:eastAsia="Calibri"/>
        </w:rPr>
        <w:t xml:space="preserve"> and sadly has the potential to distort the metrics. Only if a student clicks complete is this step recognised as a completed element of the course, irrespective of </w:t>
      </w:r>
      <w:r w:rsidR="003E78C9" w:rsidRPr="001434FF">
        <w:rPr>
          <w:rFonts w:eastAsia="Calibri"/>
        </w:rPr>
        <w:t>whether</w:t>
      </w:r>
      <w:r w:rsidR="2170EED8" w:rsidRPr="001434FF">
        <w:rPr>
          <w:rFonts w:eastAsia="Calibri"/>
        </w:rPr>
        <w:t xml:space="preserve"> all elements of the step have been completed by the learner. </w:t>
      </w:r>
    </w:p>
    <w:p w14:paraId="0B5DE45A" w14:textId="740B6DC5" w:rsidR="002C15AB" w:rsidRDefault="00EF5258" w:rsidP="00D757E7">
      <w:pPr>
        <w:pStyle w:val="Heading1"/>
      </w:pPr>
      <w:r>
        <w:t>Conclusions</w:t>
      </w:r>
    </w:p>
    <w:p w14:paraId="1340F41A" w14:textId="5B13A203" w:rsidR="563826BC" w:rsidRDefault="563826BC" w:rsidP="563826BC">
      <w:pPr>
        <w:rPr>
          <w:rFonts w:eastAsia="Calibri"/>
        </w:rPr>
      </w:pPr>
      <w:r w:rsidRPr="563826BC">
        <w:rPr>
          <w:rFonts w:eastAsia="Calibri"/>
        </w:rPr>
        <w:t xml:space="preserve">As identified in the reflection, some key learning emerged for the members of the MOOC team, elements which were not explicitly considered at the outset. Effective communication with all stakeholders across multiple interfaces ensured that the materials were ‘fit for purpose’. Often this involved some frank and challenging discussion </w:t>
      </w:r>
      <w:r w:rsidR="007E2C1D">
        <w:rPr>
          <w:rFonts w:eastAsia="Calibri"/>
        </w:rPr>
        <w:t>however</w:t>
      </w:r>
      <w:r w:rsidRPr="563826BC">
        <w:rPr>
          <w:rFonts w:eastAsia="Calibri"/>
        </w:rPr>
        <w:t xml:space="preserve"> because everyone was committed to producing the best possible experience for learners, these were accepted in a constructive manner. The team also learnt to ‘expect the unexpected’, despite careful planning and preparation, some aspects did not follow a predictable sequence of </w:t>
      </w:r>
      <w:r w:rsidR="007E2C1D" w:rsidRPr="563826BC">
        <w:rPr>
          <w:rFonts w:eastAsia="Calibri"/>
        </w:rPr>
        <w:t>events,</w:t>
      </w:r>
      <w:r w:rsidRPr="563826BC">
        <w:rPr>
          <w:rFonts w:eastAsia="Calibri"/>
        </w:rPr>
        <w:t xml:space="preserve"> and this required flexibility and often some ingenuity. In turn, this established some resilience across the team, as they learned to adapt to and work with challenging and unpredictable circumstances.  </w:t>
      </w:r>
    </w:p>
    <w:p w14:paraId="400A2E0D" w14:textId="2BEC7494" w:rsidR="563826BC" w:rsidRDefault="563826BC" w:rsidP="563826BC">
      <w:pPr>
        <w:rPr>
          <w:rFonts w:eastAsia="Calibri"/>
        </w:rPr>
      </w:pPr>
      <w:r w:rsidRPr="563826BC">
        <w:rPr>
          <w:rFonts w:eastAsia="Calibri"/>
        </w:rPr>
        <w:t xml:space="preserve">Whilst the initial ambition for the Physiology MOOC was targeted at a younger demographic, in preparation for their journey into further or higher education, and potentially a career in the discipline, these data indicate limited impact in this regard. Although it is questionable as to whether a MOOC is the most appropriate vehicle for this purpose, the evidence suggests that a large number of learners across the demographic spectrum benefitted greatly from the learning </w:t>
      </w:r>
      <w:r w:rsidR="00705E4A" w:rsidRPr="563826BC">
        <w:rPr>
          <w:rFonts w:eastAsia="Calibri"/>
        </w:rPr>
        <w:t>materials and</w:t>
      </w:r>
      <w:r w:rsidRPr="563826BC">
        <w:rPr>
          <w:rFonts w:eastAsia="Calibri"/>
        </w:rPr>
        <w:t xml:space="preserve"> evaluated them highly. Consequently, for the MOOC team this proved to be a rewarding and worthwhile experience, despite the multiple challenges experienced during the development journey.</w:t>
      </w:r>
    </w:p>
    <w:p w14:paraId="2AC8D333" w14:textId="259080C4" w:rsidR="2170EED8" w:rsidRDefault="0FA3DF1D" w:rsidP="2170EED8">
      <w:pPr>
        <w:rPr>
          <w:rFonts w:eastAsia="Calibri"/>
        </w:rPr>
      </w:pPr>
      <w:r w:rsidRPr="59D384B5">
        <w:rPr>
          <w:rFonts w:eastAsia="Calibri"/>
        </w:rPr>
        <w:t xml:space="preserve">We acknowledge the support of </w:t>
      </w:r>
      <w:r w:rsidRPr="00B16D0C">
        <w:rPr>
          <w:rFonts w:eastAsia="Calibri"/>
          <w:i/>
          <w:iCs/>
        </w:rPr>
        <w:t>The Physiological Society</w:t>
      </w:r>
      <w:r w:rsidRPr="59D384B5">
        <w:rPr>
          <w:rFonts w:eastAsia="Calibri"/>
        </w:rPr>
        <w:t xml:space="preserve"> who funded the original M</w:t>
      </w:r>
      <w:r w:rsidR="297C0D76" w:rsidRPr="59D384B5">
        <w:rPr>
          <w:rFonts w:eastAsia="Calibri"/>
        </w:rPr>
        <w:t xml:space="preserve">OOC </w:t>
      </w:r>
      <w:r w:rsidR="7469ED4D" w:rsidRPr="59D384B5">
        <w:rPr>
          <w:rFonts w:eastAsia="Calibri"/>
        </w:rPr>
        <w:t>development</w:t>
      </w:r>
      <w:r w:rsidR="297C0D76" w:rsidRPr="59D384B5">
        <w:rPr>
          <w:rFonts w:eastAsia="Calibri"/>
        </w:rPr>
        <w:t xml:space="preserve"> </w:t>
      </w:r>
      <w:r w:rsidR="2F5E71B8" w:rsidRPr="59D384B5">
        <w:rPr>
          <w:rFonts w:eastAsia="Calibri"/>
        </w:rPr>
        <w:t>work</w:t>
      </w:r>
      <w:r w:rsidR="1843A95A" w:rsidRPr="59D384B5">
        <w:rPr>
          <w:rFonts w:eastAsia="Calibri"/>
        </w:rPr>
        <w:t xml:space="preserve"> through an education grant.</w:t>
      </w:r>
    </w:p>
    <w:p w14:paraId="3B91D546" w14:textId="77777777" w:rsidR="00F36599" w:rsidRPr="009A3E2A" w:rsidRDefault="00F36599" w:rsidP="002628C0">
      <w:r w:rsidRPr="009A3E2A">
        <w:br w:type="page"/>
      </w:r>
    </w:p>
    <w:p w14:paraId="23ACC33D" w14:textId="75CEFF83" w:rsidR="00F36599" w:rsidRPr="009A3E2A" w:rsidRDefault="00F36599" w:rsidP="00D61D1B">
      <w:pPr>
        <w:pStyle w:val="Heading1"/>
      </w:pPr>
      <w:r w:rsidRPr="009A3E2A">
        <w:lastRenderedPageBreak/>
        <w:t>References</w:t>
      </w:r>
    </w:p>
    <w:p w14:paraId="42218C5B" w14:textId="7C13C2A2" w:rsidR="00686307" w:rsidRPr="00686307" w:rsidRDefault="00E56787" w:rsidP="00686307">
      <w:pPr>
        <w:widowControl w:val="0"/>
        <w:autoSpaceDE w:val="0"/>
        <w:autoSpaceDN w:val="0"/>
        <w:adjustRightInd w:val="0"/>
        <w:spacing w:line="240" w:lineRule="auto"/>
        <w:ind w:left="640" w:hanging="640"/>
        <w:rPr>
          <w:noProof/>
          <w:szCs w:val="24"/>
        </w:rPr>
      </w:pPr>
      <w:r>
        <w:rPr>
          <w:b/>
          <w:bCs/>
        </w:rPr>
        <w:fldChar w:fldCharType="begin" w:fldLock="1"/>
      </w:r>
      <w:r w:rsidRPr="009A3E2A">
        <w:rPr>
          <w:b/>
          <w:bCs/>
        </w:rPr>
        <w:instrText xml:space="preserve">ADDIN Mendeley Bibliography CSL_BIBLIOGRAPHY </w:instrText>
      </w:r>
      <w:r>
        <w:rPr>
          <w:b/>
          <w:bCs/>
        </w:rPr>
        <w:fldChar w:fldCharType="separate"/>
      </w:r>
      <w:r w:rsidR="00686307" w:rsidRPr="00686307">
        <w:rPr>
          <w:noProof/>
          <w:szCs w:val="24"/>
        </w:rPr>
        <w:t xml:space="preserve">1. </w:t>
      </w:r>
      <w:r w:rsidR="00686307" w:rsidRPr="00686307">
        <w:rPr>
          <w:noProof/>
          <w:szCs w:val="24"/>
        </w:rPr>
        <w:tab/>
        <w:t xml:space="preserve">Bayeck RY. Exploratory study of MOOC learners’ demographics and motivation: The case of students involved in groups. Open Prax. 2016;8(3):223–33. </w:t>
      </w:r>
    </w:p>
    <w:p w14:paraId="1C125BD3"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2. </w:t>
      </w:r>
      <w:r w:rsidRPr="00686307">
        <w:rPr>
          <w:noProof/>
          <w:szCs w:val="24"/>
        </w:rPr>
        <w:tab/>
        <w:t>Wintrup J, Wakefield K, Davis H. Engaged learning in MOOCs: a study using the UK Engagement Survey. High Educ Acad [Internet]. 2015; Available from: https://www.heacademy.ac.uk/node/10346</w:t>
      </w:r>
    </w:p>
    <w:p w14:paraId="07595C30"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3. </w:t>
      </w:r>
      <w:r w:rsidRPr="00686307">
        <w:rPr>
          <w:noProof/>
          <w:szCs w:val="24"/>
        </w:rPr>
        <w:tab/>
        <w:t xml:space="preserve">Lane A. The potential of MOOCs to widen access to, and success in, higher education study. In: The Open and Flexible Higher Education Conference 2013. Paris: EADTU; 2013. p. 189–203. </w:t>
      </w:r>
    </w:p>
    <w:p w14:paraId="0A324933"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4. </w:t>
      </w:r>
      <w:r w:rsidRPr="00686307">
        <w:rPr>
          <w:noProof/>
          <w:szCs w:val="24"/>
        </w:rPr>
        <w:tab/>
        <w:t>Lambert SR. Do MOOCs contribute to student equity and social inclusion? A systematic review 2014–18. Comput Educ [Internet]. 2020;145(November 2018):103693. Available from: https://doi.org/10.1016/j.compedu.2019.103693</w:t>
      </w:r>
    </w:p>
    <w:p w14:paraId="462EE000"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5. </w:t>
      </w:r>
      <w:r w:rsidRPr="00686307">
        <w:rPr>
          <w:noProof/>
          <w:szCs w:val="24"/>
        </w:rPr>
        <w:tab/>
        <w:t xml:space="preserve">Safri SN, Mohi Z, Hanafiah MH. Massive Open Online Course (MOOC): Our saviour during COVID-19 pandemic ? J Tour Hosp Culin Arts 2020,. 2020;12 (3)(December):120–8. </w:t>
      </w:r>
    </w:p>
    <w:p w14:paraId="0F543BDE"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6. </w:t>
      </w:r>
      <w:r w:rsidRPr="00686307">
        <w:rPr>
          <w:noProof/>
          <w:szCs w:val="24"/>
        </w:rPr>
        <w:tab/>
        <w:t xml:space="preserve">Bylieva D, Bekirogullari Z, Lobatyuk V, Nam T. Analysis of the Consequences of the Transition To Online Learning on the Example of Mooc Philosophy During the Covid-19 Pandemic. Humanit Soc Sci Rev. 2020;8(4):1083–93. </w:t>
      </w:r>
    </w:p>
    <w:p w14:paraId="2D895B49"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7. </w:t>
      </w:r>
      <w:r w:rsidRPr="00686307">
        <w:rPr>
          <w:noProof/>
          <w:szCs w:val="24"/>
        </w:rPr>
        <w:tab/>
        <w:t>Goopio J, Cheung C. The MOOC dropout phenomenon and retention strategies. J Teach Travel Tour [Internet]. 2021;21(2):177–97. Available from: https://doi.org/10.1080/15313220.2020.1809050</w:t>
      </w:r>
    </w:p>
    <w:p w14:paraId="097FDCBC"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8. </w:t>
      </w:r>
      <w:r w:rsidRPr="00686307">
        <w:rPr>
          <w:noProof/>
          <w:szCs w:val="24"/>
        </w:rPr>
        <w:tab/>
        <w:t xml:space="preserve">Tlili A, Altinay F, Altinay Z, Aydin CH, Huang R, Sharma RC. Reflections on Massive Open Online Courses (MOOCS) During the COVID-19 Pandemic: a Bibliometric Mapping Analysis. Turkish Online J Distance Educ. 2022;23(July):1–17. </w:t>
      </w:r>
    </w:p>
    <w:p w14:paraId="31F477CC" w14:textId="68DB832B" w:rsidR="00616939"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9. </w:t>
      </w:r>
      <w:r w:rsidRPr="00686307">
        <w:rPr>
          <w:noProof/>
          <w:szCs w:val="24"/>
        </w:rPr>
        <w:tab/>
      </w:r>
      <w:r w:rsidR="00BB1460">
        <w:rPr>
          <w:noProof/>
          <w:szCs w:val="24"/>
        </w:rPr>
        <w:t>Yoon</w:t>
      </w:r>
      <w:r w:rsidR="00554390">
        <w:rPr>
          <w:noProof/>
          <w:szCs w:val="24"/>
        </w:rPr>
        <w:t xml:space="preserve"> </w:t>
      </w:r>
      <w:r w:rsidR="00BB1460">
        <w:rPr>
          <w:noProof/>
          <w:szCs w:val="24"/>
        </w:rPr>
        <w:t>M, Lee</w:t>
      </w:r>
      <w:r w:rsidR="00554390">
        <w:rPr>
          <w:noProof/>
          <w:szCs w:val="24"/>
        </w:rPr>
        <w:t xml:space="preserve"> </w:t>
      </w:r>
      <w:r w:rsidR="00BB1460">
        <w:rPr>
          <w:noProof/>
          <w:szCs w:val="24"/>
        </w:rPr>
        <w:t xml:space="preserve"> J</w:t>
      </w:r>
      <w:r w:rsidR="00554390">
        <w:rPr>
          <w:noProof/>
          <w:szCs w:val="24"/>
        </w:rPr>
        <w:t>,</w:t>
      </w:r>
      <w:r w:rsidR="00BB1460">
        <w:rPr>
          <w:noProof/>
          <w:szCs w:val="24"/>
        </w:rPr>
        <w:t xml:space="preserve">  Jo</w:t>
      </w:r>
      <w:r w:rsidR="00554390">
        <w:rPr>
          <w:noProof/>
          <w:szCs w:val="24"/>
        </w:rPr>
        <w:t xml:space="preserve"> </w:t>
      </w:r>
      <w:r w:rsidR="00BB1460">
        <w:rPr>
          <w:noProof/>
          <w:szCs w:val="24"/>
        </w:rPr>
        <w:t>I-Hyun.</w:t>
      </w:r>
      <w:r w:rsidR="00554390">
        <w:rPr>
          <w:noProof/>
          <w:szCs w:val="24"/>
        </w:rPr>
        <w:t xml:space="preserve"> Video learning analytics: Investigating behavioral patterns and learner clusters in video-based online learning. </w:t>
      </w:r>
      <w:r w:rsidR="007E7F6E">
        <w:rPr>
          <w:noProof/>
          <w:szCs w:val="24"/>
        </w:rPr>
        <w:t xml:space="preserve">The Internet and HE. </w:t>
      </w:r>
      <w:r w:rsidR="00D0232D">
        <w:rPr>
          <w:noProof/>
          <w:szCs w:val="24"/>
        </w:rPr>
        <w:t xml:space="preserve">2021; (April): </w:t>
      </w:r>
      <w:r w:rsidR="00487F8B">
        <w:rPr>
          <w:noProof/>
          <w:szCs w:val="24"/>
        </w:rPr>
        <w:t xml:space="preserve">1 - 10. </w:t>
      </w:r>
    </w:p>
    <w:p w14:paraId="0943CA47" w14:textId="4843FC89" w:rsidR="00686307" w:rsidRPr="00686307" w:rsidRDefault="00616939" w:rsidP="00686307">
      <w:pPr>
        <w:widowControl w:val="0"/>
        <w:autoSpaceDE w:val="0"/>
        <w:autoSpaceDN w:val="0"/>
        <w:adjustRightInd w:val="0"/>
        <w:spacing w:line="240" w:lineRule="auto"/>
        <w:ind w:left="640" w:hanging="640"/>
        <w:rPr>
          <w:noProof/>
          <w:szCs w:val="24"/>
        </w:rPr>
      </w:pPr>
      <w:r>
        <w:rPr>
          <w:noProof/>
          <w:szCs w:val="24"/>
        </w:rPr>
        <w:t xml:space="preserve">10. </w:t>
      </w:r>
      <w:r>
        <w:rPr>
          <w:noProof/>
          <w:szCs w:val="24"/>
        </w:rPr>
        <w:tab/>
        <w:t xml:space="preserve">Zhang J, Huang  Y, Gao  M. Video Features, Engagement, and Patterns of Collective Attention Allocation: An Open Flow Network Perspective. </w:t>
      </w:r>
      <w:r w:rsidR="004166E0">
        <w:rPr>
          <w:noProof/>
          <w:szCs w:val="24"/>
        </w:rPr>
        <w:t>Journal of Learning Analytics. 2022;</w:t>
      </w:r>
      <w:r w:rsidR="00F63D1B">
        <w:rPr>
          <w:noProof/>
          <w:szCs w:val="24"/>
        </w:rPr>
        <w:t xml:space="preserve"> 32 - 52. </w:t>
      </w:r>
    </w:p>
    <w:p w14:paraId="72BA7385"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11. </w:t>
      </w:r>
      <w:r w:rsidRPr="00686307">
        <w:rPr>
          <w:noProof/>
          <w:szCs w:val="24"/>
        </w:rPr>
        <w:tab/>
        <w:t>Hone KS, El Said GR. Exploring the factors affecting MOOC retention: A survey study. Comput Educ [Internet]. 2016;98:157–68. Available from: http://dx.doi.org/10.1016/j.compedu.2016.03.016</w:t>
      </w:r>
    </w:p>
    <w:p w14:paraId="75EEA269"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12. </w:t>
      </w:r>
      <w:r w:rsidRPr="00686307">
        <w:rPr>
          <w:noProof/>
          <w:szCs w:val="24"/>
        </w:rPr>
        <w:tab/>
        <w:t>Yu Z. A model of multiple factors inuencing learner retention in MOOC during the COVID-19 pandemic. 2021;1–11. Available from: https://doi.org/10.21203/rs.3.rs-558331/v1</w:t>
      </w:r>
    </w:p>
    <w:p w14:paraId="5ED981F7"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13. </w:t>
      </w:r>
      <w:r w:rsidRPr="00686307">
        <w:rPr>
          <w:noProof/>
          <w:szCs w:val="24"/>
        </w:rPr>
        <w:tab/>
        <w:t xml:space="preserve">Despujol I, Castañeda L, Turró C. What Does the Data Say about Effective University Online Internships? The Universitat Politècnica de València Experience Using MOOC during COVID-19 Lockdown. Sustain. 2022;14(1). </w:t>
      </w:r>
    </w:p>
    <w:p w14:paraId="595BC941"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14. </w:t>
      </w:r>
      <w:r w:rsidRPr="00686307">
        <w:rPr>
          <w:noProof/>
          <w:szCs w:val="24"/>
        </w:rPr>
        <w:tab/>
        <w:t xml:space="preserve">Department for Education. MOOCs : Opportunities for their use in. 2014. </w:t>
      </w:r>
    </w:p>
    <w:p w14:paraId="3144AB5D"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15. </w:t>
      </w:r>
      <w:r w:rsidRPr="00686307">
        <w:rPr>
          <w:noProof/>
          <w:szCs w:val="24"/>
        </w:rPr>
        <w:tab/>
        <w:t>EdX. Get College Ready. Get Ahead. Get Learning! [Internet]. 2015. Available from: https://www.edx.org/high-school</w:t>
      </w:r>
    </w:p>
    <w:p w14:paraId="326EE614"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16. </w:t>
      </w:r>
      <w:r w:rsidRPr="00686307">
        <w:rPr>
          <w:noProof/>
          <w:szCs w:val="24"/>
        </w:rPr>
        <w:tab/>
        <w:t xml:space="preserve">Harvey N. Introducing FutureLearn Choices: a collection of free courses to bridge the gap between school and university [Internet]. FutureLearn News. 2015. Available from: https://www.futurelearn.com/info/blog/introducing-futurelearn-choices#:~:text=Neil Harvey%2C </w:t>
      </w:r>
      <w:r w:rsidRPr="00686307">
        <w:rPr>
          <w:noProof/>
          <w:szCs w:val="24"/>
        </w:rPr>
        <w:lastRenderedPageBreak/>
        <w:t>our Head of,right degree%2C uni or career.</w:t>
      </w:r>
    </w:p>
    <w:p w14:paraId="637D5831" w14:textId="77777777" w:rsidR="00686307" w:rsidRPr="00686307" w:rsidRDefault="00686307" w:rsidP="00686307">
      <w:pPr>
        <w:widowControl w:val="0"/>
        <w:autoSpaceDE w:val="0"/>
        <w:autoSpaceDN w:val="0"/>
        <w:adjustRightInd w:val="0"/>
        <w:spacing w:line="240" w:lineRule="auto"/>
        <w:ind w:left="640" w:hanging="640"/>
        <w:rPr>
          <w:noProof/>
          <w:szCs w:val="24"/>
        </w:rPr>
      </w:pPr>
      <w:r w:rsidRPr="00686307">
        <w:rPr>
          <w:noProof/>
          <w:szCs w:val="24"/>
        </w:rPr>
        <w:t xml:space="preserve">17. </w:t>
      </w:r>
      <w:r w:rsidRPr="00686307">
        <w:rPr>
          <w:noProof/>
          <w:szCs w:val="24"/>
        </w:rPr>
        <w:tab/>
        <w:t>Chung C. Five Reasons High School Students Should Consider MOOCs [Internet]. The Report. 2015. Available from: https://www.classcentral.com/report/five-reasons-high-schoolers-consider-taking-moocs/</w:t>
      </w:r>
    </w:p>
    <w:p w14:paraId="5AAD4237" w14:textId="77777777" w:rsidR="00686307" w:rsidRPr="00686307" w:rsidRDefault="00686307" w:rsidP="00686307">
      <w:pPr>
        <w:widowControl w:val="0"/>
        <w:autoSpaceDE w:val="0"/>
        <w:autoSpaceDN w:val="0"/>
        <w:adjustRightInd w:val="0"/>
        <w:spacing w:line="240" w:lineRule="auto"/>
        <w:ind w:left="640" w:hanging="640"/>
        <w:rPr>
          <w:noProof/>
        </w:rPr>
      </w:pPr>
      <w:r w:rsidRPr="00686307">
        <w:rPr>
          <w:noProof/>
          <w:szCs w:val="24"/>
        </w:rPr>
        <w:t xml:space="preserve">18. </w:t>
      </w:r>
      <w:r w:rsidRPr="00686307">
        <w:rPr>
          <w:noProof/>
          <w:szCs w:val="24"/>
        </w:rPr>
        <w:tab/>
        <w:t xml:space="preserve">Mcintyre C. UK MOOC REPORT: An insight into MOOCs provided by UK Institutions. 2016. </w:t>
      </w:r>
    </w:p>
    <w:p w14:paraId="52920F42" w14:textId="5A00A194" w:rsidR="5F580701" w:rsidRPr="00D02B80" w:rsidRDefault="00E56787" w:rsidP="00AC59B8">
      <w:pPr>
        <w:spacing w:before="240"/>
        <w:jc w:val="left"/>
        <w:rPr>
          <w:rFonts w:eastAsia="Times New Roman"/>
        </w:rPr>
      </w:pPr>
      <w:r>
        <w:fldChar w:fldCharType="end"/>
      </w:r>
      <w:r w:rsidR="5F580701">
        <w:t>1</w:t>
      </w:r>
      <w:r w:rsidR="004A5B16">
        <w:rPr>
          <w:rFonts w:eastAsia="Times New Roman"/>
        </w:rPr>
        <w:t>9</w:t>
      </w:r>
      <w:r w:rsidR="5F580701" w:rsidRPr="2170EED8">
        <w:rPr>
          <w:rFonts w:eastAsia="Times New Roman"/>
        </w:rPr>
        <w:t xml:space="preserve">. </w:t>
      </w:r>
      <w:r>
        <w:tab/>
      </w:r>
      <w:proofErr w:type="spellStart"/>
      <w:r w:rsidR="5F580701" w:rsidRPr="2170EED8">
        <w:rPr>
          <w:rFonts w:eastAsia="Times New Roman"/>
        </w:rPr>
        <w:t>SecEd</w:t>
      </w:r>
      <w:proofErr w:type="spellEnd"/>
      <w:r w:rsidR="5F580701" w:rsidRPr="2170EED8">
        <w:rPr>
          <w:rFonts w:eastAsia="Times New Roman"/>
        </w:rPr>
        <w:t xml:space="preserve">. MOOCs aim to help students prepare for university-level study. Available </w:t>
      </w:r>
      <w:r w:rsidR="0021118D">
        <w:rPr>
          <w:rFonts w:eastAsia="Times New Roman"/>
        </w:rPr>
        <w:t>from</w:t>
      </w:r>
      <w:r w:rsidR="5F580701" w:rsidRPr="2170EED8">
        <w:rPr>
          <w:rFonts w:eastAsia="Times New Roman"/>
        </w:rPr>
        <w:t xml:space="preserve">: </w:t>
      </w:r>
      <w:r>
        <w:tab/>
      </w:r>
      <w:r>
        <w:tab/>
      </w:r>
      <w:hyperlink r:id="rId14">
        <w:r w:rsidR="5F580701" w:rsidRPr="00F36210">
          <w:rPr>
            <w:rStyle w:val="Hyperlink"/>
            <w:rFonts w:eastAsia="Times New Roman"/>
            <w:color w:val="auto"/>
            <w:u w:val="none"/>
          </w:rPr>
          <w:t>MOOCs aim to help students prepare for university-level study (sec-ed.co.uk)</w:t>
        </w:r>
      </w:hyperlink>
      <w:r w:rsidR="5F580701" w:rsidRPr="00F36210">
        <w:rPr>
          <w:rFonts w:eastAsia="Times New Roman"/>
        </w:rPr>
        <w:t>.</w:t>
      </w:r>
      <w:r w:rsidR="5F580701" w:rsidRPr="2170EED8">
        <w:rPr>
          <w:rFonts w:eastAsia="Times New Roman"/>
        </w:rPr>
        <w:t xml:space="preserve"> 2015</w:t>
      </w:r>
    </w:p>
    <w:p w14:paraId="570E7425" w14:textId="65438BB9" w:rsidR="00CF69B7" w:rsidRPr="0025716A" w:rsidRDefault="004A5B16" w:rsidP="2170EED8">
      <w:pPr>
        <w:pStyle w:val="ListParagraph"/>
        <w:ind w:left="0"/>
        <w:jc w:val="left"/>
        <w:rPr>
          <w:rFonts w:eastAsia="Times New Roman"/>
        </w:rPr>
      </w:pPr>
      <w:r>
        <w:rPr>
          <w:rFonts w:eastAsia="Times New Roman"/>
        </w:rPr>
        <w:t>20</w:t>
      </w:r>
      <w:r w:rsidR="5F580701" w:rsidRPr="2170EED8">
        <w:rPr>
          <w:rFonts w:eastAsia="Times New Roman"/>
        </w:rPr>
        <w:t>.</w:t>
      </w:r>
      <w:r w:rsidR="5F580701">
        <w:tab/>
      </w:r>
      <w:r w:rsidR="5F580701" w:rsidRPr="2170EED8">
        <w:rPr>
          <w:rFonts w:eastAsia="Times New Roman"/>
        </w:rPr>
        <w:t xml:space="preserve">Vanhorn, S., Ward, S., Weismann, K., Crandall, H., </w:t>
      </w:r>
      <w:proofErr w:type="spellStart"/>
      <w:r w:rsidR="5F580701" w:rsidRPr="2170EED8">
        <w:rPr>
          <w:rFonts w:eastAsia="Times New Roman"/>
        </w:rPr>
        <w:t>Reule</w:t>
      </w:r>
      <w:proofErr w:type="spellEnd"/>
      <w:r w:rsidR="5F580701" w:rsidRPr="2170EED8">
        <w:rPr>
          <w:rFonts w:eastAsia="Times New Roman"/>
        </w:rPr>
        <w:t xml:space="preserve">, J. Leonard, R. Exploring Active </w:t>
      </w:r>
      <w:r w:rsidR="5F580701">
        <w:tab/>
      </w:r>
      <w:r w:rsidR="5F580701" w:rsidRPr="2170EED8">
        <w:rPr>
          <w:rFonts w:eastAsia="Times New Roman"/>
        </w:rPr>
        <w:t>Learning theories, Practices and Contexts. Communication Research Trends. 2019</w:t>
      </w:r>
      <w:r w:rsidR="0021118D">
        <w:rPr>
          <w:rFonts w:eastAsia="Times New Roman"/>
        </w:rPr>
        <w:t>;</w:t>
      </w:r>
      <w:r w:rsidR="5F580701" w:rsidRPr="2170EED8">
        <w:rPr>
          <w:rFonts w:eastAsia="Times New Roman"/>
        </w:rPr>
        <w:t xml:space="preserve"> 38 (3-5)</w:t>
      </w:r>
      <w:r w:rsidR="00C038D0">
        <w:rPr>
          <w:rFonts w:eastAsia="Times New Roman"/>
        </w:rPr>
        <w:t xml:space="preserve">. </w:t>
      </w:r>
    </w:p>
    <w:p w14:paraId="4027A146" w14:textId="6B5413B1" w:rsidR="00CF69B7" w:rsidRPr="00003BD5" w:rsidRDefault="2170EED8" w:rsidP="0078115A">
      <w:pPr>
        <w:ind w:left="720" w:hanging="720"/>
        <w:jc w:val="left"/>
        <w:rPr>
          <w:rFonts w:eastAsia="Times New Roman"/>
          <w:b/>
          <w:bCs/>
        </w:rPr>
      </w:pPr>
      <w:r w:rsidRPr="2170EED8">
        <w:rPr>
          <w:rFonts w:eastAsia="Times New Roman"/>
        </w:rPr>
        <w:t>2</w:t>
      </w:r>
      <w:r w:rsidR="004A5B16">
        <w:rPr>
          <w:rFonts w:eastAsia="Times New Roman"/>
        </w:rPr>
        <w:t>1</w:t>
      </w:r>
      <w:r w:rsidRPr="2170EED8">
        <w:rPr>
          <w:rFonts w:eastAsia="Times New Roman"/>
        </w:rPr>
        <w:t>.</w:t>
      </w:r>
      <w:r w:rsidR="00CF69B7">
        <w:tab/>
      </w:r>
      <w:r w:rsidRPr="2170EED8">
        <w:rPr>
          <w:rFonts w:eastAsia="Times New Roman"/>
        </w:rPr>
        <w:t xml:space="preserve">Carey, P. Student as co-producer in a </w:t>
      </w:r>
      <w:proofErr w:type="spellStart"/>
      <w:r w:rsidRPr="2170EED8">
        <w:rPr>
          <w:rFonts w:eastAsia="Times New Roman"/>
        </w:rPr>
        <w:t>marketised</w:t>
      </w:r>
      <w:proofErr w:type="spellEnd"/>
      <w:r w:rsidRPr="2170EED8">
        <w:rPr>
          <w:rFonts w:eastAsia="Times New Roman"/>
        </w:rPr>
        <w:t xml:space="preserve"> higher education system: A case study </w:t>
      </w:r>
      <w:r w:rsidR="00CF69B7">
        <w:tab/>
      </w:r>
      <w:r w:rsidRPr="2170EED8">
        <w:rPr>
          <w:rFonts w:eastAsia="Times New Roman"/>
        </w:rPr>
        <w:t>of students’ experience of participation in curriculum design.</w:t>
      </w:r>
      <w:r w:rsidR="00BA45C8">
        <w:rPr>
          <w:rFonts w:eastAsia="Times New Roman"/>
        </w:rPr>
        <w:t xml:space="preserve"> </w:t>
      </w:r>
      <w:r w:rsidR="00BA45C8" w:rsidRPr="00BA45C8">
        <w:rPr>
          <w:rFonts w:eastAsia="Times New Roman"/>
        </w:rPr>
        <w:t>IETI</w:t>
      </w:r>
      <w:r w:rsidR="00397E46">
        <w:rPr>
          <w:rFonts w:eastAsia="Times New Roman"/>
          <w:i/>
          <w:iCs/>
        </w:rPr>
        <w:t>.</w:t>
      </w:r>
      <w:r w:rsidR="00397E46">
        <w:rPr>
          <w:rFonts w:eastAsia="Times New Roman"/>
        </w:rPr>
        <w:t xml:space="preserve"> 2013;</w:t>
      </w:r>
      <w:r w:rsidRPr="2170EED8">
        <w:rPr>
          <w:rFonts w:eastAsia="Times New Roman"/>
        </w:rPr>
        <w:t xml:space="preserve">50 (3), 250-260. </w:t>
      </w:r>
      <w:r w:rsidR="00003BD5">
        <w:rPr>
          <w:rFonts w:eastAsia="Times New Roman"/>
        </w:rPr>
        <w:t xml:space="preserve"> Available from: </w:t>
      </w:r>
      <w:r w:rsidR="00003BD5" w:rsidRPr="00003BD5">
        <w:rPr>
          <w:rFonts w:eastAsia="Times New Roman"/>
        </w:rPr>
        <w:t>https://doi.org/10.1080/14703297.2013.796714</w:t>
      </w:r>
    </w:p>
    <w:p w14:paraId="2B66C40D" w14:textId="13846530" w:rsidR="00CF69B7" w:rsidRPr="009A3E2A" w:rsidRDefault="2170EED8" w:rsidP="0078115A">
      <w:pPr>
        <w:ind w:left="720" w:hanging="720"/>
        <w:jc w:val="left"/>
        <w:rPr>
          <w:rFonts w:eastAsia="Calibri"/>
        </w:rPr>
      </w:pPr>
      <w:r w:rsidRPr="2170EED8">
        <w:rPr>
          <w:rFonts w:eastAsia="Calibri"/>
        </w:rPr>
        <w:t>2</w:t>
      </w:r>
      <w:r w:rsidR="004A5B16">
        <w:rPr>
          <w:rFonts w:eastAsia="Calibri"/>
        </w:rPr>
        <w:t>2</w:t>
      </w:r>
      <w:r w:rsidRPr="2170EED8">
        <w:rPr>
          <w:rFonts w:eastAsia="Calibri"/>
        </w:rPr>
        <w:t>.</w:t>
      </w:r>
      <w:r w:rsidR="00CF69B7">
        <w:tab/>
      </w:r>
      <w:proofErr w:type="spellStart"/>
      <w:r w:rsidRPr="2170EED8">
        <w:rPr>
          <w:rFonts w:eastAsia="Calibri"/>
        </w:rPr>
        <w:t>Brooman</w:t>
      </w:r>
      <w:proofErr w:type="spellEnd"/>
      <w:r w:rsidRPr="2170EED8">
        <w:rPr>
          <w:rFonts w:eastAsia="Calibri"/>
        </w:rPr>
        <w:t xml:space="preserve">, S., </w:t>
      </w:r>
      <w:proofErr w:type="spellStart"/>
      <w:r w:rsidRPr="2170EED8">
        <w:rPr>
          <w:rFonts w:eastAsia="Calibri"/>
        </w:rPr>
        <w:t>Darwent</w:t>
      </w:r>
      <w:proofErr w:type="spellEnd"/>
      <w:r w:rsidRPr="2170EED8">
        <w:rPr>
          <w:rFonts w:eastAsia="Calibri"/>
        </w:rPr>
        <w:t xml:space="preserve">, S., &amp; </w:t>
      </w:r>
      <w:proofErr w:type="spellStart"/>
      <w:r w:rsidRPr="2170EED8">
        <w:rPr>
          <w:rFonts w:eastAsia="Calibri"/>
        </w:rPr>
        <w:t>Pimor</w:t>
      </w:r>
      <w:proofErr w:type="spellEnd"/>
      <w:r w:rsidRPr="2170EED8">
        <w:rPr>
          <w:rFonts w:eastAsia="Calibri"/>
        </w:rPr>
        <w:t xml:space="preserve">, </w:t>
      </w:r>
      <w:r w:rsidR="005A67DF">
        <w:rPr>
          <w:rFonts w:eastAsia="Calibri"/>
        </w:rPr>
        <w:t>A</w:t>
      </w:r>
      <w:r w:rsidRPr="2170EED8">
        <w:rPr>
          <w:rFonts w:eastAsia="Calibri"/>
        </w:rPr>
        <w:t xml:space="preserve">. The student voice in higher education curriculum </w:t>
      </w:r>
      <w:r w:rsidR="00CF69B7">
        <w:tab/>
      </w:r>
      <w:r w:rsidRPr="2170EED8">
        <w:rPr>
          <w:rFonts w:eastAsia="Calibri"/>
        </w:rPr>
        <w:t xml:space="preserve">design: is there value in listening? </w:t>
      </w:r>
      <w:r w:rsidR="006E79EC" w:rsidRPr="006E79EC">
        <w:rPr>
          <w:rFonts w:eastAsia="Times New Roman"/>
        </w:rPr>
        <w:t>IETL</w:t>
      </w:r>
      <w:r w:rsidR="00934EFD">
        <w:rPr>
          <w:rFonts w:eastAsia="Times New Roman"/>
          <w:i/>
          <w:iCs/>
        </w:rPr>
        <w:t>.</w:t>
      </w:r>
      <w:r w:rsidR="005A67DF">
        <w:rPr>
          <w:rFonts w:eastAsia="Times New Roman"/>
          <w:i/>
          <w:iCs/>
        </w:rPr>
        <w:t xml:space="preserve"> </w:t>
      </w:r>
      <w:r w:rsidR="00934EFD" w:rsidRPr="005A67DF">
        <w:rPr>
          <w:rFonts w:eastAsia="Times New Roman"/>
        </w:rPr>
        <w:t>2015</w:t>
      </w:r>
      <w:r w:rsidR="005A67DF">
        <w:rPr>
          <w:rFonts w:eastAsia="Times New Roman"/>
          <w:i/>
          <w:iCs/>
        </w:rPr>
        <w:t>;</w:t>
      </w:r>
      <w:r w:rsidRPr="2170EED8">
        <w:rPr>
          <w:rFonts w:eastAsia="Times New Roman"/>
          <w:i/>
          <w:iCs/>
        </w:rPr>
        <w:t xml:space="preserve"> </w:t>
      </w:r>
      <w:r w:rsidRPr="2170EED8">
        <w:rPr>
          <w:rFonts w:eastAsia="Times New Roman"/>
        </w:rPr>
        <w:t>52 (6), 663-674.</w:t>
      </w:r>
    </w:p>
    <w:p w14:paraId="725FE41E" w14:textId="592AADE4" w:rsidR="00CF69B7" w:rsidRPr="009A3E2A" w:rsidRDefault="2170EED8" w:rsidP="2170EED8">
      <w:pPr>
        <w:spacing w:after="0"/>
        <w:rPr>
          <w:rFonts w:eastAsia="Times New Roman"/>
        </w:rPr>
      </w:pPr>
      <w:r w:rsidRPr="2170EED8">
        <w:rPr>
          <w:rFonts w:eastAsia="Times New Roman"/>
        </w:rPr>
        <w:t>2</w:t>
      </w:r>
      <w:r w:rsidR="004A5B16">
        <w:rPr>
          <w:rFonts w:eastAsia="Times New Roman"/>
        </w:rPr>
        <w:t>3</w:t>
      </w:r>
      <w:r w:rsidRPr="2170EED8">
        <w:rPr>
          <w:rFonts w:eastAsia="Times New Roman"/>
        </w:rPr>
        <w:t>.</w:t>
      </w:r>
      <w:r w:rsidR="00CF69B7">
        <w:tab/>
      </w:r>
      <w:proofErr w:type="spellStart"/>
      <w:r w:rsidRPr="2170EED8">
        <w:rPr>
          <w:rFonts w:eastAsia="Times New Roman"/>
        </w:rPr>
        <w:t>Bovill</w:t>
      </w:r>
      <w:proofErr w:type="spellEnd"/>
      <w:r w:rsidRPr="2170EED8">
        <w:rPr>
          <w:rFonts w:eastAsia="Times New Roman"/>
        </w:rPr>
        <w:t xml:space="preserve">, C., Cook-Sather, A., &amp; </w:t>
      </w:r>
      <w:proofErr w:type="spellStart"/>
      <w:r w:rsidRPr="2170EED8">
        <w:rPr>
          <w:rFonts w:eastAsia="Times New Roman"/>
        </w:rPr>
        <w:t>Felten</w:t>
      </w:r>
      <w:proofErr w:type="spellEnd"/>
      <w:r w:rsidRPr="2170EED8">
        <w:rPr>
          <w:rFonts w:eastAsia="Times New Roman"/>
        </w:rPr>
        <w:t>, P. Students as co-creators of teaching approaches,</w:t>
      </w:r>
    </w:p>
    <w:p w14:paraId="06F00DB3" w14:textId="3036D354" w:rsidR="00CF69B7" w:rsidRPr="0078115A" w:rsidRDefault="2170EED8" w:rsidP="2170EED8">
      <w:pPr>
        <w:spacing w:after="0"/>
        <w:ind w:firstLine="720"/>
        <w:rPr>
          <w:rFonts w:eastAsia="Times New Roman"/>
        </w:rPr>
      </w:pPr>
      <w:r w:rsidRPr="2170EED8">
        <w:rPr>
          <w:rFonts w:eastAsia="Times New Roman"/>
        </w:rPr>
        <w:t xml:space="preserve">course design, and curricula: Implications for academic developers. </w:t>
      </w:r>
      <w:r w:rsidRPr="0078115A">
        <w:rPr>
          <w:rFonts w:eastAsia="Times New Roman"/>
        </w:rPr>
        <w:t>International Journal for</w:t>
      </w:r>
    </w:p>
    <w:p w14:paraId="4AAD3CCE" w14:textId="7F1642A5" w:rsidR="0025716A" w:rsidRPr="0025716A" w:rsidRDefault="2170EED8" w:rsidP="000D23F1">
      <w:pPr>
        <w:ind w:firstLine="720"/>
        <w:rPr>
          <w:rFonts w:eastAsia="Times New Roman"/>
        </w:rPr>
      </w:pPr>
      <w:r w:rsidRPr="0078115A">
        <w:rPr>
          <w:rFonts w:eastAsia="Times New Roman"/>
        </w:rPr>
        <w:t>Academic Development</w:t>
      </w:r>
      <w:r w:rsidR="0078115A">
        <w:rPr>
          <w:rFonts w:eastAsia="Times New Roman"/>
        </w:rPr>
        <w:t xml:space="preserve">. </w:t>
      </w:r>
      <w:r w:rsidR="005A67DF">
        <w:rPr>
          <w:rFonts w:eastAsia="Times New Roman"/>
        </w:rPr>
        <w:t xml:space="preserve">2011; </w:t>
      </w:r>
      <w:r w:rsidRPr="2170EED8">
        <w:rPr>
          <w:rFonts w:eastAsia="Times New Roman"/>
        </w:rPr>
        <w:t>16(2), 133–145.</w:t>
      </w:r>
    </w:p>
    <w:p w14:paraId="23355365" w14:textId="555DDA4B" w:rsidR="00CF69B7" w:rsidRPr="0025716A" w:rsidRDefault="2170EED8" w:rsidP="0078115A">
      <w:pPr>
        <w:jc w:val="left"/>
        <w:rPr>
          <w:rFonts w:eastAsia="Times New Roman"/>
        </w:rPr>
      </w:pPr>
      <w:r w:rsidRPr="2170EED8">
        <w:rPr>
          <w:rFonts w:eastAsia="Times New Roman"/>
        </w:rPr>
        <w:t>2</w:t>
      </w:r>
      <w:r w:rsidR="004A5B16">
        <w:rPr>
          <w:rFonts w:eastAsia="Times New Roman"/>
        </w:rPr>
        <w:t>4</w:t>
      </w:r>
      <w:r w:rsidRPr="2170EED8">
        <w:rPr>
          <w:rFonts w:eastAsia="Times New Roman"/>
        </w:rPr>
        <w:t>.</w:t>
      </w:r>
      <w:r w:rsidR="00CF69B7">
        <w:tab/>
      </w:r>
      <w:r w:rsidRPr="2170EED8">
        <w:rPr>
          <w:rFonts w:eastAsia="Times New Roman"/>
        </w:rPr>
        <w:t>Cook-Sather, A.</w:t>
      </w:r>
      <w:r w:rsidR="0078115A">
        <w:rPr>
          <w:rFonts w:eastAsia="Times New Roman"/>
        </w:rPr>
        <w:t xml:space="preserve"> </w:t>
      </w:r>
      <w:r w:rsidRPr="2170EED8">
        <w:rPr>
          <w:rFonts w:eastAsia="Times New Roman"/>
        </w:rPr>
        <w:t xml:space="preserve">Undergraduate students as partners in new faculty orientation and </w:t>
      </w:r>
      <w:r w:rsidR="00CF69B7">
        <w:tab/>
      </w:r>
      <w:r w:rsidRPr="2170EED8">
        <w:rPr>
          <w:rFonts w:eastAsia="Times New Roman"/>
        </w:rPr>
        <w:t xml:space="preserve">academic development. </w:t>
      </w:r>
      <w:r w:rsidRPr="0078115A">
        <w:rPr>
          <w:rFonts w:eastAsia="Times New Roman"/>
        </w:rPr>
        <w:t>International Journal for Academic Development</w:t>
      </w:r>
      <w:r w:rsidR="0078115A">
        <w:rPr>
          <w:rFonts w:eastAsia="Times New Roman"/>
        </w:rPr>
        <w:t>. 2016;</w:t>
      </w:r>
      <w:r w:rsidRPr="0078115A">
        <w:rPr>
          <w:rFonts w:eastAsia="Times New Roman"/>
        </w:rPr>
        <w:t xml:space="preserve"> 21</w:t>
      </w:r>
      <w:r w:rsidRPr="2170EED8">
        <w:rPr>
          <w:rFonts w:eastAsia="Times New Roman"/>
        </w:rPr>
        <w:t>, 151–162.</w:t>
      </w:r>
    </w:p>
    <w:p w14:paraId="200FCA5A" w14:textId="0C8C609E" w:rsidR="00CF69B7" w:rsidRPr="009A3E2A" w:rsidRDefault="2170EED8" w:rsidP="2170EED8">
      <w:pPr>
        <w:spacing w:after="0"/>
        <w:rPr>
          <w:rFonts w:eastAsia="Times New Roman"/>
        </w:rPr>
      </w:pPr>
      <w:r w:rsidRPr="2170EED8">
        <w:rPr>
          <w:rFonts w:eastAsia="Times New Roman"/>
        </w:rPr>
        <w:t>2</w:t>
      </w:r>
      <w:r w:rsidR="004A5B16">
        <w:rPr>
          <w:rFonts w:eastAsia="Times New Roman"/>
        </w:rPr>
        <w:t>5</w:t>
      </w:r>
      <w:r w:rsidRPr="2170EED8">
        <w:rPr>
          <w:rFonts w:eastAsia="Times New Roman"/>
        </w:rPr>
        <w:t>.</w:t>
      </w:r>
      <w:r w:rsidR="00CF69B7">
        <w:tab/>
      </w:r>
      <w:proofErr w:type="spellStart"/>
      <w:r w:rsidRPr="2170EED8">
        <w:rPr>
          <w:rFonts w:eastAsia="Times New Roman"/>
        </w:rPr>
        <w:t>Hadzigeorgiou</w:t>
      </w:r>
      <w:proofErr w:type="spellEnd"/>
      <w:r w:rsidRPr="2170EED8">
        <w:rPr>
          <w:rFonts w:eastAsia="Times New Roman"/>
        </w:rPr>
        <w:t>, Y., &amp; Schulz, R. Engaging students in science: The potential role of</w:t>
      </w:r>
    </w:p>
    <w:p w14:paraId="059B85C2" w14:textId="5F3428F5" w:rsidR="00CF69B7" w:rsidRDefault="2170EED8" w:rsidP="006D3561">
      <w:pPr>
        <w:spacing w:after="0"/>
        <w:ind w:firstLine="720"/>
        <w:rPr>
          <w:rFonts w:eastAsia="Times New Roman"/>
        </w:rPr>
      </w:pPr>
      <w:r w:rsidRPr="2170EED8">
        <w:rPr>
          <w:rFonts w:eastAsia="Times New Roman"/>
        </w:rPr>
        <w:t>“</w:t>
      </w:r>
      <w:r w:rsidR="0078115A">
        <w:rPr>
          <w:rFonts w:eastAsia="Times New Roman"/>
        </w:rPr>
        <w:t>n</w:t>
      </w:r>
      <w:r w:rsidR="0078115A" w:rsidRPr="2170EED8">
        <w:rPr>
          <w:rFonts w:eastAsia="Times New Roman"/>
        </w:rPr>
        <w:t>arrative</w:t>
      </w:r>
      <w:r w:rsidRPr="2170EED8">
        <w:rPr>
          <w:rFonts w:eastAsia="Times New Roman"/>
        </w:rPr>
        <w:t xml:space="preserve"> thinking” and “romantic understanding”. </w:t>
      </w:r>
      <w:r w:rsidRPr="0078115A">
        <w:rPr>
          <w:rFonts w:eastAsia="Times New Roman"/>
        </w:rPr>
        <w:t>Frontiers in Education</w:t>
      </w:r>
      <w:r w:rsidR="0078115A">
        <w:rPr>
          <w:rFonts w:eastAsia="Times New Roman"/>
        </w:rPr>
        <w:t>. 2019;</w:t>
      </w:r>
      <w:r w:rsidRPr="2170EED8">
        <w:rPr>
          <w:rFonts w:eastAsia="Times New Roman"/>
        </w:rPr>
        <w:t xml:space="preserve"> 4, 38.</w:t>
      </w:r>
    </w:p>
    <w:p w14:paraId="2723F6EB" w14:textId="77777777" w:rsidR="00E03928" w:rsidRDefault="00E03928" w:rsidP="006D3561">
      <w:pPr>
        <w:spacing w:after="0"/>
        <w:ind w:firstLine="720"/>
        <w:rPr>
          <w:rFonts w:eastAsia="Times New Roman"/>
        </w:rPr>
      </w:pPr>
    </w:p>
    <w:p w14:paraId="2DA3B7C6" w14:textId="00633A0F" w:rsidR="00E03928" w:rsidRPr="009A3E2A" w:rsidRDefault="00E03928" w:rsidP="00E03928">
      <w:pPr>
        <w:widowControl w:val="0"/>
        <w:autoSpaceDE w:val="0"/>
        <w:autoSpaceDN w:val="0"/>
        <w:adjustRightInd w:val="0"/>
        <w:spacing w:line="240" w:lineRule="auto"/>
        <w:ind w:left="640" w:hanging="640"/>
        <w:jc w:val="left"/>
        <w:rPr>
          <w:noProof/>
        </w:rPr>
      </w:pPr>
      <w:r>
        <w:rPr>
          <w:noProof/>
          <w:szCs w:val="24"/>
        </w:rPr>
        <w:t>2</w:t>
      </w:r>
      <w:r w:rsidR="004A5B16">
        <w:rPr>
          <w:noProof/>
          <w:szCs w:val="24"/>
        </w:rPr>
        <w:t>6</w:t>
      </w:r>
      <w:r w:rsidRPr="009A3E2A">
        <w:rPr>
          <w:noProof/>
          <w:szCs w:val="24"/>
        </w:rPr>
        <w:t xml:space="preserve">. </w:t>
      </w:r>
      <w:r w:rsidRPr="009A3E2A">
        <w:rPr>
          <w:noProof/>
          <w:szCs w:val="24"/>
        </w:rPr>
        <w:tab/>
        <w:t xml:space="preserve">Mcintyre C. UK MOOC REPORT: An insight into MOOCs provided by UK Institutions. 2016. </w:t>
      </w:r>
    </w:p>
    <w:p w14:paraId="157B1365" w14:textId="77777777" w:rsidR="00E03928" w:rsidRPr="006D3561" w:rsidRDefault="00E03928" w:rsidP="006D3561">
      <w:pPr>
        <w:spacing w:after="0"/>
        <w:ind w:firstLine="720"/>
        <w:rPr>
          <w:rFonts w:eastAsia="Times New Roman"/>
        </w:rPr>
      </w:pPr>
    </w:p>
    <w:p w14:paraId="2C078E63" w14:textId="5E27E8D3" w:rsidR="00010291" w:rsidRPr="009A3E2A" w:rsidRDefault="00010291" w:rsidP="2170EED8">
      <w:pPr>
        <w:rPr>
          <w:rFonts w:eastAsia="Calibri"/>
        </w:rPr>
      </w:pPr>
    </w:p>
    <w:sectPr w:rsidR="00010291" w:rsidRPr="009A3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EgTP45lPVv/+gB" int2:id="4fLEWH6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B5131"/>
    <w:multiLevelType w:val="hybridMultilevel"/>
    <w:tmpl w:val="0A36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D2FEF"/>
    <w:multiLevelType w:val="hybridMultilevel"/>
    <w:tmpl w:val="347A86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01949708">
    <w:abstractNumId w:val="1"/>
  </w:num>
  <w:num w:numId="2" w16cid:durableId="10670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F9685"/>
    <w:rsid w:val="00003BD5"/>
    <w:rsid w:val="000064C6"/>
    <w:rsid w:val="00010291"/>
    <w:rsid w:val="000309E1"/>
    <w:rsid w:val="00052944"/>
    <w:rsid w:val="00052F01"/>
    <w:rsid w:val="0005615C"/>
    <w:rsid w:val="00056400"/>
    <w:rsid w:val="000572DA"/>
    <w:rsid w:val="00071E8A"/>
    <w:rsid w:val="0007382E"/>
    <w:rsid w:val="00086622"/>
    <w:rsid w:val="00086D6E"/>
    <w:rsid w:val="000872AF"/>
    <w:rsid w:val="00092817"/>
    <w:rsid w:val="000A374F"/>
    <w:rsid w:val="000A4D4C"/>
    <w:rsid w:val="000A5897"/>
    <w:rsid w:val="000B19C6"/>
    <w:rsid w:val="000B1A4E"/>
    <w:rsid w:val="000D23F1"/>
    <w:rsid w:val="000D3AA9"/>
    <w:rsid w:val="000F4BAC"/>
    <w:rsid w:val="000F55ED"/>
    <w:rsid w:val="000F5738"/>
    <w:rsid w:val="000F6B61"/>
    <w:rsid w:val="00102D49"/>
    <w:rsid w:val="001129DD"/>
    <w:rsid w:val="001144DD"/>
    <w:rsid w:val="001277F9"/>
    <w:rsid w:val="00140CD9"/>
    <w:rsid w:val="001434FF"/>
    <w:rsid w:val="00147576"/>
    <w:rsid w:val="00161458"/>
    <w:rsid w:val="00166E27"/>
    <w:rsid w:val="001718BB"/>
    <w:rsid w:val="00182806"/>
    <w:rsid w:val="001828EB"/>
    <w:rsid w:val="00185ADF"/>
    <w:rsid w:val="001947A0"/>
    <w:rsid w:val="001952DB"/>
    <w:rsid w:val="001A090C"/>
    <w:rsid w:val="001B27B0"/>
    <w:rsid w:val="001B7ED4"/>
    <w:rsid w:val="001C1888"/>
    <w:rsid w:val="001D7AF7"/>
    <w:rsid w:val="002035D0"/>
    <w:rsid w:val="00206080"/>
    <w:rsid w:val="002078BB"/>
    <w:rsid w:val="0021118D"/>
    <w:rsid w:val="00221561"/>
    <w:rsid w:val="00222C7E"/>
    <w:rsid w:val="00231668"/>
    <w:rsid w:val="00237850"/>
    <w:rsid w:val="00242F8D"/>
    <w:rsid w:val="00245643"/>
    <w:rsid w:val="002552C2"/>
    <w:rsid w:val="0025716A"/>
    <w:rsid w:val="0025785B"/>
    <w:rsid w:val="00260B56"/>
    <w:rsid w:val="002622CD"/>
    <w:rsid w:val="002628C0"/>
    <w:rsid w:val="00262A13"/>
    <w:rsid w:val="00262BD0"/>
    <w:rsid w:val="00271B86"/>
    <w:rsid w:val="00272F4A"/>
    <w:rsid w:val="00281927"/>
    <w:rsid w:val="002828D7"/>
    <w:rsid w:val="00287671"/>
    <w:rsid w:val="00290A71"/>
    <w:rsid w:val="0029712D"/>
    <w:rsid w:val="002B1CFF"/>
    <w:rsid w:val="002B5E1C"/>
    <w:rsid w:val="002C15AB"/>
    <w:rsid w:val="002C2B15"/>
    <w:rsid w:val="002C4357"/>
    <w:rsid w:val="002E54DF"/>
    <w:rsid w:val="002E6C2D"/>
    <w:rsid w:val="002F0B3D"/>
    <w:rsid w:val="002F478A"/>
    <w:rsid w:val="002F514F"/>
    <w:rsid w:val="002F5F5A"/>
    <w:rsid w:val="002F62F2"/>
    <w:rsid w:val="003045D2"/>
    <w:rsid w:val="00306576"/>
    <w:rsid w:val="003110EC"/>
    <w:rsid w:val="0031381D"/>
    <w:rsid w:val="003200CD"/>
    <w:rsid w:val="00320573"/>
    <w:rsid w:val="00326926"/>
    <w:rsid w:val="003271F7"/>
    <w:rsid w:val="00350A79"/>
    <w:rsid w:val="003563A4"/>
    <w:rsid w:val="003567EC"/>
    <w:rsid w:val="003627C6"/>
    <w:rsid w:val="0036745B"/>
    <w:rsid w:val="003721DC"/>
    <w:rsid w:val="00386799"/>
    <w:rsid w:val="00391B4C"/>
    <w:rsid w:val="00397E46"/>
    <w:rsid w:val="003A4D7B"/>
    <w:rsid w:val="003B70CB"/>
    <w:rsid w:val="003C04E1"/>
    <w:rsid w:val="003D516D"/>
    <w:rsid w:val="003D754C"/>
    <w:rsid w:val="003E10AB"/>
    <w:rsid w:val="003E26D5"/>
    <w:rsid w:val="003E322E"/>
    <w:rsid w:val="003E3D11"/>
    <w:rsid w:val="003E4388"/>
    <w:rsid w:val="003E78C9"/>
    <w:rsid w:val="00401F89"/>
    <w:rsid w:val="00402536"/>
    <w:rsid w:val="004031F2"/>
    <w:rsid w:val="00413510"/>
    <w:rsid w:val="004166E0"/>
    <w:rsid w:val="004221DC"/>
    <w:rsid w:val="00422B66"/>
    <w:rsid w:val="00424882"/>
    <w:rsid w:val="004351A4"/>
    <w:rsid w:val="00437EEC"/>
    <w:rsid w:val="00442CAE"/>
    <w:rsid w:val="004434FE"/>
    <w:rsid w:val="00446D00"/>
    <w:rsid w:val="004520FC"/>
    <w:rsid w:val="00453009"/>
    <w:rsid w:val="0045782B"/>
    <w:rsid w:val="00461FC5"/>
    <w:rsid w:val="00466411"/>
    <w:rsid w:val="00482C81"/>
    <w:rsid w:val="00483EBE"/>
    <w:rsid w:val="00487F8B"/>
    <w:rsid w:val="004A21AA"/>
    <w:rsid w:val="004A3F4C"/>
    <w:rsid w:val="004A5B16"/>
    <w:rsid w:val="004B2686"/>
    <w:rsid w:val="004C00B9"/>
    <w:rsid w:val="004C23DA"/>
    <w:rsid w:val="004F18CE"/>
    <w:rsid w:val="004F3981"/>
    <w:rsid w:val="004F7560"/>
    <w:rsid w:val="005012AB"/>
    <w:rsid w:val="005063DB"/>
    <w:rsid w:val="00506825"/>
    <w:rsid w:val="00511C01"/>
    <w:rsid w:val="00520A83"/>
    <w:rsid w:val="005256FF"/>
    <w:rsid w:val="0053135E"/>
    <w:rsid w:val="005328AD"/>
    <w:rsid w:val="005328B9"/>
    <w:rsid w:val="005355C4"/>
    <w:rsid w:val="005378D9"/>
    <w:rsid w:val="00537E89"/>
    <w:rsid w:val="00551A55"/>
    <w:rsid w:val="00553506"/>
    <w:rsid w:val="00554281"/>
    <w:rsid w:val="00554390"/>
    <w:rsid w:val="00556127"/>
    <w:rsid w:val="005616A7"/>
    <w:rsid w:val="00577FCC"/>
    <w:rsid w:val="005A67DF"/>
    <w:rsid w:val="005A7A79"/>
    <w:rsid w:val="005C3832"/>
    <w:rsid w:val="005D3406"/>
    <w:rsid w:val="005D6C63"/>
    <w:rsid w:val="005E1254"/>
    <w:rsid w:val="00606D12"/>
    <w:rsid w:val="00610571"/>
    <w:rsid w:val="00616939"/>
    <w:rsid w:val="00635607"/>
    <w:rsid w:val="00635612"/>
    <w:rsid w:val="0063653D"/>
    <w:rsid w:val="006637E9"/>
    <w:rsid w:val="00663A4B"/>
    <w:rsid w:val="0066725D"/>
    <w:rsid w:val="00680514"/>
    <w:rsid w:val="00682CC7"/>
    <w:rsid w:val="00684FF2"/>
    <w:rsid w:val="006857A4"/>
    <w:rsid w:val="00686307"/>
    <w:rsid w:val="00686ABA"/>
    <w:rsid w:val="00690328"/>
    <w:rsid w:val="00692959"/>
    <w:rsid w:val="00693229"/>
    <w:rsid w:val="006A46D3"/>
    <w:rsid w:val="006D004F"/>
    <w:rsid w:val="006D3561"/>
    <w:rsid w:val="006D7A3A"/>
    <w:rsid w:val="006E1E42"/>
    <w:rsid w:val="006E79EC"/>
    <w:rsid w:val="006F2B76"/>
    <w:rsid w:val="006F2C7B"/>
    <w:rsid w:val="006F2E61"/>
    <w:rsid w:val="006F3C96"/>
    <w:rsid w:val="006F61DC"/>
    <w:rsid w:val="006F766F"/>
    <w:rsid w:val="00701ED6"/>
    <w:rsid w:val="00705E4A"/>
    <w:rsid w:val="00711806"/>
    <w:rsid w:val="00713F69"/>
    <w:rsid w:val="00721D55"/>
    <w:rsid w:val="00725415"/>
    <w:rsid w:val="007330B0"/>
    <w:rsid w:val="00740ED2"/>
    <w:rsid w:val="00752E89"/>
    <w:rsid w:val="00755E47"/>
    <w:rsid w:val="00770A35"/>
    <w:rsid w:val="007712FD"/>
    <w:rsid w:val="0078115A"/>
    <w:rsid w:val="00787BBB"/>
    <w:rsid w:val="00790AB7"/>
    <w:rsid w:val="007A341A"/>
    <w:rsid w:val="007B0443"/>
    <w:rsid w:val="007B1785"/>
    <w:rsid w:val="007B4967"/>
    <w:rsid w:val="007B55E7"/>
    <w:rsid w:val="007B68BD"/>
    <w:rsid w:val="007B73A5"/>
    <w:rsid w:val="007C2E49"/>
    <w:rsid w:val="007C444F"/>
    <w:rsid w:val="007E2C1D"/>
    <w:rsid w:val="007E7F6E"/>
    <w:rsid w:val="00800F4E"/>
    <w:rsid w:val="00812C3E"/>
    <w:rsid w:val="0081369A"/>
    <w:rsid w:val="00822845"/>
    <w:rsid w:val="00823461"/>
    <w:rsid w:val="0083073B"/>
    <w:rsid w:val="008370A9"/>
    <w:rsid w:val="00840FCC"/>
    <w:rsid w:val="008434EA"/>
    <w:rsid w:val="00857964"/>
    <w:rsid w:val="0086431E"/>
    <w:rsid w:val="0086706E"/>
    <w:rsid w:val="00870FF7"/>
    <w:rsid w:val="00884544"/>
    <w:rsid w:val="008955F9"/>
    <w:rsid w:val="008B2B68"/>
    <w:rsid w:val="008C58EA"/>
    <w:rsid w:val="008D0761"/>
    <w:rsid w:val="008D229D"/>
    <w:rsid w:val="008D5B46"/>
    <w:rsid w:val="008D7FEF"/>
    <w:rsid w:val="008F58F3"/>
    <w:rsid w:val="00905EAC"/>
    <w:rsid w:val="0091379C"/>
    <w:rsid w:val="00922EF1"/>
    <w:rsid w:val="009279C6"/>
    <w:rsid w:val="00934214"/>
    <w:rsid w:val="00934EFD"/>
    <w:rsid w:val="00947116"/>
    <w:rsid w:val="00954420"/>
    <w:rsid w:val="009544D6"/>
    <w:rsid w:val="00954BCE"/>
    <w:rsid w:val="0095581B"/>
    <w:rsid w:val="009565B8"/>
    <w:rsid w:val="009651E6"/>
    <w:rsid w:val="00980DAC"/>
    <w:rsid w:val="009815E9"/>
    <w:rsid w:val="0098316E"/>
    <w:rsid w:val="00990976"/>
    <w:rsid w:val="009929BA"/>
    <w:rsid w:val="0099340D"/>
    <w:rsid w:val="009A28C3"/>
    <w:rsid w:val="009A3E2A"/>
    <w:rsid w:val="009C558A"/>
    <w:rsid w:val="009E0814"/>
    <w:rsid w:val="009E2AC4"/>
    <w:rsid w:val="009E4656"/>
    <w:rsid w:val="009F4CF7"/>
    <w:rsid w:val="009F56C1"/>
    <w:rsid w:val="00A07453"/>
    <w:rsid w:val="00A1170F"/>
    <w:rsid w:val="00A15F59"/>
    <w:rsid w:val="00A30956"/>
    <w:rsid w:val="00A36A9B"/>
    <w:rsid w:val="00A51EB6"/>
    <w:rsid w:val="00A578A5"/>
    <w:rsid w:val="00A60142"/>
    <w:rsid w:val="00A614D2"/>
    <w:rsid w:val="00A627DB"/>
    <w:rsid w:val="00A666D7"/>
    <w:rsid w:val="00A66D6C"/>
    <w:rsid w:val="00A95114"/>
    <w:rsid w:val="00A96465"/>
    <w:rsid w:val="00AA1CE2"/>
    <w:rsid w:val="00AB2EDD"/>
    <w:rsid w:val="00AB676A"/>
    <w:rsid w:val="00AC1CBB"/>
    <w:rsid w:val="00AC1EFC"/>
    <w:rsid w:val="00AC3E2B"/>
    <w:rsid w:val="00AC59B8"/>
    <w:rsid w:val="00AF2A43"/>
    <w:rsid w:val="00B00109"/>
    <w:rsid w:val="00B02196"/>
    <w:rsid w:val="00B07222"/>
    <w:rsid w:val="00B10F81"/>
    <w:rsid w:val="00B14EB2"/>
    <w:rsid w:val="00B16D0C"/>
    <w:rsid w:val="00B17B4D"/>
    <w:rsid w:val="00B23F05"/>
    <w:rsid w:val="00B25FBB"/>
    <w:rsid w:val="00B316E0"/>
    <w:rsid w:val="00B31803"/>
    <w:rsid w:val="00B325CF"/>
    <w:rsid w:val="00B3436F"/>
    <w:rsid w:val="00B469A0"/>
    <w:rsid w:val="00B55DD0"/>
    <w:rsid w:val="00B704AF"/>
    <w:rsid w:val="00B72A86"/>
    <w:rsid w:val="00B77991"/>
    <w:rsid w:val="00B81288"/>
    <w:rsid w:val="00B82A8E"/>
    <w:rsid w:val="00B838B9"/>
    <w:rsid w:val="00B86353"/>
    <w:rsid w:val="00B92748"/>
    <w:rsid w:val="00B9515F"/>
    <w:rsid w:val="00BA0A7E"/>
    <w:rsid w:val="00BA27FC"/>
    <w:rsid w:val="00BA45C8"/>
    <w:rsid w:val="00BB1460"/>
    <w:rsid w:val="00BB2BD5"/>
    <w:rsid w:val="00BB7B3F"/>
    <w:rsid w:val="00BC13D8"/>
    <w:rsid w:val="00BE0223"/>
    <w:rsid w:val="00C038D0"/>
    <w:rsid w:val="00C043CD"/>
    <w:rsid w:val="00C07C27"/>
    <w:rsid w:val="00C12090"/>
    <w:rsid w:val="00C1303F"/>
    <w:rsid w:val="00C17FD7"/>
    <w:rsid w:val="00C400D1"/>
    <w:rsid w:val="00C40E96"/>
    <w:rsid w:val="00C41AC1"/>
    <w:rsid w:val="00C47C96"/>
    <w:rsid w:val="00C536DF"/>
    <w:rsid w:val="00C53F5C"/>
    <w:rsid w:val="00C552E3"/>
    <w:rsid w:val="00C618DF"/>
    <w:rsid w:val="00C71A2F"/>
    <w:rsid w:val="00C71EB7"/>
    <w:rsid w:val="00C72B33"/>
    <w:rsid w:val="00C76C9A"/>
    <w:rsid w:val="00C8713B"/>
    <w:rsid w:val="00C92DBC"/>
    <w:rsid w:val="00C96094"/>
    <w:rsid w:val="00C97259"/>
    <w:rsid w:val="00CA54B8"/>
    <w:rsid w:val="00CB2CCB"/>
    <w:rsid w:val="00CB5EDB"/>
    <w:rsid w:val="00CD4D9B"/>
    <w:rsid w:val="00CD585A"/>
    <w:rsid w:val="00CE1E8F"/>
    <w:rsid w:val="00CF69B7"/>
    <w:rsid w:val="00D0232D"/>
    <w:rsid w:val="00D02B80"/>
    <w:rsid w:val="00D1789A"/>
    <w:rsid w:val="00D17EDB"/>
    <w:rsid w:val="00D2604D"/>
    <w:rsid w:val="00D3557F"/>
    <w:rsid w:val="00D41EF1"/>
    <w:rsid w:val="00D42D8A"/>
    <w:rsid w:val="00D43EEC"/>
    <w:rsid w:val="00D4533C"/>
    <w:rsid w:val="00D52185"/>
    <w:rsid w:val="00D61D1B"/>
    <w:rsid w:val="00D62D2A"/>
    <w:rsid w:val="00D64CEF"/>
    <w:rsid w:val="00D65CF1"/>
    <w:rsid w:val="00D70DE0"/>
    <w:rsid w:val="00D7183F"/>
    <w:rsid w:val="00D74384"/>
    <w:rsid w:val="00D757E7"/>
    <w:rsid w:val="00D915D2"/>
    <w:rsid w:val="00D9710F"/>
    <w:rsid w:val="00D977D1"/>
    <w:rsid w:val="00DA436C"/>
    <w:rsid w:val="00DA5229"/>
    <w:rsid w:val="00DA5C00"/>
    <w:rsid w:val="00DB046A"/>
    <w:rsid w:val="00DB2D13"/>
    <w:rsid w:val="00DB667E"/>
    <w:rsid w:val="00DB7905"/>
    <w:rsid w:val="00DC2B3B"/>
    <w:rsid w:val="00DC3CDF"/>
    <w:rsid w:val="00DC7369"/>
    <w:rsid w:val="00DD1A8E"/>
    <w:rsid w:val="00DE2C36"/>
    <w:rsid w:val="00DF43A3"/>
    <w:rsid w:val="00DF6082"/>
    <w:rsid w:val="00E03928"/>
    <w:rsid w:val="00E1638E"/>
    <w:rsid w:val="00E17D07"/>
    <w:rsid w:val="00E2007E"/>
    <w:rsid w:val="00E22532"/>
    <w:rsid w:val="00E24758"/>
    <w:rsid w:val="00E40240"/>
    <w:rsid w:val="00E439D3"/>
    <w:rsid w:val="00E43C02"/>
    <w:rsid w:val="00E51974"/>
    <w:rsid w:val="00E519A9"/>
    <w:rsid w:val="00E56461"/>
    <w:rsid w:val="00E56787"/>
    <w:rsid w:val="00E62B77"/>
    <w:rsid w:val="00E64574"/>
    <w:rsid w:val="00E67984"/>
    <w:rsid w:val="00E85187"/>
    <w:rsid w:val="00E9473E"/>
    <w:rsid w:val="00EA389E"/>
    <w:rsid w:val="00EB67B6"/>
    <w:rsid w:val="00EB6962"/>
    <w:rsid w:val="00EC5198"/>
    <w:rsid w:val="00EC5A74"/>
    <w:rsid w:val="00EE607A"/>
    <w:rsid w:val="00EF3DA4"/>
    <w:rsid w:val="00EF5258"/>
    <w:rsid w:val="00EF73F8"/>
    <w:rsid w:val="00F106DA"/>
    <w:rsid w:val="00F12051"/>
    <w:rsid w:val="00F14AA7"/>
    <w:rsid w:val="00F25A89"/>
    <w:rsid w:val="00F26997"/>
    <w:rsid w:val="00F35E55"/>
    <w:rsid w:val="00F36210"/>
    <w:rsid w:val="00F36599"/>
    <w:rsid w:val="00F3701C"/>
    <w:rsid w:val="00F51CF7"/>
    <w:rsid w:val="00F56F72"/>
    <w:rsid w:val="00F63D1B"/>
    <w:rsid w:val="00F7434F"/>
    <w:rsid w:val="00F74424"/>
    <w:rsid w:val="00F74669"/>
    <w:rsid w:val="00F81CF7"/>
    <w:rsid w:val="00F84552"/>
    <w:rsid w:val="00F86647"/>
    <w:rsid w:val="00F926ED"/>
    <w:rsid w:val="00FA1D53"/>
    <w:rsid w:val="00FA4CAD"/>
    <w:rsid w:val="00FB3D74"/>
    <w:rsid w:val="00FB74E1"/>
    <w:rsid w:val="00FC25C5"/>
    <w:rsid w:val="00FF2258"/>
    <w:rsid w:val="00FF60DF"/>
    <w:rsid w:val="014B61BD"/>
    <w:rsid w:val="0167F718"/>
    <w:rsid w:val="01A7BBDD"/>
    <w:rsid w:val="01CD8E52"/>
    <w:rsid w:val="01FB991F"/>
    <w:rsid w:val="023613CD"/>
    <w:rsid w:val="02604F0B"/>
    <w:rsid w:val="027DA646"/>
    <w:rsid w:val="02B31D33"/>
    <w:rsid w:val="02B9BFF0"/>
    <w:rsid w:val="02F0B240"/>
    <w:rsid w:val="031CEFD6"/>
    <w:rsid w:val="03745ED1"/>
    <w:rsid w:val="03976980"/>
    <w:rsid w:val="03A12982"/>
    <w:rsid w:val="03A4D838"/>
    <w:rsid w:val="03E6149E"/>
    <w:rsid w:val="042DB075"/>
    <w:rsid w:val="047EB970"/>
    <w:rsid w:val="049F97DA"/>
    <w:rsid w:val="04DDDD3F"/>
    <w:rsid w:val="05154373"/>
    <w:rsid w:val="051E1F48"/>
    <w:rsid w:val="053AE4D9"/>
    <w:rsid w:val="054474B8"/>
    <w:rsid w:val="05548C32"/>
    <w:rsid w:val="058B6D47"/>
    <w:rsid w:val="05973B6C"/>
    <w:rsid w:val="0597EFCD"/>
    <w:rsid w:val="05CA0C78"/>
    <w:rsid w:val="05D4916B"/>
    <w:rsid w:val="05EABDF5"/>
    <w:rsid w:val="06016174"/>
    <w:rsid w:val="06473660"/>
    <w:rsid w:val="065A0134"/>
    <w:rsid w:val="06D6F7C8"/>
    <w:rsid w:val="06DC78FA"/>
    <w:rsid w:val="0714DDC9"/>
    <w:rsid w:val="07412828"/>
    <w:rsid w:val="0784B59F"/>
    <w:rsid w:val="0857FAAD"/>
    <w:rsid w:val="086F472F"/>
    <w:rsid w:val="08990851"/>
    <w:rsid w:val="08C94C88"/>
    <w:rsid w:val="08CE32AA"/>
    <w:rsid w:val="08D44060"/>
    <w:rsid w:val="09030CCA"/>
    <w:rsid w:val="097308FD"/>
    <w:rsid w:val="09883F33"/>
    <w:rsid w:val="09EF4B46"/>
    <w:rsid w:val="0AFBC425"/>
    <w:rsid w:val="0AFF9685"/>
    <w:rsid w:val="0B3304F8"/>
    <w:rsid w:val="0B974C50"/>
    <w:rsid w:val="0BA3E4DD"/>
    <w:rsid w:val="0BB8D68A"/>
    <w:rsid w:val="0BBF1010"/>
    <w:rsid w:val="0BC4128A"/>
    <w:rsid w:val="0BCCDE99"/>
    <w:rsid w:val="0C54578F"/>
    <w:rsid w:val="0C7A518E"/>
    <w:rsid w:val="0D47818D"/>
    <w:rsid w:val="0D93E333"/>
    <w:rsid w:val="0DDACEC6"/>
    <w:rsid w:val="0DEF0ED2"/>
    <w:rsid w:val="0E96C4A5"/>
    <w:rsid w:val="0E986D85"/>
    <w:rsid w:val="0EEB56FE"/>
    <w:rsid w:val="0FA3DF1D"/>
    <w:rsid w:val="106FCE1C"/>
    <w:rsid w:val="1078795D"/>
    <w:rsid w:val="10A9CFDE"/>
    <w:rsid w:val="1126AF94"/>
    <w:rsid w:val="1166035E"/>
    <w:rsid w:val="116B05A9"/>
    <w:rsid w:val="1187DC1A"/>
    <w:rsid w:val="1219AA6F"/>
    <w:rsid w:val="1222F7C0"/>
    <w:rsid w:val="122AE546"/>
    <w:rsid w:val="124E1972"/>
    <w:rsid w:val="1275BE74"/>
    <w:rsid w:val="12C27FF5"/>
    <w:rsid w:val="12D23731"/>
    <w:rsid w:val="1335780E"/>
    <w:rsid w:val="1376CF5C"/>
    <w:rsid w:val="13A202DC"/>
    <w:rsid w:val="13A743F3"/>
    <w:rsid w:val="13E01A72"/>
    <w:rsid w:val="14770334"/>
    <w:rsid w:val="14901566"/>
    <w:rsid w:val="14C344E1"/>
    <w:rsid w:val="153DD33D"/>
    <w:rsid w:val="1556E28E"/>
    <w:rsid w:val="15CE9B9F"/>
    <w:rsid w:val="161555D2"/>
    <w:rsid w:val="163D209E"/>
    <w:rsid w:val="168FE752"/>
    <w:rsid w:val="16A12229"/>
    <w:rsid w:val="16DA220A"/>
    <w:rsid w:val="16EE71C0"/>
    <w:rsid w:val="16F21FD4"/>
    <w:rsid w:val="170093C7"/>
    <w:rsid w:val="17126616"/>
    <w:rsid w:val="1750BED8"/>
    <w:rsid w:val="17C5CA68"/>
    <w:rsid w:val="1828F8C6"/>
    <w:rsid w:val="1843A95A"/>
    <w:rsid w:val="18923944"/>
    <w:rsid w:val="18AACB65"/>
    <w:rsid w:val="1919EA61"/>
    <w:rsid w:val="19407007"/>
    <w:rsid w:val="19E91E49"/>
    <w:rsid w:val="1A261282"/>
    <w:rsid w:val="1A44C15A"/>
    <w:rsid w:val="1A8CAA8C"/>
    <w:rsid w:val="1A8E2211"/>
    <w:rsid w:val="1A8F9069"/>
    <w:rsid w:val="1AA20CC2"/>
    <w:rsid w:val="1AB5BAC2"/>
    <w:rsid w:val="1AB5DFBE"/>
    <w:rsid w:val="1AC912D3"/>
    <w:rsid w:val="1B74934C"/>
    <w:rsid w:val="1B80714E"/>
    <w:rsid w:val="1BC590F7"/>
    <w:rsid w:val="1BD72D44"/>
    <w:rsid w:val="1BDD0E16"/>
    <w:rsid w:val="1BDEB954"/>
    <w:rsid w:val="1BFF97BE"/>
    <w:rsid w:val="1C87BE84"/>
    <w:rsid w:val="1C8EB448"/>
    <w:rsid w:val="1CC5E475"/>
    <w:rsid w:val="1CFBD098"/>
    <w:rsid w:val="1D031952"/>
    <w:rsid w:val="1D34FDDC"/>
    <w:rsid w:val="1D75C1E1"/>
    <w:rsid w:val="1D83BC50"/>
    <w:rsid w:val="1DA7FC6B"/>
    <w:rsid w:val="1E0B1620"/>
    <w:rsid w:val="1E834C60"/>
    <w:rsid w:val="1E953E1D"/>
    <w:rsid w:val="1F09684E"/>
    <w:rsid w:val="1F4E3962"/>
    <w:rsid w:val="1F619334"/>
    <w:rsid w:val="1F892BE5"/>
    <w:rsid w:val="1FAD2850"/>
    <w:rsid w:val="203C2A07"/>
    <w:rsid w:val="20AD62A3"/>
    <w:rsid w:val="20B55029"/>
    <w:rsid w:val="20C563C7"/>
    <w:rsid w:val="2110E67B"/>
    <w:rsid w:val="214C22C0"/>
    <w:rsid w:val="2170EED8"/>
    <w:rsid w:val="21755EBB"/>
    <w:rsid w:val="2183D70B"/>
    <w:rsid w:val="21ADA2C7"/>
    <w:rsid w:val="21DB07D1"/>
    <w:rsid w:val="220DC4E9"/>
    <w:rsid w:val="221D6AC2"/>
    <w:rsid w:val="2233273D"/>
    <w:rsid w:val="2234D27B"/>
    <w:rsid w:val="225A43BC"/>
    <w:rsid w:val="22A05F02"/>
    <w:rsid w:val="22A5A56C"/>
    <w:rsid w:val="232CDE7D"/>
    <w:rsid w:val="23CB9E9A"/>
    <w:rsid w:val="23D4EBEB"/>
    <w:rsid w:val="23ECF0EB"/>
    <w:rsid w:val="241FF71F"/>
    <w:rsid w:val="245C9D08"/>
    <w:rsid w:val="24A78F5E"/>
    <w:rsid w:val="24C672BC"/>
    <w:rsid w:val="259364CB"/>
    <w:rsid w:val="25C7F700"/>
    <w:rsid w:val="26539E5E"/>
    <w:rsid w:val="26A07B76"/>
    <w:rsid w:val="26A381C8"/>
    <w:rsid w:val="26A41674"/>
    <w:rsid w:val="27199A81"/>
    <w:rsid w:val="273234AC"/>
    <w:rsid w:val="2780A5B2"/>
    <w:rsid w:val="27887D50"/>
    <w:rsid w:val="281DE487"/>
    <w:rsid w:val="290003DF"/>
    <w:rsid w:val="2926A772"/>
    <w:rsid w:val="29545966"/>
    <w:rsid w:val="297C0D76"/>
    <w:rsid w:val="29DE603F"/>
    <w:rsid w:val="2A05CF14"/>
    <w:rsid w:val="2A88172C"/>
    <w:rsid w:val="2AD9DCA9"/>
    <w:rsid w:val="2B007E56"/>
    <w:rsid w:val="2B68B620"/>
    <w:rsid w:val="2BA681E2"/>
    <w:rsid w:val="2BF802D0"/>
    <w:rsid w:val="2C1F13BC"/>
    <w:rsid w:val="2C5416D5"/>
    <w:rsid w:val="2C5BEE73"/>
    <w:rsid w:val="2C64CD7E"/>
    <w:rsid w:val="2CDA553A"/>
    <w:rsid w:val="2CFC2443"/>
    <w:rsid w:val="2D0FBCFA"/>
    <w:rsid w:val="2D11251D"/>
    <w:rsid w:val="2D1B48D4"/>
    <w:rsid w:val="2D7DC76A"/>
    <w:rsid w:val="2D7F72A8"/>
    <w:rsid w:val="2DB9796F"/>
    <w:rsid w:val="2E090F93"/>
    <w:rsid w:val="2E5708F1"/>
    <w:rsid w:val="2EDA3F96"/>
    <w:rsid w:val="2EF5FAE4"/>
    <w:rsid w:val="2F0B8409"/>
    <w:rsid w:val="2F0E5141"/>
    <w:rsid w:val="2F0EA3DA"/>
    <w:rsid w:val="2F1F8C18"/>
    <w:rsid w:val="2F586F9D"/>
    <w:rsid w:val="2F5E71B8"/>
    <w:rsid w:val="30475DBC"/>
    <w:rsid w:val="305D48C0"/>
    <w:rsid w:val="30A7546A"/>
    <w:rsid w:val="30AAF984"/>
    <w:rsid w:val="30BB5C79"/>
    <w:rsid w:val="30F758B0"/>
    <w:rsid w:val="312F5F96"/>
    <w:rsid w:val="313CBEDE"/>
    <w:rsid w:val="31491E2D"/>
    <w:rsid w:val="319E2103"/>
    <w:rsid w:val="31E80D3F"/>
    <w:rsid w:val="322CC9A6"/>
    <w:rsid w:val="323A6795"/>
    <w:rsid w:val="3251388D"/>
    <w:rsid w:val="327FDCF0"/>
    <w:rsid w:val="3290C14E"/>
    <w:rsid w:val="32DEDDF7"/>
    <w:rsid w:val="332431B5"/>
    <w:rsid w:val="33C90A84"/>
    <w:rsid w:val="33DEF52C"/>
    <w:rsid w:val="345F28BA"/>
    <w:rsid w:val="346E8518"/>
    <w:rsid w:val="34AA26C3"/>
    <w:rsid w:val="34B0D28C"/>
    <w:rsid w:val="34C61CFC"/>
    <w:rsid w:val="351F1689"/>
    <w:rsid w:val="35548F21"/>
    <w:rsid w:val="35984DBE"/>
    <w:rsid w:val="35DBB2B0"/>
    <w:rsid w:val="35EE6515"/>
    <w:rsid w:val="364CA2ED"/>
    <w:rsid w:val="36582A5D"/>
    <w:rsid w:val="36696832"/>
    <w:rsid w:val="371AA465"/>
    <w:rsid w:val="379BBAD1"/>
    <w:rsid w:val="379CF851"/>
    <w:rsid w:val="37DAD55F"/>
    <w:rsid w:val="38090D8B"/>
    <w:rsid w:val="380D6287"/>
    <w:rsid w:val="38299CC9"/>
    <w:rsid w:val="3863DD49"/>
    <w:rsid w:val="388C2FE3"/>
    <w:rsid w:val="38CFEE80"/>
    <w:rsid w:val="38D685D8"/>
    <w:rsid w:val="38FC2C16"/>
    <w:rsid w:val="398443AF"/>
    <w:rsid w:val="39A108F4"/>
    <w:rsid w:val="39E6854D"/>
    <w:rsid w:val="3A0CF458"/>
    <w:rsid w:val="3A280044"/>
    <w:rsid w:val="3A6BBEE1"/>
    <w:rsid w:val="3AE9EFDC"/>
    <w:rsid w:val="3B044D2F"/>
    <w:rsid w:val="3B2B9E7E"/>
    <w:rsid w:val="3B2FA244"/>
    <w:rsid w:val="3B72970D"/>
    <w:rsid w:val="3B739699"/>
    <w:rsid w:val="3BA6D20C"/>
    <w:rsid w:val="3BC005BC"/>
    <w:rsid w:val="3C0E269A"/>
    <w:rsid w:val="3C357720"/>
    <w:rsid w:val="3C6A3A9F"/>
    <w:rsid w:val="3CDF711C"/>
    <w:rsid w:val="3CED8904"/>
    <w:rsid w:val="3D4EFDA7"/>
    <w:rsid w:val="3D5FA106"/>
    <w:rsid w:val="3E060B00"/>
    <w:rsid w:val="3E2B115F"/>
    <w:rsid w:val="3E747A17"/>
    <w:rsid w:val="3E849191"/>
    <w:rsid w:val="3EAB375B"/>
    <w:rsid w:val="3EE0A596"/>
    <w:rsid w:val="3F755C4B"/>
    <w:rsid w:val="3FDA1E44"/>
    <w:rsid w:val="3FEB82C0"/>
    <w:rsid w:val="3FF38533"/>
    <w:rsid w:val="3FF5F324"/>
    <w:rsid w:val="401B8651"/>
    <w:rsid w:val="404A9D30"/>
    <w:rsid w:val="409D6B58"/>
    <w:rsid w:val="40AF0A95"/>
    <w:rsid w:val="41073DFB"/>
    <w:rsid w:val="410A3C40"/>
    <w:rsid w:val="4162B221"/>
    <w:rsid w:val="416EB480"/>
    <w:rsid w:val="4170EA27"/>
    <w:rsid w:val="419812CA"/>
    <w:rsid w:val="41AC1AD9"/>
    <w:rsid w:val="41D56267"/>
    <w:rsid w:val="420670CE"/>
    <w:rsid w:val="4286EFF7"/>
    <w:rsid w:val="42A30E5C"/>
    <w:rsid w:val="42FF3E57"/>
    <w:rsid w:val="43274808"/>
    <w:rsid w:val="4333B59A"/>
    <w:rsid w:val="435802B4"/>
    <w:rsid w:val="43611397"/>
    <w:rsid w:val="43648095"/>
    <w:rsid w:val="437DA8F2"/>
    <w:rsid w:val="441D82AB"/>
    <w:rsid w:val="44712501"/>
    <w:rsid w:val="44C145ED"/>
    <w:rsid w:val="44C39C57"/>
    <w:rsid w:val="450050F6"/>
    <w:rsid w:val="45B508E0"/>
    <w:rsid w:val="46001908"/>
    <w:rsid w:val="4602F030"/>
    <w:rsid w:val="465F6CB8"/>
    <w:rsid w:val="470D4DB0"/>
    <w:rsid w:val="4750D941"/>
    <w:rsid w:val="47630586"/>
    <w:rsid w:val="476395A1"/>
    <w:rsid w:val="47ACED46"/>
    <w:rsid w:val="47B1E3F8"/>
    <w:rsid w:val="47F1C141"/>
    <w:rsid w:val="48156810"/>
    <w:rsid w:val="48238651"/>
    <w:rsid w:val="482B73D7"/>
    <w:rsid w:val="48A4A0B5"/>
    <w:rsid w:val="48E7ECAC"/>
    <w:rsid w:val="48F5F6F3"/>
    <w:rsid w:val="491A5B29"/>
    <w:rsid w:val="493FF31F"/>
    <w:rsid w:val="494E21D9"/>
    <w:rsid w:val="498D91A2"/>
    <w:rsid w:val="49C74438"/>
    <w:rsid w:val="49CBA20D"/>
    <w:rsid w:val="49CFBEDF"/>
    <w:rsid w:val="4AE48E08"/>
    <w:rsid w:val="4B4855C4"/>
    <w:rsid w:val="4B4EB410"/>
    <w:rsid w:val="4BD5C7A7"/>
    <w:rsid w:val="4C1C5CDE"/>
    <w:rsid w:val="4C329895"/>
    <w:rsid w:val="4C5219E6"/>
    <w:rsid w:val="4C7ACEC3"/>
    <w:rsid w:val="4CD2083B"/>
    <w:rsid w:val="4CDD92A9"/>
    <w:rsid w:val="4D0B62DB"/>
    <w:rsid w:val="4DE45F42"/>
    <w:rsid w:val="4DEDF82B"/>
    <w:rsid w:val="4E92C7D5"/>
    <w:rsid w:val="4F124EFE"/>
    <w:rsid w:val="4F12B4ED"/>
    <w:rsid w:val="4F1E0463"/>
    <w:rsid w:val="4F9F8B2F"/>
    <w:rsid w:val="4FC54D20"/>
    <w:rsid w:val="4FC61B86"/>
    <w:rsid w:val="4FC8E538"/>
    <w:rsid w:val="50266E42"/>
    <w:rsid w:val="502C6B41"/>
    <w:rsid w:val="502FEE64"/>
    <w:rsid w:val="503685BC"/>
    <w:rsid w:val="5043039D"/>
    <w:rsid w:val="5081F827"/>
    <w:rsid w:val="508EE3DF"/>
    <w:rsid w:val="51899DA7"/>
    <w:rsid w:val="530085FA"/>
    <w:rsid w:val="531E7D9C"/>
    <w:rsid w:val="533C616E"/>
    <w:rsid w:val="536E267E"/>
    <w:rsid w:val="536E3CA9"/>
    <w:rsid w:val="538A4474"/>
    <w:rsid w:val="5419631C"/>
    <w:rsid w:val="542F5C49"/>
    <w:rsid w:val="5430B277"/>
    <w:rsid w:val="543DC9E8"/>
    <w:rsid w:val="54CF7C31"/>
    <w:rsid w:val="5511FED2"/>
    <w:rsid w:val="5571619D"/>
    <w:rsid w:val="55794B51"/>
    <w:rsid w:val="55817656"/>
    <w:rsid w:val="560A37B3"/>
    <w:rsid w:val="560ECCB3"/>
    <w:rsid w:val="561C34AD"/>
    <w:rsid w:val="562ECFF0"/>
    <w:rsid w:val="562F2E35"/>
    <w:rsid w:val="563826BC"/>
    <w:rsid w:val="56740230"/>
    <w:rsid w:val="569C42D2"/>
    <w:rsid w:val="569F6C1B"/>
    <w:rsid w:val="56D85081"/>
    <w:rsid w:val="56EA2E6E"/>
    <w:rsid w:val="571D60E3"/>
    <w:rsid w:val="572ABE2C"/>
    <w:rsid w:val="574FA72A"/>
    <w:rsid w:val="575F0F85"/>
    <w:rsid w:val="5766FD0B"/>
    <w:rsid w:val="57837E6C"/>
    <w:rsid w:val="57B1D639"/>
    <w:rsid w:val="57E44D79"/>
    <w:rsid w:val="58B93144"/>
    <w:rsid w:val="5908FC41"/>
    <w:rsid w:val="5928CB20"/>
    <w:rsid w:val="59547EF5"/>
    <w:rsid w:val="59A2ED54"/>
    <w:rsid w:val="59AE33DE"/>
    <w:rsid w:val="59D384B5"/>
    <w:rsid w:val="5A10977D"/>
    <w:rsid w:val="5AB5CA79"/>
    <w:rsid w:val="5AB80298"/>
    <w:rsid w:val="5ABB1F2E"/>
    <w:rsid w:val="5ABFAED9"/>
    <w:rsid w:val="5B3B20CD"/>
    <w:rsid w:val="5B477353"/>
    <w:rsid w:val="5B72A10B"/>
    <w:rsid w:val="5BCA05DE"/>
    <w:rsid w:val="5BD7A9A9"/>
    <w:rsid w:val="5C3280A8"/>
    <w:rsid w:val="5C3A6E2E"/>
    <w:rsid w:val="5C3BC45C"/>
    <w:rsid w:val="5C9E1174"/>
    <w:rsid w:val="5CC1592D"/>
    <w:rsid w:val="5CCA1B57"/>
    <w:rsid w:val="5CD6F12E"/>
    <w:rsid w:val="5D19AED5"/>
    <w:rsid w:val="5D3A50DE"/>
    <w:rsid w:val="5D7E4E18"/>
    <w:rsid w:val="5DBEE8AE"/>
    <w:rsid w:val="5E20B978"/>
    <w:rsid w:val="5EE24D88"/>
    <w:rsid w:val="5EE78F7C"/>
    <w:rsid w:val="5F4A78DB"/>
    <w:rsid w:val="5F580701"/>
    <w:rsid w:val="5F5AB90F"/>
    <w:rsid w:val="5F8E9051"/>
    <w:rsid w:val="5FBC89D9"/>
    <w:rsid w:val="5FD080D5"/>
    <w:rsid w:val="5FDE0B38"/>
    <w:rsid w:val="60B0AB11"/>
    <w:rsid w:val="610D4EB2"/>
    <w:rsid w:val="612A60B2"/>
    <w:rsid w:val="612FBEC3"/>
    <w:rsid w:val="617F1130"/>
    <w:rsid w:val="61A61178"/>
    <w:rsid w:val="61FAA62C"/>
    <w:rsid w:val="62981B0F"/>
    <w:rsid w:val="62A9AFB2"/>
    <w:rsid w:val="62BAEA89"/>
    <w:rsid w:val="62F42A9B"/>
    <w:rsid w:val="630DB13D"/>
    <w:rsid w:val="632BEA92"/>
    <w:rsid w:val="63681845"/>
    <w:rsid w:val="636B21EB"/>
    <w:rsid w:val="6390C829"/>
    <w:rsid w:val="6396768D"/>
    <w:rsid w:val="63B1FBCF"/>
    <w:rsid w:val="6448AD08"/>
    <w:rsid w:val="6479B321"/>
    <w:rsid w:val="64ABF8F8"/>
    <w:rsid w:val="64C0CA87"/>
    <w:rsid w:val="64D82FA0"/>
    <w:rsid w:val="64E20313"/>
    <w:rsid w:val="64ED8D81"/>
    <w:rsid w:val="6527786E"/>
    <w:rsid w:val="654DCC30"/>
    <w:rsid w:val="655AEB8A"/>
    <w:rsid w:val="658AB7DC"/>
    <w:rsid w:val="65CAAB01"/>
    <w:rsid w:val="65EA9DC5"/>
    <w:rsid w:val="66205B7D"/>
    <w:rsid w:val="667DD374"/>
    <w:rsid w:val="6705345E"/>
    <w:rsid w:val="6706C438"/>
    <w:rsid w:val="6727A875"/>
    <w:rsid w:val="674E64A2"/>
    <w:rsid w:val="67A916A5"/>
    <w:rsid w:val="680FD062"/>
    <w:rsid w:val="68198AC9"/>
    <w:rsid w:val="6824D153"/>
    <w:rsid w:val="68496EFB"/>
    <w:rsid w:val="684BFCAC"/>
    <w:rsid w:val="6851CED5"/>
    <w:rsid w:val="68FD0FA2"/>
    <w:rsid w:val="692A2C0D"/>
    <w:rsid w:val="694E73F7"/>
    <w:rsid w:val="69528F8D"/>
    <w:rsid w:val="698E7B64"/>
    <w:rsid w:val="69E7AF06"/>
    <w:rsid w:val="69F38BCC"/>
    <w:rsid w:val="6A41CD2B"/>
    <w:rsid w:val="6A4F9FD1"/>
    <w:rsid w:val="6A7E4DD3"/>
    <w:rsid w:val="6ABBADB5"/>
    <w:rsid w:val="6AE272F4"/>
    <w:rsid w:val="6B04FEF7"/>
    <w:rsid w:val="6B446EC0"/>
    <w:rsid w:val="6B64F8F9"/>
    <w:rsid w:val="6B7789FE"/>
    <w:rsid w:val="6BA0F0FA"/>
    <w:rsid w:val="6BE19A3A"/>
    <w:rsid w:val="6BF74E34"/>
    <w:rsid w:val="6C262EC4"/>
    <w:rsid w:val="6C2BDF2D"/>
    <w:rsid w:val="6C55963A"/>
    <w:rsid w:val="6C5E68B9"/>
    <w:rsid w:val="6C6BEDCB"/>
    <w:rsid w:val="6C978A87"/>
    <w:rsid w:val="6CA69A42"/>
    <w:rsid w:val="6CCAE4AA"/>
    <w:rsid w:val="6DBB712F"/>
    <w:rsid w:val="6DD11541"/>
    <w:rsid w:val="6DD7A688"/>
    <w:rsid w:val="6DF48C4D"/>
    <w:rsid w:val="6DF7568B"/>
    <w:rsid w:val="6E21E51A"/>
    <w:rsid w:val="6E3C9FB9"/>
    <w:rsid w:val="6E844EF1"/>
    <w:rsid w:val="6EC6FCEF"/>
    <w:rsid w:val="6F11D61D"/>
    <w:rsid w:val="6F2310F4"/>
    <w:rsid w:val="6F5321B0"/>
    <w:rsid w:val="6F5D6C1B"/>
    <w:rsid w:val="6F8832BA"/>
    <w:rsid w:val="6F8B8BBE"/>
    <w:rsid w:val="6F905CAE"/>
    <w:rsid w:val="6FA19785"/>
    <w:rsid w:val="6FA42FED"/>
    <w:rsid w:val="6FBDB57B"/>
    <w:rsid w:val="700D70AE"/>
    <w:rsid w:val="7024B5BA"/>
    <w:rsid w:val="70BC6B64"/>
    <w:rsid w:val="70C6CEDB"/>
    <w:rsid w:val="70D497A2"/>
    <w:rsid w:val="70FF5050"/>
    <w:rsid w:val="71151EAE"/>
    <w:rsid w:val="712C2D0F"/>
    <w:rsid w:val="71599A98"/>
    <w:rsid w:val="7185FA47"/>
    <w:rsid w:val="71A16971"/>
    <w:rsid w:val="725D0F96"/>
    <w:rsid w:val="72738F31"/>
    <w:rsid w:val="728AC272"/>
    <w:rsid w:val="72E9A074"/>
    <w:rsid w:val="72F6E87F"/>
    <w:rsid w:val="730AACAA"/>
    <w:rsid w:val="733600AD"/>
    <w:rsid w:val="7443ABAC"/>
    <w:rsid w:val="7459A863"/>
    <w:rsid w:val="7469ED4D"/>
    <w:rsid w:val="74CA0A48"/>
    <w:rsid w:val="74FB34FF"/>
    <w:rsid w:val="7524240A"/>
    <w:rsid w:val="75581DE5"/>
    <w:rsid w:val="758374E2"/>
    <w:rsid w:val="75874676"/>
    <w:rsid w:val="7594B058"/>
    <w:rsid w:val="75E559D5"/>
    <w:rsid w:val="7644AB4C"/>
    <w:rsid w:val="76D567D8"/>
    <w:rsid w:val="76E67A3B"/>
    <w:rsid w:val="7707FDB2"/>
    <w:rsid w:val="7717585C"/>
    <w:rsid w:val="7736105F"/>
    <w:rsid w:val="773DE936"/>
    <w:rsid w:val="77CF6A18"/>
    <w:rsid w:val="785844E4"/>
    <w:rsid w:val="7865F1AF"/>
    <w:rsid w:val="7888891B"/>
    <w:rsid w:val="78B8B863"/>
    <w:rsid w:val="7906115C"/>
    <w:rsid w:val="7958E1F8"/>
    <w:rsid w:val="795CE532"/>
    <w:rsid w:val="7962A5FE"/>
    <w:rsid w:val="79817D6F"/>
    <w:rsid w:val="7A171E4E"/>
    <w:rsid w:val="7A3C4475"/>
    <w:rsid w:val="7A661031"/>
    <w:rsid w:val="7A679160"/>
    <w:rsid w:val="7A7E972E"/>
    <w:rsid w:val="7AA254A9"/>
    <w:rsid w:val="7ACCBE18"/>
    <w:rsid w:val="7AE5A05A"/>
    <w:rsid w:val="7AEFFE0F"/>
    <w:rsid w:val="7B69E1EC"/>
    <w:rsid w:val="7B6A6C9B"/>
    <w:rsid w:val="7BE2C3E8"/>
    <w:rsid w:val="7BE3C52A"/>
    <w:rsid w:val="7C155F84"/>
    <w:rsid w:val="7C1A678F"/>
    <w:rsid w:val="7C4AC02D"/>
    <w:rsid w:val="7CA694FC"/>
    <w:rsid w:val="7CAA02A8"/>
    <w:rsid w:val="7CADAE51"/>
    <w:rsid w:val="7D0B9EA1"/>
    <w:rsid w:val="7D3390D3"/>
    <w:rsid w:val="7D982DD6"/>
    <w:rsid w:val="7DB6D09E"/>
    <w:rsid w:val="7E1BEAEE"/>
    <w:rsid w:val="7E2E8F3D"/>
    <w:rsid w:val="7EDD20B9"/>
    <w:rsid w:val="7F2FE76D"/>
    <w:rsid w:val="7F520851"/>
    <w:rsid w:val="7F9671B0"/>
    <w:rsid w:val="7F9E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9685"/>
  <w15:chartTrackingRefBased/>
  <w15:docId w15:val="{205602AC-BB5A-4DFC-B364-CF5C8287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C0"/>
    <w:pPr>
      <w:jc w:val="both"/>
    </w:pPr>
    <w:rPr>
      <w:rFonts w:ascii="Times New Roman" w:hAnsi="Times New Roman" w:cs="Times New Roman"/>
      <w:szCs w:val="20"/>
      <w:lang w:val="en-GB"/>
    </w:rPr>
  </w:style>
  <w:style w:type="paragraph" w:styleId="Heading1">
    <w:name w:val="heading 1"/>
    <w:basedOn w:val="Normal"/>
    <w:next w:val="Normal"/>
    <w:link w:val="Heading1Char"/>
    <w:uiPriority w:val="9"/>
    <w:qFormat/>
    <w:rsid w:val="005D6C63"/>
    <w:pPr>
      <w:spacing w:after="240"/>
      <w:outlineLvl w:val="0"/>
    </w:pPr>
    <w:rPr>
      <w:b/>
      <w:sz w:val="24"/>
    </w:rPr>
  </w:style>
  <w:style w:type="paragraph" w:styleId="Heading2">
    <w:name w:val="heading 2"/>
    <w:basedOn w:val="Normal"/>
    <w:next w:val="Normal"/>
    <w:link w:val="Heading2Char"/>
    <w:uiPriority w:val="9"/>
    <w:unhideWhenUsed/>
    <w:qFormat/>
    <w:rsid w:val="00E67984"/>
    <w:pPr>
      <w:spacing w:after="0"/>
      <w:outlineLvl w:val="1"/>
    </w:pPr>
    <w:rPr>
      <w:b/>
      <w:bCs/>
      <w:szCs w:val="22"/>
    </w:rPr>
  </w:style>
  <w:style w:type="paragraph" w:styleId="Heading3">
    <w:name w:val="heading 3"/>
    <w:basedOn w:val="Normal"/>
    <w:next w:val="Normal"/>
    <w:link w:val="Heading3Char"/>
    <w:uiPriority w:val="9"/>
    <w:unhideWhenUsed/>
    <w:qFormat/>
    <w:rsid w:val="00320573"/>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9B7"/>
    <w:rPr>
      <w:color w:val="0563C1"/>
      <w:u w:val="single"/>
    </w:rPr>
  </w:style>
  <w:style w:type="paragraph" w:styleId="ListParagraph">
    <w:name w:val="List Paragraph"/>
    <w:basedOn w:val="Normal"/>
    <w:uiPriority w:val="34"/>
    <w:qFormat/>
    <w:rsid w:val="00CF69B7"/>
    <w:pPr>
      <w:ind w:left="720"/>
      <w:contextualSpacing/>
    </w:pPr>
  </w:style>
  <w:style w:type="character" w:styleId="UnresolvedMention">
    <w:name w:val="Unresolved Mention"/>
    <w:basedOn w:val="DefaultParagraphFont"/>
    <w:uiPriority w:val="99"/>
    <w:semiHidden/>
    <w:unhideWhenUsed/>
    <w:rsid w:val="00DA5C00"/>
    <w:rPr>
      <w:color w:val="605E5C"/>
      <w:shd w:val="clear" w:color="auto" w:fill="E1DFDD"/>
    </w:rPr>
  </w:style>
  <w:style w:type="character" w:customStyle="1" w:styleId="Heading1Char">
    <w:name w:val="Heading 1 Char"/>
    <w:basedOn w:val="DefaultParagraphFont"/>
    <w:link w:val="Heading1"/>
    <w:uiPriority w:val="9"/>
    <w:rsid w:val="005D6C63"/>
    <w:rPr>
      <w:rFonts w:ascii="Times New Roman" w:hAnsi="Times New Roman" w:cs="Times New Roman"/>
      <w:b/>
      <w:sz w:val="24"/>
      <w:szCs w:val="20"/>
      <w:lang w:val="en-GB"/>
    </w:rPr>
  </w:style>
  <w:style w:type="paragraph" w:styleId="Title">
    <w:name w:val="Title"/>
    <w:basedOn w:val="Normal"/>
    <w:next w:val="Normal"/>
    <w:link w:val="TitleChar"/>
    <w:uiPriority w:val="10"/>
    <w:qFormat/>
    <w:rsid w:val="00E67984"/>
    <w:pPr>
      <w:jc w:val="center"/>
    </w:pPr>
    <w:rPr>
      <w:b/>
      <w:bCs/>
    </w:rPr>
  </w:style>
  <w:style w:type="character" w:customStyle="1" w:styleId="TitleChar">
    <w:name w:val="Title Char"/>
    <w:basedOn w:val="DefaultParagraphFont"/>
    <w:link w:val="Title"/>
    <w:uiPriority w:val="10"/>
    <w:rsid w:val="00E67984"/>
    <w:rPr>
      <w:rFonts w:ascii="Times New Roman" w:hAnsi="Times New Roman" w:cs="Times New Roman"/>
      <w:b/>
      <w:bCs/>
      <w:szCs w:val="20"/>
      <w:lang w:val="en-GB"/>
    </w:rPr>
  </w:style>
  <w:style w:type="character" w:customStyle="1" w:styleId="Heading2Char">
    <w:name w:val="Heading 2 Char"/>
    <w:basedOn w:val="DefaultParagraphFont"/>
    <w:link w:val="Heading2"/>
    <w:uiPriority w:val="9"/>
    <w:rsid w:val="00E67984"/>
    <w:rPr>
      <w:rFonts w:ascii="Times New Roman" w:hAnsi="Times New Roman" w:cs="Times New Roman"/>
      <w:b/>
      <w:bCs/>
      <w:lang w:val="en-GB"/>
    </w:rPr>
  </w:style>
  <w:style w:type="paragraph" w:styleId="Subtitle">
    <w:name w:val="Subtitle"/>
    <w:basedOn w:val="Normal"/>
    <w:next w:val="Normal"/>
    <w:link w:val="SubtitleChar"/>
    <w:uiPriority w:val="11"/>
    <w:qFormat/>
    <w:rsid w:val="00E67984"/>
    <w:pPr>
      <w:spacing w:after="0"/>
    </w:pPr>
    <w:rPr>
      <w:i/>
      <w:iCs/>
    </w:rPr>
  </w:style>
  <w:style w:type="character" w:customStyle="1" w:styleId="SubtitleChar">
    <w:name w:val="Subtitle Char"/>
    <w:basedOn w:val="DefaultParagraphFont"/>
    <w:link w:val="Subtitle"/>
    <w:uiPriority w:val="11"/>
    <w:rsid w:val="00E67984"/>
    <w:rPr>
      <w:rFonts w:ascii="Times New Roman" w:hAnsi="Times New Roman" w:cs="Times New Roman"/>
      <w:i/>
      <w:iCs/>
      <w:szCs w:val="20"/>
      <w:lang w:val="en-GB"/>
    </w:rPr>
  </w:style>
  <w:style w:type="character" w:customStyle="1" w:styleId="Heading3Char">
    <w:name w:val="Heading 3 Char"/>
    <w:basedOn w:val="DefaultParagraphFont"/>
    <w:link w:val="Heading3"/>
    <w:uiPriority w:val="9"/>
    <w:rsid w:val="00320573"/>
    <w:rPr>
      <w:rFonts w:ascii="Times New Roman" w:hAnsi="Times New Roman" w:cs="Times New Roman"/>
      <w:i/>
      <w:iCs/>
      <w:szCs w:val="20"/>
      <w:lang w:val="en-GB"/>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70FF7"/>
    <w:pPr>
      <w:spacing w:after="0" w:line="240" w:lineRule="auto"/>
    </w:pPr>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4539">
      <w:bodyDiv w:val="1"/>
      <w:marLeft w:val="0"/>
      <w:marRight w:val="0"/>
      <w:marTop w:val="0"/>
      <w:marBottom w:val="0"/>
      <w:divBdr>
        <w:top w:val="none" w:sz="0" w:space="0" w:color="auto"/>
        <w:left w:val="none" w:sz="0" w:space="0" w:color="auto"/>
        <w:bottom w:val="none" w:sz="0" w:space="0" w:color="auto"/>
        <w:right w:val="none" w:sz="0" w:space="0" w:color="auto"/>
      </w:divBdr>
    </w:div>
    <w:div w:id="172270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grubb@dundee.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alston@bpp.com"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lgleave@liverpoo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prescotd@liverpool.ac.uk" TargetMode="External"/><Relationship Id="rId4" Type="http://schemas.openxmlformats.org/officeDocument/2006/relationships/customXml" Target="../customXml/item4.xml"/><Relationship Id="rId9" Type="http://schemas.openxmlformats.org/officeDocument/2006/relationships/hyperlink" Target="mailto:r.randles@chester.ac.uk" TargetMode="External"/><Relationship Id="rId14" Type="http://schemas.openxmlformats.org/officeDocument/2006/relationships/hyperlink" Target="https://www.sec-ed.co.uk/news/moocs-aim-to-help-students-prepare-for-university-level-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bc14d5-1709-4852-a2f7-082513e0f7de" xsi:nil="true"/>
    <lcf76f155ced4ddcb4097134ff3c332f xmlns="8bfd525e-0868-4034-9c57-8d4af2b31e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800D9152DF1D47AFB63EE3305B96B0" ma:contentTypeVersion="12" ma:contentTypeDescription="Create a new document." ma:contentTypeScope="" ma:versionID="4293a0ba30a33b3e82d73436f30503ed">
  <xsd:schema xmlns:xsd="http://www.w3.org/2001/XMLSchema" xmlns:xs="http://www.w3.org/2001/XMLSchema" xmlns:p="http://schemas.microsoft.com/office/2006/metadata/properties" xmlns:ns2="8bfd525e-0868-4034-9c57-8d4af2b31eb2" xmlns:ns3="b3bc14d5-1709-4852-a2f7-082513e0f7de" targetNamespace="http://schemas.microsoft.com/office/2006/metadata/properties" ma:root="true" ma:fieldsID="c171a8be3c1088ab455adde24d037c44" ns2:_="" ns3:_="">
    <xsd:import namespace="8bfd525e-0868-4034-9c57-8d4af2b31eb2"/>
    <xsd:import namespace="b3bc14d5-1709-4852-a2f7-082513e0f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525e-0868-4034-9c57-8d4af2b31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058bc3-1274-41b9-b559-5b3ba400d9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c14d5-1709-4852-a2f7-082513e0f7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dd2a1b-c8c7-4cb2-8a7e-ab15f69f96df}" ma:internalName="TaxCatchAll" ma:showField="CatchAllData" ma:web="b3bc14d5-1709-4852-a2f7-082513e0f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90870-3523-4C90-AC12-2CEBF8788BCA}">
  <ds:schemaRefs>
    <ds:schemaRef ds:uri="http://schemas.microsoft.com/sharepoint/v3/contenttype/forms"/>
  </ds:schemaRefs>
</ds:datastoreItem>
</file>

<file path=customXml/itemProps2.xml><?xml version="1.0" encoding="utf-8"?>
<ds:datastoreItem xmlns:ds="http://schemas.openxmlformats.org/officeDocument/2006/customXml" ds:itemID="{B97BB47E-720C-4BC4-B330-D73647F51357}">
  <ds:schemaRefs>
    <ds:schemaRef ds:uri="http://schemas.microsoft.com/office/2006/metadata/properties"/>
    <ds:schemaRef ds:uri="http://schemas.microsoft.com/office/infopath/2007/PartnerControls"/>
    <ds:schemaRef ds:uri="b3bc14d5-1709-4852-a2f7-082513e0f7de"/>
    <ds:schemaRef ds:uri="8bfd525e-0868-4034-9c57-8d4af2b31eb2"/>
  </ds:schemaRefs>
</ds:datastoreItem>
</file>

<file path=customXml/itemProps3.xml><?xml version="1.0" encoding="utf-8"?>
<ds:datastoreItem xmlns:ds="http://schemas.openxmlformats.org/officeDocument/2006/customXml" ds:itemID="{9919CB66-5D85-4CA6-8292-DABA8969AB36}">
  <ds:schemaRefs>
    <ds:schemaRef ds:uri="http://schemas.openxmlformats.org/officeDocument/2006/bibliography"/>
  </ds:schemaRefs>
</ds:datastoreItem>
</file>

<file path=customXml/itemProps4.xml><?xml version="1.0" encoding="utf-8"?>
<ds:datastoreItem xmlns:ds="http://schemas.openxmlformats.org/officeDocument/2006/customXml" ds:itemID="{105E3FDE-2FBD-4372-A49E-749E30C27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525e-0868-4034-9c57-8d4af2b31eb2"/>
    <ds:schemaRef ds:uri="b3bc14d5-1709-4852-a2f7-082513e0f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9113</Words>
  <Characters>51949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Randles</dc:creator>
  <cp:keywords/>
  <dc:description/>
  <cp:lastModifiedBy>McGowan, David [dmcgowan]</cp:lastModifiedBy>
  <cp:revision>2</cp:revision>
  <dcterms:created xsi:type="dcterms:W3CDTF">2023-04-24T08:01:00Z</dcterms:created>
  <dcterms:modified xsi:type="dcterms:W3CDTF">2023-04-24T08:01:00Z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0x01010042800D9152DF1D47AFB63EE3305B96B0</vt:lpwstr>
  </property>
  <property fmtid="{D5CDD505-2E9C-101B-9397-08002B2CF9AE}" pid="3" name="Mendeley Document_1">
    <vt:lpwstr>True</vt:lpwstr>
  </property>
  <property fmtid="{D5CDD505-2E9C-101B-9397-08002B2CF9AE}" pid="4" name="Mendeley Unique User Id_1">
    <vt:lpwstr>a09622e6-abb2-39ff-9661-cb3af53a3786</vt:lpwstr>
  </property>
  <property fmtid="{D5CDD505-2E9C-101B-9397-08002B2CF9AE}" pid="5" name="Mendeley Citation Style_1">
    <vt:lpwstr>http://www.zotero.org/styles/vancouver</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http://csl.mendeley.com/styles/502316021/apa</vt:lpwstr>
  </property>
  <property fmtid="{D5CDD505-2E9C-101B-9397-08002B2CF9AE}" pid="13" name="Mendeley Recent Style Name 3_1">
    <vt:lpwstr>American Psychological Association 7th edition - Rebecca Randles, BSc PhD FHEA PGCert MBPsS</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http://www.zotero.org/styles/bmj</vt:lpwstr>
  </property>
  <property fmtid="{D5CDD505-2E9C-101B-9397-08002B2CF9AE}" pid="17" name="Mendeley Recent Style Name 5_1">
    <vt:lpwstr>BMJ</vt:lpwstr>
  </property>
  <property fmtid="{D5CDD505-2E9C-101B-9397-08002B2CF9AE}" pid="18" name="Mendeley Recent Style Id 6_1">
    <vt:lpwstr>http://csl.mendeley.com/styles/502316021/bmj</vt:lpwstr>
  </property>
  <property fmtid="{D5CDD505-2E9C-101B-9397-08002B2CF9AE}" pid="19" name="Mendeley Recent Style Name 6_1">
    <vt:lpwstr>BMJ - Rebecca Randles, BSc PhD FHEA PGCert MBPsS</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MediaServiceImageTags">
    <vt:lpwstr/>
  </property>
  <property fmtid="{D5CDD505-2E9C-101B-9397-08002B2CF9AE}" pid="27" name="GrammarlyDocumentId">
    <vt:lpwstr>f7ebe8ccbcbf94a064580ffe2ed3a9ef33d108cb29c19baeead70dfe3bdbcbcf</vt:lpwstr>
  </property>
</Properties>
</file>