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7C18A" w14:textId="62C30745" w:rsidR="00CC0EF6" w:rsidRPr="00135C74" w:rsidRDefault="00CC0EF6" w:rsidP="00A63AA6">
      <w:pPr>
        <w:jc w:val="both"/>
        <w:rPr>
          <w:sz w:val="28"/>
          <w:szCs w:val="28"/>
        </w:rPr>
      </w:pPr>
      <w:r w:rsidRPr="00135C74">
        <w:rPr>
          <w:sz w:val="28"/>
          <w:szCs w:val="28"/>
        </w:rPr>
        <w:t xml:space="preserve">An </w:t>
      </w:r>
      <w:r w:rsidR="00A32DF8" w:rsidRPr="00135C74">
        <w:rPr>
          <w:sz w:val="28"/>
          <w:szCs w:val="28"/>
        </w:rPr>
        <w:t>attention-based view of supply disruption risk management: Balancing biased attentional processing for improved resilience</w:t>
      </w:r>
      <w:r w:rsidR="000C5E5B" w:rsidRPr="00135C74">
        <w:rPr>
          <w:sz w:val="28"/>
          <w:szCs w:val="28"/>
        </w:rPr>
        <w:t xml:space="preserve"> in the COVID-19 context</w:t>
      </w:r>
    </w:p>
    <w:p w14:paraId="590F93C9" w14:textId="77777777" w:rsidR="006B6C30" w:rsidRPr="00135C74" w:rsidRDefault="006B6C30" w:rsidP="00A63AA6">
      <w:pPr>
        <w:jc w:val="both"/>
        <w:rPr>
          <w:b/>
        </w:rPr>
      </w:pPr>
    </w:p>
    <w:p w14:paraId="75EF6A92" w14:textId="6C65E4DE" w:rsidR="00A63AA6" w:rsidRPr="00135C74" w:rsidRDefault="00AC48F7" w:rsidP="00A63AA6">
      <w:pPr>
        <w:jc w:val="both"/>
        <w:rPr>
          <w:b/>
        </w:rPr>
      </w:pPr>
      <w:r w:rsidRPr="00135C74">
        <w:rPr>
          <w:b/>
        </w:rPr>
        <w:t>Abstract</w:t>
      </w:r>
      <w:r w:rsidR="00A32DF8" w:rsidRPr="00135C74">
        <w:rPr>
          <w:b/>
        </w:rPr>
        <w:t xml:space="preserve"> </w:t>
      </w:r>
    </w:p>
    <w:p w14:paraId="45A57956" w14:textId="77777777" w:rsidR="006B6C30" w:rsidRPr="00135C74" w:rsidRDefault="006B6C30" w:rsidP="00A63AA6">
      <w:pPr>
        <w:jc w:val="both"/>
        <w:rPr>
          <w:b/>
        </w:rPr>
      </w:pPr>
    </w:p>
    <w:p w14:paraId="6EC84994" w14:textId="7B737FAA" w:rsidR="00A32DF8" w:rsidRPr="00135C74" w:rsidRDefault="00A32DF8" w:rsidP="00A63AA6">
      <w:pPr>
        <w:jc w:val="both"/>
        <w:rPr>
          <w:b/>
        </w:rPr>
      </w:pPr>
      <w:r w:rsidRPr="00135C74">
        <w:rPr>
          <w:b/>
        </w:rPr>
        <w:t xml:space="preserve">Purpose </w:t>
      </w:r>
      <w:r w:rsidR="00705F74" w:rsidRPr="00135C74">
        <w:rPr>
          <w:b/>
        </w:rPr>
        <w:t xml:space="preserve">– </w:t>
      </w:r>
      <w:r w:rsidR="00B73FF6">
        <w:t>I</w:t>
      </w:r>
      <w:r w:rsidR="00B73FF6" w:rsidRPr="00135C74">
        <w:t>n the context of the COVID-19 pandemic</w:t>
      </w:r>
      <w:r w:rsidR="00B73FF6">
        <w:t>,</w:t>
      </w:r>
      <w:r w:rsidR="00B73FF6" w:rsidRPr="00135C74">
        <w:t xml:space="preserve"> </w:t>
      </w:r>
      <w:r w:rsidR="00B73FF6">
        <w:t>t</w:t>
      </w:r>
      <w:r w:rsidRPr="00135C74">
        <w:t>h</w:t>
      </w:r>
      <w:r w:rsidR="00B73FF6">
        <w:t>is</w:t>
      </w:r>
      <w:r w:rsidRPr="00135C74">
        <w:t xml:space="preserve"> study investigates </w:t>
      </w:r>
      <w:r w:rsidR="00E654E4" w:rsidRPr="00135C74">
        <w:t xml:space="preserve">a </w:t>
      </w:r>
      <w:r w:rsidRPr="00135C74">
        <w:t>variety of approaches to supply disruption risk management</w:t>
      </w:r>
      <w:r w:rsidR="000C5E5B" w:rsidRPr="00135C74">
        <w:t xml:space="preserve"> </w:t>
      </w:r>
      <w:r w:rsidRPr="00135C74">
        <w:t>for achieving effective responses for resilience a</w:t>
      </w:r>
      <w:r w:rsidR="00732DD8">
        <w:t xml:space="preserve">t </w:t>
      </w:r>
      <w:r w:rsidRPr="00135C74">
        <w:t>t</w:t>
      </w:r>
      <w:r w:rsidR="00732DD8">
        <w:t>he</w:t>
      </w:r>
      <w:r w:rsidRPr="00135C74">
        <w:t xml:space="preserve"> supply management subunit level (e.g.</w:t>
      </w:r>
      <w:r w:rsidR="00B73FF6">
        <w:t>,</w:t>
      </w:r>
      <w:r w:rsidRPr="00135C74">
        <w:t xml:space="preserve"> category of items). Drawing on the attention-based view of the firm, we model the attentional antecedents of supply resilience as </w:t>
      </w:r>
      <w:r w:rsidR="002A2D5B" w:rsidRPr="00135C74">
        <w:t xml:space="preserve">(1) </w:t>
      </w:r>
      <w:r w:rsidRPr="00135C74">
        <w:t xml:space="preserve">attentional perspectives and </w:t>
      </w:r>
      <w:r w:rsidR="002A2D5B" w:rsidRPr="00135C74">
        <w:t xml:space="preserve">(2) </w:t>
      </w:r>
      <w:r w:rsidRPr="00135C74">
        <w:t xml:space="preserve">attentional selection. </w:t>
      </w:r>
      <w:r w:rsidR="00325EF1" w:rsidRPr="00135C74">
        <w:t>Attentional p</w:t>
      </w:r>
      <w:r w:rsidRPr="00135C74">
        <w:t xml:space="preserve">erspectives </w:t>
      </w:r>
      <w:r w:rsidR="00325EF1" w:rsidRPr="00135C74">
        <w:t>focus</w:t>
      </w:r>
      <w:r w:rsidRPr="00135C74">
        <w:t xml:space="preserve"> on either supply risk sources or supply network recoverability, </w:t>
      </w:r>
      <w:r w:rsidR="00325EF1" w:rsidRPr="00135C74">
        <w:t xml:space="preserve">and </w:t>
      </w:r>
      <w:r w:rsidRPr="00135C74">
        <w:t>both are hypothesi</w:t>
      </w:r>
      <w:r w:rsidR="001870C5">
        <w:t>s</w:t>
      </w:r>
      <w:r w:rsidRPr="00135C74">
        <w:t xml:space="preserve">ed to have a direct positive association with supply resilience. </w:t>
      </w:r>
      <w:r w:rsidR="00325EF1" w:rsidRPr="00135C74">
        <w:t>Attentional s</w:t>
      </w:r>
      <w:r w:rsidRPr="00135C74">
        <w:t xml:space="preserve">election </w:t>
      </w:r>
      <w:r w:rsidR="00705F74" w:rsidRPr="00135C74">
        <w:t>is</w:t>
      </w:r>
      <w:r w:rsidRPr="00135C74">
        <w:t xml:space="preserve"> top</w:t>
      </w:r>
      <w:r w:rsidR="009B17FB">
        <w:t xml:space="preserve"> </w:t>
      </w:r>
      <w:r w:rsidRPr="00135C74">
        <w:t>down or bottom</w:t>
      </w:r>
      <w:r w:rsidR="009B17FB">
        <w:t xml:space="preserve"> </w:t>
      </w:r>
      <w:r w:rsidRPr="00135C74">
        <w:t xml:space="preserve">up </w:t>
      </w:r>
      <w:r w:rsidR="000D5C49">
        <w:t>when it comes to</w:t>
      </w:r>
      <w:r w:rsidR="000D5C49" w:rsidRPr="00135C74">
        <w:t xml:space="preserve"> </w:t>
      </w:r>
      <w:r w:rsidRPr="00135C74">
        <w:t>disruption detection, and these are hypothesi</w:t>
      </w:r>
      <w:r w:rsidR="001870C5">
        <w:t>s</w:t>
      </w:r>
      <w:r w:rsidRPr="00135C74">
        <w:t xml:space="preserve">ed to moderate the association between </w:t>
      </w:r>
      <w:r w:rsidR="00846C77" w:rsidRPr="00135C74">
        <w:t xml:space="preserve">disruption risk management </w:t>
      </w:r>
      <w:r w:rsidRPr="00135C74">
        <w:t>perspectives and resilience.</w:t>
      </w:r>
    </w:p>
    <w:p w14:paraId="644B04C2" w14:textId="209386B3" w:rsidR="00A32DF8" w:rsidRPr="00135C74" w:rsidRDefault="00A32DF8" w:rsidP="00A63AA6">
      <w:pPr>
        <w:jc w:val="both"/>
        <w:rPr>
          <w:b/>
        </w:rPr>
      </w:pPr>
      <w:r w:rsidRPr="00135C74">
        <w:rPr>
          <w:b/>
        </w:rPr>
        <w:t xml:space="preserve">Methodology </w:t>
      </w:r>
      <w:r w:rsidR="00705F74" w:rsidRPr="00135C74">
        <w:rPr>
          <w:b/>
        </w:rPr>
        <w:t xml:space="preserve">– </w:t>
      </w:r>
      <w:r w:rsidR="000C5E5B" w:rsidRPr="00135C74">
        <w:t>Conducted at the early phases of the COVID-19 pandemic, t</w:t>
      </w:r>
      <w:r w:rsidRPr="00135C74">
        <w:t>h</w:t>
      </w:r>
      <w:r w:rsidR="006C7521">
        <w:t>is</w:t>
      </w:r>
      <w:r w:rsidRPr="00135C74">
        <w:t xml:space="preserve"> study employs</w:t>
      </w:r>
      <w:r w:rsidRPr="00135C74">
        <w:rPr>
          <w:b/>
        </w:rPr>
        <w:t xml:space="preserve"> </w:t>
      </w:r>
      <w:r w:rsidR="006C7521" w:rsidRPr="00224311">
        <w:rPr>
          <w:bCs/>
        </w:rPr>
        <w:t>a</w:t>
      </w:r>
      <w:r w:rsidR="006C7521">
        <w:rPr>
          <w:b/>
        </w:rPr>
        <w:t xml:space="preserve"> </w:t>
      </w:r>
      <w:r w:rsidRPr="00135C74">
        <w:t xml:space="preserve">hierarchical regression analysis on a </w:t>
      </w:r>
      <w:proofErr w:type="spellStart"/>
      <w:r w:rsidRPr="00135C74">
        <w:t>multi</w:t>
      </w:r>
      <w:r w:rsidR="00077142">
        <w:t>country</w:t>
      </w:r>
      <w:proofErr w:type="spellEnd"/>
      <w:r w:rsidRPr="00135C74">
        <w:t xml:space="preserve"> survey of 190 procurement professionals</w:t>
      </w:r>
      <w:r w:rsidR="002A2D5B" w:rsidRPr="00135C74">
        <w:t>, each responding from the perspective of their own subunit area of supply responsibility</w:t>
      </w:r>
      <w:r w:rsidRPr="00135C74">
        <w:t xml:space="preserve">. </w:t>
      </w:r>
    </w:p>
    <w:p w14:paraId="6EB75F71" w14:textId="299FBE14" w:rsidR="00A32DF8" w:rsidRPr="00135C74" w:rsidRDefault="00A32DF8" w:rsidP="00A63AA6">
      <w:pPr>
        <w:jc w:val="both"/>
      </w:pPr>
      <w:r w:rsidRPr="00135C74">
        <w:rPr>
          <w:b/>
        </w:rPr>
        <w:t xml:space="preserve">Findings </w:t>
      </w:r>
      <w:r w:rsidR="00705F74" w:rsidRPr="00135C74">
        <w:rPr>
          <w:b/>
        </w:rPr>
        <w:t xml:space="preserve">– </w:t>
      </w:r>
      <w:r w:rsidR="00AB7FF0" w:rsidRPr="00135C74">
        <w:t>Both attentional disruption risk management perspectives are needed to achieve supply resilience, and n</w:t>
      </w:r>
      <w:r w:rsidRPr="00135C74">
        <w:t>either is superior in terms of achieving supply resilience. Both the efficiency of the top</w:t>
      </w:r>
      <w:r w:rsidR="006C7521">
        <w:t xml:space="preserve"> </w:t>
      </w:r>
      <w:r w:rsidRPr="00135C74">
        <w:t>down</w:t>
      </w:r>
      <w:r w:rsidR="006C7521">
        <w:t xml:space="preserve"> </w:t>
      </w:r>
      <w:r w:rsidRPr="00135C74">
        <w:t>and exposure to the unexpected with the bottom</w:t>
      </w:r>
      <w:r w:rsidR="006C7521">
        <w:t xml:space="preserve"> </w:t>
      </w:r>
      <w:r w:rsidRPr="00135C74">
        <w:t>up are needed</w:t>
      </w:r>
      <w:r w:rsidR="006C7521">
        <w:t>—</w:t>
      </w:r>
      <w:r w:rsidR="00732DD8">
        <w:t>to</w:t>
      </w:r>
      <w:r w:rsidRPr="00135C74">
        <w:t xml:space="preserve"> a balanced degree</w:t>
      </w:r>
      <w:r w:rsidR="006C7521">
        <w:t>—</w:t>
      </w:r>
      <w:r w:rsidRPr="00135C74">
        <w:t xml:space="preserve">for improved </w:t>
      </w:r>
      <w:r w:rsidR="002A2D5B" w:rsidRPr="00135C74">
        <w:t xml:space="preserve">supply </w:t>
      </w:r>
      <w:r w:rsidRPr="00135C74">
        <w:t>resilience.</w:t>
      </w:r>
    </w:p>
    <w:p w14:paraId="75E67E9A" w14:textId="283C91AF" w:rsidR="00CB526F" w:rsidRPr="00135C74" w:rsidRDefault="00CB526F">
      <w:pPr>
        <w:jc w:val="both"/>
        <w:rPr>
          <w:b/>
        </w:rPr>
      </w:pPr>
      <w:r w:rsidRPr="00135C74">
        <w:rPr>
          <w:b/>
        </w:rPr>
        <w:t>Practical implications</w:t>
      </w:r>
      <w:r w:rsidRPr="00135C74">
        <w:t xml:space="preserve"> </w:t>
      </w:r>
      <w:r w:rsidRPr="00135C74">
        <w:rPr>
          <w:b/>
        </w:rPr>
        <w:t>–</w:t>
      </w:r>
      <w:r w:rsidRPr="00135C74">
        <w:t xml:space="preserve"> The results encourage firms to purposefully develop their supply risk management practices</w:t>
      </w:r>
      <w:r w:rsidR="006B6C30" w:rsidRPr="00135C74">
        <w:t>, first,</w:t>
      </w:r>
      <w:r w:rsidRPr="00135C74">
        <w:t xml:space="preserve"> </w:t>
      </w:r>
      <w:r w:rsidR="00E54B85" w:rsidRPr="00135C74">
        <w:t>to include both perspectives and</w:t>
      </w:r>
      <w:r w:rsidR="006C7521">
        <w:t>,</w:t>
      </w:r>
      <w:r w:rsidR="00E54B85" w:rsidRPr="00135C74">
        <w:t xml:space="preserve"> </w:t>
      </w:r>
      <w:r w:rsidR="006B6C30" w:rsidRPr="00135C74">
        <w:t xml:space="preserve">second, </w:t>
      </w:r>
      <w:r w:rsidRPr="00135C74">
        <w:t>to avoid bias</w:t>
      </w:r>
      <w:r w:rsidR="00E54B85" w:rsidRPr="00135C74">
        <w:t>es in attentional selection for disruption detection</w:t>
      </w:r>
      <w:r w:rsidR="008061B1" w:rsidRPr="00135C74">
        <w:t xml:space="preserve">. Ensuring a more balanced approach may allow firms to improve </w:t>
      </w:r>
      <w:r w:rsidR="00A8762D">
        <w:t xml:space="preserve">their </w:t>
      </w:r>
      <w:r w:rsidR="008061B1" w:rsidRPr="00135C74">
        <w:t>supply resilience</w:t>
      </w:r>
      <w:r w:rsidRPr="00135C74">
        <w:t xml:space="preserve">. </w:t>
      </w:r>
    </w:p>
    <w:p w14:paraId="07960683" w14:textId="36ADA4B1" w:rsidR="00C341BC" w:rsidRPr="00135C74" w:rsidRDefault="00A32DF8" w:rsidP="00A06894">
      <w:pPr>
        <w:jc w:val="both"/>
      </w:pPr>
      <w:r w:rsidRPr="00135C74">
        <w:rPr>
          <w:b/>
        </w:rPr>
        <w:t>Originality</w:t>
      </w:r>
      <w:r w:rsidRPr="00135C74">
        <w:t xml:space="preserve"> </w:t>
      </w:r>
      <w:r w:rsidR="00705F74" w:rsidRPr="00135C74">
        <w:t xml:space="preserve">– </w:t>
      </w:r>
      <w:r w:rsidR="00565663" w:rsidRPr="00135C74">
        <w:t xml:space="preserve">The </w:t>
      </w:r>
      <w:r w:rsidR="00A63AA6" w:rsidRPr="00135C74">
        <w:t xml:space="preserve">results contribute to the understanding of the </w:t>
      </w:r>
      <w:proofErr w:type="spellStart"/>
      <w:r w:rsidR="00565663" w:rsidRPr="00135C74">
        <w:t>microfoundations</w:t>
      </w:r>
      <w:proofErr w:type="spellEnd"/>
      <w:r w:rsidR="00A63AA6" w:rsidRPr="00135C74">
        <w:t xml:space="preserve"> </w:t>
      </w:r>
      <w:r w:rsidR="00565663" w:rsidRPr="00135C74">
        <w:t xml:space="preserve">that </w:t>
      </w:r>
      <w:r w:rsidR="00A63AA6" w:rsidRPr="00135C74">
        <w:t>underpi</w:t>
      </w:r>
      <w:r w:rsidR="00565663" w:rsidRPr="00135C74">
        <w:t xml:space="preserve">n firms’ </w:t>
      </w:r>
      <w:r w:rsidR="00A63AA6" w:rsidRPr="00135C74">
        <w:t>operational capabilit</w:t>
      </w:r>
      <w:r w:rsidR="00BA684D">
        <w:t>ies</w:t>
      </w:r>
      <w:r w:rsidR="00A63AA6" w:rsidRPr="00135C74">
        <w:t xml:space="preserve"> for supply risk and disruption management</w:t>
      </w:r>
      <w:r w:rsidR="00565663" w:rsidRPr="00135C74">
        <w:t xml:space="preserve"> and</w:t>
      </w:r>
      <w:r w:rsidR="00DC6D64" w:rsidRPr="00135C74">
        <w:t xml:space="preserve"> possible attentional biases.</w:t>
      </w:r>
    </w:p>
    <w:p w14:paraId="2CFC5DB8" w14:textId="77777777" w:rsidR="00A32DF8" w:rsidRPr="00135C74" w:rsidRDefault="00A32DF8" w:rsidP="00A06894">
      <w:pPr>
        <w:jc w:val="both"/>
      </w:pPr>
    </w:p>
    <w:p w14:paraId="4BC4A980" w14:textId="486DA749" w:rsidR="00AC48F7" w:rsidRPr="00135C74" w:rsidRDefault="00AC48F7" w:rsidP="00377304">
      <w:pPr>
        <w:spacing w:line="480" w:lineRule="auto"/>
        <w:jc w:val="both"/>
      </w:pPr>
      <w:r w:rsidRPr="00135C74">
        <w:rPr>
          <w:b/>
        </w:rPr>
        <w:t>Keywords</w:t>
      </w:r>
      <w:r w:rsidR="00C341BC" w:rsidRPr="00135C74">
        <w:rPr>
          <w:b/>
        </w:rPr>
        <w:t xml:space="preserve">: </w:t>
      </w:r>
      <w:r w:rsidR="00A63AA6" w:rsidRPr="00135C74">
        <w:t>disruption, risk management, procurement, supply, attention-based view</w:t>
      </w:r>
      <w:r w:rsidR="00932643" w:rsidRPr="00135C74">
        <w:t>, COVID-19</w:t>
      </w:r>
    </w:p>
    <w:p w14:paraId="699F2AF7" w14:textId="77777777" w:rsidR="00BA35B0" w:rsidRPr="00135C74" w:rsidRDefault="00BA35B0" w:rsidP="00377304">
      <w:pPr>
        <w:spacing w:line="480" w:lineRule="auto"/>
        <w:jc w:val="both"/>
        <w:rPr>
          <w:b/>
        </w:rPr>
      </w:pPr>
    </w:p>
    <w:p w14:paraId="59DF77D2" w14:textId="5A68CA6C" w:rsidR="00AC48F7" w:rsidRPr="00135C74" w:rsidRDefault="00736458" w:rsidP="00705F74">
      <w:pPr>
        <w:pStyle w:val="ListParagraph"/>
        <w:numPr>
          <w:ilvl w:val="0"/>
          <w:numId w:val="7"/>
        </w:numPr>
        <w:spacing w:line="480" w:lineRule="auto"/>
        <w:rPr>
          <w:rFonts w:ascii="Times New Roman" w:hAnsi="Times New Roman" w:cs="Times New Roman"/>
          <w:b/>
          <w:sz w:val="24"/>
          <w:szCs w:val="24"/>
          <w:lang w:val="en-GB"/>
        </w:rPr>
      </w:pPr>
      <w:r w:rsidRPr="00135C74">
        <w:rPr>
          <w:rFonts w:ascii="Times New Roman" w:hAnsi="Times New Roman" w:cs="Times New Roman"/>
          <w:b/>
          <w:sz w:val="24"/>
          <w:szCs w:val="24"/>
          <w:lang w:val="en-GB"/>
        </w:rPr>
        <w:t>Introduction</w:t>
      </w:r>
    </w:p>
    <w:p w14:paraId="609E1D44" w14:textId="3C94ABA0" w:rsidR="0015132E" w:rsidRPr="00135C74" w:rsidRDefault="0082664A" w:rsidP="003C74E2">
      <w:pPr>
        <w:spacing w:line="480" w:lineRule="auto"/>
        <w:jc w:val="both"/>
      </w:pPr>
      <w:r w:rsidRPr="00135C74">
        <w:t xml:space="preserve">Global supply disruption </w:t>
      </w:r>
      <w:r w:rsidR="001870C5">
        <w:t>because of</w:t>
      </w:r>
      <w:r w:rsidR="00736173" w:rsidRPr="00135C74">
        <w:t xml:space="preserve"> COVID-19 </w:t>
      </w:r>
      <w:r w:rsidR="00A06894" w:rsidRPr="00135C74">
        <w:t xml:space="preserve">and its aftermath </w:t>
      </w:r>
      <w:r w:rsidRPr="00135C74">
        <w:t>has been unprecedented in</w:t>
      </w:r>
      <w:r w:rsidR="001C2ED0">
        <w:t xml:space="preserve"> its</w:t>
      </w:r>
      <w:r w:rsidRPr="00135C74">
        <w:t xml:space="preserve"> scale and severity</w:t>
      </w:r>
      <w:r w:rsidR="001A3BD8" w:rsidRPr="00135C74">
        <w:t xml:space="preserve">, and </w:t>
      </w:r>
      <w:r w:rsidR="00B6774C" w:rsidRPr="00135C74">
        <w:t xml:space="preserve">practitioners and scholars have been reminded of </w:t>
      </w:r>
      <w:r w:rsidR="001A3BD8" w:rsidRPr="00135C74">
        <w:t>the criticality of supply risk management</w:t>
      </w:r>
      <w:r w:rsidR="00B6774C" w:rsidRPr="00135C74">
        <w:t>,</w:t>
      </w:r>
      <w:r w:rsidR="001A3BD8" w:rsidRPr="00135C74">
        <w:t xml:space="preserve"> </w:t>
      </w:r>
      <w:r w:rsidR="00057B89">
        <w:t xml:space="preserve">which has </w:t>
      </w:r>
      <w:r w:rsidR="00B6774C" w:rsidRPr="00135C74">
        <w:t>led to renewed interest and appreciation</w:t>
      </w:r>
      <w:r w:rsidR="00057B89">
        <w:t xml:space="preserve"> in the subject</w:t>
      </w:r>
      <w:r w:rsidR="00B6774C" w:rsidRPr="00135C74">
        <w:t xml:space="preserve"> (</w:t>
      </w:r>
      <w:r w:rsidR="003C74E2" w:rsidRPr="00135C74">
        <w:t>e.g.</w:t>
      </w:r>
      <w:r w:rsidR="00057B89">
        <w:t>,</w:t>
      </w:r>
      <w:r w:rsidR="003C74E2" w:rsidRPr="00135C74">
        <w:t xml:space="preserve"> </w:t>
      </w:r>
      <w:r w:rsidR="00CE342C" w:rsidRPr="00135C74">
        <w:t xml:space="preserve">Butt, 2021; </w:t>
      </w:r>
      <w:r w:rsidR="003C74E2" w:rsidRPr="00135C74">
        <w:t xml:space="preserve">Chowdhury </w:t>
      </w:r>
      <w:r w:rsidR="003C74E2" w:rsidRPr="00224311">
        <w:rPr>
          <w:i/>
        </w:rPr>
        <w:t>et al.</w:t>
      </w:r>
      <w:r w:rsidR="003C74E2" w:rsidRPr="00135C74">
        <w:t xml:space="preserve">, 2021; Harland, 2021; </w:t>
      </w:r>
      <w:r w:rsidR="00CE342C" w:rsidRPr="00135C74">
        <w:t xml:space="preserve">Ivanov and Das, 2020; </w:t>
      </w:r>
      <w:r w:rsidR="003C74E2" w:rsidRPr="00135C74">
        <w:t>Sarkis 2020)</w:t>
      </w:r>
      <w:r w:rsidRPr="00135C74">
        <w:t xml:space="preserve">. </w:t>
      </w:r>
      <w:r w:rsidR="006B6C30" w:rsidRPr="00135C74">
        <w:t>A</w:t>
      </w:r>
      <w:r w:rsidR="00F75723" w:rsidRPr="00135C74">
        <w:t xml:space="preserve">necdotal </w:t>
      </w:r>
      <w:r w:rsidR="00A8483B">
        <w:t>evidence</w:t>
      </w:r>
      <w:r w:rsidR="00A8483B" w:rsidRPr="00135C74">
        <w:t xml:space="preserve"> </w:t>
      </w:r>
      <w:r w:rsidR="00736173" w:rsidRPr="00135C74">
        <w:t>suggest</w:t>
      </w:r>
      <w:r w:rsidR="00992BB3" w:rsidRPr="00135C74">
        <w:t xml:space="preserve"> that</w:t>
      </w:r>
      <w:r w:rsidR="00736173" w:rsidRPr="00135C74">
        <w:t xml:space="preserve"> </w:t>
      </w:r>
      <w:r w:rsidR="00DF0A38" w:rsidRPr="00135C74">
        <w:t>effective responses</w:t>
      </w:r>
      <w:r w:rsidR="00EC3216" w:rsidRPr="00135C74">
        <w:t xml:space="preserve"> </w:t>
      </w:r>
      <w:r w:rsidR="00732DD8">
        <w:t>t</w:t>
      </w:r>
      <w:r w:rsidR="00AD3C89" w:rsidRPr="00135C74">
        <w:t xml:space="preserve">o resilience </w:t>
      </w:r>
      <w:r w:rsidR="006B6C30" w:rsidRPr="00135C74">
        <w:t xml:space="preserve">during the pandemic </w:t>
      </w:r>
      <w:r w:rsidR="00773D95">
        <w:t xml:space="preserve">have </w:t>
      </w:r>
      <w:r w:rsidR="00AD3C89" w:rsidRPr="00135C74">
        <w:t>included</w:t>
      </w:r>
      <w:r w:rsidR="00932643" w:rsidRPr="00135C74">
        <w:t>, for example,</w:t>
      </w:r>
      <w:r w:rsidR="00AD3C89" w:rsidRPr="00135C74">
        <w:t xml:space="preserve"> </w:t>
      </w:r>
      <w:r w:rsidR="00DF0A38" w:rsidRPr="00135C74">
        <w:t>l</w:t>
      </w:r>
      <w:r w:rsidR="0068150C" w:rsidRPr="00135C74">
        <w:t>istening to signals</w:t>
      </w:r>
      <w:r w:rsidR="00A9777F" w:rsidRPr="00135C74">
        <w:t xml:space="preserve"> from suppliers</w:t>
      </w:r>
      <w:r w:rsidR="00932643" w:rsidRPr="00135C74">
        <w:t>,</w:t>
      </w:r>
      <w:r w:rsidR="0068150C" w:rsidRPr="00135C74">
        <w:t xml:space="preserve"> effective internal communication </w:t>
      </w:r>
      <w:r w:rsidR="0068150C" w:rsidRPr="00135C74">
        <w:lastRenderedPageBreak/>
        <w:t xml:space="preserve">channels and risk management tools </w:t>
      </w:r>
      <w:r w:rsidR="00DF0A38" w:rsidRPr="00135C74">
        <w:t>for visuali</w:t>
      </w:r>
      <w:r w:rsidR="001870C5">
        <w:t>s</w:t>
      </w:r>
      <w:r w:rsidR="00DF0A38" w:rsidRPr="00135C74">
        <w:t>ing</w:t>
      </w:r>
      <w:r w:rsidR="0068150C" w:rsidRPr="00135C74">
        <w:t xml:space="preserve"> the multi</w:t>
      </w:r>
      <w:r w:rsidR="00077142">
        <w:t>tier</w:t>
      </w:r>
      <w:r w:rsidR="0068150C" w:rsidRPr="00135C74">
        <w:t xml:space="preserve"> supply network and predicting specific nodes of vulnerability</w:t>
      </w:r>
      <w:r w:rsidR="00DF0A38" w:rsidRPr="00135C74">
        <w:t xml:space="preserve"> (Banker, 2020). </w:t>
      </w:r>
      <w:r w:rsidR="00234180" w:rsidRPr="00135C74">
        <w:t>The focus of th</w:t>
      </w:r>
      <w:r w:rsidR="003721CE">
        <w:t>e current</w:t>
      </w:r>
      <w:r w:rsidR="00234180" w:rsidRPr="00135C74">
        <w:t xml:space="preserve"> study is</w:t>
      </w:r>
      <w:r w:rsidR="00345AAF" w:rsidRPr="00135C74">
        <w:t xml:space="preserve"> on</w:t>
      </w:r>
      <w:r w:rsidR="00234180" w:rsidRPr="00135C74">
        <w:t xml:space="preserve"> </w:t>
      </w:r>
      <w:r w:rsidR="00345AAF" w:rsidRPr="00135C74">
        <w:t xml:space="preserve">understanding the variety of </w:t>
      </w:r>
      <w:r w:rsidR="00736173" w:rsidRPr="00135C74">
        <w:t xml:space="preserve">approaches to supply disruption risk management </w:t>
      </w:r>
      <w:r w:rsidR="008F388B" w:rsidRPr="00135C74">
        <w:t xml:space="preserve">for </w:t>
      </w:r>
      <w:r w:rsidR="00234180" w:rsidRPr="00135C74">
        <w:t>achieving effective responses</w:t>
      </w:r>
      <w:r w:rsidR="00736173" w:rsidRPr="00135C74">
        <w:t xml:space="preserve"> </w:t>
      </w:r>
      <w:r w:rsidR="00732DD8">
        <w:t>t</w:t>
      </w:r>
      <w:r w:rsidR="00736173" w:rsidRPr="00135C74">
        <w:t>o resilience</w:t>
      </w:r>
      <w:r w:rsidR="000C5E5B" w:rsidRPr="00135C74">
        <w:t>, particularly in the COVID-19 context</w:t>
      </w:r>
      <w:r w:rsidR="00345AAF" w:rsidRPr="00135C74">
        <w:t>.</w:t>
      </w:r>
    </w:p>
    <w:p w14:paraId="67998C79" w14:textId="32205A96" w:rsidR="00232C6A" w:rsidRPr="00135C74" w:rsidRDefault="0015132E" w:rsidP="00BB62D3">
      <w:pPr>
        <w:spacing w:line="480" w:lineRule="auto"/>
        <w:jc w:val="both"/>
      </w:pPr>
      <w:r w:rsidRPr="00135C74">
        <w:t>The concept of resilience</w:t>
      </w:r>
      <w:r w:rsidR="00F75723" w:rsidRPr="00135C74">
        <w:t xml:space="preserve">, </w:t>
      </w:r>
      <w:r w:rsidR="0037434F">
        <w:t>which here is defined</w:t>
      </w:r>
      <w:r w:rsidR="008F388B" w:rsidRPr="00135C74">
        <w:t xml:space="preserve"> </w:t>
      </w:r>
      <w:r w:rsidR="00F75723" w:rsidRPr="00135C74">
        <w:t xml:space="preserve">as a firm’s ability to recover </w:t>
      </w:r>
      <w:r w:rsidR="008F388B" w:rsidRPr="00135C74">
        <w:t xml:space="preserve">quickly </w:t>
      </w:r>
      <w:r w:rsidR="00F75723" w:rsidRPr="00135C74">
        <w:t>from supply chain disruptions (e.g.</w:t>
      </w:r>
      <w:r w:rsidR="00992BB3" w:rsidRPr="00135C74">
        <w:t>,</w:t>
      </w:r>
      <w:r w:rsidR="00F75723" w:rsidRPr="00135C74">
        <w:t xml:space="preserve"> Blackhurst </w:t>
      </w:r>
      <w:r w:rsidR="00F75723" w:rsidRPr="00135C74">
        <w:rPr>
          <w:i/>
        </w:rPr>
        <w:t>et al</w:t>
      </w:r>
      <w:r w:rsidR="00F75723" w:rsidRPr="00135C74">
        <w:t xml:space="preserve">., 2011), </w:t>
      </w:r>
      <w:r w:rsidR="008C4441" w:rsidRPr="00135C74">
        <w:t xml:space="preserve">is based on </w:t>
      </w:r>
      <w:r w:rsidRPr="00135C74">
        <w:t>a rich body of knowledge in the supply chain field and a mature operationali</w:t>
      </w:r>
      <w:r w:rsidR="001870C5">
        <w:t>s</w:t>
      </w:r>
      <w:r w:rsidRPr="00135C74">
        <w:t>ation</w:t>
      </w:r>
      <w:r w:rsidR="00CE342C" w:rsidRPr="00135C74">
        <w:t xml:space="preserve"> (e.g.</w:t>
      </w:r>
      <w:r w:rsidR="000042EB">
        <w:t>,</w:t>
      </w:r>
      <w:r w:rsidR="00CE342C" w:rsidRPr="00135C74">
        <w:t xml:space="preserve"> Wieland and </w:t>
      </w:r>
      <w:proofErr w:type="spellStart"/>
      <w:r w:rsidR="00CE342C" w:rsidRPr="00135C74">
        <w:t>Durach</w:t>
      </w:r>
      <w:proofErr w:type="spellEnd"/>
      <w:r w:rsidR="001169D4" w:rsidRPr="00135C74">
        <w:t>,</w:t>
      </w:r>
      <w:r w:rsidR="00CE342C" w:rsidRPr="00135C74">
        <w:t xml:space="preserve"> 2021)</w:t>
      </w:r>
      <w:r w:rsidRPr="00135C74">
        <w:t xml:space="preserve">. For example, </w:t>
      </w:r>
      <w:r w:rsidR="00834409" w:rsidRPr="00135C74">
        <w:t>flexibility and redundancy</w:t>
      </w:r>
      <w:r w:rsidR="00834409" w:rsidRPr="00135C74" w:rsidDel="00834409">
        <w:t xml:space="preserve"> </w:t>
      </w:r>
      <w:r w:rsidR="00834409" w:rsidRPr="00135C74">
        <w:t xml:space="preserve">as dimensions of </w:t>
      </w:r>
      <w:r w:rsidR="00D635EF" w:rsidRPr="00135C74">
        <w:t xml:space="preserve">supply chain </w:t>
      </w:r>
      <w:r w:rsidR="006446A0" w:rsidRPr="00135C74">
        <w:t>resilience</w:t>
      </w:r>
      <w:r w:rsidR="00D635EF" w:rsidRPr="00135C74">
        <w:t xml:space="preserve"> </w:t>
      </w:r>
      <w:r w:rsidR="00834409" w:rsidRPr="00135C74">
        <w:t xml:space="preserve">moderate </w:t>
      </w:r>
      <w:r w:rsidR="0051529D">
        <w:t xml:space="preserve">the </w:t>
      </w:r>
      <w:r w:rsidR="00834409" w:rsidRPr="00135C74">
        <w:t xml:space="preserve">relationships </w:t>
      </w:r>
      <w:r w:rsidR="00633324" w:rsidRPr="00135C74">
        <w:t xml:space="preserve">between extended supply chains and disruption occurrence </w:t>
      </w:r>
      <w:r w:rsidR="00834409" w:rsidRPr="00135C74">
        <w:t>and</w:t>
      </w:r>
      <w:r w:rsidR="00D635EF" w:rsidRPr="00135C74">
        <w:t xml:space="preserve"> between supply market risk and disruption occurrence</w:t>
      </w:r>
      <w:r w:rsidR="00834409" w:rsidRPr="00135C74">
        <w:t xml:space="preserve">, </w:t>
      </w:r>
      <w:r w:rsidR="00834409" w:rsidRPr="00224311">
        <w:t>respectively</w:t>
      </w:r>
      <w:r w:rsidR="00876531" w:rsidRPr="00224311">
        <w:t xml:space="preserve"> </w:t>
      </w:r>
      <w:r w:rsidR="00834409" w:rsidRPr="00224311">
        <w:t>(</w:t>
      </w:r>
      <w:proofErr w:type="spellStart"/>
      <w:r w:rsidR="00834409" w:rsidRPr="00224311">
        <w:t>Zsidisin</w:t>
      </w:r>
      <w:proofErr w:type="spellEnd"/>
      <w:r w:rsidR="00834409" w:rsidRPr="00224311">
        <w:t xml:space="preserve"> and Wagner,</w:t>
      </w:r>
      <w:r w:rsidR="00EE35E7" w:rsidRPr="005231C7">
        <w:t xml:space="preserve"> </w:t>
      </w:r>
      <w:r w:rsidR="00834409" w:rsidRPr="005231C7">
        <w:t>201</w:t>
      </w:r>
      <w:r w:rsidR="00737F4F" w:rsidRPr="005231C7">
        <w:t>0</w:t>
      </w:r>
      <w:r w:rsidR="00834409" w:rsidRPr="005231C7">
        <w:t>)</w:t>
      </w:r>
      <w:r w:rsidR="00D635EF" w:rsidRPr="005231C7">
        <w:t xml:space="preserve">. </w:t>
      </w:r>
      <w:r w:rsidR="004941A9" w:rsidRPr="005231C7">
        <w:t>R</w:t>
      </w:r>
      <w:r w:rsidR="00085CD4" w:rsidRPr="005231C7">
        <w:t>es</w:t>
      </w:r>
      <w:r w:rsidR="00085CD4" w:rsidRPr="00135C74">
        <w:t xml:space="preserve">earch on resilience has </w:t>
      </w:r>
      <w:r w:rsidR="004941A9" w:rsidRPr="00135C74">
        <w:t xml:space="preserve">also </w:t>
      </w:r>
      <w:r w:rsidR="00085CD4" w:rsidRPr="00135C74">
        <w:t>emphasi</w:t>
      </w:r>
      <w:r w:rsidR="00732DD8">
        <w:t>s</w:t>
      </w:r>
      <w:r w:rsidR="00085CD4" w:rsidRPr="00135C74">
        <w:t xml:space="preserve">ed the need for firms to have </w:t>
      </w:r>
      <w:r w:rsidR="00513A79" w:rsidRPr="00135C74">
        <w:t xml:space="preserve">an </w:t>
      </w:r>
      <w:r w:rsidR="00586C32" w:rsidRPr="00135C74">
        <w:t xml:space="preserve">internal </w:t>
      </w:r>
      <w:r w:rsidR="00085CD4" w:rsidRPr="00135C74">
        <w:t xml:space="preserve">risk management infrastructure </w:t>
      </w:r>
      <w:r w:rsidR="00AE4502" w:rsidRPr="00135C74">
        <w:t xml:space="preserve">or the ability to </w:t>
      </w:r>
      <w:r w:rsidR="00C40DF1" w:rsidRPr="00135C74">
        <w:t xml:space="preserve">reconfigure resources </w:t>
      </w:r>
      <w:r w:rsidR="00AE4502" w:rsidRPr="00135C74">
        <w:t>(</w:t>
      </w:r>
      <w:proofErr w:type="spellStart"/>
      <w:r w:rsidR="00AE4502" w:rsidRPr="00135C74">
        <w:t>Ambulkar</w:t>
      </w:r>
      <w:proofErr w:type="spellEnd"/>
      <w:r w:rsidR="008E3CC8" w:rsidRPr="00135C74">
        <w:t xml:space="preserve"> </w:t>
      </w:r>
      <w:r w:rsidR="008E3CC8" w:rsidRPr="00135C74">
        <w:rPr>
          <w:i/>
        </w:rPr>
        <w:t>et al</w:t>
      </w:r>
      <w:r w:rsidR="008E3CC8" w:rsidRPr="00135C74">
        <w:t xml:space="preserve">., </w:t>
      </w:r>
      <w:r w:rsidR="00AE4502" w:rsidRPr="00135C74">
        <w:t>2015)</w:t>
      </w:r>
      <w:r w:rsidR="00C40DF1" w:rsidRPr="00135C74">
        <w:t xml:space="preserve">. </w:t>
      </w:r>
      <w:r w:rsidR="00544061">
        <w:t>I</w:t>
      </w:r>
      <w:r w:rsidR="00544061" w:rsidRPr="00135C74">
        <w:t xml:space="preserve">n the context of COVID-19, </w:t>
      </w:r>
      <w:r w:rsidR="00544061">
        <w:t>the r</w:t>
      </w:r>
      <w:r w:rsidR="00544061" w:rsidRPr="00135C74">
        <w:t xml:space="preserve">ecent </w:t>
      </w:r>
      <w:r w:rsidR="001F5168" w:rsidRPr="00135C74">
        <w:t>discourse</w:t>
      </w:r>
      <w:r w:rsidR="00544061">
        <w:t xml:space="preserve"> has</w:t>
      </w:r>
      <w:r w:rsidR="001F5168" w:rsidRPr="00135C74">
        <w:t xml:space="preserve"> </w:t>
      </w:r>
      <w:r w:rsidR="00DF46BA" w:rsidRPr="00135C74">
        <w:t>emphasise</w:t>
      </w:r>
      <w:r w:rsidR="00544061">
        <w:t>d the</w:t>
      </w:r>
      <w:r w:rsidR="00117C4F" w:rsidRPr="00135C74">
        <w:t xml:space="preserve"> </w:t>
      </w:r>
      <w:r w:rsidR="00DF303E" w:rsidRPr="00135C74">
        <w:t xml:space="preserve">complexities at play at </w:t>
      </w:r>
      <w:r w:rsidR="00513A79" w:rsidRPr="00135C74">
        <w:t xml:space="preserve">the </w:t>
      </w:r>
      <w:r w:rsidR="0036553E" w:rsidRPr="00135C74">
        <w:t>micro, meso and macro level</w:t>
      </w:r>
      <w:r w:rsidR="00DF303E" w:rsidRPr="00135C74">
        <w:t>s</w:t>
      </w:r>
      <w:r w:rsidR="00541CE6" w:rsidRPr="00135C74">
        <w:t xml:space="preserve"> </w:t>
      </w:r>
      <w:r w:rsidR="00345AAF" w:rsidRPr="00135C74">
        <w:t xml:space="preserve">in managing supply disruption risk </w:t>
      </w:r>
      <w:r w:rsidR="00541CE6" w:rsidRPr="00135C74">
        <w:t>(</w:t>
      </w:r>
      <w:proofErr w:type="spellStart"/>
      <w:r w:rsidR="00541CE6" w:rsidRPr="00135C74">
        <w:t>Azadegan</w:t>
      </w:r>
      <w:proofErr w:type="spellEnd"/>
      <w:r w:rsidR="00541CE6" w:rsidRPr="00135C74">
        <w:t xml:space="preserve"> and Dooley, 2021)</w:t>
      </w:r>
      <w:r w:rsidR="0036553E" w:rsidRPr="00135C74">
        <w:t>.</w:t>
      </w:r>
      <w:r w:rsidR="00BB62D3" w:rsidRPr="00135C74">
        <w:t xml:space="preserve"> </w:t>
      </w:r>
      <w:r w:rsidR="00F75723" w:rsidRPr="00135C74">
        <w:t xml:space="preserve">In this vein </w:t>
      </w:r>
      <w:r w:rsidR="008002C6" w:rsidRPr="00135C74">
        <w:t xml:space="preserve">and </w:t>
      </w:r>
      <w:r w:rsidR="00F75723" w:rsidRPr="00135C74">
        <w:t>i</w:t>
      </w:r>
      <w:r w:rsidR="00F46C5B" w:rsidRPr="00135C74">
        <w:t>nspired by</w:t>
      </w:r>
      <w:r w:rsidR="00171220" w:rsidRPr="00135C74">
        <w:t xml:space="preserve"> </w:t>
      </w:r>
      <w:r w:rsidR="008002C6" w:rsidRPr="00135C74">
        <w:t xml:space="preserve">recent </w:t>
      </w:r>
      <w:r w:rsidR="002C5601" w:rsidRPr="00135C74">
        <w:t xml:space="preserve">anecdotal </w:t>
      </w:r>
      <w:r w:rsidR="00117C4F" w:rsidRPr="00135C74">
        <w:t>accounts</w:t>
      </w:r>
      <w:r w:rsidR="004F2D86" w:rsidRPr="00135C74">
        <w:t xml:space="preserve">, </w:t>
      </w:r>
      <w:r w:rsidR="00513A79" w:rsidRPr="00135C74">
        <w:t>th</w:t>
      </w:r>
      <w:r w:rsidR="00763E8B">
        <w:t>e current</w:t>
      </w:r>
      <w:r w:rsidR="00513A79" w:rsidRPr="00135C74">
        <w:t xml:space="preserve"> </w:t>
      </w:r>
      <w:r w:rsidR="00BB62D3" w:rsidRPr="00135C74">
        <w:t xml:space="preserve">study </w:t>
      </w:r>
      <w:r w:rsidR="004F2D86" w:rsidRPr="00135C74">
        <w:t>consider</w:t>
      </w:r>
      <w:r w:rsidR="00BB62D3" w:rsidRPr="00135C74">
        <w:t>s</w:t>
      </w:r>
      <w:r w:rsidR="004F2D86" w:rsidRPr="00135C74">
        <w:t xml:space="preserve"> </w:t>
      </w:r>
      <w:r w:rsidR="00C40DF1" w:rsidRPr="00135C74">
        <w:t xml:space="preserve">the antecedents of resilience </w:t>
      </w:r>
      <w:r w:rsidR="00234180" w:rsidRPr="00135C74">
        <w:t xml:space="preserve">under supply disruptions at the </w:t>
      </w:r>
      <w:r w:rsidR="00345AAF" w:rsidRPr="00135C74">
        <w:t>supply management subunit level (e.g.</w:t>
      </w:r>
      <w:r w:rsidR="00732DD8">
        <w:t>,</w:t>
      </w:r>
      <w:r w:rsidR="00345AAF" w:rsidRPr="00135C74">
        <w:t xml:space="preserve"> category of items as an area of supply management responsibility). The level of analysis reflects the </w:t>
      </w:r>
      <w:r w:rsidR="00E661D0" w:rsidRPr="00135C74">
        <w:t xml:space="preserve">contingent nature of </w:t>
      </w:r>
      <w:r w:rsidR="008002C6" w:rsidRPr="00135C74">
        <w:t xml:space="preserve">supply management </w:t>
      </w:r>
      <w:r w:rsidR="008C4441" w:rsidRPr="00135C74">
        <w:t xml:space="preserve">practices </w:t>
      </w:r>
      <w:r w:rsidR="008002C6" w:rsidRPr="00135C74">
        <w:t>that</w:t>
      </w:r>
      <w:r w:rsidR="00345AAF" w:rsidRPr="00135C74">
        <w:t xml:space="preserve"> depend</w:t>
      </w:r>
      <w:r w:rsidR="008002C6" w:rsidRPr="00135C74">
        <w:t xml:space="preserve"> </w:t>
      </w:r>
      <w:r w:rsidR="00345AAF" w:rsidRPr="00135C74">
        <w:t xml:space="preserve">on the nature of </w:t>
      </w:r>
      <w:r w:rsidR="008C4441" w:rsidRPr="00135C74">
        <w:t xml:space="preserve">the </w:t>
      </w:r>
      <w:r w:rsidR="00345AAF" w:rsidRPr="00135C74">
        <w:t>synergy-generating groups or categories of items</w:t>
      </w:r>
      <w:r w:rsidR="008C4441" w:rsidRPr="00135C74">
        <w:t xml:space="preserve"> and the preferences and capacity of the manager</w:t>
      </w:r>
      <w:r w:rsidR="00345AAF" w:rsidRPr="00135C74">
        <w:t xml:space="preserve">. </w:t>
      </w:r>
      <w:r w:rsidR="004F2D86" w:rsidRPr="00135C74">
        <w:t xml:space="preserve">We suggest that </w:t>
      </w:r>
      <w:r w:rsidR="00B85A3E" w:rsidRPr="00135C74">
        <w:t xml:space="preserve">a </w:t>
      </w:r>
      <w:r w:rsidR="00C40DF1" w:rsidRPr="00135C74">
        <w:t xml:space="preserve">more nuanced understanding </w:t>
      </w:r>
      <w:r w:rsidR="00171220" w:rsidRPr="00135C74">
        <w:t xml:space="preserve">is needed regarding </w:t>
      </w:r>
      <w:r w:rsidR="00B85A3E" w:rsidRPr="00135C74">
        <w:t>how</w:t>
      </w:r>
      <w:r w:rsidR="00C40DF1" w:rsidRPr="00135C74">
        <w:t xml:space="preserve"> </w:t>
      </w:r>
      <w:r w:rsidR="00171220" w:rsidRPr="00135C74">
        <w:t xml:space="preserve">managers approach the task of managing and mitigating </w:t>
      </w:r>
      <w:r w:rsidR="00C40DF1" w:rsidRPr="00135C74">
        <w:t xml:space="preserve">supply </w:t>
      </w:r>
      <w:r w:rsidR="00404CC7" w:rsidRPr="00135C74">
        <w:t xml:space="preserve">disruption </w:t>
      </w:r>
      <w:r w:rsidR="00C40DF1" w:rsidRPr="00135C74">
        <w:t>risk</w:t>
      </w:r>
      <w:r w:rsidR="003B5D62" w:rsidRPr="00135C74">
        <w:t xml:space="preserve"> within their areas of </w:t>
      </w:r>
      <w:r w:rsidR="008A7D93" w:rsidRPr="00135C74">
        <w:t>supply</w:t>
      </w:r>
      <w:r w:rsidR="003B5D62" w:rsidRPr="00135C74">
        <w:t xml:space="preserve"> responsibility</w:t>
      </w:r>
      <w:r w:rsidR="008C4441" w:rsidRPr="00135C74">
        <w:t xml:space="preserve"> for improved resilience</w:t>
      </w:r>
      <w:r w:rsidR="00B85A3E" w:rsidRPr="00135C74">
        <w:t>.</w:t>
      </w:r>
    </w:p>
    <w:p w14:paraId="1F9829DD" w14:textId="15320B3E" w:rsidR="005775E1" w:rsidRPr="00135C74" w:rsidRDefault="0053568D" w:rsidP="00172BB6">
      <w:pPr>
        <w:spacing w:line="480" w:lineRule="auto"/>
        <w:jc w:val="both"/>
      </w:pPr>
      <w:r w:rsidRPr="00135C74">
        <w:t>For example, t</w:t>
      </w:r>
      <w:r w:rsidR="0026725E" w:rsidRPr="00135C74">
        <w:t>he</w:t>
      </w:r>
      <w:r w:rsidR="001C03F6" w:rsidRPr="00135C74">
        <w:t xml:space="preserve"> debilitating effect of the COVID-19 pandemic on supply </w:t>
      </w:r>
      <w:r w:rsidR="00404CC7" w:rsidRPr="00135C74">
        <w:t>networks</w:t>
      </w:r>
      <w:r w:rsidR="001C03F6" w:rsidRPr="00135C74">
        <w:t xml:space="preserve"> </w:t>
      </w:r>
      <w:r w:rsidR="0026725E" w:rsidRPr="00135C74">
        <w:t>has led to</w:t>
      </w:r>
      <w:r w:rsidR="001C03F6" w:rsidRPr="00135C74">
        <w:t xml:space="preserve"> calls for increased levels of supply </w:t>
      </w:r>
      <w:r w:rsidR="00404CC7" w:rsidRPr="00135C74">
        <w:t xml:space="preserve">network </w:t>
      </w:r>
      <w:r w:rsidR="001C03F6" w:rsidRPr="00135C74">
        <w:t>monitoring and mapping (Linton and Vakil</w:t>
      </w:r>
      <w:r w:rsidR="00FC2B9A" w:rsidRPr="00135C74">
        <w:t>,</w:t>
      </w:r>
      <w:r w:rsidR="001C03F6" w:rsidRPr="00135C74">
        <w:t xml:space="preserve"> 2020; Choi </w:t>
      </w:r>
      <w:r w:rsidR="001C03F6" w:rsidRPr="00135C74">
        <w:rPr>
          <w:i/>
        </w:rPr>
        <w:t>et al</w:t>
      </w:r>
      <w:r w:rsidR="001C03F6" w:rsidRPr="00135C74">
        <w:t>.</w:t>
      </w:r>
      <w:r w:rsidR="00FC2B9A" w:rsidRPr="00135C74">
        <w:t>,</w:t>
      </w:r>
      <w:r w:rsidR="001C03F6" w:rsidRPr="00135C74">
        <w:t xml:space="preserve"> 2020)</w:t>
      </w:r>
      <w:r w:rsidR="005B59A2" w:rsidRPr="00135C74">
        <w:t xml:space="preserve">. </w:t>
      </w:r>
      <w:r w:rsidR="00513A79" w:rsidRPr="00135C74">
        <w:t>However</w:t>
      </w:r>
      <w:r w:rsidR="0026725E" w:rsidRPr="00135C74">
        <w:t>, t</w:t>
      </w:r>
      <w:r w:rsidR="005B59A2" w:rsidRPr="00135C74">
        <w:t xml:space="preserve">hese </w:t>
      </w:r>
      <w:r w:rsidR="001C03F6" w:rsidRPr="00135C74">
        <w:t>resource</w:t>
      </w:r>
      <w:r w:rsidR="00513A79" w:rsidRPr="00135C74">
        <w:t>-</w:t>
      </w:r>
      <w:r w:rsidR="001C03F6" w:rsidRPr="00135C74">
        <w:t xml:space="preserve">intensive practices </w:t>
      </w:r>
      <w:r w:rsidR="00513A79" w:rsidRPr="00135C74">
        <w:t xml:space="preserve">do not </w:t>
      </w:r>
      <w:r w:rsidR="001C03F6" w:rsidRPr="00135C74">
        <w:t xml:space="preserve">appear to be part of the </w:t>
      </w:r>
      <w:r w:rsidR="001C03F6" w:rsidRPr="00135C74">
        <w:lastRenderedPageBreak/>
        <w:t xml:space="preserve">standard risk management </w:t>
      </w:r>
      <w:r w:rsidR="00646F74">
        <w:t>processes</w:t>
      </w:r>
      <w:r w:rsidR="001C03F6" w:rsidRPr="00135C74">
        <w:t xml:space="preserve"> of many </w:t>
      </w:r>
      <w:r w:rsidR="00345AAF" w:rsidRPr="00135C74">
        <w:t>managers or firms</w:t>
      </w:r>
      <w:r w:rsidR="00693DA0" w:rsidRPr="00135C74">
        <w:t xml:space="preserve">. </w:t>
      </w:r>
      <w:r w:rsidR="00D30AA8">
        <w:t>The c</w:t>
      </w:r>
      <w:r w:rsidR="0026725E" w:rsidRPr="00135C74">
        <w:t xml:space="preserve">ost </w:t>
      </w:r>
      <w:r w:rsidR="00E661D0" w:rsidRPr="00135C74">
        <w:t xml:space="preserve">may prove to be </w:t>
      </w:r>
      <w:r w:rsidR="0026725E" w:rsidRPr="00135C74">
        <w:t>a major inhibitor</w:t>
      </w:r>
      <w:r w:rsidR="00BF67DE" w:rsidRPr="00135C74">
        <w:t xml:space="preserve">, </w:t>
      </w:r>
      <w:r w:rsidR="00D30AA8">
        <w:t xml:space="preserve">even </w:t>
      </w:r>
      <w:r w:rsidR="00BF67DE" w:rsidRPr="00135C74">
        <w:t xml:space="preserve">though novel digital </w:t>
      </w:r>
      <w:r w:rsidR="00B53C71" w:rsidRPr="00135C74">
        <w:t>applications</w:t>
      </w:r>
      <w:r w:rsidR="00BF67DE" w:rsidRPr="00135C74">
        <w:t xml:space="preserve"> from solution providers such as </w:t>
      </w:r>
      <w:proofErr w:type="spellStart"/>
      <w:r w:rsidR="00BF67DE" w:rsidRPr="00135C74">
        <w:t>Resilinc</w:t>
      </w:r>
      <w:proofErr w:type="spellEnd"/>
      <w:r w:rsidR="0094082E">
        <w:t>®</w:t>
      </w:r>
      <w:r w:rsidR="00BF67DE" w:rsidRPr="00135C74">
        <w:t xml:space="preserve"> and </w:t>
      </w:r>
      <w:proofErr w:type="spellStart"/>
      <w:r w:rsidR="00BF67DE" w:rsidRPr="00135C74">
        <w:t>riskmethods</w:t>
      </w:r>
      <w:proofErr w:type="spellEnd"/>
      <w:r w:rsidR="0094082E">
        <w:t>®</w:t>
      </w:r>
      <w:r w:rsidR="00BF67DE" w:rsidRPr="00135C74">
        <w:t xml:space="preserve"> may </w:t>
      </w:r>
      <w:r w:rsidR="00693DA0" w:rsidRPr="00135C74">
        <w:t xml:space="preserve">help </w:t>
      </w:r>
      <w:r w:rsidR="00BF67DE" w:rsidRPr="00224311">
        <w:t>remedy the problem</w:t>
      </w:r>
      <w:r w:rsidR="0094082E">
        <w:t xml:space="preserve"> (</w:t>
      </w:r>
      <w:hyperlink r:id="rId8" w:history="1">
        <w:r w:rsidR="0094082E" w:rsidRPr="00D76DF6">
          <w:rPr>
            <w:rStyle w:val="Hyperlink"/>
          </w:rPr>
          <w:t>www.resilinc.com</w:t>
        </w:r>
      </w:hyperlink>
      <w:r w:rsidR="0094082E">
        <w:t>; www.riskmethods.net)</w:t>
      </w:r>
      <w:r w:rsidR="00E661D0" w:rsidRPr="00224311">
        <w:t>.</w:t>
      </w:r>
      <w:r w:rsidR="001C03F6" w:rsidRPr="00224311">
        <w:t xml:space="preserve"> </w:t>
      </w:r>
      <w:r w:rsidR="005775E1" w:rsidRPr="00224311">
        <w:t>In the context of low-probability and high-impact disruptions</w:t>
      </w:r>
      <w:r w:rsidR="00BA7EBB" w:rsidRPr="005231C7">
        <w:t xml:space="preserve"> like a pandemic,</w:t>
      </w:r>
      <w:r w:rsidR="005775E1" w:rsidRPr="005231C7">
        <w:t xml:space="preserve"> </w:t>
      </w:r>
      <w:proofErr w:type="spellStart"/>
      <w:r w:rsidR="001C03F6" w:rsidRPr="005231C7">
        <w:t>Simchi</w:t>
      </w:r>
      <w:proofErr w:type="spellEnd"/>
      <w:r w:rsidR="001C03F6" w:rsidRPr="005231C7">
        <w:t xml:space="preserve">-Levi </w:t>
      </w:r>
      <w:r w:rsidR="001C03F6" w:rsidRPr="005231C7">
        <w:rPr>
          <w:i/>
        </w:rPr>
        <w:t>et al.</w:t>
      </w:r>
      <w:r w:rsidR="001C03F6" w:rsidRPr="005231C7">
        <w:t xml:space="preserve"> (2014) contrast </w:t>
      </w:r>
      <w:r w:rsidR="00F96149" w:rsidRPr="005231C7">
        <w:t xml:space="preserve">the </w:t>
      </w:r>
      <w:r w:rsidR="00CD0917" w:rsidRPr="005231C7">
        <w:t xml:space="preserve">traditional risk management approaches that rely </w:t>
      </w:r>
      <w:r w:rsidR="005775E1" w:rsidRPr="005231C7">
        <w:t xml:space="preserve">on </w:t>
      </w:r>
      <w:r w:rsidR="007973E1" w:rsidRPr="005231C7">
        <w:t xml:space="preserve">paying attention to </w:t>
      </w:r>
      <w:r w:rsidR="00F96149" w:rsidRPr="005231C7">
        <w:t xml:space="preserve">the </w:t>
      </w:r>
      <w:r w:rsidR="005775E1" w:rsidRPr="005231C7">
        <w:t>probabilities</w:t>
      </w:r>
      <w:r w:rsidR="005775E1" w:rsidRPr="00135C74">
        <w:t xml:space="preserve"> </w:t>
      </w:r>
      <w:r w:rsidR="00CD0917" w:rsidRPr="00135C74">
        <w:t>and</w:t>
      </w:r>
      <w:r w:rsidR="005775E1" w:rsidRPr="00135C74">
        <w:t xml:space="preserve"> impact</w:t>
      </w:r>
      <w:r w:rsidR="00172BB6" w:rsidRPr="00135C74">
        <w:t>s</w:t>
      </w:r>
      <w:r w:rsidR="005775E1" w:rsidRPr="00135C74">
        <w:t xml:space="preserve"> </w:t>
      </w:r>
      <w:r w:rsidR="00CD0917" w:rsidRPr="00135C74">
        <w:t>of all</w:t>
      </w:r>
      <w:r w:rsidR="005775E1" w:rsidRPr="00135C74">
        <w:t xml:space="preserve"> potential </w:t>
      </w:r>
      <w:r w:rsidR="007973E1" w:rsidRPr="00135C74">
        <w:t xml:space="preserve">disruption </w:t>
      </w:r>
      <w:r w:rsidR="005775E1" w:rsidRPr="00135C74">
        <w:t>event</w:t>
      </w:r>
      <w:r w:rsidR="00CD0917" w:rsidRPr="00135C74">
        <w:t>s wi</w:t>
      </w:r>
      <w:r w:rsidR="00E661D0" w:rsidRPr="00135C74">
        <w:t>th resource</w:t>
      </w:r>
      <w:r w:rsidR="001870C5">
        <w:t>-</w:t>
      </w:r>
      <w:r w:rsidR="00E661D0" w:rsidRPr="00135C74">
        <w:t xml:space="preserve">intensive approaches involving </w:t>
      </w:r>
      <w:r w:rsidR="005775E1" w:rsidRPr="00135C74">
        <w:t xml:space="preserve">supply network mapping and </w:t>
      </w:r>
      <w:r w:rsidR="00F96149">
        <w:t xml:space="preserve">an </w:t>
      </w:r>
      <w:r w:rsidR="005775E1" w:rsidRPr="00135C74">
        <w:t>analysis of</w:t>
      </w:r>
      <w:r w:rsidR="00732DD8">
        <w:t xml:space="preserve"> the</w:t>
      </w:r>
      <w:r w:rsidR="005775E1" w:rsidRPr="00135C74">
        <w:t xml:space="preserve"> time</w:t>
      </w:r>
      <w:r w:rsidR="00F96149">
        <w:t xml:space="preserve"> </w:t>
      </w:r>
      <w:r w:rsidR="005775E1" w:rsidRPr="00135C74">
        <w:t>to</w:t>
      </w:r>
      <w:r w:rsidR="00F96149">
        <w:t xml:space="preserve"> </w:t>
      </w:r>
      <w:r w:rsidR="005775E1" w:rsidRPr="00135C74">
        <w:t>recovery of each node.</w:t>
      </w:r>
      <w:r w:rsidR="005B59A2" w:rsidRPr="00135C74">
        <w:t xml:space="preserve"> </w:t>
      </w:r>
      <w:r w:rsidR="00CD0917" w:rsidRPr="00135C74">
        <w:t>The</w:t>
      </w:r>
      <w:r w:rsidR="00513A79" w:rsidRPr="00135C74">
        <w:t>y</w:t>
      </w:r>
      <w:r w:rsidR="00CD0917" w:rsidRPr="00135C74">
        <w:t xml:space="preserve"> </w:t>
      </w:r>
      <w:r w:rsidR="00513A79" w:rsidRPr="00135C74">
        <w:t>suggest</w:t>
      </w:r>
      <w:r w:rsidR="00CD0917" w:rsidRPr="00135C74">
        <w:t xml:space="preserve"> that </w:t>
      </w:r>
      <w:r w:rsidR="00693DA0" w:rsidRPr="00135C74">
        <w:t>the</w:t>
      </w:r>
      <w:r w:rsidR="00092BDF" w:rsidRPr="00135C74">
        <w:t xml:space="preserve"> </w:t>
      </w:r>
      <w:r w:rsidR="00466418" w:rsidRPr="00135C74">
        <w:t xml:space="preserve">focus on </w:t>
      </w:r>
      <w:r w:rsidR="00C02C54" w:rsidRPr="00135C74">
        <w:t>recoverability</w:t>
      </w:r>
      <w:r w:rsidR="00172BB6" w:rsidRPr="00135C74">
        <w:t xml:space="preserve"> in the latter</w:t>
      </w:r>
      <w:r w:rsidR="00F75723" w:rsidRPr="00135C74">
        <w:t xml:space="preserve"> approach</w:t>
      </w:r>
      <w:r w:rsidR="00C02C54" w:rsidRPr="00135C74">
        <w:t xml:space="preserve"> requires managers to pay attention to external and internal responses, </w:t>
      </w:r>
      <w:r w:rsidR="00F75723" w:rsidRPr="00135C74">
        <w:t xml:space="preserve">making </w:t>
      </w:r>
      <w:r w:rsidR="00E661D0" w:rsidRPr="00135C74">
        <w:t xml:space="preserve">supply management </w:t>
      </w:r>
      <w:r w:rsidR="00C02C54" w:rsidRPr="00135C74">
        <w:t>independent of the triggering events</w:t>
      </w:r>
      <w:r w:rsidR="00F75723" w:rsidRPr="00135C74">
        <w:t xml:space="preserve"> </w:t>
      </w:r>
      <w:r w:rsidR="00AC3073" w:rsidRPr="00135C74">
        <w:t xml:space="preserve">and the need to pay </w:t>
      </w:r>
      <w:r w:rsidR="00F75723" w:rsidRPr="00135C74">
        <w:t>attention to risk sources</w:t>
      </w:r>
      <w:r w:rsidR="00AC3073" w:rsidRPr="00135C74">
        <w:t>, as</w:t>
      </w:r>
      <w:r w:rsidR="00F75723" w:rsidRPr="00135C74">
        <w:t xml:space="preserve"> in the former</w:t>
      </w:r>
      <w:r w:rsidR="00E661D0" w:rsidRPr="00135C74">
        <w:t xml:space="preserve"> approach</w:t>
      </w:r>
      <w:r w:rsidR="00C02C54" w:rsidRPr="00135C74">
        <w:t>.</w:t>
      </w:r>
      <w:r w:rsidR="00172BB6" w:rsidRPr="00135C74">
        <w:t xml:space="preserve"> </w:t>
      </w:r>
      <w:r w:rsidR="00EB2C55" w:rsidRPr="00135C74">
        <w:t>Leading firms, such as Ford</w:t>
      </w:r>
      <w:r w:rsidR="00B47764" w:rsidRPr="00135C74">
        <w:t xml:space="preserve"> Motor Company</w:t>
      </w:r>
      <w:r w:rsidR="00EB2C55" w:rsidRPr="00135C74">
        <w:t>, have augmented the</w:t>
      </w:r>
      <w:r w:rsidR="008161A9">
        <w:t>ir</w:t>
      </w:r>
      <w:r w:rsidR="00EB2C55" w:rsidRPr="00135C74">
        <w:t xml:space="preserve"> traditional risk analysis approach with </w:t>
      </w:r>
      <w:r w:rsidR="004941A9" w:rsidRPr="00135C74">
        <w:t xml:space="preserve">such </w:t>
      </w:r>
      <w:r w:rsidR="00EB2C55" w:rsidRPr="00135C74">
        <w:t>focus on network recoverability, with apparent success (</w:t>
      </w:r>
      <w:proofErr w:type="spellStart"/>
      <w:r w:rsidR="00EB2C55" w:rsidRPr="00135C74">
        <w:t>Simchi</w:t>
      </w:r>
      <w:proofErr w:type="spellEnd"/>
      <w:r w:rsidR="00EB2C55" w:rsidRPr="00135C74">
        <w:t xml:space="preserve">-Levi </w:t>
      </w:r>
      <w:r w:rsidR="00EB2C55" w:rsidRPr="005231C7">
        <w:rPr>
          <w:i/>
        </w:rPr>
        <w:t>et al.</w:t>
      </w:r>
      <w:r w:rsidR="00EB2C55" w:rsidRPr="00135C74">
        <w:t>, 2015).</w:t>
      </w:r>
      <w:r w:rsidR="00172BB6" w:rsidRPr="00135C74">
        <w:t xml:space="preserve"> </w:t>
      </w:r>
    </w:p>
    <w:p w14:paraId="32E1AC69" w14:textId="1705547D" w:rsidR="00232C6A" w:rsidRPr="00135C74" w:rsidRDefault="00E46047" w:rsidP="000B2B60">
      <w:pPr>
        <w:spacing w:line="480" w:lineRule="auto"/>
        <w:jc w:val="both"/>
      </w:pPr>
      <w:r w:rsidRPr="00135C74">
        <w:t>A</w:t>
      </w:r>
      <w:r w:rsidR="005775E1" w:rsidRPr="00135C74">
        <w:t xml:space="preserve"> more nuanced understanding of the antecedents of resilience under supply disruption</w:t>
      </w:r>
      <w:r w:rsidR="002C5601" w:rsidRPr="00135C74">
        <w:t xml:space="preserve"> </w:t>
      </w:r>
      <w:r w:rsidR="00A5235C" w:rsidRPr="00135C74">
        <w:t>requires</w:t>
      </w:r>
      <w:r w:rsidR="00732DD8">
        <w:t xml:space="preserve"> that</w:t>
      </w:r>
      <w:r w:rsidR="005A60DA" w:rsidRPr="00135C74">
        <w:t xml:space="preserve"> </w:t>
      </w:r>
      <w:r w:rsidRPr="00135C74">
        <w:t>managers’</w:t>
      </w:r>
      <w:r w:rsidR="00721321" w:rsidRPr="00135C74">
        <w:t xml:space="preserve"> </w:t>
      </w:r>
      <w:r w:rsidR="005A60DA" w:rsidRPr="00135C74">
        <w:t>different</w:t>
      </w:r>
      <w:r w:rsidR="008241DD">
        <w:t>—</w:t>
      </w:r>
      <w:r w:rsidR="007973E1" w:rsidRPr="00135C74">
        <w:t>and potentially competing</w:t>
      </w:r>
      <w:r w:rsidR="008241DD">
        <w:t>—</w:t>
      </w:r>
      <w:r w:rsidR="007973E1" w:rsidRPr="00135C74">
        <w:t xml:space="preserve">attentional </w:t>
      </w:r>
      <w:r w:rsidR="005A60DA" w:rsidRPr="00135C74">
        <w:t xml:space="preserve">approaches to </w:t>
      </w:r>
      <w:r w:rsidR="002E121E" w:rsidRPr="00135C74">
        <w:t xml:space="preserve">supply </w:t>
      </w:r>
      <w:r w:rsidR="00404CC7" w:rsidRPr="00135C74">
        <w:t xml:space="preserve">disruption </w:t>
      </w:r>
      <w:r w:rsidR="002E121E" w:rsidRPr="00135C74">
        <w:t>risk</w:t>
      </w:r>
      <w:r w:rsidR="00404CC7" w:rsidRPr="00135C74">
        <w:t xml:space="preserve"> </w:t>
      </w:r>
      <w:r w:rsidR="002E121E" w:rsidRPr="00135C74">
        <w:t>managemen</w:t>
      </w:r>
      <w:r w:rsidRPr="00135C74">
        <w:t>t be uncovered</w:t>
      </w:r>
      <w:r w:rsidR="007367C5" w:rsidRPr="00135C74">
        <w:t xml:space="preserve"> </w:t>
      </w:r>
      <w:r w:rsidR="00721321" w:rsidRPr="00135C74">
        <w:t>(</w:t>
      </w:r>
      <w:proofErr w:type="spellStart"/>
      <w:r w:rsidR="00721321" w:rsidRPr="00135C74">
        <w:t>Craighead</w:t>
      </w:r>
      <w:proofErr w:type="spellEnd"/>
      <w:r w:rsidR="00721321" w:rsidRPr="00135C74">
        <w:t xml:space="preserve"> </w:t>
      </w:r>
      <w:r w:rsidR="00721321" w:rsidRPr="00135C74">
        <w:rPr>
          <w:i/>
        </w:rPr>
        <w:t>et al</w:t>
      </w:r>
      <w:r w:rsidR="00721321" w:rsidRPr="00135C74">
        <w:t>.</w:t>
      </w:r>
      <w:r w:rsidR="00513A79" w:rsidRPr="00135C74">
        <w:t>,</w:t>
      </w:r>
      <w:r w:rsidR="00721321" w:rsidRPr="00135C74">
        <w:t xml:space="preserve"> 2007; Pettit </w:t>
      </w:r>
      <w:r w:rsidR="00721321" w:rsidRPr="00135C74">
        <w:rPr>
          <w:i/>
        </w:rPr>
        <w:t>et al.</w:t>
      </w:r>
      <w:r w:rsidR="00513A79" w:rsidRPr="00135C74">
        <w:rPr>
          <w:i/>
        </w:rPr>
        <w:t>,</w:t>
      </w:r>
      <w:r w:rsidR="00721321" w:rsidRPr="00135C74">
        <w:t xml:space="preserve"> 201</w:t>
      </w:r>
      <w:r w:rsidR="00232C6A" w:rsidRPr="00135C74">
        <w:t>0</w:t>
      </w:r>
      <w:r w:rsidR="00721321" w:rsidRPr="00135C74">
        <w:t>)</w:t>
      </w:r>
      <w:r w:rsidR="007367C5" w:rsidRPr="00135C74">
        <w:t xml:space="preserve">. </w:t>
      </w:r>
      <w:r w:rsidR="008241DD">
        <w:t>The c</w:t>
      </w:r>
      <w:r w:rsidR="007973E1" w:rsidRPr="00135C74">
        <w:t>apacity for managerial attention is, after all, limited</w:t>
      </w:r>
      <w:r w:rsidR="008241DD">
        <w:t>,</w:t>
      </w:r>
      <w:r w:rsidR="007973E1" w:rsidRPr="00135C74">
        <w:t xml:space="preserve"> and </w:t>
      </w:r>
      <w:r w:rsidR="00187E69" w:rsidRPr="00135C74">
        <w:t xml:space="preserve">difficult </w:t>
      </w:r>
      <w:r w:rsidR="007973E1" w:rsidRPr="00135C74">
        <w:t xml:space="preserve">choices regarding </w:t>
      </w:r>
      <w:r w:rsidR="008C4441" w:rsidRPr="00135C74">
        <w:t xml:space="preserve">attentional </w:t>
      </w:r>
      <w:r w:rsidR="007973E1" w:rsidRPr="00135C74">
        <w:t xml:space="preserve">focus must be made. </w:t>
      </w:r>
      <w:r w:rsidR="00EE2E65" w:rsidRPr="00135C74">
        <w:t>T</w:t>
      </w:r>
      <w:r w:rsidR="007367C5" w:rsidRPr="00135C74">
        <w:t xml:space="preserve">o </w:t>
      </w:r>
      <w:r w:rsidR="002E121E" w:rsidRPr="00135C74">
        <w:t>contribute</w:t>
      </w:r>
      <w:r w:rsidR="007367C5" w:rsidRPr="00135C74">
        <w:t xml:space="preserve"> </w:t>
      </w:r>
      <w:r w:rsidR="00916867" w:rsidRPr="00135C74">
        <w:t>to</w:t>
      </w:r>
      <w:r w:rsidR="00732DD8">
        <w:t xml:space="preserve"> the</w:t>
      </w:r>
      <w:r w:rsidR="00916867" w:rsidRPr="00135C74">
        <w:t xml:space="preserve"> </w:t>
      </w:r>
      <w:r w:rsidR="007367C5" w:rsidRPr="00135C74">
        <w:t>literature (e.g.</w:t>
      </w:r>
      <w:r w:rsidR="00992BB3" w:rsidRPr="00135C74">
        <w:t>,</w:t>
      </w:r>
      <w:r w:rsidR="007367C5" w:rsidRPr="00135C74">
        <w:t xml:space="preserve"> </w:t>
      </w:r>
      <w:proofErr w:type="spellStart"/>
      <w:r w:rsidR="007367C5" w:rsidRPr="00135C74">
        <w:t>Zsidisin</w:t>
      </w:r>
      <w:proofErr w:type="spellEnd"/>
      <w:r w:rsidR="007367C5" w:rsidRPr="00135C74">
        <w:t xml:space="preserve"> and Wagner</w:t>
      </w:r>
      <w:r w:rsidR="00EE35E7" w:rsidRPr="00135C74">
        <w:t>,</w:t>
      </w:r>
      <w:r w:rsidR="007367C5" w:rsidRPr="00135C74">
        <w:t xml:space="preserve"> 201</w:t>
      </w:r>
      <w:r w:rsidR="00737F4F">
        <w:t>0</w:t>
      </w:r>
      <w:r w:rsidR="007367C5" w:rsidRPr="00135C74">
        <w:t xml:space="preserve">; </w:t>
      </w:r>
      <w:proofErr w:type="spellStart"/>
      <w:r w:rsidR="007367C5" w:rsidRPr="00135C74">
        <w:t>Ambulkar</w:t>
      </w:r>
      <w:proofErr w:type="spellEnd"/>
      <w:r w:rsidR="007367C5" w:rsidRPr="00135C74">
        <w:t xml:space="preserve"> </w:t>
      </w:r>
      <w:r w:rsidR="007367C5" w:rsidRPr="00135C74">
        <w:rPr>
          <w:i/>
        </w:rPr>
        <w:t>et al</w:t>
      </w:r>
      <w:r w:rsidR="007367C5" w:rsidRPr="00135C74">
        <w:t>.</w:t>
      </w:r>
      <w:r w:rsidR="00EE35E7" w:rsidRPr="00135C74">
        <w:t>,</w:t>
      </w:r>
      <w:r w:rsidR="007367C5" w:rsidRPr="00135C74">
        <w:t xml:space="preserve"> 2015)</w:t>
      </w:r>
      <w:r w:rsidR="008C4441" w:rsidRPr="00135C74">
        <w:t xml:space="preserve"> from this perspective</w:t>
      </w:r>
      <w:r w:rsidR="007367C5" w:rsidRPr="00135C74">
        <w:t xml:space="preserve">, we </w:t>
      </w:r>
      <w:r w:rsidR="00916867" w:rsidRPr="00135C74">
        <w:t>adopt</w:t>
      </w:r>
      <w:r w:rsidR="007367C5" w:rsidRPr="00135C74">
        <w:t xml:space="preserve"> the attention-based view </w:t>
      </w:r>
      <w:r w:rsidR="00916867" w:rsidRPr="00135C74">
        <w:t xml:space="preserve">(ABV) </w:t>
      </w:r>
      <w:r w:rsidR="007367C5" w:rsidRPr="00135C74">
        <w:t xml:space="preserve">of the firm </w:t>
      </w:r>
      <w:r w:rsidR="002C5601" w:rsidRPr="00135C74">
        <w:t>(Ocasio</w:t>
      </w:r>
      <w:r w:rsidR="002E4D52" w:rsidRPr="00135C74">
        <w:t>,</w:t>
      </w:r>
      <w:r w:rsidR="002C5601" w:rsidRPr="00135C74">
        <w:t xml:space="preserve"> 1997) </w:t>
      </w:r>
      <w:r w:rsidR="007367C5" w:rsidRPr="00135C74">
        <w:t xml:space="preserve">as a </w:t>
      </w:r>
      <w:r w:rsidR="00B340B8" w:rsidRPr="00135C74">
        <w:t xml:space="preserve">novel </w:t>
      </w:r>
      <w:r w:rsidR="007367C5" w:rsidRPr="00135C74">
        <w:t>theoretical foundation</w:t>
      </w:r>
      <w:r w:rsidR="00791AF5" w:rsidRPr="00135C74">
        <w:t xml:space="preserve"> </w:t>
      </w:r>
      <w:r w:rsidR="00B340B8" w:rsidRPr="00135C74">
        <w:t>for supply chain and procurement research (</w:t>
      </w:r>
      <w:r w:rsidR="00916867" w:rsidRPr="00135C74">
        <w:t xml:space="preserve">cf. </w:t>
      </w:r>
      <w:r w:rsidR="00B340B8" w:rsidRPr="00135C74">
        <w:t xml:space="preserve">Lorentz </w:t>
      </w:r>
      <w:r w:rsidR="00B340B8" w:rsidRPr="00135C74">
        <w:rPr>
          <w:i/>
        </w:rPr>
        <w:t>et al.,</w:t>
      </w:r>
      <w:r w:rsidR="00B340B8" w:rsidRPr="00135C74">
        <w:t xml:space="preserve"> 2019)</w:t>
      </w:r>
      <w:r w:rsidR="00791AF5" w:rsidRPr="00135C74">
        <w:t xml:space="preserve">. </w:t>
      </w:r>
      <w:r w:rsidR="005A60DA" w:rsidRPr="00135C74">
        <w:t>Based</w:t>
      </w:r>
      <w:r w:rsidR="00791AF5" w:rsidRPr="00135C74">
        <w:t xml:space="preserve"> on</w:t>
      </w:r>
      <w:r w:rsidR="005A60DA" w:rsidRPr="00135C74">
        <w:t xml:space="preserve"> </w:t>
      </w:r>
      <w:r w:rsidR="00135C74" w:rsidRPr="00135C74">
        <w:t>behavioural</w:t>
      </w:r>
      <w:r w:rsidR="0008520E" w:rsidRPr="00135C74">
        <w:t xml:space="preserve"> </w:t>
      </w:r>
      <w:r w:rsidR="00916867" w:rsidRPr="00135C74">
        <w:t xml:space="preserve">management </w:t>
      </w:r>
      <w:r w:rsidR="0008520E" w:rsidRPr="00135C74">
        <w:t>theories (Simon</w:t>
      </w:r>
      <w:r w:rsidR="00EE35E7" w:rsidRPr="00135C74">
        <w:t>,</w:t>
      </w:r>
      <w:r w:rsidR="0008520E" w:rsidRPr="00135C74">
        <w:t xml:space="preserve"> 1947; </w:t>
      </w:r>
      <w:proofErr w:type="spellStart"/>
      <w:r w:rsidR="0008520E" w:rsidRPr="00135C74">
        <w:t>Cyert</w:t>
      </w:r>
      <w:proofErr w:type="spellEnd"/>
      <w:r w:rsidR="0008520E" w:rsidRPr="00135C74">
        <w:t xml:space="preserve"> and March</w:t>
      </w:r>
      <w:r w:rsidR="00EE35E7" w:rsidRPr="00135C74">
        <w:t>,</w:t>
      </w:r>
      <w:r w:rsidR="00791AF5" w:rsidRPr="00135C74">
        <w:t xml:space="preserve"> 1963),</w:t>
      </w:r>
      <w:r w:rsidR="00C239BA">
        <w:t xml:space="preserve"> the</w:t>
      </w:r>
      <w:r w:rsidR="00791AF5" w:rsidRPr="00135C74">
        <w:t xml:space="preserve"> ABV</w:t>
      </w:r>
      <w:r w:rsidR="00614843" w:rsidRPr="00135C74">
        <w:t xml:space="preserve"> </w:t>
      </w:r>
      <w:r w:rsidR="002A7951" w:rsidRPr="00135C74">
        <w:t>concerns</w:t>
      </w:r>
      <w:r w:rsidR="0008520E" w:rsidRPr="00135C74">
        <w:t xml:space="preserve"> </w:t>
      </w:r>
      <w:r w:rsidR="00D04A71" w:rsidRPr="00135C74">
        <w:t>how</w:t>
      </w:r>
      <w:r w:rsidR="002A7951" w:rsidRPr="00135C74">
        <w:t xml:space="preserve"> </w:t>
      </w:r>
      <w:r w:rsidR="00D04A71" w:rsidRPr="00135C74">
        <w:t>decision</w:t>
      </w:r>
      <w:r w:rsidR="004D31A2" w:rsidRPr="00135C74">
        <w:t xml:space="preserve"> </w:t>
      </w:r>
      <w:r w:rsidR="00D04A71" w:rsidRPr="00135C74">
        <w:t xml:space="preserve">makers selectively focus their attention on </w:t>
      </w:r>
      <w:r w:rsidR="005231C7">
        <w:t xml:space="preserve">some aspects of </w:t>
      </w:r>
      <w:r w:rsidR="00791AF5" w:rsidRPr="00135C74">
        <w:t xml:space="preserve">situations </w:t>
      </w:r>
      <w:r w:rsidR="00D04A71" w:rsidRPr="00135C74">
        <w:t>and</w:t>
      </w:r>
      <w:r w:rsidR="0008520E" w:rsidRPr="00135C74">
        <w:t xml:space="preserve"> ignore</w:t>
      </w:r>
      <w:r w:rsidR="00D04A71" w:rsidRPr="00135C74">
        <w:t xml:space="preserve"> others</w:t>
      </w:r>
      <w:r w:rsidR="003B5D62" w:rsidRPr="00135C74">
        <w:t xml:space="preserve"> within their </w:t>
      </w:r>
      <w:r w:rsidR="002E144F" w:rsidRPr="00135C74">
        <w:t xml:space="preserve">own domain or </w:t>
      </w:r>
      <w:r w:rsidR="003B5D62" w:rsidRPr="00135C74">
        <w:t>area of responsibility</w:t>
      </w:r>
      <w:r w:rsidR="000160D2" w:rsidRPr="00135C74">
        <w:t xml:space="preserve">. How firms anticipate and react </w:t>
      </w:r>
      <w:r w:rsidR="00614843" w:rsidRPr="00135C74">
        <w:t xml:space="preserve">to </w:t>
      </w:r>
      <w:r w:rsidR="008C4441" w:rsidRPr="00135C74">
        <w:t xml:space="preserve">disruption </w:t>
      </w:r>
      <w:r w:rsidR="00614843" w:rsidRPr="00135C74">
        <w:t xml:space="preserve">events </w:t>
      </w:r>
      <w:r w:rsidR="006950CA">
        <w:t>emerges</w:t>
      </w:r>
      <w:r w:rsidR="006950CA" w:rsidRPr="00135C74">
        <w:t xml:space="preserve"> </w:t>
      </w:r>
      <w:r w:rsidR="000160D2" w:rsidRPr="00135C74">
        <w:t>from what decision</w:t>
      </w:r>
      <w:r w:rsidR="004D31A2" w:rsidRPr="00135C74">
        <w:t xml:space="preserve"> </w:t>
      </w:r>
      <w:r w:rsidR="000160D2" w:rsidRPr="00135C74">
        <w:t>makers focus their attention on</w:t>
      </w:r>
      <w:r w:rsidR="007E2F80">
        <w:t xml:space="preserve">; </w:t>
      </w:r>
      <w:r w:rsidR="000160D2" w:rsidRPr="00135C74">
        <w:t xml:space="preserve">simultaneously, </w:t>
      </w:r>
      <w:r w:rsidR="00A9777F" w:rsidRPr="00135C74">
        <w:t xml:space="preserve">the </w:t>
      </w:r>
      <w:r w:rsidR="000160D2" w:rsidRPr="00135C74">
        <w:t xml:space="preserve">attention </w:t>
      </w:r>
      <w:r w:rsidR="00A9777F" w:rsidRPr="00135C74">
        <w:t>of</w:t>
      </w:r>
      <w:r w:rsidR="00915F90" w:rsidRPr="00135C74">
        <w:t xml:space="preserve"> a manager</w:t>
      </w:r>
      <w:r w:rsidR="00A9777F" w:rsidRPr="00135C74">
        <w:t xml:space="preserve"> </w:t>
      </w:r>
      <w:r w:rsidR="000160D2" w:rsidRPr="00135C74">
        <w:t xml:space="preserve">is situated in </w:t>
      </w:r>
      <w:r w:rsidR="00734AFC" w:rsidRPr="00135C74">
        <w:t xml:space="preserve">the </w:t>
      </w:r>
      <w:r w:rsidR="000160D2" w:rsidRPr="00135C74">
        <w:lastRenderedPageBreak/>
        <w:t>resources, rules and structures</w:t>
      </w:r>
      <w:r w:rsidR="00A9777F" w:rsidRPr="00135C74">
        <w:t xml:space="preserve"> of a firm</w:t>
      </w:r>
      <w:r w:rsidR="00614843" w:rsidRPr="00135C74">
        <w:t xml:space="preserve"> </w:t>
      </w:r>
      <w:r w:rsidR="0008520E" w:rsidRPr="00135C74">
        <w:t>(Ocasio</w:t>
      </w:r>
      <w:r w:rsidR="00EE35E7" w:rsidRPr="00135C74">
        <w:t>,</w:t>
      </w:r>
      <w:r w:rsidR="00791AF5" w:rsidRPr="00135C74">
        <w:t xml:space="preserve"> 1997)</w:t>
      </w:r>
      <w:r w:rsidR="00614843" w:rsidRPr="00135C74">
        <w:t xml:space="preserve">. </w:t>
      </w:r>
      <w:r w:rsidR="004C5786" w:rsidRPr="00135C74">
        <w:t xml:space="preserve">In line with methodological individualism </w:t>
      </w:r>
      <w:r w:rsidR="0059163F">
        <w:t>that</w:t>
      </w:r>
      <w:r w:rsidR="004C5786" w:rsidRPr="00135C74">
        <w:t xml:space="preserve"> recogni</w:t>
      </w:r>
      <w:r w:rsidR="001870C5">
        <w:t>s</w:t>
      </w:r>
      <w:r w:rsidR="004C5786" w:rsidRPr="00135C74">
        <w:t xml:space="preserve">es the criticality of </w:t>
      </w:r>
      <w:r w:rsidR="00A6506F" w:rsidRPr="00135C74">
        <w:t>micro-level decisions</w:t>
      </w:r>
      <w:r w:rsidR="004C5786" w:rsidRPr="00135C74">
        <w:t xml:space="preserve"> (Hodgson</w:t>
      </w:r>
      <w:r w:rsidR="00734AFC" w:rsidRPr="00135C74">
        <w:t>,</w:t>
      </w:r>
      <w:r w:rsidR="004C5786" w:rsidRPr="00135C74">
        <w:t xml:space="preserve"> 2007), </w:t>
      </w:r>
      <w:r w:rsidR="0059163F">
        <w:t xml:space="preserve">the </w:t>
      </w:r>
      <w:r w:rsidR="004C5786" w:rsidRPr="00135C74">
        <w:t xml:space="preserve">ABV </w:t>
      </w:r>
      <w:r w:rsidR="00A6506F" w:rsidRPr="00135C74">
        <w:t xml:space="preserve">suggests that </w:t>
      </w:r>
      <w:r w:rsidR="00734AFC" w:rsidRPr="00135C74">
        <w:t xml:space="preserve">an </w:t>
      </w:r>
      <w:r w:rsidR="000107B6" w:rsidRPr="00135C74">
        <w:t>individual’s attentional processes collectively determine organi</w:t>
      </w:r>
      <w:r w:rsidR="001870C5">
        <w:t>s</w:t>
      </w:r>
      <w:r w:rsidR="000107B6" w:rsidRPr="00135C74">
        <w:t xml:space="preserve">ational </w:t>
      </w:r>
      <w:r w:rsidR="004C5786" w:rsidRPr="00135C74">
        <w:t>action</w:t>
      </w:r>
      <w:r w:rsidR="000107B6" w:rsidRPr="00135C74">
        <w:t xml:space="preserve"> (Ocasio</w:t>
      </w:r>
      <w:r w:rsidR="00EE35E7" w:rsidRPr="00135C74">
        <w:t>,</w:t>
      </w:r>
      <w:r w:rsidR="000107B6" w:rsidRPr="00135C74">
        <w:t xml:space="preserve"> 1997). </w:t>
      </w:r>
      <w:r w:rsidR="00D43EAB" w:rsidRPr="00135C74">
        <w:t>Elaborating</w:t>
      </w:r>
      <w:r w:rsidR="00732DD8">
        <w:t xml:space="preserve"> on</w:t>
      </w:r>
      <w:r w:rsidR="00D43EAB" w:rsidRPr="00135C74">
        <w:t xml:space="preserve"> the ABV in the supply disruption </w:t>
      </w:r>
      <w:r w:rsidR="00CF47F7" w:rsidRPr="00135C74">
        <w:t xml:space="preserve">risk </w:t>
      </w:r>
      <w:r w:rsidR="00D43EAB" w:rsidRPr="00135C74">
        <w:t xml:space="preserve">management context, </w:t>
      </w:r>
      <w:r w:rsidR="007A7344" w:rsidRPr="00135C74">
        <w:t xml:space="preserve">the </w:t>
      </w:r>
      <w:r w:rsidR="0062112A" w:rsidRPr="00135C74">
        <w:t xml:space="preserve">following </w:t>
      </w:r>
      <w:r w:rsidR="00D43EAB" w:rsidRPr="00135C74">
        <w:t xml:space="preserve">research question </w:t>
      </w:r>
      <w:r w:rsidR="007A7344" w:rsidRPr="00135C74">
        <w:t>guid</w:t>
      </w:r>
      <w:r w:rsidR="0062112A" w:rsidRPr="00135C74">
        <w:t>es</w:t>
      </w:r>
      <w:r w:rsidR="007A7344" w:rsidRPr="00135C74">
        <w:t xml:space="preserve"> </w:t>
      </w:r>
      <w:r w:rsidR="00D43EAB" w:rsidRPr="00135C74">
        <w:t xml:space="preserve">our study: </w:t>
      </w:r>
    </w:p>
    <w:p w14:paraId="424D6F72" w14:textId="302A4403" w:rsidR="00232C6A" w:rsidRPr="00135C74" w:rsidRDefault="00602CBE" w:rsidP="00377304">
      <w:pPr>
        <w:spacing w:line="480" w:lineRule="auto"/>
        <w:jc w:val="both"/>
        <w:rPr>
          <w:i/>
          <w:iCs/>
        </w:rPr>
      </w:pPr>
      <w:r w:rsidRPr="00135C74">
        <w:rPr>
          <w:i/>
          <w:iCs/>
        </w:rPr>
        <w:t xml:space="preserve">How </w:t>
      </w:r>
      <w:r w:rsidR="00232C6A" w:rsidRPr="00135C74">
        <w:rPr>
          <w:i/>
          <w:iCs/>
        </w:rPr>
        <w:t>d</w:t>
      </w:r>
      <w:r w:rsidR="007A7344" w:rsidRPr="00135C74">
        <w:rPr>
          <w:i/>
          <w:iCs/>
        </w:rPr>
        <w:t>oes</w:t>
      </w:r>
      <w:r w:rsidR="00232C6A" w:rsidRPr="00135C74">
        <w:rPr>
          <w:i/>
          <w:iCs/>
        </w:rPr>
        <w:t xml:space="preserve"> </w:t>
      </w:r>
      <w:r w:rsidR="00A9777F" w:rsidRPr="00135C74">
        <w:rPr>
          <w:i/>
          <w:iCs/>
        </w:rPr>
        <w:t xml:space="preserve">the </w:t>
      </w:r>
      <w:r w:rsidRPr="00135C74">
        <w:rPr>
          <w:i/>
          <w:iCs/>
        </w:rPr>
        <w:t>attention</w:t>
      </w:r>
      <w:r w:rsidR="00A9777F" w:rsidRPr="00135C74">
        <w:rPr>
          <w:i/>
          <w:iCs/>
        </w:rPr>
        <w:t xml:space="preserve"> of procurement managers</w:t>
      </w:r>
      <w:r w:rsidRPr="00135C74">
        <w:rPr>
          <w:i/>
          <w:iCs/>
        </w:rPr>
        <w:t xml:space="preserve"> </w:t>
      </w:r>
      <w:r w:rsidR="008C4441" w:rsidRPr="00135C74">
        <w:rPr>
          <w:i/>
          <w:iCs/>
        </w:rPr>
        <w:t>regarding</w:t>
      </w:r>
      <w:r w:rsidRPr="00135C74">
        <w:rPr>
          <w:i/>
          <w:iCs/>
        </w:rPr>
        <w:t xml:space="preserve"> supply disruption</w:t>
      </w:r>
      <w:r w:rsidR="00404CC7" w:rsidRPr="00135C74">
        <w:rPr>
          <w:i/>
          <w:iCs/>
        </w:rPr>
        <w:t xml:space="preserve"> risk</w:t>
      </w:r>
      <w:r w:rsidRPr="00135C74">
        <w:rPr>
          <w:i/>
          <w:iCs/>
        </w:rPr>
        <w:t xml:space="preserve"> management contribute to </w:t>
      </w:r>
      <w:r w:rsidR="00404CC7" w:rsidRPr="00135C74">
        <w:rPr>
          <w:i/>
          <w:iCs/>
        </w:rPr>
        <w:t>supply</w:t>
      </w:r>
      <w:r w:rsidRPr="00135C74">
        <w:rPr>
          <w:i/>
          <w:iCs/>
        </w:rPr>
        <w:t xml:space="preserve"> </w:t>
      </w:r>
      <w:r w:rsidR="006446A0" w:rsidRPr="00135C74">
        <w:rPr>
          <w:i/>
          <w:iCs/>
        </w:rPr>
        <w:t>resilience</w:t>
      </w:r>
      <w:r w:rsidRPr="00135C74">
        <w:rPr>
          <w:i/>
          <w:iCs/>
        </w:rPr>
        <w:t xml:space="preserve">? </w:t>
      </w:r>
    </w:p>
    <w:p w14:paraId="42D29998" w14:textId="4ADA1A3C" w:rsidR="00602CBE" w:rsidRPr="00135C74" w:rsidRDefault="00734AFC" w:rsidP="00377304">
      <w:pPr>
        <w:spacing w:line="480" w:lineRule="auto"/>
        <w:jc w:val="both"/>
      </w:pPr>
      <w:r w:rsidRPr="00135C74">
        <w:t>Th</w:t>
      </w:r>
      <w:r w:rsidR="003C3163">
        <w:t>e present</w:t>
      </w:r>
      <w:r w:rsidRPr="00135C74">
        <w:t xml:space="preserve"> research </w:t>
      </w:r>
      <w:r w:rsidR="002C5601" w:rsidRPr="00135C74">
        <w:t>assume</w:t>
      </w:r>
      <w:r w:rsidRPr="00135C74">
        <w:t>s</w:t>
      </w:r>
      <w:r w:rsidR="002C5601" w:rsidRPr="00135C74">
        <w:t xml:space="preserve"> that a</w:t>
      </w:r>
      <w:r w:rsidR="007664D0" w:rsidRPr="00135C74">
        <w:t xml:space="preserve">ttention </w:t>
      </w:r>
      <w:r w:rsidR="00602CBE" w:rsidRPr="00135C74">
        <w:t>determine</w:t>
      </w:r>
      <w:r w:rsidR="007664D0" w:rsidRPr="00135C74">
        <w:t>s</w:t>
      </w:r>
      <w:r w:rsidR="00602CBE" w:rsidRPr="00135C74">
        <w:t xml:space="preserve"> </w:t>
      </w:r>
      <w:r w:rsidRPr="00135C74">
        <w:t xml:space="preserve">the </w:t>
      </w:r>
      <w:r w:rsidR="00602CBE" w:rsidRPr="00135C74">
        <w:t xml:space="preserve">resource allocation, strategy and focus of supply disruption </w:t>
      </w:r>
      <w:r w:rsidR="00404CC7" w:rsidRPr="00135C74">
        <w:t xml:space="preserve">risk </w:t>
      </w:r>
      <w:r w:rsidR="00602CBE" w:rsidRPr="00135C74">
        <w:t>management</w:t>
      </w:r>
      <w:r w:rsidR="00732DD8">
        <w:t>;</w:t>
      </w:r>
      <w:r w:rsidR="006446A0" w:rsidRPr="00135C74">
        <w:t xml:space="preserve"> therefore</w:t>
      </w:r>
      <w:r w:rsidRPr="00135C74">
        <w:t>,</w:t>
      </w:r>
      <w:r w:rsidR="006446A0" w:rsidRPr="00135C74">
        <w:t xml:space="preserve"> </w:t>
      </w:r>
      <w:r w:rsidR="00DC680C" w:rsidRPr="00135C74">
        <w:t xml:space="preserve">attention </w:t>
      </w:r>
      <w:r w:rsidR="003C3163">
        <w:t>can</w:t>
      </w:r>
      <w:r w:rsidR="003C3163" w:rsidRPr="00135C74">
        <w:t xml:space="preserve"> </w:t>
      </w:r>
      <w:r w:rsidR="006446A0" w:rsidRPr="00135C74">
        <w:t>be hypothesi</w:t>
      </w:r>
      <w:r w:rsidR="001870C5">
        <w:t>s</w:t>
      </w:r>
      <w:r w:rsidR="006446A0" w:rsidRPr="00135C74">
        <w:t>e</w:t>
      </w:r>
      <w:r w:rsidR="00404CC7" w:rsidRPr="00135C74">
        <w:t>d</w:t>
      </w:r>
      <w:r w:rsidR="006446A0" w:rsidRPr="00135C74">
        <w:t xml:space="preserve"> </w:t>
      </w:r>
      <w:r w:rsidR="003C3163">
        <w:t>as</w:t>
      </w:r>
      <w:r w:rsidR="003C3163" w:rsidRPr="00135C74">
        <w:t xml:space="preserve"> </w:t>
      </w:r>
      <w:r w:rsidR="006446A0" w:rsidRPr="00135C74">
        <w:t>serv</w:t>
      </w:r>
      <w:r w:rsidR="003C3163">
        <w:t>ing</w:t>
      </w:r>
      <w:r w:rsidR="006446A0" w:rsidRPr="00135C74">
        <w:t xml:space="preserve"> as </w:t>
      </w:r>
      <w:r w:rsidR="00404CC7" w:rsidRPr="00135C74">
        <w:t xml:space="preserve">an </w:t>
      </w:r>
      <w:r w:rsidR="006446A0" w:rsidRPr="00135C74">
        <w:t>important antecedent of resilience under supply disruption</w:t>
      </w:r>
      <w:r w:rsidR="00602CBE" w:rsidRPr="00135C74">
        <w:t>.</w:t>
      </w:r>
      <w:r w:rsidR="00D42C7E" w:rsidRPr="00135C74">
        <w:t xml:space="preserve"> </w:t>
      </w:r>
      <w:r w:rsidR="00915F90" w:rsidRPr="00135C74">
        <w:t xml:space="preserve">Our focus on attention </w:t>
      </w:r>
      <w:r w:rsidR="001B650C" w:rsidRPr="00135C74">
        <w:t xml:space="preserve">contributes </w:t>
      </w:r>
      <w:r w:rsidR="00D42C7E" w:rsidRPr="00135C74">
        <w:t xml:space="preserve">to the understanding of the </w:t>
      </w:r>
      <w:proofErr w:type="spellStart"/>
      <w:r w:rsidR="001B650C" w:rsidRPr="00135C74">
        <w:t>microfoundations</w:t>
      </w:r>
      <w:proofErr w:type="spellEnd"/>
      <w:r w:rsidR="00D42C7E" w:rsidRPr="00135C74">
        <w:t xml:space="preserve"> underpin</w:t>
      </w:r>
      <w:r w:rsidR="001B650C" w:rsidRPr="00135C74">
        <w:t>ning</w:t>
      </w:r>
      <w:r w:rsidR="00D42C7E" w:rsidRPr="00135C74">
        <w:t xml:space="preserve"> </w:t>
      </w:r>
      <w:r w:rsidR="001B650C" w:rsidRPr="00135C74">
        <w:t xml:space="preserve">a firm’s </w:t>
      </w:r>
      <w:r w:rsidR="00D42C7E" w:rsidRPr="00135C74">
        <w:t>operational capability for supply risk and disruption management (</w:t>
      </w:r>
      <w:proofErr w:type="spellStart"/>
      <w:r w:rsidR="00D42C7E" w:rsidRPr="00135C74">
        <w:t>Felin</w:t>
      </w:r>
      <w:proofErr w:type="spellEnd"/>
      <w:r w:rsidR="00D42C7E" w:rsidRPr="00135C74">
        <w:t xml:space="preserve"> </w:t>
      </w:r>
      <w:r w:rsidR="00D42C7E" w:rsidRPr="00135C74">
        <w:rPr>
          <w:i/>
        </w:rPr>
        <w:t>et al</w:t>
      </w:r>
      <w:r w:rsidR="00D42C7E" w:rsidRPr="00135C74">
        <w:t xml:space="preserve">., 2012; Barney and </w:t>
      </w:r>
      <w:proofErr w:type="spellStart"/>
      <w:r w:rsidR="00D42C7E" w:rsidRPr="00135C74">
        <w:t>Felin</w:t>
      </w:r>
      <w:proofErr w:type="spellEnd"/>
      <w:r w:rsidR="00D42C7E" w:rsidRPr="00135C74">
        <w:t>, 2013)</w:t>
      </w:r>
      <w:r w:rsidR="000009B9" w:rsidRPr="00135C74">
        <w:t xml:space="preserve"> within the context of the COVID-19 pandemic</w:t>
      </w:r>
      <w:r w:rsidR="00F62C4A" w:rsidRPr="00135C74">
        <w:t xml:space="preserve">. </w:t>
      </w:r>
      <w:r w:rsidR="001169D4" w:rsidRPr="00135C74">
        <w:t>The s</w:t>
      </w:r>
      <w:r w:rsidR="00E82B64" w:rsidRPr="00135C74">
        <w:t xml:space="preserve">omewhat unique implications </w:t>
      </w:r>
      <w:r w:rsidR="00C93655">
        <w:t xml:space="preserve">of COVID-19 </w:t>
      </w:r>
      <w:r w:rsidR="00F62C4A" w:rsidRPr="00135C74">
        <w:t>may be expected</w:t>
      </w:r>
      <w:r w:rsidR="00DC00B5">
        <w:t xml:space="preserve"> </w:t>
      </w:r>
      <w:r w:rsidR="00DC00B5" w:rsidRPr="00224311">
        <w:t>because</w:t>
      </w:r>
      <w:r w:rsidR="00E82B64" w:rsidRPr="00224311">
        <w:t xml:space="preserve"> pandemics are not limited in terms of geographic regions or time periods (</w:t>
      </w:r>
      <w:r w:rsidR="00E82B64" w:rsidRPr="005231C7">
        <w:t>Ivanov and Das, 202</w:t>
      </w:r>
      <w:r w:rsidR="00737F4F" w:rsidRPr="005231C7">
        <w:t>0</w:t>
      </w:r>
      <w:r w:rsidR="00E82B64" w:rsidRPr="005231C7">
        <w:t>).</w:t>
      </w:r>
    </w:p>
    <w:p w14:paraId="639A2D1C" w14:textId="2B643137" w:rsidR="006D62FA" w:rsidRPr="00135C74" w:rsidRDefault="006446A0" w:rsidP="00377304">
      <w:pPr>
        <w:spacing w:line="480" w:lineRule="auto"/>
        <w:jc w:val="both"/>
      </w:pPr>
      <w:r w:rsidRPr="00135C74">
        <w:t xml:space="preserve">In the </w:t>
      </w:r>
      <w:r w:rsidR="001B650C" w:rsidRPr="00135C74">
        <w:t xml:space="preserve">following </w:t>
      </w:r>
      <w:r w:rsidRPr="00135C74">
        <w:t>section</w:t>
      </w:r>
      <w:r w:rsidR="001B650C" w:rsidRPr="00135C74">
        <w:t>s</w:t>
      </w:r>
      <w:r w:rsidR="00611571" w:rsidRPr="00135C74">
        <w:t>,</w:t>
      </w:r>
      <w:r w:rsidRPr="00135C74">
        <w:t xml:space="preserve"> we conceptuali</w:t>
      </w:r>
      <w:r w:rsidR="001870C5">
        <w:t>s</w:t>
      </w:r>
      <w:r w:rsidRPr="00135C74">
        <w:t>e and define the constructs</w:t>
      </w:r>
      <w:r w:rsidR="00A9777F" w:rsidRPr="00135C74">
        <w:t xml:space="preserve"> of th</w:t>
      </w:r>
      <w:r w:rsidR="00A73A50">
        <w:t>e present</w:t>
      </w:r>
      <w:r w:rsidR="00A9777F" w:rsidRPr="00135C74">
        <w:t xml:space="preserve"> study</w:t>
      </w:r>
      <w:r w:rsidR="00611571" w:rsidRPr="00135C74">
        <w:t>,</w:t>
      </w:r>
      <w:r w:rsidR="00A9777F" w:rsidRPr="00135C74">
        <w:t xml:space="preserve"> </w:t>
      </w:r>
      <w:r w:rsidRPr="00135C74">
        <w:t xml:space="preserve">paying particular attention to </w:t>
      </w:r>
      <w:r w:rsidR="007664D0" w:rsidRPr="00135C74">
        <w:t xml:space="preserve">the attention-related </w:t>
      </w:r>
      <w:r w:rsidRPr="00135C74">
        <w:t>antecedents of resilience</w:t>
      </w:r>
      <w:r w:rsidR="00A11211" w:rsidRPr="00135C74">
        <w:t xml:space="preserve"> and develop</w:t>
      </w:r>
      <w:r w:rsidR="00732DD8">
        <w:t>ing</w:t>
      </w:r>
      <w:r w:rsidR="00A11211" w:rsidRPr="00135C74">
        <w:t xml:space="preserve"> the hypotheses and </w:t>
      </w:r>
      <w:r w:rsidR="001B650C" w:rsidRPr="00135C74">
        <w:t xml:space="preserve">research </w:t>
      </w:r>
      <w:r w:rsidR="00A11211" w:rsidRPr="00135C74">
        <w:t>model</w:t>
      </w:r>
      <w:r w:rsidRPr="00135C74">
        <w:t>.</w:t>
      </w:r>
      <w:r w:rsidR="00A11211" w:rsidRPr="00135C74">
        <w:t xml:space="preserve"> </w:t>
      </w:r>
      <w:r w:rsidR="00611571" w:rsidRPr="00135C74">
        <w:t>The m</w:t>
      </w:r>
      <w:r w:rsidR="001B650C" w:rsidRPr="00135C74">
        <w:t>ethods of</w:t>
      </w:r>
      <w:r w:rsidR="00732DD8">
        <w:t xml:space="preserve"> the</w:t>
      </w:r>
      <w:r w:rsidR="001B650C" w:rsidRPr="00135C74">
        <w:t xml:space="preserve"> </w:t>
      </w:r>
      <w:proofErr w:type="spellStart"/>
      <w:r w:rsidR="001B650C" w:rsidRPr="00135C74">
        <w:t>multi</w:t>
      </w:r>
      <w:r w:rsidR="00077142">
        <w:t>country</w:t>
      </w:r>
      <w:proofErr w:type="spellEnd"/>
      <w:r w:rsidR="001B650C" w:rsidRPr="00135C74">
        <w:t xml:space="preserve"> survey and analysis procedures are</w:t>
      </w:r>
      <w:r w:rsidR="00A11211" w:rsidRPr="00135C74">
        <w:t xml:space="preserve"> described</w:t>
      </w:r>
      <w:r w:rsidR="00A73A50">
        <w:t>,</w:t>
      </w:r>
      <w:r w:rsidR="001B650C" w:rsidRPr="00135C74">
        <w:t xml:space="preserve"> and </w:t>
      </w:r>
      <w:r w:rsidR="00611571" w:rsidRPr="00135C74">
        <w:t xml:space="preserve">the </w:t>
      </w:r>
      <w:r w:rsidR="001B650C" w:rsidRPr="00135C74">
        <w:t xml:space="preserve">results </w:t>
      </w:r>
      <w:r w:rsidR="00A73A50">
        <w:t xml:space="preserve">are </w:t>
      </w:r>
      <w:r w:rsidR="001B650C" w:rsidRPr="00135C74">
        <w:t xml:space="preserve">reported. </w:t>
      </w:r>
      <w:r w:rsidR="007F56E1">
        <w:t>The c</w:t>
      </w:r>
      <w:r w:rsidR="00A11211" w:rsidRPr="00135C74">
        <w:t xml:space="preserve">onclusions drawn from </w:t>
      </w:r>
      <w:r w:rsidR="007B331D">
        <w:t xml:space="preserve">a </w:t>
      </w:r>
      <w:r w:rsidR="00F15ED3" w:rsidRPr="00135C74">
        <w:t>hierarchical regression analysis</w:t>
      </w:r>
      <w:r w:rsidR="00A11211" w:rsidRPr="00135C74">
        <w:t xml:space="preserve"> contribut</w:t>
      </w:r>
      <w:r w:rsidR="0076133F" w:rsidRPr="00135C74">
        <w:t>e</w:t>
      </w:r>
      <w:r w:rsidR="004845DF" w:rsidRPr="00135C74">
        <w:t xml:space="preserve"> </w:t>
      </w:r>
      <w:r w:rsidR="00A11211" w:rsidRPr="00135C74">
        <w:t xml:space="preserve">to the </w:t>
      </w:r>
      <w:r w:rsidR="00EE35E7" w:rsidRPr="00135C74">
        <w:t>knowledge base</w:t>
      </w:r>
      <w:r w:rsidR="00A11211" w:rsidRPr="00135C74">
        <w:t xml:space="preserve"> on supply disruption</w:t>
      </w:r>
      <w:r w:rsidR="00404CC7" w:rsidRPr="00135C74">
        <w:t xml:space="preserve"> risk</w:t>
      </w:r>
      <w:r w:rsidR="00A11211" w:rsidRPr="00135C74">
        <w:t xml:space="preserve"> management</w:t>
      </w:r>
      <w:r w:rsidR="0076133F" w:rsidRPr="00135C74">
        <w:t xml:space="preserve"> and its capability </w:t>
      </w:r>
      <w:proofErr w:type="spellStart"/>
      <w:r w:rsidR="0076133F" w:rsidRPr="00135C74">
        <w:t>microfoundations</w:t>
      </w:r>
      <w:proofErr w:type="spellEnd"/>
      <w:r w:rsidR="00A11211" w:rsidRPr="00135C74">
        <w:t>.</w:t>
      </w:r>
      <w:r w:rsidRPr="00135C74">
        <w:t xml:space="preserve"> </w:t>
      </w:r>
    </w:p>
    <w:p w14:paraId="4A599791" w14:textId="77777777" w:rsidR="00F62C4A" w:rsidRPr="00135C74" w:rsidRDefault="00F62C4A" w:rsidP="00377304">
      <w:pPr>
        <w:spacing w:line="480" w:lineRule="auto"/>
        <w:jc w:val="both"/>
      </w:pPr>
    </w:p>
    <w:p w14:paraId="0775662C" w14:textId="70F72633" w:rsidR="00AC48F7" w:rsidRPr="00135C74" w:rsidRDefault="00736458" w:rsidP="00705F74">
      <w:pPr>
        <w:pStyle w:val="ListParagraph"/>
        <w:numPr>
          <w:ilvl w:val="0"/>
          <w:numId w:val="7"/>
        </w:numPr>
        <w:spacing w:line="480" w:lineRule="auto"/>
        <w:rPr>
          <w:rFonts w:ascii="Times New Roman" w:hAnsi="Times New Roman" w:cs="Times New Roman"/>
          <w:b/>
          <w:sz w:val="24"/>
          <w:szCs w:val="24"/>
          <w:lang w:val="en-GB"/>
        </w:rPr>
      </w:pPr>
      <w:r w:rsidRPr="00135C74">
        <w:rPr>
          <w:rFonts w:ascii="Times New Roman" w:hAnsi="Times New Roman" w:cs="Times New Roman"/>
          <w:b/>
          <w:sz w:val="24"/>
          <w:szCs w:val="24"/>
          <w:lang w:val="en-GB"/>
        </w:rPr>
        <w:t>Model development</w:t>
      </w:r>
    </w:p>
    <w:p w14:paraId="3DDD51BE" w14:textId="410F6313" w:rsidR="00AC48F7" w:rsidRPr="00135C74" w:rsidRDefault="00736458" w:rsidP="00377304">
      <w:pPr>
        <w:spacing w:line="480" w:lineRule="auto"/>
        <w:jc w:val="both"/>
        <w:rPr>
          <w:i/>
        </w:rPr>
      </w:pPr>
      <w:r w:rsidRPr="00135C74">
        <w:rPr>
          <w:i/>
        </w:rPr>
        <w:t xml:space="preserve">2.1 </w:t>
      </w:r>
      <w:r w:rsidR="009559FE" w:rsidRPr="00135C74">
        <w:rPr>
          <w:i/>
        </w:rPr>
        <w:t xml:space="preserve">Antecedent </w:t>
      </w:r>
      <w:r w:rsidRPr="00135C74">
        <w:rPr>
          <w:i/>
        </w:rPr>
        <w:t>c</w:t>
      </w:r>
      <w:r w:rsidR="00AC48F7" w:rsidRPr="00135C74">
        <w:rPr>
          <w:i/>
        </w:rPr>
        <w:t>onstructs</w:t>
      </w:r>
    </w:p>
    <w:p w14:paraId="3E104B13" w14:textId="2BAC8C58" w:rsidR="00690C8E" w:rsidRPr="00135C74" w:rsidRDefault="00716DCE" w:rsidP="00232C6A">
      <w:pPr>
        <w:spacing w:line="480" w:lineRule="auto"/>
        <w:jc w:val="both"/>
      </w:pPr>
      <w:r w:rsidRPr="00135C74">
        <w:lastRenderedPageBreak/>
        <w:t>We selectively</w:t>
      </w:r>
      <w:r w:rsidR="00732DD8">
        <w:t xml:space="preserve"> draw</w:t>
      </w:r>
      <w:r w:rsidRPr="00135C74">
        <w:t xml:space="preserve"> on the key constructs of </w:t>
      </w:r>
      <w:r w:rsidR="00FC3BA8">
        <w:t xml:space="preserve">the </w:t>
      </w:r>
      <w:r w:rsidRPr="00135C74">
        <w:t>ABV t</w:t>
      </w:r>
      <w:r w:rsidR="003C2D4F" w:rsidRPr="00135C74">
        <w:t>o</w:t>
      </w:r>
      <w:r w:rsidR="000107B6" w:rsidRPr="00135C74">
        <w:t xml:space="preserve"> conceptuali</w:t>
      </w:r>
      <w:r w:rsidR="001870C5">
        <w:t>s</w:t>
      </w:r>
      <w:r w:rsidR="000107B6" w:rsidRPr="00135C74">
        <w:t xml:space="preserve">e supply </w:t>
      </w:r>
      <w:r w:rsidR="00404CC7" w:rsidRPr="00135C74">
        <w:t xml:space="preserve">disruption </w:t>
      </w:r>
      <w:r w:rsidR="000107B6" w:rsidRPr="00135C74">
        <w:t xml:space="preserve">risk management </w:t>
      </w:r>
      <w:r w:rsidR="00CF6A64" w:rsidRPr="00135C74">
        <w:t xml:space="preserve">as </w:t>
      </w:r>
      <w:r w:rsidR="00EA607C" w:rsidRPr="00135C74">
        <w:t xml:space="preserve">an </w:t>
      </w:r>
      <w:r w:rsidR="00CF6A64" w:rsidRPr="00135C74">
        <w:t xml:space="preserve">antecedent </w:t>
      </w:r>
      <w:r w:rsidR="00611571" w:rsidRPr="00135C74">
        <w:t xml:space="preserve">of </w:t>
      </w:r>
      <w:r w:rsidR="00CF6A64" w:rsidRPr="00135C74">
        <w:t>resilience</w:t>
      </w:r>
      <w:r w:rsidR="000107B6" w:rsidRPr="00135C74">
        <w:t>.</w:t>
      </w:r>
      <w:r w:rsidR="00FC3BA8">
        <w:t xml:space="preserve"> The</w:t>
      </w:r>
      <w:r w:rsidR="000107B6" w:rsidRPr="00135C74">
        <w:t xml:space="preserve"> </w:t>
      </w:r>
      <w:r w:rsidR="00FC3BA8">
        <w:rPr>
          <w:i/>
          <w:iCs/>
        </w:rPr>
        <w:t>a</w:t>
      </w:r>
      <w:r w:rsidR="0084165D" w:rsidRPr="00135C74">
        <w:rPr>
          <w:i/>
        </w:rPr>
        <w:t>ttentional perspective</w:t>
      </w:r>
      <w:r w:rsidR="007B14D0" w:rsidRPr="00135C74">
        <w:rPr>
          <w:i/>
        </w:rPr>
        <w:t>s</w:t>
      </w:r>
      <w:r w:rsidR="0084165D" w:rsidRPr="00135C74">
        <w:t xml:space="preserve"> </w:t>
      </w:r>
      <w:r w:rsidR="002E144F" w:rsidRPr="00135C74">
        <w:t xml:space="preserve">of managers </w:t>
      </w:r>
      <w:r w:rsidR="003C2D4F" w:rsidRPr="00135C74">
        <w:t xml:space="preserve">are </w:t>
      </w:r>
      <w:r w:rsidR="007664D0" w:rsidRPr="00135C74">
        <w:t xml:space="preserve">the </w:t>
      </w:r>
      <w:r w:rsidR="0084165D" w:rsidRPr="00135C74">
        <w:t xml:space="preserve">cognitive structures that define </w:t>
      </w:r>
      <w:r w:rsidR="00611571" w:rsidRPr="00135C74">
        <w:t xml:space="preserve">the </w:t>
      </w:r>
      <w:r w:rsidR="0084165D" w:rsidRPr="00135C74">
        <w:t>resource allocation and strategies</w:t>
      </w:r>
      <w:r w:rsidR="00611571" w:rsidRPr="00135C74">
        <w:t xml:space="preserve"> of firms</w:t>
      </w:r>
      <w:r w:rsidR="0084165D" w:rsidRPr="00135C74">
        <w:t xml:space="preserve"> </w:t>
      </w:r>
      <w:r w:rsidR="002E144F" w:rsidRPr="00135C74">
        <w:t xml:space="preserve">as collectives </w:t>
      </w:r>
      <w:r w:rsidR="003C2D4F" w:rsidRPr="00135C74">
        <w:t>(Ocasio, 2011)</w:t>
      </w:r>
      <w:r w:rsidR="002E144F" w:rsidRPr="00135C74">
        <w:t xml:space="preserve"> and organi</w:t>
      </w:r>
      <w:r w:rsidR="001870C5">
        <w:t>s</w:t>
      </w:r>
      <w:r w:rsidR="002E144F" w:rsidRPr="00135C74">
        <w:t xml:space="preserve">ational subunits, such as a category </w:t>
      </w:r>
      <w:r w:rsidR="00187E69" w:rsidRPr="00135C74">
        <w:t xml:space="preserve">of </w:t>
      </w:r>
      <w:r w:rsidR="00982225" w:rsidRPr="00135C74">
        <w:t xml:space="preserve">products/services </w:t>
      </w:r>
      <w:r w:rsidR="002E144F" w:rsidRPr="00135C74">
        <w:t>in procurement</w:t>
      </w:r>
      <w:r w:rsidR="0084165D" w:rsidRPr="00135C74">
        <w:t xml:space="preserve">. Attentional perspectives </w:t>
      </w:r>
      <w:r w:rsidR="006A5224" w:rsidRPr="00135C74">
        <w:t>as t</w:t>
      </w:r>
      <w:r w:rsidR="00C26761" w:rsidRPr="00135C74">
        <w:t>op-down</w:t>
      </w:r>
      <w:r w:rsidR="00611571" w:rsidRPr="00135C74">
        <w:t>-</w:t>
      </w:r>
      <w:r w:rsidR="00C26761" w:rsidRPr="00135C74">
        <w:t xml:space="preserve">oriented </w:t>
      </w:r>
      <w:r w:rsidR="001D639A" w:rsidRPr="00135C74">
        <w:t>g</w:t>
      </w:r>
      <w:r w:rsidR="00EA607C" w:rsidRPr="00135C74">
        <w:t>oal</w:t>
      </w:r>
      <w:r w:rsidR="002B5B74" w:rsidRPr="00135C74">
        <w:t>s</w:t>
      </w:r>
      <w:r w:rsidR="00C26761" w:rsidRPr="00135C74">
        <w:t xml:space="preserve">, </w:t>
      </w:r>
      <w:r w:rsidR="00EA607C" w:rsidRPr="00135C74">
        <w:t>schema</w:t>
      </w:r>
      <w:r w:rsidR="002B5B74" w:rsidRPr="00135C74">
        <w:t>s</w:t>
      </w:r>
      <w:r w:rsidR="001D639A" w:rsidRPr="00135C74">
        <w:t xml:space="preserve"> </w:t>
      </w:r>
      <w:r w:rsidR="00C26761" w:rsidRPr="00135C74">
        <w:t>or</w:t>
      </w:r>
      <w:r w:rsidR="00EA607C" w:rsidRPr="00135C74">
        <w:t xml:space="preserve"> mental templates (</w:t>
      </w:r>
      <w:r w:rsidR="006B0486" w:rsidRPr="00135C74">
        <w:t xml:space="preserve">Walsh, 1995; </w:t>
      </w:r>
      <w:r w:rsidR="00EA607C" w:rsidRPr="00135C74">
        <w:t>Ocasio</w:t>
      </w:r>
      <w:r w:rsidR="00EE35E7" w:rsidRPr="00135C74">
        <w:t>,</w:t>
      </w:r>
      <w:r w:rsidR="00EA607C" w:rsidRPr="00135C74">
        <w:t xml:space="preserve"> 2011) help</w:t>
      </w:r>
      <w:r w:rsidR="001D639A" w:rsidRPr="00135C74">
        <w:t xml:space="preserve"> managers achieve </w:t>
      </w:r>
      <w:r w:rsidR="00EA607C" w:rsidRPr="00135C74">
        <w:t>efficiency, predictability and reliability</w:t>
      </w:r>
      <w:r w:rsidR="001D639A" w:rsidRPr="00135C74">
        <w:t xml:space="preserve"> by directing attention only to </w:t>
      </w:r>
      <w:r w:rsidR="004364A5" w:rsidRPr="00135C74">
        <w:t xml:space="preserve">those </w:t>
      </w:r>
      <w:r w:rsidR="001D639A" w:rsidRPr="00135C74">
        <w:t xml:space="preserve">external </w:t>
      </w:r>
      <w:r w:rsidR="00C119D6" w:rsidRPr="00135C74">
        <w:t xml:space="preserve">issues </w:t>
      </w:r>
      <w:r w:rsidR="001D639A" w:rsidRPr="00135C74">
        <w:t xml:space="preserve">expected to be important </w:t>
      </w:r>
      <w:r w:rsidR="00EA607C" w:rsidRPr="00135C74">
        <w:t xml:space="preserve">(Shepherd </w:t>
      </w:r>
      <w:r w:rsidR="00EA607C" w:rsidRPr="00135C74">
        <w:rPr>
          <w:i/>
        </w:rPr>
        <w:t>et al</w:t>
      </w:r>
      <w:r w:rsidR="00EA607C" w:rsidRPr="00135C74">
        <w:t>.</w:t>
      </w:r>
      <w:r w:rsidR="00EE35E7" w:rsidRPr="00135C74">
        <w:t>,</w:t>
      </w:r>
      <w:r w:rsidR="00EA607C" w:rsidRPr="00135C74">
        <w:t xml:space="preserve"> 2017).</w:t>
      </w:r>
      <w:r w:rsidR="0084165D" w:rsidRPr="00135C74">
        <w:t xml:space="preserve"> </w:t>
      </w:r>
    </w:p>
    <w:p w14:paraId="0339D5D5" w14:textId="4F9B8A3D" w:rsidR="00690C8E" w:rsidRPr="00135C74" w:rsidRDefault="00582563" w:rsidP="001D57D1">
      <w:pPr>
        <w:spacing w:line="480" w:lineRule="auto"/>
        <w:jc w:val="both"/>
      </w:pPr>
      <w:r w:rsidRPr="00135C74">
        <w:t xml:space="preserve">Attentional perspectives focus on preparation and proactive mitigation before disruption occurs (cf. </w:t>
      </w:r>
      <w:proofErr w:type="spellStart"/>
      <w:r w:rsidRPr="00135C74">
        <w:t>Sheffi</w:t>
      </w:r>
      <w:proofErr w:type="spellEnd"/>
      <w:r w:rsidRPr="00135C74">
        <w:t xml:space="preserve">, 2005). </w:t>
      </w:r>
      <w:r w:rsidR="00690C8E" w:rsidRPr="00135C74">
        <w:t xml:space="preserve">From the literature, we </w:t>
      </w:r>
      <w:r w:rsidR="008D5FE9">
        <w:t xml:space="preserve">can </w:t>
      </w:r>
      <w:r w:rsidR="00690C8E" w:rsidRPr="00135C74">
        <w:t xml:space="preserve">identify </w:t>
      </w:r>
      <w:r w:rsidR="00E86419" w:rsidRPr="00135C74">
        <w:t xml:space="preserve">two distinctive constructs </w:t>
      </w:r>
      <w:r w:rsidR="00607081" w:rsidRPr="00135C74">
        <w:t xml:space="preserve">related to </w:t>
      </w:r>
      <w:r w:rsidR="0080204B" w:rsidRPr="00135C74">
        <w:t xml:space="preserve">the use of top-down schemas and templates for </w:t>
      </w:r>
      <w:r w:rsidR="00F62C4A" w:rsidRPr="00135C74">
        <w:t xml:space="preserve">supply </w:t>
      </w:r>
      <w:r w:rsidR="00607081" w:rsidRPr="00135C74">
        <w:t xml:space="preserve">disruption risk management. The first, </w:t>
      </w:r>
      <w:r w:rsidR="0080204B" w:rsidRPr="00135C74">
        <w:t xml:space="preserve">a </w:t>
      </w:r>
      <w:r w:rsidR="00E86419" w:rsidRPr="00135C74">
        <w:rPr>
          <w:i/>
        </w:rPr>
        <w:t>focus on supply risk sources</w:t>
      </w:r>
      <w:r w:rsidR="00607081" w:rsidRPr="00135C74">
        <w:rPr>
          <w:i/>
        </w:rPr>
        <w:t xml:space="preserve">, </w:t>
      </w:r>
      <w:r w:rsidR="00C96AC2" w:rsidRPr="00135C74">
        <w:rPr>
          <w:iCs/>
        </w:rPr>
        <w:t>is defined</w:t>
      </w:r>
      <w:r w:rsidR="00E86419" w:rsidRPr="00135C74">
        <w:t xml:space="preserve"> </w:t>
      </w:r>
      <w:r w:rsidR="00C96AC2" w:rsidRPr="00135C74">
        <w:t xml:space="preserve">as </w:t>
      </w:r>
      <w:r w:rsidR="00F66888" w:rsidRPr="00135C74">
        <w:t xml:space="preserve">the use of </w:t>
      </w:r>
      <w:r w:rsidR="002D6237" w:rsidRPr="00135C74">
        <w:t xml:space="preserve">schemas that direct </w:t>
      </w:r>
      <w:r w:rsidR="00F66888" w:rsidRPr="00135C74">
        <w:t xml:space="preserve">managerial </w:t>
      </w:r>
      <w:r w:rsidR="002D6237" w:rsidRPr="00135C74">
        <w:t>attention</w:t>
      </w:r>
      <w:r w:rsidR="00F66888" w:rsidRPr="00135C74">
        <w:t xml:space="preserve"> to</w:t>
      </w:r>
      <w:r w:rsidR="002D6237" w:rsidRPr="00135C74">
        <w:t xml:space="preserve"> </w:t>
      </w:r>
      <w:r w:rsidR="00F66888" w:rsidRPr="00135C74">
        <w:t xml:space="preserve">specifying </w:t>
      </w:r>
      <w:r w:rsidR="00BD456A">
        <w:t xml:space="preserve">the </w:t>
      </w:r>
      <w:r w:rsidR="00F66888" w:rsidRPr="00135C74">
        <w:t xml:space="preserve">possible risk </w:t>
      </w:r>
      <w:r w:rsidR="009211BB" w:rsidRPr="00135C74">
        <w:t xml:space="preserve">sources and </w:t>
      </w:r>
      <w:r w:rsidR="00F66888" w:rsidRPr="00135C74">
        <w:t>events</w:t>
      </w:r>
      <w:r w:rsidR="00690C8E" w:rsidRPr="00135C74">
        <w:t xml:space="preserve"> (</w:t>
      </w:r>
      <w:proofErr w:type="spellStart"/>
      <w:r w:rsidR="00690C8E" w:rsidRPr="00135C74">
        <w:t>Zsidisin</w:t>
      </w:r>
      <w:proofErr w:type="spellEnd"/>
      <w:r w:rsidR="00690C8E" w:rsidRPr="00135C74">
        <w:t xml:space="preserve"> and Wagner, 201</w:t>
      </w:r>
      <w:r w:rsidR="00737F4F">
        <w:t>0</w:t>
      </w:r>
      <w:r w:rsidR="00690C8E" w:rsidRPr="00135C74">
        <w:t>)</w:t>
      </w:r>
      <w:r w:rsidR="002D6237" w:rsidRPr="00135C74">
        <w:t xml:space="preserve">, </w:t>
      </w:r>
      <w:r w:rsidR="00F66888" w:rsidRPr="00135C74">
        <w:t xml:space="preserve">assessing </w:t>
      </w:r>
      <w:r w:rsidR="00CE6E73" w:rsidRPr="00135C74">
        <w:t>the</w:t>
      </w:r>
      <w:r w:rsidR="00F66888" w:rsidRPr="00135C74">
        <w:t xml:space="preserve"> probability and impact </w:t>
      </w:r>
      <w:r w:rsidR="002D6237" w:rsidRPr="00135C74">
        <w:t xml:space="preserve">and </w:t>
      </w:r>
      <w:r w:rsidR="00F66888" w:rsidRPr="00135C74">
        <w:t xml:space="preserve">mitigating </w:t>
      </w:r>
      <w:r w:rsidR="00470FA0" w:rsidRPr="00135C74">
        <w:t>the</w:t>
      </w:r>
      <w:r w:rsidR="00CE6E73" w:rsidRPr="00135C74">
        <w:t>ir</w:t>
      </w:r>
      <w:r w:rsidR="00470FA0" w:rsidRPr="00135C74">
        <w:t xml:space="preserve"> </w:t>
      </w:r>
      <w:r w:rsidR="009211BB" w:rsidRPr="00135C74">
        <w:t xml:space="preserve">potential </w:t>
      </w:r>
      <w:r w:rsidR="00470FA0" w:rsidRPr="00135C74">
        <w:t xml:space="preserve">effects </w:t>
      </w:r>
      <w:r w:rsidR="00F66888" w:rsidRPr="00135C74">
        <w:t xml:space="preserve">(cf. </w:t>
      </w:r>
      <w:proofErr w:type="spellStart"/>
      <w:r w:rsidR="00470FA0" w:rsidRPr="00135C74">
        <w:t>Kleindorfer</w:t>
      </w:r>
      <w:proofErr w:type="spellEnd"/>
      <w:r w:rsidR="00470FA0" w:rsidRPr="00135C74">
        <w:t xml:space="preserve"> and Saad,</w:t>
      </w:r>
      <w:r w:rsidR="00F66888" w:rsidRPr="00135C74">
        <w:t xml:space="preserve"> 20</w:t>
      </w:r>
      <w:r w:rsidR="00470FA0" w:rsidRPr="00135C74">
        <w:t>05</w:t>
      </w:r>
      <w:r w:rsidR="00F66888" w:rsidRPr="00135C74">
        <w:t>).</w:t>
      </w:r>
      <w:r w:rsidR="002D6237" w:rsidRPr="00135C74">
        <w:t xml:space="preserve"> </w:t>
      </w:r>
      <w:r w:rsidR="00690C8E" w:rsidRPr="00135C74">
        <w:t xml:space="preserve">Buyers’ perceptions of supply risk, including the probability and magnitude of disruption, affect their decisions (Ellis </w:t>
      </w:r>
      <w:r w:rsidR="00690C8E" w:rsidRPr="00135C74">
        <w:rPr>
          <w:i/>
        </w:rPr>
        <w:t>et al</w:t>
      </w:r>
      <w:r w:rsidR="00690C8E" w:rsidRPr="00135C74">
        <w:t>., 2010).</w:t>
      </w:r>
    </w:p>
    <w:p w14:paraId="1768C92F" w14:textId="16AEF8F1" w:rsidR="00582563" w:rsidRPr="00135C74" w:rsidRDefault="0080204B" w:rsidP="001D57D1">
      <w:pPr>
        <w:spacing w:line="480" w:lineRule="auto"/>
        <w:jc w:val="both"/>
      </w:pPr>
      <w:r w:rsidRPr="00135C74">
        <w:t>The second</w:t>
      </w:r>
      <w:r w:rsidR="00F66888" w:rsidRPr="00135C74">
        <w:t xml:space="preserve">, </w:t>
      </w:r>
      <w:r w:rsidRPr="00135C74">
        <w:t>a</w:t>
      </w:r>
      <w:r w:rsidR="00470FA0" w:rsidRPr="00135C74">
        <w:rPr>
          <w:i/>
        </w:rPr>
        <w:t xml:space="preserve"> </w:t>
      </w:r>
      <w:r w:rsidR="00F66888" w:rsidRPr="00135C74">
        <w:rPr>
          <w:i/>
        </w:rPr>
        <w:t>focus on supply network</w:t>
      </w:r>
      <w:r w:rsidR="00D25ED5" w:rsidRPr="00135C74">
        <w:rPr>
          <w:i/>
        </w:rPr>
        <w:t xml:space="preserve"> recoverability</w:t>
      </w:r>
      <w:r w:rsidR="00EE2E65" w:rsidRPr="00135C74">
        <w:t xml:space="preserve">, </w:t>
      </w:r>
      <w:r w:rsidR="00C96AC2" w:rsidRPr="00135C74">
        <w:t xml:space="preserve">is </w:t>
      </w:r>
      <w:r w:rsidR="00F66888" w:rsidRPr="00135C74">
        <w:t xml:space="preserve">the use of schemas that direct managerial attention to </w:t>
      </w:r>
      <w:r w:rsidR="00470FA0" w:rsidRPr="00135C74">
        <w:t xml:space="preserve">specifying </w:t>
      </w:r>
      <w:r w:rsidR="004E0B82" w:rsidRPr="00135C74">
        <w:t xml:space="preserve">and </w:t>
      </w:r>
      <w:r w:rsidR="00470FA0" w:rsidRPr="00135C74">
        <w:t xml:space="preserve">assessing </w:t>
      </w:r>
      <w:r w:rsidR="004E0B82" w:rsidRPr="00135C74">
        <w:t>recoverability through network mapping</w:t>
      </w:r>
      <w:r w:rsidR="00F62C4A" w:rsidRPr="00135C74">
        <w:t xml:space="preserve"> to i</w:t>
      </w:r>
      <w:r w:rsidR="00CE6E73" w:rsidRPr="00135C74">
        <w:t>ncreas</w:t>
      </w:r>
      <w:r w:rsidR="00F62C4A" w:rsidRPr="00135C74">
        <w:t>e</w:t>
      </w:r>
      <w:r w:rsidR="00CE6E73" w:rsidRPr="00135C74">
        <w:t xml:space="preserve"> resilience (</w:t>
      </w:r>
      <w:proofErr w:type="spellStart"/>
      <w:r w:rsidR="00CE6E73" w:rsidRPr="00135C74">
        <w:t>Craighead</w:t>
      </w:r>
      <w:proofErr w:type="spellEnd"/>
      <w:r w:rsidR="00CE6E73" w:rsidRPr="00135C74">
        <w:t xml:space="preserve"> </w:t>
      </w:r>
      <w:r w:rsidR="00CE6E73" w:rsidRPr="00135C74">
        <w:rPr>
          <w:i/>
        </w:rPr>
        <w:t>et al.,</w:t>
      </w:r>
      <w:r w:rsidR="00CE6E73" w:rsidRPr="00135C74">
        <w:t xml:space="preserve"> 2007; </w:t>
      </w:r>
      <w:proofErr w:type="spellStart"/>
      <w:r w:rsidR="00CE6E73" w:rsidRPr="00135C74">
        <w:t>Simchi</w:t>
      </w:r>
      <w:proofErr w:type="spellEnd"/>
      <w:r w:rsidR="00CE6E73" w:rsidRPr="00135C74">
        <w:t xml:space="preserve">-Levi </w:t>
      </w:r>
      <w:r w:rsidR="00CE6E73" w:rsidRPr="00135C74">
        <w:rPr>
          <w:i/>
        </w:rPr>
        <w:t>et al</w:t>
      </w:r>
      <w:r w:rsidR="00CE6E73" w:rsidRPr="00135C74">
        <w:t>., 2014)</w:t>
      </w:r>
      <w:r w:rsidR="00F66888" w:rsidRPr="00135C74">
        <w:t xml:space="preserve">. </w:t>
      </w:r>
      <w:r w:rsidR="00CE6E73" w:rsidRPr="00135C74">
        <w:t xml:space="preserve">In the wake of the COVID-19 disruption, the virtues of supply chain mapping </w:t>
      </w:r>
      <w:r w:rsidR="0067763C">
        <w:t>have been</w:t>
      </w:r>
      <w:r w:rsidR="00CE6E73" w:rsidRPr="00135C74">
        <w:t xml:space="preserve"> </w:t>
      </w:r>
      <w:r w:rsidR="0067763C">
        <w:t>shown</w:t>
      </w:r>
      <w:r w:rsidR="0067763C" w:rsidRPr="00135C74">
        <w:t xml:space="preserve"> </w:t>
      </w:r>
      <w:r w:rsidR="00CE6E73" w:rsidRPr="00135C74">
        <w:t xml:space="preserve">(Choi </w:t>
      </w:r>
      <w:r w:rsidR="00CE6E73" w:rsidRPr="00135C74">
        <w:rPr>
          <w:i/>
        </w:rPr>
        <w:t>et al</w:t>
      </w:r>
      <w:r w:rsidR="00CE6E73" w:rsidRPr="00135C74">
        <w:t>., 2020; Linton and Vakil, 2020). In a similar vein, the effect</w:t>
      </w:r>
      <w:r w:rsidR="00732DD8">
        <w:t>s</w:t>
      </w:r>
      <w:r w:rsidR="00CE6E73" w:rsidRPr="00135C74">
        <w:t xml:space="preserve"> of supply network designs and complex structures on risk and recovery ha</w:t>
      </w:r>
      <w:r w:rsidR="00732DD8">
        <w:t>ve</w:t>
      </w:r>
      <w:r w:rsidR="00CE6E73" w:rsidRPr="00135C74">
        <w:t xml:space="preserve"> received attention (</w:t>
      </w:r>
      <w:proofErr w:type="spellStart"/>
      <w:r w:rsidR="00CE6E73" w:rsidRPr="00135C74">
        <w:t>Craighead</w:t>
      </w:r>
      <w:proofErr w:type="spellEnd"/>
      <w:r w:rsidR="00CE6E73" w:rsidRPr="00135C74">
        <w:t xml:space="preserve"> </w:t>
      </w:r>
      <w:r w:rsidR="00CE6E73" w:rsidRPr="00135C74">
        <w:rPr>
          <w:i/>
        </w:rPr>
        <w:t>et al</w:t>
      </w:r>
      <w:r w:rsidR="00CE6E73" w:rsidRPr="00135C74">
        <w:t xml:space="preserve">., 2007; Kim </w:t>
      </w:r>
      <w:r w:rsidR="00CE6E73" w:rsidRPr="00135C74">
        <w:rPr>
          <w:i/>
        </w:rPr>
        <w:t>et al</w:t>
      </w:r>
      <w:r w:rsidR="00CE6E73" w:rsidRPr="00135C74">
        <w:t xml:space="preserve">., 2015; Bode and Wagner 2015; Lorentz </w:t>
      </w:r>
      <w:r w:rsidR="00CE6E73" w:rsidRPr="00135C74">
        <w:rPr>
          <w:i/>
        </w:rPr>
        <w:t>et al</w:t>
      </w:r>
      <w:r w:rsidR="00CE6E73" w:rsidRPr="00135C74">
        <w:t xml:space="preserve">., 2016; Son </w:t>
      </w:r>
      <w:r w:rsidR="00CE6E73" w:rsidRPr="00135C74">
        <w:rPr>
          <w:i/>
        </w:rPr>
        <w:t>et al</w:t>
      </w:r>
      <w:r w:rsidR="00CE6E73" w:rsidRPr="00135C74">
        <w:t xml:space="preserve">., 2021). </w:t>
      </w:r>
      <w:r w:rsidR="00582563" w:rsidRPr="00135C74">
        <w:t xml:space="preserve">Some studies have also incorporated both perspectives in </w:t>
      </w:r>
      <w:r w:rsidR="00DA742F">
        <w:t xml:space="preserve">their </w:t>
      </w:r>
      <w:r w:rsidR="00582563" w:rsidRPr="00135C74">
        <w:t>research designs (Bode and MacDonald, 2016)</w:t>
      </w:r>
      <w:r w:rsidR="00F62C4A" w:rsidRPr="00135C74">
        <w:t>; however</w:t>
      </w:r>
      <w:r w:rsidR="00582563" w:rsidRPr="00135C74">
        <w:t xml:space="preserve">, </w:t>
      </w:r>
      <w:r w:rsidR="00881F94" w:rsidRPr="00135C74">
        <w:t>in practice</w:t>
      </w:r>
      <w:r w:rsidR="00732DD8">
        <w:t>,</w:t>
      </w:r>
      <w:r w:rsidR="00881F94" w:rsidRPr="00135C74">
        <w:t xml:space="preserve"> </w:t>
      </w:r>
      <w:r w:rsidR="006A5224" w:rsidRPr="00135C74">
        <w:t xml:space="preserve">the dividing lines </w:t>
      </w:r>
      <w:r w:rsidR="00881F94" w:rsidRPr="00135C74">
        <w:t xml:space="preserve">between these perspectives </w:t>
      </w:r>
      <w:r w:rsidR="006A5224" w:rsidRPr="00135C74">
        <w:t xml:space="preserve">are unclear (cf. </w:t>
      </w:r>
      <w:proofErr w:type="spellStart"/>
      <w:r w:rsidR="006A5224" w:rsidRPr="00135C74">
        <w:t>Norrman</w:t>
      </w:r>
      <w:proofErr w:type="spellEnd"/>
      <w:r w:rsidR="006A5224" w:rsidRPr="00135C74">
        <w:t xml:space="preserve"> </w:t>
      </w:r>
      <w:r w:rsidR="006A5224" w:rsidRPr="00135C74">
        <w:lastRenderedPageBreak/>
        <w:t>and Jansson, 2004)</w:t>
      </w:r>
      <w:r w:rsidR="006C57B5">
        <w:t xml:space="preserve"> because</w:t>
      </w:r>
      <w:r w:rsidR="00582563" w:rsidRPr="00135C74">
        <w:t xml:space="preserve"> recoverability augments traditional risk</w:t>
      </w:r>
      <w:r w:rsidR="001870C5">
        <w:t xml:space="preserve"> </w:t>
      </w:r>
      <w:r w:rsidR="00582563" w:rsidRPr="00135C74">
        <w:t>analysis methods focused on sources (</w:t>
      </w:r>
      <w:proofErr w:type="spellStart"/>
      <w:r w:rsidR="00582563" w:rsidRPr="00135C74">
        <w:t>Simchi</w:t>
      </w:r>
      <w:proofErr w:type="spellEnd"/>
      <w:r w:rsidR="00582563" w:rsidRPr="00135C74">
        <w:t xml:space="preserve">-Levi </w:t>
      </w:r>
      <w:r w:rsidR="00582563" w:rsidRPr="007B1A05">
        <w:rPr>
          <w:i/>
        </w:rPr>
        <w:t>et al.</w:t>
      </w:r>
      <w:r w:rsidR="00582563" w:rsidRPr="00135C74">
        <w:t xml:space="preserve">, 2015). </w:t>
      </w:r>
    </w:p>
    <w:p w14:paraId="1BEB7A11" w14:textId="37BBA9D0" w:rsidR="00E633E5" w:rsidRPr="00135C74" w:rsidRDefault="002853C0" w:rsidP="00AB7FB2">
      <w:pPr>
        <w:spacing w:line="480" w:lineRule="auto"/>
        <w:jc w:val="both"/>
      </w:pPr>
      <w:r w:rsidRPr="00135C74">
        <w:t>A s</w:t>
      </w:r>
      <w:r w:rsidR="009B2706" w:rsidRPr="00135C74">
        <w:t>econd</w:t>
      </w:r>
      <w:r w:rsidRPr="00135C74">
        <w:t xml:space="preserve"> potential ABV-based high-level antecedent </w:t>
      </w:r>
      <w:r w:rsidR="00611571" w:rsidRPr="00135C74">
        <w:t>of</w:t>
      </w:r>
      <w:r w:rsidRPr="00135C74">
        <w:t xml:space="preserve"> resilience</w:t>
      </w:r>
      <w:r w:rsidR="006266C6" w:rsidRPr="00135C74">
        <w:t xml:space="preserve"> is </w:t>
      </w:r>
      <w:r w:rsidR="009B2706" w:rsidRPr="00135C74">
        <w:rPr>
          <w:i/>
        </w:rPr>
        <w:t>attentional selection</w:t>
      </w:r>
      <w:r w:rsidR="006266C6" w:rsidRPr="00135C74">
        <w:t xml:space="preserve">. </w:t>
      </w:r>
      <w:r w:rsidR="005E6762" w:rsidRPr="00135C74">
        <w:t>Selectively a</w:t>
      </w:r>
      <w:r w:rsidR="006266C6" w:rsidRPr="00135C74">
        <w:t xml:space="preserve">ttending to some stimuli and excluding others </w:t>
      </w:r>
      <w:r w:rsidRPr="00135C74">
        <w:t>(Ocasio, 2011)</w:t>
      </w:r>
      <w:r w:rsidR="006266C6" w:rsidRPr="00135C74">
        <w:t xml:space="preserve"> can aid</w:t>
      </w:r>
      <w:r w:rsidR="00732DD8">
        <w:t xml:space="preserve"> in</w:t>
      </w:r>
      <w:r w:rsidR="006266C6" w:rsidRPr="00135C74">
        <w:t xml:space="preserve"> the </w:t>
      </w:r>
      <w:r w:rsidR="00F35483" w:rsidRPr="00135C74">
        <w:t xml:space="preserve">detection and </w:t>
      </w:r>
      <w:r w:rsidR="00E633E5" w:rsidRPr="00135C74">
        <w:t xml:space="preserve">recognition of </w:t>
      </w:r>
      <w:r w:rsidR="00B0419F" w:rsidRPr="00135C74">
        <w:t>risk events</w:t>
      </w:r>
      <w:r w:rsidR="00E633E5" w:rsidRPr="00135C74">
        <w:t xml:space="preserve"> and disruptions (</w:t>
      </w:r>
      <w:proofErr w:type="spellStart"/>
      <w:r w:rsidR="00F35483" w:rsidRPr="00135C74">
        <w:t>Craighead</w:t>
      </w:r>
      <w:proofErr w:type="spellEnd"/>
      <w:r w:rsidR="00F35483" w:rsidRPr="00135C74">
        <w:t xml:space="preserve"> </w:t>
      </w:r>
      <w:r w:rsidR="00F35483" w:rsidRPr="00135C74">
        <w:rPr>
          <w:i/>
        </w:rPr>
        <w:t>et al</w:t>
      </w:r>
      <w:r w:rsidR="00F35483" w:rsidRPr="00135C74">
        <w:t xml:space="preserve">., 2007; </w:t>
      </w:r>
      <w:r w:rsidR="00E633E5" w:rsidRPr="00135C74">
        <w:t>Bode and Mac</w:t>
      </w:r>
      <w:r w:rsidR="00077142">
        <w:t>D</w:t>
      </w:r>
      <w:r w:rsidR="00E633E5" w:rsidRPr="00135C74">
        <w:t>onald, 2016)</w:t>
      </w:r>
      <w:r w:rsidR="00455FF6" w:rsidRPr="00135C74">
        <w:t xml:space="preserve"> to </w:t>
      </w:r>
      <w:r w:rsidR="0073502B" w:rsidRPr="00135C74">
        <w:t>ensur</w:t>
      </w:r>
      <w:r w:rsidR="00455FF6" w:rsidRPr="00135C74">
        <w:t>e a</w:t>
      </w:r>
      <w:r w:rsidR="0073502B" w:rsidRPr="00135C74">
        <w:t xml:space="preserve"> timely re</w:t>
      </w:r>
      <w:r w:rsidR="00B0419F" w:rsidRPr="00135C74">
        <w:t>sponse (Bode and Mac</w:t>
      </w:r>
      <w:r w:rsidR="00077142">
        <w:t>D</w:t>
      </w:r>
      <w:r w:rsidR="00B0419F" w:rsidRPr="00135C74">
        <w:t>onald, 2016)</w:t>
      </w:r>
      <w:r w:rsidR="0073502B" w:rsidRPr="00135C74">
        <w:t xml:space="preserve">. </w:t>
      </w:r>
      <w:r w:rsidR="009F6B66" w:rsidRPr="00135C74">
        <w:t>Here, t</w:t>
      </w:r>
      <w:r w:rsidR="009B2706" w:rsidRPr="00135C74">
        <w:t xml:space="preserve">he underlying attentional processes may be </w:t>
      </w:r>
      <w:r w:rsidRPr="00135C74">
        <w:t>either top</w:t>
      </w:r>
      <w:r w:rsidR="00AC796C">
        <w:t xml:space="preserve"> </w:t>
      </w:r>
      <w:r w:rsidRPr="00135C74">
        <w:t>down or</w:t>
      </w:r>
      <w:r w:rsidR="009B2706" w:rsidRPr="00135C74">
        <w:t xml:space="preserve"> bottom</w:t>
      </w:r>
      <w:r w:rsidR="00AC796C">
        <w:t xml:space="preserve"> </w:t>
      </w:r>
      <w:r w:rsidR="009B2706" w:rsidRPr="00135C74">
        <w:t>up in nature</w:t>
      </w:r>
      <w:r w:rsidR="00002881" w:rsidRPr="00135C74">
        <w:t xml:space="preserve">. </w:t>
      </w:r>
      <w:r w:rsidR="00455FF6" w:rsidRPr="00135C74">
        <w:t>T</w:t>
      </w:r>
      <w:r w:rsidR="006D5A0D" w:rsidRPr="00135C74">
        <w:t xml:space="preserve">op-down </w:t>
      </w:r>
      <w:r w:rsidR="00B663A6" w:rsidRPr="00135C74">
        <w:t xml:space="preserve">attentional </w:t>
      </w:r>
      <w:r w:rsidR="006D5A0D" w:rsidRPr="00135C74">
        <w:t xml:space="preserve">processing </w:t>
      </w:r>
      <w:r w:rsidR="00455FF6" w:rsidRPr="00135C74">
        <w:t xml:space="preserve">draws on previously identified </w:t>
      </w:r>
      <w:r w:rsidR="006D5A0D" w:rsidRPr="00135C74">
        <w:t>sources of risk or vulnerab</w:t>
      </w:r>
      <w:r w:rsidR="00E323C9" w:rsidRPr="00135C74">
        <w:t>ilities, which serve</w:t>
      </w:r>
      <w:r w:rsidR="00EA607C" w:rsidRPr="00135C74">
        <w:t xml:space="preserve"> as mental templates for purposefully monitoring</w:t>
      </w:r>
      <w:r w:rsidR="00AB7FB2" w:rsidRPr="00135C74">
        <w:t>, scanning and detecting disruption signals in</w:t>
      </w:r>
      <w:r w:rsidR="00EA607C" w:rsidRPr="00135C74">
        <w:t xml:space="preserve"> the supply environment and network</w:t>
      </w:r>
      <w:r w:rsidR="00AB7FB2" w:rsidRPr="00135C74">
        <w:t xml:space="preserve"> (Bode and Mac</w:t>
      </w:r>
      <w:r w:rsidR="00077142">
        <w:t>D</w:t>
      </w:r>
      <w:r w:rsidR="00AB7FB2" w:rsidRPr="00135C74">
        <w:t>onald, 2016)</w:t>
      </w:r>
      <w:r w:rsidR="00E633E5" w:rsidRPr="00135C74">
        <w:t>.</w:t>
      </w:r>
      <w:r w:rsidR="00D8528C" w:rsidRPr="00135C74">
        <w:t xml:space="preserve"> </w:t>
      </w:r>
    </w:p>
    <w:p w14:paraId="30D00E28" w14:textId="1A3619FD" w:rsidR="00960912" w:rsidRPr="00135C74" w:rsidRDefault="00F62C4A" w:rsidP="00454D07">
      <w:pPr>
        <w:spacing w:line="480" w:lineRule="auto"/>
        <w:jc w:val="both"/>
      </w:pPr>
      <w:r w:rsidRPr="00135C74">
        <w:t>In contrast, b</w:t>
      </w:r>
      <w:r w:rsidR="00232C6A" w:rsidRPr="00135C74">
        <w:t>ottom-up attentional processing is data or stimulus driven (Ocasio</w:t>
      </w:r>
      <w:r w:rsidR="00935E21" w:rsidRPr="00135C74">
        <w:t>,</w:t>
      </w:r>
      <w:r w:rsidR="00232C6A" w:rsidRPr="00135C74">
        <w:t xml:space="preserve"> 2011</w:t>
      </w:r>
      <w:r w:rsidR="00D24E67" w:rsidRPr="00135C74">
        <w:t>)</w:t>
      </w:r>
      <w:r w:rsidR="00097228" w:rsidRPr="00135C74">
        <w:t>. B</w:t>
      </w:r>
      <w:r w:rsidR="00232C6A" w:rsidRPr="00135C74">
        <w:t>ased on ad</w:t>
      </w:r>
      <w:r w:rsidR="00732DD8">
        <w:t xml:space="preserve"> </w:t>
      </w:r>
      <w:r w:rsidR="00232C6A" w:rsidRPr="00135C74">
        <w:t>hoc, random, unpredictable and reciprocal interactions</w:t>
      </w:r>
      <w:r w:rsidR="00097228" w:rsidRPr="00135C74">
        <w:t>,</w:t>
      </w:r>
      <w:r w:rsidR="00A85C9C" w:rsidRPr="00135C74">
        <w:t xml:space="preserve"> bottom-up attentional processing </w:t>
      </w:r>
      <w:r w:rsidR="002639F5" w:rsidRPr="00135C74">
        <w:t>capture</w:t>
      </w:r>
      <w:r w:rsidR="00935E21" w:rsidRPr="00135C74">
        <w:t>s</w:t>
      </w:r>
      <w:r w:rsidR="00232C6A" w:rsidRPr="00135C74">
        <w:t xml:space="preserve"> attention </w:t>
      </w:r>
      <w:r w:rsidR="002639F5" w:rsidRPr="00135C74">
        <w:t>on</w:t>
      </w:r>
      <w:r w:rsidR="00232C6A" w:rsidRPr="00135C74">
        <w:t xml:space="preserve"> </w:t>
      </w:r>
      <w:r w:rsidR="00910063">
        <w:t xml:space="preserve">the </w:t>
      </w:r>
      <w:r w:rsidR="00232C6A" w:rsidRPr="00135C74">
        <w:t xml:space="preserve">aspects that </w:t>
      </w:r>
      <w:r w:rsidR="00935E21" w:rsidRPr="00135C74">
        <w:t xml:space="preserve">are </w:t>
      </w:r>
      <w:r w:rsidR="00232C6A" w:rsidRPr="00135C74">
        <w:t xml:space="preserve">not actively sought for (Shepherd </w:t>
      </w:r>
      <w:r w:rsidR="00232C6A" w:rsidRPr="00135C74">
        <w:rPr>
          <w:i/>
        </w:rPr>
        <w:t>et al</w:t>
      </w:r>
      <w:r w:rsidR="00232C6A" w:rsidRPr="00135C74">
        <w:t>.</w:t>
      </w:r>
      <w:r w:rsidR="004403D3" w:rsidRPr="00135C74">
        <w:t>,</w:t>
      </w:r>
      <w:r w:rsidR="00232C6A" w:rsidRPr="00135C74">
        <w:t xml:space="preserve"> 2017). </w:t>
      </w:r>
      <w:r w:rsidR="00834064" w:rsidRPr="00135C74">
        <w:t>B</w:t>
      </w:r>
      <w:r w:rsidR="00B663A6" w:rsidRPr="00135C74">
        <w:t xml:space="preserve">ottom-up attentional processing </w:t>
      </w:r>
      <w:r w:rsidR="00EA607C" w:rsidRPr="00135C74">
        <w:t xml:space="preserve">for </w:t>
      </w:r>
      <w:r w:rsidR="00D24E67" w:rsidRPr="00135C74">
        <w:t xml:space="preserve">supply </w:t>
      </w:r>
      <w:r w:rsidR="00EA607C" w:rsidRPr="00135C74">
        <w:t>disruption</w:t>
      </w:r>
      <w:r w:rsidR="00D24E67" w:rsidRPr="00135C74">
        <w:t>s</w:t>
      </w:r>
      <w:r w:rsidR="00EA607C" w:rsidRPr="00135C74">
        <w:t xml:space="preserve"> </w:t>
      </w:r>
      <w:r w:rsidR="00834064" w:rsidRPr="00135C74">
        <w:t xml:space="preserve">reacts to </w:t>
      </w:r>
      <w:r w:rsidR="00EA607C" w:rsidRPr="00135C74">
        <w:t>signal</w:t>
      </w:r>
      <w:r w:rsidR="00834064" w:rsidRPr="00135C74">
        <w:t xml:space="preserve">s that may be </w:t>
      </w:r>
      <w:r w:rsidR="0088632D" w:rsidRPr="00135C74">
        <w:t>unexpected</w:t>
      </w:r>
      <w:r w:rsidR="00834064" w:rsidRPr="00135C74">
        <w:t xml:space="preserve"> or may occur at the outskirts of supply networks</w:t>
      </w:r>
      <w:r w:rsidR="0088632D" w:rsidRPr="00135C74">
        <w:t xml:space="preserve"> but </w:t>
      </w:r>
      <w:r w:rsidR="00910063">
        <w:t>that have</w:t>
      </w:r>
      <w:r w:rsidR="00910063" w:rsidRPr="00135C74">
        <w:t xml:space="preserve"> </w:t>
      </w:r>
      <w:r w:rsidR="001A69E7" w:rsidRPr="00135C74">
        <w:t xml:space="preserve">the potential </w:t>
      </w:r>
      <w:r w:rsidR="00E01DB7" w:rsidRPr="00135C74">
        <w:t>for</w:t>
      </w:r>
      <w:r w:rsidR="001A69E7" w:rsidRPr="00135C74">
        <w:t xml:space="preserve"> </w:t>
      </w:r>
      <w:r w:rsidR="00E01DB7" w:rsidRPr="00135C74">
        <w:t xml:space="preserve">cascading </w:t>
      </w:r>
      <w:r w:rsidR="004F2080" w:rsidRPr="00135C74">
        <w:t>effects</w:t>
      </w:r>
      <w:r w:rsidR="00E01DB7" w:rsidRPr="00135C74">
        <w:t xml:space="preserve"> to create</w:t>
      </w:r>
      <w:r w:rsidR="0088632D" w:rsidRPr="00135C74">
        <w:t xml:space="preserve"> </w:t>
      </w:r>
      <w:r w:rsidR="00A42808">
        <w:t>‘</w:t>
      </w:r>
      <w:r w:rsidR="001A69E7" w:rsidRPr="00135C74">
        <w:t>supply chain tsunamis</w:t>
      </w:r>
      <w:r w:rsidR="00A42808">
        <w:t>’</w:t>
      </w:r>
      <w:r w:rsidR="00A42808" w:rsidRPr="00135C74">
        <w:t xml:space="preserve"> </w:t>
      </w:r>
      <w:r w:rsidR="00834064" w:rsidRPr="00135C74">
        <w:t>(</w:t>
      </w:r>
      <w:proofErr w:type="spellStart"/>
      <w:r w:rsidR="00801A6E" w:rsidRPr="00135C74">
        <w:t>Akkermans</w:t>
      </w:r>
      <w:proofErr w:type="spellEnd"/>
      <w:r w:rsidR="00801A6E" w:rsidRPr="00135C74">
        <w:t xml:space="preserve"> and </w:t>
      </w:r>
      <w:proofErr w:type="spellStart"/>
      <w:r w:rsidR="00801A6E" w:rsidRPr="00135C74">
        <w:t>Wassenhove</w:t>
      </w:r>
      <w:proofErr w:type="spellEnd"/>
      <w:r w:rsidR="00834064" w:rsidRPr="00135C74">
        <w:t xml:space="preserve">, </w:t>
      </w:r>
      <w:r w:rsidR="00F10E5D" w:rsidRPr="00135C74">
        <w:t>2018a</w:t>
      </w:r>
      <w:r w:rsidR="00801A6E" w:rsidRPr="00135C74">
        <w:t>)</w:t>
      </w:r>
      <w:r w:rsidR="00FB1629" w:rsidRPr="00135C74">
        <w:t xml:space="preserve">. </w:t>
      </w:r>
      <w:r w:rsidR="004F2080" w:rsidRPr="00135C74">
        <w:t>For example, the so</w:t>
      </w:r>
      <w:r w:rsidR="00935E21" w:rsidRPr="00135C74">
        <w:t>-</w:t>
      </w:r>
      <w:r w:rsidR="004F2080" w:rsidRPr="00135C74">
        <w:t xml:space="preserve">called </w:t>
      </w:r>
      <w:r w:rsidR="00135C74" w:rsidRPr="00135C74">
        <w:t>grey</w:t>
      </w:r>
      <w:r w:rsidR="00801A6E" w:rsidRPr="00135C74">
        <w:t xml:space="preserve"> swan</w:t>
      </w:r>
      <w:r w:rsidR="00E01DB7" w:rsidRPr="00135C74">
        <w:t xml:space="preserve"> event</w:t>
      </w:r>
      <w:r w:rsidR="00801A6E" w:rsidRPr="00135C74">
        <w:t>s</w:t>
      </w:r>
      <w:r w:rsidR="00E01DB7" w:rsidRPr="00135C74">
        <w:t xml:space="preserve"> </w:t>
      </w:r>
      <w:r w:rsidR="004F2080" w:rsidRPr="00135C74">
        <w:t>(already occurr</w:t>
      </w:r>
      <w:r w:rsidR="00732DD8">
        <w:t>ing</w:t>
      </w:r>
      <w:r w:rsidR="004F2080" w:rsidRPr="00135C74">
        <w:t xml:space="preserve"> but unlikely) </w:t>
      </w:r>
      <w:r w:rsidR="00454D07" w:rsidRPr="00135C74">
        <w:t xml:space="preserve">may escape attention </w:t>
      </w:r>
      <w:r w:rsidR="00935E21" w:rsidRPr="00135C74">
        <w:t xml:space="preserve">because </w:t>
      </w:r>
      <w:r w:rsidR="00454D07" w:rsidRPr="00135C74">
        <w:t xml:space="preserve">the initial signals may be weak or require intelligent monitoring of </w:t>
      </w:r>
      <w:r w:rsidR="00A42808">
        <w:t>‘</w:t>
      </w:r>
      <w:r w:rsidR="00801A6E" w:rsidRPr="00135C74">
        <w:t>a few hundred variables outside the usual managerial radar screen</w:t>
      </w:r>
      <w:r w:rsidR="00A42808">
        <w:t>’</w:t>
      </w:r>
      <w:r w:rsidR="00A42808" w:rsidRPr="00135C74">
        <w:t xml:space="preserve"> </w:t>
      </w:r>
      <w:r w:rsidR="00801A6E" w:rsidRPr="00135C74">
        <w:t>(</w:t>
      </w:r>
      <w:proofErr w:type="spellStart"/>
      <w:r w:rsidR="00801A6E" w:rsidRPr="00135C74">
        <w:t>Akkermans</w:t>
      </w:r>
      <w:proofErr w:type="spellEnd"/>
      <w:r w:rsidR="00801A6E" w:rsidRPr="00135C74">
        <w:t xml:space="preserve"> and </w:t>
      </w:r>
      <w:proofErr w:type="spellStart"/>
      <w:r w:rsidR="00801A6E" w:rsidRPr="00135C74">
        <w:t>Wassenhove</w:t>
      </w:r>
      <w:proofErr w:type="spellEnd"/>
      <w:r w:rsidR="00801A6E" w:rsidRPr="00135C74">
        <w:t>, 2018</w:t>
      </w:r>
      <w:r w:rsidR="00F10E5D" w:rsidRPr="00135C74">
        <w:t>b</w:t>
      </w:r>
      <w:r w:rsidR="00960912" w:rsidRPr="00135C74">
        <w:t>, 14</w:t>
      </w:r>
      <w:r w:rsidR="00801A6E" w:rsidRPr="00135C74">
        <w:t>)</w:t>
      </w:r>
      <w:r w:rsidR="009C6651" w:rsidRPr="00135C74">
        <w:t>.</w:t>
      </w:r>
      <w:r w:rsidR="00801A6E" w:rsidRPr="00135C74">
        <w:t xml:space="preserve"> </w:t>
      </w:r>
    </w:p>
    <w:p w14:paraId="779FB740" w14:textId="088392FE" w:rsidR="00002881" w:rsidRPr="00135C74" w:rsidRDefault="00085CD2" w:rsidP="008C7EE0">
      <w:pPr>
        <w:spacing w:line="480" w:lineRule="auto"/>
        <w:jc w:val="both"/>
      </w:pPr>
      <w:r w:rsidRPr="00135C74">
        <w:t xml:space="preserve">In summary, </w:t>
      </w:r>
      <w:r w:rsidR="00B64998" w:rsidRPr="00135C74">
        <w:rPr>
          <w:i/>
        </w:rPr>
        <w:t xml:space="preserve">top-down </w:t>
      </w:r>
      <w:r w:rsidR="006F72BF" w:rsidRPr="00135C74">
        <w:rPr>
          <w:i/>
        </w:rPr>
        <w:t xml:space="preserve">supply disruption detection </w:t>
      </w:r>
      <w:r w:rsidR="00F56CDA" w:rsidRPr="00135C74">
        <w:t>approaches use</w:t>
      </w:r>
      <w:r w:rsidR="00B64998" w:rsidRPr="00135C74">
        <w:t xml:space="preserve"> top-down schemas for</w:t>
      </w:r>
      <w:r w:rsidR="006F72BF" w:rsidRPr="00135C74">
        <w:t xml:space="preserve"> </w:t>
      </w:r>
      <w:r w:rsidR="00D7681E" w:rsidRPr="00135C74">
        <w:t xml:space="preserve">the focused </w:t>
      </w:r>
      <w:r w:rsidR="006F72BF" w:rsidRPr="00135C74">
        <w:t>scanning</w:t>
      </w:r>
      <w:r w:rsidR="0019329B" w:rsidRPr="00135C74">
        <w:t xml:space="preserve"> </w:t>
      </w:r>
      <w:r w:rsidR="00F56CDA" w:rsidRPr="00135C74">
        <w:t>of</w:t>
      </w:r>
      <w:r w:rsidR="00113C44" w:rsidRPr="00135C74">
        <w:t xml:space="preserve"> predefined risk sources</w:t>
      </w:r>
      <w:r w:rsidR="00B4370D">
        <w:t>,</w:t>
      </w:r>
      <w:r w:rsidR="00F56CDA" w:rsidRPr="00135C74">
        <w:t xml:space="preserve"> and </w:t>
      </w:r>
      <w:r w:rsidR="0019329B" w:rsidRPr="00135C74">
        <w:rPr>
          <w:i/>
        </w:rPr>
        <w:t>bottom-up supply disruption detection</w:t>
      </w:r>
      <w:r w:rsidR="0019329B" w:rsidRPr="00135C74">
        <w:t xml:space="preserve"> </w:t>
      </w:r>
      <w:r w:rsidR="00F56CDA" w:rsidRPr="00135C74">
        <w:t xml:space="preserve">approaches deploy </w:t>
      </w:r>
      <w:r w:rsidR="0019329B" w:rsidRPr="00135C74">
        <w:t xml:space="preserve">mechanisms for </w:t>
      </w:r>
      <w:r w:rsidR="004F2080" w:rsidRPr="00135C74">
        <w:t xml:space="preserve">noticing and </w:t>
      </w:r>
      <w:r w:rsidR="00935E21" w:rsidRPr="00135C74">
        <w:t>discovering</w:t>
      </w:r>
      <w:r w:rsidR="0019329B" w:rsidRPr="00135C74">
        <w:t xml:space="preserve"> unexpected signals regarding </w:t>
      </w:r>
      <w:r w:rsidR="00935E21" w:rsidRPr="00135C74">
        <w:t xml:space="preserve">threats to </w:t>
      </w:r>
      <w:r w:rsidR="0019329B" w:rsidRPr="00135C74">
        <w:t>supply disruptions</w:t>
      </w:r>
      <w:r w:rsidR="00B64998" w:rsidRPr="00135C74">
        <w:t xml:space="preserve">. </w:t>
      </w:r>
      <w:r w:rsidR="00002CFB">
        <w:t xml:space="preserve">Because </w:t>
      </w:r>
      <w:r w:rsidR="00B4370D">
        <w:t>the</w:t>
      </w:r>
      <w:r w:rsidR="004F2080" w:rsidRPr="00135C74">
        <w:t xml:space="preserve"> </w:t>
      </w:r>
      <w:r w:rsidR="00B05430" w:rsidRPr="00135C74">
        <w:t>literature confirms the</w:t>
      </w:r>
      <w:r w:rsidR="00DF574E" w:rsidRPr="00135C74">
        <w:t xml:space="preserve"> </w:t>
      </w:r>
      <w:r w:rsidR="00002881" w:rsidRPr="00135C74">
        <w:t xml:space="preserve">heterogeneity in supply </w:t>
      </w:r>
      <w:r w:rsidR="00DF574E" w:rsidRPr="00135C74">
        <w:t xml:space="preserve">disruption </w:t>
      </w:r>
      <w:r w:rsidR="00002881" w:rsidRPr="00135C74">
        <w:t>risk management</w:t>
      </w:r>
      <w:r w:rsidR="00E82B64" w:rsidRPr="00135C74">
        <w:t xml:space="preserve"> </w:t>
      </w:r>
      <w:r w:rsidR="00B05430" w:rsidRPr="00135C74">
        <w:t>and</w:t>
      </w:r>
      <w:r w:rsidR="00002881" w:rsidRPr="00135C74">
        <w:t xml:space="preserve"> performance</w:t>
      </w:r>
      <w:r w:rsidR="004F2080" w:rsidRPr="00135C74">
        <w:t xml:space="preserve"> outcomes</w:t>
      </w:r>
      <w:r w:rsidR="00F62C4A" w:rsidRPr="00135C74">
        <w:t xml:space="preserve"> (and even in the understanding of risk, </w:t>
      </w:r>
      <w:proofErr w:type="spellStart"/>
      <w:r w:rsidR="00F62C4A" w:rsidRPr="00135C74">
        <w:t>Hekmann</w:t>
      </w:r>
      <w:proofErr w:type="spellEnd"/>
      <w:r w:rsidR="00F62C4A" w:rsidRPr="00135C74">
        <w:t xml:space="preserve"> </w:t>
      </w:r>
      <w:r w:rsidR="00F62C4A" w:rsidRPr="00135C74">
        <w:rPr>
          <w:i/>
          <w:iCs/>
        </w:rPr>
        <w:t>et al.</w:t>
      </w:r>
      <w:r w:rsidR="00F62C4A" w:rsidRPr="00135C74">
        <w:t>, 2015)</w:t>
      </w:r>
      <w:r w:rsidR="004F2080" w:rsidRPr="00135C74">
        <w:t xml:space="preserve">, </w:t>
      </w:r>
      <w:r w:rsidR="008C7EE0" w:rsidRPr="00135C74">
        <w:t xml:space="preserve">we aim to provide a nuanced </w:t>
      </w:r>
      <w:r w:rsidR="00002881" w:rsidRPr="00135C74">
        <w:t>understand</w:t>
      </w:r>
      <w:r w:rsidR="008C7EE0" w:rsidRPr="00135C74">
        <w:t>ing of</w:t>
      </w:r>
      <w:r w:rsidR="00002881" w:rsidRPr="00135C74">
        <w:t xml:space="preserve"> </w:t>
      </w:r>
      <w:r w:rsidR="0005023B" w:rsidRPr="00135C74">
        <w:t xml:space="preserve">the </w:t>
      </w:r>
      <w:r w:rsidR="006A5224" w:rsidRPr="00135C74">
        <w:t xml:space="preserve">antecedent </w:t>
      </w:r>
      <w:r w:rsidR="0005023B" w:rsidRPr="00135C74">
        <w:t>capability</w:t>
      </w:r>
      <w:r w:rsidR="009D73EC">
        <w:t xml:space="preserve"> </w:t>
      </w:r>
      <w:r w:rsidR="009D73EC">
        <w:lastRenderedPageBreak/>
        <w:t>of</w:t>
      </w:r>
      <w:r w:rsidR="0005023B" w:rsidRPr="00135C74">
        <w:t xml:space="preserve"> </w:t>
      </w:r>
      <w:proofErr w:type="spellStart"/>
      <w:r w:rsidR="0005023B" w:rsidRPr="00135C74">
        <w:t>microfoundations</w:t>
      </w:r>
      <w:proofErr w:type="spellEnd"/>
      <w:r w:rsidR="008C7EE0" w:rsidRPr="00135C74">
        <w:t xml:space="preserve"> to</w:t>
      </w:r>
      <w:r w:rsidR="0005023B" w:rsidRPr="00135C74">
        <w:t xml:space="preserve"> explain </w:t>
      </w:r>
      <w:r w:rsidR="00002881" w:rsidRPr="00135C74">
        <w:t>why different managers</w:t>
      </w:r>
      <w:r w:rsidR="00E02049" w:rsidRPr="00135C74">
        <w:t xml:space="preserve">, </w:t>
      </w:r>
      <w:r w:rsidR="00035FC5">
        <w:t xml:space="preserve">acting </w:t>
      </w:r>
      <w:r w:rsidR="00E02049" w:rsidRPr="00135C74">
        <w:t>within their area of supply responsibility,</w:t>
      </w:r>
      <w:r w:rsidR="00002881" w:rsidRPr="00135C74">
        <w:t xml:space="preserve"> arrive at different supply disruption outcomes</w:t>
      </w:r>
      <w:r w:rsidR="0005023B" w:rsidRPr="00135C74">
        <w:t xml:space="preserve"> </w:t>
      </w:r>
      <w:r w:rsidR="006A5224" w:rsidRPr="00135C74">
        <w:t xml:space="preserve">and resilience </w:t>
      </w:r>
      <w:r w:rsidR="0005023B" w:rsidRPr="00135C74">
        <w:t xml:space="preserve">(cf. </w:t>
      </w:r>
      <w:proofErr w:type="spellStart"/>
      <w:r w:rsidR="0005023B" w:rsidRPr="00135C74">
        <w:t>Felin</w:t>
      </w:r>
      <w:proofErr w:type="spellEnd"/>
      <w:r w:rsidR="0005023B" w:rsidRPr="00135C74">
        <w:t xml:space="preserve"> </w:t>
      </w:r>
      <w:r w:rsidR="0005023B" w:rsidRPr="00135C74">
        <w:rPr>
          <w:i/>
        </w:rPr>
        <w:t>et al</w:t>
      </w:r>
      <w:r w:rsidR="0005023B" w:rsidRPr="00135C74">
        <w:t>., 2012)</w:t>
      </w:r>
      <w:r w:rsidR="0045519A" w:rsidRPr="00135C74">
        <w:t xml:space="preserve">. </w:t>
      </w:r>
      <w:r w:rsidR="00EE2E65" w:rsidRPr="00135C74">
        <w:t>T</w:t>
      </w:r>
      <w:r w:rsidR="0045519A" w:rsidRPr="00135C74">
        <w:t>his</w:t>
      </w:r>
      <w:r w:rsidR="00EE2E65" w:rsidRPr="00135C74">
        <w:t xml:space="preserve"> </w:t>
      </w:r>
      <w:r w:rsidR="00935E21" w:rsidRPr="00135C74">
        <w:t xml:space="preserve">goal </w:t>
      </w:r>
      <w:r w:rsidR="00EE2E65" w:rsidRPr="00135C74">
        <w:t>is accomplished</w:t>
      </w:r>
      <w:r w:rsidR="0045519A" w:rsidRPr="00135C74">
        <w:t xml:space="preserve"> through an ABV lens, </w:t>
      </w:r>
      <w:r w:rsidR="00935E21" w:rsidRPr="00135C74">
        <w:t xml:space="preserve">given that </w:t>
      </w:r>
      <w:r w:rsidR="0045519A" w:rsidRPr="00135C74">
        <w:t xml:space="preserve">we suggest </w:t>
      </w:r>
      <w:r w:rsidR="00935E21" w:rsidRPr="00135C74">
        <w:t xml:space="preserve">various </w:t>
      </w:r>
      <w:r w:rsidR="0045519A" w:rsidRPr="00135C74">
        <w:t>disruption management outcome</w:t>
      </w:r>
      <w:r w:rsidR="00935E21" w:rsidRPr="00135C74">
        <w:t>s</w:t>
      </w:r>
      <w:r w:rsidR="0045519A" w:rsidRPr="00135C74">
        <w:t xml:space="preserve"> </w:t>
      </w:r>
      <w:r w:rsidR="00374495">
        <w:t>‘</w:t>
      </w:r>
      <w:r w:rsidR="00002881" w:rsidRPr="00135C74">
        <w:t xml:space="preserve">in part, because </w:t>
      </w:r>
      <w:r w:rsidR="0045519A" w:rsidRPr="00135C74">
        <w:t>[managers]</w:t>
      </w:r>
      <w:r w:rsidR="00002881" w:rsidRPr="00135C74">
        <w:t xml:space="preserve"> differ in how</w:t>
      </w:r>
      <w:r w:rsidR="0045519A" w:rsidRPr="00135C74">
        <w:t xml:space="preserve"> they</w:t>
      </w:r>
      <w:r w:rsidR="00002881" w:rsidRPr="00135C74">
        <w:t xml:space="preserve"> [focus,] notice and interpret the stimuli around them</w:t>
      </w:r>
      <w:r w:rsidR="00374495">
        <w:t>’</w:t>
      </w:r>
      <w:r w:rsidR="00374495" w:rsidRPr="00135C74">
        <w:t xml:space="preserve"> </w:t>
      </w:r>
      <w:r w:rsidR="00002881" w:rsidRPr="00135C74">
        <w:t>(Cho and Hambrick</w:t>
      </w:r>
      <w:r w:rsidR="00935E21" w:rsidRPr="00135C74">
        <w:t>,</w:t>
      </w:r>
      <w:r w:rsidR="00002881" w:rsidRPr="00135C74">
        <w:t xml:space="preserve"> 2006</w:t>
      </w:r>
      <w:r w:rsidR="00645887" w:rsidRPr="00135C74">
        <w:t xml:space="preserve">, </w:t>
      </w:r>
      <w:r w:rsidR="00F10E5D" w:rsidRPr="00135C74">
        <w:t>466</w:t>
      </w:r>
      <w:r w:rsidR="0045519A" w:rsidRPr="00135C74">
        <w:t xml:space="preserve">). </w:t>
      </w:r>
    </w:p>
    <w:p w14:paraId="1C9817E6" w14:textId="77777777" w:rsidR="00F62C4A" w:rsidRPr="00135C74" w:rsidRDefault="00F62C4A" w:rsidP="00377304">
      <w:pPr>
        <w:spacing w:line="480" w:lineRule="auto"/>
        <w:jc w:val="both"/>
        <w:rPr>
          <w:i/>
        </w:rPr>
      </w:pPr>
    </w:p>
    <w:p w14:paraId="69F1E62B" w14:textId="0EB5CF7E" w:rsidR="00AC48F7" w:rsidRPr="00135C74" w:rsidRDefault="00736458" w:rsidP="00377304">
      <w:pPr>
        <w:spacing w:line="480" w:lineRule="auto"/>
        <w:jc w:val="both"/>
      </w:pPr>
      <w:r w:rsidRPr="00135C74">
        <w:rPr>
          <w:i/>
        </w:rPr>
        <w:t xml:space="preserve">2.2 </w:t>
      </w:r>
      <w:r w:rsidR="00AC48F7" w:rsidRPr="00135C74">
        <w:rPr>
          <w:i/>
        </w:rPr>
        <w:t>Hypotheses</w:t>
      </w:r>
    </w:p>
    <w:p w14:paraId="7DFCF78D" w14:textId="1D1606A0" w:rsidR="00234536" w:rsidRPr="00135C74" w:rsidRDefault="00234536" w:rsidP="00234536">
      <w:pPr>
        <w:spacing w:line="480" w:lineRule="auto"/>
        <w:jc w:val="both"/>
      </w:pPr>
      <w:r w:rsidRPr="00135C74">
        <w:t>In the following</w:t>
      </w:r>
      <w:r w:rsidR="004E0DB1" w:rsidRPr="00135C74">
        <w:t xml:space="preserve"> section</w:t>
      </w:r>
      <w:r w:rsidRPr="00135C74">
        <w:t xml:space="preserve">, testable hypotheses are developed </w:t>
      </w:r>
      <w:r w:rsidR="005157BD" w:rsidRPr="00135C74">
        <w:t>linking</w:t>
      </w:r>
      <w:r w:rsidRPr="00135C74">
        <w:t xml:space="preserve"> ABV-based constructs with the dependent construct of supply resilience. Figure 1 depicts our research model. </w:t>
      </w:r>
    </w:p>
    <w:p w14:paraId="11D9861C" w14:textId="77777777" w:rsidR="00F62C4A" w:rsidRPr="00135C74" w:rsidRDefault="00F62C4A" w:rsidP="00234536">
      <w:pPr>
        <w:spacing w:line="480" w:lineRule="auto"/>
        <w:rPr>
          <w:i/>
          <w:lang w:eastAsia="fi-FI"/>
        </w:rPr>
      </w:pPr>
    </w:p>
    <w:p w14:paraId="6CB1DE98" w14:textId="77777777" w:rsidR="00234536" w:rsidRPr="00135C74" w:rsidRDefault="00234536" w:rsidP="00234536">
      <w:pPr>
        <w:spacing w:line="480" w:lineRule="auto"/>
        <w:rPr>
          <w:i/>
          <w:lang w:eastAsia="fi-FI"/>
        </w:rPr>
      </w:pPr>
      <w:r w:rsidRPr="00135C74">
        <w:rPr>
          <w:i/>
          <w:lang w:eastAsia="fi-FI"/>
        </w:rPr>
        <w:t>&lt;Insert Figure 1 approximately here&gt;</w:t>
      </w:r>
    </w:p>
    <w:p w14:paraId="60FA9272" w14:textId="77777777" w:rsidR="00F62C4A" w:rsidRPr="00135C74" w:rsidRDefault="00F62C4A" w:rsidP="00234536">
      <w:pPr>
        <w:spacing w:line="480" w:lineRule="auto"/>
        <w:jc w:val="both"/>
        <w:rPr>
          <w:b/>
        </w:rPr>
      </w:pPr>
    </w:p>
    <w:p w14:paraId="60E64BF6" w14:textId="7EB56F84" w:rsidR="00234536" w:rsidRPr="00135C74" w:rsidRDefault="00234536" w:rsidP="00234536">
      <w:pPr>
        <w:spacing w:line="480" w:lineRule="auto"/>
        <w:jc w:val="both"/>
      </w:pPr>
      <w:r w:rsidRPr="00135C74">
        <w:rPr>
          <w:b/>
        </w:rPr>
        <w:t xml:space="preserve">Figure 1. </w:t>
      </w:r>
      <w:r w:rsidRPr="00135C74">
        <w:t>Research model and hypotheses</w:t>
      </w:r>
    </w:p>
    <w:p w14:paraId="07D11B0D" w14:textId="77777777" w:rsidR="00F62C4A" w:rsidRPr="00135C74" w:rsidRDefault="00F62C4A" w:rsidP="00377304">
      <w:pPr>
        <w:spacing w:line="480" w:lineRule="auto"/>
        <w:jc w:val="both"/>
      </w:pPr>
    </w:p>
    <w:p w14:paraId="312E9FAF" w14:textId="3AAAD132" w:rsidR="005157BD" w:rsidRPr="00135C74" w:rsidRDefault="00837E79" w:rsidP="00377304">
      <w:pPr>
        <w:spacing w:line="480" w:lineRule="auto"/>
        <w:jc w:val="both"/>
      </w:pPr>
      <w:r w:rsidRPr="00135C74">
        <w:t xml:space="preserve">True to our ABV-based definition, the </w:t>
      </w:r>
      <w:r w:rsidR="0045519A" w:rsidRPr="00135C74">
        <w:t xml:space="preserve">two identified attentional </w:t>
      </w:r>
      <w:r w:rsidRPr="00135C74">
        <w:t xml:space="preserve">perspectives </w:t>
      </w:r>
      <w:r w:rsidR="0045519A" w:rsidRPr="00135C74">
        <w:t xml:space="preserve">on supply disruption risk management </w:t>
      </w:r>
      <w:r w:rsidRPr="00135C74">
        <w:t>have different foc</w:t>
      </w:r>
      <w:r w:rsidR="00DF574E" w:rsidRPr="00135C74">
        <w:t>i</w:t>
      </w:r>
      <w:r w:rsidRPr="00135C74">
        <w:t xml:space="preserve">, </w:t>
      </w:r>
      <w:r w:rsidR="00DF574E" w:rsidRPr="00135C74">
        <w:t>yet</w:t>
      </w:r>
      <w:r w:rsidRPr="00135C74">
        <w:t xml:space="preserve"> the</w:t>
      </w:r>
      <w:r w:rsidR="00857FA2">
        <w:t>ir</w:t>
      </w:r>
      <w:r w:rsidRPr="00135C74">
        <w:t xml:space="preserve"> desired outcomes converge. </w:t>
      </w:r>
      <w:r w:rsidR="00970A0D" w:rsidRPr="00135C74">
        <w:t>In the absence of perspective</w:t>
      </w:r>
      <w:r w:rsidR="00935E21" w:rsidRPr="00135C74">
        <w:t>-</w:t>
      </w:r>
      <w:r w:rsidR="00970A0D" w:rsidRPr="00135C74">
        <w:t xml:space="preserve">specific evidence, </w:t>
      </w:r>
      <w:r w:rsidR="005157BD" w:rsidRPr="00135C74">
        <w:t>studies</w:t>
      </w:r>
      <w:r w:rsidR="00B4370D">
        <w:t xml:space="preserve"> have</w:t>
      </w:r>
      <w:r w:rsidR="005157BD" w:rsidRPr="00135C74">
        <w:t xml:space="preserve"> identif</w:t>
      </w:r>
      <w:r w:rsidR="00B4370D">
        <w:t>ied</w:t>
      </w:r>
      <w:r w:rsidR="00970A0D" w:rsidRPr="00135C74">
        <w:t xml:space="preserve"> the general positive effects </w:t>
      </w:r>
      <w:r w:rsidR="005157BD" w:rsidRPr="00135C74">
        <w:t>of</w:t>
      </w:r>
      <w:r w:rsidR="002B739F" w:rsidRPr="00135C74">
        <w:t xml:space="preserve"> </w:t>
      </w:r>
      <w:r w:rsidR="00970A0D" w:rsidRPr="00135C74">
        <w:t>supply risk management.</w:t>
      </w:r>
      <w:r w:rsidR="005157BD" w:rsidRPr="00135C74">
        <w:t xml:space="preserve"> F</w:t>
      </w:r>
      <w:r w:rsidR="00EF7AC2" w:rsidRPr="00135C74">
        <w:t>or example</w:t>
      </w:r>
      <w:r w:rsidR="00935E21" w:rsidRPr="00135C74">
        <w:t>,</w:t>
      </w:r>
      <w:r w:rsidR="00EF7AC2" w:rsidRPr="00135C74">
        <w:t xml:space="preserve"> holistic</w:t>
      </w:r>
      <w:r w:rsidR="003876B3" w:rsidRPr="00135C74">
        <w:t xml:space="preserve"> risk management practices along supply chains are positively related to operational performance (Kauppi </w:t>
      </w:r>
      <w:r w:rsidR="003876B3" w:rsidRPr="00135C74">
        <w:rPr>
          <w:i/>
        </w:rPr>
        <w:t>et al</w:t>
      </w:r>
      <w:r w:rsidR="003876B3" w:rsidRPr="00135C74">
        <w:t>., 2016)</w:t>
      </w:r>
      <w:r w:rsidR="00935E21" w:rsidRPr="00135C74">
        <w:t>,</w:t>
      </w:r>
      <w:r w:rsidR="00EF7AC2" w:rsidRPr="00135C74">
        <w:t xml:space="preserve"> </w:t>
      </w:r>
      <w:r w:rsidR="00857FA2">
        <w:t xml:space="preserve">a </w:t>
      </w:r>
      <w:r w:rsidR="00064378" w:rsidRPr="00135C74">
        <w:t>g</w:t>
      </w:r>
      <w:r w:rsidRPr="00135C74">
        <w:t>eneric risk management infrastructure plays an important role in resilience (</w:t>
      </w:r>
      <w:proofErr w:type="spellStart"/>
      <w:r w:rsidRPr="00135C74">
        <w:t>Ambulkar</w:t>
      </w:r>
      <w:proofErr w:type="spellEnd"/>
      <w:r w:rsidRPr="00135C74">
        <w:t xml:space="preserve"> </w:t>
      </w:r>
      <w:r w:rsidRPr="00135C74">
        <w:rPr>
          <w:i/>
        </w:rPr>
        <w:t>et al</w:t>
      </w:r>
      <w:r w:rsidRPr="00135C74">
        <w:t>., 2015)</w:t>
      </w:r>
      <w:r w:rsidR="00935E21" w:rsidRPr="00135C74">
        <w:t>,</w:t>
      </w:r>
      <w:r w:rsidRPr="00135C74">
        <w:t xml:space="preserve"> </w:t>
      </w:r>
      <w:r w:rsidR="00EF7AC2" w:rsidRPr="00135C74">
        <w:t xml:space="preserve">flexibility and </w:t>
      </w:r>
      <w:r w:rsidR="00034812" w:rsidRPr="00135C74">
        <w:t>redundancy practices moderate the effect of supply market risk on supply chain resilience (</w:t>
      </w:r>
      <w:proofErr w:type="spellStart"/>
      <w:r w:rsidR="00034812" w:rsidRPr="00135C74">
        <w:t>Zsidisin</w:t>
      </w:r>
      <w:proofErr w:type="spellEnd"/>
      <w:r w:rsidR="00034812" w:rsidRPr="00135C74">
        <w:t xml:space="preserve"> and Wagner, 2010</w:t>
      </w:r>
      <w:r w:rsidR="0045519A" w:rsidRPr="00135C74">
        <w:t>)</w:t>
      </w:r>
      <w:r w:rsidR="00034812" w:rsidRPr="00135C74">
        <w:t xml:space="preserve">, </w:t>
      </w:r>
      <w:r w:rsidR="00935E21" w:rsidRPr="00135C74">
        <w:t xml:space="preserve">and </w:t>
      </w:r>
      <w:r w:rsidR="00034812" w:rsidRPr="00135C74">
        <w:t xml:space="preserve">disruption </w:t>
      </w:r>
      <w:r w:rsidRPr="00135C74">
        <w:t xml:space="preserve">recovery capabilities </w:t>
      </w:r>
      <w:r w:rsidR="00EF7AC2" w:rsidRPr="00135C74">
        <w:t>may</w:t>
      </w:r>
      <w:r w:rsidRPr="00135C74">
        <w:t xml:space="preserve"> reduce the severity of supply disru</w:t>
      </w:r>
      <w:r w:rsidR="00034812" w:rsidRPr="00135C74">
        <w:t>ptions (</w:t>
      </w:r>
      <w:proofErr w:type="spellStart"/>
      <w:r w:rsidR="00034812" w:rsidRPr="00135C74">
        <w:t>Craighead</w:t>
      </w:r>
      <w:proofErr w:type="spellEnd"/>
      <w:r w:rsidR="00034812" w:rsidRPr="00135C74">
        <w:t xml:space="preserve"> </w:t>
      </w:r>
      <w:r w:rsidR="00034812" w:rsidRPr="00135C74">
        <w:rPr>
          <w:i/>
        </w:rPr>
        <w:t>et al</w:t>
      </w:r>
      <w:r w:rsidR="00034812" w:rsidRPr="00135C74">
        <w:t>., 2007</w:t>
      </w:r>
      <w:r w:rsidR="00CE7DA5" w:rsidRPr="00135C74">
        <w:t>).</w:t>
      </w:r>
      <w:r w:rsidR="001D3C79" w:rsidRPr="00135C74">
        <w:t xml:space="preserve"> </w:t>
      </w:r>
    </w:p>
    <w:p w14:paraId="2DF60937" w14:textId="510F5844" w:rsidR="00034812" w:rsidRPr="00135C74" w:rsidRDefault="00283C11" w:rsidP="00377304">
      <w:pPr>
        <w:spacing w:line="480" w:lineRule="auto"/>
        <w:jc w:val="both"/>
      </w:pPr>
      <w:r w:rsidRPr="00135C74">
        <w:t>The</w:t>
      </w:r>
      <w:r w:rsidR="0076213F" w:rsidRPr="00135C74">
        <w:t>se</w:t>
      </w:r>
      <w:r w:rsidRPr="00135C74">
        <w:t xml:space="preserve"> </w:t>
      </w:r>
      <w:r w:rsidR="007B1A05">
        <w:t xml:space="preserve">conclusions </w:t>
      </w:r>
      <w:r w:rsidRPr="00135C74">
        <w:t xml:space="preserve">suggest that many types of well-thought-out and maturely executed risk management practices </w:t>
      </w:r>
      <w:r w:rsidR="005157BD" w:rsidRPr="00135C74">
        <w:t>improve resilience</w:t>
      </w:r>
      <w:r w:rsidR="00DA65E2">
        <w:t xml:space="preserve"> because </w:t>
      </w:r>
      <w:r w:rsidRPr="00135C74">
        <w:t xml:space="preserve">according to the ABV, they generate </w:t>
      </w:r>
      <w:r w:rsidRPr="00135C74">
        <w:lastRenderedPageBreak/>
        <w:t xml:space="preserve">heightened awareness of the environment and </w:t>
      </w:r>
      <w:r w:rsidR="005157BD" w:rsidRPr="00135C74">
        <w:t>are likely to l</w:t>
      </w:r>
      <w:r w:rsidRPr="00135C74">
        <w:t xml:space="preserve">ead to </w:t>
      </w:r>
      <w:r w:rsidR="004E68F1">
        <w:t xml:space="preserve">the </w:t>
      </w:r>
      <w:r w:rsidRPr="00135C74">
        <w:t xml:space="preserve">allocation of resources </w:t>
      </w:r>
      <w:r w:rsidR="00C90C1E" w:rsidRPr="00135C74">
        <w:t>so that the particular features may be addressed</w:t>
      </w:r>
      <w:r w:rsidRPr="00135C74">
        <w:t>.</w:t>
      </w:r>
      <w:r w:rsidR="00141195" w:rsidRPr="00135C74">
        <w:t xml:space="preserve"> Focus and awareness </w:t>
      </w:r>
      <w:r w:rsidR="005157BD" w:rsidRPr="00135C74">
        <w:t>of</w:t>
      </w:r>
      <w:r w:rsidR="00141195" w:rsidRPr="00135C74">
        <w:t xml:space="preserve"> risk sources, as an attentional perspective, directs </w:t>
      </w:r>
      <w:r w:rsidR="005157BD" w:rsidRPr="00135C74">
        <w:t xml:space="preserve">adequately resourced </w:t>
      </w:r>
      <w:r w:rsidR="00141195" w:rsidRPr="00135C74">
        <w:t>managers</w:t>
      </w:r>
      <w:r w:rsidR="005157BD" w:rsidRPr="00135C74">
        <w:t xml:space="preserve"> </w:t>
      </w:r>
      <w:r w:rsidR="00141195" w:rsidRPr="00135C74">
        <w:t xml:space="preserve">to undertake the </w:t>
      </w:r>
      <w:r w:rsidR="005157BD" w:rsidRPr="00135C74">
        <w:t>‘</w:t>
      </w:r>
      <w:r w:rsidR="00141195" w:rsidRPr="00135C74">
        <w:t>SAM</w:t>
      </w:r>
      <w:r w:rsidR="005157BD" w:rsidRPr="00135C74">
        <w:t>’</w:t>
      </w:r>
      <w:r w:rsidR="00141195" w:rsidRPr="00135C74">
        <w:t xml:space="preserve"> tasks</w:t>
      </w:r>
      <w:r w:rsidR="00A50CDB">
        <w:t>:</w:t>
      </w:r>
      <w:r w:rsidR="00A50CDB" w:rsidRPr="00135C74">
        <w:t xml:space="preserve"> </w:t>
      </w:r>
      <w:r w:rsidR="00141195" w:rsidRPr="00135C74">
        <w:t>the specifying, assessment and mitigation of sources of risks and vulnerabilities</w:t>
      </w:r>
      <w:r w:rsidR="007B06D4" w:rsidRPr="00135C74">
        <w:t xml:space="preserve"> (</w:t>
      </w:r>
      <w:proofErr w:type="spellStart"/>
      <w:r w:rsidR="007B06D4" w:rsidRPr="00135C74">
        <w:t>Kleindorfer</w:t>
      </w:r>
      <w:proofErr w:type="spellEnd"/>
      <w:r w:rsidR="007B06D4" w:rsidRPr="00135C74">
        <w:t xml:space="preserve"> and Saad, 2005). With </w:t>
      </w:r>
      <w:r w:rsidR="00A50CDB">
        <w:t xml:space="preserve">the </w:t>
      </w:r>
      <w:r w:rsidR="007B06D4" w:rsidRPr="00135C74">
        <w:t xml:space="preserve">assumed </w:t>
      </w:r>
      <w:r w:rsidR="00135C74" w:rsidRPr="00135C74">
        <w:t>skilful</w:t>
      </w:r>
      <w:r w:rsidR="007B06D4" w:rsidRPr="00135C74">
        <w:t xml:space="preserve"> execution</w:t>
      </w:r>
      <w:r w:rsidR="00C90C1E" w:rsidRPr="00135C74">
        <w:t xml:space="preserve"> of</w:t>
      </w:r>
      <w:r w:rsidR="007B06D4" w:rsidRPr="00135C74">
        <w:t xml:space="preserve"> </w:t>
      </w:r>
      <w:r w:rsidR="00141195" w:rsidRPr="00135C74">
        <w:t xml:space="preserve">these </w:t>
      </w:r>
      <w:r w:rsidR="00C90C1E" w:rsidRPr="00135C74">
        <w:t>tasks, beneficial resilience outcomes may be achieved</w:t>
      </w:r>
      <w:r w:rsidR="00141195" w:rsidRPr="00135C74">
        <w:t xml:space="preserve"> </w:t>
      </w:r>
      <w:r w:rsidR="007B06D4" w:rsidRPr="00135C74">
        <w:t>(e.g.</w:t>
      </w:r>
      <w:r w:rsidR="00B4370D">
        <w:t>,</w:t>
      </w:r>
      <w:r w:rsidR="007B06D4" w:rsidRPr="00135C74">
        <w:t xml:space="preserve"> </w:t>
      </w:r>
      <w:proofErr w:type="spellStart"/>
      <w:r w:rsidR="007B06D4" w:rsidRPr="00135C74">
        <w:t>Ambulkar</w:t>
      </w:r>
      <w:proofErr w:type="spellEnd"/>
      <w:r w:rsidR="007B06D4" w:rsidRPr="00135C74">
        <w:t xml:space="preserve"> </w:t>
      </w:r>
      <w:r w:rsidR="007B06D4" w:rsidRPr="007B1A05">
        <w:rPr>
          <w:i/>
        </w:rPr>
        <w:t>et al.</w:t>
      </w:r>
      <w:r w:rsidR="007B06D4" w:rsidRPr="00135C74">
        <w:t>, 2015)</w:t>
      </w:r>
      <w:r w:rsidR="00141195" w:rsidRPr="00135C74">
        <w:t xml:space="preserve">. </w:t>
      </w:r>
      <w:r w:rsidR="00896E79" w:rsidRPr="00135C74">
        <w:t>Thus, we hypothesi</w:t>
      </w:r>
      <w:r w:rsidR="001870C5">
        <w:t>s</w:t>
      </w:r>
      <w:r w:rsidR="00896E79" w:rsidRPr="00135C74">
        <w:t>e</w:t>
      </w:r>
      <w:r w:rsidR="00935E21" w:rsidRPr="00135C74">
        <w:t xml:space="preserve"> the following</w:t>
      </w:r>
      <w:r w:rsidR="00896E79" w:rsidRPr="00135C74">
        <w:t>:</w:t>
      </w:r>
      <w:r w:rsidR="00034812" w:rsidRPr="00135C74">
        <w:t xml:space="preserve"> </w:t>
      </w:r>
    </w:p>
    <w:p w14:paraId="083450FD" w14:textId="77777777" w:rsidR="00064378" w:rsidRPr="00135C74" w:rsidRDefault="00064378" w:rsidP="00377304">
      <w:pPr>
        <w:spacing w:line="480" w:lineRule="auto"/>
        <w:jc w:val="both"/>
        <w:rPr>
          <w:b/>
        </w:rPr>
      </w:pPr>
    </w:p>
    <w:p w14:paraId="1D7F5ED9" w14:textId="54BA163F" w:rsidR="00151DBF" w:rsidRPr="00135C74" w:rsidRDefault="00034812" w:rsidP="00377304">
      <w:pPr>
        <w:spacing w:line="480" w:lineRule="auto"/>
        <w:jc w:val="both"/>
      </w:pPr>
      <w:r w:rsidRPr="00135C74">
        <w:rPr>
          <w:b/>
        </w:rPr>
        <w:t>H1</w:t>
      </w:r>
      <w:r w:rsidRPr="00135C74">
        <w:t xml:space="preserve">: </w:t>
      </w:r>
      <w:r w:rsidR="00A50CDB">
        <w:rPr>
          <w:i/>
        </w:rPr>
        <w:t>The f</w:t>
      </w:r>
      <w:r w:rsidR="00837E79" w:rsidRPr="00135C74">
        <w:rPr>
          <w:i/>
        </w:rPr>
        <w:t>o</w:t>
      </w:r>
      <w:r w:rsidR="00151DBF" w:rsidRPr="00135C74">
        <w:rPr>
          <w:i/>
        </w:rPr>
        <w:t xml:space="preserve">cus on supply risk sources </w:t>
      </w:r>
      <w:r w:rsidRPr="00135C74">
        <w:rPr>
          <w:i/>
        </w:rPr>
        <w:t xml:space="preserve">as an attentional perspective on supply disruption risk management is positively associated with </w:t>
      </w:r>
      <w:r w:rsidR="00423785" w:rsidRPr="00135C74">
        <w:rPr>
          <w:i/>
        </w:rPr>
        <w:t xml:space="preserve">supply </w:t>
      </w:r>
      <w:r w:rsidRPr="00135C74">
        <w:rPr>
          <w:i/>
        </w:rPr>
        <w:t>resilience.</w:t>
      </w:r>
      <w:r w:rsidRPr="00135C74">
        <w:t xml:space="preserve"> </w:t>
      </w:r>
    </w:p>
    <w:p w14:paraId="5A13B541" w14:textId="77777777" w:rsidR="00064378" w:rsidRPr="00135C74" w:rsidRDefault="00064378" w:rsidP="00377304">
      <w:pPr>
        <w:spacing w:line="480" w:lineRule="auto"/>
        <w:jc w:val="both"/>
      </w:pPr>
    </w:p>
    <w:p w14:paraId="6D3885E6" w14:textId="5AD100F4" w:rsidR="007B06D4" w:rsidRPr="00135C74" w:rsidRDefault="00A50CDB" w:rsidP="00377304">
      <w:pPr>
        <w:spacing w:line="480" w:lineRule="auto"/>
        <w:jc w:val="both"/>
      </w:pPr>
      <w:r>
        <w:t>A</w:t>
      </w:r>
      <w:r w:rsidRPr="00135C74">
        <w:t xml:space="preserve">s another attentional perspective, </w:t>
      </w:r>
      <w:r>
        <w:t>a</w:t>
      </w:r>
      <w:r w:rsidRPr="00135C74">
        <w:t xml:space="preserve"> </w:t>
      </w:r>
      <w:r w:rsidR="005157BD" w:rsidRPr="00135C74">
        <w:t>f</w:t>
      </w:r>
      <w:r w:rsidR="0037488F" w:rsidRPr="00135C74">
        <w:t xml:space="preserve">ocus </w:t>
      </w:r>
      <w:r w:rsidR="005157BD" w:rsidRPr="00135C74">
        <w:t xml:space="preserve">on supply </w:t>
      </w:r>
      <w:r w:rsidR="0037488F" w:rsidRPr="00135C74">
        <w:t xml:space="preserve">network recoverability directs managers to map </w:t>
      </w:r>
      <w:r w:rsidR="001D4B17" w:rsidRPr="00135C74">
        <w:t>and</w:t>
      </w:r>
      <w:r w:rsidR="0037488F" w:rsidRPr="00135C74">
        <w:t xml:space="preserve"> assess </w:t>
      </w:r>
      <w:r w:rsidR="005157BD" w:rsidRPr="00135C74">
        <w:t xml:space="preserve">network </w:t>
      </w:r>
      <w:r w:rsidR="0037488F" w:rsidRPr="00135C74">
        <w:t xml:space="preserve">recoverability </w:t>
      </w:r>
      <w:r w:rsidR="001D4B17" w:rsidRPr="00135C74">
        <w:t xml:space="preserve">in terms of contingency plans and redundancy practices (Ivanov and </w:t>
      </w:r>
      <w:proofErr w:type="spellStart"/>
      <w:r w:rsidR="001D4B17" w:rsidRPr="00135C74">
        <w:t>Dolgui</w:t>
      </w:r>
      <w:proofErr w:type="spellEnd"/>
      <w:r w:rsidR="001D4B17" w:rsidRPr="00135C74">
        <w:t>, 2019), for example</w:t>
      </w:r>
      <w:r w:rsidR="00B4370D">
        <w:t>,</w:t>
      </w:r>
      <w:r w:rsidR="001D4B17" w:rsidRPr="00135C74">
        <w:t xml:space="preserve"> </w:t>
      </w:r>
      <w:r w:rsidR="002107B0" w:rsidRPr="00135C74">
        <w:t>regarding</w:t>
      </w:r>
      <w:r w:rsidR="001D4B17" w:rsidRPr="00135C74">
        <w:t xml:space="preserve"> inventory safety margins and alternative </w:t>
      </w:r>
      <w:r w:rsidR="005157BD" w:rsidRPr="00135C74">
        <w:t xml:space="preserve">supply </w:t>
      </w:r>
      <w:r w:rsidR="001D4B17" w:rsidRPr="00135C74">
        <w:t>sources</w:t>
      </w:r>
      <w:r w:rsidR="0037488F" w:rsidRPr="00135C74">
        <w:t>.</w:t>
      </w:r>
      <w:r w:rsidR="005157BD" w:rsidRPr="00135C74">
        <w:t xml:space="preserve"> Attention </w:t>
      </w:r>
      <w:r w:rsidR="00B4370D">
        <w:t>t</w:t>
      </w:r>
      <w:r w:rsidR="005157BD" w:rsidRPr="00135C74">
        <w:t xml:space="preserve">o recoverability </w:t>
      </w:r>
      <w:r w:rsidR="000512CE" w:rsidRPr="00135C74">
        <w:t xml:space="preserve">with direct suppliers and across the supply network </w:t>
      </w:r>
      <w:r w:rsidR="005157BD" w:rsidRPr="00135C74">
        <w:t>can</w:t>
      </w:r>
      <w:r w:rsidR="000512CE" w:rsidRPr="00135C74">
        <w:t xml:space="preserve"> lead to</w:t>
      </w:r>
      <w:r w:rsidR="00C10D17" w:rsidRPr="00135C74">
        <w:t xml:space="preserve"> </w:t>
      </w:r>
      <w:r w:rsidR="008C3A8C">
        <w:t xml:space="preserve">the </w:t>
      </w:r>
      <w:r w:rsidR="00C10D17" w:rsidRPr="00135C74">
        <w:t>standardi</w:t>
      </w:r>
      <w:r w:rsidR="001870C5">
        <w:t>s</w:t>
      </w:r>
      <w:r w:rsidR="00C10D17" w:rsidRPr="00135C74">
        <w:t xml:space="preserve">ation of procedures, joint decision making and collaborative performance systems, </w:t>
      </w:r>
      <w:r w:rsidR="008C3A8C">
        <w:t>eventually leading</w:t>
      </w:r>
      <w:r w:rsidR="00C10D17" w:rsidRPr="00135C74">
        <w:t xml:space="preserve"> to</w:t>
      </w:r>
      <w:r w:rsidR="00B4370D">
        <w:t xml:space="preserve"> a</w:t>
      </w:r>
      <w:r w:rsidR="00C10D17" w:rsidRPr="00135C74">
        <w:t xml:space="preserve"> </w:t>
      </w:r>
      <w:r w:rsidR="000512CE" w:rsidRPr="00135C74">
        <w:t>higher level of resilience under supply disruptions</w:t>
      </w:r>
      <w:r w:rsidR="001D4B17" w:rsidRPr="00135C74">
        <w:t xml:space="preserve"> (</w:t>
      </w:r>
      <w:r w:rsidR="00C10D17" w:rsidRPr="00135C74">
        <w:t xml:space="preserve">Friday </w:t>
      </w:r>
      <w:r w:rsidR="00C10D17" w:rsidRPr="007B1A05">
        <w:rPr>
          <w:i/>
        </w:rPr>
        <w:t>et al.</w:t>
      </w:r>
      <w:r w:rsidR="00C10D17" w:rsidRPr="00135C74">
        <w:t>, 2018</w:t>
      </w:r>
      <w:r w:rsidR="001D4B17" w:rsidRPr="00135C74">
        <w:t xml:space="preserve">). </w:t>
      </w:r>
      <w:r w:rsidR="005157BD" w:rsidRPr="00135C74">
        <w:t>Thus, w</w:t>
      </w:r>
      <w:r w:rsidR="001D4B17" w:rsidRPr="00135C74">
        <w:t xml:space="preserve">e </w:t>
      </w:r>
      <w:r w:rsidR="000512CE" w:rsidRPr="00135C74">
        <w:t xml:space="preserve">state the following </w:t>
      </w:r>
      <w:r w:rsidR="001D4B17" w:rsidRPr="00135C74">
        <w:t>hypothesi</w:t>
      </w:r>
      <w:r w:rsidR="000512CE" w:rsidRPr="00135C74">
        <w:t>s</w:t>
      </w:r>
      <w:r w:rsidR="001D4B17" w:rsidRPr="00135C74">
        <w:t>:</w:t>
      </w:r>
    </w:p>
    <w:p w14:paraId="1D083520" w14:textId="77777777" w:rsidR="00064378" w:rsidRPr="00135C74" w:rsidRDefault="00064378" w:rsidP="00232C6A">
      <w:pPr>
        <w:spacing w:line="480" w:lineRule="auto"/>
        <w:jc w:val="both"/>
        <w:rPr>
          <w:b/>
        </w:rPr>
      </w:pPr>
    </w:p>
    <w:p w14:paraId="5A31590F" w14:textId="1F1E67DC" w:rsidR="00232C6A" w:rsidRPr="00135C74" w:rsidRDefault="00232C6A" w:rsidP="00232C6A">
      <w:pPr>
        <w:spacing w:line="480" w:lineRule="auto"/>
        <w:jc w:val="both"/>
      </w:pPr>
      <w:r w:rsidRPr="00135C74">
        <w:rPr>
          <w:b/>
        </w:rPr>
        <w:t>H2</w:t>
      </w:r>
      <w:r w:rsidRPr="00135C74">
        <w:t xml:space="preserve">: </w:t>
      </w:r>
      <w:r w:rsidR="008239CC">
        <w:rPr>
          <w:i/>
        </w:rPr>
        <w:t>The f</w:t>
      </w:r>
      <w:r w:rsidRPr="00135C74">
        <w:rPr>
          <w:i/>
        </w:rPr>
        <w:t>ocus on supply network recoverability as an attentional perspective on supply disruption risk management is positively associated with supply resilience.</w:t>
      </w:r>
    </w:p>
    <w:p w14:paraId="25484423" w14:textId="77777777" w:rsidR="008129B5" w:rsidRPr="00135C74" w:rsidRDefault="008129B5" w:rsidP="00377304">
      <w:pPr>
        <w:spacing w:line="480" w:lineRule="auto"/>
        <w:jc w:val="both"/>
      </w:pPr>
    </w:p>
    <w:p w14:paraId="41BB67BE" w14:textId="50CCE07D" w:rsidR="008129B5" w:rsidRPr="00135C74" w:rsidRDefault="00C72975" w:rsidP="00377304">
      <w:pPr>
        <w:spacing w:line="480" w:lineRule="auto"/>
        <w:jc w:val="both"/>
      </w:pPr>
      <w:r w:rsidRPr="00135C74">
        <w:t xml:space="preserve">The key </w:t>
      </w:r>
      <w:r w:rsidR="00454EC6" w:rsidRPr="00135C74">
        <w:t xml:space="preserve">contribution of </w:t>
      </w:r>
      <w:r w:rsidR="00935E21" w:rsidRPr="00135C74">
        <w:t>th</w:t>
      </w:r>
      <w:r w:rsidR="008239CC">
        <w:t>e current</w:t>
      </w:r>
      <w:r w:rsidR="00935E21" w:rsidRPr="00135C74">
        <w:t xml:space="preserve"> </w:t>
      </w:r>
      <w:r w:rsidR="00454EC6" w:rsidRPr="00135C74">
        <w:t xml:space="preserve">study is </w:t>
      </w:r>
      <w:r w:rsidR="00935E21" w:rsidRPr="00135C74">
        <w:t>examin</w:t>
      </w:r>
      <w:r w:rsidR="008239CC">
        <w:t>ing</w:t>
      </w:r>
      <w:r w:rsidR="00935E21" w:rsidRPr="00135C74">
        <w:t xml:space="preserve"> </w:t>
      </w:r>
      <w:r w:rsidRPr="00135C74">
        <w:t xml:space="preserve">the variety </w:t>
      </w:r>
      <w:r w:rsidR="00454EC6" w:rsidRPr="00135C74">
        <w:t xml:space="preserve">of </w:t>
      </w:r>
      <w:r w:rsidRPr="00135C74">
        <w:t xml:space="preserve">supply disruption risk management </w:t>
      </w:r>
      <w:r w:rsidR="00454EC6" w:rsidRPr="00135C74">
        <w:t>approaches to reveal the</w:t>
      </w:r>
      <w:r w:rsidRPr="00135C74">
        <w:t xml:space="preserve"> underlying theoretical nuances. </w:t>
      </w:r>
      <w:r w:rsidR="00DB52BD" w:rsidRPr="00135C74">
        <w:t>With t</w:t>
      </w:r>
      <w:r w:rsidRPr="00135C74">
        <w:t xml:space="preserve">he ABV </w:t>
      </w:r>
      <w:r w:rsidR="008239CC">
        <w:t xml:space="preserve">being </w:t>
      </w:r>
      <w:r w:rsidR="00DB52BD" w:rsidRPr="00135C74">
        <w:t xml:space="preserve">used </w:t>
      </w:r>
      <w:r w:rsidRPr="00135C74">
        <w:t xml:space="preserve">to provide </w:t>
      </w:r>
      <w:r w:rsidR="00534B49">
        <w:t xml:space="preserve">the </w:t>
      </w:r>
      <w:r w:rsidRPr="00135C74">
        <w:t xml:space="preserve">grounds for discriminating between </w:t>
      </w:r>
      <w:r w:rsidR="00A85C9C" w:rsidRPr="00135C74">
        <w:t xml:space="preserve">the two </w:t>
      </w:r>
      <w:r w:rsidRPr="00135C74">
        <w:t>attentional perspectives o</w:t>
      </w:r>
      <w:r w:rsidR="00B4370D">
        <w:t>n</w:t>
      </w:r>
      <w:r w:rsidRPr="00135C74">
        <w:t xml:space="preserve"> </w:t>
      </w:r>
      <w:r w:rsidRPr="00135C74">
        <w:lastRenderedPageBreak/>
        <w:t>supply disruption risk management, it is interesting to consider whether the</w:t>
      </w:r>
      <w:r w:rsidR="00AC6F81" w:rsidRPr="00135C74">
        <w:t>se</w:t>
      </w:r>
      <w:r w:rsidRPr="00135C74">
        <w:t xml:space="preserve"> perspectives differ in terms of the strength of their association with </w:t>
      </w:r>
      <w:r w:rsidR="002B739F" w:rsidRPr="00135C74">
        <w:t xml:space="preserve">supply </w:t>
      </w:r>
      <w:r w:rsidRPr="00135C74">
        <w:t xml:space="preserve">resilience. </w:t>
      </w:r>
    </w:p>
    <w:p w14:paraId="08EFF131" w14:textId="77777777" w:rsidR="008129B5" w:rsidRPr="00135C74" w:rsidRDefault="008129B5" w:rsidP="00377304">
      <w:pPr>
        <w:spacing w:line="480" w:lineRule="auto"/>
        <w:jc w:val="both"/>
      </w:pPr>
    </w:p>
    <w:p w14:paraId="79998477" w14:textId="67A855CF" w:rsidR="00DF1897" w:rsidRPr="00135C74" w:rsidRDefault="000A6FF7" w:rsidP="00377304">
      <w:pPr>
        <w:spacing w:line="480" w:lineRule="auto"/>
        <w:jc w:val="both"/>
      </w:pPr>
      <w:r>
        <w:t>Because</w:t>
      </w:r>
      <w:r w:rsidRPr="00135C74">
        <w:t xml:space="preserve"> </w:t>
      </w:r>
      <w:r w:rsidR="00453CE1" w:rsidRPr="00135C74">
        <w:t xml:space="preserve">supply network recoverability </w:t>
      </w:r>
      <w:r w:rsidR="0018013C" w:rsidRPr="00135C74">
        <w:t>does not depend on identifying all possible risk sources (</w:t>
      </w:r>
      <w:proofErr w:type="spellStart"/>
      <w:r w:rsidR="0018013C" w:rsidRPr="00135C74">
        <w:t>Simchi</w:t>
      </w:r>
      <w:proofErr w:type="spellEnd"/>
      <w:r w:rsidR="0018013C" w:rsidRPr="00135C74">
        <w:t xml:space="preserve">-Levi </w:t>
      </w:r>
      <w:r w:rsidR="0018013C" w:rsidRPr="00135C74">
        <w:rPr>
          <w:i/>
        </w:rPr>
        <w:t>et al</w:t>
      </w:r>
      <w:r w:rsidR="0018013C" w:rsidRPr="00135C74">
        <w:t>., 2014)</w:t>
      </w:r>
      <w:r w:rsidR="002D3D2B" w:rsidRPr="00135C74">
        <w:t xml:space="preserve">, </w:t>
      </w:r>
      <w:r w:rsidR="0018013C" w:rsidRPr="00135C74">
        <w:t xml:space="preserve">it could be considered </w:t>
      </w:r>
      <w:r w:rsidR="00496880" w:rsidRPr="00135C74">
        <w:t xml:space="preserve">a </w:t>
      </w:r>
      <w:r w:rsidR="0018013C" w:rsidRPr="00135C74">
        <w:t xml:space="preserve">more robust approach to resilience. </w:t>
      </w:r>
      <w:r w:rsidR="00DB52BD" w:rsidRPr="00135C74">
        <w:t>Enabled by resource-intensive network mapping,</w:t>
      </w:r>
      <w:r w:rsidR="00DB52BD" w:rsidRPr="00135C74" w:rsidDel="00DB52BD">
        <w:t xml:space="preserve"> </w:t>
      </w:r>
      <w:r w:rsidR="00DB52BD" w:rsidRPr="00135C74">
        <w:t xml:space="preserve">this perspective </w:t>
      </w:r>
      <w:r w:rsidR="0018013C" w:rsidRPr="00135C74">
        <w:t xml:space="preserve">is also </w:t>
      </w:r>
      <w:r w:rsidR="00C72975" w:rsidRPr="00135C74">
        <w:t>more likely to involve collaborative practices toward</w:t>
      </w:r>
      <w:r w:rsidR="00B4370D">
        <w:t>s</w:t>
      </w:r>
      <w:r w:rsidR="00C72975" w:rsidRPr="00135C74">
        <w:t xml:space="preserve"> suppliers</w:t>
      </w:r>
      <w:r w:rsidR="002D3D2B" w:rsidRPr="00135C74">
        <w:t xml:space="preserve">, such as risk information sharing, risk and benefit sharing and process integration (Friday </w:t>
      </w:r>
      <w:r w:rsidR="002D3D2B" w:rsidRPr="007B1A05">
        <w:rPr>
          <w:i/>
        </w:rPr>
        <w:t>et al.</w:t>
      </w:r>
      <w:r w:rsidR="002D3D2B" w:rsidRPr="00135C74">
        <w:t>, 2018)</w:t>
      </w:r>
      <w:r w:rsidR="00496880" w:rsidRPr="00135C74">
        <w:t xml:space="preserve">. </w:t>
      </w:r>
      <w:r w:rsidR="002D3D2B" w:rsidRPr="00135C74">
        <w:t>Indeed, e</w:t>
      </w:r>
      <w:r w:rsidR="00C72975" w:rsidRPr="00135C74">
        <w:t>xternal integration or interorgani</w:t>
      </w:r>
      <w:r w:rsidR="001870C5">
        <w:t>sational</w:t>
      </w:r>
      <w:r w:rsidR="00C72975" w:rsidRPr="00135C74">
        <w:t xml:space="preserve"> orientation for supply risk management</w:t>
      </w:r>
      <w:r w:rsidR="002D3D2B" w:rsidRPr="00135C74">
        <w:t xml:space="preserve">, </w:t>
      </w:r>
      <w:r w:rsidR="000B7789">
        <w:t xml:space="preserve">here </w:t>
      </w:r>
      <w:r w:rsidR="002D3D2B" w:rsidRPr="00135C74">
        <w:t>encompassing such collaborative practices,</w:t>
      </w:r>
      <w:r w:rsidR="00C72975" w:rsidRPr="00135C74">
        <w:t xml:space="preserve"> has been shown to result in higher operational performance (Kauppi </w:t>
      </w:r>
      <w:r w:rsidR="00C72975" w:rsidRPr="00135C74">
        <w:rPr>
          <w:i/>
        </w:rPr>
        <w:t>et al</w:t>
      </w:r>
      <w:r w:rsidR="00C72975" w:rsidRPr="00135C74">
        <w:t>., 2016)</w:t>
      </w:r>
      <w:r w:rsidR="00DF1897" w:rsidRPr="00135C74">
        <w:t xml:space="preserve"> and lower levels of supply disruptions (Revilla and Saenz</w:t>
      </w:r>
      <w:r w:rsidR="00C72975" w:rsidRPr="00135C74">
        <w:t>,</w:t>
      </w:r>
      <w:r w:rsidR="00DF1897" w:rsidRPr="00135C74">
        <w:t xml:space="preserve"> 2017)</w:t>
      </w:r>
      <w:r w:rsidR="00DB52BD" w:rsidRPr="00135C74">
        <w:t xml:space="preserve">. </w:t>
      </w:r>
      <w:r w:rsidR="008129B5" w:rsidRPr="00135C74">
        <w:t>A</w:t>
      </w:r>
      <w:r w:rsidR="002868ED" w:rsidRPr="00135C74">
        <w:t xml:space="preserve"> likely outcome of network mapping and analysis </w:t>
      </w:r>
      <w:r w:rsidR="008129B5" w:rsidRPr="00135C74">
        <w:t xml:space="preserve">is a reduced dependency on the certainty of supply risk knowledge </w:t>
      </w:r>
      <w:r w:rsidR="002868ED" w:rsidRPr="00135C74">
        <w:t xml:space="preserve">(Ivanov and </w:t>
      </w:r>
      <w:proofErr w:type="spellStart"/>
      <w:r w:rsidR="002868ED" w:rsidRPr="00135C74">
        <w:t>Dolgui</w:t>
      </w:r>
      <w:proofErr w:type="spellEnd"/>
      <w:r w:rsidR="002868ED" w:rsidRPr="00135C74">
        <w:t>, 2019)</w:t>
      </w:r>
      <w:r w:rsidR="008129B5" w:rsidRPr="00135C74">
        <w:t xml:space="preserve">. The suggestion here is that </w:t>
      </w:r>
      <w:r w:rsidR="002868ED" w:rsidRPr="00135C74">
        <w:t>the recoverability perspective may prov</w:t>
      </w:r>
      <w:r w:rsidR="00B4370D">
        <w:t>e to b</w:t>
      </w:r>
      <w:r w:rsidR="002868ED" w:rsidRPr="00135C74">
        <w:t>e a more resilient approach to the focus on risk sources</w:t>
      </w:r>
      <w:r w:rsidR="001C4DDB">
        <w:t xml:space="preserve"> because</w:t>
      </w:r>
      <w:r w:rsidR="008129B5" w:rsidRPr="00135C74">
        <w:t xml:space="preserve"> the latter</w:t>
      </w:r>
      <w:r w:rsidR="002868ED" w:rsidRPr="00135C74">
        <w:t xml:space="preserve"> most likely fails to </w:t>
      </w:r>
      <w:r w:rsidR="008129B5" w:rsidRPr="00135C74">
        <w:t>consider</w:t>
      </w:r>
      <w:r w:rsidR="002868ED" w:rsidRPr="00135C74">
        <w:t xml:space="preserve"> every possible contingency (</w:t>
      </w:r>
      <w:proofErr w:type="spellStart"/>
      <w:r w:rsidR="002868ED" w:rsidRPr="00135C74">
        <w:t>Akkermans</w:t>
      </w:r>
      <w:proofErr w:type="spellEnd"/>
      <w:r w:rsidR="002868ED" w:rsidRPr="00135C74">
        <w:t xml:space="preserve"> and </w:t>
      </w:r>
      <w:proofErr w:type="spellStart"/>
      <w:r w:rsidR="002868ED" w:rsidRPr="00135C74">
        <w:t>Wassenhove</w:t>
      </w:r>
      <w:proofErr w:type="spellEnd"/>
      <w:r w:rsidR="002868ED" w:rsidRPr="00135C74">
        <w:t xml:space="preserve">, 2018b). </w:t>
      </w:r>
      <w:r w:rsidR="00DB52BD" w:rsidRPr="00135C74">
        <w:t>Therefore</w:t>
      </w:r>
      <w:r w:rsidR="0018013C" w:rsidRPr="00135C74">
        <w:t>, w</w:t>
      </w:r>
      <w:r w:rsidR="00DF1897" w:rsidRPr="00135C74">
        <w:t xml:space="preserve">e state the following hypothesis: </w:t>
      </w:r>
    </w:p>
    <w:p w14:paraId="5EEADBD3" w14:textId="77777777" w:rsidR="00064378" w:rsidRPr="00135C74" w:rsidRDefault="00064378" w:rsidP="00377304">
      <w:pPr>
        <w:spacing w:line="480" w:lineRule="auto"/>
        <w:jc w:val="both"/>
      </w:pPr>
    </w:p>
    <w:p w14:paraId="4FCC925F" w14:textId="134322F4" w:rsidR="003A563A" w:rsidRPr="00135C74" w:rsidRDefault="00DF1897" w:rsidP="00377304">
      <w:pPr>
        <w:spacing w:line="480" w:lineRule="auto"/>
        <w:jc w:val="both"/>
        <w:rPr>
          <w:i/>
        </w:rPr>
      </w:pPr>
      <w:r w:rsidRPr="00135C74">
        <w:rPr>
          <w:b/>
        </w:rPr>
        <w:t>H3</w:t>
      </w:r>
      <w:r w:rsidRPr="00135C74">
        <w:t xml:space="preserve">: </w:t>
      </w:r>
      <w:r w:rsidR="009614FF">
        <w:rPr>
          <w:i/>
        </w:rPr>
        <w:t>A f</w:t>
      </w:r>
      <w:r w:rsidRPr="00135C74">
        <w:rPr>
          <w:i/>
        </w:rPr>
        <w:t xml:space="preserve">ocus on </w:t>
      </w:r>
      <w:r w:rsidR="00453CE1" w:rsidRPr="00135C74">
        <w:rPr>
          <w:i/>
        </w:rPr>
        <w:t xml:space="preserve">supply network recoverability </w:t>
      </w:r>
      <w:r w:rsidRPr="00135C74">
        <w:rPr>
          <w:i/>
        </w:rPr>
        <w:t xml:space="preserve">has a stronger association with </w:t>
      </w:r>
      <w:r w:rsidR="00AB7D65" w:rsidRPr="00135C74">
        <w:rPr>
          <w:i/>
        </w:rPr>
        <w:t>supply</w:t>
      </w:r>
      <w:r w:rsidRPr="00135C74">
        <w:rPr>
          <w:i/>
        </w:rPr>
        <w:t xml:space="preserve"> resilience </w:t>
      </w:r>
      <w:r w:rsidR="003A563A" w:rsidRPr="00135C74">
        <w:rPr>
          <w:i/>
        </w:rPr>
        <w:t xml:space="preserve">compared </w:t>
      </w:r>
      <w:r w:rsidR="001870C5">
        <w:rPr>
          <w:i/>
        </w:rPr>
        <w:t>with</w:t>
      </w:r>
      <w:r w:rsidR="003A563A" w:rsidRPr="00135C74">
        <w:rPr>
          <w:i/>
        </w:rPr>
        <w:t xml:space="preserve"> </w:t>
      </w:r>
      <w:r w:rsidRPr="00135C74">
        <w:rPr>
          <w:i/>
        </w:rPr>
        <w:t xml:space="preserve">the association of focus on supply risk sources with </w:t>
      </w:r>
      <w:r w:rsidR="00423785" w:rsidRPr="00135C74">
        <w:rPr>
          <w:i/>
        </w:rPr>
        <w:t xml:space="preserve">supply </w:t>
      </w:r>
      <w:r w:rsidRPr="00135C74">
        <w:rPr>
          <w:i/>
        </w:rPr>
        <w:t xml:space="preserve">resilience. </w:t>
      </w:r>
    </w:p>
    <w:p w14:paraId="47DE7989" w14:textId="77777777" w:rsidR="003A563A" w:rsidRPr="00135C74" w:rsidRDefault="003A563A" w:rsidP="00377304">
      <w:pPr>
        <w:spacing w:line="480" w:lineRule="auto"/>
        <w:jc w:val="both"/>
        <w:rPr>
          <w:i/>
        </w:rPr>
      </w:pPr>
    </w:p>
    <w:p w14:paraId="277DCA32" w14:textId="3BE5F415" w:rsidR="00454074" w:rsidRPr="00135C74" w:rsidRDefault="009C0C28" w:rsidP="00447E9B">
      <w:pPr>
        <w:spacing w:line="480" w:lineRule="auto"/>
        <w:jc w:val="both"/>
      </w:pPr>
      <w:r w:rsidRPr="00135C74">
        <w:t>A</w:t>
      </w:r>
      <w:r w:rsidR="00AC6F81" w:rsidRPr="00135C74">
        <w:t xml:space="preserve">ttentional selection </w:t>
      </w:r>
      <w:r w:rsidR="00F17F1D" w:rsidRPr="00135C74">
        <w:t>is the</w:t>
      </w:r>
      <w:r w:rsidR="00AC6F81" w:rsidRPr="00135C74">
        <w:t xml:space="preserve"> </w:t>
      </w:r>
      <w:r w:rsidR="00F17F1D" w:rsidRPr="00135C74">
        <w:t>capacity to detect and recogni</w:t>
      </w:r>
      <w:r w:rsidR="001870C5">
        <w:t>s</w:t>
      </w:r>
      <w:r w:rsidR="00F17F1D" w:rsidRPr="00135C74">
        <w:t xml:space="preserve">e emergent </w:t>
      </w:r>
      <w:r w:rsidR="00AC6F81" w:rsidRPr="00135C74">
        <w:t>risk events and disruptions</w:t>
      </w:r>
      <w:r w:rsidR="00F17F1D" w:rsidRPr="00135C74">
        <w:t xml:space="preserve"> </w:t>
      </w:r>
      <w:r w:rsidR="00AC6F81" w:rsidRPr="00135C74">
        <w:t>(</w:t>
      </w:r>
      <w:proofErr w:type="spellStart"/>
      <w:r w:rsidR="00AC6F81" w:rsidRPr="00135C74">
        <w:t>Craighead</w:t>
      </w:r>
      <w:proofErr w:type="spellEnd"/>
      <w:r w:rsidR="00AC6F81" w:rsidRPr="00135C74">
        <w:t xml:space="preserve"> </w:t>
      </w:r>
      <w:r w:rsidR="00AC6F81" w:rsidRPr="00135C74">
        <w:rPr>
          <w:i/>
        </w:rPr>
        <w:t>et al</w:t>
      </w:r>
      <w:r w:rsidR="00AC6F81" w:rsidRPr="00135C74">
        <w:t>., 2007; Bode and Mac</w:t>
      </w:r>
      <w:r w:rsidR="00077142">
        <w:t>D</w:t>
      </w:r>
      <w:r w:rsidR="00AC6F81" w:rsidRPr="00135C74">
        <w:t>onald, 2016)</w:t>
      </w:r>
      <w:r w:rsidR="007217E8">
        <w:t>—e</w:t>
      </w:r>
      <w:r w:rsidR="00B4698A" w:rsidRPr="00135C74">
        <w:t xml:space="preserve">ven environmental research shows evidence of making use of detection systems for </w:t>
      </w:r>
      <w:r w:rsidR="002D584C" w:rsidRPr="00135C74">
        <w:t>low-frequency</w:t>
      </w:r>
      <w:r w:rsidR="005676A3">
        <w:t xml:space="preserve">, </w:t>
      </w:r>
      <w:r w:rsidR="002D584C" w:rsidRPr="00135C74">
        <w:t>high-impact</w:t>
      </w:r>
      <w:r w:rsidR="00B4698A" w:rsidRPr="00135C74">
        <w:t xml:space="preserve"> events (Abadie </w:t>
      </w:r>
      <w:r w:rsidR="00B4698A" w:rsidRPr="00135C74">
        <w:rPr>
          <w:i/>
          <w:iCs/>
        </w:rPr>
        <w:t>et al.</w:t>
      </w:r>
      <w:r w:rsidR="00B4698A" w:rsidRPr="00135C74">
        <w:t xml:space="preserve"> 2017)</w:t>
      </w:r>
      <w:r w:rsidR="00AC6F81" w:rsidRPr="00135C74">
        <w:t>.</w:t>
      </w:r>
      <w:r w:rsidR="00A85C9C" w:rsidRPr="00135C74">
        <w:t xml:space="preserve"> </w:t>
      </w:r>
      <w:r w:rsidR="0004257F">
        <w:t>A strong w</w:t>
      </w:r>
      <w:r w:rsidR="0012683F" w:rsidRPr="00135C74">
        <w:t xml:space="preserve">arning capability </w:t>
      </w:r>
      <w:r w:rsidR="00447E9B" w:rsidRPr="00135C74">
        <w:t xml:space="preserve">can </w:t>
      </w:r>
      <w:r w:rsidR="0012683F" w:rsidRPr="00135C74">
        <w:t>reduce the severity of supply chain disruptions</w:t>
      </w:r>
      <w:r w:rsidR="00447E9B" w:rsidRPr="00135C74">
        <w:t xml:space="preserve"> (</w:t>
      </w:r>
      <w:proofErr w:type="spellStart"/>
      <w:r w:rsidR="00447E9B" w:rsidRPr="00135C74">
        <w:t>Craighead</w:t>
      </w:r>
      <w:proofErr w:type="spellEnd"/>
      <w:r w:rsidR="00447E9B" w:rsidRPr="00135C74">
        <w:t xml:space="preserve"> </w:t>
      </w:r>
      <w:r w:rsidR="00447E9B" w:rsidRPr="00135C74">
        <w:rPr>
          <w:i/>
        </w:rPr>
        <w:t>et al</w:t>
      </w:r>
      <w:r w:rsidR="00447E9B" w:rsidRPr="00135C74">
        <w:t>.</w:t>
      </w:r>
      <w:r w:rsidR="004403D3" w:rsidRPr="00135C74">
        <w:t>,</w:t>
      </w:r>
      <w:r w:rsidR="00447E9B" w:rsidRPr="00135C74">
        <w:t xml:space="preserve"> 2007) and </w:t>
      </w:r>
      <w:r w:rsidR="00AA289F" w:rsidRPr="00135C74">
        <w:t>improve a firm’s</w:t>
      </w:r>
      <w:r w:rsidR="0012683F" w:rsidRPr="00135C74">
        <w:t xml:space="preserve"> recovery capability</w:t>
      </w:r>
      <w:r w:rsidR="00447E9B" w:rsidRPr="00135C74">
        <w:t xml:space="preserve"> (Shao, 2013)</w:t>
      </w:r>
      <w:r w:rsidR="0012683F" w:rsidRPr="00135C74">
        <w:t xml:space="preserve">. </w:t>
      </w:r>
      <w:r w:rsidR="00447E9B" w:rsidRPr="00135C74">
        <w:lastRenderedPageBreak/>
        <w:t>P</w:t>
      </w:r>
      <w:r w:rsidR="0012683F" w:rsidRPr="00135C74">
        <w:t xml:space="preserve">artial support </w:t>
      </w:r>
      <w:r w:rsidR="00447E9B" w:rsidRPr="00135C74">
        <w:t xml:space="preserve">has been found </w:t>
      </w:r>
      <w:r w:rsidR="0012683F" w:rsidRPr="00135C74">
        <w:t>for the direct effect o</w:t>
      </w:r>
      <w:r w:rsidR="00B4370D">
        <w:t>f</w:t>
      </w:r>
      <w:r w:rsidR="0012683F" w:rsidRPr="00135C74">
        <w:t xml:space="preserve"> warning capability o</w:t>
      </w:r>
      <w:r w:rsidR="00B4370D">
        <w:t>n</w:t>
      </w:r>
      <w:r w:rsidR="0012683F" w:rsidRPr="00135C74">
        <w:t xml:space="preserve"> operational performance and full support for the mediated effect via recovery capability</w:t>
      </w:r>
      <w:r w:rsidR="00447E9B" w:rsidRPr="00135C74">
        <w:t xml:space="preserve"> </w:t>
      </w:r>
      <w:r w:rsidR="00A85C9C" w:rsidRPr="00135C74">
        <w:t>(</w:t>
      </w:r>
      <w:r w:rsidR="00447E9B" w:rsidRPr="00135C74">
        <w:t xml:space="preserve">Riley </w:t>
      </w:r>
      <w:r w:rsidR="00447E9B" w:rsidRPr="00135C74">
        <w:rPr>
          <w:i/>
        </w:rPr>
        <w:t>et al</w:t>
      </w:r>
      <w:r w:rsidR="00447E9B" w:rsidRPr="00135C74">
        <w:t>.</w:t>
      </w:r>
      <w:r w:rsidR="004403D3" w:rsidRPr="00135C74">
        <w:t>,</w:t>
      </w:r>
      <w:r w:rsidR="00447E9B" w:rsidRPr="00135C74">
        <w:t xml:space="preserve"> 2016)</w:t>
      </w:r>
      <w:r w:rsidR="0012683F" w:rsidRPr="00135C74">
        <w:t xml:space="preserve">. </w:t>
      </w:r>
      <w:r w:rsidR="00454074" w:rsidRPr="00135C74">
        <w:t xml:space="preserve">Furthermore, related to </w:t>
      </w:r>
      <w:r w:rsidR="0012683F" w:rsidRPr="00135C74">
        <w:t xml:space="preserve">early warning systems </w:t>
      </w:r>
      <w:r w:rsidR="00454074" w:rsidRPr="00135C74">
        <w:t xml:space="preserve">and </w:t>
      </w:r>
      <w:r w:rsidR="0012683F" w:rsidRPr="00135C74">
        <w:t>active environmental scanning</w:t>
      </w:r>
      <w:r w:rsidR="00423785" w:rsidRPr="00135C74">
        <w:t>,</w:t>
      </w:r>
      <w:r w:rsidR="00454074" w:rsidRPr="00135C74">
        <w:t xml:space="preserve"> </w:t>
      </w:r>
      <w:r w:rsidR="00DB52BD" w:rsidRPr="00135C74">
        <w:t xml:space="preserve">market orientation </w:t>
      </w:r>
      <w:r w:rsidR="005A2F9D" w:rsidRPr="00135C74">
        <w:t xml:space="preserve">may </w:t>
      </w:r>
      <w:r w:rsidR="00454074" w:rsidRPr="00135C74">
        <w:t>play</w:t>
      </w:r>
      <w:r w:rsidR="00423785" w:rsidRPr="00135C74">
        <w:t xml:space="preserve"> a</w:t>
      </w:r>
      <w:r w:rsidR="00454074" w:rsidRPr="00135C74">
        <w:t xml:space="preserve"> role in risk mitigation and response</w:t>
      </w:r>
      <w:r w:rsidR="00D523E5" w:rsidRPr="00135C74">
        <w:t xml:space="preserve"> through supply chain agility</w:t>
      </w:r>
      <w:r w:rsidR="005A2F9D" w:rsidRPr="00135C74">
        <w:t xml:space="preserve"> (</w:t>
      </w:r>
      <w:proofErr w:type="spellStart"/>
      <w:r w:rsidR="005A2F9D" w:rsidRPr="00135C74">
        <w:t>Braunscheidel</w:t>
      </w:r>
      <w:proofErr w:type="spellEnd"/>
      <w:r w:rsidR="005A2F9D" w:rsidRPr="00135C74">
        <w:t xml:space="preserve"> and Suresh, 2009).</w:t>
      </w:r>
      <w:r w:rsidR="00454074" w:rsidRPr="00135C74">
        <w:t xml:space="preserve"> </w:t>
      </w:r>
      <w:r w:rsidR="00E3694E" w:rsidRPr="00135C74">
        <w:t>F</w:t>
      </w:r>
      <w:r w:rsidR="00175EE2" w:rsidRPr="00135C74">
        <w:t xml:space="preserve">ast </w:t>
      </w:r>
      <w:r w:rsidR="00424A1B" w:rsidRPr="00135C74">
        <w:t xml:space="preserve">disruption </w:t>
      </w:r>
      <w:r w:rsidR="00175EE2" w:rsidRPr="00135C74">
        <w:t>detection</w:t>
      </w:r>
      <w:r w:rsidR="00CE7DA5" w:rsidRPr="00135C74">
        <w:t xml:space="preserve"> </w:t>
      </w:r>
      <w:r w:rsidR="00E3694E" w:rsidRPr="00135C74">
        <w:t xml:space="preserve">appears </w:t>
      </w:r>
      <w:r w:rsidR="00DB52BD" w:rsidRPr="00135C74">
        <w:t xml:space="preserve">to be </w:t>
      </w:r>
      <w:r w:rsidR="00175EE2" w:rsidRPr="00135C74">
        <w:t xml:space="preserve">beneficial </w:t>
      </w:r>
      <w:r w:rsidR="0051413D" w:rsidRPr="00135C74">
        <w:t xml:space="preserve">in general </w:t>
      </w:r>
      <w:r w:rsidR="00175EE2" w:rsidRPr="00135C74">
        <w:t xml:space="preserve">(cf. </w:t>
      </w:r>
      <w:proofErr w:type="spellStart"/>
      <w:r w:rsidR="00175EE2" w:rsidRPr="00135C74">
        <w:t>Sheffi</w:t>
      </w:r>
      <w:proofErr w:type="spellEnd"/>
      <w:r w:rsidR="00175EE2" w:rsidRPr="00135C74">
        <w:t xml:space="preserve">, 2005), </w:t>
      </w:r>
      <w:r w:rsidR="00E3694E" w:rsidRPr="00135C74">
        <w:t>suggesting the importance of</w:t>
      </w:r>
      <w:r w:rsidR="00175EE2" w:rsidRPr="00135C74">
        <w:t xml:space="preserve"> </w:t>
      </w:r>
      <w:r w:rsidR="00424A1B" w:rsidRPr="00135C74">
        <w:t>both top-down and bottom-up</w:t>
      </w:r>
      <w:r w:rsidR="00DB52BD" w:rsidRPr="00135C74">
        <w:t xml:space="preserve"> attentional </w:t>
      </w:r>
      <w:r w:rsidR="0051413D" w:rsidRPr="00135C74">
        <w:t>processing</w:t>
      </w:r>
      <w:r w:rsidR="00175EE2" w:rsidRPr="00135C74">
        <w:t xml:space="preserve">. </w:t>
      </w:r>
      <w:r w:rsidR="00454074" w:rsidRPr="00135C74">
        <w:t xml:space="preserve">Drawing on </w:t>
      </w:r>
      <w:r w:rsidR="00E3694E" w:rsidRPr="00135C74">
        <w:t xml:space="preserve">the </w:t>
      </w:r>
      <w:r w:rsidR="00454074" w:rsidRPr="00135C74">
        <w:t xml:space="preserve">evidence </w:t>
      </w:r>
      <w:r w:rsidR="00E3694E" w:rsidRPr="00135C74">
        <w:t xml:space="preserve">of </w:t>
      </w:r>
      <w:r w:rsidR="00454074" w:rsidRPr="00135C74">
        <w:t xml:space="preserve">the </w:t>
      </w:r>
      <w:r w:rsidR="00A6323D" w:rsidRPr="00135C74">
        <w:t xml:space="preserve">moderating </w:t>
      </w:r>
      <w:r w:rsidR="00454074" w:rsidRPr="00135C74">
        <w:t xml:space="preserve">benefits of warning capability on </w:t>
      </w:r>
      <w:r w:rsidR="002B739F" w:rsidRPr="00135C74">
        <w:t xml:space="preserve">supply </w:t>
      </w:r>
      <w:r w:rsidR="00454074" w:rsidRPr="00135C74">
        <w:t>resilience</w:t>
      </w:r>
      <w:r w:rsidR="00175EE2" w:rsidRPr="00135C74">
        <w:t xml:space="preserve"> </w:t>
      </w:r>
      <w:r w:rsidR="00A6323D" w:rsidRPr="00135C74">
        <w:t>(</w:t>
      </w:r>
      <w:proofErr w:type="spellStart"/>
      <w:r w:rsidR="00A6323D" w:rsidRPr="00135C74">
        <w:t>Craighead</w:t>
      </w:r>
      <w:proofErr w:type="spellEnd"/>
      <w:r w:rsidR="00A6323D" w:rsidRPr="00135C74">
        <w:t xml:space="preserve"> </w:t>
      </w:r>
      <w:r w:rsidR="00A6323D" w:rsidRPr="00135C74">
        <w:rPr>
          <w:i/>
        </w:rPr>
        <w:t>et al</w:t>
      </w:r>
      <w:r w:rsidR="00A6323D" w:rsidRPr="00135C74">
        <w:t>.</w:t>
      </w:r>
      <w:r w:rsidR="004403D3" w:rsidRPr="00135C74">
        <w:t>,</w:t>
      </w:r>
      <w:r w:rsidR="00A6323D" w:rsidRPr="00135C74">
        <w:t xml:space="preserve"> 2007)</w:t>
      </w:r>
      <w:r w:rsidR="00E55F5B" w:rsidRPr="00135C74">
        <w:t xml:space="preserve">, we </w:t>
      </w:r>
      <w:r w:rsidR="00155AE4">
        <w:t>can</w:t>
      </w:r>
      <w:r w:rsidR="00E55F5B" w:rsidRPr="00135C74">
        <w:t xml:space="preserve"> hypothesi</w:t>
      </w:r>
      <w:r w:rsidR="001870C5">
        <w:t>s</w:t>
      </w:r>
      <w:r w:rsidR="00E55F5B" w:rsidRPr="00135C74">
        <w:t>e</w:t>
      </w:r>
      <w:r w:rsidR="00175EE2" w:rsidRPr="00135C74">
        <w:t xml:space="preserve"> </w:t>
      </w:r>
      <w:r w:rsidR="0014034B">
        <w:t>a</w:t>
      </w:r>
      <w:r w:rsidR="00175EE2" w:rsidRPr="00135C74">
        <w:t xml:space="preserve"> moderati</w:t>
      </w:r>
      <w:r w:rsidR="007B1A05">
        <w:t>ng role</w:t>
      </w:r>
      <w:r w:rsidR="002B739F" w:rsidRPr="00135C74">
        <w:t>,</w:t>
      </w:r>
      <w:r w:rsidR="00E55F5B" w:rsidRPr="00135C74">
        <w:t xml:space="preserve"> </w:t>
      </w:r>
      <w:r w:rsidR="002B739F" w:rsidRPr="00135C74">
        <w:t>essentially</w:t>
      </w:r>
      <w:r w:rsidR="00E55F5B" w:rsidRPr="00135C74">
        <w:t xml:space="preserve"> suggesting that</w:t>
      </w:r>
      <w:r w:rsidR="002B739F" w:rsidRPr="00135C74">
        <w:t xml:space="preserve"> detection </w:t>
      </w:r>
      <w:r w:rsidR="00187E69" w:rsidRPr="00135C74">
        <w:t xml:space="preserve">practices </w:t>
      </w:r>
      <w:r w:rsidR="002B739F" w:rsidRPr="00135C74">
        <w:t>of any kind enhance supply risk management efforts.</w:t>
      </w:r>
    </w:p>
    <w:p w14:paraId="76710500" w14:textId="18C8D758" w:rsidR="00E55F5B" w:rsidRPr="00135C74" w:rsidRDefault="00064378" w:rsidP="00447E9B">
      <w:pPr>
        <w:spacing w:line="480" w:lineRule="auto"/>
        <w:jc w:val="both"/>
      </w:pPr>
      <w:r w:rsidRPr="00135C74">
        <w:t>More specifically, t</w:t>
      </w:r>
      <w:r w:rsidR="0051413D" w:rsidRPr="00135C74">
        <w:t xml:space="preserve">op-down attentional processing draws on </w:t>
      </w:r>
      <w:r w:rsidR="00155AE4">
        <w:t xml:space="preserve">the </w:t>
      </w:r>
      <w:r w:rsidR="0051413D" w:rsidRPr="00135C74">
        <w:t xml:space="preserve">identified sources of risk </w:t>
      </w:r>
      <w:r w:rsidRPr="00135C74">
        <w:t>and</w:t>
      </w:r>
      <w:r w:rsidR="0051413D" w:rsidRPr="00135C74">
        <w:t xml:space="preserve"> vulnerabilities</w:t>
      </w:r>
      <w:r w:rsidR="00A7660E" w:rsidRPr="00135C74">
        <w:t xml:space="preserve"> </w:t>
      </w:r>
      <w:r w:rsidR="002C44CE" w:rsidRPr="00135C74">
        <w:t xml:space="preserve">or the </w:t>
      </w:r>
      <w:r w:rsidR="00C77BB6" w:rsidRPr="00135C74">
        <w:t xml:space="preserve">known </w:t>
      </w:r>
      <w:r w:rsidR="002C44CE" w:rsidRPr="00135C74">
        <w:t xml:space="preserve">nexus suppliers in the network (Yan </w:t>
      </w:r>
      <w:r w:rsidR="002C44CE" w:rsidRPr="007B1A05">
        <w:rPr>
          <w:i/>
        </w:rPr>
        <w:t>et al.</w:t>
      </w:r>
      <w:r w:rsidR="002C44CE" w:rsidRPr="00135C74">
        <w:t>, 2015)</w:t>
      </w:r>
      <w:r w:rsidR="00C77BB6" w:rsidRPr="00135C74">
        <w:t xml:space="preserve">. Therefore, </w:t>
      </w:r>
      <w:r w:rsidR="002C44CE" w:rsidRPr="00135C74">
        <w:t>the routines related to top-down supply disruption detection seem</w:t>
      </w:r>
      <w:r w:rsidR="003F5DAB">
        <w:t xml:space="preserve"> to be</w:t>
      </w:r>
      <w:r w:rsidR="002C44CE" w:rsidRPr="00135C74">
        <w:t xml:space="preserve"> a natural match for the focus on supply risk sources. In practice, once </w:t>
      </w:r>
      <w:r w:rsidR="003F5DAB">
        <w:t xml:space="preserve">the </w:t>
      </w:r>
      <w:r w:rsidR="002C44CE" w:rsidRPr="00135C74">
        <w:t xml:space="preserve">risk sources have been identified, assessed and mitigated, </w:t>
      </w:r>
      <w:r w:rsidR="00AA7569" w:rsidRPr="00135C74">
        <w:t xml:space="preserve">they </w:t>
      </w:r>
      <w:r w:rsidR="003F5DAB">
        <w:t>can be</w:t>
      </w:r>
      <w:r w:rsidR="003F5DAB" w:rsidRPr="00135C74">
        <w:t xml:space="preserve"> </w:t>
      </w:r>
      <w:r w:rsidR="00AA7569" w:rsidRPr="00135C74">
        <w:t xml:space="preserve">monitored for </w:t>
      </w:r>
      <w:r w:rsidR="002C44CE" w:rsidRPr="00135C74">
        <w:t>disruption signals</w:t>
      </w:r>
      <w:r w:rsidR="00B4370D">
        <w:t>,</w:t>
      </w:r>
      <w:r w:rsidR="00AA7569" w:rsidRPr="00135C74">
        <w:t xml:space="preserve"> </w:t>
      </w:r>
      <w:r w:rsidR="009C0377" w:rsidRPr="00135C74">
        <w:t>leading to</w:t>
      </w:r>
      <w:r w:rsidR="00AA7569" w:rsidRPr="00135C74">
        <w:t xml:space="preserve"> resilience</w:t>
      </w:r>
      <w:r w:rsidR="009C0377" w:rsidRPr="00135C74">
        <w:t xml:space="preserve"> as an outcome</w:t>
      </w:r>
      <w:r w:rsidR="002C44CE" w:rsidRPr="00135C74">
        <w:t xml:space="preserve">. Similarly, </w:t>
      </w:r>
      <w:r w:rsidR="00C77BB6" w:rsidRPr="00135C74">
        <w:t xml:space="preserve">top-down supply disruption detection routines may </w:t>
      </w:r>
      <w:r w:rsidR="00453787" w:rsidRPr="00135C74">
        <w:t xml:space="preserve">also </w:t>
      </w:r>
      <w:r w:rsidR="00C77BB6" w:rsidRPr="00135C74">
        <w:t>enhance</w:t>
      </w:r>
      <w:r w:rsidR="009C0377" w:rsidRPr="00135C74">
        <w:t xml:space="preserve"> the</w:t>
      </w:r>
      <w:r w:rsidR="00C77BB6" w:rsidRPr="00135C74">
        <w:t xml:space="preserve"> focus on supply network recoverability</w:t>
      </w:r>
      <w:r w:rsidR="003F5DAB">
        <w:t xml:space="preserve"> because</w:t>
      </w:r>
      <w:r w:rsidR="00C77BB6" w:rsidRPr="00135C74">
        <w:t xml:space="preserve"> the </w:t>
      </w:r>
      <w:r w:rsidR="009C0377" w:rsidRPr="00135C74">
        <w:t xml:space="preserve">identification and monitoring of </w:t>
      </w:r>
      <w:r w:rsidR="00C77BB6" w:rsidRPr="00135C74">
        <w:t>vulnerable nexus suppliers</w:t>
      </w:r>
      <w:r w:rsidR="009C0377" w:rsidRPr="00135C74">
        <w:t xml:space="preserve"> </w:t>
      </w:r>
      <w:r w:rsidR="00C77BB6" w:rsidRPr="00135C74">
        <w:t>may result in a more timely and effective response</w:t>
      </w:r>
      <w:r w:rsidR="002A74A2" w:rsidRPr="00135C74">
        <w:t>, for example</w:t>
      </w:r>
      <w:r w:rsidR="00B4370D">
        <w:t>,</w:t>
      </w:r>
      <w:r w:rsidR="002A74A2" w:rsidRPr="00135C74">
        <w:t xml:space="preserve"> in terms of orders and production quantities in the network (</w:t>
      </w:r>
      <w:proofErr w:type="spellStart"/>
      <w:r w:rsidR="002A74A2" w:rsidRPr="00135C74">
        <w:t>Simchi</w:t>
      </w:r>
      <w:proofErr w:type="spellEnd"/>
      <w:r w:rsidR="002A74A2" w:rsidRPr="00135C74">
        <w:t xml:space="preserve">-Levi </w:t>
      </w:r>
      <w:r w:rsidR="002A74A2" w:rsidRPr="007B1A05">
        <w:rPr>
          <w:i/>
        </w:rPr>
        <w:t>et al.</w:t>
      </w:r>
      <w:r w:rsidR="002A74A2" w:rsidRPr="00135C74">
        <w:t>, 2018)</w:t>
      </w:r>
      <w:r w:rsidR="00C77BB6" w:rsidRPr="00135C74">
        <w:t xml:space="preserve">. </w:t>
      </w:r>
      <w:r w:rsidR="009C006A">
        <w:t>Thus, we</w:t>
      </w:r>
      <w:r w:rsidR="009C0377" w:rsidRPr="00135C74">
        <w:t xml:space="preserve"> </w:t>
      </w:r>
      <w:r w:rsidR="00C77BB6" w:rsidRPr="00135C74">
        <w:t>state the following hypotheses:</w:t>
      </w:r>
      <w:r w:rsidR="002C44CE" w:rsidRPr="00135C74">
        <w:t xml:space="preserve"> </w:t>
      </w:r>
    </w:p>
    <w:p w14:paraId="4F967B82" w14:textId="77777777" w:rsidR="00064378" w:rsidRPr="00135C74" w:rsidRDefault="00064378" w:rsidP="00447E9B">
      <w:pPr>
        <w:spacing w:line="480" w:lineRule="auto"/>
        <w:jc w:val="both"/>
      </w:pPr>
    </w:p>
    <w:p w14:paraId="7ACD9787" w14:textId="70780F06" w:rsidR="00DF1F19" w:rsidRPr="00135C74" w:rsidRDefault="00454074" w:rsidP="00377304">
      <w:pPr>
        <w:spacing w:line="480" w:lineRule="auto"/>
        <w:jc w:val="both"/>
      </w:pPr>
      <w:r w:rsidRPr="00135C74">
        <w:rPr>
          <w:b/>
        </w:rPr>
        <w:t>H4</w:t>
      </w:r>
      <w:r w:rsidR="00DF1F19" w:rsidRPr="00135C74">
        <w:rPr>
          <w:b/>
        </w:rPr>
        <w:t>a</w:t>
      </w:r>
      <w:r w:rsidRPr="00135C74">
        <w:t xml:space="preserve">: </w:t>
      </w:r>
      <w:r w:rsidR="00DF1F19" w:rsidRPr="00135C74">
        <w:rPr>
          <w:i/>
        </w:rPr>
        <w:t xml:space="preserve">Top-down supply disruption detection enhances the positive association </w:t>
      </w:r>
      <w:r w:rsidR="00B4370D">
        <w:rPr>
          <w:i/>
        </w:rPr>
        <w:t>between</w:t>
      </w:r>
      <w:r w:rsidR="00DF1F19" w:rsidRPr="00135C74">
        <w:rPr>
          <w:i/>
        </w:rPr>
        <w:t xml:space="preserve"> </w:t>
      </w:r>
      <w:r w:rsidR="003D73F1">
        <w:rPr>
          <w:i/>
        </w:rPr>
        <w:t xml:space="preserve">the </w:t>
      </w:r>
      <w:r w:rsidR="00DF1F19" w:rsidRPr="00135C74">
        <w:rPr>
          <w:i/>
        </w:rPr>
        <w:t xml:space="preserve">focus on supply risk sources </w:t>
      </w:r>
      <w:r w:rsidR="00B4370D">
        <w:rPr>
          <w:i/>
        </w:rPr>
        <w:t>and</w:t>
      </w:r>
      <w:r w:rsidR="00DF1F19" w:rsidRPr="00135C74">
        <w:rPr>
          <w:i/>
        </w:rPr>
        <w:t xml:space="preserve"> supply resilience.</w:t>
      </w:r>
    </w:p>
    <w:p w14:paraId="7F9DAD5B" w14:textId="1F5870BC" w:rsidR="00DF1F19" w:rsidRPr="00135C74" w:rsidRDefault="00DF1F19" w:rsidP="00377304">
      <w:pPr>
        <w:spacing w:line="480" w:lineRule="auto"/>
        <w:jc w:val="both"/>
        <w:rPr>
          <w:i/>
        </w:rPr>
      </w:pPr>
      <w:r w:rsidRPr="00135C74">
        <w:rPr>
          <w:b/>
        </w:rPr>
        <w:t>H4</w:t>
      </w:r>
      <w:r w:rsidR="00DB2A39" w:rsidRPr="00135C74">
        <w:rPr>
          <w:b/>
        </w:rPr>
        <w:t>b</w:t>
      </w:r>
      <w:r w:rsidRPr="00135C74">
        <w:t xml:space="preserve">: </w:t>
      </w:r>
      <w:r w:rsidRPr="00135C74">
        <w:rPr>
          <w:i/>
        </w:rPr>
        <w:t xml:space="preserve">Top-down supply disruption detection enhances the positive association </w:t>
      </w:r>
      <w:r w:rsidR="00B4370D">
        <w:rPr>
          <w:i/>
        </w:rPr>
        <w:t>between</w:t>
      </w:r>
      <w:r w:rsidRPr="00135C74">
        <w:rPr>
          <w:i/>
        </w:rPr>
        <w:t xml:space="preserve"> </w:t>
      </w:r>
      <w:r w:rsidR="003D73F1">
        <w:rPr>
          <w:i/>
        </w:rPr>
        <w:t xml:space="preserve">the </w:t>
      </w:r>
      <w:r w:rsidRPr="00135C74">
        <w:rPr>
          <w:i/>
        </w:rPr>
        <w:t xml:space="preserve">focus on supply network recoverability </w:t>
      </w:r>
      <w:r w:rsidR="00B4370D">
        <w:rPr>
          <w:i/>
        </w:rPr>
        <w:t>and</w:t>
      </w:r>
      <w:r w:rsidRPr="00135C74">
        <w:rPr>
          <w:i/>
        </w:rPr>
        <w:t xml:space="preserve"> supply resilience.</w:t>
      </w:r>
    </w:p>
    <w:p w14:paraId="1F206AAD" w14:textId="77777777" w:rsidR="009C0377" w:rsidRPr="00135C74" w:rsidRDefault="009C0377" w:rsidP="00377304">
      <w:pPr>
        <w:spacing w:line="480" w:lineRule="auto"/>
        <w:jc w:val="both"/>
      </w:pPr>
    </w:p>
    <w:p w14:paraId="1F4EE83A" w14:textId="1F9D4C98" w:rsidR="00C77BB6" w:rsidRPr="00135C74" w:rsidRDefault="00C74253" w:rsidP="00377304">
      <w:pPr>
        <w:spacing w:line="480" w:lineRule="auto"/>
        <w:jc w:val="both"/>
      </w:pPr>
      <w:r w:rsidRPr="00135C74">
        <w:lastRenderedPageBreak/>
        <w:t>For</w:t>
      </w:r>
      <w:r w:rsidR="000A4A5E" w:rsidRPr="00135C74">
        <w:t xml:space="preserve"> bottom-up attentional processing, the mechanisms for improved resilience are different. The purpose o</w:t>
      </w:r>
      <w:r w:rsidR="00B4370D">
        <w:t>f</w:t>
      </w:r>
      <w:r w:rsidR="000A4A5E" w:rsidRPr="00135C74">
        <w:t xml:space="preserve"> bottom-up attentional processing is to notice those aspects in the environment </w:t>
      </w:r>
      <w:r w:rsidR="004F3E4F" w:rsidRPr="00135C74">
        <w:t xml:space="preserve">for which there </w:t>
      </w:r>
      <w:r w:rsidR="004E30C1">
        <w:t>are</w:t>
      </w:r>
      <w:r w:rsidR="004E30C1" w:rsidRPr="00135C74">
        <w:t xml:space="preserve"> </w:t>
      </w:r>
      <w:r w:rsidR="004F3E4F" w:rsidRPr="00135C74">
        <w:t>no attention</w:t>
      </w:r>
      <w:r w:rsidRPr="00135C74">
        <w:t>-</w:t>
      </w:r>
      <w:r w:rsidR="004F3E4F" w:rsidRPr="00135C74">
        <w:t xml:space="preserve">directing guidance and </w:t>
      </w:r>
      <w:r w:rsidR="00C521C0">
        <w:t>that</w:t>
      </w:r>
      <w:r w:rsidR="00C521C0" w:rsidRPr="00135C74">
        <w:t xml:space="preserve"> </w:t>
      </w:r>
      <w:r w:rsidR="000A4A5E" w:rsidRPr="00135C74">
        <w:t xml:space="preserve">are not actively sought for (Shepherd </w:t>
      </w:r>
      <w:r w:rsidR="000A4A5E" w:rsidRPr="007B1A05">
        <w:rPr>
          <w:i/>
        </w:rPr>
        <w:t>et al.</w:t>
      </w:r>
      <w:r w:rsidR="000A4A5E" w:rsidRPr="00135C74">
        <w:t xml:space="preserve">, 2017). </w:t>
      </w:r>
      <w:r w:rsidR="0072147A" w:rsidRPr="00135C74">
        <w:t>T</w:t>
      </w:r>
      <w:r w:rsidR="004F3E4F" w:rsidRPr="00135C74">
        <w:t>he b</w:t>
      </w:r>
      <w:r w:rsidR="000A4A5E" w:rsidRPr="00135C74">
        <w:t>ottom-up attentional processing for supply disruption</w:t>
      </w:r>
      <w:r w:rsidR="004F3E4F" w:rsidRPr="00135C74">
        <w:t xml:space="preserve"> detection complements the attentional perspective with</w:t>
      </w:r>
      <w:r w:rsidR="00B4370D">
        <w:t xml:space="preserve"> a</w:t>
      </w:r>
      <w:r w:rsidR="004F3E4F" w:rsidRPr="00135C74">
        <w:t xml:space="preserve"> focus on supply risk sources</w:t>
      </w:r>
      <w:r w:rsidR="0072147A" w:rsidRPr="00135C74">
        <w:t xml:space="preserve">, </w:t>
      </w:r>
      <w:r w:rsidR="00C521C0">
        <w:t>her</w:t>
      </w:r>
      <w:r w:rsidR="004D09CE">
        <w:t xml:space="preserve">e </w:t>
      </w:r>
      <w:r w:rsidR="004F3E4F" w:rsidRPr="00135C74">
        <w:t xml:space="preserve">with the additional exposure to the unexpected sources and signals for disruptions. </w:t>
      </w:r>
      <w:r w:rsidR="00D33869" w:rsidRPr="00135C74">
        <w:t xml:space="preserve">In terms of enhancing the attentional perspective of focus on supply network recoverability, bottom-up supply disruption detection </w:t>
      </w:r>
      <w:r w:rsidR="00453787" w:rsidRPr="00135C74">
        <w:t xml:space="preserve">is likely to </w:t>
      </w:r>
      <w:r w:rsidR="00D33869" w:rsidRPr="00135C74">
        <w:t>result in a more timely and effective response</w:t>
      </w:r>
      <w:r w:rsidR="00453787" w:rsidRPr="00135C74">
        <w:t xml:space="preserve"> to unexpected disruption signals</w:t>
      </w:r>
      <w:r w:rsidR="0072147A" w:rsidRPr="00135C74">
        <w:t>,</w:t>
      </w:r>
      <w:r w:rsidR="00064378" w:rsidRPr="00135C74">
        <w:t xml:space="preserve"> </w:t>
      </w:r>
      <w:r w:rsidR="00127BB4" w:rsidRPr="00135C74">
        <w:t>for example</w:t>
      </w:r>
      <w:r w:rsidR="0072147A" w:rsidRPr="00135C74">
        <w:t>,</w:t>
      </w:r>
      <w:r w:rsidR="00064378" w:rsidRPr="00135C74">
        <w:t xml:space="preserve"> </w:t>
      </w:r>
      <w:r w:rsidR="00127BB4" w:rsidRPr="00135C74">
        <w:t>in terms of adjustments to production capacity allocation (</w:t>
      </w:r>
      <w:proofErr w:type="spellStart"/>
      <w:r w:rsidR="00127BB4" w:rsidRPr="00135C74">
        <w:t>Simchi</w:t>
      </w:r>
      <w:proofErr w:type="spellEnd"/>
      <w:r w:rsidR="00127BB4" w:rsidRPr="00135C74">
        <w:t xml:space="preserve">-Levi </w:t>
      </w:r>
      <w:r w:rsidR="00127BB4" w:rsidRPr="007B1A05">
        <w:rPr>
          <w:i/>
        </w:rPr>
        <w:t>et al.</w:t>
      </w:r>
      <w:r w:rsidR="00127BB4" w:rsidRPr="00135C74">
        <w:t xml:space="preserve">, 2018). </w:t>
      </w:r>
      <w:r w:rsidR="00C57DC8">
        <w:t>Hence, w</w:t>
      </w:r>
      <w:r w:rsidR="00D33869" w:rsidRPr="00135C74">
        <w:t>e state the following hypotheses:</w:t>
      </w:r>
      <w:r w:rsidR="000A4A5E" w:rsidRPr="00135C74">
        <w:t xml:space="preserve"> </w:t>
      </w:r>
    </w:p>
    <w:p w14:paraId="60349918" w14:textId="77777777" w:rsidR="00064378" w:rsidRPr="00135C74" w:rsidRDefault="00064378" w:rsidP="00377304">
      <w:pPr>
        <w:spacing w:line="480" w:lineRule="auto"/>
        <w:jc w:val="both"/>
      </w:pPr>
    </w:p>
    <w:p w14:paraId="31218DA7" w14:textId="6416AD13" w:rsidR="00DF1F19" w:rsidRPr="00135C74" w:rsidRDefault="00DF1F19" w:rsidP="00377304">
      <w:pPr>
        <w:spacing w:line="480" w:lineRule="auto"/>
        <w:jc w:val="both"/>
      </w:pPr>
      <w:r w:rsidRPr="00135C74">
        <w:rPr>
          <w:b/>
        </w:rPr>
        <w:t>H5a</w:t>
      </w:r>
      <w:r w:rsidRPr="00135C74">
        <w:t xml:space="preserve">: </w:t>
      </w:r>
      <w:r w:rsidRPr="00135C74">
        <w:rPr>
          <w:i/>
        </w:rPr>
        <w:t xml:space="preserve">Bottom-up supply disruption detection enhances the positive association </w:t>
      </w:r>
      <w:r w:rsidR="00B4370D">
        <w:rPr>
          <w:i/>
        </w:rPr>
        <w:t>between</w:t>
      </w:r>
      <w:r w:rsidRPr="00135C74">
        <w:rPr>
          <w:i/>
        </w:rPr>
        <w:t xml:space="preserve"> focus on supply risk sources </w:t>
      </w:r>
      <w:r w:rsidR="00B4370D">
        <w:rPr>
          <w:i/>
        </w:rPr>
        <w:t>and</w:t>
      </w:r>
      <w:r w:rsidRPr="00135C74">
        <w:rPr>
          <w:i/>
        </w:rPr>
        <w:t xml:space="preserve"> supply resilience.</w:t>
      </w:r>
    </w:p>
    <w:p w14:paraId="6F43FE01" w14:textId="2C9BB501" w:rsidR="00DF1F19" w:rsidRPr="00135C74" w:rsidRDefault="00DF1F19" w:rsidP="00377304">
      <w:pPr>
        <w:spacing w:line="480" w:lineRule="auto"/>
        <w:jc w:val="both"/>
      </w:pPr>
      <w:r w:rsidRPr="00135C74">
        <w:rPr>
          <w:b/>
        </w:rPr>
        <w:t>H5</w:t>
      </w:r>
      <w:r w:rsidR="00DB2A39" w:rsidRPr="00135C74">
        <w:rPr>
          <w:b/>
        </w:rPr>
        <w:t>b</w:t>
      </w:r>
      <w:r w:rsidRPr="00135C74">
        <w:t xml:space="preserve">: </w:t>
      </w:r>
      <w:r w:rsidRPr="00135C74">
        <w:rPr>
          <w:i/>
        </w:rPr>
        <w:t xml:space="preserve">Bottom-up supply disruption detection enhances the positive association </w:t>
      </w:r>
      <w:r w:rsidR="00B4370D">
        <w:rPr>
          <w:i/>
        </w:rPr>
        <w:t>between</w:t>
      </w:r>
      <w:r w:rsidRPr="00135C74">
        <w:rPr>
          <w:i/>
        </w:rPr>
        <w:t xml:space="preserve"> focus on supply network recoverability </w:t>
      </w:r>
      <w:r w:rsidR="00B4370D">
        <w:rPr>
          <w:i/>
        </w:rPr>
        <w:t>and</w:t>
      </w:r>
      <w:r w:rsidRPr="00135C74">
        <w:rPr>
          <w:i/>
        </w:rPr>
        <w:t xml:space="preserve"> supply resilience.</w:t>
      </w:r>
    </w:p>
    <w:p w14:paraId="72502776" w14:textId="77777777" w:rsidR="0072147A" w:rsidRPr="00135C74" w:rsidRDefault="0072147A" w:rsidP="00377304">
      <w:pPr>
        <w:spacing w:line="480" w:lineRule="auto"/>
        <w:jc w:val="both"/>
      </w:pPr>
    </w:p>
    <w:p w14:paraId="471A9B1D" w14:textId="7FD1AA0F" w:rsidR="00536976" w:rsidRPr="00135C74" w:rsidRDefault="00E3694E" w:rsidP="00377304">
      <w:pPr>
        <w:spacing w:line="480" w:lineRule="auto"/>
        <w:jc w:val="both"/>
      </w:pPr>
      <w:r w:rsidRPr="00135C74">
        <w:t>To</w:t>
      </w:r>
      <w:r w:rsidR="00316714" w:rsidRPr="00135C74">
        <w:t xml:space="preserve"> elaborate </w:t>
      </w:r>
      <w:r w:rsidR="00C57DC8">
        <w:t xml:space="preserve">on the </w:t>
      </w:r>
      <w:r w:rsidR="00316714" w:rsidRPr="00135C74">
        <w:t xml:space="preserve">supply disruption risk management approaches from the </w:t>
      </w:r>
      <w:r w:rsidR="00C57DC8">
        <w:t xml:space="preserve">perspective of the </w:t>
      </w:r>
      <w:r w:rsidR="00316714" w:rsidRPr="00135C74">
        <w:t xml:space="preserve">ABV, the possible preference of one type of attentional </w:t>
      </w:r>
      <w:r w:rsidR="00C31194" w:rsidRPr="00135C74">
        <w:t>selection</w:t>
      </w:r>
      <w:r w:rsidR="00316714" w:rsidRPr="00135C74">
        <w:t xml:space="preserve"> over the other</w:t>
      </w:r>
      <w:r w:rsidR="005D636F" w:rsidRPr="00135C74">
        <w:t xml:space="preserve"> must be considered</w:t>
      </w:r>
      <w:r w:rsidR="00316714" w:rsidRPr="00135C74">
        <w:t xml:space="preserve">. </w:t>
      </w:r>
      <w:r w:rsidR="0063446B" w:rsidRPr="00135C74">
        <w:t xml:space="preserve">Top-down detection is primarily based on existing frameworks and </w:t>
      </w:r>
      <w:r w:rsidR="00552E77" w:rsidRPr="00135C74">
        <w:t>tools and</w:t>
      </w:r>
      <w:r w:rsidR="005D636F" w:rsidRPr="00135C74">
        <w:t>,</w:t>
      </w:r>
      <w:r w:rsidR="0063446B" w:rsidRPr="00135C74">
        <w:t xml:space="preserve"> </w:t>
      </w:r>
      <w:r w:rsidR="00552E77" w:rsidRPr="00135C74">
        <w:t xml:space="preserve">by </w:t>
      </w:r>
      <w:r w:rsidR="00636738">
        <w:t xml:space="preserve">its very </w:t>
      </w:r>
      <w:r w:rsidR="00552E77" w:rsidRPr="00135C74">
        <w:t xml:space="preserve">definition, </w:t>
      </w:r>
      <w:r w:rsidR="00423785" w:rsidRPr="00135C74">
        <w:t xml:space="preserve">provides a </w:t>
      </w:r>
      <w:r w:rsidR="0063446B" w:rsidRPr="00135C74">
        <w:t xml:space="preserve">limited </w:t>
      </w:r>
      <w:r w:rsidR="00423785" w:rsidRPr="00135C74">
        <w:t>scope for environmental scanning</w:t>
      </w:r>
      <w:r w:rsidR="0063446B" w:rsidRPr="00135C74">
        <w:t xml:space="preserve">. </w:t>
      </w:r>
      <w:r w:rsidR="00E675EC" w:rsidRPr="00135C74">
        <w:t>Further</w:t>
      </w:r>
      <w:r w:rsidR="005D636F" w:rsidRPr="00135C74">
        <w:t>more</w:t>
      </w:r>
      <w:r w:rsidR="00B94E48" w:rsidRPr="00135C74">
        <w:t xml:space="preserve">, top-down attentional </w:t>
      </w:r>
      <w:r w:rsidR="00C31194" w:rsidRPr="00135C74">
        <w:t>selection</w:t>
      </w:r>
      <w:r w:rsidR="00C831C1" w:rsidRPr="00135C74">
        <w:t>,</w:t>
      </w:r>
      <w:r w:rsidR="00B94E48" w:rsidRPr="00135C74">
        <w:t xml:space="preserve"> </w:t>
      </w:r>
      <w:r w:rsidR="00C831C1" w:rsidRPr="00135C74">
        <w:t xml:space="preserve">which is </w:t>
      </w:r>
      <w:r w:rsidR="00B94E48" w:rsidRPr="00135C74">
        <w:t>based on prior experience</w:t>
      </w:r>
      <w:r w:rsidR="00C831C1" w:rsidRPr="00135C74">
        <w:t>,</w:t>
      </w:r>
      <w:r w:rsidR="004544EA" w:rsidRPr="00135C74">
        <w:t xml:space="preserve"> </w:t>
      </w:r>
      <w:r w:rsidR="005D636F" w:rsidRPr="00135C74">
        <w:t xml:space="preserve">implies </w:t>
      </w:r>
      <w:r w:rsidR="00E675EC" w:rsidRPr="00135C74">
        <w:t>potential risk</w:t>
      </w:r>
      <w:r w:rsidR="00356C37" w:rsidRPr="00135C74">
        <w:t>s</w:t>
      </w:r>
      <w:r w:rsidR="00E675EC" w:rsidRPr="00135C74">
        <w:t xml:space="preserve"> of </w:t>
      </w:r>
      <w:r w:rsidR="00B94E48" w:rsidRPr="00135C74">
        <w:t>bias</w:t>
      </w:r>
      <w:r w:rsidR="00E675EC" w:rsidRPr="00135C74">
        <w:t xml:space="preserve"> </w:t>
      </w:r>
      <w:r w:rsidR="004544EA" w:rsidRPr="00135C74">
        <w:t xml:space="preserve">(Schultz-Hardt </w:t>
      </w:r>
      <w:r w:rsidR="004544EA" w:rsidRPr="00135C74">
        <w:rPr>
          <w:i/>
        </w:rPr>
        <w:t>et al</w:t>
      </w:r>
      <w:r w:rsidR="004544EA" w:rsidRPr="00135C74">
        <w:t>., 2000)</w:t>
      </w:r>
      <w:r w:rsidR="00CF1BC3" w:rsidRPr="00135C74">
        <w:t xml:space="preserve"> </w:t>
      </w:r>
      <w:r w:rsidR="00561B05" w:rsidRPr="00135C74">
        <w:t xml:space="preserve">and can be limited to </w:t>
      </w:r>
      <w:r w:rsidR="0063446B" w:rsidRPr="00135C74">
        <w:t>incremental changes</w:t>
      </w:r>
      <w:r w:rsidR="00561B05" w:rsidRPr="00135C74">
        <w:t xml:space="preserve"> </w:t>
      </w:r>
      <w:r w:rsidR="0014034B">
        <w:t>in</w:t>
      </w:r>
      <w:r w:rsidR="00561B05" w:rsidRPr="00135C74">
        <w:t xml:space="preserve"> trajectories</w:t>
      </w:r>
      <w:r w:rsidR="0063446B" w:rsidRPr="00135C74">
        <w:t xml:space="preserve"> </w:t>
      </w:r>
      <w:r w:rsidR="00561B05" w:rsidRPr="00135C74">
        <w:t>that</w:t>
      </w:r>
      <w:r w:rsidR="00423785" w:rsidRPr="00135C74">
        <w:t xml:space="preserve"> </w:t>
      </w:r>
      <w:r w:rsidR="0063446B" w:rsidRPr="00135C74">
        <w:t xml:space="preserve">neglect phenomena outside the </w:t>
      </w:r>
      <w:r w:rsidR="00B94E48" w:rsidRPr="00135C74">
        <w:t xml:space="preserve">manager’s </w:t>
      </w:r>
      <w:r w:rsidR="0063446B" w:rsidRPr="00135C74">
        <w:t xml:space="preserve">peripheral vision </w:t>
      </w:r>
      <w:r w:rsidR="00B94E48" w:rsidRPr="00135C74">
        <w:t xml:space="preserve">(Shepherd </w:t>
      </w:r>
      <w:r w:rsidR="00B94E48" w:rsidRPr="00135C74">
        <w:rPr>
          <w:i/>
        </w:rPr>
        <w:t>et al</w:t>
      </w:r>
      <w:r w:rsidR="00B94E48" w:rsidRPr="00135C74">
        <w:t>.,</w:t>
      </w:r>
      <w:r w:rsidR="0063446B" w:rsidRPr="00135C74">
        <w:t xml:space="preserve"> 2017;</w:t>
      </w:r>
      <w:r w:rsidR="00B94E48" w:rsidRPr="00135C74">
        <w:t xml:space="preserve"> cf. Day and</w:t>
      </w:r>
      <w:r w:rsidR="0063446B" w:rsidRPr="00135C74">
        <w:t xml:space="preserve"> </w:t>
      </w:r>
      <w:proofErr w:type="spellStart"/>
      <w:r w:rsidR="0063446B" w:rsidRPr="00135C74">
        <w:t>Schoemaker</w:t>
      </w:r>
      <w:proofErr w:type="spellEnd"/>
      <w:r w:rsidR="0063446B" w:rsidRPr="00135C74">
        <w:t xml:space="preserve">, 2004). </w:t>
      </w:r>
      <w:r w:rsidR="005D636F" w:rsidRPr="00135C74">
        <w:t>Therefore, t</w:t>
      </w:r>
      <w:r w:rsidR="0063446B" w:rsidRPr="00135C74">
        <w:t>op-down detection is ill-suited for detecting</w:t>
      </w:r>
      <w:r w:rsidR="00EA5799" w:rsidRPr="00135C74">
        <w:t xml:space="preserve"> </w:t>
      </w:r>
      <w:r w:rsidR="007F2150" w:rsidRPr="00135C74">
        <w:t>so-called</w:t>
      </w:r>
      <w:r w:rsidR="00B94E48" w:rsidRPr="00135C74">
        <w:t xml:space="preserve"> </w:t>
      </w:r>
      <w:r w:rsidR="00135C74" w:rsidRPr="00135C74">
        <w:t>grey</w:t>
      </w:r>
      <w:r w:rsidR="00EA5799" w:rsidRPr="00135C74">
        <w:t xml:space="preserve"> swans </w:t>
      </w:r>
      <w:r w:rsidR="00636738">
        <w:t>‘</w:t>
      </w:r>
      <w:r w:rsidR="00EA5799" w:rsidRPr="00135C74">
        <w:t>in the outskirts of the extended supply chains of an organi</w:t>
      </w:r>
      <w:r w:rsidR="001870C5">
        <w:t>s</w:t>
      </w:r>
      <w:r w:rsidR="00EA5799" w:rsidRPr="00135C74">
        <w:t>ation</w:t>
      </w:r>
      <w:r w:rsidR="00636738">
        <w:t>’</w:t>
      </w:r>
      <w:r w:rsidR="00636738" w:rsidRPr="00135C74">
        <w:t xml:space="preserve"> </w:t>
      </w:r>
      <w:r w:rsidR="00EA5799" w:rsidRPr="00135C74">
        <w:t>(</w:t>
      </w:r>
      <w:proofErr w:type="spellStart"/>
      <w:r w:rsidR="00EA5799" w:rsidRPr="00135C74">
        <w:t>Akkermans</w:t>
      </w:r>
      <w:proofErr w:type="spellEnd"/>
      <w:r w:rsidR="00EA5799" w:rsidRPr="00135C74">
        <w:t xml:space="preserve"> and van </w:t>
      </w:r>
      <w:proofErr w:type="spellStart"/>
      <w:r w:rsidR="00EA5799" w:rsidRPr="00135C74">
        <w:lastRenderedPageBreak/>
        <w:t>Wassenhove</w:t>
      </w:r>
      <w:proofErr w:type="spellEnd"/>
      <w:r w:rsidR="00EA5799" w:rsidRPr="00135C74">
        <w:t>, 201</w:t>
      </w:r>
      <w:r w:rsidR="00D53D2C" w:rsidRPr="00135C74">
        <w:t>8a</w:t>
      </w:r>
      <w:r w:rsidR="00C90D6D" w:rsidRPr="00135C74">
        <w:t>, 71</w:t>
      </w:r>
      <w:r w:rsidR="00EA5799" w:rsidRPr="00135C74">
        <w:t xml:space="preserve">). </w:t>
      </w:r>
      <w:r w:rsidR="00536976" w:rsidRPr="00135C74">
        <w:t xml:space="preserve">However, despite these shortcomings, top-down </w:t>
      </w:r>
      <w:r w:rsidR="00C31194" w:rsidRPr="00135C74">
        <w:t>selection</w:t>
      </w:r>
      <w:r w:rsidR="007F2150" w:rsidRPr="00135C74">
        <w:t xml:space="preserve"> </w:t>
      </w:r>
      <w:r w:rsidR="00536976" w:rsidRPr="00135C74">
        <w:t xml:space="preserve">is superior in terms of </w:t>
      </w:r>
      <w:r w:rsidR="00636738">
        <w:t xml:space="preserve">its </w:t>
      </w:r>
      <w:r w:rsidR="00536976" w:rsidRPr="00135C74">
        <w:t xml:space="preserve">efficiency and reliability in detecting disruption signals in </w:t>
      </w:r>
      <w:r w:rsidR="00C31194" w:rsidRPr="00135C74">
        <w:t xml:space="preserve">known and </w:t>
      </w:r>
      <w:r w:rsidR="00536976" w:rsidRPr="00135C74">
        <w:t>prioriti</w:t>
      </w:r>
      <w:r w:rsidR="001870C5">
        <w:t>s</w:t>
      </w:r>
      <w:r w:rsidR="00536976" w:rsidRPr="00135C74">
        <w:t xml:space="preserve">ed areas (Shepherd </w:t>
      </w:r>
      <w:r w:rsidR="00536976" w:rsidRPr="00135C74">
        <w:rPr>
          <w:i/>
          <w:iCs/>
        </w:rPr>
        <w:t>et al.</w:t>
      </w:r>
      <w:r w:rsidR="004403D3" w:rsidRPr="00135C74">
        <w:t>,</w:t>
      </w:r>
      <w:r w:rsidR="00536976" w:rsidRPr="00135C74">
        <w:t xml:space="preserve"> 2017). </w:t>
      </w:r>
    </w:p>
    <w:p w14:paraId="4939D930" w14:textId="25A5353C" w:rsidR="003D5FD2" w:rsidRPr="00135C74" w:rsidRDefault="005D636F" w:rsidP="00232C6A">
      <w:pPr>
        <w:spacing w:line="480" w:lineRule="auto"/>
        <w:jc w:val="both"/>
      </w:pPr>
      <w:r w:rsidRPr="00135C74">
        <w:t xml:space="preserve">By </w:t>
      </w:r>
      <w:r w:rsidR="00EA5799" w:rsidRPr="00135C74">
        <w:t xml:space="preserve">contrast, bottom-up attentional </w:t>
      </w:r>
      <w:r w:rsidR="00C31194" w:rsidRPr="00135C74">
        <w:t>selection</w:t>
      </w:r>
      <w:r w:rsidR="00EA5799" w:rsidRPr="00135C74">
        <w:t xml:space="preserve"> </w:t>
      </w:r>
      <w:r w:rsidR="003E3BD2" w:rsidRPr="00135C74">
        <w:t>has greater potential to identify</w:t>
      </w:r>
      <w:r w:rsidR="00EA5799" w:rsidRPr="00135C74">
        <w:t xml:space="preserve"> discontinuous changes and disruptions </w:t>
      </w:r>
      <w:r w:rsidR="00B94E48" w:rsidRPr="00135C74">
        <w:t xml:space="preserve">(Shepherd </w:t>
      </w:r>
      <w:r w:rsidR="00B94E48" w:rsidRPr="00135C74">
        <w:rPr>
          <w:i/>
        </w:rPr>
        <w:t>et al</w:t>
      </w:r>
      <w:r w:rsidR="00B94E48" w:rsidRPr="00135C74">
        <w:t>.</w:t>
      </w:r>
      <w:r w:rsidR="00EA5799" w:rsidRPr="00135C74">
        <w:t xml:space="preserve">, 2017; cf. Day </w:t>
      </w:r>
      <w:r w:rsidR="00B94E48" w:rsidRPr="00135C74">
        <w:t>and</w:t>
      </w:r>
      <w:r w:rsidR="00EA5799" w:rsidRPr="00135C74">
        <w:t xml:space="preserve"> </w:t>
      </w:r>
      <w:proofErr w:type="spellStart"/>
      <w:r w:rsidR="00EA5799" w:rsidRPr="00135C74">
        <w:t>Schoemaker</w:t>
      </w:r>
      <w:proofErr w:type="spellEnd"/>
      <w:r w:rsidR="00EA5799" w:rsidRPr="00135C74">
        <w:t xml:space="preserve">, 2004), including </w:t>
      </w:r>
      <w:r w:rsidR="00135C74" w:rsidRPr="00135C74">
        <w:t>grey</w:t>
      </w:r>
      <w:r w:rsidR="00EA5799" w:rsidRPr="00135C74">
        <w:t xml:space="preserve"> swans (</w:t>
      </w:r>
      <w:proofErr w:type="spellStart"/>
      <w:r w:rsidR="00EA5799" w:rsidRPr="00135C74">
        <w:t>Akkermans</w:t>
      </w:r>
      <w:proofErr w:type="spellEnd"/>
      <w:r w:rsidR="00EA5799" w:rsidRPr="00135C74">
        <w:t xml:space="preserve"> and van </w:t>
      </w:r>
      <w:proofErr w:type="spellStart"/>
      <w:r w:rsidR="00EA5799" w:rsidRPr="00135C74">
        <w:t>Wassenhove</w:t>
      </w:r>
      <w:proofErr w:type="spellEnd"/>
      <w:r w:rsidR="00EA5799" w:rsidRPr="00135C74">
        <w:t>, 2018</w:t>
      </w:r>
      <w:r w:rsidR="00D53D2C" w:rsidRPr="00135C74">
        <w:t>a</w:t>
      </w:r>
      <w:r w:rsidR="00EA5799" w:rsidRPr="00135C74">
        <w:t xml:space="preserve">). </w:t>
      </w:r>
      <w:r w:rsidR="00FC3DBF">
        <w:t>The e</w:t>
      </w:r>
      <w:r w:rsidR="00B94E48" w:rsidRPr="00135C74">
        <w:t xml:space="preserve">arly </w:t>
      </w:r>
      <w:r w:rsidR="00EA5799" w:rsidRPr="00135C74">
        <w:t xml:space="preserve">detection of </w:t>
      </w:r>
      <w:r w:rsidR="00536976" w:rsidRPr="00135C74">
        <w:t xml:space="preserve">unanticipated </w:t>
      </w:r>
      <w:r w:rsidR="00C31194" w:rsidRPr="00135C74">
        <w:t xml:space="preserve">and developing </w:t>
      </w:r>
      <w:r w:rsidR="00B94E48" w:rsidRPr="00135C74">
        <w:t>disruptions</w:t>
      </w:r>
      <w:r w:rsidR="00EA5799" w:rsidRPr="00135C74">
        <w:t xml:space="preserve"> is of crucial importance</w:t>
      </w:r>
      <w:r w:rsidR="00BC283F" w:rsidRPr="00135C74">
        <w:t xml:space="preserve">, but </w:t>
      </w:r>
      <w:r w:rsidR="00BF3235" w:rsidRPr="00135C74">
        <w:t>here</w:t>
      </w:r>
      <w:r w:rsidR="00FC3DBF">
        <w:t>,</w:t>
      </w:r>
      <w:r w:rsidR="00BF3235" w:rsidRPr="00135C74">
        <w:t xml:space="preserve"> </w:t>
      </w:r>
      <w:r w:rsidR="00BC283F" w:rsidRPr="00135C74">
        <w:t>there is tension</w:t>
      </w:r>
      <w:r w:rsidR="00FC3DBF">
        <w:t xml:space="preserve"> because</w:t>
      </w:r>
      <w:r w:rsidR="00BF3235" w:rsidRPr="00135C74">
        <w:t xml:space="preserve"> </w:t>
      </w:r>
      <w:r w:rsidR="00536976" w:rsidRPr="00135C74">
        <w:t xml:space="preserve">bottom-up attentional </w:t>
      </w:r>
      <w:r w:rsidR="00C31194" w:rsidRPr="00135C74">
        <w:t>selection</w:t>
      </w:r>
      <w:r w:rsidR="00BC283F" w:rsidRPr="00135C74">
        <w:t xml:space="preserve"> lacks </w:t>
      </w:r>
      <w:r w:rsidR="00536976" w:rsidRPr="00135C74">
        <w:t>efficiency and reliability in detecting potentially crucial signals in already recogni</w:t>
      </w:r>
      <w:r w:rsidR="001870C5">
        <w:t>s</w:t>
      </w:r>
      <w:r w:rsidR="00536976" w:rsidRPr="00135C74">
        <w:t>ed risk areas</w:t>
      </w:r>
      <w:r w:rsidR="006044E5" w:rsidRPr="00135C74">
        <w:t xml:space="preserve"> </w:t>
      </w:r>
      <w:r w:rsidR="00FC3DBF">
        <w:t>compared with</w:t>
      </w:r>
      <w:r w:rsidR="006044E5" w:rsidRPr="00135C74">
        <w:t xml:space="preserve"> top-down approaches. </w:t>
      </w:r>
      <w:r w:rsidR="00C37B78" w:rsidRPr="00135C74">
        <w:t>Therefore, m</w:t>
      </w:r>
      <w:r w:rsidR="00232161" w:rsidRPr="00135C74">
        <w:t>anagers</w:t>
      </w:r>
      <w:r w:rsidR="00CE7DA5" w:rsidRPr="00135C74">
        <w:t xml:space="preserve"> </w:t>
      </w:r>
      <w:r w:rsidR="00837282" w:rsidRPr="00135C74">
        <w:t xml:space="preserve">must balance </w:t>
      </w:r>
      <w:r w:rsidR="00BF3235" w:rsidRPr="00135C74">
        <w:t xml:space="preserve">their </w:t>
      </w:r>
      <w:r w:rsidR="00837282" w:rsidRPr="00135C74">
        <w:t>attentional selection, similar to what has been theori</w:t>
      </w:r>
      <w:r w:rsidR="001870C5">
        <w:t>s</w:t>
      </w:r>
      <w:r w:rsidR="00837282" w:rsidRPr="00135C74">
        <w:t>ed in the context of organi</w:t>
      </w:r>
      <w:r w:rsidR="001870C5">
        <w:t>s</w:t>
      </w:r>
      <w:r w:rsidR="00837282" w:rsidRPr="00135C74">
        <w:t>ational</w:t>
      </w:r>
      <w:r w:rsidRPr="00135C74">
        <w:t>-</w:t>
      </w:r>
      <w:r w:rsidR="00232161" w:rsidRPr="00135C74">
        <w:t>level</w:t>
      </w:r>
      <w:r w:rsidR="00837282" w:rsidRPr="00135C74">
        <w:t xml:space="preserve"> ambidexterity (</w:t>
      </w:r>
      <w:proofErr w:type="spellStart"/>
      <w:r w:rsidR="00837282" w:rsidRPr="00135C74">
        <w:t>Birkinshaw</w:t>
      </w:r>
      <w:proofErr w:type="spellEnd"/>
      <w:r w:rsidR="00837282" w:rsidRPr="00135C74">
        <w:t xml:space="preserve"> and Gupta, 2013</w:t>
      </w:r>
      <w:r w:rsidR="00E94DDA" w:rsidRPr="00135C74">
        <w:t>)</w:t>
      </w:r>
      <w:r w:rsidR="00232161" w:rsidRPr="00135C74">
        <w:t xml:space="preserve">. Instead of balanced proficiency for exploitation and exploration, </w:t>
      </w:r>
      <w:r w:rsidR="002B739F" w:rsidRPr="00135C74">
        <w:t>figuratively speaking</w:t>
      </w:r>
      <w:r w:rsidR="00B4370D">
        <w:t>,</w:t>
      </w:r>
      <w:r w:rsidR="002B739F" w:rsidRPr="00135C74">
        <w:t xml:space="preserve"> </w:t>
      </w:r>
      <w:r w:rsidR="00232161" w:rsidRPr="00135C74">
        <w:t>the hands of the organi</w:t>
      </w:r>
      <w:r w:rsidR="001870C5">
        <w:t>s</w:t>
      </w:r>
      <w:r w:rsidR="00232161" w:rsidRPr="00135C74">
        <w:t>ation</w:t>
      </w:r>
      <w:r w:rsidR="00FC3DBF">
        <w:t xml:space="preserve">—the </w:t>
      </w:r>
      <w:r w:rsidR="00232161" w:rsidRPr="00135C74">
        <w:t>managers</w:t>
      </w:r>
      <w:r w:rsidRPr="00135C74">
        <w:t xml:space="preserve"> in this case</w:t>
      </w:r>
      <w:r w:rsidR="00FC3DBF">
        <w:t>—</w:t>
      </w:r>
      <w:r w:rsidR="00232161" w:rsidRPr="00135C74">
        <w:t xml:space="preserve">and the </w:t>
      </w:r>
      <w:r w:rsidR="00E94DDA" w:rsidRPr="00135C74">
        <w:t>firms</w:t>
      </w:r>
      <w:r w:rsidR="00232161" w:rsidRPr="00135C74">
        <w:t xml:space="preserve"> as collectives</w:t>
      </w:r>
      <w:r w:rsidR="006E4255" w:rsidRPr="00135C74">
        <w:t xml:space="preserve"> </w:t>
      </w:r>
      <w:r w:rsidR="005E0B29" w:rsidRPr="00135C74">
        <w:t>metaphorically</w:t>
      </w:r>
      <w:r w:rsidR="00FC3DBF">
        <w:t xml:space="preserve"> must</w:t>
      </w:r>
      <w:r w:rsidR="005E0B29" w:rsidRPr="00135C74">
        <w:t xml:space="preserve"> </w:t>
      </w:r>
      <w:r w:rsidR="00FC3DBF">
        <w:t>keep</w:t>
      </w:r>
      <w:r w:rsidR="006E4255" w:rsidRPr="00135C74">
        <w:t xml:space="preserve"> both eyes open </w:t>
      </w:r>
      <w:r w:rsidR="00D656D7" w:rsidRPr="00135C74">
        <w:t xml:space="preserve">for monitoring the known and detecting the unexpected </w:t>
      </w:r>
      <w:r w:rsidR="006E4255" w:rsidRPr="00135C74">
        <w:t xml:space="preserve">(Lorentz </w:t>
      </w:r>
      <w:r w:rsidR="006E4255" w:rsidRPr="00135C74">
        <w:rPr>
          <w:i/>
        </w:rPr>
        <w:t>et al</w:t>
      </w:r>
      <w:r w:rsidR="006E4255" w:rsidRPr="00135C74">
        <w:t>., 2019)</w:t>
      </w:r>
      <w:r w:rsidR="00837282" w:rsidRPr="00135C74">
        <w:t xml:space="preserve">. </w:t>
      </w:r>
      <w:r w:rsidR="00BC4074" w:rsidRPr="00135C74">
        <w:t>Nevertheless</w:t>
      </w:r>
      <w:r w:rsidR="00967939" w:rsidRPr="00135C74">
        <w:t xml:space="preserve">, </w:t>
      </w:r>
      <w:r w:rsidR="00FC3DBF">
        <w:t>because</w:t>
      </w:r>
      <w:r w:rsidR="00FC3DBF" w:rsidRPr="00135C74">
        <w:t xml:space="preserve"> </w:t>
      </w:r>
      <w:r w:rsidR="006E4255" w:rsidRPr="00135C74">
        <w:t xml:space="preserve">companies </w:t>
      </w:r>
      <w:r w:rsidR="00967939" w:rsidRPr="00135C74">
        <w:t xml:space="preserve">typically </w:t>
      </w:r>
      <w:r w:rsidR="006E4255" w:rsidRPr="00135C74">
        <w:t>prefer efficiency in the absence of slack resources (</w:t>
      </w:r>
      <w:proofErr w:type="spellStart"/>
      <w:r w:rsidR="006E4255" w:rsidRPr="00135C74">
        <w:t>Lavie</w:t>
      </w:r>
      <w:proofErr w:type="spellEnd"/>
      <w:r w:rsidR="006E4255" w:rsidRPr="00135C74">
        <w:t xml:space="preserve"> </w:t>
      </w:r>
      <w:r w:rsidR="006E4255" w:rsidRPr="00135C74">
        <w:rPr>
          <w:i/>
        </w:rPr>
        <w:t>et al</w:t>
      </w:r>
      <w:r w:rsidR="006E4255" w:rsidRPr="00135C74">
        <w:t>., 2010),</w:t>
      </w:r>
      <w:r w:rsidR="00837282" w:rsidRPr="00135C74">
        <w:t xml:space="preserve"> </w:t>
      </w:r>
      <w:r w:rsidR="00232161" w:rsidRPr="00135C74">
        <w:t>managers</w:t>
      </w:r>
      <w:r w:rsidR="00CE7DA5" w:rsidRPr="00135C74">
        <w:t xml:space="preserve"> </w:t>
      </w:r>
      <w:r w:rsidR="00967939" w:rsidRPr="00135C74">
        <w:t>may</w:t>
      </w:r>
      <w:r w:rsidR="005E0B29" w:rsidRPr="00135C74">
        <w:t xml:space="preserve"> emphasi</w:t>
      </w:r>
      <w:r w:rsidR="001870C5">
        <w:t>s</w:t>
      </w:r>
      <w:r w:rsidR="005E0B29" w:rsidRPr="00135C74">
        <w:t xml:space="preserve">e top-down attentional </w:t>
      </w:r>
      <w:r w:rsidR="00C31194" w:rsidRPr="00135C74">
        <w:t>selection</w:t>
      </w:r>
      <w:r w:rsidR="005E0B29" w:rsidRPr="00135C74">
        <w:t xml:space="preserve"> over bottom-up</w:t>
      </w:r>
      <w:r w:rsidR="00BC4074" w:rsidRPr="00135C74">
        <w:t xml:space="preserve"> attentional selection</w:t>
      </w:r>
      <w:r w:rsidR="00967939" w:rsidRPr="00135C74">
        <w:t xml:space="preserve">, creating an </w:t>
      </w:r>
      <w:r w:rsidR="005E0B29" w:rsidRPr="00135C74">
        <w:t>imbalance</w:t>
      </w:r>
      <w:r w:rsidR="006E4255" w:rsidRPr="00135C74">
        <w:t xml:space="preserve">. </w:t>
      </w:r>
    </w:p>
    <w:p w14:paraId="14F8F421" w14:textId="20BCFCAF" w:rsidR="00457642" w:rsidRPr="00135C74" w:rsidRDefault="00BF3235" w:rsidP="00232C6A">
      <w:pPr>
        <w:spacing w:line="480" w:lineRule="auto"/>
        <w:jc w:val="both"/>
      </w:pPr>
      <w:r w:rsidRPr="00135C74">
        <w:t>We develop the</w:t>
      </w:r>
      <w:r w:rsidR="00232C6A" w:rsidRPr="00135C74">
        <w:t xml:space="preserve"> construct </w:t>
      </w:r>
      <w:r w:rsidR="00C37B78" w:rsidRPr="00135C74">
        <w:rPr>
          <w:i/>
        </w:rPr>
        <w:t>im</w:t>
      </w:r>
      <w:r w:rsidR="00232C6A" w:rsidRPr="00135C74">
        <w:rPr>
          <w:i/>
        </w:rPr>
        <w:t>balanced supply disruption detection</w:t>
      </w:r>
      <w:r w:rsidR="00232C6A" w:rsidRPr="00135C74">
        <w:t xml:space="preserve"> by calculating the absolute difference of the attentional selection types</w:t>
      </w:r>
      <w:r w:rsidR="00D52EF7" w:rsidRPr="00135C74">
        <w:t xml:space="preserve">, </w:t>
      </w:r>
      <w:r w:rsidR="00FC3DBF">
        <w:t>that is,</w:t>
      </w:r>
      <w:r w:rsidR="00D52EF7" w:rsidRPr="00135C74">
        <w:t xml:space="preserve"> </w:t>
      </w:r>
      <w:r w:rsidR="00232C6A" w:rsidRPr="00135C74">
        <w:t xml:space="preserve">|A – B|, </w:t>
      </w:r>
      <w:r w:rsidR="00D52EF7" w:rsidRPr="00135C74">
        <w:t xml:space="preserve">which </w:t>
      </w:r>
      <w:r w:rsidR="00232C6A" w:rsidRPr="00135C74">
        <w:t>suggest</w:t>
      </w:r>
      <w:r w:rsidR="00D52EF7" w:rsidRPr="00135C74">
        <w:t>s</w:t>
      </w:r>
      <w:r w:rsidR="00B4370D">
        <w:t xml:space="preserve"> that</w:t>
      </w:r>
      <w:r w:rsidR="00232C6A" w:rsidRPr="00135C74">
        <w:t xml:space="preserve"> </w:t>
      </w:r>
      <w:r w:rsidR="00BC4074" w:rsidRPr="00135C74">
        <w:t xml:space="preserve">the </w:t>
      </w:r>
      <w:r w:rsidR="002A1682" w:rsidRPr="00135C74">
        <w:t>higher the absolute difference</w:t>
      </w:r>
      <w:r w:rsidR="00B4370D">
        <w:t>,</w:t>
      </w:r>
      <w:r w:rsidR="002A1682" w:rsidRPr="00135C74">
        <w:t xml:space="preserve"> the more imbalanced </w:t>
      </w:r>
      <w:r w:rsidR="00D52EF7" w:rsidRPr="00135C74">
        <w:t xml:space="preserve">the </w:t>
      </w:r>
      <w:r w:rsidR="002A1682" w:rsidRPr="00135C74">
        <w:t>attentional selection</w:t>
      </w:r>
      <w:r w:rsidR="00D52EF7" w:rsidRPr="00135C74">
        <w:t xml:space="preserve"> </w:t>
      </w:r>
      <w:r w:rsidR="00702A40">
        <w:t xml:space="preserve">will be </w:t>
      </w:r>
      <w:r w:rsidR="00D52EF7" w:rsidRPr="00135C74">
        <w:t>(</w:t>
      </w:r>
      <w:r w:rsidR="002A1682" w:rsidRPr="00135C74">
        <w:t>cf.</w:t>
      </w:r>
      <w:r w:rsidR="00232C6A" w:rsidRPr="00135C74">
        <w:t xml:space="preserve"> </w:t>
      </w:r>
      <w:proofErr w:type="spellStart"/>
      <w:r w:rsidR="00232C6A" w:rsidRPr="00135C74">
        <w:t>Birkinshaw</w:t>
      </w:r>
      <w:proofErr w:type="spellEnd"/>
      <w:r w:rsidR="00232C6A" w:rsidRPr="00135C74">
        <w:t xml:space="preserve"> and Gupta, 2013</w:t>
      </w:r>
      <w:r w:rsidR="00C31194" w:rsidRPr="00135C74">
        <w:t>)</w:t>
      </w:r>
      <w:r w:rsidR="00232161" w:rsidRPr="00135C74">
        <w:t xml:space="preserve">. </w:t>
      </w:r>
      <w:r w:rsidR="002C133E" w:rsidRPr="00135C74">
        <w:t>Therefore, t</w:t>
      </w:r>
      <w:r w:rsidR="00344C8D" w:rsidRPr="00135C74">
        <w:t xml:space="preserve">he key to the beneficial effect is </w:t>
      </w:r>
      <w:r w:rsidR="00C14BD6" w:rsidRPr="00135C74">
        <w:t xml:space="preserve">allocating the available scarce resources in equal measure to </w:t>
      </w:r>
      <w:r w:rsidR="00344C8D" w:rsidRPr="00135C74">
        <w:t xml:space="preserve">both selection types </w:t>
      </w:r>
      <w:r w:rsidR="002C133E" w:rsidRPr="00135C74">
        <w:t>to</w:t>
      </w:r>
      <w:r w:rsidR="00344C8D" w:rsidRPr="00135C74">
        <w:t xml:space="preserve"> avoid bias</w:t>
      </w:r>
      <w:r w:rsidR="005C5F05">
        <w:t>,</w:t>
      </w:r>
      <w:r w:rsidR="00C37B78" w:rsidRPr="00135C74">
        <w:t xml:space="preserve"> or imbalance</w:t>
      </w:r>
      <w:r w:rsidR="00C14BD6" w:rsidRPr="00135C74">
        <w:t xml:space="preserve">. </w:t>
      </w:r>
      <w:r w:rsidR="00C37B78" w:rsidRPr="00135C74">
        <w:t>Imb</w:t>
      </w:r>
      <w:r w:rsidR="00C831C1" w:rsidRPr="00135C74">
        <w:t xml:space="preserve">alance in detection </w:t>
      </w:r>
      <w:r w:rsidR="00494CF8" w:rsidRPr="00135C74">
        <w:t xml:space="preserve">routines </w:t>
      </w:r>
      <w:r w:rsidR="00C831C1" w:rsidRPr="00135C74">
        <w:t>is hypothesi</w:t>
      </w:r>
      <w:r w:rsidR="001870C5">
        <w:t>s</w:t>
      </w:r>
      <w:r w:rsidR="00C831C1" w:rsidRPr="00135C74">
        <w:t xml:space="preserve">ed to </w:t>
      </w:r>
      <w:r w:rsidR="00C37B78" w:rsidRPr="00135C74">
        <w:t xml:space="preserve">diminish </w:t>
      </w:r>
      <w:r w:rsidR="003D5FD2" w:rsidRPr="00135C74">
        <w:t xml:space="preserve">the beneficial effect of </w:t>
      </w:r>
      <w:r w:rsidR="00C831C1" w:rsidRPr="00135C74">
        <w:t>both types of attentional perspectives</w:t>
      </w:r>
      <w:r w:rsidR="00494CF8" w:rsidRPr="00135C74">
        <w:t xml:space="preserve">. </w:t>
      </w:r>
      <w:r w:rsidR="009C6144" w:rsidRPr="00135C74">
        <w:t>However, we must assume that those cases in which an approximate balance is achieved are predominantly of the type in which both top</w:t>
      </w:r>
      <w:r w:rsidR="005C5F05">
        <w:t xml:space="preserve"> </w:t>
      </w:r>
      <w:r w:rsidR="009C6144" w:rsidRPr="00135C74">
        <w:t>down and bottom</w:t>
      </w:r>
      <w:r w:rsidR="005C5F05">
        <w:t xml:space="preserve"> </w:t>
      </w:r>
      <w:r w:rsidR="009C6144" w:rsidRPr="00135C74">
        <w:t xml:space="preserve">up are at a relatively </w:t>
      </w:r>
      <w:r w:rsidR="009C6144" w:rsidRPr="00135C74">
        <w:lastRenderedPageBreak/>
        <w:t>high level</w:t>
      </w:r>
      <w:r w:rsidR="00F20985" w:rsidRPr="00135C74">
        <w:t xml:space="preserve"> (A</w:t>
      </w:r>
      <w:r w:rsidR="000822C3" w:rsidRPr="00135C74">
        <w:t>ssumption 1</w:t>
      </w:r>
      <w:r w:rsidRPr="00135C74">
        <w:t>), creating a</w:t>
      </w:r>
      <w:r w:rsidR="009C6144" w:rsidRPr="00135C74">
        <w:t xml:space="preserve">n important boundary condition for </w:t>
      </w:r>
      <w:r w:rsidRPr="00135C74">
        <w:t>generali</w:t>
      </w:r>
      <w:r w:rsidR="001870C5">
        <w:t>s</w:t>
      </w:r>
      <w:r w:rsidRPr="00135C74">
        <w:t xml:space="preserve">ation on </w:t>
      </w:r>
      <w:r w:rsidR="009C6144" w:rsidRPr="00135C74">
        <w:t xml:space="preserve">the superiority of balanced attentional selection (cf. </w:t>
      </w:r>
      <w:proofErr w:type="spellStart"/>
      <w:r w:rsidR="009C6144" w:rsidRPr="00135C74">
        <w:t>Busse</w:t>
      </w:r>
      <w:proofErr w:type="spellEnd"/>
      <w:r w:rsidR="009C6144" w:rsidRPr="00135C74">
        <w:t xml:space="preserve"> </w:t>
      </w:r>
      <w:r w:rsidR="009C6144" w:rsidRPr="007B1A05">
        <w:rPr>
          <w:i/>
          <w:iCs/>
        </w:rPr>
        <w:t>et al</w:t>
      </w:r>
      <w:r w:rsidR="005C5F05">
        <w:t>.</w:t>
      </w:r>
      <w:r w:rsidR="009C6144" w:rsidRPr="00135C74">
        <w:t xml:space="preserve">, 2017). </w:t>
      </w:r>
      <w:r w:rsidRPr="00135C74">
        <w:t>This is because d</w:t>
      </w:r>
      <w:r w:rsidR="009C6144" w:rsidRPr="00135C74">
        <w:t xml:space="preserve">oing nothing in both dimensions, </w:t>
      </w:r>
      <w:r w:rsidR="007A7496">
        <w:t>that is,</w:t>
      </w:r>
      <w:r w:rsidR="009C6144" w:rsidRPr="00135C74">
        <w:t xml:space="preserve"> in a balanced way, </w:t>
      </w:r>
      <w:r w:rsidR="007A7496">
        <w:t>will barely</w:t>
      </w:r>
      <w:r w:rsidR="007A7496" w:rsidRPr="00135C74">
        <w:t xml:space="preserve"> </w:t>
      </w:r>
      <w:r w:rsidR="009C6144" w:rsidRPr="00135C74">
        <w:t xml:space="preserve">result in better performance </w:t>
      </w:r>
      <w:r w:rsidR="007A7496">
        <w:t>compared with</w:t>
      </w:r>
      <w:r w:rsidR="009C6144" w:rsidRPr="00135C74">
        <w:t xml:space="preserve"> a case </w:t>
      </w:r>
      <w:r w:rsidR="007A7496">
        <w:t>that</w:t>
      </w:r>
      <w:r w:rsidR="007A7496" w:rsidRPr="00135C74">
        <w:t xml:space="preserve"> </w:t>
      </w:r>
      <w:r w:rsidR="009C6144" w:rsidRPr="00135C74">
        <w:t>demonstrates heavy imbalance towards</w:t>
      </w:r>
      <w:r w:rsidR="00B4370D">
        <w:t>,</w:t>
      </w:r>
      <w:r w:rsidR="009C6144" w:rsidRPr="00135C74">
        <w:t xml:space="preserve"> for example</w:t>
      </w:r>
      <w:r w:rsidR="00B4370D">
        <w:t>,</w:t>
      </w:r>
      <w:r w:rsidR="009C6144" w:rsidRPr="00135C74">
        <w:t xml:space="preserve"> the top</w:t>
      </w:r>
      <w:r w:rsidR="007A7496">
        <w:t xml:space="preserve"> </w:t>
      </w:r>
      <w:r w:rsidR="009C6144" w:rsidRPr="00135C74">
        <w:t>down (</w:t>
      </w:r>
      <w:proofErr w:type="spellStart"/>
      <w:r w:rsidR="009C6144" w:rsidRPr="00135C74">
        <w:t>Junni</w:t>
      </w:r>
      <w:proofErr w:type="spellEnd"/>
      <w:r w:rsidR="009C6144" w:rsidRPr="00135C74">
        <w:t xml:space="preserve"> </w:t>
      </w:r>
      <w:r w:rsidR="009C6144" w:rsidRPr="007B1A05">
        <w:rPr>
          <w:i/>
        </w:rPr>
        <w:t>et al.</w:t>
      </w:r>
      <w:r w:rsidR="009C6144" w:rsidRPr="00135C74">
        <w:t xml:space="preserve">, 2013). </w:t>
      </w:r>
      <w:r w:rsidR="00494CF8" w:rsidRPr="00135C74">
        <w:t>The following hypotheses are stated:</w:t>
      </w:r>
    </w:p>
    <w:p w14:paraId="77253B80" w14:textId="1EDB7A82" w:rsidR="00232C6A" w:rsidRPr="00135C74" w:rsidRDefault="00232C6A" w:rsidP="00232C6A">
      <w:pPr>
        <w:spacing w:line="480" w:lineRule="auto"/>
        <w:jc w:val="both"/>
      </w:pPr>
    </w:p>
    <w:p w14:paraId="7D21E0F9" w14:textId="7F97C4D4" w:rsidR="00DF3BA8" w:rsidRPr="00135C74" w:rsidRDefault="00DF3BA8" w:rsidP="00377304">
      <w:pPr>
        <w:spacing w:line="480" w:lineRule="auto"/>
        <w:jc w:val="both"/>
      </w:pPr>
      <w:r w:rsidRPr="00135C74">
        <w:rPr>
          <w:b/>
        </w:rPr>
        <w:t>H6a</w:t>
      </w:r>
      <w:r w:rsidRPr="00135C74">
        <w:t xml:space="preserve">: </w:t>
      </w:r>
      <w:r w:rsidR="00C37B78" w:rsidRPr="00135C74">
        <w:rPr>
          <w:i/>
        </w:rPr>
        <w:t>Imb</w:t>
      </w:r>
      <w:r w:rsidRPr="00135C74">
        <w:rPr>
          <w:i/>
        </w:rPr>
        <w:t xml:space="preserve">alanced supply disruption detection </w:t>
      </w:r>
      <w:r w:rsidR="00461CBD" w:rsidRPr="00135C74">
        <w:rPr>
          <w:i/>
        </w:rPr>
        <w:t>diminishes</w:t>
      </w:r>
      <w:r w:rsidRPr="00135C74">
        <w:rPr>
          <w:i/>
        </w:rPr>
        <w:t xml:space="preserve"> the positive association </w:t>
      </w:r>
      <w:r w:rsidR="00B4370D">
        <w:rPr>
          <w:i/>
        </w:rPr>
        <w:t>between</w:t>
      </w:r>
      <w:r w:rsidRPr="00135C74">
        <w:rPr>
          <w:i/>
        </w:rPr>
        <w:t xml:space="preserve"> </w:t>
      </w:r>
      <w:r w:rsidR="007A7496">
        <w:rPr>
          <w:i/>
        </w:rPr>
        <w:t xml:space="preserve">the </w:t>
      </w:r>
      <w:r w:rsidRPr="00135C74">
        <w:rPr>
          <w:i/>
        </w:rPr>
        <w:t xml:space="preserve">focus on supply network </w:t>
      </w:r>
      <w:r w:rsidR="0031151A" w:rsidRPr="00135C74">
        <w:rPr>
          <w:i/>
        </w:rPr>
        <w:t>risk sources</w:t>
      </w:r>
      <w:r w:rsidRPr="00135C74">
        <w:rPr>
          <w:i/>
        </w:rPr>
        <w:t xml:space="preserve"> </w:t>
      </w:r>
      <w:r w:rsidR="00B4370D">
        <w:rPr>
          <w:i/>
        </w:rPr>
        <w:t>and</w:t>
      </w:r>
      <w:r w:rsidRPr="00135C74">
        <w:rPr>
          <w:i/>
        </w:rPr>
        <w:t xml:space="preserve"> supply resilience.</w:t>
      </w:r>
    </w:p>
    <w:p w14:paraId="6F5F367B" w14:textId="14EC9119" w:rsidR="0031151A" w:rsidRPr="00135C74" w:rsidRDefault="00DF3BA8" w:rsidP="00377304">
      <w:pPr>
        <w:spacing w:line="480" w:lineRule="auto"/>
        <w:jc w:val="both"/>
        <w:rPr>
          <w:i/>
        </w:rPr>
      </w:pPr>
      <w:r w:rsidRPr="00135C74">
        <w:rPr>
          <w:b/>
        </w:rPr>
        <w:t>H6b</w:t>
      </w:r>
      <w:r w:rsidRPr="00135C74">
        <w:t xml:space="preserve">: </w:t>
      </w:r>
      <w:r w:rsidR="00461CBD" w:rsidRPr="00135C74">
        <w:rPr>
          <w:i/>
        </w:rPr>
        <w:t>Imb</w:t>
      </w:r>
      <w:r w:rsidR="0031151A" w:rsidRPr="00135C74">
        <w:rPr>
          <w:i/>
        </w:rPr>
        <w:t xml:space="preserve">alanced supply disruption detection </w:t>
      </w:r>
      <w:r w:rsidR="00461CBD" w:rsidRPr="00135C74">
        <w:rPr>
          <w:i/>
        </w:rPr>
        <w:t>diminishes</w:t>
      </w:r>
      <w:r w:rsidR="0031151A" w:rsidRPr="00135C74">
        <w:rPr>
          <w:i/>
        </w:rPr>
        <w:t xml:space="preserve"> the positive association </w:t>
      </w:r>
      <w:r w:rsidR="00B4370D">
        <w:rPr>
          <w:i/>
        </w:rPr>
        <w:t>between</w:t>
      </w:r>
      <w:r w:rsidR="0031151A" w:rsidRPr="00135C74">
        <w:rPr>
          <w:i/>
        </w:rPr>
        <w:t xml:space="preserve"> </w:t>
      </w:r>
      <w:r w:rsidR="00FD4921">
        <w:rPr>
          <w:i/>
        </w:rPr>
        <w:t xml:space="preserve">the </w:t>
      </w:r>
      <w:r w:rsidR="0031151A" w:rsidRPr="00135C74">
        <w:rPr>
          <w:i/>
        </w:rPr>
        <w:t xml:space="preserve">focus on supply network recoverability </w:t>
      </w:r>
      <w:r w:rsidR="00B4370D">
        <w:rPr>
          <w:i/>
        </w:rPr>
        <w:t>and</w:t>
      </w:r>
      <w:r w:rsidR="0031151A" w:rsidRPr="00135C74">
        <w:rPr>
          <w:i/>
        </w:rPr>
        <w:t xml:space="preserve"> supply resilience.</w:t>
      </w:r>
    </w:p>
    <w:p w14:paraId="618C8A47" w14:textId="77777777" w:rsidR="00457642" w:rsidRPr="00135C74" w:rsidRDefault="00457642" w:rsidP="00377304">
      <w:pPr>
        <w:spacing w:line="480" w:lineRule="auto"/>
        <w:jc w:val="both"/>
        <w:rPr>
          <w:highlight w:val="yellow"/>
        </w:rPr>
      </w:pPr>
    </w:p>
    <w:p w14:paraId="155DE860" w14:textId="7B96302B" w:rsidR="00344C8D" w:rsidRPr="00135C74" w:rsidRDefault="00BF3235" w:rsidP="00377304">
      <w:pPr>
        <w:spacing w:line="480" w:lineRule="auto"/>
        <w:jc w:val="both"/>
      </w:pPr>
      <w:r w:rsidRPr="00135C74">
        <w:t>We</w:t>
      </w:r>
      <w:r w:rsidR="00D52EF7" w:rsidRPr="00135C74">
        <w:t xml:space="preserve"> consider whether</w:t>
      </w:r>
      <w:r w:rsidR="00344C8D" w:rsidRPr="00135C74">
        <w:t xml:space="preserve"> the moderating effect of the </w:t>
      </w:r>
      <w:r w:rsidR="00BD44E2" w:rsidRPr="00135C74">
        <w:t>im</w:t>
      </w:r>
      <w:r w:rsidR="00344C8D" w:rsidRPr="00135C74">
        <w:t xml:space="preserve">balance construct </w:t>
      </w:r>
      <w:r w:rsidR="00D52EF7" w:rsidRPr="00135C74">
        <w:t>is</w:t>
      </w:r>
      <w:r w:rsidR="009A4FF7" w:rsidRPr="00135C74">
        <w:t xml:space="preserve"> </w:t>
      </w:r>
      <w:r w:rsidR="00BD44E2" w:rsidRPr="00135C74">
        <w:t xml:space="preserve">more significant </w:t>
      </w:r>
      <w:r w:rsidR="001A1939">
        <w:t>compared with</w:t>
      </w:r>
      <w:r w:rsidR="00344C8D" w:rsidRPr="00135C74">
        <w:t xml:space="preserve"> the effects of the </w:t>
      </w:r>
      <w:r w:rsidR="001A5B99" w:rsidRPr="00135C74">
        <w:t xml:space="preserve">separate </w:t>
      </w:r>
      <w:r w:rsidR="00344C8D" w:rsidRPr="00135C74">
        <w:t xml:space="preserve">attentional selection constructs, </w:t>
      </w:r>
      <w:r w:rsidR="002C133E" w:rsidRPr="00135C74">
        <w:t xml:space="preserve">given that </w:t>
      </w:r>
      <w:r w:rsidR="00344C8D" w:rsidRPr="00135C74">
        <w:t>bias toward</w:t>
      </w:r>
      <w:r w:rsidR="00B4370D">
        <w:t>s</w:t>
      </w:r>
      <w:r w:rsidR="00344C8D" w:rsidRPr="00135C74">
        <w:t xml:space="preserve"> one type of attentional selection may be avoided</w:t>
      </w:r>
      <w:r w:rsidR="009A4FF7" w:rsidRPr="00135C74">
        <w:t xml:space="preserve"> with balancing</w:t>
      </w:r>
      <w:r w:rsidR="00344C8D" w:rsidRPr="00135C74">
        <w:t xml:space="preserve">. Supply resilience is weaker </w:t>
      </w:r>
      <w:r w:rsidR="00A36689" w:rsidRPr="00135C74">
        <w:t xml:space="preserve">when </w:t>
      </w:r>
      <w:r w:rsidR="002C133E" w:rsidRPr="00135C74">
        <w:t xml:space="preserve">the </w:t>
      </w:r>
      <w:r w:rsidR="009A4FF7" w:rsidRPr="00135C74">
        <w:t>benefits of</w:t>
      </w:r>
      <w:r w:rsidR="00A36689" w:rsidRPr="00135C74">
        <w:t xml:space="preserve"> the exposure to the unexpected or efficiency of focused monitoring are </w:t>
      </w:r>
      <w:r w:rsidR="00CB0B7B" w:rsidRPr="00135C74">
        <w:t>missing entirely o</w:t>
      </w:r>
      <w:r w:rsidR="00B4370D">
        <w:t>r a</w:t>
      </w:r>
      <w:r w:rsidR="00CB0B7B" w:rsidRPr="00135C74">
        <w:t>r</w:t>
      </w:r>
      <w:r w:rsidR="00B4370D">
        <w:t>e</w:t>
      </w:r>
      <w:r w:rsidR="00CB0B7B" w:rsidRPr="00135C74">
        <w:t xml:space="preserve"> significantly lacking with inadequate resourcing</w:t>
      </w:r>
      <w:r w:rsidR="00A36689" w:rsidRPr="00135C74">
        <w:t>.</w:t>
      </w:r>
      <w:r w:rsidR="00F419A2" w:rsidRPr="00135C74">
        <w:t xml:space="preserve"> The following set of four hypotheses will guide </w:t>
      </w:r>
      <w:r w:rsidR="00BD44E2" w:rsidRPr="00135C74">
        <w:t xml:space="preserve">us </w:t>
      </w:r>
      <w:r w:rsidR="00B4370D">
        <w:t>in</w:t>
      </w:r>
      <w:r w:rsidR="00BD44E2" w:rsidRPr="00135C74">
        <w:t xml:space="preserve"> test</w:t>
      </w:r>
      <w:r w:rsidR="00B4370D">
        <w:t>ing</w:t>
      </w:r>
      <w:r w:rsidR="00BD44E2" w:rsidRPr="00135C74">
        <w:t xml:space="preserve"> </w:t>
      </w:r>
      <w:r w:rsidR="00F419A2" w:rsidRPr="00135C74">
        <w:t xml:space="preserve">the </w:t>
      </w:r>
      <w:r w:rsidR="00BD44E2" w:rsidRPr="00135C74">
        <w:t xml:space="preserve">comparative significance </w:t>
      </w:r>
      <w:r w:rsidR="00F419A2" w:rsidRPr="00135C74">
        <w:t xml:space="preserve">of the </w:t>
      </w:r>
      <w:r w:rsidR="00BD44E2" w:rsidRPr="00135C74">
        <w:t>im</w:t>
      </w:r>
      <w:r w:rsidR="00F419A2" w:rsidRPr="00135C74">
        <w:t>balanced construct’</w:t>
      </w:r>
      <w:r w:rsidR="00BD44E2" w:rsidRPr="00135C74">
        <w:t>s</w:t>
      </w:r>
      <w:r w:rsidR="00F419A2" w:rsidRPr="00135C74">
        <w:t xml:space="preserve"> effect </w:t>
      </w:r>
      <w:r w:rsidR="001A1939">
        <w:t>compared with</w:t>
      </w:r>
      <w:r w:rsidR="00F419A2" w:rsidRPr="00135C74">
        <w:t xml:space="preserve"> the separate top-down and bottom-up detection constructs. First, the moderating effects </w:t>
      </w:r>
      <w:r w:rsidR="00CB0B7B" w:rsidRPr="00135C74">
        <w:t xml:space="preserve">on the </w:t>
      </w:r>
      <w:r w:rsidR="00F419A2" w:rsidRPr="00135C74">
        <w:t xml:space="preserve">focus on </w:t>
      </w:r>
      <w:r w:rsidR="001A1939">
        <w:t xml:space="preserve">the </w:t>
      </w:r>
      <w:r w:rsidR="00F419A2" w:rsidRPr="00135C74">
        <w:t>supply risk sources perspective</w:t>
      </w:r>
      <w:r w:rsidR="00CB0B7B" w:rsidRPr="00135C74">
        <w:t xml:space="preserve"> are compared</w:t>
      </w:r>
      <w:r w:rsidR="00F419A2" w:rsidRPr="00135C74">
        <w:t xml:space="preserve">: </w:t>
      </w:r>
    </w:p>
    <w:p w14:paraId="67A1A1E1" w14:textId="77777777" w:rsidR="00457642" w:rsidRPr="00135C74" w:rsidRDefault="00457642" w:rsidP="00377304">
      <w:pPr>
        <w:spacing w:line="480" w:lineRule="auto"/>
        <w:jc w:val="both"/>
        <w:rPr>
          <w:b/>
        </w:rPr>
      </w:pPr>
    </w:p>
    <w:p w14:paraId="4F6E404E" w14:textId="0BEB8998" w:rsidR="0031151A" w:rsidRPr="00135C74" w:rsidRDefault="0031151A" w:rsidP="00377304">
      <w:pPr>
        <w:spacing w:line="480" w:lineRule="auto"/>
        <w:jc w:val="both"/>
      </w:pPr>
      <w:r w:rsidRPr="00135C74">
        <w:rPr>
          <w:b/>
        </w:rPr>
        <w:t>H</w:t>
      </w:r>
      <w:r w:rsidR="00D52EF7" w:rsidRPr="00135C74">
        <w:rPr>
          <w:b/>
        </w:rPr>
        <w:t>7</w:t>
      </w:r>
      <w:r w:rsidR="00C014D2" w:rsidRPr="00135C74">
        <w:rPr>
          <w:b/>
        </w:rPr>
        <w:t>a</w:t>
      </w:r>
      <w:r w:rsidRPr="00135C74">
        <w:t xml:space="preserve">: </w:t>
      </w:r>
      <w:r w:rsidRPr="00135C74">
        <w:rPr>
          <w:i/>
        </w:rPr>
        <w:t xml:space="preserve">The effect of </w:t>
      </w:r>
      <w:r w:rsidR="00BD44E2" w:rsidRPr="00135C74">
        <w:rPr>
          <w:i/>
        </w:rPr>
        <w:t>im</w:t>
      </w:r>
      <w:r w:rsidRPr="00135C74">
        <w:rPr>
          <w:i/>
        </w:rPr>
        <w:t xml:space="preserve">balanced supply disruption detection on the association between </w:t>
      </w:r>
      <w:r w:rsidR="001A1939">
        <w:rPr>
          <w:i/>
        </w:rPr>
        <w:t xml:space="preserve">the </w:t>
      </w:r>
      <w:r w:rsidRPr="00135C74">
        <w:rPr>
          <w:i/>
        </w:rPr>
        <w:t xml:space="preserve">focus on supply risk sources </w:t>
      </w:r>
      <w:r w:rsidR="00B4370D">
        <w:rPr>
          <w:i/>
        </w:rPr>
        <w:t>and</w:t>
      </w:r>
      <w:r w:rsidRPr="00135C74">
        <w:rPr>
          <w:i/>
        </w:rPr>
        <w:t xml:space="preserve"> supply resilience is greater </w:t>
      </w:r>
      <w:r w:rsidR="001A1939">
        <w:rPr>
          <w:i/>
        </w:rPr>
        <w:t xml:space="preserve">compared with </w:t>
      </w:r>
      <w:r w:rsidRPr="00135C74">
        <w:rPr>
          <w:i/>
        </w:rPr>
        <w:t xml:space="preserve">the </w:t>
      </w:r>
      <w:r w:rsidR="00C8643A" w:rsidRPr="00135C74">
        <w:rPr>
          <w:i/>
        </w:rPr>
        <w:t>enhancing effect of top-down supply disruption</w:t>
      </w:r>
      <w:r w:rsidR="00D656D7" w:rsidRPr="00135C74">
        <w:rPr>
          <w:i/>
        </w:rPr>
        <w:t xml:space="preserve"> detection</w:t>
      </w:r>
      <w:r w:rsidR="00C8643A" w:rsidRPr="00135C74">
        <w:rPr>
          <w:i/>
        </w:rPr>
        <w:t>.</w:t>
      </w:r>
    </w:p>
    <w:p w14:paraId="2CE47324" w14:textId="359B9A69" w:rsidR="00F419A2" w:rsidRPr="00135C74" w:rsidRDefault="00F419A2" w:rsidP="00F419A2">
      <w:pPr>
        <w:spacing w:line="480" w:lineRule="auto"/>
        <w:jc w:val="both"/>
        <w:rPr>
          <w:i/>
        </w:rPr>
      </w:pPr>
      <w:r w:rsidRPr="00135C74">
        <w:rPr>
          <w:b/>
        </w:rPr>
        <w:lastRenderedPageBreak/>
        <w:t>H</w:t>
      </w:r>
      <w:r w:rsidR="00D52EF7" w:rsidRPr="00135C74">
        <w:rPr>
          <w:b/>
        </w:rPr>
        <w:t>7</w:t>
      </w:r>
      <w:r w:rsidR="00C014D2" w:rsidRPr="00135C74">
        <w:rPr>
          <w:b/>
        </w:rPr>
        <w:t>b</w:t>
      </w:r>
      <w:r w:rsidRPr="00135C74">
        <w:t xml:space="preserve">: </w:t>
      </w:r>
      <w:r w:rsidRPr="00135C74">
        <w:rPr>
          <w:i/>
        </w:rPr>
        <w:t xml:space="preserve">The effect of </w:t>
      </w:r>
      <w:r w:rsidR="00BD44E2" w:rsidRPr="00135C74">
        <w:rPr>
          <w:i/>
        </w:rPr>
        <w:t>im</w:t>
      </w:r>
      <w:r w:rsidRPr="00135C74">
        <w:rPr>
          <w:i/>
        </w:rPr>
        <w:t xml:space="preserve">balanced supply disruption detection on the association between </w:t>
      </w:r>
      <w:r w:rsidR="001A1939">
        <w:rPr>
          <w:i/>
        </w:rPr>
        <w:t xml:space="preserve">the </w:t>
      </w:r>
      <w:r w:rsidRPr="00135C74">
        <w:rPr>
          <w:i/>
        </w:rPr>
        <w:t xml:space="preserve">focus on supply risk sources </w:t>
      </w:r>
      <w:r w:rsidR="00B4370D">
        <w:rPr>
          <w:i/>
        </w:rPr>
        <w:t>and</w:t>
      </w:r>
      <w:r w:rsidRPr="00135C74">
        <w:rPr>
          <w:i/>
        </w:rPr>
        <w:t xml:space="preserve"> supply resilience is greater </w:t>
      </w:r>
      <w:r w:rsidR="001A1939">
        <w:rPr>
          <w:i/>
        </w:rPr>
        <w:t>compared with</w:t>
      </w:r>
      <w:r w:rsidRPr="00135C74">
        <w:rPr>
          <w:i/>
        </w:rPr>
        <w:t xml:space="preserve"> the enhancing effect of bottom-up supply disruption detection.</w:t>
      </w:r>
    </w:p>
    <w:p w14:paraId="36B3E5CA" w14:textId="77777777" w:rsidR="00457642" w:rsidRPr="00135C74" w:rsidRDefault="00457642" w:rsidP="00F419A2">
      <w:pPr>
        <w:spacing w:line="480" w:lineRule="auto"/>
        <w:jc w:val="both"/>
      </w:pPr>
    </w:p>
    <w:p w14:paraId="1030B0A9" w14:textId="4F259FFD" w:rsidR="00F419A2" w:rsidRPr="00135C74" w:rsidRDefault="00F419A2" w:rsidP="00F419A2">
      <w:pPr>
        <w:spacing w:line="480" w:lineRule="auto"/>
        <w:jc w:val="both"/>
      </w:pPr>
      <w:r w:rsidRPr="00135C74">
        <w:t xml:space="preserve">Second, the enhancing moderating effects on </w:t>
      </w:r>
      <w:r w:rsidR="00CB0B7B" w:rsidRPr="00135C74">
        <w:t xml:space="preserve">the </w:t>
      </w:r>
      <w:r w:rsidRPr="00135C74">
        <w:t xml:space="preserve">focus on supply network recoverability perspective are compared: </w:t>
      </w:r>
    </w:p>
    <w:p w14:paraId="3ECC17A5" w14:textId="77777777" w:rsidR="00457642" w:rsidRPr="00135C74" w:rsidRDefault="00457642" w:rsidP="00F419A2">
      <w:pPr>
        <w:spacing w:line="480" w:lineRule="auto"/>
        <w:jc w:val="both"/>
      </w:pPr>
    </w:p>
    <w:p w14:paraId="3A2A779A" w14:textId="1295D89F" w:rsidR="00C8643A" w:rsidRPr="00135C74" w:rsidRDefault="0031151A" w:rsidP="00377304">
      <w:pPr>
        <w:spacing w:line="480" w:lineRule="auto"/>
        <w:jc w:val="both"/>
      </w:pPr>
      <w:r w:rsidRPr="00135C74">
        <w:rPr>
          <w:b/>
        </w:rPr>
        <w:t>H</w:t>
      </w:r>
      <w:r w:rsidR="00D52EF7" w:rsidRPr="00135C74">
        <w:rPr>
          <w:b/>
        </w:rPr>
        <w:t>7</w:t>
      </w:r>
      <w:r w:rsidR="00C014D2" w:rsidRPr="00135C74">
        <w:rPr>
          <w:b/>
        </w:rPr>
        <w:t>c</w:t>
      </w:r>
      <w:r w:rsidRPr="00135C74">
        <w:t xml:space="preserve">: </w:t>
      </w:r>
      <w:r w:rsidR="00C8643A" w:rsidRPr="00135C74">
        <w:rPr>
          <w:i/>
        </w:rPr>
        <w:t xml:space="preserve">The effect of </w:t>
      </w:r>
      <w:r w:rsidR="00BD44E2" w:rsidRPr="00135C74">
        <w:rPr>
          <w:i/>
        </w:rPr>
        <w:t>im</w:t>
      </w:r>
      <w:r w:rsidR="00C8643A" w:rsidRPr="00135C74">
        <w:rPr>
          <w:i/>
        </w:rPr>
        <w:t xml:space="preserve">balanced supply disruption detection on the association between </w:t>
      </w:r>
      <w:r w:rsidR="001A1939">
        <w:rPr>
          <w:i/>
        </w:rPr>
        <w:t xml:space="preserve">the </w:t>
      </w:r>
      <w:r w:rsidR="00C8643A" w:rsidRPr="00135C74">
        <w:rPr>
          <w:i/>
        </w:rPr>
        <w:t xml:space="preserve">focus on supply network recoverability </w:t>
      </w:r>
      <w:r w:rsidR="00B4370D">
        <w:rPr>
          <w:i/>
        </w:rPr>
        <w:t>and</w:t>
      </w:r>
      <w:r w:rsidR="00C8643A" w:rsidRPr="00135C74">
        <w:rPr>
          <w:i/>
        </w:rPr>
        <w:t xml:space="preserve"> supply resilience is greater </w:t>
      </w:r>
      <w:r w:rsidR="001A1939">
        <w:rPr>
          <w:i/>
        </w:rPr>
        <w:t>compared with</w:t>
      </w:r>
      <w:r w:rsidR="00C8643A" w:rsidRPr="00135C74">
        <w:rPr>
          <w:i/>
        </w:rPr>
        <w:t xml:space="preserve"> the enhancing effect of top-down supply disruption</w:t>
      </w:r>
      <w:r w:rsidR="00D656D7" w:rsidRPr="00135C74">
        <w:rPr>
          <w:i/>
        </w:rPr>
        <w:t xml:space="preserve"> detection</w:t>
      </w:r>
      <w:r w:rsidR="00C8643A" w:rsidRPr="00135C74">
        <w:rPr>
          <w:i/>
        </w:rPr>
        <w:t>.</w:t>
      </w:r>
    </w:p>
    <w:p w14:paraId="0D71E814" w14:textId="458EC14B" w:rsidR="004A51CE" w:rsidRPr="00135C74" w:rsidRDefault="00C8643A" w:rsidP="00377304">
      <w:pPr>
        <w:spacing w:line="480" w:lineRule="auto"/>
        <w:jc w:val="both"/>
      </w:pPr>
      <w:r w:rsidRPr="00135C74">
        <w:rPr>
          <w:b/>
        </w:rPr>
        <w:t>H</w:t>
      </w:r>
      <w:r w:rsidR="00D52EF7" w:rsidRPr="00135C74">
        <w:rPr>
          <w:b/>
        </w:rPr>
        <w:t>7</w:t>
      </w:r>
      <w:r w:rsidR="00C014D2" w:rsidRPr="00135C74">
        <w:rPr>
          <w:b/>
        </w:rPr>
        <w:t>d</w:t>
      </w:r>
      <w:r w:rsidRPr="00135C74">
        <w:t xml:space="preserve">: </w:t>
      </w:r>
      <w:r w:rsidRPr="00135C74">
        <w:rPr>
          <w:i/>
        </w:rPr>
        <w:t xml:space="preserve">The effect of </w:t>
      </w:r>
      <w:r w:rsidR="00BD44E2" w:rsidRPr="00135C74">
        <w:rPr>
          <w:i/>
        </w:rPr>
        <w:t>im</w:t>
      </w:r>
      <w:r w:rsidRPr="00135C74">
        <w:rPr>
          <w:i/>
        </w:rPr>
        <w:t xml:space="preserve">balanced supply disruption detection on the association between </w:t>
      </w:r>
      <w:r w:rsidR="001A1939">
        <w:rPr>
          <w:i/>
        </w:rPr>
        <w:t xml:space="preserve">the </w:t>
      </w:r>
      <w:r w:rsidRPr="00135C74">
        <w:rPr>
          <w:i/>
        </w:rPr>
        <w:t xml:space="preserve">focus on supply network recoverability </w:t>
      </w:r>
      <w:r w:rsidR="00B4370D">
        <w:rPr>
          <w:i/>
        </w:rPr>
        <w:t>and</w:t>
      </w:r>
      <w:r w:rsidRPr="00135C74">
        <w:rPr>
          <w:i/>
        </w:rPr>
        <w:t xml:space="preserve"> supply resilience is greater </w:t>
      </w:r>
      <w:r w:rsidR="001A1939">
        <w:rPr>
          <w:i/>
        </w:rPr>
        <w:t>compared with</w:t>
      </w:r>
      <w:r w:rsidRPr="00135C74">
        <w:rPr>
          <w:i/>
        </w:rPr>
        <w:t xml:space="preserve"> the enhancing effect of bottom-up supply disruption </w:t>
      </w:r>
      <w:r w:rsidR="00D656D7" w:rsidRPr="00135C74">
        <w:rPr>
          <w:i/>
        </w:rPr>
        <w:t>detection</w:t>
      </w:r>
      <w:r w:rsidRPr="00135C74">
        <w:rPr>
          <w:i/>
        </w:rPr>
        <w:t>.</w:t>
      </w:r>
      <w:r w:rsidR="00837282" w:rsidRPr="00135C74">
        <w:t xml:space="preserve"> </w:t>
      </w:r>
    </w:p>
    <w:p w14:paraId="2E834FD9" w14:textId="77777777" w:rsidR="00457642" w:rsidRPr="00135C74" w:rsidRDefault="00457642" w:rsidP="00D52EF7">
      <w:pPr>
        <w:spacing w:line="480" w:lineRule="auto"/>
        <w:jc w:val="both"/>
      </w:pPr>
    </w:p>
    <w:p w14:paraId="18714D5F" w14:textId="52E180D5" w:rsidR="00D52EF7" w:rsidRPr="00135C74" w:rsidRDefault="00D52EF7" w:rsidP="00D52EF7">
      <w:pPr>
        <w:spacing w:line="480" w:lineRule="auto"/>
        <w:jc w:val="both"/>
      </w:pPr>
      <w:r w:rsidRPr="00135C74">
        <w:t xml:space="preserve">Finally, </w:t>
      </w:r>
      <w:r w:rsidR="00BA657F" w:rsidRPr="00135C74">
        <w:t xml:space="preserve">the </w:t>
      </w:r>
      <w:r w:rsidR="001A1939">
        <w:t xml:space="preserve">next </w:t>
      </w:r>
      <w:r w:rsidR="00BA657F" w:rsidRPr="00135C74">
        <w:t>l</w:t>
      </w:r>
      <w:r w:rsidRPr="00135C74">
        <w:t xml:space="preserve">ogical step is to consider </w:t>
      </w:r>
      <w:r w:rsidR="004975AF" w:rsidRPr="00135C74">
        <w:t>whether imbalance affects</w:t>
      </w:r>
      <w:r w:rsidR="001A1939">
        <w:t>—</w:t>
      </w:r>
      <w:r w:rsidR="00FC5FBA" w:rsidRPr="00135C74">
        <w:t>to a greater degree</w:t>
      </w:r>
      <w:r w:rsidR="001A1939">
        <w:t>—</w:t>
      </w:r>
      <w:r w:rsidR="004975AF" w:rsidRPr="00135C74">
        <w:t>one or the other of the attentional perspectives on supply risk management</w:t>
      </w:r>
      <w:r w:rsidRPr="00135C74">
        <w:t>.</w:t>
      </w:r>
      <w:r w:rsidR="004975AF" w:rsidRPr="00135C74">
        <w:t xml:space="preserve"> </w:t>
      </w:r>
      <w:r w:rsidR="00A91740" w:rsidRPr="00135C74">
        <w:t>In developing the h</w:t>
      </w:r>
      <w:r w:rsidR="00FC5FBA" w:rsidRPr="00135C74">
        <w:t>ypothesis</w:t>
      </w:r>
      <w:r w:rsidR="00A91740" w:rsidRPr="00135C74">
        <w:t xml:space="preserve"> for</w:t>
      </w:r>
      <w:r w:rsidR="00FC5FBA" w:rsidRPr="00135C74">
        <w:t xml:space="preserve"> understanding such construct interactions</w:t>
      </w:r>
      <w:r w:rsidR="00A91740" w:rsidRPr="00135C74">
        <w:t>, w</w:t>
      </w:r>
      <w:r w:rsidR="00FC5FBA" w:rsidRPr="00135C74">
        <w:t xml:space="preserve">e </w:t>
      </w:r>
      <w:r w:rsidR="001A1939">
        <w:t>can</w:t>
      </w:r>
      <w:r w:rsidR="001A1939" w:rsidRPr="00135C74">
        <w:t xml:space="preserve"> </w:t>
      </w:r>
      <w:r w:rsidR="00FC5FBA" w:rsidRPr="00135C74">
        <w:t>assume that imbalance in attentional selection, if any, is typically tilted towards the top</w:t>
      </w:r>
      <w:r w:rsidR="001A1939">
        <w:t xml:space="preserve"> </w:t>
      </w:r>
      <w:r w:rsidR="00FC5FBA" w:rsidRPr="00135C74">
        <w:t>down</w:t>
      </w:r>
      <w:r w:rsidR="000822C3" w:rsidRPr="00135C74">
        <w:t xml:space="preserve"> (</w:t>
      </w:r>
      <w:r w:rsidR="00457642" w:rsidRPr="00135C74">
        <w:t>A</w:t>
      </w:r>
      <w:r w:rsidR="000822C3" w:rsidRPr="00135C74">
        <w:t>ssumption 2)</w:t>
      </w:r>
      <w:r w:rsidR="00A91740" w:rsidRPr="00135C74">
        <w:t>. This</w:t>
      </w:r>
      <w:r w:rsidR="0056144F" w:rsidRPr="00135C74">
        <w:t xml:space="preserve"> type</w:t>
      </w:r>
      <w:r w:rsidR="00A91740" w:rsidRPr="00135C74">
        <w:t xml:space="preserve"> </w:t>
      </w:r>
      <w:r w:rsidR="00FC5FBA" w:rsidRPr="00135C74">
        <w:t xml:space="preserve">is more efficient (Shepherd </w:t>
      </w:r>
      <w:r w:rsidR="00FC5FBA" w:rsidRPr="007B1A05">
        <w:rPr>
          <w:i/>
        </w:rPr>
        <w:t>et al.</w:t>
      </w:r>
      <w:r w:rsidR="00FC5FBA" w:rsidRPr="00135C74">
        <w:t xml:space="preserve">, 2017), and </w:t>
      </w:r>
      <w:r w:rsidR="00BF3235" w:rsidRPr="00135C74">
        <w:t xml:space="preserve">its limited scope is </w:t>
      </w:r>
      <w:r w:rsidR="00FC5FBA" w:rsidRPr="00135C74">
        <w:t xml:space="preserve">preferred </w:t>
      </w:r>
      <w:r w:rsidR="00BF3235" w:rsidRPr="00135C74">
        <w:t>by resource-constrained</w:t>
      </w:r>
      <w:r w:rsidR="0056144F" w:rsidRPr="00135C74">
        <w:t xml:space="preserve"> managers</w:t>
      </w:r>
      <w:r w:rsidR="00BF3235" w:rsidRPr="00135C74">
        <w:t>. T</w:t>
      </w:r>
      <w:r w:rsidR="00A91740" w:rsidRPr="00135C74">
        <w:t>h</w:t>
      </w:r>
      <w:r w:rsidR="001A1939">
        <w:t>us, the</w:t>
      </w:r>
      <w:r w:rsidR="00A91740" w:rsidRPr="00135C74">
        <w:t xml:space="preserve"> balancing </w:t>
      </w:r>
      <w:r w:rsidR="00B514C3" w:rsidRPr="00135C74">
        <w:t>effort</w:t>
      </w:r>
      <w:r w:rsidR="00A91740" w:rsidRPr="00135C74">
        <w:t xml:space="preserve"> </w:t>
      </w:r>
      <w:r w:rsidR="00BF3235" w:rsidRPr="00135C74">
        <w:t>of</w:t>
      </w:r>
      <w:r w:rsidR="00A91740" w:rsidRPr="00135C74">
        <w:t xml:space="preserve"> bottom-up attentional selection</w:t>
      </w:r>
      <w:r w:rsidR="00BF3235" w:rsidRPr="00135C74">
        <w:t xml:space="preserve"> fills </w:t>
      </w:r>
      <w:r w:rsidR="0056144F" w:rsidRPr="00135C74">
        <w:t xml:space="preserve">possible gaps in </w:t>
      </w:r>
      <w:r w:rsidR="00BF3235" w:rsidRPr="00135C74">
        <w:t>defences</w:t>
      </w:r>
      <w:r w:rsidR="0056144F" w:rsidRPr="00135C74">
        <w:t>.</w:t>
      </w:r>
      <w:r w:rsidR="00A91740" w:rsidRPr="00135C74">
        <w:t xml:space="preserve"> </w:t>
      </w:r>
      <w:r w:rsidR="001A1939">
        <w:t>A f</w:t>
      </w:r>
      <w:r w:rsidR="00A91740" w:rsidRPr="00135C74">
        <w:t>ocus on recoverability</w:t>
      </w:r>
      <w:r w:rsidR="00B514C3" w:rsidRPr="00135C74">
        <w:t xml:space="preserve"> </w:t>
      </w:r>
      <w:r w:rsidR="0056144F" w:rsidRPr="00135C74">
        <w:t xml:space="preserve">stands to gain </w:t>
      </w:r>
      <w:r w:rsidR="0078413D" w:rsidRPr="00135C74">
        <w:t xml:space="preserve">relatively </w:t>
      </w:r>
      <w:r w:rsidR="0056144F" w:rsidRPr="00135C74">
        <w:t>less</w:t>
      </w:r>
      <w:r w:rsidR="00CB7289">
        <w:t>,</w:t>
      </w:r>
      <w:r w:rsidR="0078413D" w:rsidRPr="00135C74">
        <w:t xml:space="preserve"> as the supply network should be able to survive unexpected events, assuming properly executed </w:t>
      </w:r>
      <w:proofErr w:type="spellStart"/>
      <w:r w:rsidR="0078413D" w:rsidRPr="00135C74">
        <w:t>pre</w:t>
      </w:r>
      <w:r w:rsidR="00077142">
        <w:t>disruption</w:t>
      </w:r>
      <w:proofErr w:type="spellEnd"/>
      <w:r w:rsidR="0078413D" w:rsidRPr="00135C74">
        <w:t xml:space="preserve"> analyses and consequent redundancy building efforts</w:t>
      </w:r>
      <w:r w:rsidR="0056144F" w:rsidRPr="00135C74">
        <w:t>.</w:t>
      </w:r>
      <w:r w:rsidR="009553AD" w:rsidRPr="00135C74">
        <w:t xml:space="preserve"> We state the following hypothesis:</w:t>
      </w:r>
      <w:r w:rsidR="00A91740" w:rsidRPr="00135C74">
        <w:t xml:space="preserve"> </w:t>
      </w:r>
    </w:p>
    <w:p w14:paraId="7E9B0D06" w14:textId="77777777" w:rsidR="00457642" w:rsidRPr="00135C74" w:rsidRDefault="00457642" w:rsidP="00D52EF7">
      <w:pPr>
        <w:spacing w:line="480" w:lineRule="auto"/>
        <w:jc w:val="both"/>
        <w:rPr>
          <w:b/>
        </w:rPr>
      </w:pPr>
    </w:p>
    <w:p w14:paraId="4DB1EC0F" w14:textId="3018478B" w:rsidR="00D52EF7" w:rsidRPr="00135C74" w:rsidRDefault="00D52EF7" w:rsidP="00D52EF7">
      <w:pPr>
        <w:spacing w:line="480" w:lineRule="auto"/>
        <w:jc w:val="both"/>
        <w:rPr>
          <w:i/>
        </w:rPr>
      </w:pPr>
      <w:r w:rsidRPr="00135C74">
        <w:rPr>
          <w:b/>
        </w:rPr>
        <w:lastRenderedPageBreak/>
        <w:t>H8</w:t>
      </w:r>
      <w:r w:rsidRPr="00135C74">
        <w:t xml:space="preserve">: </w:t>
      </w:r>
      <w:r w:rsidRPr="00135C74">
        <w:rPr>
          <w:i/>
        </w:rPr>
        <w:t xml:space="preserve">Imbalance in supply disruption detection diminishes the positive association of </w:t>
      </w:r>
      <w:r w:rsidR="001A1939">
        <w:rPr>
          <w:i/>
        </w:rPr>
        <w:t xml:space="preserve">the </w:t>
      </w:r>
      <w:r w:rsidRPr="00135C74">
        <w:rPr>
          <w:i/>
        </w:rPr>
        <w:t xml:space="preserve">focus on supply risk sources with supply resilience to a greater degree </w:t>
      </w:r>
      <w:r w:rsidR="001A1939">
        <w:rPr>
          <w:i/>
        </w:rPr>
        <w:t>compared with</w:t>
      </w:r>
      <w:r w:rsidRPr="00135C74">
        <w:rPr>
          <w:i/>
        </w:rPr>
        <w:t xml:space="preserve"> its diminishing effect on the association between </w:t>
      </w:r>
      <w:r w:rsidR="00B75CAD">
        <w:rPr>
          <w:i/>
        </w:rPr>
        <w:t xml:space="preserve">the </w:t>
      </w:r>
      <w:r w:rsidRPr="00135C74">
        <w:rPr>
          <w:i/>
        </w:rPr>
        <w:t>focus on supply network recoverability and supply resilience.</w:t>
      </w:r>
    </w:p>
    <w:p w14:paraId="2406D9DA" w14:textId="2C63284B" w:rsidR="00EE2E65" w:rsidRPr="00135C74" w:rsidRDefault="00EE2E65" w:rsidP="00705F74">
      <w:pPr>
        <w:spacing w:line="480" w:lineRule="auto"/>
      </w:pPr>
    </w:p>
    <w:p w14:paraId="2343E181" w14:textId="4FAABA35" w:rsidR="005D535F" w:rsidRPr="00135C74" w:rsidRDefault="00736458" w:rsidP="00705F74">
      <w:pPr>
        <w:pStyle w:val="ListParagraph"/>
        <w:numPr>
          <w:ilvl w:val="0"/>
          <w:numId w:val="7"/>
        </w:numPr>
        <w:spacing w:line="480" w:lineRule="auto"/>
        <w:rPr>
          <w:rFonts w:ascii="Times New Roman" w:hAnsi="Times New Roman" w:cs="Times New Roman"/>
          <w:b/>
          <w:sz w:val="24"/>
          <w:szCs w:val="24"/>
          <w:lang w:val="en-GB"/>
        </w:rPr>
      </w:pPr>
      <w:r w:rsidRPr="00135C74">
        <w:rPr>
          <w:rFonts w:ascii="Times New Roman" w:hAnsi="Times New Roman" w:cs="Times New Roman"/>
          <w:b/>
          <w:sz w:val="24"/>
          <w:szCs w:val="24"/>
          <w:lang w:val="en-GB"/>
        </w:rPr>
        <w:t>Methods</w:t>
      </w:r>
    </w:p>
    <w:p w14:paraId="341C13C7" w14:textId="377FBDB3" w:rsidR="00AE4FB0" w:rsidRPr="00135C74" w:rsidRDefault="00736458" w:rsidP="00377304">
      <w:pPr>
        <w:spacing w:line="480" w:lineRule="auto"/>
        <w:jc w:val="both"/>
        <w:rPr>
          <w:i/>
        </w:rPr>
      </w:pPr>
      <w:r w:rsidRPr="00135C74">
        <w:rPr>
          <w:i/>
        </w:rPr>
        <w:t xml:space="preserve">3.1 </w:t>
      </w:r>
      <w:r w:rsidR="00AE4FB0" w:rsidRPr="00135C74">
        <w:rPr>
          <w:i/>
        </w:rPr>
        <w:t>Measurement</w:t>
      </w:r>
    </w:p>
    <w:p w14:paraId="4BE37FF7" w14:textId="61B3CA44" w:rsidR="00784099" w:rsidRPr="00135C74" w:rsidRDefault="00EE2E65" w:rsidP="00377304">
      <w:pPr>
        <w:spacing w:line="480" w:lineRule="auto"/>
        <w:jc w:val="both"/>
      </w:pPr>
      <w:r w:rsidRPr="00135C74">
        <w:t>Drawing from</w:t>
      </w:r>
      <w:r w:rsidR="003F478A" w:rsidRPr="00135C74">
        <w:t xml:space="preserve"> the conceptual foundations of the two dimensions of attentional perspectives and two dimensions of attentional selection, we </w:t>
      </w:r>
      <w:r w:rsidR="00EE7976">
        <w:t xml:space="preserve">have </w:t>
      </w:r>
      <w:r w:rsidR="003F478A" w:rsidRPr="00135C74">
        <w:t>developed novel procurement-specific questionnaire items because there were no existing operationali</w:t>
      </w:r>
      <w:r w:rsidR="001870C5">
        <w:t>s</w:t>
      </w:r>
      <w:r w:rsidR="003F478A" w:rsidRPr="00135C74">
        <w:t>ations. In th</w:t>
      </w:r>
      <w:r w:rsidR="00EE7976">
        <w:t>e present</w:t>
      </w:r>
      <w:r w:rsidR="003F478A" w:rsidRPr="00135C74">
        <w:t xml:space="preserve"> study, attentional perspectives describe the cognitive structures that define the focus of supply risk management</w:t>
      </w:r>
      <w:r w:rsidR="002B739F" w:rsidRPr="00135C74">
        <w:t xml:space="preserve"> in </w:t>
      </w:r>
      <w:r w:rsidR="00B4370D">
        <w:t>the</w:t>
      </w:r>
      <w:r w:rsidR="002B739F" w:rsidRPr="00135C74">
        <w:t xml:space="preserve"> area of supply management responsibility</w:t>
      </w:r>
      <w:r w:rsidR="003F478A" w:rsidRPr="00135C74">
        <w:t xml:space="preserve">. </w:t>
      </w:r>
      <w:r w:rsidR="00EE7976">
        <w:rPr>
          <w:i/>
        </w:rPr>
        <w:t>The f</w:t>
      </w:r>
      <w:r w:rsidR="00450F64" w:rsidRPr="00135C74">
        <w:rPr>
          <w:i/>
        </w:rPr>
        <w:t>ocus on</w:t>
      </w:r>
      <w:r w:rsidR="00450F64" w:rsidRPr="00135C74">
        <w:t xml:space="preserve"> s</w:t>
      </w:r>
      <w:r w:rsidR="003F478A" w:rsidRPr="00135C74">
        <w:rPr>
          <w:i/>
        </w:rPr>
        <w:t>upply risk sources</w:t>
      </w:r>
      <w:r w:rsidR="004E3934" w:rsidRPr="00135C74">
        <w:t xml:space="preserve"> </w:t>
      </w:r>
      <w:r w:rsidR="003F478A" w:rsidRPr="00135C74">
        <w:t>capture</w:t>
      </w:r>
      <w:r w:rsidR="002C133E" w:rsidRPr="00135C74">
        <w:t>s</w:t>
      </w:r>
      <w:r w:rsidR="003F478A" w:rsidRPr="00135C74">
        <w:t xml:space="preserve"> the use of schemas and templates that direct managerial attention to specifying, assessing and mitigating the potential effects of risk sources</w:t>
      </w:r>
      <w:r w:rsidR="004E3934" w:rsidRPr="00135C74">
        <w:t xml:space="preserve"> (</w:t>
      </w:r>
      <w:proofErr w:type="spellStart"/>
      <w:r w:rsidR="004E3934" w:rsidRPr="00135C74">
        <w:t>Kleindorfer</w:t>
      </w:r>
      <w:proofErr w:type="spellEnd"/>
      <w:r w:rsidR="004E3934" w:rsidRPr="00135C74">
        <w:t xml:space="preserve"> and Saad, 2005</w:t>
      </w:r>
      <w:r w:rsidR="00DE439F" w:rsidRPr="00135C74">
        <w:t xml:space="preserve">; Fan </w:t>
      </w:r>
      <w:r w:rsidR="00DE439F" w:rsidRPr="00CB7289">
        <w:rPr>
          <w:i/>
        </w:rPr>
        <w:t>et al.</w:t>
      </w:r>
      <w:r w:rsidR="00DE439F" w:rsidRPr="00135C74">
        <w:t>, 2016</w:t>
      </w:r>
      <w:r w:rsidR="004E3934" w:rsidRPr="00135C74">
        <w:t>)</w:t>
      </w:r>
      <w:r w:rsidR="003F478A" w:rsidRPr="00135C74">
        <w:t xml:space="preserve">. </w:t>
      </w:r>
      <w:r w:rsidR="00EE7976">
        <w:rPr>
          <w:i/>
        </w:rPr>
        <w:t>The f</w:t>
      </w:r>
      <w:r w:rsidR="00450F64" w:rsidRPr="00135C74">
        <w:rPr>
          <w:i/>
        </w:rPr>
        <w:t>ocus on s</w:t>
      </w:r>
      <w:r w:rsidR="003F478A" w:rsidRPr="00135C74">
        <w:rPr>
          <w:i/>
        </w:rPr>
        <w:t>upply network recoverability</w:t>
      </w:r>
      <w:r w:rsidR="007A308D" w:rsidRPr="00135C74">
        <w:t xml:space="preserve"> captures </w:t>
      </w:r>
      <w:r w:rsidR="003F478A" w:rsidRPr="00135C74">
        <w:t xml:space="preserve">how managerial attention is allocated to specify and </w:t>
      </w:r>
      <w:r w:rsidR="002C133E" w:rsidRPr="00135C74">
        <w:t xml:space="preserve">evaluate </w:t>
      </w:r>
      <w:r w:rsidR="003F478A" w:rsidRPr="00135C74">
        <w:t xml:space="preserve">recoverability and proactively </w:t>
      </w:r>
      <w:r w:rsidR="002C133E" w:rsidRPr="00135C74">
        <w:t xml:space="preserve">mitigate </w:t>
      </w:r>
      <w:r w:rsidR="003F478A" w:rsidRPr="00135C74">
        <w:t>the effects of network vulnerabilities (e.g.</w:t>
      </w:r>
      <w:r w:rsidR="00B4370D">
        <w:t>,</w:t>
      </w:r>
      <w:r w:rsidR="003F478A" w:rsidRPr="00135C74">
        <w:t xml:space="preserve"> </w:t>
      </w:r>
      <w:proofErr w:type="spellStart"/>
      <w:r w:rsidR="003F478A" w:rsidRPr="00135C74">
        <w:t>Simchi</w:t>
      </w:r>
      <w:proofErr w:type="spellEnd"/>
      <w:r w:rsidR="003F478A" w:rsidRPr="00135C74">
        <w:t xml:space="preserve">-Levi </w:t>
      </w:r>
      <w:r w:rsidR="003F478A" w:rsidRPr="00135C74">
        <w:rPr>
          <w:i/>
        </w:rPr>
        <w:t>et al</w:t>
      </w:r>
      <w:r w:rsidR="003F478A" w:rsidRPr="00135C74">
        <w:t xml:space="preserve">., 2014). The items and descriptive statistics are shown in </w:t>
      </w:r>
      <w:r w:rsidR="002C133E" w:rsidRPr="00135C74">
        <w:t xml:space="preserve">the </w:t>
      </w:r>
      <w:r w:rsidR="003F478A" w:rsidRPr="00135C74">
        <w:t xml:space="preserve">Appendix. </w:t>
      </w:r>
      <w:r w:rsidR="005C0677" w:rsidRPr="00135C74">
        <w:t xml:space="preserve">For the </w:t>
      </w:r>
      <w:r w:rsidR="0092748F" w:rsidRPr="00135C74">
        <w:rPr>
          <w:i/>
        </w:rPr>
        <w:t>t</w:t>
      </w:r>
      <w:r w:rsidR="007A308D" w:rsidRPr="00135C74">
        <w:rPr>
          <w:i/>
        </w:rPr>
        <w:t>op</w:t>
      </w:r>
      <w:r w:rsidR="003F478A" w:rsidRPr="00135C74">
        <w:rPr>
          <w:i/>
        </w:rPr>
        <w:t>-down</w:t>
      </w:r>
      <w:r w:rsidR="003F478A" w:rsidRPr="00135C74">
        <w:t xml:space="preserve"> and </w:t>
      </w:r>
      <w:r w:rsidR="003F478A" w:rsidRPr="00135C74">
        <w:rPr>
          <w:i/>
        </w:rPr>
        <w:t>bottom-up supply disruption detection</w:t>
      </w:r>
      <w:r w:rsidR="003F478A" w:rsidRPr="00135C74">
        <w:t xml:space="preserve"> items</w:t>
      </w:r>
      <w:r w:rsidR="005C0677" w:rsidRPr="00135C74">
        <w:t>, we</w:t>
      </w:r>
      <w:r w:rsidR="007A308D" w:rsidRPr="00135C74">
        <w:t xml:space="preserve"> dr</w:t>
      </w:r>
      <w:r w:rsidR="005C0677" w:rsidRPr="00135C74">
        <w:t>e</w:t>
      </w:r>
      <w:r w:rsidR="007A308D" w:rsidRPr="00135C74">
        <w:t xml:space="preserve">w </w:t>
      </w:r>
      <w:r w:rsidR="003F478A" w:rsidRPr="00135C74">
        <w:t xml:space="preserve">on the works of Shepherd </w:t>
      </w:r>
      <w:r w:rsidR="003F478A" w:rsidRPr="00135C74">
        <w:rPr>
          <w:i/>
        </w:rPr>
        <w:t>et al</w:t>
      </w:r>
      <w:r w:rsidR="003F478A" w:rsidRPr="00135C74">
        <w:t xml:space="preserve">. (2017) and Lorentz </w:t>
      </w:r>
      <w:r w:rsidR="003F478A" w:rsidRPr="00135C74">
        <w:rPr>
          <w:i/>
        </w:rPr>
        <w:t>et al</w:t>
      </w:r>
      <w:r w:rsidR="003F478A" w:rsidRPr="00135C74">
        <w:t>. (2019)</w:t>
      </w:r>
      <w:r w:rsidR="00DE439F" w:rsidRPr="00135C74">
        <w:t>,</w:t>
      </w:r>
      <w:r w:rsidR="00B4370D">
        <w:t xml:space="preserve"> with</w:t>
      </w:r>
      <w:r w:rsidR="00DE439F" w:rsidRPr="00135C74">
        <w:t xml:space="preserve"> the latter</w:t>
      </w:r>
      <w:r w:rsidR="009C6FEC" w:rsidRPr="00135C74">
        <w:t xml:space="preserve"> being </w:t>
      </w:r>
      <w:r w:rsidR="00DE439F" w:rsidRPr="00135C74">
        <w:t xml:space="preserve">in alignment in terms of the collaboration dimension with </w:t>
      </w:r>
      <w:r w:rsidR="009C6FEC" w:rsidRPr="00135C74">
        <w:t>both</w:t>
      </w:r>
      <w:r w:rsidR="00DE439F" w:rsidRPr="00135C74">
        <w:t xml:space="preserve"> Chaudhuri </w:t>
      </w:r>
      <w:r w:rsidR="00DE439F" w:rsidRPr="00CB7289">
        <w:rPr>
          <w:i/>
        </w:rPr>
        <w:t>et al.</w:t>
      </w:r>
      <w:r w:rsidR="00DE439F" w:rsidRPr="00135C74">
        <w:t xml:space="preserve"> (2020) and Friday </w:t>
      </w:r>
      <w:r w:rsidR="00DE439F" w:rsidRPr="00CB7289">
        <w:rPr>
          <w:i/>
        </w:rPr>
        <w:t>et al.</w:t>
      </w:r>
      <w:r w:rsidR="00DE439F" w:rsidRPr="00135C74">
        <w:t xml:space="preserve"> (2018)</w:t>
      </w:r>
      <w:r w:rsidR="003F478A" w:rsidRPr="00135C74">
        <w:t>. For the outcome</w:t>
      </w:r>
      <w:r w:rsidR="00EE7976">
        <w:t xml:space="preserve"> </w:t>
      </w:r>
      <w:r w:rsidR="003F478A" w:rsidRPr="00135C74">
        <w:t>side</w:t>
      </w:r>
      <w:r w:rsidR="00EE7976">
        <w:t xml:space="preserve"> of the</w:t>
      </w:r>
      <w:r w:rsidR="003F478A" w:rsidRPr="00135C74">
        <w:t xml:space="preserve"> supply resilience construct, the firm resilience measurement scale from </w:t>
      </w:r>
      <w:proofErr w:type="spellStart"/>
      <w:r w:rsidR="003F478A" w:rsidRPr="00135C74">
        <w:t>Ambulkar</w:t>
      </w:r>
      <w:proofErr w:type="spellEnd"/>
      <w:r w:rsidR="003F478A" w:rsidRPr="00135C74">
        <w:t xml:space="preserve"> </w:t>
      </w:r>
      <w:r w:rsidR="003F478A" w:rsidRPr="00135C74">
        <w:rPr>
          <w:i/>
        </w:rPr>
        <w:t>et al</w:t>
      </w:r>
      <w:r w:rsidR="003F478A" w:rsidRPr="00135C74">
        <w:t xml:space="preserve">. (2015) </w:t>
      </w:r>
      <w:r w:rsidR="005C0677" w:rsidRPr="00135C74">
        <w:t xml:space="preserve">was </w:t>
      </w:r>
      <w:r w:rsidR="007A308D" w:rsidRPr="00135C74">
        <w:t>adopted, with m</w:t>
      </w:r>
      <w:r w:rsidR="003F478A" w:rsidRPr="00135C74">
        <w:t>odifi</w:t>
      </w:r>
      <w:r w:rsidR="007A308D" w:rsidRPr="00135C74">
        <w:t>cations</w:t>
      </w:r>
      <w:r w:rsidR="003F478A" w:rsidRPr="00135C74">
        <w:t xml:space="preserve"> to fit the procurement context</w:t>
      </w:r>
      <w:r w:rsidR="001446B7" w:rsidRPr="00135C74">
        <w:t xml:space="preserve">, </w:t>
      </w:r>
      <w:r w:rsidR="009C6FEC" w:rsidRPr="00135C74">
        <w:t>specifically</w:t>
      </w:r>
      <w:r w:rsidR="003D3C3B">
        <w:t xml:space="preserve"> in</w:t>
      </w:r>
      <w:r w:rsidR="009C6FEC" w:rsidRPr="00135C74">
        <w:t xml:space="preserve"> the</w:t>
      </w:r>
      <w:r w:rsidR="001446B7" w:rsidRPr="00135C74">
        <w:t xml:space="preserve"> areas of supply management responsibility</w:t>
      </w:r>
      <w:r w:rsidR="009C6FEC" w:rsidRPr="00135C74">
        <w:t xml:space="preserve"> (</w:t>
      </w:r>
      <w:r w:rsidR="002E144F" w:rsidRPr="00135C74">
        <w:t>categor</w:t>
      </w:r>
      <w:r w:rsidR="00AF07BA" w:rsidRPr="00135C74">
        <w:t>ies</w:t>
      </w:r>
      <w:r w:rsidR="002E144F" w:rsidRPr="00135C74">
        <w:t xml:space="preserve"> of items</w:t>
      </w:r>
      <w:r w:rsidR="009C6FEC" w:rsidRPr="00135C74">
        <w:t>)</w:t>
      </w:r>
      <w:r w:rsidR="002E144F" w:rsidRPr="00135C74">
        <w:t>,</w:t>
      </w:r>
      <w:r w:rsidR="001446B7" w:rsidRPr="00135C74">
        <w:t xml:space="preserve"> as the unit of analysis</w:t>
      </w:r>
      <w:r w:rsidR="00594640" w:rsidRPr="00135C74">
        <w:t xml:space="preserve">. </w:t>
      </w:r>
    </w:p>
    <w:p w14:paraId="26D137B1" w14:textId="792867A3" w:rsidR="00211EF1" w:rsidRPr="00135C74" w:rsidRDefault="000A47C9" w:rsidP="00377304">
      <w:pPr>
        <w:spacing w:line="480" w:lineRule="auto"/>
        <w:jc w:val="both"/>
      </w:pPr>
      <w:r w:rsidRPr="00135C74">
        <w:lastRenderedPageBreak/>
        <w:t xml:space="preserve">The survey questions considered </w:t>
      </w:r>
      <w:r w:rsidR="003D3C3B">
        <w:t xml:space="preserve">the </w:t>
      </w:r>
      <w:r w:rsidRPr="00135C74">
        <w:t>current states and practices during the COVID-19 pandemic (supply resilience) or during the past year (other constructs)</w:t>
      </w:r>
      <w:r w:rsidR="001446B7" w:rsidRPr="00135C74">
        <w:t xml:space="preserve"> in the respondent’s area of supply management responsibility (e.g.</w:t>
      </w:r>
      <w:r w:rsidR="00B4370D">
        <w:t>,</w:t>
      </w:r>
      <w:r w:rsidR="001446B7" w:rsidRPr="00135C74">
        <w:t xml:space="preserve"> a category of </w:t>
      </w:r>
      <w:r w:rsidR="00AF07BA" w:rsidRPr="00135C74">
        <w:t>items</w:t>
      </w:r>
      <w:r w:rsidR="001446B7" w:rsidRPr="00135C74">
        <w:t>)</w:t>
      </w:r>
      <w:r w:rsidRPr="00135C74">
        <w:t xml:space="preserve">. The measures used a </w:t>
      </w:r>
      <w:r w:rsidR="003D3C3B">
        <w:t>7</w:t>
      </w:r>
      <w:r w:rsidRPr="00135C74">
        <w:t>-point Likert scale</w:t>
      </w:r>
      <w:r w:rsidR="003D3C3B">
        <w:t>,</w:t>
      </w:r>
      <w:r w:rsidRPr="00135C74">
        <w:t xml:space="preserve"> as follows: 1) completely disagree, 2) mostly disagree, 3) somewhat disagree, 4) neither agree </w:t>
      </w:r>
      <w:r w:rsidR="005C0677" w:rsidRPr="00135C74">
        <w:t xml:space="preserve">nor </w:t>
      </w:r>
      <w:r w:rsidRPr="00135C74">
        <w:t xml:space="preserve">disagree, 5) somewhat agree, 6) mostly </w:t>
      </w:r>
      <w:r w:rsidR="00211EF1" w:rsidRPr="00135C74">
        <w:t>agree and 7) completely agree.</w:t>
      </w:r>
      <w:r w:rsidR="00FA7CFD" w:rsidRPr="00135C74">
        <w:t xml:space="preserve"> T</w:t>
      </w:r>
      <w:r w:rsidR="00211EF1" w:rsidRPr="00135C74">
        <w:t>wo control variables</w:t>
      </w:r>
      <w:r w:rsidR="003D3C3B">
        <w:t>—</w:t>
      </w:r>
      <w:r w:rsidR="00211EF1" w:rsidRPr="00135C74">
        <w:t>turnover and COVID-19 impact</w:t>
      </w:r>
      <w:r w:rsidR="003D3C3B">
        <w:t>—</w:t>
      </w:r>
      <w:r w:rsidR="005C0677" w:rsidRPr="00135C74">
        <w:t xml:space="preserve">were </w:t>
      </w:r>
      <w:r w:rsidR="00211EF1" w:rsidRPr="00135C74">
        <w:t xml:space="preserve">measured as categorical single </w:t>
      </w:r>
      <w:r w:rsidR="00AB601F" w:rsidRPr="00135C74">
        <w:t>items</w:t>
      </w:r>
      <w:r w:rsidR="00211EF1" w:rsidRPr="00135C74">
        <w:t xml:space="preserve">. Turnover was measured </w:t>
      </w:r>
      <w:r w:rsidR="002240F5" w:rsidRPr="00135C74">
        <w:t xml:space="preserve">with </w:t>
      </w:r>
      <w:r w:rsidR="00211EF1" w:rsidRPr="00135C74">
        <w:t xml:space="preserve">a </w:t>
      </w:r>
      <w:r w:rsidR="005C0677" w:rsidRPr="00135C74">
        <w:t>four</w:t>
      </w:r>
      <w:r w:rsidR="00D5192E" w:rsidRPr="00135C74">
        <w:t>-category variable</w:t>
      </w:r>
      <w:r w:rsidR="00211EF1" w:rsidRPr="00135C74">
        <w:t>: 1) 0</w:t>
      </w:r>
      <w:r w:rsidR="005C0677" w:rsidRPr="00135C74">
        <w:t>–</w:t>
      </w:r>
      <w:r w:rsidR="00211EF1" w:rsidRPr="00135C74">
        <w:t xml:space="preserve">2 </w:t>
      </w:r>
      <w:r w:rsidR="00D656D7" w:rsidRPr="00135C74">
        <w:t xml:space="preserve">million </w:t>
      </w:r>
      <w:r w:rsidR="00211EF1" w:rsidRPr="00135C74">
        <w:t>EUR, 2) 2</w:t>
      </w:r>
      <w:r w:rsidR="00D656D7" w:rsidRPr="00135C74">
        <w:t>.1</w:t>
      </w:r>
      <w:r w:rsidR="005C0677" w:rsidRPr="00135C74">
        <w:t>–</w:t>
      </w:r>
      <w:r w:rsidR="00211EF1" w:rsidRPr="00135C74">
        <w:t xml:space="preserve">10 </w:t>
      </w:r>
      <w:r w:rsidR="00D656D7" w:rsidRPr="00135C74">
        <w:t xml:space="preserve">million </w:t>
      </w:r>
      <w:r w:rsidR="00211EF1" w:rsidRPr="00135C74">
        <w:t>EUR, 3) 10</w:t>
      </w:r>
      <w:r w:rsidR="00D656D7" w:rsidRPr="00135C74">
        <w:t>.1</w:t>
      </w:r>
      <w:r w:rsidR="005C0677" w:rsidRPr="00135C74">
        <w:t>–</w:t>
      </w:r>
      <w:r w:rsidR="00211EF1" w:rsidRPr="00135C74">
        <w:t xml:space="preserve">50 </w:t>
      </w:r>
      <w:r w:rsidR="00D656D7" w:rsidRPr="00135C74">
        <w:t xml:space="preserve">million </w:t>
      </w:r>
      <w:r w:rsidR="00211EF1" w:rsidRPr="00135C74">
        <w:t>EUR</w:t>
      </w:r>
      <w:r w:rsidR="005C0677" w:rsidRPr="00135C74">
        <w:t>,</w:t>
      </w:r>
      <w:r w:rsidR="00211EF1" w:rsidRPr="00135C74">
        <w:t xml:space="preserve"> and 4) over 50 </w:t>
      </w:r>
      <w:r w:rsidR="00D656D7" w:rsidRPr="00135C74">
        <w:t xml:space="preserve">million </w:t>
      </w:r>
      <w:r w:rsidR="00211EF1" w:rsidRPr="00135C74">
        <w:t xml:space="preserve">EUR. For the negative COVID-19 impact, </w:t>
      </w:r>
      <w:r w:rsidR="003D3C3B">
        <w:t xml:space="preserve">the </w:t>
      </w:r>
      <w:r w:rsidR="00211EF1" w:rsidRPr="00135C74">
        <w:t>respondents evaluate</w:t>
      </w:r>
      <w:r w:rsidR="00B01D67" w:rsidRPr="00135C74">
        <w:t>d</w:t>
      </w:r>
      <w:r w:rsidR="00211EF1" w:rsidRPr="00135C74">
        <w:t xml:space="preserve"> the impact of the COVID-19 pandemic on the supply chain/supplier network of </w:t>
      </w:r>
      <w:r w:rsidR="0092206D" w:rsidRPr="00135C74">
        <w:t xml:space="preserve">their </w:t>
      </w:r>
      <w:r w:rsidR="00211EF1" w:rsidRPr="00135C74">
        <w:t xml:space="preserve">category or item on a </w:t>
      </w:r>
      <w:r w:rsidR="003D3C3B">
        <w:t>7</w:t>
      </w:r>
      <w:r w:rsidR="00211EF1" w:rsidRPr="00135C74">
        <w:t>-point scale: 1) no impact, 2) negligible impact, 3) minor impact, 4) moderate impact, 5) major impact, 6) severe impact and 7) catastrophic impact.</w:t>
      </w:r>
    </w:p>
    <w:p w14:paraId="4B50D348" w14:textId="77777777" w:rsidR="00457642" w:rsidRPr="00135C74" w:rsidRDefault="00457642" w:rsidP="00377304">
      <w:pPr>
        <w:spacing w:line="480" w:lineRule="auto"/>
        <w:jc w:val="both"/>
        <w:rPr>
          <w:i/>
        </w:rPr>
      </w:pPr>
    </w:p>
    <w:p w14:paraId="342F936F" w14:textId="46CF0962" w:rsidR="00AE4FB0" w:rsidRPr="00135C74" w:rsidRDefault="00736458" w:rsidP="00377304">
      <w:pPr>
        <w:spacing w:line="480" w:lineRule="auto"/>
        <w:jc w:val="both"/>
        <w:rPr>
          <w:i/>
        </w:rPr>
      </w:pPr>
      <w:r w:rsidRPr="00135C74">
        <w:rPr>
          <w:i/>
        </w:rPr>
        <w:t xml:space="preserve">3.2 </w:t>
      </w:r>
      <w:proofErr w:type="spellStart"/>
      <w:r w:rsidRPr="00135C74">
        <w:rPr>
          <w:i/>
        </w:rPr>
        <w:t>Pretest</w:t>
      </w:r>
      <w:proofErr w:type="spellEnd"/>
      <w:r w:rsidRPr="00135C74">
        <w:rPr>
          <w:i/>
        </w:rPr>
        <w:t xml:space="preserve"> procedure for attentional perspective and attentional selection scales</w:t>
      </w:r>
    </w:p>
    <w:p w14:paraId="199B05BB" w14:textId="5CB4E803" w:rsidR="00C339D3" w:rsidRPr="00135C74" w:rsidRDefault="00AE4FB0" w:rsidP="00377304">
      <w:pPr>
        <w:spacing w:line="480" w:lineRule="auto"/>
        <w:jc w:val="both"/>
      </w:pPr>
      <w:r w:rsidRPr="00135C74">
        <w:t>The initial versions of</w:t>
      </w:r>
      <w:r w:rsidR="00B639CE" w:rsidRPr="00135C74">
        <w:t xml:space="preserve"> the survey items and constructs </w:t>
      </w:r>
      <w:r w:rsidRPr="00135C74">
        <w:t xml:space="preserve">were presented to industry experts to ensure </w:t>
      </w:r>
      <w:r w:rsidR="003D3C3B">
        <w:t xml:space="preserve">their </w:t>
      </w:r>
      <w:r w:rsidRPr="00135C74">
        <w:t>content validity</w:t>
      </w:r>
      <w:r w:rsidR="00B639CE" w:rsidRPr="00135C74">
        <w:t>, and</w:t>
      </w:r>
      <w:r w:rsidR="00B4370D">
        <w:t xml:space="preserve"> the</w:t>
      </w:r>
      <w:r w:rsidR="00B639CE" w:rsidRPr="00135C74">
        <w:t xml:space="preserve"> wording </w:t>
      </w:r>
      <w:r w:rsidR="00D41388" w:rsidRPr="00135C74">
        <w:t xml:space="preserve">was </w:t>
      </w:r>
      <w:r w:rsidR="00B639CE" w:rsidRPr="00135C74">
        <w:t xml:space="preserve">refined </w:t>
      </w:r>
      <w:r w:rsidR="003D3C3B">
        <w:t>based on</w:t>
      </w:r>
      <w:r w:rsidR="00B639CE" w:rsidRPr="00135C74">
        <w:t xml:space="preserve"> their feedback</w:t>
      </w:r>
      <w:r w:rsidRPr="00135C74">
        <w:t>. In May 2020, an invitation to participate in a pilot survey was sent to a convenience sample of 34</w:t>
      </w:r>
      <w:r w:rsidRPr="00135C74">
        <w:rPr>
          <w:color w:val="FF0000"/>
        </w:rPr>
        <w:t xml:space="preserve"> </w:t>
      </w:r>
      <w:r w:rsidR="00831E9D" w:rsidRPr="00135C74">
        <w:t>procurement</w:t>
      </w:r>
      <w:r w:rsidRPr="00135C74">
        <w:t xml:space="preserve"> professionals in the authors’ professional network</w:t>
      </w:r>
      <w:r w:rsidR="00B639CE" w:rsidRPr="00135C74">
        <w:t>s</w:t>
      </w:r>
      <w:r w:rsidRPr="00135C74">
        <w:t>. In total, 21 usable responses were collected. The participants were asked to complete the questionnaire and provide feedback on the items and survey layout. In an exploratory factor analysis, five factors were extracted as expected. Based on the factor loadings and comments</w:t>
      </w:r>
      <w:r w:rsidR="00A9777F" w:rsidRPr="00135C74">
        <w:t xml:space="preserve"> of</w:t>
      </w:r>
      <w:r w:rsidR="00B4370D">
        <w:t xml:space="preserve"> the</w:t>
      </w:r>
      <w:r w:rsidR="00A9777F" w:rsidRPr="00135C74">
        <w:t xml:space="preserve"> participants</w:t>
      </w:r>
      <w:r w:rsidRPr="00135C74">
        <w:t>, minor adjustments were made</w:t>
      </w:r>
      <w:r w:rsidR="00B639CE" w:rsidRPr="00135C74">
        <w:t xml:space="preserve"> prior to the </w:t>
      </w:r>
      <w:r w:rsidRPr="00135C74">
        <w:t>full launch of the survey.</w:t>
      </w:r>
    </w:p>
    <w:p w14:paraId="76A8F877" w14:textId="77777777" w:rsidR="00457642" w:rsidRPr="00135C74" w:rsidRDefault="00457642" w:rsidP="00377304">
      <w:pPr>
        <w:spacing w:line="480" w:lineRule="auto"/>
        <w:jc w:val="both"/>
        <w:rPr>
          <w:i/>
        </w:rPr>
      </w:pPr>
    </w:p>
    <w:p w14:paraId="7044EC13" w14:textId="6650CABA" w:rsidR="00AE4FB0" w:rsidRPr="00135C74" w:rsidRDefault="00736458" w:rsidP="00377304">
      <w:pPr>
        <w:spacing w:line="480" w:lineRule="auto"/>
        <w:jc w:val="both"/>
        <w:rPr>
          <w:i/>
        </w:rPr>
      </w:pPr>
      <w:r w:rsidRPr="00135C74">
        <w:rPr>
          <w:i/>
        </w:rPr>
        <w:t xml:space="preserve">3.3 </w:t>
      </w:r>
      <w:r w:rsidR="009559FE" w:rsidRPr="00135C74">
        <w:rPr>
          <w:i/>
        </w:rPr>
        <w:t>D</w:t>
      </w:r>
      <w:r w:rsidR="00C339D3" w:rsidRPr="00135C74">
        <w:rPr>
          <w:i/>
        </w:rPr>
        <w:t xml:space="preserve">ata </w:t>
      </w:r>
      <w:r w:rsidRPr="00135C74">
        <w:rPr>
          <w:i/>
        </w:rPr>
        <w:t>c</w:t>
      </w:r>
      <w:r w:rsidR="00CD52BE" w:rsidRPr="00135C74">
        <w:rPr>
          <w:i/>
        </w:rPr>
        <w:t>ollection</w:t>
      </w:r>
    </w:p>
    <w:p w14:paraId="03872A47" w14:textId="7CB6E28B" w:rsidR="00152F0C" w:rsidRPr="00135C74" w:rsidRDefault="006B511A" w:rsidP="00377304">
      <w:pPr>
        <w:spacing w:line="480" w:lineRule="auto"/>
        <w:jc w:val="both"/>
      </w:pPr>
      <w:r w:rsidRPr="00135C74">
        <w:lastRenderedPageBreak/>
        <w:t>D</w:t>
      </w:r>
      <w:r w:rsidR="00AE4FB0" w:rsidRPr="00135C74">
        <w:t xml:space="preserve">ata </w:t>
      </w:r>
      <w:r w:rsidRPr="00135C74">
        <w:t xml:space="preserve">were </w:t>
      </w:r>
      <w:r w:rsidR="00AE4FB0" w:rsidRPr="00135C74">
        <w:t xml:space="preserve">collected in Finland, </w:t>
      </w:r>
      <w:r w:rsidR="00DF6790" w:rsidRPr="00135C74">
        <w:t xml:space="preserve">the </w:t>
      </w:r>
      <w:r w:rsidR="00AE4FB0" w:rsidRPr="00135C74">
        <w:t>UK</w:t>
      </w:r>
      <w:r w:rsidR="00DF6790" w:rsidRPr="00135C74">
        <w:t>,</w:t>
      </w:r>
      <w:r w:rsidR="00AE4FB0" w:rsidRPr="00135C74">
        <w:t xml:space="preserve"> and Germany. In Finland</w:t>
      </w:r>
      <w:r w:rsidR="00DF6790" w:rsidRPr="00135C74">
        <w:t>,</w:t>
      </w:r>
      <w:r w:rsidR="00AE4FB0" w:rsidRPr="00135C74">
        <w:t xml:space="preserve"> the online questionnaire was launched in May 2020</w:t>
      </w:r>
      <w:r w:rsidR="003D3C3B">
        <w:t>,</w:t>
      </w:r>
      <w:r w:rsidR="00AE4FB0" w:rsidRPr="00135C74">
        <w:t xml:space="preserve"> and in the UK and Germany</w:t>
      </w:r>
      <w:r w:rsidR="003D3C3B">
        <w:t>, this was carried out</w:t>
      </w:r>
      <w:r w:rsidR="00AE4FB0" w:rsidRPr="00135C74">
        <w:t xml:space="preserve"> in June 2020. </w:t>
      </w:r>
      <w:r w:rsidR="003D3C3B">
        <w:t>The r</w:t>
      </w:r>
      <w:r w:rsidR="00333C95" w:rsidRPr="00135C74">
        <w:t xml:space="preserve">espondents were expected to have a broad range of knowledge and pragmatic, experience-based insights </w:t>
      </w:r>
      <w:r w:rsidR="00B4370D">
        <w:t>i</w:t>
      </w:r>
      <w:r w:rsidR="00333C95" w:rsidRPr="00135C74">
        <w:t>n</w:t>
      </w:r>
      <w:r w:rsidR="00B4370D">
        <w:t>to</w:t>
      </w:r>
      <w:r w:rsidR="00333C95" w:rsidRPr="00135C74">
        <w:t xml:space="preserve"> the topic within their domain of responsibility (</w:t>
      </w:r>
      <w:proofErr w:type="spellStart"/>
      <w:r w:rsidR="00333C95" w:rsidRPr="00135C74">
        <w:t>Montabon</w:t>
      </w:r>
      <w:proofErr w:type="spellEnd"/>
      <w:r w:rsidR="00333C95" w:rsidRPr="00135C74">
        <w:t xml:space="preserve"> </w:t>
      </w:r>
      <w:r w:rsidR="00333C95" w:rsidRPr="00135C74">
        <w:rPr>
          <w:i/>
        </w:rPr>
        <w:t>et al</w:t>
      </w:r>
      <w:r w:rsidR="00333C95" w:rsidRPr="00135C74">
        <w:t xml:space="preserve">., 2018). </w:t>
      </w:r>
      <w:r w:rsidR="00AE4FB0" w:rsidRPr="00135C74">
        <w:t>In Finland and the UK</w:t>
      </w:r>
      <w:r w:rsidR="00DF6790" w:rsidRPr="00135C74">
        <w:t>,</w:t>
      </w:r>
      <w:r w:rsidR="00AE4FB0" w:rsidRPr="00135C74">
        <w:t xml:space="preserve"> invitations to participate were sent to experienced procurement professionals in the author</w:t>
      </w:r>
      <w:r w:rsidR="00831E9D" w:rsidRPr="00135C74">
        <w:t>s’</w:t>
      </w:r>
      <w:r w:rsidR="00AE4FB0" w:rsidRPr="00135C74">
        <w:t xml:space="preserve"> network</w:t>
      </w:r>
      <w:r w:rsidR="00831E9D" w:rsidRPr="00135C74">
        <w:t>s</w:t>
      </w:r>
      <w:r w:rsidR="00AE4FB0" w:rsidRPr="00135C74">
        <w:t xml:space="preserve">. In Germany, the invitation was sent as part of a </w:t>
      </w:r>
      <w:r w:rsidR="003D3C3B" w:rsidRPr="00135C74">
        <w:t xml:space="preserve">BME </w:t>
      </w:r>
      <w:r w:rsidR="00AE4FB0" w:rsidRPr="00135C74">
        <w:t xml:space="preserve">newsletter (the Association </w:t>
      </w:r>
      <w:r w:rsidR="009B6A08" w:rsidRPr="00135C74">
        <w:t xml:space="preserve">of </w:t>
      </w:r>
      <w:r w:rsidR="00AE4FB0" w:rsidRPr="00135C74">
        <w:t>Supply Chain Management, Procurement and Logistics</w:t>
      </w:r>
      <w:r w:rsidR="009B6A08" w:rsidRPr="00135C74">
        <w:t xml:space="preserve">). </w:t>
      </w:r>
      <w:r w:rsidR="00232C6A" w:rsidRPr="00135C74">
        <w:t>The use of single respondents was justified because</w:t>
      </w:r>
      <w:r w:rsidR="00DD5346" w:rsidRPr="00135C74">
        <w:t xml:space="preserve"> the unit of analysis was each informant</w:t>
      </w:r>
      <w:r w:rsidR="00232C6A" w:rsidRPr="00135C74">
        <w:t xml:space="preserve">’s area of </w:t>
      </w:r>
      <w:r w:rsidR="001446B7" w:rsidRPr="00135C74">
        <w:t xml:space="preserve">supply management </w:t>
      </w:r>
      <w:r w:rsidR="00232C6A" w:rsidRPr="00135C74">
        <w:t xml:space="preserve">responsibility, such as </w:t>
      </w:r>
      <w:r w:rsidR="00B4370D">
        <w:t>the</w:t>
      </w:r>
      <w:r w:rsidR="00232C6A" w:rsidRPr="00135C74">
        <w:t xml:space="preserve"> category of spend (Krause </w:t>
      </w:r>
      <w:r w:rsidR="00232C6A" w:rsidRPr="00135C74">
        <w:rPr>
          <w:i/>
        </w:rPr>
        <w:t>et al</w:t>
      </w:r>
      <w:r w:rsidR="00232C6A" w:rsidRPr="00135C74">
        <w:t xml:space="preserve">., 2018). </w:t>
      </w:r>
      <w:r w:rsidR="00DD5346" w:rsidRPr="00135C74">
        <w:t>Indeed, t</w:t>
      </w:r>
      <w:r w:rsidR="003F78BE" w:rsidRPr="00135C74">
        <w:t xml:space="preserve">he informants </w:t>
      </w:r>
      <w:r w:rsidR="003D3C3B">
        <w:t>we</w:t>
      </w:r>
      <w:r w:rsidR="003D3C3B" w:rsidRPr="00135C74">
        <w:t xml:space="preserve">re </w:t>
      </w:r>
      <w:r w:rsidR="003F78BE" w:rsidRPr="00135C74">
        <w:t xml:space="preserve">procurement professionals </w:t>
      </w:r>
      <w:r w:rsidR="00DD5346" w:rsidRPr="00135C74">
        <w:t>who</w:t>
      </w:r>
      <w:r w:rsidR="003F78BE" w:rsidRPr="00135C74">
        <w:t xml:space="preserve"> </w:t>
      </w:r>
      <w:r w:rsidR="003D3C3B">
        <w:t>we</w:t>
      </w:r>
      <w:r w:rsidR="003D3C3B" w:rsidRPr="00135C74">
        <w:t xml:space="preserve">re </w:t>
      </w:r>
      <w:r w:rsidR="003F78BE" w:rsidRPr="00135C74">
        <w:t>knowledgeable about the</w:t>
      </w:r>
      <w:r w:rsidR="00DD5346" w:rsidRPr="00135C74">
        <w:t>ir own</w:t>
      </w:r>
      <w:r w:rsidR="003F78BE" w:rsidRPr="00135C74">
        <w:t xml:space="preserve"> micro‐level procurement decisions that affect supply resilience (</w:t>
      </w:r>
      <w:proofErr w:type="spellStart"/>
      <w:r w:rsidR="003F78BE" w:rsidRPr="00135C74">
        <w:t>Montabon</w:t>
      </w:r>
      <w:proofErr w:type="spellEnd"/>
      <w:r w:rsidR="003F78BE" w:rsidRPr="00135C74">
        <w:t xml:space="preserve"> </w:t>
      </w:r>
      <w:r w:rsidR="003F78BE" w:rsidRPr="00135C74">
        <w:rPr>
          <w:i/>
        </w:rPr>
        <w:t>et al</w:t>
      </w:r>
      <w:r w:rsidR="003F78BE" w:rsidRPr="00135C74">
        <w:t>., 2018)</w:t>
      </w:r>
      <w:r w:rsidR="003D3C3B">
        <w:t xml:space="preserve">; hence, </w:t>
      </w:r>
      <w:r w:rsidR="007B126A" w:rsidRPr="00135C74">
        <w:t xml:space="preserve">they can be described as </w:t>
      </w:r>
      <w:r w:rsidR="001870C5">
        <w:t>‘</w:t>
      </w:r>
      <w:r w:rsidR="007B126A" w:rsidRPr="00135C74">
        <w:t>purchasing decision-makers</w:t>
      </w:r>
      <w:r w:rsidR="001870C5">
        <w:t>’</w:t>
      </w:r>
      <w:r w:rsidR="007B126A" w:rsidRPr="00135C74">
        <w:t xml:space="preserve"> (</w:t>
      </w:r>
      <w:proofErr w:type="spellStart"/>
      <w:r w:rsidR="007B126A" w:rsidRPr="00135C74">
        <w:t>Wouters</w:t>
      </w:r>
      <w:proofErr w:type="spellEnd"/>
      <w:r w:rsidR="007B126A" w:rsidRPr="00135C74">
        <w:t xml:space="preserve"> </w:t>
      </w:r>
      <w:r w:rsidR="007B126A" w:rsidRPr="00135C74">
        <w:rPr>
          <w:i/>
        </w:rPr>
        <w:t>et al</w:t>
      </w:r>
      <w:r w:rsidR="007B126A" w:rsidRPr="00135C74">
        <w:t>.</w:t>
      </w:r>
      <w:r w:rsidR="00B4370D">
        <w:t>,</w:t>
      </w:r>
      <w:r w:rsidR="007B126A" w:rsidRPr="00135C74">
        <w:t xml:space="preserve"> 2005, p. 177)</w:t>
      </w:r>
      <w:r w:rsidR="003F78BE" w:rsidRPr="00135C74">
        <w:t xml:space="preserve">. </w:t>
      </w:r>
      <w:r w:rsidR="00FA2B57" w:rsidRPr="00135C74">
        <w:t xml:space="preserve">Furthermore, our research question </w:t>
      </w:r>
      <w:r w:rsidR="003D3C3B" w:rsidRPr="00135C74">
        <w:t>focuse</w:t>
      </w:r>
      <w:r w:rsidR="003D3C3B">
        <w:t>d</w:t>
      </w:r>
      <w:r w:rsidR="003D3C3B" w:rsidRPr="00135C74">
        <w:t xml:space="preserve"> </w:t>
      </w:r>
      <w:r w:rsidR="00FA2B57" w:rsidRPr="00135C74">
        <w:t xml:space="preserve">on </w:t>
      </w:r>
      <w:r w:rsidR="001446B7" w:rsidRPr="00135C74">
        <w:t>subunit</w:t>
      </w:r>
      <w:r w:rsidR="00B4370D">
        <w:t>-</w:t>
      </w:r>
      <w:r w:rsidR="00FA2B57" w:rsidRPr="00135C74">
        <w:t xml:space="preserve">level </w:t>
      </w:r>
      <w:r w:rsidR="00EB4CD7" w:rsidRPr="00135C74">
        <w:t>approaches</w:t>
      </w:r>
      <w:r w:rsidR="002E144F" w:rsidRPr="00135C74">
        <w:t xml:space="preserve"> limited </w:t>
      </w:r>
      <w:r w:rsidR="009318AA" w:rsidRPr="00135C74">
        <w:t>to</w:t>
      </w:r>
      <w:r w:rsidR="002E144F" w:rsidRPr="00135C74">
        <w:t xml:space="preserve"> the respondents</w:t>
      </w:r>
      <w:r w:rsidR="009318AA" w:rsidRPr="00135C74">
        <w:t>’</w:t>
      </w:r>
      <w:r w:rsidR="002E144F" w:rsidRPr="00135C74">
        <w:t xml:space="preserve"> own domain of management</w:t>
      </w:r>
      <w:r w:rsidR="00EB4CD7" w:rsidRPr="00135C74">
        <w:t xml:space="preserve"> in one functional area of a firm</w:t>
      </w:r>
      <w:r w:rsidR="003D3C3B">
        <w:t>,</w:t>
      </w:r>
      <w:r w:rsidR="00EB4CD7" w:rsidRPr="00135C74">
        <w:t xml:space="preserve"> and we employ</w:t>
      </w:r>
      <w:r w:rsidR="003D3C3B">
        <w:t>ed</w:t>
      </w:r>
      <w:r w:rsidR="00EB4CD7" w:rsidRPr="00135C74">
        <w:t xml:space="preserve"> monadic constructs</w:t>
      </w:r>
      <w:r w:rsidR="00DF6790" w:rsidRPr="00135C74">
        <w:t>;</w:t>
      </w:r>
      <w:r w:rsidR="00EB4CD7" w:rsidRPr="00135C74">
        <w:t xml:space="preserve"> therefore</w:t>
      </w:r>
      <w:r w:rsidR="00DF6790" w:rsidRPr="00135C74">
        <w:t>,</w:t>
      </w:r>
      <w:r w:rsidR="00EB4CD7" w:rsidRPr="00135C74">
        <w:t xml:space="preserve"> </w:t>
      </w:r>
      <w:r w:rsidR="00334CAB" w:rsidRPr="00135C74">
        <w:t>a</w:t>
      </w:r>
      <w:r w:rsidR="00DF6790" w:rsidRPr="00135C74">
        <w:t xml:space="preserve"> </w:t>
      </w:r>
      <w:r w:rsidR="00EB4CD7" w:rsidRPr="00135C74">
        <w:t>single</w:t>
      </w:r>
      <w:r w:rsidR="00334CAB" w:rsidRPr="00135C74">
        <w:t>-</w:t>
      </w:r>
      <w:r w:rsidR="00EB4CD7" w:rsidRPr="00135C74">
        <w:t xml:space="preserve">source research design </w:t>
      </w:r>
      <w:r w:rsidR="003D3C3B">
        <w:t>would be</w:t>
      </w:r>
      <w:r w:rsidR="003D3C3B" w:rsidRPr="00135C74">
        <w:t xml:space="preserve"> </w:t>
      </w:r>
      <w:r w:rsidR="00EB4CD7" w:rsidRPr="00135C74">
        <w:t xml:space="preserve">less likely to suffer from respondent bias (Flynn </w:t>
      </w:r>
      <w:r w:rsidR="00EB4CD7" w:rsidRPr="00135C74">
        <w:rPr>
          <w:i/>
        </w:rPr>
        <w:t>et al</w:t>
      </w:r>
      <w:r w:rsidR="00EB4CD7" w:rsidRPr="00135C74">
        <w:t>., 2018).</w:t>
      </w:r>
    </w:p>
    <w:p w14:paraId="62292F2E" w14:textId="06E5C29C" w:rsidR="00AE4FB0" w:rsidRPr="00135C74" w:rsidRDefault="00AE4FB0" w:rsidP="00377304">
      <w:pPr>
        <w:spacing w:line="480" w:lineRule="auto"/>
        <w:jc w:val="both"/>
      </w:pPr>
      <w:r w:rsidRPr="00135C74">
        <w:t xml:space="preserve">The final number of responses was 190. The sample </w:t>
      </w:r>
      <w:r w:rsidR="00334CAB" w:rsidRPr="00135C74">
        <w:t xml:space="preserve">covered </w:t>
      </w:r>
      <w:r w:rsidRPr="00135C74">
        <w:t xml:space="preserve">a wide variety of industries, with the majority operating in manufacturing. </w:t>
      </w:r>
      <w:r w:rsidR="003D3C3B">
        <w:t>The r</w:t>
      </w:r>
      <w:r w:rsidRPr="00135C74">
        <w:t xml:space="preserve">espondent profiles are depicted in Table </w:t>
      </w:r>
      <w:r w:rsidR="00152F0C" w:rsidRPr="00135C74">
        <w:t xml:space="preserve">1 and are deemed representative with sufficiently high levels of </w:t>
      </w:r>
      <w:r w:rsidR="003D3C3B">
        <w:t xml:space="preserve">the </w:t>
      </w:r>
      <w:r w:rsidR="00152F0C" w:rsidRPr="00135C74">
        <w:t>respondents’ experience</w:t>
      </w:r>
      <w:r w:rsidRPr="00135C74">
        <w:t>.</w:t>
      </w:r>
    </w:p>
    <w:p w14:paraId="7195C73D" w14:textId="77777777" w:rsidR="00457642" w:rsidRPr="00135C74" w:rsidRDefault="00457642" w:rsidP="00705F74">
      <w:pPr>
        <w:pStyle w:val="Caption"/>
        <w:keepNext/>
        <w:spacing w:line="480" w:lineRule="auto"/>
        <w:rPr>
          <w:rFonts w:ascii="Times New Roman" w:hAnsi="Times New Roman" w:cs="Times New Roman"/>
          <w:b/>
          <w:i w:val="0"/>
          <w:color w:val="auto"/>
          <w:sz w:val="24"/>
          <w:szCs w:val="24"/>
          <w:lang w:val="en-GB"/>
        </w:rPr>
      </w:pPr>
    </w:p>
    <w:p w14:paraId="3FDF562A" w14:textId="219DA639" w:rsidR="007B515E" w:rsidRPr="00135C74" w:rsidRDefault="00736458" w:rsidP="00705F74">
      <w:pPr>
        <w:pStyle w:val="Caption"/>
        <w:keepNext/>
        <w:spacing w:line="480" w:lineRule="auto"/>
        <w:rPr>
          <w:rFonts w:ascii="Times New Roman" w:hAnsi="Times New Roman" w:cs="Times New Roman"/>
          <w:b/>
          <w:i w:val="0"/>
          <w:color w:val="auto"/>
          <w:sz w:val="24"/>
          <w:szCs w:val="24"/>
          <w:lang w:val="en-GB"/>
        </w:rPr>
      </w:pPr>
      <w:r w:rsidRPr="00135C74">
        <w:rPr>
          <w:rFonts w:ascii="Times New Roman" w:hAnsi="Times New Roman" w:cs="Times New Roman"/>
          <w:b/>
          <w:i w:val="0"/>
          <w:color w:val="auto"/>
          <w:sz w:val="24"/>
          <w:szCs w:val="24"/>
          <w:lang w:val="en-GB"/>
        </w:rPr>
        <w:t xml:space="preserve">Table </w:t>
      </w:r>
      <w:r w:rsidR="00AE4FB0" w:rsidRPr="00135C74">
        <w:rPr>
          <w:rFonts w:ascii="Times New Roman" w:hAnsi="Times New Roman" w:cs="Times New Roman"/>
          <w:b/>
          <w:i w:val="0"/>
          <w:sz w:val="24"/>
          <w:szCs w:val="24"/>
          <w:lang w:val="en-GB"/>
        </w:rPr>
        <w:fldChar w:fldCharType="begin"/>
      </w:r>
      <w:r w:rsidR="00AE4FB0" w:rsidRPr="00135C74">
        <w:rPr>
          <w:rFonts w:ascii="Times New Roman" w:hAnsi="Times New Roman" w:cs="Times New Roman"/>
          <w:b/>
          <w:i w:val="0"/>
          <w:color w:val="auto"/>
          <w:sz w:val="24"/>
          <w:szCs w:val="24"/>
          <w:lang w:val="en-GB"/>
        </w:rPr>
        <w:instrText xml:space="preserve"> SEQ Table \* ARABIC </w:instrText>
      </w:r>
      <w:r w:rsidR="00AE4FB0" w:rsidRPr="00135C74">
        <w:rPr>
          <w:rFonts w:ascii="Times New Roman" w:hAnsi="Times New Roman" w:cs="Times New Roman"/>
          <w:b/>
          <w:i w:val="0"/>
          <w:sz w:val="24"/>
          <w:szCs w:val="24"/>
          <w:lang w:val="en-GB"/>
        </w:rPr>
        <w:fldChar w:fldCharType="separate"/>
      </w:r>
      <w:r w:rsidR="002D53BD" w:rsidRPr="00135C74">
        <w:rPr>
          <w:rFonts w:ascii="Times New Roman" w:hAnsi="Times New Roman" w:cs="Times New Roman"/>
          <w:b/>
          <w:i w:val="0"/>
          <w:color w:val="auto"/>
          <w:sz w:val="24"/>
          <w:szCs w:val="24"/>
          <w:lang w:val="en-GB"/>
        </w:rPr>
        <w:t>1</w:t>
      </w:r>
      <w:r w:rsidR="00AE4FB0" w:rsidRPr="00135C74">
        <w:rPr>
          <w:rFonts w:ascii="Times New Roman" w:hAnsi="Times New Roman" w:cs="Times New Roman"/>
          <w:b/>
          <w:i w:val="0"/>
          <w:sz w:val="24"/>
          <w:szCs w:val="24"/>
          <w:lang w:val="en-GB"/>
        </w:rPr>
        <w:fldChar w:fldCharType="end"/>
      </w:r>
      <w:r w:rsidRPr="00135C74">
        <w:rPr>
          <w:rFonts w:ascii="Times New Roman" w:hAnsi="Times New Roman" w:cs="Times New Roman"/>
          <w:b/>
          <w:i w:val="0"/>
          <w:color w:val="auto"/>
          <w:sz w:val="24"/>
          <w:szCs w:val="24"/>
          <w:lang w:val="en-GB"/>
        </w:rPr>
        <w:t>.</w:t>
      </w:r>
      <w:r w:rsidR="00632B41" w:rsidRPr="00135C74">
        <w:rPr>
          <w:rFonts w:ascii="Times New Roman" w:hAnsi="Times New Roman" w:cs="Times New Roman"/>
          <w:b/>
          <w:i w:val="0"/>
          <w:color w:val="auto"/>
          <w:sz w:val="24"/>
          <w:szCs w:val="24"/>
          <w:lang w:val="en-GB"/>
        </w:rPr>
        <w:t xml:space="preserve"> </w:t>
      </w:r>
      <w:r w:rsidR="009559FE" w:rsidRPr="00135C74">
        <w:rPr>
          <w:rFonts w:ascii="Times New Roman" w:hAnsi="Times New Roman" w:cs="Times New Roman"/>
          <w:i w:val="0"/>
          <w:color w:val="auto"/>
          <w:sz w:val="24"/>
          <w:szCs w:val="24"/>
          <w:lang w:val="en-GB"/>
        </w:rPr>
        <w:t>Re</w:t>
      </w:r>
      <w:r w:rsidRPr="00135C74">
        <w:rPr>
          <w:rFonts w:ascii="Times New Roman" w:hAnsi="Times New Roman" w:cs="Times New Roman"/>
          <w:i w:val="0"/>
          <w:color w:val="auto"/>
          <w:sz w:val="24"/>
          <w:szCs w:val="24"/>
          <w:lang w:val="en-GB"/>
        </w:rPr>
        <w:t>spondent profiles (N</w:t>
      </w:r>
      <w:r w:rsidR="00334CAB" w:rsidRPr="00135C74">
        <w:rPr>
          <w:rFonts w:ascii="Times New Roman" w:hAnsi="Times New Roman" w:cs="Times New Roman"/>
          <w:i w:val="0"/>
          <w:color w:val="auto"/>
          <w:sz w:val="24"/>
          <w:szCs w:val="24"/>
          <w:lang w:val="en-GB"/>
        </w:rPr>
        <w:t xml:space="preserve"> </w:t>
      </w:r>
      <w:r w:rsidR="00AE4FB0" w:rsidRPr="00135C74">
        <w:rPr>
          <w:rFonts w:ascii="Times New Roman" w:hAnsi="Times New Roman" w:cs="Times New Roman"/>
          <w:i w:val="0"/>
          <w:color w:val="auto"/>
          <w:sz w:val="24"/>
          <w:szCs w:val="24"/>
          <w:lang w:val="en-GB"/>
        </w:rPr>
        <w:t>=</w:t>
      </w:r>
      <w:r w:rsidR="00334CAB" w:rsidRPr="00135C74">
        <w:rPr>
          <w:rFonts w:ascii="Times New Roman" w:hAnsi="Times New Roman" w:cs="Times New Roman"/>
          <w:i w:val="0"/>
          <w:color w:val="auto"/>
          <w:sz w:val="24"/>
          <w:szCs w:val="24"/>
          <w:lang w:val="en-GB"/>
        </w:rPr>
        <w:t xml:space="preserve"> </w:t>
      </w:r>
      <w:r w:rsidR="00AE4FB0" w:rsidRPr="00135C74">
        <w:rPr>
          <w:rFonts w:ascii="Times New Roman" w:hAnsi="Times New Roman" w:cs="Times New Roman"/>
          <w:i w:val="0"/>
          <w:color w:val="auto"/>
          <w:sz w:val="24"/>
          <w:szCs w:val="24"/>
          <w:lang w:val="en-GB"/>
        </w:rPr>
        <w:t>190)</w:t>
      </w:r>
    </w:p>
    <w:p w14:paraId="0D9A5A65" w14:textId="6A9B149B" w:rsidR="003F78BE" w:rsidRPr="00135C74" w:rsidRDefault="003F78BE" w:rsidP="00705F74">
      <w:pPr>
        <w:spacing w:line="480" w:lineRule="auto"/>
        <w:rPr>
          <w:i/>
          <w:lang w:eastAsia="fi-FI"/>
        </w:rPr>
      </w:pPr>
      <w:r w:rsidRPr="00135C74">
        <w:rPr>
          <w:i/>
          <w:lang w:eastAsia="fi-FI"/>
        </w:rPr>
        <w:t>&lt;Insert Table 1 approximately here&gt;</w:t>
      </w:r>
    </w:p>
    <w:p w14:paraId="1A096D0B" w14:textId="77777777" w:rsidR="00457642" w:rsidRPr="00135C74" w:rsidRDefault="00457642" w:rsidP="00377304">
      <w:pPr>
        <w:spacing w:line="480" w:lineRule="auto"/>
        <w:jc w:val="both"/>
      </w:pPr>
    </w:p>
    <w:p w14:paraId="3CBB658C" w14:textId="0BF7861D" w:rsidR="00AE4FB0" w:rsidRPr="00135C74" w:rsidRDefault="00AE4FB0" w:rsidP="00377304">
      <w:pPr>
        <w:spacing w:line="480" w:lineRule="auto"/>
        <w:jc w:val="both"/>
      </w:pPr>
      <w:r w:rsidRPr="00135C74">
        <w:t>The respondents were assured</w:t>
      </w:r>
      <w:r w:rsidR="00B4370D">
        <w:t xml:space="preserve"> of</w:t>
      </w:r>
      <w:r w:rsidRPr="00135C74">
        <w:t xml:space="preserve"> </w:t>
      </w:r>
      <w:r w:rsidR="009B4145">
        <w:t xml:space="preserve">their </w:t>
      </w:r>
      <w:r w:rsidRPr="00135C74">
        <w:t>confidentiality and anonym</w:t>
      </w:r>
      <w:r w:rsidR="00ED0C2C" w:rsidRPr="00135C74">
        <w:t>it</w:t>
      </w:r>
      <w:r w:rsidRPr="00135C74">
        <w:t>y. After completing the survey, the respondents could choose to receive an invitation to a webinar</w:t>
      </w:r>
      <w:r w:rsidR="00831E9D" w:rsidRPr="00135C74">
        <w:t>; however,</w:t>
      </w:r>
      <w:r w:rsidR="00B4370D">
        <w:t xml:space="preserve"> their</w:t>
      </w:r>
      <w:r w:rsidR="00831E9D" w:rsidRPr="00135C74">
        <w:t xml:space="preserve"> </w:t>
      </w:r>
      <w:r w:rsidRPr="00135C74">
        <w:t xml:space="preserve">email </w:t>
      </w:r>
      <w:r w:rsidRPr="00135C74">
        <w:lastRenderedPageBreak/>
        <w:t>address</w:t>
      </w:r>
      <w:r w:rsidR="00ED0C2C" w:rsidRPr="00135C74">
        <w:t>es</w:t>
      </w:r>
      <w:r w:rsidRPr="00135C74">
        <w:t xml:space="preserve"> and survey response</w:t>
      </w:r>
      <w:r w:rsidR="00ED0C2C" w:rsidRPr="00135C74">
        <w:t>s</w:t>
      </w:r>
      <w:r w:rsidRPr="00135C74">
        <w:t xml:space="preserve"> could not be matched.</w:t>
      </w:r>
      <w:r w:rsidR="00ED0C2C" w:rsidRPr="00135C74">
        <w:t xml:space="preserve"> </w:t>
      </w:r>
      <w:r w:rsidRPr="00135C74">
        <w:t xml:space="preserve">Early and late respondents were compared across theoretical constructs and demographic variables with an independent samples t-test (Armstrong </w:t>
      </w:r>
      <w:r w:rsidR="004403D3" w:rsidRPr="00135C74">
        <w:t>and</w:t>
      </w:r>
      <w:r w:rsidR="00FF7FA9" w:rsidRPr="00135C74">
        <w:t xml:space="preserve"> </w:t>
      </w:r>
      <w:r w:rsidRPr="00135C74">
        <w:t xml:space="preserve">Overton, 1977). The t-test </w:t>
      </w:r>
      <w:r w:rsidR="0070780C" w:rsidRPr="00135C74">
        <w:t xml:space="preserve">showed </w:t>
      </w:r>
      <w:r w:rsidRPr="00135C74">
        <w:t xml:space="preserve">no significant differences between </w:t>
      </w:r>
      <w:r w:rsidR="009B4145">
        <w:t xml:space="preserve">the </w:t>
      </w:r>
      <w:r w:rsidRPr="00135C74">
        <w:t>early and late respondents</w:t>
      </w:r>
      <w:r w:rsidR="00D17A0F">
        <w:t xml:space="preserve"> (p-values between 0.232 and 0.546)</w:t>
      </w:r>
      <w:r w:rsidRPr="00135C74">
        <w:t xml:space="preserve">, indicating that significant nonresponse bias </w:t>
      </w:r>
      <w:r w:rsidR="0070780C" w:rsidRPr="00135C74">
        <w:t xml:space="preserve">did </w:t>
      </w:r>
      <w:r w:rsidRPr="00135C74">
        <w:t xml:space="preserve">not influence the results (Anderson </w:t>
      </w:r>
      <w:r w:rsidR="004403D3" w:rsidRPr="00135C74">
        <w:t>and</w:t>
      </w:r>
      <w:r w:rsidR="00FF7FA9" w:rsidRPr="00135C74">
        <w:t xml:space="preserve"> </w:t>
      </w:r>
      <w:proofErr w:type="spellStart"/>
      <w:r w:rsidRPr="00135C74">
        <w:t>Gerbing</w:t>
      </w:r>
      <w:proofErr w:type="spellEnd"/>
      <w:r w:rsidRPr="00135C74">
        <w:t>, 1988).</w:t>
      </w:r>
    </w:p>
    <w:p w14:paraId="76C65A47" w14:textId="77777777" w:rsidR="00457642" w:rsidRPr="00135C74" w:rsidRDefault="00457642" w:rsidP="004E7BDD">
      <w:pPr>
        <w:spacing w:line="480" w:lineRule="auto"/>
        <w:jc w:val="both"/>
      </w:pPr>
    </w:p>
    <w:p w14:paraId="7C3390B6" w14:textId="428DEB5E" w:rsidR="00AE4FB0" w:rsidRPr="00135C74" w:rsidRDefault="00736458" w:rsidP="00377304">
      <w:pPr>
        <w:spacing w:line="480" w:lineRule="auto"/>
        <w:jc w:val="both"/>
        <w:rPr>
          <w:i/>
        </w:rPr>
      </w:pPr>
      <w:r w:rsidRPr="00135C74">
        <w:rPr>
          <w:i/>
        </w:rPr>
        <w:t xml:space="preserve">3.4 </w:t>
      </w:r>
      <w:r w:rsidR="009559FE" w:rsidRPr="00135C74">
        <w:rPr>
          <w:i/>
        </w:rPr>
        <w:t>C</w:t>
      </w:r>
      <w:r w:rsidR="00C339D3" w:rsidRPr="00135C74">
        <w:rPr>
          <w:i/>
        </w:rPr>
        <w:t xml:space="preserve">ommon </w:t>
      </w:r>
      <w:r w:rsidRPr="00135C74">
        <w:rPr>
          <w:i/>
        </w:rPr>
        <w:t>method variance</w:t>
      </w:r>
    </w:p>
    <w:p w14:paraId="75F97B6B" w14:textId="702BF8BB" w:rsidR="00AE4FB0" w:rsidRPr="00135C74" w:rsidRDefault="006247C9" w:rsidP="008A39EB">
      <w:pPr>
        <w:spacing w:line="480" w:lineRule="auto"/>
        <w:jc w:val="both"/>
      </w:pPr>
      <w:r w:rsidRPr="00135C74">
        <w:t xml:space="preserve">Common method variance (CMV) can exist at relatively high levels (70% or more) before it induces significant biases (Fuller </w:t>
      </w:r>
      <w:r w:rsidRPr="00135C74">
        <w:rPr>
          <w:i/>
        </w:rPr>
        <w:t>et al</w:t>
      </w:r>
      <w:r w:rsidRPr="00135C74">
        <w:t>., 2016). Nevertheless, s</w:t>
      </w:r>
      <w:r w:rsidR="00AE4FB0" w:rsidRPr="00135C74">
        <w:t xml:space="preserve">everal procedural and methodological remedies </w:t>
      </w:r>
      <w:r w:rsidR="00B4370D">
        <w:t>hav</w:t>
      </w:r>
      <w:r w:rsidR="00AE4FB0" w:rsidRPr="00135C74">
        <w:t>e</w:t>
      </w:r>
      <w:r w:rsidR="00B4370D">
        <w:t xml:space="preserve"> be</w:t>
      </w:r>
      <w:r w:rsidR="00AE4FB0" w:rsidRPr="00135C74">
        <w:t>e</w:t>
      </w:r>
      <w:r w:rsidR="00B4370D">
        <w:t>n</w:t>
      </w:r>
      <w:r w:rsidR="00AE4FB0" w:rsidRPr="00135C74">
        <w:t xml:space="preserve"> taken to avoid </w:t>
      </w:r>
      <w:r w:rsidRPr="00135C74">
        <w:t>CMV</w:t>
      </w:r>
      <w:r w:rsidR="00AE4FB0" w:rsidRPr="00135C74">
        <w:t xml:space="preserve">. As suggested by Podsakoff </w:t>
      </w:r>
      <w:r w:rsidR="00AE4FB0" w:rsidRPr="00135C74">
        <w:rPr>
          <w:i/>
        </w:rPr>
        <w:t>et al</w:t>
      </w:r>
      <w:r w:rsidR="00AE4FB0" w:rsidRPr="00135C74">
        <w:t xml:space="preserve">. (2003), the independent and dependent variables were placed in different sections of the questionnaire. </w:t>
      </w:r>
      <w:r w:rsidR="00BA08C3" w:rsidRPr="00135C74">
        <w:t xml:space="preserve">The percentage of supply originating from the </w:t>
      </w:r>
      <w:r w:rsidR="008E376A" w:rsidRPr="00135C74">
        <w:t xml:space="preserve">European Union </w:t>
      </w:r>
      <w:r w:rsidR="00BA08C3" w:rsidRPr="00135C74">
        <w:t xml:space="preserve">was used as a theoretically unrelated marker variable to </w:t>
      </w:r>
      <w:r w:rsidRPr="00135C74">
        <w:t xml:space="preserve">estimate method bias </w:t>
      </w:r>
      <w:r w:rsidR="00AE4FB0" w:rsidRPr="00135C74">
        <w:t xml:space="preserve">(Lindell </w:t>
      </w:r>
      <w:r w:rsidR="004403D3" w:rsidRPr="00135C74">
        <w:t xml:space="preserve">and </w:t>
      </w:r>
      <w:r w:rsidR="00AE4FB0" w:rsidRPr="00135C74">
        <w:t>Whitne</w:t>
      </w:r>
      <w:r w:rsidRPr="00135C74">
        <w:t xml:space="preserve">y, 2001; Williams </w:t>
      </w:r>
      <w:r w:rsidRPr="00CB7289">
        <w:rPr>
          <w:i/>
        </w:rPr>
        <w:t>et al.</w:t>
      </w:r>
      <w:r w:rsidRPr="00135C74">
        <w:t>, 2010</w:t>
      </w:r>
      <w:r w:rsidR="00BC6801" w:rsidRPr="00135C74">
        <w:t xml:space="preserve">). </w:t>
      </w:r>
      <w:r w:rsidR="003F78BE" w:rsidRPr="00135C74">
        <w:t xml:space="preserve">We performed a modified Lindell and Whitney test where the mean correlation between the marker variable and other variables (0.041) was used to adjust the correlation coefficients and test their significance (Lindell </w:t>
      </w:r>
      <w:r w:rsidR="00181DC3">
        <w:t>and</w:t>
      </w:r>
      <w:r w:rsidR="003F78BE" w:rsidRPr="00135C74">
        <w:t xml:space="preserve"> Whitney, 2001). The modified approach </w:t>
      </w:r>
      <w:r w:rsidR="00181DC3" w:rsidRPr="00135C74">
        <w:t>decrease</w:t>
      </w:r>
      <w:r w:rsidR="00181DC3">
        <w:t>d</w:t>
      </w:r>
      <w:r w:rsidR="00181DC3" w:rsidRPr="00135C74">
        <w:t xml:space="preserve"> </w:t>
      </w:r>
      <w:r w:rsidR="003F78BE" w:rsidRPr="00135C74">
        <w:t xml:space="preserve">the risk that the smallest correlation between the marker variable and other variables </w:t>
      </w:r>
      <w:r w:rsidR="00181DC3">
        <w:t>would have</w:t>
      </w:r>
      <w:r w:rsidR="00181DC3" w:rsidRPr="00135C74">
        <w:t xml:space="preserve"> </w:t>
      </w:r>
      <w:r w:rsidR="003F78BE" w:rsidRPr="00135C74">
        <w:t>occur</w:t>
      </w:r>
      <w:r w:rsidR="00181DC3">
        <w:t>red</w:t>
      </w:r>
      <w:r w:rsidR="003F78BE" w:rsidRPr="00135C74">
        <w:t xml:space="preserve"> by chance.</w:t>
      </w:r>
      <w:r w:rsidR="00950C6A" w:rsidRPr="00135C74">
        <w:t xml:space="preserve"> All significant values remained significant after the partial correlation adjustment (Table 1), suggest</w:t>
      </w:r>
      <w:r w:rsidR="00BF3A0D" w:rsidRPr="00135C74">
        <w:t>ing</w:t>
      </w:r>
      <w:r w:rsidR="00950C6A" w:rsidRPr="00135C74">
        <w:t xml:space="preserve"> that CMV </w:t>
      </w:r>
      <w:r w:rsidR="00181DC3">
        <w:t>wa</w:t>
      </w:r>
      <w:r w:rsidR="00181DC3" w:rsidRPr="00135C74">
        <w:t xml:space="preserve">s </w:t>
      </w:r>
      <w:r w:rsidR="00950C6A" w:rsidRPr="00135C74">
        <w:t>not a serious issue in the study.</w:t>
      </w:r>
    </w:p>
    <w:p w14:paraId="32824FED" w14:textId="77777777" w:rsidR="00457642" w:rsidRPr="00135C74" w:rsidRDefault="00457642" w:rsidP="00705F74">
      <w:pPr>
        <w:pStyle w:val="Caption"/>
        <w:keepNext/>
        <w:spacing w:line="480" w:lineRule="auto"/>
        <w:rPr>
          <w:rFonts w:ascii="Times New Roman" w:hAnsi="Times New Roman" w:cs="Times New Roman"/>
          <w:b/>
          <w:i w:val="0"/>
          <w:color w:val="auto"/>
          <w:sz w:val="24"/>
          <w:szCs w:val="24"/>
          <w:lang w:val="en-GB"/>
        </w:rPr>
      </w:pPr>
    </w:p>
    <w:p w14:paraId="34177A69" w14:textId="1C27B6BA" w:rsidR="00950C6A" w:rsidRPr="00135C74" w:rsidRDefault="00736458" w:rsidP="00705F74">
      <w:pPr>
        <w:pStyle w:val="Caption"/>
        <w:keepNext/>
        <w:spacing w:line="480" w:lineRule="auto"/>
        <w:rPr>
          <w:rFonts w:ascii="Times New Roman" w:hAnsi="Times New Roman" w:cs="Times New Roman"/>
          <w:b/>
          <w:i w:val="0"/>
          <w:color w:val="auto"/>
          <w:sz w:val="24"/>
          <w:szCs w:val="24"/>
          <w:lang w:val="en-GB"/>
        </w:rPr>
      </w:pPr>
      <w:r w:rsidRPr="00135C74">
        <w:rPr>
          <w:rFonts w:ascii="Times New Roman" w:hAnsi="Times New Roman" w:cs="Times New Roman"/>
          <w:b/>
          <w:i w:val="0"/>
          <w:color w:val="auto"/>
          <w:sz w:val="24"/>
          <w:szCs w:val="24"/>
          <w:lang w:val="en-GB"/>
        </w:rPr>
        <w:t xml:space="preserve">Table </w:t>
      </w:r>
      <w:r w:rsidR="00950C6A" w:rsidRPr="00135C74">
        <w:rPr>
          <w:rFonts w:ascii="Times New Roman" w:hAnsi="Times New Roman" w:cs="Times New Roman"/>
          <w:b/>
          <w:i w:val="0"/>
          <w:sz w:val="24"/>
          <w:szCs w:val="24"/>
          <w:lang w:val="en-GB"/>
        </w:rPr>
        <w:fldChar w:fldCharType="begin"/>
      </w:r>
      <w:r w:rsidR="00950C6A" w:rsidRPr="00135C74">
        <w:rPr>
          <w:rFonts w:ascii="Times New Roman" w:hAnsi="Times New Roman" w:cs="Times New Roman"/>
          <w:b/>
          <w:i w:val="0"/>
          <w:color w:val="auto"/>
          <w:sz w:val="24"/>
          <w:szCs w:val="24"/>
          <w:lang w:val="en-GB"/>
        </w:rPr>
        <w:instrText xml:space="preserve"> SEQ Table \* ARABIC </w:instrText>
      </w:r>
      <w:r w:rsidR="00950C6A" w:rsidRPr="00135C74">
        <w:rPr>
          <w:rFonts w:ascii="Times New Roman" w:hAnsi="Times New Roman" w:cs="Times New Roman"/>
          <w:b/>
          <w:i w:val="0"/>
          <w:sz w:val="24"/>
          <w:szCs w:val="24"/>
          <w:lang w:val="en-GB"/>
        </w:rPr>
        <w:fldChar w:fldCharType="separate"/>
      </w:r>
      <w:r w:rsidR="002D53BD" w:rsidRPr="00135C74">
        <w:rPr>
          <w:rFonts w:ascii="Times New Roman" w:hAnsi="Times New Roman" w:cs="Times New Roman"/>
          <w:b/>
          <w:i w:val="0"/>
          <w:color w:val="auto"/>
          <w:sz w:val="24"/>
          <w:szCs w:val="24"/>
          <w:lang w:val="en-GB"/>
        </w:rPr>
        <w:t>2</w:t>
      </w:r>
      <w:r w:rsidR="00950C6A" w:rsidRPr="00135C74">
        <w:rPr>
          <w:rFonts w:ascii="Times New Roman" w:hAnsi="Times New Roman" w:cs="Times New Roman"/>
          <w:b/>
          <w:i w:val="0"/>
          <w:sz w:val="24"/>
          <w:szCs w:val="24"/>
          <w:lang w:val="en-GB"/>
        </w:rPr>
        <w:fldChar w:fldCharType="end"/>
      </w:r>
      <w:r w:rsidRPr="00135C74">
        <w:rPr>
          <w:rFonts w:ascii="Times New Roman" w:hAnsi="Times New Roman" w:cs="Times New Roman"/>
          <w:b/>
          <w:i w:val="0"/>
          <w:color w:val="auto"/>
          <w:sz w:val="24"/>
          <w:szCs w:val="24"/>
          <w:lang w:val="en-GB"/>
        </w:rPr>
        <w:t>.</w:t>
      </w:r>
      <w:r w:rsidR="00BA08C3" w:rsidRPr="00135C74">
        <w:rPr>
          <w:rFonts w:ascii="Times New Roman" w:hAnsi="Times New Roman" w:cs="Times New Roman"/>
          <w:b/>
          <w:i w:val="0"/>
          <w:color w:val="auto"/>
          <w:sz w:val="24"/>
          <w:szCs w:val="24"/>
          <w:lang w:val="en-GB"/>
        </w:rPr>
        <w:t xml:space="preserve"> </w:t>
      </w:r>
      <w:r w:rsidR="009559FE" w:rsidRPr="00135C74">
        <w:rPr>
          <w:rFonts w:ascii="Times New Roman" w:hAnsi="Times New Roman" w:cs="Times New Roman"/>
          <w:i w:val="0"/>
          <w:color w:val="auto"/>
          <w:sz w:val="24"/>
          <w:szCs w:val="24"/>
          <w:lang w:val="en-GB"/>
        </w:rPr>
        <w:t>Zero-</w:t>
      </w:r>
      <w:r w:rsidR="00CE7DA5" w:rsidRPr="00135C74">
        <w:rPr>
          <w:rFonts w:ascii="Times New Roman" w:hAnsi="Times New Roman" w:cs="Times New Roman"/>
          <w:i w:val="0"/>
          <w:color w:val="auto"/>
          <w:sz w:val="24"/>
          <w:szCs w:val="24"/>
          <w:lang w:val="en-GB"/>
        </w:rPr>
        <w:t xml:space="preserve">order correlations and adjusted correlations of </w:t>
      </w:r>
      <w:r w:rsidR="00181DC3">
        <w:rPr>
          <w:rFonts w:ascii="Times New Roman" w:hAnsi="Times New Roman" w:cs="Times New Roman"/>
          <w:i w:val="0"/>
          <w:color w:val="auto"/>
          <w:sz w:val="24"/>
          <w:szCs w:val="24"/>
          <w:lang w:val="en-GB"/>
        </w:rPr>
        <w:t xml:space="preserve">the </w:t>
      </w:r>
      <w:r w:rsidR="00CE7DA5" w:rsidRPr="00135C74">
        <w:rPr>
          <w:rFonts w:ascii="Times New Roman" w:hAnsi="Times New Roman" w:cs="Times New Roman"/>
          <w:i w:val="0"/>
          <w:color w:val="auto"/>
          <w:sz w:val="24"/>
          <w:szCs w:val="24"/>
          <w:lang w:val="en-GB"/>
        </w:rPr>
        <w:t>major variables</w:t>
      </w:r>
    </w:p>
    <w:p w14:paraId="46DFDEAF" w14:textId="1FE3E484" w:rsidR="00BF3A0D" w:rsidRPr="00135C74" w:rsidRDefault="003F78BE" w:rsidP="00705F74">
      <w:pPr>
        <w:spacing w:line="480" w:lineRule="auto"/>
        <w:rPr>
          <w:i/>
          <w:lang w:eastAsia="fi-FI"/>
        </w:rPr>
      </w:pPr>
      <w:r w:rsidRPr="00135C74">
        <w:rPr>
          <w:i/>
          <w:lang w:eastAsia="fi-FI"/>
        </w:rPr>
        <w:t>&lt;Insert Table 2 approximately here&gt;</w:t>
      </w:r>
    </w:p>
    <w:p w14:paraId="4C4113EF" w14:textId="77777777" w:rsidR="00457642" w:rsidRPr="00135C74" w:rsidRDefault="00457642" w:rsidP="00C339D3">
      <w:pPr>
        <w:spacing w:line="480" w:lineRule="auto"/>
        <w:jc w:val="both"/>
      </w:pPr>
    </w:p>
    <w:p w14:paraId="2B3A61E4" w14:textId="01B8BD6E" w:rsidR="00C339D3" w:rsidRPr="00135C74" w:rsidRDefault="00181DC3" w:rsidP="00C339D3">
      <w:pPr>
        <w:spacing w:line="480" w:lineRule="auto"/>
        <w:jc w:val="both"/>
      </w:pPr>
      <w:r>
        <w:lastRenderedPageBreak/>
        <w:t>To</w:t>
      </w:r>
      <w:r w:rsidR="001226C7">
        <w:t xml:space="preserve"> </w:t>
      </w:r>
      <w:r w:rsidR="003F78BE" w:rsidRPr="00135C74">
        <w:t>address potential endogeneity of the exogenous variables in our model</w:t>
      </w:r>
      <w:r w:rsidR="00B4370D">
        <w:t>,</w:t>
      </w:r>
      <w:r w:rsidR="003F78BE" w:rsidRPr="00135C74">
        <w:t xml:space="preserve"> we performed </w:t>
      </w:r>
      <w:r w:rsidR="00CB0980" w:rsidRPr="00135C74">
        <w:t xml:space="preserve">a </w:t>
      </w:r>
      <w:r w:rsidR="003F78BE" w:rsidRPr="00135C74">
        <w:t xml:space="preserve">Durbin-Wu-Hausman test (see Lu </w:t>
      </w:r>
      <w:r w:rsidR="003F78BE" w:rsidRPr="00135C74">
        <w:rPr>
          <w:i/>
        </w:rPr>
        <w:t>et al</w:t>
      </w:r>
      <w:r w:rsidR="003F78BE" w:rsidRPr="00135C74">
        <w:t xml:space="preserve">., 2018) with </w:t>
      </w:r>
      <w:r w:rsidR="001226C7">
        <w:t xml:space="preserve">the </w:t>
      </w:r>
      <w:r w:rsidR="003F78BE" w:rsidRPr="00135C74">
        <w:t>work experience of the respondent as an instrumental variable. The parameter estimates for the residuals were non</w:t>
      </w:r>
      <w:r w:rsidR="00077142">
        <w:t>significant</w:t>
      </w:r>
      <w:r w:rsidR="003F78BE" w:rsidRPr="00135C74">
        <w:t xml:space="preserve">, supporting the assumption of exogeneity. </w:t>
      </w:r>
      <w:r w:rsidR="000431C9" w:rsidRPr="00135C74">
        <w:t xml:space="preserve">Finally, we conducted Little’s MCAR test. </w:t>
      </w:r>
      <w:r w:rsidR="007513BD">
        <w:t>Based on</w:t>
      </w:r>
      <w:r w:rsidR="000431C9" w:rsidRPr="00135C74">
        <w:t xml:space="preserve"> the results, the missing values in the data </w:t>
      </w:r>
      <w:r w:rsidR="007513BD">
        <w:t>we</w:t>
      </w:r>
      <w:r w:rsidR="007513BD" w:rsidRPr="00135C74">
        <w:t xml:space="preserve">re </w:t>
      </w:r>
      <w:r w:rsidR="000431C9" w:rsidRPr="00135C74">
        <w:t>missing completely at random (χ</w:t>
      </w:r>
      <w:r w:rsidR="000431C9" w:rsidRPr="00135C74">
        <w:rPr>
          <w:vertAlign w:val="superscript"/>
        </w:rPr>
        <w:t>2</w:t>
      </w:r>
      <w:r w:rsidR="000431C9" w:rsidRPr="00135C74">
        <w:t> = 248.844, df = 224, p = 0.122).</w:t>
      </w:r>
    </w:p>
    <w:p w14:paraId="77A693AF" w14:textId="77777777" w:rsidR="00457642" w:rsidRPr="00135C74" w:rsidRDefault="00457642" w:rsidP="008367E9">
      <w:pPr>
        <w:pStyle w:val="ListParagraph"/>
        <w:spacing w:line="480" w:lineRule="auto"/>
        <w:ind w:left="360"/>
        <w:rPr>
          <w:rFonts w:ascii="Times New Roman" w:hAnsi="Times New Roman" w:cs="Times New Roman"/>
          <w:b/>
          <w:color w:val="000000" w:themeColor="text1"/>
          <w:sz w:val="24"/>
          <w:szCs w:val="24"/>
          <w:lang w:val="en-GB"/>
        </w:rPr>
      </w:pPr>
    </w:p>
    <w:p w14:paraId="7578854F" w14:textId="03D608ED" w:rsidR="002C53EA" w:rsidRPr="00135C74" w:rsidRDefault="002C53EA" w:rsidP="002C53EA">
      <w:pPr>
        <w:pStyle w:val="ListParagraph"/>
        <w:numPr>
          <w:ilvl w:val="0"/>
          <w:numId w:val="7"/>
        </w:numPr>
        <w:spacing w:line="480" w:lineRule="auto"/>
        <w:rPr>
          <w:rFonts w:ascii="Times New Roman" w:hAnsi="Times New Roman" w:cs="Times New Roman"/>
          <w:b/>
          <w:color w:val="000000" w:themeColor="text1"/>
          <w:sz w:val="24"/>
          <w:szCs w:val="24"/>
          <w:lang w:val="en-GB"/>
        </w:rPr>
      </w:pPr>
      <w:r w:rsidRPr="00135C74">
        <w:rPr>
          <w:rFonts w:ascii="Times New Roman" w:hAnsi="Times New Roman" w:cs="Times New Roman"/>
          <w:b/>
          <w:color w:val="000000" w:themeColor="text1"/>
          <w:sz w:val="24"/>
          <w:szCs w:val="24"/>
          <w:lang w:val="en-GB"/>
        </w:rPr>
        <w:t>Analysis and results</w:t>
      </w:r>
    </w:p>
    <w:p w14:paraId="4521208C" w14:textId="1BF7F02E" w:rsidR="004E7BDD" w:rsidRPr="00135C74" w:rsidRDefault="004E7BDD" w:rsidP="00061E6E">
      <w:pPr>
        <w:pStyle w:val="ListParagraph"/>
        <w:numPr>
          <w:ilvl w:val="1"/>
          <w:numId w:val="7"/>
        </w:numPr>
        <w:spacing w:line="480" w:lineRule="auto"/>
        <w:jc w:val="both"/>
        <w:rPr>
          <w:rFonts w:ascii="Times New Roman" w:hAnsi="Times New Roman" w:cs="Times New Roman"/>
          <w:i/>
          <w:sz w:val="24"/>
          <w:szCs w:val="24"/>
          <w:lang w:val="en-GB"/>
        </w:rPr>
      </w:pPr>
      <w:r w:rsidRPr="00135C74">
        <w:rPr>
          <w:rFonts w:ascii="Times New Roman" w:hAnsi="Times New Roman" w:cs="Times New Roman"/>
          <w:i/>
          <w:sz w:val="24"/>
          <w:szCs w:val="24"/>
          <w:lang w:val="en-GB"/>
        </w:rPr>
        <w:t>Descriptive results</w:t>
      </w:r>
      <w:r w:rsidR="000822C3" w:rsidRPr="00135C74">
        <w:rPr>
          <w:rFonts w:ascii="Times New Roman" w:hAnsi="Times New Roman" w:cs="Times New Roman"/>
          <w:i/>
          <w:sz w:val="24"/>
          <w:szCs w:val="24"/>
          <w:lang w:val="en-GB"/>
        </w:rPr>
        <w:t xml:space="preserve"> for evaluating </w:t>
      </w:r>
      <w:r w:rsidR="00626AAC">
        <w:rPr>
          <w:rFonts w:ascii="Times New Roman" w:hAnsi="Times New Roman" w:cs="Times New Roman"/>
          <w:i/>
          <w:sz w:val="24"/>
          <w:szCs w:val="24"/>
          <w:lang w:val="en-GB"/>
        </w:rPr>
        <w:t xml:space="preserve">the </w:t>
      </w:r>
      <w:r w:rsidR="000822C3" w:rsidRPr="00135C74">
        <w:rPr>
          <w:rFonts w:ascii="Times New Roman" w:hAnsi="Times New Roman" w:cs="Times New Roman"/>
          <w:i/>
          <w:sz w:val="24"/>
          <w:szCs w:val="24"/>
          <w:lang w:val="en-GB"/>
        </w:rPr>
        <w:t>underlying assumptions</w:t>
      </w:r>
    </w:p>
    <w:p w14:paraId="5B5F34A1" w14:textId="67AD1DBA" w:rsidR="0005160E" w:rsidRPr="00135C74" w:rsidRDefault="0005160E" w:rsidP="00061E6E">
      <w:pPr>
        <w:pStyle w:val="ListParagraph"/>
        <w:spacing w:line="480" w:lineRule="auto"/>
        <w:ind w:left="0"/>
        <w:jc w:val="both"/>
        <w:rPr>
          <w:rFonts w:ascii="Times New Roman" w:hAnsi="Times New Roman" w:cs="Times New Roman"/>
          <w:sz w:val="24"/>
          <w:szCs w:val="24"/>
          <w:lang w:val="en-GB"/>
        </w:rPr>
      </w:pPr>
      <w:r w:rsidRPr="00135C74">
        <w:rPr>
          <w:rFonts w:ascii="Times New Roman" w:hAnsi="Times New Roman" w:cs="Times New Roman"/>
          <w:sz w:val="24"/>
          <w:szCs w:val="24"/>
          <w:lang w:val="en-GB"/>
        </w:rPr>
        <w:t>To characteri</w:t>
      </w:r>
      <w:r w:rsidR="001870C5">
        <w:rPr>
          <w:rFonts w:ascii="Times New Roman" w:hAnsi="Times New Roman" w:cs="Times New Roman"/>
          <w:sz w:val="24"/>
          <w:szCs w:val="24"/>
          <w:lang w:val="en-GB"/>
        </w:rPr>
        <w:t>s</w:t>
      </w:r>
      <w:r w:rsidRPr="00135C74">
        <w:rPr>
          <w:rFonts w:ascii="Times New Roman" w:hAnsi="Times New Roman" w:cs="Times New Roman"/>
          <w:sz w:val="24"/>
          <w:szCs w:val="24"/>
          <w:lang w:val="en-GB"/>
        </w:rPr>
        <w:t xml:space="preserve">e the sample </w:t>
      </w:r>
      <w:r w:rsidR="009553AD" w:rsidRPr="00135C74">
        <w:rPr>
          <w:rFonts w:ascii="Times New Roman" w:hAnsi="Times New Roman" w:cs="Times New Roman"/>
          <w:sz w:val="24"/>
          <w:szCs w:val="24"/>
          <w:lang w:val="en-GB"/>
        </w:rPr>
        <w:t>in terms of balancing the attentional selection constructs among the respondents</w:t>
      </w:r>
      <w:r w:rsidR="00626AAC">
        <w:rPr>
          <w:rFonts w:ascii="Times New Roman" w:hAnsi="Times New Roman" w:cs="Times New Roman"/>
          <w:sz w:val="24"/>
          <w:szCs w:val="24"/>
          <w:lang w:val="en-GB"/>
        </w:rPr>
        <w:t>—</w:t>
      </w:r>
      <w:r w:rsidR="000822C3" w:rsidRPr="00135C74">
        <w:rPr>
          <w:rFonts w:ascii="Times New Roman" w:hAnsi="Times New Roman" w:cs="Times New Roman"/>
          <w:sz w:val="24"/>
          <w:szCs w:val="24"/>
          <w:lang w:val="en-GB"/>
        </w:rPr>
        <w:t>thus addressing</w:t>
      </w:r>
      <w:r w:rsidR="00AD34E6" w:rsidRPr="00135C74">
        <w:rPr>
          <w:rFonts w:ascii="Times New Roman" w:hAnsi="Times New Roman" w:cs="Times New Roman"/>
          <w:sz w:val="24"/>
          <w:szCs w:val="24"/>
          <w:lang w:val="en-GB"/>
        </w:rPr>
        <w:t xml:space="preserve"> A</w:t>
      </w:r>
      <w:r w:rsidR="000822C3" w:rsidRPr="00135C74">
        <w:rPr>
          <w:rFonts w:ascii="Times New Roman" w:hAnsi="Times New Roman" w:cs="Times New Roman"/>
          <w:sz w:val="24"/>
          <w:szCs w:val="24"/>
          <w:lang w:val="en-GB"/>
        </w:rPr>
        <w:t>ssumptions 1 and 2</w:t>
      </w:r>
      <w:r w:rsidR="00626AAC">
        <w:rPr>
          <w:rFonts w:ascii="Times New Roman" w:hAnsi="Times New Roman" w:cs="Times New Roman"/>
          <w:sz w:val="24"/>
          <w:szCs w:val="24"/>
          <w:lang w:val="en-GB"/>
        </w:rPr>
        <w:t>—</w:t>
      </w:r>
      <w:r w:rsidRPr="00135C74">
        <w:rPr>
          <w:rFonts w:ascii="Times New Roman" w:hAnsi="Times New Roman" w:cs="Times New Roman"/>
          <w:sz w:val="24"/>
          <w:szCs w:val="24"/>
          <w:lang w:val="en-GB"/>
        </w:rPr>
        <w:t xml:space="preserve">we divided </w:t>
      </w:r>
      <w:r w:rsidR="009C6FEC" w:rsidRPr="00135C74">
        <w:rPr>
          <w:rFonts w:ascii="Times New Roman" w:hAnsi="Times New Roman" w:cs="Times New Roman"/>
          <w:sz w:val="24"/>
          <w:szCs w:val="24"/>
          <w:lang w:val="en-GB"/>
        </w:rPr>
        <w:t xml:space="preserve">the </w:t>
      </w:r>
      <w:r w:rsidRPr="00135C74">
        <w:rPr>
          <w:rFonts w:ascii="Times New Roman" w:hAnsi="Times New Roman" w:cs="Times New Roman"/>
          <w:sz w:val="24"/>
          <w:szCs w:val="24"/>
          <w:lang w:val="en-GB"/>
        </w:rPr>
        <w:t>IMBALANCE variable into three categories: Top-down dominant (i.e.</w:t>
      </w:r>
      <w:r w:rsidR="00626AAC">
        <w:rPr>
          <w:rFonts w:ascii="Times New Roman" w:hAnsi="Times New Roman" w:cs="Times New Roman"/>
          <w:sz w:val="24"/>
          <w:szCs w:val="24"/>
          <w:lang w:val="en-GB"/>
        </w:rPr>
        <w:t>,</w:t>
      </w:r>
      <w:r w:rsidRPr="00135C74">
        <w:rPr>
          <w:rFonts w:ascii="Times New Roman" w:hAnsi="Times New Roman" w:cs="Times New Roman"/>
          <w:sz w:val="24"/>
          <w:szCs w:val="24"/>
          <w:lang w:val="en-GB"/>
        </w:rPr>
        <w:t xml:space="preserve"> TOP</w:t>
      </w:r>
      <w:r w:rsidR="00A563EF">
        <w:rPr>
          <w:rFonts w:ascii="Times New Roman" w:hAnsi="Times New Roman" w:cs="Times New Roman"/>
          <w:sz w:val="24"/>
          <w:szCs w:val="24"/>
          <w:lang w:val="en-GB"/>
        </w:rPr>
        <w:t xml:space="preserve"> </w:t>
      </w:r>
      <w:r w:rsidRPr="00135C74">
        <w:rPr>
          <w:rFonts w:ascii="Times New Roman" w:hAnsi="Times New Roman" w:cs="Times New Roman"/>
          <w:sz w:val="24"/>
          <w:szCs w:val="24"/>
          <w:lang w:val="en-GB"/>
        </w:rPr>
        <w:t>DOWN &gt; BOTTOM</w:t>
      </w:r>
      <w:r w:rsidR="00A563EF">
        <w:rPr>
          <w:rFonts w:ascii="Times New Roman" w:hAnsi="Times New Roman" w:cs="Times New Roman"/>
          <w:sz w:val="24"/>
          <w:szCs w:val="24"/>
          <w:lang w:val="en-GB"/>
        </w:rPr>
        <w:t xml:space="preserve"> </w:t>
      </w:r>
      <w:r w:rsidRPr="00135C74">
        <w:rPr>
          <w:rFonts w:ascii="Times New Roman" w:hAnsi="Times New Roman" w:cs="Times New Roman"/>
          <w:sz w:val="24"/>
          <w:szCs w:val="24"/>
          <w:lang w:val="en-GB"/>
        </w:rPr>
        <w:t>UP), Bottom-up dominant (i.e.</w:t>
      </w:r>
      <w:r w:rsidR="00626AAC">
        <w:rPr>
          <w:rFonts w:ascii="Times New Roman" w:hAnsi="Times New Roman" w:cs="Times New Roman"/>
          <w:sz w:val="24"/>
          <w:szCs w:val="24"/>
          <w:lang w:val="en-GB"/>
        </w:rPr>
        <w:t>,</w:t>
      </w:r>
      <w:r w:rsidRPr="00135C74">
        <w:rPr>
          <w:rFonts w:ascii="Times New Roman" w:hAnsi="Times New Roman" w:cs="Times New Roman"/>
          <w:sz w:val="24"/>
          <w:szCs w:val="24"/>
          <w:lang w:val="en-GB"/>
        </w:rPr>
        <w:t xml:space="preserve"> BOTTOM</w:t>
      </w:r>
      <w:r w:rsidR="00A563EF">
        <w:rPr>
          <w:rFonts w:ascii="Times New Roman" w:hAnsi="Times New Roman" w:cs="Times New Roman"/>
          <w:sz w:val="24"/>
          <w:szCs w:val="24"/>
          <w:lang w:val="en-GB"/>
        </w:rPr>
        <w:t xml:space="preserve"> </w:t>
      </w:r>
      <w:r w:rsidRPr="00135C74">
        <w:rPr>
          <w:rFonts w:ascii="Times New Roman" w:hAnsi="Times New Roman" w:cs="Times New Roman"/>
          <w:sz w:val="24"/>
          <w:szCs w:val="24"/>
          <w:lang w:val="en-GB"/>
        </w:rPr>
        <w:t>UP &gt; TOP</w:t>
      </w:r>
      <w:r w:rsidR="00A563EF">
        <w:rPr>
          <w:rFonts w:ascii="Times New Roman" w:hAnsi="Times New Roman" w:cs="Times New Roman"/>
          <w:sz w:val="24"/>
          <w:szCs w:val="24"/>
          <w:lang w:val="en-GB"/>
        </w:rPr>
        <w:t xml:space="preserve"> </w:t>
      </w:r>
      <w:r w:rsidRPr="00135C74">
        <w:rPr>
          <w:rFonts w:ascii="Times New Roman" w:hAnsi="Times New Roman" w:cs="Times New Roman"/>
          <w:sz w:val="24"/>
          <w:szCs w:val="24"/>
          <w:lang w:val="en-GB"/>
        </w:rPr>
        <w:t>DOWN) and Balanced (i.e.</w:t>
      </w:r>
      <w:r w:rsidR="00626AAC">
        <w:rPr>
          <w:rFonts w:ascii="Times New Roman" w:hAnsi="Times New Roman" w:cs="Times New Roman"/>
          <w:sz w:val="24"/>
          <w:szCs w:val="24"/>
          <w:lang w:val="en-GB"/>
        </w:rPr>
        <w:t>,</w:t>
      </w:r>
      <w:r w:rsidRPr="00135C74">
        <w:rPr>
          <w:rFonts w:ascii="Times New Roman" w:hAnsi="Times New Roman" w:cs="Times New Roman"/>
          <w:sz w:val="24"/>
          <w:szCs w:val="24"/>
          <w:lang w:val="en-GB"/>
        </w:rPr>
        <w:t xml:space="preserve"> -0.25 ≤ [TOP</w:t>
      </w:r>
      <w:r w:rsidR="00A563EF">
        <w:rPr>
          <w:rFonts w:ascii="Times New Roman" w:hAnsi="Times New Roman" w:cs="Times New Roman"/>
          <w:sz w:val="24"/>
          <w:szCs w:val="24"/>
          <w:lang w:val="en-GB"/>
        </w:rPr>
        <w:t xml:space="preserve"> </w:t>
      </w:r>
      <w:r w:rsidRPr="00135C74">
        <w:rPr>
          <w:rFonts w:ascii="Times New Roman" w:hAnsi="Times New Roman" w:cs="Times New Roman"/>
          <w:sz w:val="24"/>
          <w:szCs w:val="24"/>
          <w:lang w:val="en-GB"/>
        </w:rPr>
        <w:t>DOWN – BOTTOM</w:t>
      </w:r>
      <w:r w:rsidR="00A563EF">
        <w:rPr>
          <w:rFonts w:ascii="Times New Roman" w:hAnsi="Times New Roman" w:cs="Times New Roman"/>
          <w:sz w:val="24"/>
          <w:szCs w:val="24"/>
          <w:lang w:val="en-GB"/>
        </w:rPr>
        <w:t xml:space="preserve"> </w:t>
      </w:r>
      <w:r w:rsidRPr="00135C74">
        <w:rPr>
          <w:rFonts w:ascii="Times New Roman" w:hAnsi="Times New Roman" w:cs="Times New Roman"/>
          <w:sz w:val="24"/>
          <w:szCs w:val="24"/>
          <w:lang w:val="en-GB"/>
        </w:rPr>
        <w:t xml:space="preserve">UP] ≤ 0.25). </w:t>
      </w:r>
      <w:r w:rsidR="00626AAC">
        <w:rPr>
          <w:rFonts w:ascii="Times New Roman" w:hAnsi="Times New Roman" w:cs="Times New Roman"/>
          <w:sz w:val="24"/>
          <w:szCs w:val="24"/>
          <w:lang w:val="en-GB"/>
        </w:rPr>
        <w:t xml:space="preserve">Here, </w:t>
      </w:r>
      <w:r w:rsidRPr="00135C74">
        <w:rPr>
          <w:rFonts w:ascii="Times New Roman" w:hAnsi="Times New Roman" w:cs="Times New Roman"/>
          <w:sz w:val="24"/>
          <w:szCs w:val="24"/>
          <w:lang w:val="en-GB"/>
        </w:rPr>
        <w:t xml:space="preserve">42% of </w:t>
      </w:r>
      <w:r w:rsidR="00626AAC">
        <w:rPr>
          <w:rFonts w:ascii="Times New Roman" w:hAnsi="Times New Roman" w:cs="Times New Roman"/>
          <w:sz w:val="24"/>
          <w:szCs w:val="24"/>
          <w:lang w:val="en-GB"/>
        </w:rPr>
        <w:t xml:space="preserve">the </w:t>
      </w:r>
      <w:r w:rsidRPr="00135C74">
        <w:rPr>
          <w:rFonts w:ascii="Times New Roman" w:hAnsi="Times New Roman" w:cs="Times New Roman"/>
          <w:sz w:val="24"/>
          <w:szCs w:val="24"/>
          <w:lang w:val="en-GB"/>
        </w:rPr>
        <w:t>respondents were top-down dominant, 30% were bottom-up dominant</w:t>
      </w:r>
      <w:r w:rsidR="00B4370D">
        <w:rPr>
          <w:rFonts w:ascii="Times New Roman" w:hAnsi="Times New Roman" w:cs="Times New Roman"/>
          <w:sz w:val="24"/>
          <w:szCs w:val="24"/>
          <w:lang w:val="en-GB"/>
        </w:rPr>
        <w:t>,</w:t>
      </w:r>
      <w:r w:rsidRPr="00135C74">
        <w:rPr>
          <w:rFonts w:ascii="Times New Roman" w:hAnsi="Times New Roman" w:cs="Times New Roman"/>
          <w:sz w:val="24"/>
          <w:szCs w:val="24"/>
          <w:lang w:val="en-GB"/>
        </w:rPr>
        <w:t xml:space="preserve"> and 28% were balanced</w:t>
      </w:r>
      <w:r w:rsidR="002D53BD" w:rsidRPr="00135C74">
        <w:rPr>
          <w:rFonts w:ascii="Times New Roman" w:hAnsi="Times New Roman" w:cs="Times New Roman"/>
          <w:sz w:val="24"/>
          <w:szCs w:val="24"/>
          <w:lang w:val="en-GB"/>
        </w:rPr>
        <w:t xml:space="preserve"> (Table 3)</w:t>
      </w:r>
      <w:r w:rsidRPr="00135C74">
        <w:rPr>
          <w:rFonts w:ascii="Times New Roman" w:hAnsi="Times New Roman" w:cs="Times New Roman"/>
          <w:sz w:val="24"/>
          <w:szCs w:val="24"/>
          <w:lang w:val="en-GB"/>
        </w:rPr>
        <w:t xml:space="preserve">. </w:t>
      </w:r>
    </w:p>
    <w:p w14:paraId="764E8567" w14:textId="77777777" w:rsidR="00D626BC" w:rsidRPr="00135C74" w:rsidRDefault="00D626BC" w:rsidP="00061E6E">
      <w:pPr>
        <w:pStyle w:val="Caption"/>
        <w:keepNext/>
        <w:spacing w:line="480" w:lineRule="auto"/>
        <w:rPr>
          <w:rFonts w:ascii="Times New Roman" w:hAnsi="Times New Roman" w:cs="Times New Roman"/>
          <w:b/>
          <w:i w:val="0"/>
          <w:color w:val="auto"/>
          <w:sz w:val="24"/>
          <w:szCs w:val="24"/>
          <w:lang w:val="en-GB"/>
        </w:rPr>
      </w:pPr>
    </w:p>
    <w:p w14:paraId="3EDC0E10" w14:textId="731FBFAD" w:rsidR="002D53BD" w:rsidRPr="00135C74" w:rsidRDefault="002D53BD" w:rsidP="00061E6E">
      <w:pPr>
        <w:pStyle w:val="Caption"/>
        <w:keepNext/>
        <w:spacing w:line="480" w:lineRule="auto"/>
        <w:rPr>
          <w:rFonts w:ascii="Times New Roman" w:hAnsi="Times New Roman" w:cs="Times New Roman"/>
          <w:i w:val="0"/>
          <w:color w:val="auto"/>
          <w:sz w:val="24"/>
          <w:szCs w:val="24"/>
          <w:lang w:val="en-GB"/>
        </w:rPr>
      </w:pPr>
      <w:r w:rsidRPr="00135C74">
        <w:rPr>
          <w:rFonts w:ascii="Times New Roman" w:hAnsi="Times New Roman" w:cs="Times New Roman"/>
          <w:b/>
          <w:i w:val="0"/>
          <w:color w:val="auto"/>
          <w:sz w:val="24"/>
          <w:szCs w:val="24"/>
          <w:lang w:val="en-GB"/>
        </w:rPr>
        <w:t xml:space="preserve">Table </w:t>
      </w:r>
      <w:r w:rsidRPr="00135C74">
        <w:rPr>
          <w:rFonts w:ascii="Times New Roman" w:hAnsi="Times New Roman" w:cs="Times New Roman"/>
          <w:b/>
          <w:i w:val="0"/>
          <w:color w:val="auto"/>
          <w:sz w:val="24"/>
          <w:szCs w:val="24"/>
          <w:lang w:val="en-GB"/>
        </w:rPr>
        <w:fldChar w:fldCharType="begin"/>
      </w:r>
      <w:r w:rsidRPr="00135C74">
        <w:rPr>
          <w:rFonts w:ascii="Times New Roman" w:hAnsi="Times New Roman" w:cs="Times New Roman"/>
          <w:b/>
          <w:i w:val="0"/>
          <w:color w:val="auto"/>
          <w:sz w:val="24"/>
          <w:szCs w:val="24"/>
          <w:lang w:val="en-GB"/>
        </w:rPr>
        <w:instrText xml:space="preserve"> SEQ Table \* ARABIC </w:instrText>
      </w:r>
      <w:r w:rsidRPr="00135C74">
        <w:rPr>
          <w:rFonts w:ascii="Times New Roman" w:hAnsi="Times New Roman" w:cs="Times New Roman"/>
          <w:b/>
          <w:i w:val="0"/>
          <w:color w:val="auto"/>
          <w:sz w:val="24"/>
          <w:szCs w:val="24"/>
          <w:lang w:val="en-GB"/>
        </w:rPr>
        <w:fldChar w:fldCharType="separate"/>
      </w:r>
      <w:r w:rsidRPr="00135C74">
        <w:rPr>
          <w:rFonts w:ascii="Times New Roman" w:hAnsi="Times New Roman" w:cs="Times New Roman"/>
          <w:b/>
          <w:i w:val="0"/>
          <w:color w:val="auto"/>
          <w:sz w:val="24"/>
          <w:szCs w:val="24"/>
          <w:lang w:val="en-GB"/>
        </w:rPr>
        <w:t>3</w:t>
      </w:r>
      <w:r w:rsidRPr="00135C74">
        <w:rPr>
          <w:rFonts w:ascii="Times New Roman" w:hAnsi="Times New Roman" w:cs="Times New Roman"/>
          <w:b/>
          <w:i w:val="0"/>
          <w:color w:val="auto"/>
          <w:sz w:val="24"/>
          <w:szCs w:val="24"/>
          <w:lang w:val="en-GB"/>
        </w:rPr>
        <w:fldChar w:fldCharType="end"/>
      </w:r>
      <w:r w:rsidRPr="00135C74">
        <w:rPr>
          <w:rFonts w:ascii="Times New Roman" w:hAnsi="Times New Roman" w:cs="Times New Roman"/>
          <w:b/>
          <w:i w:val="0"/>
          <w:color w:val="auto"/>
          <w:sz w:val="24"/>
          <w:szCs w:val="24"/>
          <w:lang w:val="en-GB"/>
        </w:rPr>
        <w:tab/>
      </w:r>
      <w:r w:rsidRPr="00135C74">
        <w:rPr>
          <w:rFonts w:ascii="Times New Roman" w:hAnsi="Times New Roman" w:cs="Times New Roman"/>
          <w:i w:val="0"/>
          <w:color w:val="auto"/>
          <w:sz w:val="24"/>
          <w:szCs w:val="24"/>
          <w:lang w:val="en-GB"/>
        </w:rPr>
        <w:t>Descriptive results</w:t>
      </w:r>
    </w:p>
    <w:p w14:paraId="0D1DE8BC" w14:textId="2DD55816" w:rsidR="002D53BD" w:rsidRPr="00135C74" w:rsidRDefault="002D53BD" w:rsidP="002D53BD">
      <w:pPr>
        <w:spacing w:line="480" w:lineRule="auto"/>
        <w:rPr>
          <w:i/>
          <w:lang w:eastAsia="fi-FI"/>
        </w:rPr>
      </w:pPr>
      <w:r w:rsidRPr="00135C74">
        <w:rPr>
          <w:i/>
          <w:lang w:eastAsia="fi-FI"/>
        </w:rPr>
        <w:t>&lt;Insert Table 3 approximately here&gt;</w:t>
      </w:r>
    </w:p>
    <w:p w14:paraId="240936CD" w14:textId="77777777" w:rsidR="002D53BD" w:rsidRPr="00135C74" w:rsidRDefault="002D53BD" w:rsidP="00061E6E"/>
    <w:p w14:paraId="694ACCDD" w14:textId="5389D905" w:rsidR="002D53BD" w:rsidRPr="00135C74" w:rsidRDefault="002D53BD" w:rsidP="008367E9">
      <w:pPr>
        <w:pStyle w:val="ListParagraph"/>
        <w:spacing w:line="480" w:lineRule="auto"/>
        <w:ind w:left="0"/>
        <w:jc w:val="both"/>
        <w:rPr>
          <w:rFonts w:ascii="Times New Roman" w:hAnsi="Times New Roman" w:cs="Times New Roman"/>
          <w:sz w:val="24"/>
          <w:szCs w:val="24"/>
          <w:lang w:val="en-GB"/>
        </w:rPr>
      </w:pPr>
    </w:p>
    <w:p w14:paraId="5EA4BE5E" w14:textId="41833DBE" w:rsidR="002D53BD" w:rsidRPr="00135C74" w:rsidRDefault="009553AD" w:rsidP="008367E9">
      <w:pPr>
        <w:pStyle w:val="ListParagraph"/>
        <w:spacing w:line="480" w:lineRule="auto"/>
        <w:ind w:left="0"/>
        <w:jc w:val="both"/>
        <w:rPr>
          <w:rFonts w:ascii="Times New Roman" w:hAnsi="Times New Roman" w:cs="Times New Roman"/>
          <w:sz w:val="24"/>
          <w:szCs w:val="24"/>
          <w:lang w:val="en-GB"/>
        </w:rPr>
      </w:pPr>
      <w:r w:rsidRPr="00135C74">
        <w:rPr>
          <w:rFonts w:ascii="Times New Roman" w:hAnsi="Times New Roman" w:cs="Times New Roman"/>
          <w:sz w:val="24"/>
          <w:szCs w:val="24"/>
          <w:lang w:val="en-GB"/>
        </w:rPr>
        <w:t>Within the balanced group, the mean values of TOP</w:t>
      </w:r>
      <w:r w:rsidR="00A563EF">
        <w:rPr>
          <w:rFonts w:ascii="Times New Roman" w:hAnsi="Times New Roman" w:cs="Times New Roman"/>
          <w:sz w:val="24"/>
          <w:szCs w:val="24"/>
          <w:lang w:val="en-GB"/>
        </w:rPr>
        <w:t xml:space="preserve"> </w:t>
      </w:r>
      <w:r w:rsidRPr="00135C74">
        <w:rPr>
          <w:rFonts w:ascii="Times New Roman" w:hAnsi="Times New Roman" w:cs="Times New Roman"/>
          <w:sz w:val="24"/>
          <w:szCs w:val="24"/>
          <w:lang w:val="en-GB"/>
        </w:rPr>
        <w:t>DOWN and BOTTOM</w:t>
      </w:r>
      <w:r w:rsidR="00A563EF">
        <w:rPr>
          <w:rFonts w:ascii="Times New Roman" w:hAnsi="Times New Roman" w:cs="Times New Roman"/>
          <w:sz w:val="24"/>
          <w:szCs w:val="24"/>
          <w:lang w:val="en-GB"/>
        </w:rPr>
        <w:t xml:space="preserve"> </w:t>
      </w:r>
      <w:r w:rsidRPr="00135C74">
        <w:rPr>
          <w:rFonts w:ascii="Times New Roman" w:hAnsi="Times New Roman" w:cs="Times New Roman"/>
          <w:sz w:val="24"/>
          <w:szCs w:val="24"/>
          <w:lang w:val="en-GB"/>
        </w:rPr>
        <w:t xml:space="preserve">UP </w:t>
      </w:r>
      <w:r w:rsidR="00B524DE">
        <w:rPr>
          <w:rFonts w:ascii="Times New Roman" w:hAnsi="Times New Roman" w:cs="Times New Roman"/>
          <w:sz w:val="24"/>
          <w:szCs w:val="24"/>
          <w:lang w:val="en-GB"/>
        </w:rPr>
        <w:t>we</w:t>
      </w:r>
      <w:r w:rsidR="00B524DE" w:rsidRPr="00135C74">
        <w:rPr>
          <w:rFonts w:ascii="Times New Roman" w:hAnsi="Times New Roman" w:cs="Times New Roman"/>
          <w:sz w:val="24"/>
          <w:szCs w:val="24"/>
          <w:lang w:val="en-GB"/>
        </w:rPr>
        <w:t xml:space="preserve">re </w:t>
      </w:r>
      <w:r w:rsidRPr="00135C74">
        <w:rPr>
          <w:rFonts w:ascii="Times New Roman" w:hAnsi="Times New Roman" w:cs="Times New Roman"/>
          <w:sz w:val="24"/>
          <w:szCs w:val="24"/>
          <w:lang w:val="en-GB"/>
        </w:rPr>
        <w:t xml:space="preserve">rather high. </w:t>
      </w:r>
      <w:r w:rsidR="00B524DE">
        <w:rPr>
          <w:rFonts w:ascii="Times New Roman" w:hAnsi="Times New Roman" w:cs="Times New Roman"/>
          <w:sz w:val="24"/>
          <w:szCs w:val="24"/>
          <w:lang w:val="en-GB"/>
        </w:rPr>
        <w:t>Upon</w:t>
      </w:r>
      <w:r w:rsidRPr="00135C74">
        <w:rPr>
          <w:rFonts w:ascii="Times New Roman" w:hAnsi="Times New Roman" w:cs="Times New Roman"/>
          <w:sz w:val="24"/>
          <w:szCs w:val="24"/>
          <w:lang w:val="en-GB"/>
        </w:rPr>
        <w:t xml:space="preserve"> closer inspection of this group, we </w:t>
      </w:r>
      <w:r w:rsidR="00B524DE">
        <w:rPr>
          <w:rFonts w:ascii="Times New Roman" w:hAnsi="Times New Roman" w:cs="Times New Roman"/>
          <w:sz w:val="24"/>
          <w:szCs w:val="24"/>
          <w:lang w:val="en-GB"/>
        </w:rPr>
        <w:t>can</w:t>
      </w:r>
      <w:r w:rsidR="00B524DE" w:rsidRPr="00135C74">
        <w:rPr>
          <w:rFonts w:ascii="Times New Roman" w:hAnsi="Times New Roman" w:cs="Times New Roman"/>
          <w:sz w:val="24"/>
          <w:szCs w:val="24"/>
          <w:lang w:val="en-GB"/>
        </w:rPr>
        <w:t xml:space="preserve"> </w:t>
      </w:r>
      <w:r w:rsidRPr="00135C74">
        <w:rPr>
          <w:rFonts w:ascii="Times New Roman" w:hAnsi="Times New Roman" w:cs="Times New Roman"/>
          <w:sz w:val="24"/>
          <w:szCs w:val="24"/>
          <w:lang w:val="en-GB"/>
        </w:rPr>
        <w:t xml:space="preserve">conclude that our sample </w:t>
      </w:r>
      <w:r w:rsidR="00B524DE" w:rsidRPr="00135C74">
        <w:rPr>
          <w:rFonts w:ascii="Times New Roman" w:hAnsi="Times New Roman" w:cs="Times New Roman"/>
          <w:sz w:val="24"/>
          <w:szCs w:val="24"/>
          <w:lang w:val="en-GB"/>
        </w:rPr>
        <w:t>d</w:t>
      </w:r>
      <w:r w:rsidR="00B524DE">
        <w:rPr>
          <w:rFonts w:ascii="Times New Roman" w:hAnsi="Times New Roman" w:cs="Times New Roman"/>
          <w:sz w:val="24"/>
          <w:szCs w:val="24"/>
          <w:lang w:val="en-GB"/>
        </w:rPr>
        <w:t>id</w:t>
      </w:r>
      <w:r w:rsidR="00B524DE" w:rsidRPr="00135C74">
        <w:rPr>
          <w:rFonts w:ascii="Times New Roman" w:hAnsi="Times New Roman" w:cs="Times New Roman"/>
          <w:sz w:val="24"/>
          <w:szCs w:val="24"/>
          <w:lang w:val="en-GB"/>
        </w:rPr>
        <w:t xml:space="preserve"> </w:t>
      </w:r>
      <w:r w:rsidRPr="00135C74">
        <w:rPr>
          <w:rFonts w:ascii="Times New Roman" w:hAnsi="Times New Roman" w:cs="Times New Roman"/>
          <w:sz w:val="24"/>
          <w:szCs w:val="24"/>
          <w:lang w:val="en-GB"/>
        </w:rPr>
        <w:t>not include cases where both TOP</w:t>
      </w:r>
      <w:r w:rsidR="00A563EF">
        <w:rPr>
          <w:rFonts w:ascii="Times New Roman" w:hAnsi="Times New Roman" w:cs="Times New Roman"/>
          <w:sz w:val="24"/>
          <w:szCs w:val="24"/>
          <w:lang w:val="en-GB"/>
        </w:rPr>
        <w:t xml:space="preserve"> </w:t>
      </w:r>
      <w:r w:rsidRPr="00135C74">
        <w:rPr>
          <w:rFonts w:ascii="Times New Roman" w:hAnsi="Times New Roman" w:cs="Times New Roman"/>
          <w:sz w:val="24"/>
          <w:szCs w:val="24"/>
          <w:lang w:val="en-GB"/>
        </w:rPr>
        <w:t>DOWN and BOTTOM</w:t>
      </w:r>
      <w:r w:rsidR="00A563EF">
        <w:rPr>
          <w:rFonts w:ascii="Times New Roman" w:hAnsi="Times New Roman" w:cs="Times New Roman"/>
          <w:sz w:val="24"/>
          <w:szCs w:val="24"/>
          <w:lang w:val="en-GB"/>
        </w:rPr>
        <w:t xml:space="preserve"> </w:t>
      </w:r>
      <w:r w:rsidRPr="00135C74">
        <w:rPr>
          <w:rFonts w:ascii="Times New Roman" w:hAnsi="Times New Roman" w:cs="Times New Roman"/>
          <w:sz w:val="24"/>
          <w:szCs w:val="24"/>
          <w:lang w:val="en-GB"/>
        </w:rPr>
        <w:t xml:space="preserve">UP </w:t>
      </w:r>
      <w:r w:rsidR="00B524DE">
        <w:rPr>
          <w:rFonts w:ascii="Times New Roman" w:hAnsi="Times New Roman" w:cs="Times New Roman"/>
          <w:sz w:val="24"/>
          <w:szCs w:val="24"/>
          <w:lang w:val="en-GB"/>
        </w:rPr>
        <w:t>we</w:t>
      </w:r>
      <w:r w:rsidR="00B524DE" w:rsidRPr="00135C74">
        <w:rPr>
          <w:rFonts w:ascii="Times New Roman" w:hAnsi="Times New Roman" w:cs="Times New Roman"/>
          <w:sz w:val="24"/>
          <w:szCs w:val="24"/>
          <w:lang w:val="en-GB"/>
        </w:rPr>
        <w:t xml:space="preserve">re </w:t>
      </w:r>
      <w:r w:rsidRPr="00135C74">
        <w:rPr>
          <w:rFonts w:ascii="Times New Roman" w:hAnsi="Times New Roman" w:cs="Times New Roman"/>
          <w:sz w:val="24"/>
          <w:szCs w:val="24"/>
          <w:lang w:val="en-GB"/>
        </w:rPr>
        <w:t xml:space="preserve">at a low level, a situation </w:t>
      </w:r>
      <w:r w:rsidR="00B4370D">
        <w:rPr>
          <w:rFonts w:ascii="Times New Roman" w:hAnsi="Times New Roman" w:cs="Times New Roman"/>
          <w:sz w:val="24"/>
          <w:szCs w:val="24"/>
          <w:lang w:val="en-GB"/>
        </w:rPr>
        <w:t>t</w:t>
      </w:r>
      <w:r w:rsidRPr="00135C74">
        <w:rPr>
          <w:rFonts w:ascii="Times New Roman" w:hAnsi="Times New Roman" w:cs="Times New Roman"/>
          <w:sz w:val="24"/>
          <w:szCs w:val="24"/>
          <w:lang w:val="en-GB"/>
        </w:rPr>
        <w:t>h</w:t>
      </w:r>
      <w:r w:rsidR="00B4370D">
        <w:rPr>
          <w:rFonts w:ascii="Times New Roman" w:hAnsi="Times New Roman" w:cs="Times New Roman"/>
          <w:sz w:val="24"/>
          <w:szCs w:val="24"/>
          <w:lang w:val="en-GB"/>
        </w:rPr>
        <w:t>at</w:t>
      </w:r>
      <w:r w:rsidRPr="00135C74">
        <w:rPr>
          <w:rFonts w:ascii="Times New Roman" w:hAnsi="Times New Roman" w:cs="Times New Roman"/>
          <w:sz w:val="24"/>
          <w:szCs w:val="24"/>
          <w:lang w:val="en-GB"/>
        </w:rPr>
        <w:t xml:space="preserve"> could affect the results (</w:t>
      </w:r>
      <w:proofErr w:type="spellStart"/>
      <w:r w:rsidRPr="00135C74">
        <w:rPr>
          <w:rFonts w:ascii="Times New Roman" w:hAnsi="Times New Roman" w:cs="Times New Roman"/>
          <w:sz w:val="24"/>
          <w:szCs w:val="24"/>
          <w:lang w:val="en-GB"/>
        </w:rPr>
        <w:t>Junni</w:t>
      </w:r>
      <w:proofErr w:type="spellEnd"/>
      <w:r w:rsidRPr="00135C74">
        <w:rPr>
          <w:rFonts w:ascii="Times New Roman" w:hAnsi="Times New Roman" w:cs="Times New Roman"/>
          <w:sz w:val="24"/>
          <w:szCs w:val="24"/>
          <w:lang w:val="en-GB"/>
        </w:rPr>
        <w:t xml:space="preserve"> </w:t>
      </w:r>
      <w:r w:rsidRPr="00CB7289">
        <w:rPr>
          <w:rFonts w:ascii="Times New Roman" w:hAnsi="Times New Roman" w:cs="Times New Roman"/>
          <w:i/>
          <w:sz w:val="24"/>
          <w:szCs w:val="24"/>
          <w:lang w:val="en-GB"/>
        </w:rPr>
        <w:t>et al.</w:t>
      </w:r>
      <w:r w:rsidRPr="00135C74">
        <w:rPr>
          <w:rFonts w:ascii="Times New Roman" w:hAnsi="Times New Roman" w:cs="Times New Roman"/>
          <w:sz w:val="24"/>
          <w:szCs w:val="24"/>
          <w:lang w:val="en-GB"/>
        </w:rPr>
        <w:t>, 2013). This suggests the applicability of our hypotheses regarding the imbalance construct</w:t>
      </w:r>
      <w:r w:rsidR="00B524DE">
        <w:rPr>
          <w:rFonts w:ascii="Times New Roman" w:hAnsi="Times New Roman" w:cs="Times New Roman"/>
          <w:sz w:val="24"/>
          <w:szCs w:val="24"/>
          <w:lang w:val="en-GB"/>
        </w:rPr>
        <w:t xml:space="preserve"> because</w:t>
      </w:r>
      <w:r w:rsidRPr="00135C74">
        <w:rPr>
          <w:rFonts w:ascii="Times New Roman" w:hAnsi="Times New Roman" w:cs="Times New Roman"/>
          <w:sz w:val="24"/>
          <w:szCs w:val="24"/>
          <w:lang w:val="en-GB"/>
        </w:rPr>
        <w:t xml:space="preserve"> we </w:t>
      </w:r>
      <w:r w:rsidR="00B524DE">
        <w:rPr>
          <w:rFonts w:ascii="Times New Roman" w:hAnsi="Times New Roman" w:cs="Times New Roman"/>
          <w:sz w:val="24"/>
          <w:szCs w:val="24"/>
          <w:lang w:val="en-GB"/>
        </w:rPr>
        <w:t xml:space="preserve">have </w:t>
      </w:r>
      <w:r w:rsidRPr="00135C74">
        <w:rPr>
          <w:rFonts w:ascii="Times New Roman" w:hAnsi="Times New Roman" w:cs="Times New Roman"/>
          <w:sz w:val="24"/>
          <w:szCs w:val="24"/>
          <w:lang w:val="en-GB"/>
        </w:rPr>
        <w:t>stay</w:t>
      </w:r>
      <w:r w:rsidR="00B524DE">
        <w:rPr>
          <w:rFonts w:ascii="Times New Roman" w:hAnsi="Times New Roman" w:cs="Times New Roman"/>
          <w:sz w:val="24"/>
          <w:szCs w:val="24"/>
          <w:lang w:val="en-GB"/>
        </w:rPr>
        <w:t>ed</w:t>
      </w:r>
      <w:r w:rsidRPr="00135C74">
        <w:rPr>
          <w:rFonts w:ascii="Times New Roman" w:hAnsi="Times New Roman" w:cs="Times New Roman"/>
          <w:sz w:val="24"/>
          <w:szCs w:val="24"/>
          <w:lang w:val="en-GB"/>
        </w:rPr>
        <w:t xml:space="preserve"> well within the boundary condition</w:t>
      </w:r>
      <w:r w:rsidR="000822C3" w:rsidRPr="00135C74">
        <w:rPr>
          <w:rFonts w:ascii="Times New Roman" w:hAnsi="Times New Roman" w:cs="Times New Roman"/>
          <w:sz w:val="24"/>
          <w:szCs w:val="24"/>
          <w:lang w:val="en-GB"/>
        </w:rPr>
        <w:t xml:space="preserve"> </w:t>
      </w:r>
      <w:r w:rsidR="000822C3" w:rsidRPr="00135C74">
        <w:rPr>
          <w:rFonts w:ascii="Times New Roman" w:hAnsi="Times New Roman" w:cs="Times New Roman"/>
          <w:sz w:val="24"/>
          <w:szCs w:val="24"/>
          <w:lang w:val="en-GB"/>
        </w:rPr>
        <w:lastRenderedPageBreak/>
        <w:t>(</w:t>
      </w:r>
      <w:r w:rsidR="00AD34E6" w:rsidRPr="00135C74">
        <w:rPr>
          <w:rFonts w:ascii="Times New Roman" w:hAnsi="Times New Roman" w:cs="Times New Roman"/>
          <w:sz w:val="24"/>
          <w:szCs w:val="24"/>
          <w:lang w:val="en-GB"/>
        </w:rPr>
        <w:t>A</w:t>
      </w:r>
      <w:r w:rsidR="000822C3" w:rsidRPr="00135C74">
        <w:rPr>
          <w:rFonts w:ascii="Times New Roman" w:hAnsi="Times New Roman" w:cs="Times New Roman"/>
          <w:sz w:val="24"/>
          <w:szCs w:val="24"/>
          <w:lang w:val="en-GB"/>
        </w:rPr>
        <w:t>ssumption 1 supported)</w:t>
      </w:r>
      <w:r w:rsidRPr="00135C74">
        <w:rPr>
          <w:rFonts w:ascii="Times New Roman" w:hAnsi="Times New Roman" w:cs="Times New Roman"/>
          <w:sz w:val="24"/>
          <w:szCs w:val="24"/>
          <w:lang w:val="en-GB"/>
        </w:rPr>
        <w:t xml:space="preserve">. </w:t>
      </w:r>
      <w:r w:rsidR="002D53BD" w:rsidRPr="00135C74">
        <w:rPr>
          <w:rFonts w:ascii="Times New Roman" w:hAnsi="Times New Roman" w:cs="Times New Roman"/>
          <w:sz w:val="24"/>
          <w:szCs w:val="24"/>
          <w:lang w:val="en-GB"/>
        </w:rPr>
        <w:t xml:space="preserve">The results </w:t>
      </w:r>
      <w:r w:rsidRPr="00135C74">
        <w:rPr>
          <w:rFonts w:ascii="Times New Roman" w:hAnsi="Times New Roman" w:cs="Times New Roman"/>
          <w:sz w:val="24"/>
          <w:szCs w:val="24"/>
          <w:lang w:val="en-GB"/>
        </w:rPr>
        <w:t xml:space="preserve">also </w:t>
      </w:r>
      <w:r w:rsidR="002D53BD" w:rsidRPr="00135C74">
        <w:rPr>
          <w:rFonts w:ascii="Times New Roman" w:hAnsi="Times New Roman" w:cs="Times New Roman"/>
          <w:sz w:val="24"/>
          <w:szCs w:val="24"/>
          <w:lang w:val="en-GB"/>
        </w:rPr>
        <w:t xml:space="preserve">imply that </w:t>
      </w:r>
      <w:r w:rsidR="00F62F4B">
        <w:rPr>
          <w:rFonts w:ascii="Times New Roman" w:hAnsi="Times New Roman" w:cs="Times New Roman"/>
          <w:sz w:val="24"/>
          <w:szCs w:val="24"/>
          <w:lang w:val="en-GB"/>
        </w:rPr>
        <w:t xml:space="preserve">most </w:t>
      </w:r>
      <w:r w:rsidR="00E80A21" w:rsidRPr="00135C74">
        <w:rPr>
          <w:rFonts w:ascii="Times New Roman" w:hAnsi="Times New Roman" w:cs="Times New Roman"/>
          <w:sz w:val="24"/>
          <w:szCs w:val="24"/>
          <w:lang w:val="en-GB"/>
        </w:rPr>
        <w:t xml:space="preserve">of our sample </w:t>
      </w:r>
      <w:r w:rsidR="00F62F4B" w:rsidRPr="00135C74">
        <w:rPr>
          <w:rFonts w:ascii="Times New Roman" w:hAnsi="Times New Roman" w:cs="Times New Roman"/>
          <w:sz w:val="24"/>
          <w:szCs w:val="24"/>
          <w:lang w:val="en-GB"/>
        </w:rPr>
        <w:t>d</w:t>
      </w:r>
      <w:r w:rsidR="00F62F4B">
        <w:rPr>
          <w:rFonts w:ascii="Times New Roman" w:hAnsi="Times New Roman" w:cs="Times New Roman"/>
          <w:sz w:val="24"/>
          <w:szCs w:val="24"/>
          <w:lang w:val="en-GB"/>
        </w:rPr>
        <w:t>id</w:t>
      </w:r>
      <w:r w:rsidR="00F62F4B" w:rsidRPr="00135C74">
        <w:rPr>
          <w:rFonts w:ascii="Times New Roman" w:hAnsi="Times New Roman" w:cs="Times New Roman"/>
          <w:sz w:val="24"/>
          <w:szCs w:val="24"/>
          <w:lang w:val="en-GB"/>
        </w:rPr>
        <w:t xml:space="preserve"> </w:t>
      </w:r>
      <w:r w:rsidR="002D53BD" w:rsidRPr="00135C74">
        <w:rPr>
          <w:rFonts w:ascii="Times New Roman" w:hAnsi="Times New Roman" w:cs="Times New Roman"/>
          <w:sz w:val="24"/>
          <w:szCs w:val="24"/>
          <w:lang w:val="en-GB"/>
        </w:rPr>
        <w:t xml:space="preserve">not </w:t>
      </w:r>
      <w:r w:rsidR="00E80A21" w:rsidRPr="00135C74">
        <w:rPr>
          <w:rFonts w:ascii="Times New Roman" w:hAnsi="Times New Roman" w:cs="Times New Roman"/>
          <w:sz w:val="24"/>
          <w:szCs w:val="24"/>
          <w:lang w:val="en-GB"/>
        </w:rPr>
        <w:t xml:space="preserve">demonstrate </w:t>
      </w:r>
      <w:r w:rsidR="002D53BD" w:rsidRPr="00135C74">
        <w:rPr>
          <w:rFonts w:ascii="Times New Roman" w:hAnsi="Times New Roman" w:cs="Times New Roman"/>
          <w:sz w:val="24"/>
          <w:szCs w:val="24"/>
          <w:lang w:val="en-GB"/>
        </w:rPr>
        <w:t xml:space="preserve">balanced </w:t>
      </w:r>
      <w:r w:rsidR="00061E6E" w:rsidRPr="00135C74">
        <w:rPr>
          <w:rFonts w:ascii="Times New Roman" w:hAnsi="Times New Roman" w:cs="Times New Roman"/>
          <w:sz w:val="24"/>
          <w:szCs w:val="24"/>
          <w:lang w:val="en-GB"/>
        </w:rPr>
        <w:t>supply disruption detection</w:t>
      </w:r>
      <w:r w:rsidRPr="00135C74">
        <w:rPr>
          <w:rFonts w:ascii="Times New Roman" w:hAnsi="Times New Roman" w:cs="Times New Roman"/>
          <w:sz w:val="24"/>
          <w:szCs w:val="24"/>
          <w:lang w:val="en-GB"/>
        </w:rPr>
        <w:t xml:space="preserve"> and that there </w:t>
      </w:r>
      <w:r w:rsidR="00F62F4B">
        <w:rPr>
          <w:rFonts w:ascii="Times New Roman" w:hAnsi="Times New Roman" w:cs="Times New Roman"/>
          <w:sz w:val="24"/>
          <w:szCs w:val="24"/>
          <w:lang w:val="en-GB"/>
        </w:rPr>
        <w:t>was</w:t>
      </w:r>
      <w:r w:rsidRPr="00135C74">
        <w:rPr>
          <w:rFonts w:ascii="Times New Roman" w:hAnsi="Times New Roman" w:cs="Times New Roman"/>
          <w:sz w:val="24"/>
          <w:szCs w:val="24"/>
          <w:lang w:val="en-GB"/>
        </w:rPr>
        <w:t xml:space="preserve">, contrary to </w:t>
      </w:r>
      <w:r w:rsidR="00AD34E6" w:rsidRPr="00135C74">
        <w:rPr>
          <w:rFonts w:ascii="Times New Roman" w:hAnsi="Times New Roman" w:cs="Times New Roman"/>
          <w:sz w:val="24"/>
          <w:szCs w:val="24"/>
          <w:lang w:val="en-GB"/>
        </w:rPr>
        <w:t>A</w:t>
      </w:r>
      <w:r w:rsidRPr="00135C74">
        <w:rPr>
          <w:rFonts w:ascii="Times New Roman" w:hAnsi="Times New Roman" w:cs="Times New Roman"/>
          <w:sz w:val="24"/>
          <w:szCs w:val="24"/>
          <w:lang w:val="en-GB"/>
        </w:rPr>
        <w:t>ssumption</w:t>
      </w:r>
      <w:r w:rsidR="000822C3" w:rsidRPr="00135C74">
        <w:rPr>
          <w:rFonts w:ascii="Times New Roman" w:hAnsi="Times New Roman" w:cs="Times New Roman"/>
          <w:sz w:val="24"/>
          <w:szCs w:val="24"/>
          <w:lang w:val="en-GB"/>
        </w:rPr>
        <w:t xml:space="preserve"> 2</w:t>
      </w:r>
      <w:r w:rsidRPr="00135C74">
        <w:rPr>
          <w:rFonts w:ascii="Times New Roman" w:hAnsi="Times New Roman" w:cs="Times New Roman"/>
          <w:sz w:val="24"/>
          <w:szCs w:val="24"/>
          <w:lang w:val="en-GB"/>
        </w:rPr>
        <w:t xml:space="preserve">, a sizeable group of respondents in which the imbalance </w:t>
      </w:r>
      <w:r w:rsidR="00F62F4B">
        <w:rPr>
          <w:rFonts w:ascii="Times New Roman" w:hAnsi="Times New Roman" w:cs="Times New Roman"/>
          <w:sz w:val="24"/>
          <w:szCs w:val="24"/>
          <w:lang w:val="en-GB"/>
        </w:rPr>
        <w:t>wa</w:t>
      </w:r>
      <w:r w:rsidRPr="00135C74">
        <w:rPr>
          <w:rFonts w:ascii="Times New Roman" w:hAnsi="Times New Roman" w:cs="Times New Roman"/>
          <w:sz w:val="24"/>
          <w:szCs w:val="24"/>
          <w:lang w:val="en-GB"/>
        </w:rPr>
        <w:t>s tilted towards the bottom</w:t>
      </w:r>
      <w:r w:rsidR="00A563EF">
        <w:rPr>
          <w:rFonts w:ascii="Times New Roman" w:hAnsi="Times New Roman" w:cs="Times New Roman"/>
          <w:sz w:val="24"/>
          <w:szCs w:val="24"/>
          <w:lang w:val="en-GB"/>
        </w:rPr>
        <w:t xml:space="preserve"> </w:t>
      </w:r>
      <w:r w:rsidRPr="00135C74">
        <w:rPr>
          <w:rFonts w:ascii="Times New Roman" w:hAnsi="Times New Roman" w:cs="Times New Roman"/>
          <w:sz w:val="24"/>
          <w:szCs w:val="24"/>
          <w:lang w:val="en-GB"/>
        </w:rPr>
        <w:t>up</w:t>
      </w:r>
      <w:r w:rsidR="002D53BD" w:rsidRPr="00135C74">
        <w:rPr>
          <w:rFonts w:ascii="Times New Roman" w:hAnsi="Times New Roman" w:cs="Times New Roman"/>
          <w:sz w:val="24"/>
          <w:szCs w:val="24"/>
          <w:lang w:val="en-GB"/>
        </w:rPr>
        <w:t xml:space="preserve">. </w:t>
      </w:r>
      <w:r w:rsidRPr="00135C74">
        <w:rPr>
          <w:rFonts w:ascii="Times New Roman" w:hAnsi="Times New Roman" w:cs="Times New Roman"/>
          <w:sz w:val="24"/>
          <w:szCs w:val="24"/>
          <w:lang w:val="en-GB"/>
        </w:rPr>
        <w:t>We note that this may have an impact</w:t>
      </w:r>
      <w:r w:rsidR="00B4370D">
        <w:rPr>
          <w:rFonts w:ascii="Times New Roman" w:hAnsi="Times New Roman" w:cs="Times New Roman"/>
          <w:sz w:val="24"/>
          <w:szCs w:val="24"/>
          <w:lang w:val="en-GB"/>
        </w:rPr>
        <w:t xml:space="preserve"> on</w:t>
      </w:r>
      <w:r w:rsidRPr="00135C74">
        <w:rPr>
          <w:rFonts w:ascii="Times New Roman" w:hAnsi="Times New Roman" w:cs="Times New Roman"/>
          <w:sz w:val="24"/>
          <w:szCs w:val="24"/>
          <w:lang w:val="en-GB"/>
        </w:rPr>
        <w:t xml:space="preserve"> the results regarding H8. </w:t>
      </w:r>
    </w:p>
    <w:p w14:paraId="4FAD9FB0" w14:textId="77777777" w:rsidR="00AD34E6" w:rsidRPr="00135C74" w:rsidRDefault="00AD34E6" w:rsidP="008367E9">
      <w:pPr>
        <w:pStyle w:val="ListParagraph"/>
        <w:spacing w:line="480" w:lineRule="auto"/>
        <w:ind w:left="0"/>
        <w:jc w:val="both"/>
        <w:rPr>
          <w:rFonts w:ascii="Times New Roman" w:hAnsi="Times New Roman" w:cs="Times New Roman"/>
          <w:sz w:val="24"/>
          <w:szCs w:val="24"/>
          <w:lang w:val="en-GB"/>
        </w:rPr>
      </w:pPr>
    </w:p>
    <w:p w14:paraId="2B9F0BE1" w14:textId="10BCA452" w:rsidR="002C53EA" w:rsidRPr="00135C74" w:rsidRDefault="002C53EA" w:rsidP="002C53EA">
      <w:pPr>
        <w:spacing w:line="480" w:lineRule="auto"/>
        <w:jc w:val="both"/>
        <w:rPr>
          <w:i/>
        </w:rPr>
      </w:pPr>
      <w:r w:rsidRPr="00135C74">
        <w:rPr>
          <w:i/>
        </w:rPr>
        <w:t>4.</w:t>
      </w:r>
      <w:r w:rsidR="004E7BDD" w:rsidRPr="00135C74">
        <w:rPr>
          <w:i/>
        </w:rPr>
        <w:t>2</w:t>
      </w:r>
      <w:r w:rsidRPr="00135C74">
        <w:rPr>
          <w:i/>
        </w:rPr>
        <w:t xml:space="preserve"> Measurement model</w:t>
      </w:r>
    </w:p>
    <w:p w14:paraId="0F978B09" w14:textId="6FE13C71" w:rsidR="002C53EA" w:rsidRPr="00135C74" w:rsidRDefault="002C53EA" w:rsidP="002C53EA">
      <w:pPr>
        <w:spacing w:line="480" w:lineRule="auto"/>
        <w:jc w:val="both"/>
      </w:pPr>
      <w:r w:rsidRPr="00135C74">
        <w:t xml:space="preserve">First, we conducted an exploratory factor analysis using </w:t>
      </w:r>
      <w:r w:rsidR="00F738EA">
        <w:t>a</w:t>
      </w:r>
      <w:r w:rsidR="00F738EA" w:rsidRPr="00135C74">
        <w:t xml:space="preserve"> </w:t>
      </w:r>
      <w:r w:rsidRPr="00135C74">
        <w:t xml:space="preserve">principal components analysis with a Varimax rotation. The results are shown in Table </w:t>
      </w:r>
      <w:r w:rsidR="002D53BD" w:rsidRPr="00135C74">
        <w:t>4</w:t>
      </w:r>
      <w:r w:rsidRPr="00135C74">
        <w:t>. The Kaiser–Meyer–Olkin (KMO) test (0.901) and Bartlett</w:t>
      </w:r>
      <w:r w:rsidR="0080784E">
        <w:t>’</w:t>
      </w:r>
      <w:r w:rsidRPr="00135C74">
        <w:t xml:space="preserve">s test of sphericity </w:t>
      </w:r>
      <w:r w:rsidR="004B1334" w:rsidRPr="00135C74">
        <w:t>(</w:t>
      </w:r>
      <w:r w:rsidRPr="00135C74">
        <w:t>2735.386, df =210, p&lt;0.001) suggest</w:t>
      </w:r>
      <w:r w:rsidR="0080784E">
        <w:t>ed</w:t>
      </w:r>
      <w:r w:rsidRPr="00135C74">
        <w:t xml:space="preserve"> sampling adequacy and validity of the measurement scale. As expected, five factors with eigenvalues of more than 1 were extracted. The five factors </w:t>
      </w:r>
      <w:r w:rsidR="004B1334" w:rsidRPr="00135C74">
        <w:t>explain</w:t>
      </w:r>
      <w:r w:rsidR="00D728E3">
        <w:t>ed</w:t>
      </w:r>
      <w:r w:rsidR="004B1334" w:rsidRPr="00135C74">
        <w:t xml:space="preserve"> </w:t>
      </w:r>
      <w:r w:rsidRPr="00135C74">
        <w:t>a cumulative variance of 76.216.</w:t>
      </w:r>
    </w:p>
    <w:p w14:paraId="295312F1" w14:textId="77777777" w:rsidR="00AD34E6" w:rsidRPr="00135C74" w:rsidRDefault="00AD34E6" w:rsidP="002C53EA">
      <w:pPr>
        <w:pStyle w:val="Caption"/>
        <w:keepNext/>
        <w:spacing w:line="480" w:lineRule="auto"/>
        <w:rPr>
          <w:rFonts w:ascii="Times New Roman" w:hAnsi="Times New Roman" w:cs="Times New Roman"/>
          <w:b/>
          <w:i w:val="0"/>
          <w:color w:val="auto"/>
          <w:sz w:val="24"/>
          <w:szCs w:val="24"/>
          <w:lang w:val="en-GB"/>
        </w:rPr>
      </w:pPr>
    </w:p>
    <w:p w14:paraId="43BD9902" w14:textId="6B988CCD" w:rsidR="002C53EA" w:rsidRPr="00135C74" w:rsidRDefault="002C53EA" w:rsidP="002C53EA">
      <w:pPr>
        <w:pStyle w:val="Caption"/>
        <w:keepNext/>
        <w:spacing w:line="480" w:lineRule="auto"/>
        <w:rPr>
          <w:rFonts w:ascii="Times New Roman" w:hAnsi="Times New Roman" w:cs="Times New Roman"/>
          <w:i w:val="0"/>
          <w:color w:val="auto"/>
          <w:sz w:val="24"/>
          <w:szCs w:val="24"/>
          <w:lang w:val="en-GB"/>
        </w:rPr>
      </w:pPr>
      <w:r w:rsidRPr="00135C74">
        <w:rPr>
          <w:rFonts w:ascii="Times New Roman" w:hAnsi="Times New Roman" w:cs="Times New Roman"/>
          <w:b/>
          <w:i w:val="0"/>
          <w:color w:val="auto"/>
          <w:sz w:val="24"/>
          <w:szCs w:val="24"/>
          <w:lang w:val="en-GB"/>
        </w:rPr>
        <w:t xml:space="preserve">Table </w:t>
      </w:r>
      <w:r w:rsidR="002D53BD" w:rsidRPr="00135C74">
        <w:rPr>
          <w:rFonts w:ascii="Times New Roman" w:hAnsi="Times New Roman" w:cs="Times New Roman"/>
          <w:b/>
          <w:i w:val="0"/>
          <w:color w:val="auto"/>
          <w:sz w:val="24"/>
          <w:szCs w:val="24"/>
          <w:lang w:val="en-GB"/>
        </w:rPr>
        <w:t>4</w:t>
      </w:r>
      <w:r w:rsidRPr="00135C74">
        <w:rPr>
          <w:rFonts w:ascii="Times New Roman" w:hAnsi="Times New Roman" w:cs="Times New Roman"/>
          <w:b/>
          <w:i w:val="0"/>
          <w:color w:val="auto"/>
          <w:sz w:val="24"/>
          <w:szCs w:val="24"/>
          <w:lang w:val="en-GB"/>
        </w:rPr>
        <w:t xml:space="preserve">. </w:t>
      </w:r>
      <w:r w:rsidRPr="00135C74">
        <w:rPr>
          <w:rFonts w:ascii="Times New Roman" w:hAnsi="Times New Roman" w:cs="Times New Roman"/>
          <w:i w:val="0"/>
          <w:color w:val="auto"/>
          <w:sz w:val="24"/>
          <w:szCs w:val="24"/>
          <w:lang w:val="en-GB"/>
        </w:rPr>
        <w:t>Results of the exploratory factor analysis</w:t>
      </w:r>
    </w:p>
    <w:p w14:paraId="5BA3B92B" w14:textId="565E8F21" w:rsidR="002C53EA" w:rsidRPr="00135C74" w:rsidRDefault="002C53EA" w:rsidP="002C53EA">
      <w:pPr>
        <w:spacing w:line="480" w:lineRule="auto"/>
        <w:rPr>
          <w:i/>
          <w:lang w:eastAsia="fi-FI"/>
        </w:rPr>
      </w:pPr>
      <w:r w:rsidRPr="00135C74">
        <w:rPr>
          <w:i/>
          <w:lang w:eastAsia="fi-FI"/>
        </w:rPr>
        <w:t xml:space="preserve">&lt;Insert Table </w:t>
      </w:r>
      <w:r w:rsidR="002D53BD" w:rsidRPr="00135C74">
        <w:rPr>
          <w:i/>
          <w:lang w:eastAsia="fi-FI"/>
        </w:rPr>
        <w:t>4</w:t>
      </w:r>
      <w:r w:rsidRPr="00135C74">
        <w:rPr>
          <w:i/>
          <w:lang w:eastAsia="fi-FI"/>
        </w:rPr>
        <w:t xml:space="preserve"> approximately here&gt;</w:t>
      </w:r>
    </w:p>
    <w:p w14:paraId="4E773FE6" w14:textId="04A5CC2B" w:rsidR="002D53BD" w:rsidRPr="00135C74" w:rsidRDefault="00D61E59" w:rsidP="002C53EA">
      <w:pPr>
        <w:spacing w:line="480" w:lineRule="auto"/>
        <w:rPr>
          <w:i/>
          <w:lang w:eastAsia="fi-FI"/>
        </w:rPr>
      </w:pPr>
      <w:r w:rsidRPr="00135C74">
        <w:rPr>
          <w:i/>
          <w:lang w:eastAsia="fi-FI"/>
        </w:rPr>
        <w:t xml:space="preserve"> </w:t>
      </w:r>
    </w:p>
    <w:p w14:paraId="33037F7D" w14:textId="59C4954B" w:rsidR="002C53EA" w:rsidRPr="00135C74" w:rsidRDefault="00C511A8" w:rsidP="002C53EA">
      <w:pPr>
        <w:spacing w:line="480" w:lineRule="auto"/>
        <w:jc w:val="both"/>
      </w:pPr>
      <w:r>
        <w:t>A c</w:t>
      </w:r>
      <w:r w:rsidR="002C53EA" w:rsidRPr="00135C74">
        <w:t xml:space="preserve">onfirmatory factor analysis was performed to assess the psychometric properties of the measurement scales. The goodness-of-fit indices (Table </w:t>
      </w:r>
      <w:r w:rsidR="002D53BD" w:rsidRPr="00135C74">
        <w:t>5</w:t>
      </w:r>
      <w:r w:rsidR="002C53EA" w:rsidRPr="00135C74">
        <w:t>) suggest</w:t>
      </w:r>
      <w:r w:rsidR="005D6B03">
        <w:t>ed</w:t>
      </w:r>
      <w:r w:rsidR="002C53EA" w:rsidRPr="00135C74">
        <w:t xml:space="preserve"> that the measurement model fits the data appropriately (Χ2/df = 1.768, CFI = 0.950, TLI = 0.935, RMSEA = 0.064, p-value =0.027) (Hu and </w:t>
      </w:r>
      <w:proofErr w:type="spellStart"/>
      <w:r w:rsidR="002C53EA" w:rsidRPr="00135C74">
        <w:t>Bentler</w:t>
      </w:r>
      <w:proofErr w:type="spellEnd"/>
      <w:r w:rsidR="002C53EA" w:rsidRPr="00135C74">
        <w:t>, 1999). All items loaded on the respective constructs. The standardi</w:t>
      </w:r>
      <w:r w:rsidR="001870C5">
        <w:t>s</w:t>
      </w:r>
      <w:r w:rsidR="002C53EA" w:rsidRPr="00135C74">
        <w:t xml:space="preserve">ed factor loadings were significant and ranged from 0.679 to 0.924, </w:t>
      </w:r>
      <w:r w:rsidR="004D1682">
        <w:t xml:space="preserve">mostly </w:t>
      </w:r>
      <w:r w:rsidR="002C53EA" w:rsidRPr="00135C74">
        <w:t>exceeding the recommended threshold of 0.</w:t>
      </w:r>
      <w:r w:rsidR="004D1682">
        <w:t>7</w:t>
      </w:r>
      <w:r w:rsidR="002C53EA" w:rsidRPr="00135C74">
        <w:t xml:space="preserve"> (</w:t>
      </w:r>
      <w:r w:rsidR="004D1682" w:rsidRPr="00135C74">
        <w:t>Ha</w:t>
      </w:r>
      <w:r w:rsidR="004D1682">
        <w:t>ir</w:t>
      </w:r>
      <w:r w:rsidR="004D1682" w:rsidRPr="00135C74">
        <w:t xml:space="preserve"> </w:t>
      </w:r>
      <w:r w:rsidR="002C53EA" w:rsidRPr="00135C74">
        <w:rPr>
          <w:i/>
        </w:rPr>
        <w:t>et al</w:t>
      </w:r>
      <w:r w:rsidR="002C53EA" w:rsidRPr="00135C74">
        <w:t>., 201</w:t>
      </w:r>
      <w:r w:rsidR="004D1682">
        <w:t>0</w:t>
      </w:r>
      <w:r w:rsidR="002C53EA" w:rsidRPr="00135C74">
        <w:t xml:space="preserve">). </w:t>
      </w:r>
      <w:r w:rsidR="004D1682">
        <w:t xml:space="preserve">Item TOP4 was below just 0.7. </w:t>
      </w:r>
      <w:r w:rsidR="002C53EA" w:rsidRPr="00135C74">
        <w:t xml:space="preserve">All </w:t>
      </w:r>
      <w:r w:rsidR="00323DF5">
        <w:t xml:space="preserve">the </w:t>
      </w:r>
      <w:r w:rsidR="002C53EA" w:rsidRPr="00135C74">
        <w:t>constructs demonstrated convergent validity and acceptable reliability and internal consistency (average variance extracted &gt; 0.50; composite reliability &gt; 0.70) (</w:t>
      </w:r>
      <w:proofErr w:type="spellStart"/>
      <w:r w:rsidR="002C53EA" w:rsidRPr="00135C74">
        <w:t>Fornell</w:t>
      </w:r>
      <w:proofErr w:type="spellEnd"/>
      <w:r w:rsidR="002C53EA" w:rsidRPr="00135C74">
        <w:t xml:space="preserve"> and </w:t>
      </w:r>
      <w:proofErr w:type="spellStart"/>
      <w:r w:rsidR="002C53EA" w:rsidRPr="00135C74">
        <w:t>Larcker</w:t>
      </w:r>
      <w:proofErr w:type="spellEnd"/>
      <w:r w:rsidR="002C53EA" w:rsidRPr="00135C74">
        <w:t>, 1981; Garver and Mentzer, 1999).</w:t>
      </w:r>
    </w:p>
    <w:p w14:paraId="71F66ED2" w14:textId="77777777" w:rsidR="00AD34E6" w:rsidRPr="00135C74" w:rsidRDefault="00AD34E6" w:rsidP="002C53EA">
      <w:pPr>
        <w:spacing w:line="480" w:lineRule="auto"/>
        <w:jc w:val="both"/>
      </w:pPr>
    </w:p>
    <w:p w14:paraId="283EA239" w14:textId="5E98E6FF" w:rsidR="002C53EA" w:rsidRPr="00135C74" w:rsidRDefault="002C53EA" w:rsidP="002C53EA">
      <w:pPr>
        <w:pStyle w:val="Caption"/>
        <w:keepNext/>
        <w:spacing w:line="480" w:lineRule="auto"/>
        <w:rPr>
          <w:rFonts w:ascii="Times New Roman" w:hAnsi="Times New Roman" w:cs="Times New Roman"/>
          <w:i w:val="0"/>
          <w:color w:val="auto"/>
          <w:sz w:val="24"/>
          <w:szCs w:val="24"/>
          <w:lang w:val="en-GB"/>
        </w:rPr>
      </w:pPr>
      <w:r w:rsidRPr="00135C74">
        <w:rPr>
          <w:rFonts w:ascii="Times New Roman" w:hAnsi="Times New Roman" w:cs="Times New Roman"/>
          <w:b/>
          <w:i w:val="0"/>
          <w:color w:val="auto"/>
          <w:sz w:val="24"/>
          <w:szCs w:val="24"/>
          <w:lang w:val="en-GB"/>
        </w:rPr>
        <w:t xml:space="preserve">Table </w:t>
      </w:r>
      <w:r w:rsidR="002D53BD" w:rsidRPr="00135C74">
        <w:rPr>
          <w:rFonts w:ascii="Times New Roman" w:hAnsi="Times New Roman" w:cs="Times New Roman"/>
          <w:b/>
          <w:i w:val="0"/>
          <w:color w:val="auto"/>
          <w:sz w:val="24"/>
          <w:szCs w:val="24"/>
          <w:lang w:val="en-GB"/>
        </w:rPr>
        <w:t>5</w:t>
      </w:r>
      <w:r w:rsidRPr="00135C74">
        <w:rPr>
          <w:rFonts w:ascii="Times New Roman" w:hAnsi="Times New Roman" w:cs="Times New Roman"/>
          <w:b/>
          <w:i w:val="0"/>
          <w:color w:val="auto"/>
          <w:sz w:val="24"/>
          <w:szCs w:val="24"/>
          <w:lang w:val="en-GB"/>
        </w:rPr>
        <w:t xml:space="preserve">. </w:t>
      </w:r>
      <w:r w:rsidRPr="00135C74">
        <w:rPr>
          <w:rFonts w:ascii="Times New Roman" w:hAnsi="Times New Roman" w:cs="Times New Roman"/>
          <w:i w:val="0"/>
          <w:color w:val="auto"/>
          <w:sz w:val="24"/>
          <w:szCs w:val="24"/>
          <w:lang w:val="en-GB"/>
        </w:rPr>
        <w:t>Results of the confirmatory factor analysis</w:t>
      </w:r>
    </w:p>
    <w:p w14:paraId="05E226F3" w14:textId="2AE2C00C" w:rsidR="002C53EA" w:rsidRPr="00135C74" w:rsidRDefault="002C53EA" w:rsidP="002C53EA">
      <w:pPr>
        <w:spacing w:line="480" w:lineRule="auto"/>
        <w:rPr>
          <w:i/>
          <w:lang w:eastAsia="fi-FI"/>
        </w:rPr>
      </w:pPr>
      <w:r w:rsidRPr="00135C74">
        <w:rPr>
          <w:i/>
          <w:lang w:eastAsia="fi-FI"/>
        </w:rPr>
        <w:t xml:space="preserve">&lt;Insert Table </w:t>
      </w:r>
      <w:r w:rsidR="002D53BD" w:rsidRPr="00135C74">
        <w:rPr>
          <w:i/>
          <w:lang w:eastAsia="fi-FI"/>
        </w:rPr>
        <w:t>5</w:t>
      </w:r>
      <w:r w:rsidRPr="00135C74">
        <w:rPr>
          <w:i/>
          <w:lang w:eastAsia="fi-FI"/>
        </w:rPr>
        <w:t xml:space="preserve"> approximately here&gt;</w:t>
      </w:r>
    </w:p>
    <w:p w14:paraId="2C7BFF3F" w14:textId="57EE460E" w:rsidR="002D53BD" w:rsidRPr="00135C74" w:rsidRDefault="002D53BD" w:rsidP="002C53EA">
      <w:pPr>
        <w:spacing w:line="480" w:lineRule="auto"/>
        <w:rPr>
          <w:i/>
          <w:lang w:eastAsia="fi-FI"/>
        </w:rPr>
      </w:pPr>
    </w:p>
    <w:p w14:paraId="4FFCDB45" w14:textId="059668DE" w:rsidR="002C53EA" w:rsidRPr="00135C74" w:rsidRDefault="002C53EA" w:rsidP="002C53EA">
      <w:pPr>
        <w:spacing w:line="480" w:lineRule="auto"/>
        <w:jc w:val="both"/>
      </w:pPr>
      <w:r w:rsidRPr="00135C74">
        <w:t xml:space="preserve">Discriminant validity was evaluated following the guidelines of Voorhees </w:t>
      </w:r>
      <w:r w:rsidRPr="00135C74">
        <w:rPr>
          <w:i/>
        </w:rPr>
        <w:t>et al</w:t>
      </w:r>
      <w:r w:rsidRPr="00135C74">
        <w:t xml:space="preserve">. (2016). The square root of AVE (displayed on the diagonal of Table </w:t>
      </w:r>
      <w:r w:rsidR="002D53BD" w:rsidRPr="00135C74">
        <w:t>6</w:t>
      </w:r>
      <w:r w:rsidRPr="00135C74">
        <w:t xml:space="preserve">) was compared </w:t>
      </w:r>
      <w:r w:rsidR="001870C5">
        <w:t>with</w:t>
      </w:r>
      <w:r w:rsidRPr="00135C74">
        <w:t xml:space="preserve"> the correlations between each construct (</w:t>
      </w:r>
      <w:proofErr w:type="spellStart"/>
      <w:r w:rsidRPr="00135C74">
        <w:t>Fornell</w:t>
      </w:r>
      <w:proofErr w:type="spellEnd"/>
      <w:r w:rsidRPr="00135C74">
        <w:t xml:space="preserve"> and </w:t>
      </w:r>
      <w:proofErr w:type="spellStart"/>
      <w:r w:rsidRPr="00135C74">
        <w:t>Larcker</w:t>
      </w:r>
      <w:proofErr w:type="spellEnd"/>
      <w:r w:rsidRPr="00135C74">
        <w:t xml:space="preserve">, 1981) and found to be greater than the zero-order correlations with other latent constructs, thereby confirming discriminant validity. </w:t>
      </w:r>
    </w:p>
    <w:p w14:paraId="160664C1" w14:textId="77777777" w:rsidR="00AD34E6" w:rsidRPr="00135C74" w:rsidRDefault="00AD34E6" w:rsidP="002C53EA">
      <w:pPr>
        <w:pStyle w:val="Caption"/>
        <w:keepNext/>
        <w:spacing w:line="480" w:lineRule="auto"/>
        <w:rPr>
          <w:rFonts w:ascii="Times New Roman" w:hAnsi="Times New Roman" w:cs="Times New Roman"/>
          <w:b/>
          <w:i w:val="0"/>
          <w:color w:val="auto"/>
          <w:sz w:val="24"/>
          <w:szCs w:val="24"/>
          <w:lang w:val="en-GB"/>
        </w:rPr>
      </w:pPr>
    </w:p>
    <w:p w14:paraId="3274B93D" w14:textId="1BB284B7" w:rsidR="002C53EA" w:rsidRPr="00135C74" w:rsidRDefault="002C53EA" w:rsidP="002C53EA">
      <w:pPr>
        <w:pStyle w:val="Caption"/>
        <w:keepNext/>
        <w:spacing w:line="480" w:lineRule="auto"/>
        <w:rPr>
          <w:rFonts w:ascii="Times New Roman" w:hAnsi="Times New Roman" w:cs="Times New Roman"/>
          <w:b/>
          <w:i w:val="0"/>
          <w:color w:val="auto"/>
          <w:sz w:val="24"/>
          <w:szCs w:val="24"/>
          <w:lang w:val="en-GB"/>
        </w:rPr>
      </w:pPr>
      <w:r w:rsidRPr="00135C74">
        <w:rPr>
          <w:rFonts w:ascii="Times New Roman" w:hAnsi="Times New Roman" w:cs="Times New Roman"/>
          <w:b/>
          <w:i w:val="0"/>
          <w:color w:val="auto"/>
          <w:sz w:val="24"/>
          <w:szCs w:val="24"/>
          <w:lang w:val="en-GB"/>
        </w:rPr>
        <w:t xml:space="preserve">Table </w:t>
      </w:r>
      <w:r w:rsidR="002D53BD" w:rsidRPr="00135C74">
        <w:rPr>
          <w:rFonts w:ascii="Times New Roman" w:hAnsi="Times New Roman" w:cs="Times New Roman"/>
          <w:b/>
          <w:i w:val="0"/>
          <w:sz w:val="24"/>
          <w:szCs w:val="24"/>
          <w:lang w:val="en-GB"/>
        </w:rPr>
        <w:t>6</w:t>
      </w:r>
      <w:r w:rsidRPr="00135C74">
        <w:rPr>
          <w:rFonts w:ascii="Times New Roman" w:hAnsi="Times New Roman" w:cs="Times New Roman"/>
          <w:b/>
          <w:i w:val="0"/>
          <w:color w:val="auto"/>
          <w:sz w:val="24"/>
          <w:szCs w:val="24"/>
          <w:lang w:val="en-GB"/>
        </w:rPr>
        <w:t xml:space="preserve">. </w:t>
      </w:r>
      <w:r w:rsidRPr="00135C74">
        <w:rPr>
          <w:rFonts w:ascii="Times New Roman" w:hAnsi="Times New Roman" w:cs="Times New Roman"/>
          <w:i w:val="0"/>
          <w:color w:val="auto"/>
          <w:sz w:val="24"/>
          <w:szCs w:val="24"/>
          <w:lang w:val="en-GB"/>
        </w:rPr>
        <w:t xml:space="preserve">Discriminant validity test with </w:t>
      </w:r>
      <w:r w:rsidR="00323DF5">
        <w:rPr>
          <w:rFonts w:ascii="Times New Roman" w:hAnsi="Times New Roman" w:cs="Times New Roman"/>
          <w:i w:val="0"/>
          <w:color w:val="auto"/>
          <w:sz w:val="24"/>
          <w:szCs w:val="24"/>
          <w:lang w:val="en-GB"/>
        </w:rPr>
        <w:t xml:space="preserve">the </w:t>
      </w:r>
      <w:proofErr w:type="spellStart"/>
      <w:r w:rsidRPr="00135C74">
        <w:rPr>
          <w:rFonts w:ascii="Times New Roman" w:hAnsi="Times New Roman" w:cs="Times New Roman"/>
          <w:i w:val="0"/>
          <w:color w:val="auto"/>
          <w:sz w:val="24"/>
          <w:szCs w:val="24"/>
          <w:lang w:val="en-GB"/>
        </w:rPr>
        <w:t>Fornell</w:t>
      </w:r>
      <w:proofErr w:type="spellEnd"/>
      <w:r w:rsidRPr="00135C74">
        <w:rPr>
          <w:rFonts w:ascii="Times New Roman" w:hAnsi="Times New Roman" w:cs="Times New Roman"/>
          <w:i w:val="0"/>
          <w:color w:val="auto"/>
          <w:sz w:val="24"/>
          <w:szCs w:val="24"/>
          <w:lang w:val="en-GB"/>
        </w:rPr>
        <w:t>–</w:t>
      </w:r>
      <w:proofErr w:type="spellStart"/>
      <w:r w:rsidRPr="00135C74">
        <w:rPr>
          <w:rFonts w:ascii="Times New Roman" w:hAnsi="Times New Roman" w:cs="Times New Roman"/>
          <w:i w:val="0"/>
          <w:color w:val="auto"/>
          <w:sz w:val="24"/>
          <w:szCs w:val="24"/>
          <w:lang w:val="en-GB"/>
        </w:rPr>
        <w:t>Larcker</w:t>
      </w:r>
      <w:proofErr w:type="spellEnd"/>
      <w:r w:rsidRPr="00135C74">
        <w:rPr>
          <w:rFonts w:ascii="Times New Roman" w:hAnsi="Times New Roman" w:cs="Times New Roman"/>
          <w:i w:val="0"/>
          <w:color w:val="auto"/>
          <w:sz w:val="24"/>
          <w:szCs w:val="24"/>
          <w:lang w:val="en-GB"/>
        </w:rPr>
        <w:t xml:space="preserve"> criterion</w:t>
      </w:r>
    </w:p>
    <w:p w14:paraId="42F32477" w14:textId="1D438495" w:rsidR="002C53EA" w:rsidRPr="00135C74" w:rsidRDefault="002C53EA" w:rsidP="002C53EA">
      <w:pPr>
        <w:spacing w:line="480" w:lineRule="auto"/>
        <w:rPr>
          <w:i/>
          <w:lang w:eastAsia="fi-FI"/>
        </w:rPr>
      </w:pPr>
      <w:r w:rsidRPr="00135C74">
        <w:rPr>
          <w:i/>
          <w:lang w:eastAsia="fi-FI"/>
        </w:rPr>
        <w:t xml:space="preserve">&lt;Insert Table </w:t>
      </w:r>
      <w:r w:rsidR="002D53BD" w:rsidRPr="00135C74">
        <w:rPr>
          <w:i/>
          <w:lang w:eastAsia="fi-FI"/>
        </w:rPr>
        <w:t>6</w:t>
      </w:r>
      <w:r w:rsidRPr="00135C74">
        <w:rPr>
          <w:i/>
          <w:lang w:eastAsia="fi-FI"/>
        </w:rPr>
        <w:t xml:space="preserve"> approximately here&gt;</w:t>
      </w:r>
    </w:p>
    <w:p w14:paraId="333E8312" w14:textId="4241FB4E" w:rsidR="007B794F" w:rsidRPr="00135C74" w:rsidRDefault="007B794F" w:rsidP="002C53EA">
      <w:pPr>
        <w:spacing w:line="480" w:lineRule="auto"/>
        <w:rPr>
          <w:i/>
          <w:lang w:eastAsia="fi-FI"/>
        </w:rPr>
      </w:pPr>
    </w:p>
    <w:p w14:paraId="04CAB1C4" w14:textId="50C37B28" w:rsidR="002C53EA" w:rsidRPr="00135C74" w:rsidRDefault="002C53EA" w:rsidP="002C53EA">
      <w:pPr>
        <w:spacing w:line="480" w:lineRule="auto"/>
        <w:jc w:val="both"/>
      </w:pPr>
      <w:r w:rsidRPr="00135C74">
        <w:t xml:space="preserve">In addition, we used the </w:t>
      </w:r>
      <w:proofErr w:type="spellStart"/>
      <w:r w:rsidRPr="00135C74">
        <w:t>heterotrait</w:t>
      </w:r>
      <w:proofErr w:type="spellEnd"/>
      <w:r w:rsidRPr="00135C74">
        <w:t>–</w:t>
      </w:r>
      <w:proofErr w:type="spellStart"/>
      <w:r w:rsidRPr="00135C74">
        <w:t>monotrait</w:t>
      </w:r>
      <w:proofErr w:type="spellEnd"/>
      <w:r w:rsidRPr="00135C74">
        <w:t xml:space="preserve"> test (HTMT), which is a superior method </w:t>
      </w:r>
      <w:r w:rsidR="00323DF5">
        <w:t>for</w:t>
      </w:r>
      <w:r w:rsidR="00323DF5" w:rsidRPr="00135C74">
        <w:t xml:space="preserve"> </w:t>
      </w:r>
      <w:r w:rsidRPr="00135C74">
        <w:t>assess</w:t>
      </w:r>
      <w:r w:rsidR="00323DF5">
        <w:t>ing</w:t>
      </w:r>
      <w:r w:rsidRPr="00135C74">
        <w:t xml:space="preserve"> discriminant validity compared </w:t>
      </w:r>
      <w:r w:rsidR="001870C5">
        <w:t>with</w:t>
      </w:r>
      <w:r w:rsidRPr="00135C74">
        <w:t xml:space="preserve"> the conventional constrained Phi approach (</w:t>
      </w:r>
      <w:proofErr w:type="spellStart"/>
      <w:r w:rsidRPr="00135C74">
        <w:t>Henseler</w:t>
      </w:r>
      <w:proofErr w:type="spellEnd"/>
      <w:r w:rsidRPr="00135C74">
        <w:t xml:space="preserve"> </w:t>
      </w:r>
      <w:r w:rsidRPr="00135C74">
        <w:rPr>
          <w:i/>
        </w:rPr>
        <w:t>et al</w:t>
      </w:r>
      <w:r w:rsidRPr="00135C74">
        <w:t xml:space="preserve">., 2015; Voorhees </w:t>
      </w:r>
      <w:r w:rsidRPr="00135C74">
        <w:rPr>
          <w:i/>
        </w:rPr>
        <w:t>et al</w:t>
      </w:r>
      <w:r w:rsidRPr="00135C74">
        <w:t xml:space="preserve">., 2016). All HTMT ratios </w:t>
      </w:r>
      <w:r w:rsidR="00323DF5">
        <w:t>were found to be</w:t>
      </w:r>
      <w:r w:rsidR="00323DF5" w:rsidRPr="00135C74">
        <w:t xml:space="preserve"> </w:t>
      </w:r>
      <w:r w:rsidRPr="00135C74">
        <w:t xml:space="preserve">below 0.85 (Table </w:t>
      </w:r>
      <w:r w:rsidR="002D53BD" w:rsidRPr="00135C74">
        <w:t>7</w:t>
      </w:r>
      <w:r w:rsidRPr="00135C74">
        <w:t xml:space="preserve">), </w:t>
      </w:r>
      <w:r w:rsidR="00323DF5">
        <w:t>providing</w:t>
      </w:r>
      <w:r w:rsidRPr="00135C74">
        <w:t xml:space="preserve"> evidence of discriminant validity (</w:t>
      </w:r>
      <w:proofErr w:type="spellStart"/>
      <w:r w:rsidRPr="00135C74">
        <w:t>Henseler</w:t>
      </w:r>
      <w:proofErr w:type="spellEnd"/>
      <w:r w:rsidRPr="00135C74">
        <w:t xml:space="preserve"> </w:t>
      </w:r>
      <w:r w:rsidRPr="00135C74">
        <w:rPr>
          <w:i/>
        </w:rPr>
        <w:t>et al</w:t>
      </w:r>
      <w:r w:rsidRPr="00135C74">
        <w:t xml:space="preserve">., 2015; Voorhees </w:t>
      </w:r>
      <w:r w:rsidRPr="00135C74">
        <w:rPr>
          <w:i/>
        </w:rPr>
        <w:t>et al</w:t>
      </w:r>
      <w:r w:rsidRPr="00135C74">
        <w:t>., 2016).</w:t>
      </w:r>
    </w:p>
    <w:p w14:paraId="0E53FA56" w14:textId="77777777" w:rsidR="00AD34E6" w:rsidRPr="00135C74" w:rsidRDefault="00AD34E6" w:rsidP="002C53EA">
      <w:pPr>
        <w:pStyle w:val="Caption"/>
        <w:keepNext/>
        <w:spacing w:line="480" w:lineRule="auto"/>
        <w:rPr>
          <w:rFonts w:ascii="Times New Roman" w:hAnsi="Times New Roman" w:cs="Times New Roman"/>
          <w:b/>
          <w:i w:val="0"/>
          <w:color w:val="auto"/>
          <w:sz w:val="24"/>
          <w:szCs w:val="24"/>
          <w:lang w:val="en-GB"/>
        </w:rPr>
      </w:pPr>
    </w:p>
    <w:p w14:paraId="6F125915" w14:textId="1332DA0C" w:rsidR="002C53EA" w:rsidRPr="00135C74" w:rsidRDefault="002C53EA" w:rsidP="002C53EA">
      <w:pPr>
        <w:pStyle w:val="Caption"/>
        <w:keepNext/>
        <w:spacing w:line="480" w:lineRule="auto"/>
        <w:rPr>
          <w:rFonts w:ascii="Times New Roman" w:hAnsi="Times New Roman" w:cs="Times New Roman"/>
          <w:b/>
          <w:i w:val="0"/>
          <w:color w:val="auto"/>
          <w:sz w:val="24"/>
          <w:szCs w:val="24"/>
          <w:lang w:val="en-GB"/>
        </w:rPr>
      </w:pPr>
      <w:r w:rsidRPr="00135C74">
        <w:rPr>
          <w:rFonts w:ascii="Times New Roman" w:hAnsi="Times New Roman" w:cs="Times New Roman"/>
          <w:b/>
          <w:i w:val="0"/>
          <w:color w:val="auto"/>
          <w:sz w:val="24"/>
          <w:szCs w:val="24"/>
          <w:lang w:val="en-GB"/>
        </w:rPr>
        <w:t xml:space="preserve">Table </w:t>
      </w:r>
      <w:r w:rsidR="002D53BD" w:rsidRPr="00135C74">
        <w:rPr>
          <w:rFonts w:ascii="Times New Roman" w:hAnsi="Times New Roman" w:cs="Times New Roman"/>
          <w:b/>
          <w:i w:val="0"/>
          <w:sz w:val="24"/>
          <w:szCs w:val="24"/>
          <w:lang w:val="en-GB"/>
        </w:rPr>
        <w:t>7</w:t>
      </w:r>
      <w:r w:rsidRPr="00135C74">
        <w:rPr>
          <w:rFonts w:ascii="Times New Roman" w:hAnsi="Times New Roman" w:cs="Times New Roman"/>
          <w:b/>
          <w:i w:val="0"/>
          <w:color w:val="auto"/>
          <w:sz w:val="24"/>
          <w:szCs w:val="24"/>
          <w:lang w:val="en-GB"/>
        </w:rPr>
        <w:t xml:space="preserve">. </w:t>
      </w:r>
      <w:r w:rsidRPr="00135C74">
        <w:rPr>
          <w:rFonts w:ascii="Times New Roman" w:hAnsi="Times New Roman" w:cs="Times New Roman"/>
          <w:i w:val="0"/>
          <w:color w:val="auto"/>
          <w:sz w:val="24"/>
          <w:szCs w:val="24"/>
          <w:lang w:val="en-GB"/>
        </w:rPr>
        <w:t>Discriminant validity test with HTMT ratios</w:t>
      </w:r>
    </w:p>
    <w:p w14:paraId="2DF07344" w14:textId="20E3A9AC" w:rsidR="002C53EA" w:rsidRPr="00135C74" w:rsidRDefault="002C53EA" w:rsidP="002C53EA">
      <w:pPr>
        <w:spacing w:line="480" w:lineRule="auto"/>
        <w:rPr>
          <w:i/>
          <w:lang w:eastAsia="fi-FI"/>
        </w:rPr>
      </w:pPr>
      <w:r w:rsidRPr="00135C74">
        <w:rPr>
          <w:i/>
          <w:lang w:eastAsia="fi-FI"/>
        </w:rPr>
        <w:t xml:space="preserve">&lt;Insert Table </w:t>
      </w:r>
      <w:r w:rsidR="002D53BD" w:rsidRPr="00135C74">
        <w:rPr>
          <w:i/>
          <w:lang w:eastAsia="fi-FI"/>
        </w:rPr>
        <w:t>7</w:t>
      </w:r>
      <w:r w:rsidRPr="00135C74">
        <w:rPr>
          <w:i/>
          <w:lang w:eastAsia="fi-FI"/>
        </w:rPr>
        <w:t xml:space="preserve"> approximately here&gt;</w:t>
      </w:r>
    </w:p>
    <w:p w14:paraId="46B76DE3" w14:textId="77777777" w:rsidR="00AD34E6" w:rsidRPr="00135C74" w:rsidRDefault="00AD34E6" w:rsidP="002C53EA">
      <w:pPr>
        <w:spacing w:line="480" w:lineRule="auto"/>
        <w:jc w:val="both"/>
        <w:rPr>
          <w:color w:val="000000" w:themeColor="text1"/>
        </w:rPr>
      </w:pPr>
    </w:p>
    <w:p w14:paraId="7C82BC42" w14:textId="526009F3" w:rsidR="002C53EA" w:rsidRPr="00135C74" w:rsidRDefault="001870C5" w:rsidP="002C53EA">
      <w:pPr>
        <w:spacing w:line="480" w:lineRule="auto"/>
        <w:jc w:val="both"/>
        <w:rPr>
          <w:color w:val="000000" w:themeColor="text1"/>
        </w:rPr>
      </w:pPr>
      <w:r>
        <w:rPr>
          <w:color w:val="000000" w:themeColor="text1"/>
        </w:rPr>
        <w:t>Because</w:t>
      </w:r>
      <w:r w:rsidR="002C53EA" w:rsidRPr="00135C74">
        <w:rPr>
          <w:color w:val="000000" w:themeColor="text1"/>
        </w:rPr>
        <w:t xml:space="preserve"> the data were collected from </w:t>
      </w:r>
      <w:r w:rsidR="00D411DC" w:rsidRPr="00135C74">
        <w:rPr>
          <w:color w:val="000000" w:themeColor="text1"/>
        </w:rPr>
        <w:t xml:space="preserve">three </w:t>
      </w:r>
      <w:r w:rsidR="002C53EA" w:rsidRPr="00135C74">
        <w:rPr>
          <w:color w:val="000000" w:themeColor="text1"/>
        </w:rPr>
        <w:t xml:space="preserve">countries, measurement equivalence was ensured by following the steps outlined by </w:t>
      </w:r>
      <w:proofErr w:type="spellStart"/>
      <w:r w:rsidR="002C53EA" w:rsidRPr="00135C74">
        <w:rPr>
          <w:color w:val="000000" w:themeColor="text1"/>
        </w:rPr>
        <w:t>Wiengarten</w:t>
      </w:r>
      <w:proofErr w:type="spellEnd"/>
      <w:r w:rsidR="002C53EA" w:rsidRPr="00135C74">
        <w:rPr>
          <w:color w:val="000000" w:themeColor="text1"/>
        </w:rPr>
        <w:t xml:space="preserve"> </w:t>
      </w:r>
      <w:r w:rsidR="002C53EA" w:rsidRPr="00135C74">
        <w:rPr>
          <w:i/>
          <w:color w:val="000000" w:themeColor="text1"/>
        </w:rPr>
        <w:t>et al</w:t>
      </w:r>
      <w:r w:rsidR="002C53EA" w:rsidRPr="00135C74">
        <w:rPr>
          <w:color w:val="000000" w:themeColor="text1"/>
        </w:rPr>
        <w:t>. (2012)</w:t>
      </w:r>
      <w:r w:rsidR="00323DF5">
        <w:rPr>
          <w:color w:val="000000" w:themeColor="text1"/>
        </w:rPr>
        <w:t>:</w:t>
      </w:r>
      <w:r w:rsidR="002C53EA" w:rsidRPr="00135C74">
        <w:rPr>
          <w:color w:val="000000" w:themeColor="text1"/>
        </w:rPr>
        <w:t xml:space="preserve"> calibration, translation and metric equivalence. The measurement units on </w:t>
      </w:r>
      <w:r w:rsidR="00323DF5">
        <w:rPr>
          <w:color w:val="000000" w:themeColor="text1"/>
        </w:rPr>
        <w:t>the 7</w:t>
      </w:r>
      <w:r w:rsidR="002C53EA" w:rsidRPr="00135C74">
        <w:rPr>
          <w:color w:val="000000" w:themeColor="text1"/>
        </w:rPr>
        <w:t xml:space="preserve">-point Likert scales did not require calibration </w:t>
      </w:r>
      <w:r w:rsidR="002C53EA" w:rsidRPr="00135C74">
        <w:rPr>
          <w:color w:val="000000" w:themeColor="text1"/>
        </w:rPr>
        <w:lastRenderedPageBreak/>
        <w:t xml:space="preserve">across countries, and their associated explanations (completely disagree to completely agree) </w:t>
      </w:r>
      <w:r w:rsidR="00323DF5">
        <w:rPr>
          <w:color w:val="000000" w:themeColor="text1"/>
        </w:rPr>
        <w:t>could be</w:t>
      </w:r>
      <w:r w:rsidR="00323DF5" w:rsidRPr="00135C74">
        <w:rPr>
          <w:color w:val="000000" w:themeColor="text1"/>
        </w:rPr>
        <w:t xml:space="preserve"> </w:t>
      </w:r>
      <w:r w:rsidR="002C53EA" w:rsidRPr="00135C74">
        <w:rPr>
          <w:color w:val="000000" w:themeColor="text1"/>
        </w:rPr>
        <w:t xml:space="preserve">universally understood. Regarding translation equivalence, the </w:t>
      </w:r>
      <w:r w:rsidR="002C53EA" w:rsidRPr="00135C74">
        <w:t xml:space="preserve">questionnaire was designed simultaneously in English and Finnish and later translated into German by two native </w:t>
      </w:r>
      <w:r w:rsidR="002C53EA" w:rsidRPr="00135C74">
        <w:rPr>
          <w:color w:val="000000" w:themeColor="text1"/>
        </w:rPr>
        <w:t>speakers. Versions were compared and refined when necessary. To assess</w:t>
      </w:r>
      <w:r w:rsidR="00140895">
        <w:rPr>
          <w:color w:val="000000" w:themeColor="text1"/>
        </w:rPr>
        <w:t xml:space="preserve"> the</w:t>
      </w:r>
      <w:r w:rsidR="002C53EA" w:rsidRPr="00135C74">
        <w:rPr>
          <w:color w:val="000000" w:themeColor="text1"/>
        </w:rPr>
        <w:t xml:space="preserve"> metric equivalence, Cronbach’s alphas were calculated separately for each measurement scale by country. </w:t>
      </w:r>
      <w:r w:rsidR="006B2A94">
        <w:rPr>
          <w:color w:val="000000" w:themeColor="text1"/>
        </w:rPr>
        <w:t xml:space="preserve">The variance of </w:t>
      </w:r>
      <w:r w:rsidR="002C53EA" w:rsidRPr="00135C74">
        <w:rPr>
          <w:color w:val="000000" w:themeColor="text1"/>
        </w:rPr>
        <w:t>alpha value</w:t>
      </w:r>
      <w:r w:rsidR="006B2A94">
        <w:rPr>
          <w:color w:val="000000" w:themeColor="text1"/>
        </w:rPr>
        <w:t>s</w:t>
      </w:r>
      <w:r w:rsidR="002C53EA" w:rsidRPr="00135C74">
        <w:rPr>
          <w:color w:val="000000" w:themeColor="text1"/>
        </w:rPr>
        <w:t xml:space="preserve"> </w:t>
      </w:r>
      <w:r w:rsidR="006B2A94">
        <w:rPr>
          <w:color w:val="000000" w:themeColor="text1"/>
        </w:rPr>
        <w:t>was below</w:t>
      </w:r>
      <w:r w:rsidR="002C53EA" w:rsidRPr="00135C74">
        <w:rPr>
          <w:color w:val="000000" w:themeColor="text1"/>
        </w:rPr>
        <w:t xml:space="preserve"> the threshold</w:t>
      </w:r>
      <w:r w:rsidR="006B2A94">
        <w:rPr>
          <w:color w:val="000000" w:themeColor="text1"/>
        </w:rPr>
        <w:t xml:space="preserve"> of 0.10</w:t>
      </w:r>
      <w:r w:rsidR="002C53EA" w:rsidRPr="00135C74">
        <w:rPr>
          <w:color w:val="000000" w:themeColor="text1"/>
        </w:rPr>
        <w:t>, indicating consistent scoring across countries</w:t>
      </w:r>
      <w:r w:rsidR="006B2A94">
        <w:rPr>
          <w:color w:val="000000" w:themeColor="text1"/>
        </w:rPr>
        <w:t xml:space="preserve"> (</w:t>
      </w:r>
      <w:proofErr w:type="spellStart"/>
      <w:r w:rsidR="006B2A94">
        <w:rPr>
          <w:color w:val="000000" w:themeColor="text1"/>
        </w:rPr>
        <w:t>Rungtusanatham</w:t>
      </w:r>
      <w:proofErr w:type="spellEnd"/>
      <w:r w:rsidR="006B2A94">
        <w:rPr>
          <w:color w:val="000000" w:themeColor="text1"/>
        </w:rPr>
        <w:t xml:space="preserve"> et al., 2005, </w:t>
      </w:r>
      <w:proofErr w:type="spellStart"/>
      <w:r w:rsidR="006B2A94">
        <w:rPr>
          <w:color w:val="000000" w:themeColor="text1"/>
        </w:rPr>
        <w:t>Wiengarten</w:t>
      </w:r>
      <w:proofErr w:type="spellEnd"/>
      <w:r w:rsidR="006B2A94">
        <w:rPr>
          <w:color w:val="000000" w:themeColor="text1"/>
        </w:rPr>
        <w:t xml:space="preserve"> and </w:t>
      </w:r>
      <w:proofErr w:type="spellStart"/>
      <w:r w:rsidR="006B2A94">
        <w:rPr>
          <w:color w:val="000000" w:themeColor="text1"/>
        </w:rPr>
        <w:t>Pagell</w:t>
      </w:r>
      <w:proofErr w:type="spellEnd"/>
      <w:r w:rsidR="006B2A94">
        <w:rPr>
          <w:color w:val="000000" w:themeColor="text1"/>
        </w:rPr>
        <w:t>, 2012)</w:t>
      </w:r>
      <w:r w:rsidR="002C53EA" w:rsidRPr="00135C74">
        <w:rPr>
          <w:color w:val="000000" w:themeColor="text1"/>
        </w:rPr>
        <w:t>.</w:t>
      </w:r>
    </w:p>
    <w:p w14:paraId="05FF8399" w14:textId="77777777" w:rsidR="00AD34E6" w:rsidRPr="00135C74" w:rsidRDefault="00AD34E6" w:rsidP="002C53EA">
      <w:pPr>
        <w:spacing w:line="480" w:lineRule="auto"/>
        <w:jc w:val="both"/>
        <w:rPr>
          <w:color w:val="000000" w:themeColor="text1"/>
        </w:rPr>
      </w:pPr>
    </w:p>
    <w:p w14:paraId="3E7D37E6" w14:textId="77777777" w:rsidR="002C53EA" w:rsidRPr="00135C74" w:rsidRDefault="002C53EA" w:rsidP="002C53EA">
      <w:pPr>
        <w:spacing w:line="480" w:lineRule="auto"/>
        <w:jc w:val="both"/>
        <w:rPr>
          <w:i/>
        </w:rPr>
      </w:pPr>
      <w:r w:rsidRPr="00135C74">
        <w:rPr>
          <w:i/>
        </w:rPr>
        <w:t>4.2 Regression results</w:t>
      </w:r>
    </w:p>
    <w:p w14:paraId="7EC94FF2" w14:textId="257DBEDC" w:rsidR="00BF760A" w:rsidRDefault="002C53EA" w:rsidP="002C53EA">
      <w:pPr>
        <w:spacing w:line="480" w:lineRule="auto"/>
        <w:jc w:val="both"/>
      </w:pPr>
      <w:r w:rsidRPr="00135C74">
        <w:t xml:space="preserve">Table </w:t>
      </w:r>
      <w:r w:rsidR="001A48F0" w:rsidRPr="00135C74">
        <w:t>8</w:t>
      </w:r>
      <w:r w:rsidRPr="00135C74">
        <w:t xml:space="preserve"> outlines the results of several hierarchical regression models.</w:t>
      </w:r>
      <w:r w:rsidR="00BF760A">
        <w:t xml:space="preserve"> The assumptions of linear regression were first tested. </w:t>
      </w:r>
      <w:r w:rsidR="00BF760A" w:rsidRPr="00BF760A">
        <w:t>The absolute values for univariate skewness and kurtosis were below the recommended thresholds of 2 and 7</w:t>
      </w:r>
      <w:r w:rsidR="005F5806">
        <w:t xml:space="preserve">, </w:t>
      </w:r>
      <w:r w:rsidR="00BF760A" w:rsidRPr="00BF760A">
        <w:t>respectively (Curran et al., 1996)</w:t>
      </w:r>
      <w:r w:rsidR="00BE428A">
        <w:t>.</w:t>
      </w:r>
      <w:r w:rsidRPr="00135C74">
        <w:t xml:space="preserve"> </w:t>
      </w:r>
      <w:r w:rsidR="005F5806" w:rsidRPr="005F5806">
        <w:t>Standardised residuals were plotted against the standardised predicted values</w:t>
      </w:r>
      <w:r w:rsidR="005F5806">
        <w:t xml:space="preserve">, which supported </w:t>
      </w:r>
      <w:r w:rsidR="005F5806" w:rsidRPr="005F5806">
        <w:t>linearity and equality of variances</w:t>
      </w:r>
      <w:r w:rsidR="005F5806">
        <w:t xml:space="preserve"> (Hair et al., 2010). </w:t>
      </w:r>
      <w:r w:rsidR="005F5806" w:rsidRPr="005F5806">
        <w:t xml:space="preserve"> </w:t>
      </w:r>
      <w:r w:rsidRPr="00135C74">
        <w:t>To avoid multicollinearity</w:t>
      </w:r>
      <w:r w:rsidR="00E06EB6">
        <w:t xml:space="preserve"> issues</w:t>
      </w:r>
      <w:r w:rsidRPr="00135C74">
        <w:t>, the independent and dependent variables were standardi</w:t>
      </w:r>
      <w:r w:rsidR="00B4370D">
        <w:t>s</w:t>
      </w:r>
      <w:r w:rsidRPr="00135C74">
        <w:t xml:space="preserve">ed before </w:t>
      </w:r>
      <w:r w:rsidR="000F3D2B">
        <w:t>being</w:t>
      </w:r>
      <w:r w:rsidRPr="00135C74">
        <w:t xml:space="preserve"> entered into the regression model. </w:t>
      </w:r>
      <w:r w:rsidR="00700E93">
        <w:t>The v</w:t>
      </w:r>
      <w:r w:rsidRPr="00135C74">
        <w:t>ariance inflation factors (VIF) are presented in Table 5</w:t>
      </w:r>
      <w:r w:rsidR="00700E93">
        <w:t>,</w:t>
      </w:r>
      <w:r w:rsidRPr="00135C74">
        <w:t xml:space="preserve"> and apart from one item (RECO3), they are below the commonly accepted threshold value of 5. </w:t>
      </w:r>
      <w:r w:rsidR="00BF760A">
        <w:t>Because</w:t>
      </w:r>
      <w:r w:rsidR="00BF760A" w:rsidRPr="00BF760A">
        <w:t xml:space="preserve"> we detected the existence of heteroscedasticity through the Breusch-Pagan test</w:t>
      </w:r>
      <w:r w:rsidR="006B2A94">
        <w:t xml:space="preserve"> </w:t>
      </w:r>
      <w:r w:rsidR="00BF760A">
        <w:t>(p&lt;0.01)</w:t>
      </w:r>
      <w:r w:rsidR="00BF760A" w:rsidRPr="00BF760A">
        <w:t xml:space="preserve"> we use</w:t>
      </w:r>
      <w:r w:rsidR="00BF760A">
        <w:t>d</w:t>
      </w:r>
      <w:r w:rsidR="00BF760A" w:rsidRPr="00BF760A">
        <w:t xml:space="preserve"> robust standard error terms</w:t>
      </w:r>
      <w:r w:rsidR="005F5806">
        <w:t xml:space="preserve">. </w:t>
      </w:r>
    </w:p>
    <w:p w14:paraId="64D63936" w14:textId="496AA331" w:rsidR="002C53EA" w:rsidRPr="00135C74" w:rsidRDefault="002C53EA" w:rsidP="002C53EA">
      <w:pPr>
        <w:spacing w:line="480" w:lineRule="auto"/>
        <w:jc w:val="both"/>
      </w:pPr>
      <w:r w:rsidRPr="00135C74">
        <w:t>In addition to the base model (only control variables), there are five models: Model 1 includes the main effects, Model 2 adds TOP</w:t>
      </w:r>
      <w:r w:rsidR="00700E93">
        <w:t xml:space="preserve"> </w:t>
      </w:r>
      <w:r w:rsidRPr="00135C74">
        <w:t>DOWN and BOTTOM</w:t>
      </w:r>
      <w:r w:rsidR="00700E93">
        <w:t xml:space="preserve"> </w:t>
      </w:r>
      <w:r w:rsidRPr="00135C74">
        <w:t xml:space="preserve">UP as moderators, Model 3 adds </w:t>
      </w:r>
      <w:r w:rsidR="00B62DFF">
        <w:t xml:space="preserve">the </w:t>
      </w:r>
      <w:r w:rsidRPr="00135C74">
        <w:t xml:space="preserve">interaction terms, Model 4 adds </w:t>
      </w:r>
      <w:r w:rsidR="00552FBB" w:rsidRPr="00135C74">
        <w:t>IM</w:t>
      </w:r>
      <w:r w:rsidRPr="00135C74">
        <w:t xml:space="preserve">BALANCE as the moderator, and Model 5 adds the interaction term of </w:t>
      </w:r>
      <w:r w:rsidR="00552FBB" w:rsidRPr="00135C74">
        <w:t>IM</w:t>
      </w:r>
      <w:r w:rsidRPr="00135C74">
        <w:t>BALANCE. All models exceed</w:t>
      </w:r>
      <w:r w:rsidR="00907A2D">
        <w:t>ed</w:t>
      </w:r>
      <w:r w:rsidRPr="00135C74">
        <w:t xml:space="preserve"> the threshold of 0.80 for statistical power, </w:t>
      </w:r>
      <w:r w:rsidR="00907A2D">
        <w:t>implying</w:t>
      </w:r>
      <w:r w:rsidRPr="00135C74">
        <w:t xml:space="preserve"> that the sample size is adequate to support hypothesis testing (MacCallum </w:t>
      </w:r>
      <w:r w:rsidRPr="00135C74">
        <w:rPr>
          <w:i/>
        </w:rPr>
        <w:t>et al</w:t>
      </w:r>
      <w:r w:rsidRPr="00135C74">
        <w:t>., 1996).</w:t>
      </w:r>
    </w:p>
    <w:p w14:paraId="095DB179" w14:textId="1C467156" w:rsidR="002C53EA" w:rsidRPr="00135C74" w:rsidRDefault="002C53EA" w:rsidP="002C53EA">
      <w:pPr>
        <w:spacing w:line="480" w:lineRule="auto"/>
        <w:jc w:val="both"/>
      </w:pPr>
      <w:r w:rsidRPr="00135C74">
        <w:lastRenderedPageBreak/>
        <w:t xml:space="preserve">Regarding the control variables, firm size in terms of TURNOVER plays a role in only some of the alternative models, with p &lt; 0.10. Thus, the relatively weak associations of TURNOVER with SUPPLY RESILIENCE are not discussed further. By contrast, the data suggest that COVID-19 IMPACT has had a negative effect on SUPPLY RESILIENCE across the observed alternative models, predominantly at the p &lt; 0.01 level, indicating the salient association of these variables. </w:t>
      </w:r>
    </w:p>
    <w:p w14:paraId="366827CD" w14:textId="77777777" w:rsidR="00AD34E6" w:rsidRPr="00135C74" w:rsidRDefault="00AD34E6" w:rsidP="002C53EA">
      <w:pPr>
        <w:spacing w:line="480" w:lineRule="auto"/>
        <w:jc w:val="both"/>
      </w:pPr>
    </w:p>
    <w:p w14:paraId="6A6E352A" w14:textId="7A09E52F" w:rsidR="002C53EA" w:rsidRPr="00135C74" w:rsidRDefault="002C53EA" w:rsidP="002C53EA">
      <w:pPr>
        <w:spacing w:line="480" w:lineRule="auto"/>
        <w:rPr>
          <w:b/>
        </w:rPr>
      </w:pPr>
      <w:r w:rsidRPr="00135C74">
        <w:rPr>
          <w:b/>
        </w:rPr>
        <w:t xml:space="preserve">Table </w:t>
      </w:r>
      <w:r w:rsidR="001A48F0" w:rsidRPr="00135C74">
        <w:rPr>
          <w:b/>
        </w:rPr>
        <w:t>8</w:t>
      </w:r>
      <w:r w:rsidRPr="00135C74">
        <w:rPr>
          <w:b/>
        </w:rPr>
        <w:t xml:space="preserve">. </w:t>
      </w:r>
      <w:r w:rsidRPr="00135C74">
        <w:t>Regression models for hypothesis testing</w:t>
      </w:r>
    </w:p>
    <w:p w14:paraId="20FA6DAB" w14:textId="74990559" w:rsidR="002C53EA" w:rsidRPr="00135C74" w:rsidRDefault="002C53EA" w:rsidP="002C53EA">
      <w:pPr>
        <w:spacing w:line="480" w:lineRule="auto"/>
        <w:rPr>
          <w:i/>
          <w:lang w:eastAsia="fi-FI"/>
        </w:rPr>
      </w:pPr>
      <w:r w:rsidRPr="00135C74">
        <w:rPr>
          <w:i/>
          <w:lang w:eastAsia="fi-FI"/>
        </w:rPr>
        <w:t>&lt;Insert Table 7 approximately here&gt;</w:t>
      </w:r>
    </w:p>
    <w:p w14:paraId="2D6F1CF9" w14:textId="180F9519" w:rsidR="007B794F" w:rsidRPr="00135C74" w:rsidRDefault="007B794F" w:rsidP="002C53EA">
      <w:pPr>
        <w:spacing w:line="480" w:lineRule="auto"/>
        <w:rPr>
          <w:i/>
          <w:lang w:eastAsia="fi-FI"/>
        </w:rPr>
      </w:pPr>
    </w:p>
    <w:p w14:paraId="5A0E61ED" w14:textId="3FBD90FF" w:rsidR="00D411DC" w:rsidRPr="00135C74" w:rsidRDefault="002C53EA" w:rsidP="002C53EA">
      <w:pPr>
        <w:spacing w:line="480" w:lineRule="auto"/>
        <w:jc w:val="both"/>
      </w:pPr>
      <w:r w:rsidRPr="00135C74">
        <w:t>SOURCES and RECOVERABILITY both have a significant positive association with SUPPLY RESILIENCE</w:t>
      </w:r>
      <w:r w:rsidR="00B4370D">
        <w:t>;</w:t>
      </w:r>
      <w:r w:rsidRPr="00135C74">
        <w:t xml:space="preserve"> thus</w:t>
      </w:r>
      <w:r w:rsidR="00B4370D">
        <w:t>,</w:t>
      </w:r>
      <w:r w:rsidRPr="00135C74">
        <w:t xml:space="preserve"> both H1 and H2 are confirmed </w:t>
      </w:r>
      <w:r w:rsidRPr="000B55A8">
        <w:t xml:space="preserve">(see </w:t>
      </w:r>
      <w:r w:rsidR="00077142" w:rsidRPr="000B55A8">
        <w:t>M</w:t>
      </w:r>
      <w:r w:rsidR="00647AAC" w:rsidRPr="000B55A8">
        <w:t>1</w:t>
      </w:r>
      <w:r w:rsidRPr="000B55A8">
        <w:t xml:space="preserve">). </w:t>
      </w:r>
      <w:r w:rsidR="00552FBB" w:rsidRPr="00135C74">
        <w:t>Interestingly, if SOURCES and RECOVERABILITY exist without TOP</w:t>
      </w:r>
      <w:r w:rsidR="00907A2D">
        <w:t xml:space="preserve"> </w:t>
      </w:r>
      <w:r w:rsidR="00552FBB" w:rsidRPr="00135C74">
        <w:t>DOWN and BOTTOM</w:t>
      </w:r>
      <w:r w:rsidR="00907A2D">
        <w:t xml:space="preserve"> </w:t>
      </w:r>
      <w:r w:rsidR="00552FBB" w:rsidRPr="00135C74">
        <w:t>UP (M1),</w:t>
      </w:r>
      <w:r w:rsidR="00B4370D">
        <w:t xml:space="preserve"> the</w:t>
      </w:r>
      <w:r w:rsidR="00552FBB" w:rsidRPr="00135C74">
        <w:t xml:space="preserve"> </w:t>
      </w:r>
      <w:r w:rsidR="00236694" w:rsidRPr="00135C74">
        <w:t xml:space="preserve">attentional perspective on network recoverability demonstrates a higher coefficient. When disruption detection constructs are added, SOURCES becomes more important than RECOVERABILITY. </w:t>
      </w:r>
    </w:p>
    <w:p w14:paraId="424DF1B1" w14:textId="282BD15D" w:rsidR="002C53EA" w:rsidRPr="00135C74" w:rsidRDefault="00D411DC" w:rsidP="002C53EA">
      <w:pPr>
        <w:spacing w:line="480" w:lineRule="auto"/>
        <w:jc w:val="both"/>
      </w:pPr>
      <w:r w:rsidRPr="00135C74">
        <w:rPr>
          <w:color w:val="000000" w:themeColor="text1"/>
        </w:rPr>
        <w:t>A</w:t>
      </w:r>
      <w:r w:rsidR="00647AAC" w:rsidRPr="00135C74">
        <w:rPr>
          <w:color w:val="000000" w:themeColor="text1"/>
        </w:rPr>
        <w:t xml:space="preserve"> Wald test </w:t>
      </w:r>
      <w:r w:rsidR="0047730A">
        <w:rPr>
          <w:color w:val="000000" w:themeColor="text1"/>
        </w:rPr>
        <w:t>was</w:t>
      </w:r>
      <w:r w:rsidR="0047730A" w:rsidRPr="00135C74">
        <w:rPr>
          <w:color w:val="000000" w:themeColor="text1"/>
        </w:rPr>
        <w:t xml:space="preserve"> </w:t>
      </w:r>
      <w:r w:rsidRPr="00135C74">
        <w:rPr>
          <w:color w:val="000000" w:themeColor="text1"/>
        </w:rPr>
        <w:t xml:space="preserve">used </w:t>
      </w:r>
      <w:r w:rsidR="00647AAC" w:rsidRPr="00135C74">
        <w:rPr>
          <w:color w:val="000000" w:themeColor="text1"/>
        </w:rPr>
        <w:t>to evaluate H3</w:t>
      </w:r>
      <w:r w:rsidR="00647AAC" w:rsidRPr="00135C74">
        <w:rPr>
          <w:color w:val="FF0000"/>
        </w:rPr>
        <w:t xml:space="preserve">. </w:t>
      </w:r>
      <w:r w:rsidR="002C53EA" w:rsidRPr="00135C74">
        <w:t xml:space="preserve">However, there </w:t>
      </w:r>
      <w:r w:rsidR="00D720F3">
        <w:t>wa</w:t>
      </w:r>
      <w:r w:rsidR="00D720F3" w:rsidRPr="00135C74">
        <w:t xml:space="preserve">s </w:t>
      </w:r>
      <w:r w:rsidR="002C53EA" w:rsidRPr="00135C74">
        <w:t>no statistically significant difference between the coefficients of these independents</w:t>
      </w:r>
      <w:r w:rsidR="00647AAC" w:rsidRPr="00135C74">
        <w:t xml:space="preserve"> </w:t>
      </w:r>
      <w:r w:rsidR="00647AAC" w:rsidRPr="00135C74">
        <w:rPr>
          <w:color w:val="000000" w:themeColor="text1"/>
        </w:rPr>
        <w:t>(W = 0.407, p = 0.34</w:t>
      </w:r>
      <w:r w:rsidR="00876924" w:rsidRPr="00135C74">
        <w:rPr>
          <w:color w:val="000000" w:themeColor="text1"/>
        </w:rPr>
        <w:t>2</w:t>
      </w:r>
      <w:r w:rsidR="00647AAC" w:rsidRPr="00135C74">
        <w:rPr>
          <w:color w:val="000000" w:themeColor="text1"/>
        </w:rPr>
        <w:t>)</w:t>
      </w:r>
      <w:r w:rsidR="002C53EA" w:rsidRPr="00135C74">
        <w:rPr>
          <w:color w:val="000000" w:themeColor="text1"/>
        </w:rPr>
        <w:t>,</w:t>
      </w:r>
      <w:r w:rsidR="002C53EA" w:rsidRPr="00135C74">
        <w:t xml:space="preserve"> so H3 </w:t>
      </w:r>
      <w:r w:rsidR="00C56E21">
        <w:t>can be</w:t>
      </w:r>
      <w:r w:rsidR="00C56E21" w:rsidRPr="00135C74">
        <w:t xml:space="preserve"> </w:t>
      </w:r>
      <w:r w:rsidR="002C53EA" w:rsidRPr="00135C74">
        <w:t>refuted. Essentially, both attentional perspectives on supply disruption risk management contribute to increased supply resilience, yet the data do not suggest the superiority of either attentional perspective in terms of i</w:t>
      </w:r>
      <w:r w:rsidR="00B4370D">
        <w:t>ts</w:t>
      </w:r>
      <w:r w:rsidR="002C53EA" w:rsidRPr="00135C74">
        <w:t xml:space="preserve"> beneficial impact. </w:t>
      </w:r>
    </w:p>
    <w:p w14:paraId="433DF276" w14:textId="0FC14A1A" w:rsidR="002C53EA" w:rsidRPr="00135C74" w:rsidRDefault="002C53EA" w:rsidP="002C53EA">
      <w:pPr>
        <w:spacing w:line="480" w:lineRule="auto"/>
        <w:jc w:val="both"/>
      </w:pPr>
      <w:r w:rsidRPr="00135C74">
        <w:t>We consider</w:t>
      </w:r>
      <w:r w:rsidR="00883EAF">
        <w:t>ed</w:t>
      </w:r>
      <w:r w:rsidRPr="00135C74">
        <w:t xml:space="preserve"> the two attentional selection constructs separately (TOP</w:t>
      </w:r>
      <w:r w:rsidR="00474131">
        <w:t xml:space="preserve"> </w:t>
      </w:r>
      <w:r w:rsidRPr="00135C74">
        <w:t>DOWN, BOTTOM</w:t>
      </w:r>
      <w:r w:rsidR="00474131">
        <w:t xml:space="preserve"> </w:t>
      </w:r>
      <w:r w:rsidRPr="00135C74">
        <w:t>UP)</w:t>
      </w:r>
      <w:r w:rsidR="00474131">
        <w:t>,</w:t>
      </w:r>
      <w:r w:rsidRPr="00135C74">
        <w:t xml:space="preserve"> as well as their role as moderators </w:t>
      </w:r>
      <w:r w:rsidR="00474131">
        <w:t>in</w:t>
      </w:r>
      <w:r w:rsidRPr="00135C74">
        <w:t xml:space="preserve"> the association between the independent variables and the SUPPLY RESILIENCE variable. Contrary to H4a and H4b, the data do not support the hypothesi</w:t>
      </w:r>
      <w:r w:rsidR="001870C5">
        <w:t>s</w:t>
      </w:r>
      <w:r w:rsidRPr="00135C74">
        <w:t>ed role of TOP</w:t>
      </w:r>
      <w:r w:rsidR="00474131">
        <w:t xml:space="preserve"> </w:t>
      </w:r>
      <w:r w:rsidRPr="00135C74">
        <w:t>DOWN as a moderator (</w:t>
      </w:r>
      <w:r w:rsidR="00647AAC" w:rsidRPr="00135C74">
        <w:rPr>
          <w:color w:val="000000" w:themeColor="text1"/>
        </w:rPr>
        <w:t>M3</w:t>
      </w:r>
      <w:r w:rsidRPr="00135C74">
        <w:t xml:space="preserve">), and similar conclusions must be </w:t>
      </w:r>
      <w:r w:rsidRPr="00135C74">
        <w:lastRenderedPageBreak/>
        <w:t xml:space="preserve">drawn regarding H5a and H5b. Therefore, neither attentional selection type regarding disruption detection enhances the beneficial impacts of </w:t>
      </w:r>
      <w:r w:rsidR="00474131">
        <w:t xml:space="preserve">the </w:t>
      </w:r>
      <w:r w:rsidRPr="00135C74">
        <w:t xml:space="preserve">supply risk management perspectives on supply resilience. In other words, with separate attentional selection constructs, the moderating role of disruption detection </w:t>
      </w:r>
      <w:r w:rsidR="008A2A23">
        <w:t>can</w:t>
      </w:r>
      <w:r w:rsidRPr="00135C74">
        <w:t xml:space="preserve">not </w:t>
      </w:r>
      <w:r w:rsidR="008A2A23">
        <w:t xml:space="preserve">be </w:t>
      </w:r>
      <w:r w:rsidRPr="00135C74">
        <w:t xml:space="preserve">confirmed. </w:t>
      </w:r>
    </w:p>
    <w:p w14:paraId="2D0F5F41" w14:textId="374421F4" w:rsidR="00552FBB" w:rsidRPr="00135C74" w:rsidRDefault="00D411DC" w:rsidP="002C53EA">
      <w:pPr>
        <w:spacing w:line="480" w:lineRule="auto"/>
        <w:jc w:val="both"/>
      </w:pPr>
      <w:r w:rsidRPr="00135C74">
        <w:t>T</w:t>
      </w:r>
      <w:r w:rsidR="002C53EA" w:rsidRPr="00135C74">
        <w:t xml:space="preserve">he hypotheses relating to the attentional selection construct of </w:t>
      </w:r>
      <w:r w:rsidR="00B112FF" w:rsidRPr="00135C74">
        <w:t>IM</w:t>
      </w:r>
      <w:r w:rsidR="002C53EA" w:rsidRPr="00135C74">
        <w:t>BALANCE, in which TOP</w:t>
      </w:r>
      <w:r w:rsidR="00474131">
        <w:t xml:space="preserve"> </w:t>
      </w:r>
      <w:r w:rsidR="002C53EA" w:rsidRPr="00135C74">
        <w:t>DOWN and BOTTOM</w:t>
      </w:r>
      <w:r w:rsidR="00474131">
        <w:t xml:space="preserve"> </w:t>
      </w:r>
      <w:r w:rsidR="002C53EA" w:rsidRPr="00135C74">
        <w:t xml:space="preserve">UP are combined, </w:t>
      </w:r>
      <w:r w:rsidR="00C0463E">
        <w:t>wa</w:t>
      </w:r>
      <w:r w:rsidR="00C0463E" w:rsidRPr="00135C74">
        <w:t xml:space="preserve">s </w:t>
      </w:r>
      <w:r w:rsidRPr="00135C74">
        <w:t xml:space="preserve">tested </w:t>
      </w:r>
      <w:r w:rsidR="002C53EA" w:rsidRPr="00135C74">
        <w:t>by calculating the absolute difference of the component constructs. It was hypothesi</w:t>
      </w:r>
      <w:r w:rsidR="001870C5">
        <w:t>s</w:t>
      </w:r>
      <w:r w:rsidR="002C53EA" w:rsidRPr="00135C74">
        <w:t xml:space="preserve">ed that </w:t>
      </w:r>
      <w:r w:rsidR="00B112FF" w:rsidRPr="00135C74">
        <w:t>imbalance in the levels of</w:t>
      </w:r>
      <w:r w:rsidR="00B4370D">
        <w:t xml:space="preserve"> the</w:t>
      </w:r>
      <w:r w:rsidR="00B112FF" w:rsidRPr="00135C74">
        <w:t xml:space="preserve"> </w:t>
      </w:r>
      <w:r w:rsidR="002C53EA" w:rsidRPr="00135C74">
        <w:t xml:space="preserve">two types of attentional selection for supply disruption detection </w:t>
      </w:r>
      <w:r w:rsidR="00C0463E">
        <w:t>would be</w:t>
      </w:r>
      <w:r w:rsidR="00B112FF" w:rsidRPr="00135C74">
        <w:t xml:space="preserve"> detrimental and that it</w:t>
      </w:r>
      <w:r w:rsidR="00C0463E">
        <w:t xml:space="preserve"> would</w:t>
      </w:r>
      <w:r w:rsidR="00B112FF" w:rsidRPr="00135C74">
        <w:t xml:space="preserve"> diminish the effects of SOURCES and RECOVERABILITY on SUPPLY RESILIENCE</w:t>
      </w:r>
      <w:r w:rsidR="002C53EA" w:rsidRPr="00135C74">
        <w:t xml:space="preserve">. Thus, in terms of the values of </w:t>
      </w:r>
      <w:r w:rsidR="00552FBB" w:rsidRPr="00135C74">
        <w:t>IM</w:t>
      </w:r>
      <w:r w:rsidR="002C53EA" w:rsidRPr="00135C74">
        <w:t>BALANCE, the lower the value</w:t>
      </w:r>
      <w:r w:rsidR="00C0463E">
        <w:t>,</w:t>
      </w:r>
      <w:r w:rsidR="002C53EA" w:rsidRPr="00135C74">
        <w:t xml:space="preserve"> the better. A look at </w:t>
      </w:r>
      <w:r w:rsidR="00552FBB" w:rsidRPr="00135C74">
        <w:t>M5</w:t>
      </w:r>
      <w:r w:rsidR="002C53EA" w:rsidRPr="00135C74">
        <w:t xml:space="preserve"> indicates that both H6a and H6b </w:t>
      </w:r>
      <w:r w:rsidR="00C0463E">
        <w:t>can be</w:t>
      </w:r>
      <w:r w:rsidR="00C0463E" w:rsidRPr="00135C74">
        <w:t xml:space="preserve"> </w:t>
      </w:r>
      <w:r w:rsidR="002C53EA" w:rsidRPr="00135C74">
        <w:t xml:space="preserve">supported by our data. This outcome suggests that </w:t>
      </w:r>
      <w:r w:rsidR="00552FBB" w:rsidRPr="00135C74">
        <w:t>IM</w:t>
      </w:r>
      <w:r w:rsidR="002C53EA" w:rsidRPr="00135C74">
        <w:t xml:space="preserve">BALANCE serves as a negative moderator for both attentional perspectives regarding supply risk management. In particular, the </w:t>
      </w:r>
      <w:r w:rsidR="00552FBB" w:rsidRPr="00135C74">
        <w:t xml:space="preserve">higher </w:t>
      </w:r>
      <w:r w:rsidR="002C53EA" w:rsidRPr="00135C74">
        <w:t xml:space="preserve">the difference is between the underlying components of </w:t>
      </w:r>
      <w:r w:rsidR="00552FBB" w:rsidRPr="00135C74">
        <w:t>IM</w:t>
      </w:r>
      <w:r w:rsidR="002C53EA" w:rsidRPr="00135C74">
        <w:t>BALANCE, the</w:t>
      </w:r>
      <w:r w:rsidR="00236694" w:rsidRPr="00135C74">
        <w:t xml:space="preserve"> </w:t>
      </w:r>
      <w:r w:rsidR="00552FBB" w:rsidRPr="00135C74">
        <w:t>lower</w:t>
      </w:r>
      <w:r w:rsidR="002C53EA" w:rsidRPr="00135C74">
        <w:t xml:space="preserve"> the SUPPLY RESILIENCE</w:t>
      </w:r>
      <w:r w:rsidR="00C0463E">
        <w:t xml:space="preserve"> will be</w:t>
      </w:r>
      <w:r w:rsidR="002C53EA" w:rsidRPr="00135C74">
        <w:t xml:space="preserve">. These key results are statistically significant at the minimum level of p &lt; 0.05. The results suggest the importance and synergistic impact of the combined top-down and bottom-up attentional selection types on supply disruption detection. </w:t>
      </w:r>
    </w:p>
    <w:p w14:paraId="4BABFEF7" w14:textId="057075EA" w:rsidR="00552FBB" w:rsidRPr="00135C74" w:rsidRDefault="00552FBB" w:rsidP="00552FBB">
      <w:pPr>
        <w:spacing w:line="480" w:lineRule="auto"/>
        <w:jc w:val="both"/>
      </w:pPr>
      <w:r w:rsidRPr="00135C74">
        <w:t>To test H</w:t>
      </w:r>
      <w:r w:rsidR="00B112FF" w:rsidRPr="00135C74">
        <w:t>7a-d</w:t>
      </w:r>
      <w:r w:rsidR="00236694" w:rsidRPr="00135C74">
        <w:t>,</w:t>
      </w:r>
      <w:r w:rsidRPr="00135C74">
        <w:t xml:space="preserve"> a seemingly unrelated regression (SUR) analysis was </w:t>
      </w:r>
      <w:r w:rsidR="00C0463E" w:rsidRPr="00135C74">
        <w:t xml:space="preserve">simultaneously </w:t>
      </w:r>
      <w:r w:rsidRPr="00135C74">
        <w:t xml:space="preserve">performed on M3 and M5. SUR is best used when a) some coefficients are </w:t>
      </w:r>
      <w:r w:rsidR="00D411DC" w:rsidRPr="00135C74">
        <w:t xml:space="preserve">the </w:t>
      </w:r>
      <w:r w:rsidRPr="00135C74">
        <w:t>same or zero</w:t>
      </w:r>
      <w:r w:rsidR="00D411DC" w:rsidRPr="00135C74">
        <w:t>,</w:t>
      </w:r>
      <w:r w:rsidRPr="00135C74">
        <w:t xml:space="preserve"> b) </w:t>
      </w:r>
      <w:r w:rsidR="00C0463E">
        <w:t xml:space="preserve">the </w:t>
      </w:r>
      <w:r w:rsidRPr="00135C74">
        <w:t>disturbance terms are correlated</w:t>
      </w:r>
      <w:r w:rsidR="00B4370D">
        <w:t>,</w:t>
      </w:r>
      <w:r w:rsidR="00D411DC" w:rsidRPr="00135C74">
        <w:t xml:space="preserve"> </w:t>
      </w:r>
      <w:r w:rsidRPr="00135C74">
        <w:t>or c) a set of</w:t>
      </w:r>
      <w:r w:rsidR="00B4370D">
        <w:t xml:space="preserve"> the</w:t>
      </w:r>
      <w:r w:rsidRPr="00135C74">
        <w:t xml:space="preserve"> same independent variables are used across models (Zellner, 1962; </w:t>
      </w:r>
      <w:proofErr w:type="spellStart"/>
      <w:r w:rsidRPr="00135C74">
        <w:t>Habermann</w:t>
      </w:r>
      <w:proofErr w:type="spellEnd"/>
      <w:r w:rsidRPr="00135C74">
        <w:t xml:space="preserve"> </w:t>
      </w:r>
      <w:r w:rsidRPr="00CB7289">
        <w:rPr>
          <w:i/>
        </w:rPr>
        <w:t>et al.</w:t>
      </w:r>
      <w:r w:rsidRPr="00135C74">
        <w:t>, 2015). The regression coefficients were then tested with a z test. The test statistics for H</w:t>
      </w:r>
      <w:r w:rsidR="00B112FF" w:rsidRPr="00135C74">
        <w:t>7a</w:t>
      </w:r>
      <w:r w:rsidRPr="00135C74">
        <w:t xml:space="preserve"> (z = 0.526, p = 0.599), H</w:t>
      </w:r>
      <w:r w:rsidR="00B112FF" w:rsidRPr="00135C74">
        <w:t>7b</w:t>
      </w:r>
      <w:r w:rsidRPr="00135C74">
        <w:t xml:space="preserve"> (z = 0.584, p = 0.559), H</w:t>
      </w:r>
      <w:r w:rsidR="00B112FF" w:rsidRPr="00135C74">
        <w:t>7c</w:t>
      </w:r>
      <w:r w:rsidRPr="00135C74">
        <w:t xml:space="preserve"> (z = 0.169, p = 0.866) and H</w:t>
      </w:r>
      <w:r w:rsidR="00B112FF" w:rsidRPr="00135C74">
        <w:t>7d</w:t>
      </w:r>
      <w:r w:rsidRPr="00135C74">
        <w:t xml:space="preserve"> (z = 0.434, p = 0.665) were not significant</w:t>
      </w:r>
      <w:r w:rsidR="00C0463E">
        <w:t>;</w:t>
      </w:r>
      <w:r w:rsidRPr="00135C74">
        <w:t xml:space="preserve"> hence</w:t>
      </w:r>
      <w:r w:rsidR="00C0463E">
        <w:t>,</w:t>
      </w:r>
      <w:r w:rsidRPr="00135C74">
        <w:t xml:space="preserve"> H</w:t>
      </w:r>
      <w:r w:rsidR="00B112FF" w:rsidRPr="00135C74">
        <w:t>7a-d</w:t>
      </w:r>
      <w:r w:rsidRPr="00135C74">
        <w:t xml:space="preserve"> </w:t>
      </w:r>
      <w:r w:rsidR="00C0463E">
        <w:t>can be</w:t>
      </w:r>
      <w:r w:rsidRPr="00135C74">
        <w:t xml:space="preserve"> refuted.</w:t>
      </w:r>
    </w:p>
    <w:p w14:paraId="3A8B6692" w14:textId="67D85FBF" w:rsidR="002C53EA" w:rsidRPr="00135C74" w:rsidRDefault="002C53EA" w:rsidP="002C53EA">
      <w:pPr>
        <w:spacing w:line="480" w:lineRule="auto"/>
        <w:jc w:val="both"/>
      </w:pPr>
      <w:r w:rsidRPr="00135C74">
        <w:lastRenderedPageBreak/>
        <w:t>The model with BALANCE as a moderator (</w:t>
      </w:r>
      <w:r w:rsidR="005A082F" w:rsidRPr="00135C74">
        <w:t>M</w:t>
      </w:r>
      <w:r w:rsidRPr="00135C74">
        <w:t>5) also ha</w:t>
      </w:r>
      <w:r w:rsidR="00E4465F">
        <w:t>s</w:t>
      </w:r>
      <w:r w:rsidRPr="00135C74">
        <w:t xml:space="preserve"> better R-square value </w:t>
      </w:r>
      <w:r w:rsidR="00E4465F">
        <w:t xml:space="preserve">and a significant F-change value </w:t>
      </w:r>
      <w:r w:rsidR="00C0463E">
        <w:t>compared with</w:t>
      </w:r>
      <w:r w:rsidRPr="00135C74">
        <w:t xml:space="preserve"> the base model, including only the control variable COVID-19 IMPACT and the main effects model</w:t>
      </w:r>
      <w:r w:rsidR="005A082F" w:rsidRPr="00135C74">
        <w:t xml:space="preserve"> </w:t>
      </w:r>
      <w:r w:rsidR="00C0463E">
        <w:t>(</w:t>
      </w:r>
      <w:r w:rsidR="005A082F" w:rsidRPr="00135C74">
        <w:t>M1</w:t>
      </w:r>
      <w:r w:rsidR="00C0463E">
        <w:t>)</w:t>
      </w:r>
      <w:r w:rsidRPr="00135C74">
        <w:t>. Adding balanced attentional selection to the model,</w:t>
      </w:r>
      <w:r w:rsidR="00C0463E">
        <w:t xml:space="preserve"> here</w:t>
      </w:r>
      <w:r w:rsidRPr="00135C74">
        <w:t xml:space="preserve"> reflecting disruption detection and warning capability, thus adds value in terms of supply resilience. To further assess the importance of achieving balance, we created a cumulative sum of TOP</w:t>
      </w:r>
      <w:r w:rsidR="00C0463E">
        <w:t xml:space="preserve"> </w:t>
      </w:r>
      <w:r w:rsidRPr="00135C74">
        <w:t>DOWN and BOTTOM</w:t>
      </w:r>
      <w:r w:rsidR="00C0463E">
        <w:t xml:space="preserve"> </w:t>
      </w:r>
      <w:r w:rsidRPr="00135C74">
        <w:t xml:space="preserve">UP </w:t>
      </w:r>
      <w:r w:rsidR="00876924" w:rsidRPr="00135C74">
        <w:t>and a product of TOP</w:t>
      </w:r>
      <w:r w:rsidR="00C0463E">
        <w:t xml:space="preserve"> </w:t>
      </w:r>
      <w:r w:rsidR="00876924" w:rsidRPr="00135C74">
        <w:t>DOWN x BOTTOM</w:t>
      </w:r>
      <w:r w:rsidR="00C0463E">
        <w:t xml:space="preserve"> </w:t>
      </w:r>
      <w:r w:rsidR="00876924" w:rsidRPr="00135C74">
        <w:t xml:space="preserve">UP </w:t>
      </w:r>
      <w:r w:rsidR="00C0463E">
        <w:t xml:space="preserve">while replacing </w:t>
      </w:r>
      <w:r w:rsidR="00236694" w:rsidRPr="00135C74">
        <w:t>IM</w:t>
      </w:r>
      <w:r w:rsidRPr="00135C74">
        <w:t>BALANCE with th</w:t>
      </w:r>
      <w:r w:rsidR="00876924" w:rsidRPr="00135C74">
        <w:t>ese</w:t>
      </w:r>
      <w:r w:rsidRPr="00135C74">
        <w:t xml:space="preserve"> new construct</w:t>
      </w:r>
      <w:r w:rsidR="00876924" w:rsidRPr="00135C74">
        <w:t>s</w:t>
      </w:r>
      <w:r w:rsidRPr="00135C74">
        <w:t xml:space="preserve"> in the regression analys</w:t>
      </w:r>
      <w:r w:rsidR="00876924" w:rsidRPr="00135C74">
        <w:t>e</w:t>
      </w:r>
      <w:r w:rsidRPr="00135C74">
        <w:t xml:space="preserve">s. The coefficients of </w:t>
      </w:r>
      <w:r w:rsidR="00876924" w:rsidRPr="00135C74">
        <w:t xml:space="preserve">either the </w:t>
      </w:r>
      <w:r w:rsidRPr="00135C74">
        <w:t xml:space="preserve">sum </w:t>
      </w:r>
      <w:r w:rsidR="00876924" w:rsidRPr="00135C74">
        <w:t xml:space="preserve">or the product </w:t>
      </w:r>
      <w:r w:rsidRPr="00135C74">
        <w:t xml:space="preserve">construct in </w:t>
      </w:r>
      <w:r w:rsidR="00876924" w:rsidRPr="00135C74">
        <w:t>M</w:t>
      </w:r>
      <w:r w:rsidRPr="00135C74">
        <w:t>4–</w:t>
      </w:r>
      <w:r w:rsidR="00876924" w:rsidRPr="00135C74">
        <w:t>M5</w:t>
      </w:r>
      <w:r w:rsidRPr="00135C74">
        <w:t xml:space="preserve"> </w:t>
      </w:r>
      <w:r w:rsidR="00C0463E">
        <w:t>a</w:t>
      </w:r>
      <w:r w:rsidR="00C0463E" w:rsidRPr="00135C74">
        <w:t xml:space="preserve">re </w:t>
      </w:r>
      <w:r w:rsidRPr="00135C74">
        <w:t>not statistically significant, further underscor</w:t>
      </w:r>
      <w:r w:rsidR="00C0463E">
        <w:t>ing</w:t>
      </w:r>
      <w:r w:rsidRPr="00135C74">
        <w:t xml:space="preserve"> the importance of balancing the two attentional selection types</w:t>
      </w:r>
      <w:r w:rsidR="00BD2F3A" w:rsidRPr="00135C74">
        <w:t xml:space="preserve"> within the earlier specified boundary conditions (assumption 1)</w:t>
      </w:r>
      <w:r w:rsidRPr="00135C74">
        <w:t>.</w:t>
      </w:r>
      <w:r w:rsidR="008D5A93" w:rsidRPr="00135C74">
        <w:t xml:space="preserve"> In conclusion, balanced attentional selection seems superior when used together with either of the two attentional perspectives on supply risk management</w:t>
      </w:r>
      <w:r w:rsidR="00B4370D">
        <w:t>:</w:t>
      </w:r>
      <w:r w:rsidR="008D5A93" w:rsidRPr="00135C74">
        <w:t xml:space="preserve"> </w:t>
      </w:r>
      <w:r w:rsidR="00C0463E">
        <w:t xml:space="preserve">the </w:t>
      </w:r>
      <w:r w:rsidR="008D5A93" w:rsidRPr="00135C74">
        <w:t>focus on risk sources or on network recoverability.</w:t>
      </w:r>
    </w:p>
    <w:p w14:paraId="54CBA52F" w14:textId="6F9D0727" w:rsidR="00AD34E6" w:rsidRPr="00135C74" w:rsidRDefault="008D5A93" w:rsidP="002C53EA">
      <w:pPr>
        <w:spacing w:line="480" w:lineRule="auto"/>
        <w:jc w:val="both"/>
      </w:pPr>
      <w:r w:rsidRPr="00135C74">
        <w:t>Finally, r</w:t>
      </w:r>
      <w:r w:rsidR="00BD2F3A" w:rsidRPr="00135C74">
        <w:t>egarding H8</w:t>
      </w:r>
      <w:r w:rsidRPr="00135C74">
        <w:t xml:space="preserve">, </w:t>
      </w:r>
      <w:r w:rsidR="00BD2F3A" w:rsidRPr="00135C74">
        <w:t>t</w:t>
      </w:r>
      <w:r w:rsidR="002C53EA" w:rsidRPr="00135C74">
        <w:t xml:space="preserve">he coefficient for SOURCE × </w:t>
      </w:r>
      <w:r w:rsidR="00236694" w:rsidRPr="00135C74">
        <w:t>IM</w:t>
      </w:r>
      <w:r w:rsidR="002C53EA" w:rsidRPr="00135C74">
        <w:t>BALANCE interaction (−0.</w:t>
      </w:r>
      <w:r w:rsidR="00236694" w:rsidRPr="00135C74">
        <w:t>521</w:t>
      </w:r>
      <w:r w:rsidR="002C53EA" w:rsidRPr="00135C74">
        <w:t>, significant at p &lt; 0.0</w:t>
      </w:r>
      <w:r w:rsidR="00236694" w:rsidRPr="00135C74">
        <w:t>5</w:t>
      </w:r>
      <w:r w:rsidR="002C53EA" w:rsidRPr="00135C74">
        <w:t xml:space="preserve"> level; </w:t>
      </w:r>
      <w:r w:rsidR="00077142">
        <w:t>M</w:t>
      </w:r>
      <w:r w:rsidR="002C53EA" w:rsidRPr="00135C74">
        <w:t xml:space="preserve">5) appears stronger </w:t>
      </w:r>
      <w:r w:rsidR="00C0463E">
        <w:t>compared with</w:t>
      </w:r>
      <w:r w:rsidR="002C53EA" w:rsidRPr="00135C74">
        <w:t xml:space="preserve"> the coefficient for RECOVERABILITY × BALANCE interaction (−0.</w:t>
      </w:r>
      <w:r w:rsidR="00236694" w:rsidRPr="00135C74">
        <w:t>129</w:t>
      </w:r>
      <w:r w:rsidR="002C53EA" w:rsidRPr="00135C74">
        <w:t xml:space="preserve"> significant at p &lt; 0.05 level; </w:t>
      </w:r>
      <w:r w:rsidR="00077142">
        <w:t>M</w:t>
      </w:r>
      <w:r w:rsidR="002C53EA" w:rsidRPr="00135C74">
        <w:t xml:space="preserve">5), suggesting that balanced disruption detection plays a more salient role </w:t>
      </w:r>
      <w:r w:rsidR="00C0463E">
        <w:t xml:space="preserve">when there is </w:t>
      </w:r>
      <w:r w:rsidR="00B4370D">
        <w:t>a</w:t>
      </w:r>
      <w:r w:rsidR="002C53EA" w:rsidRPr="00135C74">
        <w:t xml:space="preserve"> focus on supply risk sources. However, the difference is not statistically significant</w:t>
      </w:r>
      <w:r w:rsidR="00876924" w:rsidRPr="00135C74">
        <w:t xml:space="preserve"> in a Wald test (W = 0.602, p = 0.274)</w:t>
      </w:r>
      <w:r w:rsidR="002C53EA" w:rsidRPr="00135C74">
        <w:t>. Therefore, our data do</w:t>
      </w:r>
      <w:r w:rsidRPr="00135C74">
        <w:t xml:space="preserve"> </w:t>
      </w:r>
      <w:r w:rsidR="002C53EA" w:rsidRPr="00135C74">
        <w:t>not conclusive</w:t>
      </w:r>
      <w:r w:rsidRPr="00135C74">
        <w:t xml:space="preserve">ly support the hypothesis regarding </w:t>
      </w:r>
      <w:r w:rsidR="002C53EA" w:rsidRPr="00135C74">
        <w:t>the superior fit of BALANCE with one or the other of the independents</w:t>
      </w:r>
      <w:r w:rsidR="00C0463E">
        <w:t>;</w:t>
      </w:r>
      <w:r w:rsidRPr="00135C74">
        <w:t xml:space="preserve"> thus</w:t>
      </w:r>
      <w:r w:rsidR="00C0463E">
        <w:t>,</w:t>
      </w:r>
      <w:r w:rsidRPr="00135C74">
        <w:t xml:space="preserve"> </w:t>
      </w:r>
      <w:r w:rsidR="00236694" w:rsidRPr="00135C74">
        <w:t>H</w:t>
      </w:r>
      <w:r w:rsidR="00BD2F3A" w:rsidRPr="00135C74">
        <w:t>8</w:t>
      </w:r>
      <w:r w:rsidRPr="00135C74">
        <w:t xml:space="preserve"> </w:t>
      </w:r>
      <w:r w:rsidR="00C0463E">
        <w:t>can be</w:t>
      </w:r>
      <w:r w:rsidRPr="00135C74">
        <w:t xml:space="preserve"> refuted</w:t>
      </w:r>
      <w:r w:rsidR="002C53EA" w:rsidRPr="00135C74">
        <w:t xml:space="preserve">. </w:t>
      </w:r>
    </w:p>
    <w:p w14:paraId="606D2A63" w14:textId="238CE161" w:rsidR="00CA122A" w:rsidRPr="00135C74" w:rsidRDefault="002C53EA" w:rsidP="002C53EA">
      <w:pPr>
        <w:spacing w:line="480" w:lineRule="auto"/>
        <w:jc w:val="both"/>
      </w:pPr>
      <w:r w:rsidRPr="00135C74">
        <w:t xml:space="preserve"> </w:t>
      </w:r>
    </w:p>
    <w:p w14:paraId="167D3BB4" w14:textId="762857FA" w:rsidR="002C53EA" w:rsidRPr="00135C74" w:rsidRDefault="002C53EA" w:rsidP="008367E9">
      <w:pPr>
        <w:spacing w:line="480" w:lineRule="auto"/>
        <w:jc w:val="both"/>
        <w:rPr>
          <w:i/>
          <w:lang w:eastAsia="fi-FI"/>
        </w:rPr>
      </w:pPr>
      <w:r w:rsidRPr="00135C74">
        <w:t xml:space="preserve">  </w:t>
      </w:r>
      <w:r w:rsidRPr="00135C74">
        <w:rPr>
          <w:i/>
          <w:lang w:eastAsia="fi-FI"/>
        </w:rPr>
        <w:t>&lt;Insert Figure 2 approximately here&gt;</w:t>
      </w:r>
    </w:p>
    <w:p w14:paraId="5D682049" w14:textId="77777777" w:rsidR="002C53EA" w:rsidRPr="00135C74" w:rsidRDefault="002C53EA" w:rsidP="002C53EA">
      <w:pPr>
        <w:keepNext/>
        <w:spacing w:line="480" w:lineRule="auto"/>
        <w:rPr>
          <w:b/>
          <w:lang w:eastAsia="fi-FI"/>
        </w:rPr>
      </w:pPr>
      <w:r w:rsidRPr="00135C74">
        <w:rPr>
          <w:b/>
          <w:lang w:eastAsia="fi-FI"/>
        </w:rPr>
        <w:t>Figure 2. Research model and results</w:t>
      </w:r>
    </w:p>
    <w:p w14:paraId="662C9AD6" w14:textId="77777777" w:rsidR="00D411DC" w:rsidRPr="00135C74" w:rsidRDefault="00D411DC" w:rsidP="00D411DC">
      <w:pPr>
        <w:spacing w:line="480" w:lineRule="auto"/>
        <w:rPr>
          <w:b/>
          <w:lang w:eastAsia="fi-FI"/>
        </w:rPr>
      </w:pPr>
    </w:p>
    <w:p w14:paraId="6EAF0FE4" w14:textId="4D018CDF" w:rsidR="00AD34E6" w:rsidRPr="00135C74" w:rsidRDefault="00736458" w:rsidP="008367E9">
      <w:pPr>
        <w:spacing w:line="480" w:lineRule="auto"/>
        <w:rPr>
          <w:b/>
          <w:lang w:eastAsia="fi-FI"/>
        </w:rPr>
      </w:pPr>
      <w:r w:rsidRPr="00135C74">
        <w:rPr>
          <w:b/>
          <w:lang w:eastAsia="fi-FI"/>
        </w:rPr>
        <w:t>Discussion and conclusions</w:t>
      </w:r>
    </w:p>
    <w:p w14:paraId="4F779E23" w14:textId="6B52B3F9" w:rsidR="000D72E0" w:rsidRPr="00135C74" w:rsidRDefault="00736458" w:rsidP="00377304">
      <w:pPr>
        <w:spacing w:line="480" w:lineRule="auto"/>
        <w:jc w:val="both"/>
        <w:rPr>
          <w:i/>
          <w:lang w:eastAsia="fi-FI"/>
        </w:rPr>
      </w:pPr>
      <w:r w:rsidRPr="00135C74">
        <w:rPr>
          <w:i/>
          <w:lang w:eastAsia="fi-FI"/>
        </w:rPr>
        <w:lastRenderedPageBreak/>
        <w:t xml:space="preserve">5.1 </w:t>
      </w:r>
      <w:r w:rsidR="000D72E0" w:rsidRPr="00135C74">
        <w:rPr>
          <w:i/>
          <w:lang w:eastAsia="fi-FI"/>
        </w:rPr>
        <w:t xml:space="preserve">Theoretical </w:t>
      </w:r>
      <w:r w:rsidRPr="00135C74">
        <w:rPr>
          <w:i/>
          <w:lang w:eastAsia="fi-FI"/>
        </w:rPr>
        <w:t>i</w:t>
      </w:r>
      <w:r w:rsidR="000D72E0" w:rsidRPr="00135C74">
        <w:rPr>
          <w:i/>
          <w:lang w:eastAsia="fi-FI"/>
        </w:rPr>
        <w:t>mplications</w:t>
      </w:r>
    </w:p>
    <w:p w14:paraId="499A10EF" w14:textId="38C74795" w:rsidR="001F37BA" w:rsidRPr="00135C74" w:rsidRDefault="00232C6A" w:rsidP="00377304">
      <w:pPr>
        <w:spacing w:line="480" w:lineRule="auto"/>
        <w:jc w:val="both"/>
        <w:rPr>
          <w:lang w:eastAsia="fi-FI"/>
        </w:rPr>
      </w:pPr>
      <w:r w:rsidRPr="00135C74">
        <w:rPr>
          <w:lang w:eastAsia="fi-FI"/>
        </w:rPr>
        <w:t>The results of th</w:t>
      </w:r>
      <w:r w:rsidR="00FE412E">
        <w:rPr>
          <w:lang w:eastAsia="fi-FI"/>
        </w:rPr>
        <w:t>e current</w:t>
      </w:r>
      <w:r w:rsidRPr="00135C74">
        <w:rPr>
          <w:lang w:eastAsia="fi-FI"/>
        </w:rPr>
        <w:t xml:space="preserve"> research have several interesting theoretical implications regarding the attentional antecedents and enablers of supply resilience. </w:t>
      </w:r>
      <w:r w:rsidR="006A427E" w:rsidRPr="00135C74">
        <w:rPr>
          <w:lang w:eastAsia="fi-FI"/>
        </w:rPr>
        <w:t xml:space="preserve">First, our data </w:t>
      </w:r>
      <w:r w:rsidR="00920C25" w:rsidRPr="00135C74">
        <w:rPr>
          <w:lang w:eastAsia="fi-FI"/>
        </w:rPr>
        <w:t xml:space="preserve">do </w:t>
      </w:r>
      <w:r w:rsidR="006A427E" w:rsidRPr="00135C74">
        <w:rPr>
          <w:lang w:eastAsia="fi-FI"/>
        </w:rPr>
        <w:t>not reveal the superiority of either attentional perspective to supply di</w:t>
      </w:r>
      <w:r w:rsidR="00920C25" w:rsidRPr="00135C74">
        <w:rPr>
          <w:lang w:eastAsia="fi-FI"/>
        </w:rPr>
        <w:t>s</w:t>
      </w:r>
      <w:r w:rsidR="006A427E" w:rsidRPr="00135C74">
        <w:rPr>
          <w:lang w:eastAsia="fi-FI"/>
        </w:rPr>
        <w:t xml:space="preserve">ruption risk management in terms of achieving supply resilience. </w:t>
      </w:r>
      <w:r w:rsidR="00364C83">
        <w:rPr>
          <w:lang w:eastAsia="fi-FI"/>
        </w:rPr>
        <w:t>Having a f</w:t>
      </w:r>
      <w:r w:rsidR="006A427E" w:rsidRPr="00135C74">
        <w:rPr>
          <w:lang w:eastAsia="fi-FI"/>
        </w:rPr>
        <w:t>ocus on supply risk sources represent</w:t>
      </w:r>
      <w:r w:rsidR="00920C25" w:rsidRPr="00135C74">
        <w:rPr>
          <w:lang w:eastAsia="fi-FI"/>
        </w:rPr>
        <w:t>s</w:t>
      </w:r>
      <w:r w:rsidR="006A427E" w:rsidRPr="00135C74">
        <w:rPr>
          <w:lang w:eastAsia="fi-FI"/>
        </w:rPr>
        <w:t xml:space="preserve"> the </w:t>
      </w:r>
      <w:r w:rsidR="00364C83">
        <w:rPr>
          <w:lang w:eastAsia="fi-FI"/>
        </w:rPr>
        <w:t>‘</w:t>
      </w:r>
      <w:r w:rsidR="006A427E" w:rsidRPr="00135C74">
        <w:rPr>
          <w:lang w:eastAsia="fi-FI"/>
        </w:rPr>
        <w:t>traditional methods for managing supply risk</w:t>
      </w:r>
      <w:r w:rsidR="00364C83">
        <w:rPr>
          <w:lang w:eastAsia="fi-FI"/>
        </w:rPr>
        <w:t>’</w:t>
      </w:r>
      <w:r w:rsidR="00364C83" w:rsidRPr="00135C74">
        <w:rPr>
          <w:lang w:eastAsia="fi-FI"/>
        </w:rPr>
        <w:t xml:space="preserve"> </w:t>
      </w:r>
      <w:r w:rsidR="00920C25" w:rsidRPr="00135C74">
        <w:rPr>
          <w:lang w:eastAsia="fi-FI"/>
        </w:rPr>
        <w:t xml:space="preserve">that </w:t>
      </w:r>
      <w:r w:rsidR="009521A0" w:rsidRPr="00135C74">
        <w:rPr>
          <w:lang w:eastAsia="fi-FI"/>
        </w:rPr>
        <w:t>r</w:t>
      </w:r>
      <w:r w:rsidR="006A427E" w:rsidRPr="00135C74">
        <w:rPr>
          <w:lang w:eastAsia="fi-FI"/>
        </w:rPr>
        <w:t>ely</w:t>
      </w:r>
      <w:r w:rsidR="009521A0" w:rsidRPr="00135C74">
        <w:rPr>
          <w:lang w:eastAsia="fi-FI"/>
        </w:rPr>
        <w:t xml:space="preserve"> </w:t>
      </w:r>
      <w:r w:rsidR="006A427E" w:rsidRPr="00135C74">
        <w:rPr>
          <w:lang w:eastAsia="fi-FI"/>
        </w:rPr>
        <w:t xml:space="preserve">on </w:t>
      </w:r>
      <w:r w:rsidR="00135C74" w:rsidRPr="00135C74">
        <w:rPr>
          <w:lang w:eastAsia="fi-FI"/>
        </w:rPr>
        <w:t>identifying</w:t>
      </w:r>
      <w:r w:rsidR="009318AA" w:rsidRPr="00135C74">
        <w:rPr>
          <w:lang w:eastAsia="fi-FI"/>
        </w:rPr>
        <w:t xml:space="preserve"> and </w:t>
      </w:r>
      <w:r w:rsidR="006A427E" w:rsidRPr="00135C74">
        <w:rPr>
          <w:lang w:eastAsia="fi-FI"/>
        </w:rPr>
        <w:t xml:space="preserve">understanding </w:t>
      </w:r>
      <w:r w:rsidR="00364C83">
        <w:rPr>
          <w:lang w:eastAsia="fi-FI"/>
        </w:rPr>
        <w:t xml:space="preserve">the </w:t>
      </w:r>
      <w:r w:rsidR="006A427E" w:rsidRPr="00135C74">
        <w:rPr>
          <w:lang w:eastAsia="fi-FI"/>
        </w:rPr>
        <w:t xml:space="preserve">probabilities of occurrence and severity of impact </w:t>
      </w:r>
      <w:r w:rsidR="00077142">
        <w:rPr>
          <w:lang w:eastAsia="fi-FI"/>
        </w:rPr>
        <w:t>‘</w:t>
      </w:r>
      <w:r w:rsidR="006A427E" w:rsidRPr="00135C74">
        <w:rPr>
          <w:lang w:eastAsia="fi-FI"/>
        </w:rPr>
        <w:t>for every potential event</w:t>
      </w:r>
      <w:r w:rsidR="00D411DC" w:rsidRPr="00135C74">
        <w:rPr>
          <w:lang w:eastAsia="fi-FI"/>
        </w:rPr>
        <w:t>’</w:t>
      </w:r>
      <w:r w:rsidR="00920C25" w:rsidRPr="00135C74">
        <w:rPr>
          <w:lang w:eastAsia="fi-FI"/>
        </w:rPr>
        <w:t>,</w:t>
      </w:r>
      <w:r w:rsidR="009521A0" w:rsidRPr="00135C74">
        <w:rPr>
          <w:lang w:eastAsia="fi-FI"/>
        </w:rPr>
        <w:t xml:space="preserve"> whereas the focus on recoverability is about </w:t>
      </w:r>
      <w:r w:rsidR="006A427E" w:rsidRPr="00135C74">
        <w:rPr>
          <w:lang w:eastAsia="fi-FI"/>
        </w:rPr>
        <w:t xml:space="preserve">supply network mapping and </w:t>
      </w:r>
      <w:r w:rsidR="00364C83">
        <w:rPr>
          <w:lang w:eastAsia="fi-FI"/>
        </w:rPr>
        <w:t xml:space="preserve">an </w:t>
      </w:r>
      <w:r w:rsidR="006A427E" w:rsidRPr="00135C74">
        <w:rPr>
          <w:lang w:eastAsia="fi-FI"/>
        </w:rPr>
        <w:t xml:space="preserve">analysis of </w:t>
      </w:r>
      <w:r w:rsidR="00364C83">
        <w:rPr>
          <w:lang w:eastAsia="fi-FI"/>
        </w:rPr>
        <w:t xml:space="preserve">the </w:t>
      </w:r>
      <w:r w:rsidR="006A427E" w:rsidRPr="00135C74">
        <w:rPr>
          <w:lang w:eastAsia="fi-FI"/>
        </w:rPr>
        <w:t>time</w:t>
      </w:r>
      <w:r w:rsidR="00364C83">
        <w:rPr>
          <w:lang w:eastAsia="fi-FI"/>
        </w:rPr>
        <w:t xml:space="preserve"> </w:t>
      </w:r>
      <w:r w:rsidR="006A427E" w:rsidRPr="00135C74">
        <w:rPr>
          <w:lang w:eastAsia="fi-FI"/>
        </w:rPr>
        <w:t>to</w:t>
      </w:r>
      <w:r w:rsidR="00364C83">
        <w:rPr>
          <w:lang w:eastAsia="fi-FI"/>
        </w:rPr>
        <w:t xml:space="preserve"> </w:t>
      </w:r>
      <w:r w:rsidR="006A427E" w:rsidRPr="00135C74">
        <w:rPr>
          <w:lang w:eastAsia="fi-FI"/>
        </w:rPr>
        <w:t>recovery of each node</w:t>
      </w:r>
      <w:r w:rsidR="009521A0" w:rsidRPr="00135C74">
        <w:rPr>
          <w:lang w:eastAsia="fi-FI"/>
        </w:rPr>
        <w:t xml:space="preserve"> in the supply network (</w:t>
      </w:r>
      <w:proofErr w:type="spellStart"/>
      <w:r w:rsidR="009521A0" w:rsidRPr="00135C74">
        <w:rPr>
          <w:lang w:eastAsia="fi-FI"/>
        </w:rPr>
        <w:t>Simchi</w:t>
      </w:r>
      <w:proofErr w:type="spellEnd"/>
      <w:r w:rsidR="009521A0" w:rsidRPr="00135C74">
        <w:rPr>
          <w:lang w:eastAsia="fi-FI"/>
        </w:rPr>
        <w:t xml:space="preserve">-Levi </w:t>
      </w:r>
      <w:r w:rsidR="009521A0" w:rsidRPr="00135C74">
        <w:rPr>
          <w:i/>
          <w:lang w:eastAsia="fi-FI"/>
        </w:rPr>
        <w:t>et al</w:t>
      </w:r>
      <w:r w:rsidR="009521A0" w:rsidRPr="00135C74">
        <w:rPr>
          <w:lang w:eastAsia="fi-FI"/>
        </w:rPr>
        <w:t>.</w:t>
      </w:r>
      <w:r w:rsidR="004403D3" w:rsidRPr="00135C74">
        <w:rPr>
          <w:lang w:eastAsia="fi-FI"/>
        </w:rPr>
        <w:t>,</w:t>
      </w:r>
      <w:r w:rsidR="009521A0" w:rsidRPr="00135C74">
        <w:rPr>
          <w:lang w:eastAsia="fi-FI"/>
        </w:rPr>
        <w:t xml:space="preserve"> 2014)</w:t>
      </w:r>
      <w:r w:rsidR="006A427E" w:rsidRPr="00135C74">
        <w:rPr>
          <w:lang w:eastAsia="fi-FI"/>
        </w:rPr>
        <w:t>.</w:t>
      </w:r>
      <w:r w:rsidR="009521A0" w:rsidRPr="00135C74">
        <w:rPr>
          <w:lang w:eastAsia="fi-FI"/>
        </w:rPr>
        <w:t xml:space="preserve"> Intuitively, it might be appealing to say that the latter would be more effective for securing resilience</w:t>
      </w:r>
      <w:r w:rsidR="00920C25" w:rsidRPr="00135C74">
        <w:rPr>
          <w:lang w:eastAsia="fi-FI"/>
        </w:rPr>
        <w:t xml:space="preserve"> because</w:t>
      </w:r>
      <w:r w:rsidR="003322EB" w:rsidRPr="00135C74">
        <w:rPr>
          <w:lang w:eastAsia="fi-FI"/>
        </w:rPr>
        <w:t xml:space="preserve"> </w:t>
      </w:r>
      <w:r w:rsidR="00BB09AD">
        <w:rPr>
          <w:lang w:eastAsia="fi-FI"/>
        </w:rPr>
        <w:t xml:space="preserve">focus on recoverability </w:t>
      </w:r>
      <w:r w:rsidR="00920C25" w:rsidRPr="00135C74">
        <w:rPr>
          <w:lang w:eastAsia="fi-FI"/>
        </w:rPr>
        <w:t xml:space="preserve">might </w:t>
      </w:r>
      <w:r w:rsidR="003322EB" w:rsidRPr="00135C74">
        <w:rPr>
          <w:lang w:eastAsia="fi-FI"/>
        </w:rPr>
        <w:t xml:space="preserve">not depend on </w:t>
      </w:r>
      <w:r w:rsidR="00920C25" w:rsidRPr="00135C74">
        <w:rPr>
          <w:lang w:eastAsia="fi-FI"/>
        </w:rPr>
        <w:t xml:space="preserve">a </w:t>
      </w:r>
      <w:proofErr w:type="spellStart"/>
      <w:r w:rsidR="003322EB" w:rsidRPr="00135C74">
        <w:rPr>
          <w:lang w:eastAsia="fi-FI"/>
        </w:rPr>
        <w:t>pre</w:t>
      </w:r>
      <w:r w:rsidR="00077142">
        <w:rPr>
          <w:lang w:eastAsia="fi-FI"/>
        </w:rPr>
        <w:t>identification</w:t>
      </w:r>
      <w:proofErr w:type="spellEnd"/>
      <w:r w:rsidR="003322EB" w:rsidRPr="00135C74">
        <w:rPr>
          <w:lang w:eastAsia="fi-FI"/>
        </w:rPr>
        <w:t xml:space="preserve"> of potential </w:t>
      </w:r>
      <w:r w:rsidR="00AF07BA" w:rsidRPr="00135C74">
        <w:rPr>
          <w:lang w:eastAsia="fi-FI"/>
        </w:rPr>
        <w:t xml:space="preserve">disruption </w:t>
      </w:r>
      <w:r w:rsidR="003322EB" w:rsidRPr="00135C74">
        <w:rPr>
          <w:lang w:eastAsia="fi-FI"/>
        </w:rPr>
        <w:t>events</w:t>
      </w:r>
      <w:r w:rsidR="009521A0" w:rsidRPr="00135C74">
        <w:rPr>
          <w:lang w:eastAsia="fi-FI"/>
        </w:rPr>
        <w:t>; however, our results do not support such a proposition</w:t>
      </w:r>
      <w:r w:rsidR="00EB2C55" w:rsidRPr="00135C74">
        <w:rPr>
          <w:lang w:eastAsia="fi-FI"/>
        </w:rPr>
        <w:t>, and indeed</w:t>
      </w:r>
      <w:r w:rsidR="00B4370D">
        <w:rPr>
          <w:lang w:eastAsia="fi-FI"/>
        </w:rPr>
        <w:t>,</w:t>
      </w:r>
      <w:r w:rsidR="00EB2C55" w:rsidRPr="00135C74">
        <w:rPr>
          <w:lang w:eastAsia="fi-FI"/>
        </w:rPr>
        <w:t xml:space="preserve"> the perspectives complement each other (</w:t>
      </w:r>
      <w:proofErr w:type="spellStart"/>
      <w:r w:rsidR="00EB2C55" w:rsidRPr="00135C74">
        <w:rPr>
          <w:lang w:eastAsia="fi-FI"/>
        </w:rPr>
        <w:t>Simchi</w:t>
      </w:r>
      <w:proofErr w:type="spellEnd"/>
      <w:r w:rsidR="00EB2C55" w:rsidRPr="00135C74">
        <w:rPr>
          <w:lang w:eastAsia="fi-FI"/>
        </w:rPr>
        <w:t xml:space="preserve">-Levi </w:t>
      </w:r>
      <w:r w:rsidR="00EB2C55" w:rsidRPr="00BB09AD">
        <w:rPr>
          <w:i/>
          <w:lang w:eastAsia="fi-FI"/>
        </w:rPr>
        <w:t>et al.</w:t>
      </w:r>
      <w:r w:rsidR="00EB2C55" w:rsidRPr="00135C74">
        <w:rPr>
          <w:lang w:eastAsia="fi-FI"/>
        </w:rPr>
        <w:t>, 2015)</w:t>
      </w:r>
      <w:r w:rsidR="009521A0" w:rsidRPr="00135C74">
        <w:rPr>
          <w:lang w:eastAsia="fi-FI"/>
        </w:rPr>
        <w:t xml:space="preserve">. </w:t>
      </w:r>
    </w:p>
    <w:p w14:paraId="5C153FE9" w14:textId="390D7E20" w:rsidR="004B68D8" w:rsidRPr="00135C74" w:rsidRDefault="009521A0" w:rsidP="00377304">
      <w:pPr>
        <w:spacing w:line="480" w:lineRule="auto"/>
        <w:jc w:val="both"/>
        <w:rPr>
          <w:lang w:eastAsia="fi-FI"/>
        </w:rPr>
      </w:pPr>
      <w:r w:rsidRPr="00135C74">
        <w:rPr>
          <w:lang w:eastAsia="fi-FI"/>
        </w:rPr>
        <w:t xml:space="preserve">The explanation </w:t>
      </w:r>
      <w:r w:rsidR="00582233" w:rsidRPr="00135C74">
        <w:rPr>
          <w:lang w:eastAsia="fi-FI"/>
        </w:rPr>
        <w:t xml:space="preserve">for </w:t>
      </w:r>
      <w:r w:rsidRPr="00135C74">
        <w:rPr>
          <w:lang w:eastAsia="fi-FI"/>
        </w:rPr>
        <w:t>th</w:t>
      </w:r>
      <w:r w:rsidR="00955934">
        <w:rPr>
          <w:lang w:eastAsia="fi-FI"/>
        </w:rPr>
        <w:t>is</w:t>
      </w:r>
      <w:r w:rsidRPr="00135C74">
        <w:rPr>
          <w:lang w:eastAsia="fi-FI"/>
        </w:rPr>
        <w:t xml:space="preserve"> lack of potency of the recoverability focus may lie in t</w:t>
      </w:r>
      <w:r w:rsidR="00582233" w:rsidRPr="00135C74">
        <w:rPr>
          <w:lang w:eastAsia="fi-FI"/>
        </w:rPr>
        <w:t>he practical diff</w:t>
      </w:r>
      <w:r w:rsidR="00C529E3" w:rsidRPr="00135C74">
        <w:rPr>
          <w:lang w:eastAsia="fi-FI"/>
        </w:rPr>
        <w:t>i</w:t>
      </w:r>
      <w:r w:rsidR="00582233" w:rsidRPr="00135C74">
        <w:rPr>
          <w:lang w:eastAsia="fi-FI"/>
        </w:rPr>
        <w:t xml:space="preserve">culties </w:t>
      </w:r>
      <w:r w:rsidRPr="00135C74">
        <w:rPr>
          <w:lang w:eastAsia="fi-FI"/>
        </w:rPr>
        <w:t xml:space="preserve">of mapping and </w:t>
      </w:r>
      <w:r w:rsidR="00D90207" w:rsidRPr="00135C74">
        <w:rPr>
          <w:lang w:eastAsia="fi-FI"/>
        </w:rPr>
        <w:t>assessing complex multi</w:t>
      </w:r>
      <w:r w:rsidR="000B55A8">
        <w:rPr>
          <w:lang w:eastAsia="fi-FI"/>
        </w:rPr>
        <w:t>-</w:t>
      </w:r>
      <w:r w:rsidR="00D90207" w:rsidRPr="00135C74">
        <w:rPr>
          <w:lang w:eastAsia="fi-FI"/>
        </w:rPr>
        <w:t xml:space="preserve">tier </w:t>
      </w:r>
      <w:r w:rsidR="004B68D8" w:rsidRPr="00135C74">
        <w:rPr>
          <w:lang w:eastAsia="fi-FI"/>
        </w:rPr>
        <w:t xml:space="preserve">supply </w:t>
      </w:r>
      <w:r w:rsidR="00D90207" w:rsidRPr="00135C74">
        <w:rPr>
          <w:lang w:eastAsia="fi-FI"/>
        </w:rPr>
        <w:t>network</w:t>
      </w:r>
      <w:r w:rsidR="00582233" w:rsidRPr="00135C74">
        <w:rPr>
          <w:lang w:eastAsia="fi-FI"/>
        </w:rPr>
        <w:t>s</w:t>
      </w:r>
      <w:r w:rsidR="00920C25" w:rsidRPr="00135C74">
        <w:rPr>
          <w:lang w:eastAsia="fi-FI"/>
        </w:rPr>
        <w:t xml:space="preserve"> because of</w:t>
      </w:r>
      <w:r w:rsidR="00582233" w:rsidRPr="00135C74">
        <w:rPr>
          <w:lang w:eastAsia="fi-FI"/>
        </w:rPr>
        <w:t xml:space="preserve"> </w:t>
      </w:r>
      <w:r w:rsidR="00920C25" w:rsidRPr="00135C74">
        <w:rPr>
          <w:lang w:eastAsia="fi-FI"/>
        </w:rPr>
        <w:t xml:space="preserve">the </w:t>
      </w:r>
      <w:r w:rsidR="00582233" w:rsidRPr="00135C74">
        <w:rPr>
          <w:lang w:eastAsia="fi-FI"/>
        </w:rPr>
        <w:t>sheer resource intensity</w:t>
      </w:r>
      <w:r w:rsidR="004B68D8" w:rsidRPr="00135C74">
        <w:rPr>
          <w:lang w:eastAsia="fi-FI"/>
        </w:rPr>
        <w:t xml:space="preserve"> </w:t>
      </w:r>
      <w:r w:rsidR="009318AA" w:rsidRPr="00135C74">
        <w:rPr>
          <w:lang w:eastAsia="fi-FI"/>
        </w:rPr>
        <w:t xml:space="preserve">of such a task </w:t>
      </w:r>
      <w:r w:rsidR="004B68D8" w:rsidRPr="00135C74">
        <w:rPr>
          <w:lang w:eastAsia="fi-FI"/>
        </w:rPr>
        <w:t>(</w:t>
      </w:r>
      <w:proofErr w:type="spellStart"/>
      <w:r w:rsidR="004B68D8" w:rsidRPr="00135C74">
        <w:rPr>
          <w:lang w:eastAsia="fi-FI"/>
        </w:rPr>
        <w:t>Fabbe-Costes</w:t>
      </w:r>
      <w:proofErr w:type="spellEnd"/>
      <w:r w:rsidR="004B68D8" w:rsidRPr="00135C74">
        <w:rPr>
          <w:lang w:eastAsia="fi-FI"/>
        </w:rPr>
        <w:t xml:space="preserve"> </w:t>
      </w:r>
      <w:r w:rsidR="004B68D8" w:rsidRPr="00135C74">
        <w:rPr>
          <w:i/>
          <w:lang w:eastAsia="fi-FI"/>
        </w:rPr>
        <w:t>et al</w:t>
      </w:r>
      <w:r w:rsidR="004B68D8" w:rsidRPr="00135C74">
        <w:rPr>
          <w:lang w:eastAsia="fi-FI"/>
        </w:rPr>
        <w:t>., 2020; Choi and Hong, 2002)</w:t>
      </w:r>
      <w:r w:rsidR="00D90207" w:rsidRPr="00135C74">
        <w:rPr>
          <w:lang w:eastAsia="fi-FI"/>
        </w:rPr>
        <w:t xml:space="preserve">. </w:t>
      </w:r>
      <w:r w:rsidR="00955934">
        <w:rPr>
          <w:lang w:eastAsia="fi-FI"/>
        </w:rPr>
        <w:t>Because</w:t>
      </w:r>
      <w:r w:rsidR="00955934" w:rsidRPr="00135C74">
        <w:rPr>
          <w:lang w:eastAsia="fi-FI"/>
        </w:rPr>
        <w:t xml:space="preserve"> </w:t>
      </w:r>
      <w:r w:rsidR="005365B7" w:rsidRPr="00135C74">
        <w:rPr>
          <w:lang w:eastAsia="fi-FI"/>
        </w:rPr>
        <w:t xml:space="preserve">the </w:t>
      </w:r>
      <w:r w:rsidR="007F4A2D" w:rsidRPr="00135C74">
        <w:rPr>
          <w:lang w:eastAsia="fi-FI"/>
        </w:rPr>
        <w:t xml:space="preserve">potentially </w:t>
      </w:r>
      <w:r w:rsidR="005365B7" w:rsidRPr="00135C74">
        <w:rPr>
          <w:lang w:eastAsia="fi-FI"/>
        </w:rPr>
        <w:t xml:space="preserve">most effective approach </w:t>
      </w:r>
      <w:r w:rsidR="005E7F21" w:rsidRPr="00135C74">
        <w:rPr>
          <w:lang w:eastAsia="fi-FI"/>
        </w:rPr>
        <w:t xml:space="preserve">may also be </w:t>
      </w:r>
      <w:r w:rsidR="008A39EB" w:rsidRPr="00135C74">
        <w:rPr>
          <w:lang w:eastAsia="fi-FI"/>
        </w:rPr>
        <w:t>the</w:t>
      </w:r>
      <w:r w:rsidR="005365B7" w:rsidRPr="00135C74">
        <w:rPr>
          <w:lang w:eastAsia="fi-FI"/>
        </w:rPr>
        <w:t xml:space="preserve"> </w:t>
      </w:r>
      <w:r w:rsidR="00D90207" w:rsidRPr="00135C74">
        <w:rPr>
          <w:lang w:eastAsia="fi-FI"/>
        </w:rPr>
        <w:t xml:space="preserve">most resource intensive (cf. </w:t>
      </w:r>
      <w:proofErr w:type="spellStart"/>
      <w:r w:rsidR="00D90207" w:rsidRPr="00135C74">
        <w:rPr>
          <w:lang w:eastAsia="fi-FI"/>
        </w:rPr>
        <w:t>Meinlschmidt</w:t>
      </w:r>
      <w:proofErr w:type="spellEnd"/>
      <w:r w:rsidR="00D90207" w:rsidRPr="00135C74">
        <w:rPr>
          <w:lang w:eastAsia="fi-FI"/>
        </w:rPr>
        <w:t xml:space="preserve"> </w:t>
      </w:r>
      <w:r w:rsidR="00D90207" w:rsidRPr="00135C74">
        <w:rPr>
          <w:i/>
          <w:lang w:eastAsia="fi-FI"/>
        </w:rPr>
        <w:t>et al</w:t>
      </w:r>
      <w:r w:rsidR="00D90207" w:rsidRPr="00135C74">
        <w:rPr>
          <w:lang w:eastAsia="fi-FI"/>
        </w:rPr>
        <w:t>., 2018)</w:t>
      </w:r>
      <w:r w:rsidR="00920C25" w:rsidRPr="00135C74">
        <w:rPr>
          <w:lang w:eastAsia="fi-FI"/>
        </w:rPr>
        <w:t>,</w:t>
      </w:r>
      <w:r w:rsidR="00D90207" w:rsidRPr="00135C74">
        <w:rPr>
          <w:lang w:eastAsia="fi-FI"/>
        </w:rPr>
        <w:t xml:space="preserve"> decision makers </w:t>
      </w:r>
      <w:r w:rsidR="005365B7" w:rsidRPr="00135C74">
        <w:rPr>
          <w:lang w:eastAsia="fi-FI"/>
        </w:rPr>
        <w:t>may</w:t>
      </w:r>
      <w:r w:rsidR="007F4A2D" w:rsidRPr="00135C74">
        <w:rPr>
          <w:lang w:eastAsia="fi-FI"/>
        </w:rPr>
        <w:t>, unfortunately,</w:t>
      </w:r>
      <w:r w:rsidR="005365B7" w:rsidRPr="00135C74">
        <w:rPr>
          <w:lang w:eastAsia="fi-FI"/>
        </w:rPr>
        <w:t xml:space="preserve"> </w:t>
      </w:r>
      <w:r w:rsidR="005E7F21" w:rsidRPr="00135C74">
        <w:rPr>
          <w:lang w:eastAsia="fi-FI"/>
        </w:rPr>
        <w:t xml:space="preserve">resort </w:t>
      </w:r>
      <w:r w:rsidR="00282922" w:rsidRPr="00135C74">
        <w:rPr>
          <w:lang w:eastAsia="fi-FI"/>
        </w:rPr>
        <w:t>to identifying and prioritising a list of risk sources and then</w:t>
      </w:r>
      <w:r w:rsidR="005E7F21" w:rsidRPr="00135C74">
        <w:rPr>
          <w:lang w:eastAsia="fi-FI"/>
        </w:rPr>
        <w:t xml:space="preserve"> </w:t>
      </w:r>
      <w:r w:rsidR="0022259C" w:rsidRPr="00135C74">
        <w:rPr>
          <w:lang w:eastAsia="fi-FI"/>
        </w:rPr>
        <w:t>pay</w:t>
      </w:r>
      <w:r w:rsidR="005E7F21" w:rsidRPr="00135C74">
        <w:rPr>
          <w:lang w:eastAsia="fi-FI"/>
        </w:rPr>
        <w:t>ing</w:t>
      </w:r>
      <w:r w:rsidR="0022259C" w:rsidRPr="00135C74">
        <w:rPr>
          <w:lang w:eastAsia="fi-FI"/>
        </w:rPr>
        <w:t xml:space="preserve"> attention to </w:t>
      </w:r>
      <w:r w:rsidR="00955934">
        <w:rPr>
          <w:lang w:eastAsia="fi-FI"/>
        </w:rPr>
        <w:t xml:space="preserve">the </w:t>
      </w:r>
      <w:r w:rsidR="005E7F21" w:rsidRPr="00135C74">
        <w:rPr>
          <w:lang w:eastAsia="fi-FI"/>
        </w:rPr>
        <w:t xml:space="preserve">potential disruption events and scenarios as </w:t>
      </w:r>
      <w:r w:rsidR="004B68D8" w:rsidRPr="00135C74">
        <w:rPr>
          <w:lang w:eastAsia="fi-FI"/>
        </w:rPr>
        <w:t>risk sources</w:t>
      </w:r>
      <w:r w:rsidR="00D90207" w:rsidRPr="00135C74">
        <w:rPr>
          <w:lang w:eastAsia="fi-FI"/>
        </w:rPr>
        <w:t>.</w:t>
      </w:r>
      <w:r w:rsidR="001C2797" w:rsidRPr="00135C74">
        <w:rPr>
          <w:lang w:eastAsia="fi-FI"/>
        </w:rPr>
        <w:t xml:space="preserve"> </w:t>
      </w:r>
      <w:r w:rsidR="00AF07BA" w:rsidRPr="00135C74">
        <w:rPr>
          <w:lang w:eastAsia="fi-FI"/>
        </w:rPr>
        <w:t>However, r</w:t>
      </w:r>
      <w:r w:rsidR="001C2797" w:rsidRPr="00135C74">
        <w:rPr>
          <w:lang w:eastAsia="fi-FI"/>
        </w:rPr>
        <w:t xml:space="preserve">ecent experiences regarding the procurement of critical healthcare supplies during the COVID-19 pandemic </w:t>
      </w:r>
      <w:r w:rsidR="00135C74" w:rsidRPr="00135C74">
        <w:rPr>
          <w:lang w:eastAsia="fi-FI"/>
        </w:rPr>
        <w:t>highlighted</w:t>
      </w:r>
      <w:r w:rsidR="001C2797" w:rsidRPr="00135C74">
        <w:rPr>
          <w:lang w:eastAsia="fi-FI"/>
        </w:rPr>
        <w:t xml:space="preserve"> the </w:t>
      </w:r>
      <w:r w:rsidR="003322EB" w:rsidRPr="00135C74">
        <w:rPr>
          <w:lang w:eastAsia="fi-FI"/>
        </w:rPr>
        <w:t xml:space="preserve">negative </w:t>
      </w:r>
      <w:r w:rsidR="001C2797" w:rsidRPr="00135C74">
        <w:rPr>
          <w:lang w:eastAsia="fi-FI"/>
        </w:rPr>
        <w:t xml:space="preserve">effects of </w:t>
      </w:r>
      <w:r w:rsidR="00955934">
        <w:rPr>
          <w:lang w:eastAsia="fi-FI"/>
        </w:rPr>
        <w:t xml:space="preserve">the </w:t>
      </w:r>
      <w:r w:rsidR="001C2797" w:rsidRPr="00135C74">
        <w:rPr>
          <w:lang w:eastAsia="fi-FI"/>
        </w:rPr>
        <w:t>limited knowledge of supply markets</w:t>
      </w:r>
      <w:r w:rsidR="005E7F21" w:rsidRPr="00135C74">
        <w:rPr>
          <w:lang w:eastAsia="fi-FI"/>
        </w:rPr>
        <w:t xml:space="preserve"> and networks</w:t>
      </w:r>
      <w:r w:rsidR="001C2797" w:rsidRPr="00135C74">
        <w:rPr>
          <w:lang w:eastAsia="fi-FI"/>
        </w:rPr>
        <w:t xml:space="preserve"> on preparedness</w:t>
      </w:r>
      <w:r w:rsidR="008A39EB" w:rsidRPr="00135C74">
        <w:rPr>
          <w:lang w:eastAsia="fi-FI"/>
        </w:rPr>
        <w:t xml:space="preserve"> and</w:t>
      </w:r>
      <w:r w:rsidR="001C2797" w:rsidRPr="00135C74">
        <w:rPr>
          <w:lang w:eastAsia="fi-FI"/>
        </w:rPr>
        <w:t xml:space="preserve"> resilience (Harland, 2021)</w:t>
      </w:r>
      <w:r w:rsidR="00282922" w:rsidRPr="00135C74">
        <w:rPr>
          <w:lang w:eastAsia="fi-FI"/>
        </w:rPr>
        <w:t xml:space="preserve">, emphasising the need for </w:t>
      </w:r>
      <w:r w:rsidR="00B4370D">
        <w:rPr>
          <w:lang w:eastAsia="fi-FI"/>
        </w:rPr>
        <w:t>a</w:t>
      </w:r>
      <w:r w:rsidR="00282922" w:rsidRPr="00135C74">
        <w:rPr>
          <w:lang w:eastAsia="fi-FI"/>
        </w:rPr>
        <w:t xml:space="preserve"> complementary recoverability focus</w:t>
      </w:r>
      <w:r w:rsidR="003322EB" w:rsidRPr="00135C74">
        <w:rPr>
          <w:lang w:eastAsia="fi-FI"/>
        </w:rPr>
        <w:t>. Th</w:t>
      </w:r>
      <w:r w:rsidR="008A39EB" w:rsidRPr="00135C74">
        <w:rPr>
          <w:lang w:eastAsia="fi-FI"/>
        </w:rPr>
        <w:t xml:space="preserve">e </w:t>
      </w:r>
      <w:r w:rsidR="001C2797" w:rsidRPr="00135C74">
        <w:rPr>
          <w:lang w:eastAsia="fi-FI"/>
        </w:rPr>
        <w:t>sugges</w:t>
      </w:r>
      <w:r w:rsidR="00C529E3" w:rsidRPr="00135C74">
        <w:rPr>
          <w:lang w:eastAsia="fi-FI"/>
        </w:rPr>
        <w:t>t</w:t>
      </w:r>
      <w:r w:rsidR="008A39EB" w:rsidRPr="00135C74">
        <w:rPr>
          <w:lang w:eastAsia="fi-FI"/>
        </w:rPr>
        <w:t xml:space="preserve">ion here is that </w:t>
      </w:r>
      <w:r w:rsidR="001C2797" w:rsidRPr="00135C74">
        <w:rPr>
          <w:lang w:eastAsia="fi-FI"/>
        </w:rPr>
        <w:t>the cost</w:t>
      </w:r>
      <w:r w:rsidR="00920C25" w:rsidRPr="00135C74">
        <w:rPr>
          <w:lang w:eastAsia="fi-FI"/>
        </w:rPr>
        <w:t>–</w:t>
      </w:r>
      <w:r w:rsidR="001C2797" w:rsidRPr="00135C74">
        <w:rPr>
          <w:lang w:eastAsia="fi-FI"/>
        </w:rPr>
        <w:t>benefit ratio of supply network mapping for recoverability</w:t>
      </w:r>
      <w:r w:rsidR="008A39EB" w:rsidRPr="00135C74">
        <w:rPr>
          <w:lang w:eastAsia="fi-FI"/>
        </w:rPr>
        <w:t xml:space="preserve"> </w:t>
      </w:r>
      <w:r w:rsidR="00C529E3" w:rsidRPr="00135C74">
        <w:rPr>
          <w:lang w:eastAsia="fi-FI"/>
        </w:rPr>
        <w:t xml:space="preserve">may </w:t>
      </w:r>
      <w:r w:rsidR="008A39EB" w:rsidRPr="00135C74">
        <w:rPr>
          <w:lang w:eastAsia="fi-FI"/>
        </w:rPr>
        <w:t>require re-evaluation</w:t>
      </w:r>
      <w:r w:rsidR="003322EB" w:rsidRPr="00135C74">
        <w:rPr>
          <w:lang w:eastAsia="fi-FI"/>
        </w:rPr>
        <w:t xml:space="preserve">, particularly </w:t>
      </w:r>
      <w:r w:rsidR="00955934">
        <w:rPr>
          <w:lang w:eastAsia="fi-FI"/>
        </w:rPr>
        <w:t>because</w:t>
      </w:r>
      <w:r w:rsidR="00955934" w:rsidRPr="00135C74">
        <w:rPr>
          <w:lang w:eastAsia="fi-FI"/>
        </w:rPr>
        <w:t xml:space="preserve"> </w:t>
      </w:r>
      <w:r w:rsidR="003322EB" w:rsidRPr="00135C74">
        <w:rPr>
          <w:lang w:eastAsia="fi-FI"/>
        </w:rPr>
        <w:t xml:space="preserve">the cost of network mapping may be reduced in the future with </w:t>
      </w:r>
      <w:r w:rsidR="003322EB" w:rsidRPr="00135C74">
        <w:rPr>
          <w:lang w:eastAsia="fi-FI"/>
        </w:rPr>
        <w:lastRenderedPageBreak/>
        <w:t>new digital</w:t>
      </w:r>
      <w:r w:rsidR="00282922" w:rsidRPr="00135C74">
        <w:rPr>
          <w:lang w:eastAsia="fi-FI"/>
        </w:rPr>
        <w:t xml:space="preserve"> applications and resilience may indeed be an important competitive differentiator</w:t>
      </w:r>
      <w:r w:rsidR="00C529E3" w:rsidRPr="00135C74">
        <w:rPr>
          <w:lang w:eastAsia="fi-FI"/>
        </w:rPr>
        <w:t>. Such effo</w:t>
      </w:r>
      <w:r w:rsidR="00920C25" w:rsidRPr="00135C74">
        <w:rPr>
          <w:lang w:eastAsia="fi-FI"/>
        </w:rPr>
        <w:t>r</w:t>
      </w:r>
      <w:r w:rsidR="00C529E3" w:rsidRPr="00135C74">
        <w:rPr>
          <w:lang w:eastAsia="fi-FI"/>
        </w:rPr>
        <w:t>t</w:t>
      </w:r>
      <w:r w:rsidR="00920C25" w:rsidRPr="00135C74">
        <w:rPr>
          <w:lang w:eastAsia="fi-FI"/>
        </w:rPr>
        <w:t>s</w:t>
      </w:r>
      <w:r w:rsidR="00C529E3" w:rsidRPr="00135C74">
        <w:rPr>
          <w:lang w:eastAsia="fi-FI"/>
        </w:rPr>
        <w:t xml:space="preserve"> may benef</w:t>
      </w:r>
      <w:r w:rsidR="00920C25" w:rsidRPr="00135C74">
        <w:rPr>
          <w:lang w:eastAsia="fi-FI"/>
        </w:rPr>
        <w:t>i</w:t>
      </w:r>
      <w:r w:rsidR="00C529E3" w:rsidRPr="00135C74">
        <w:rPr>
          <w:lang w:eastAsia="fi-FI"/>
        </w:rPr>
        <w:t>t f</w:t>
      </w:r>
      <w:r w:rsidR="0087063E" w:rsidRPr="00135C74">
        <w:rPr>
          <w:lang w:eastAsia="fi-FI"/>
        </w:rPr>
        <w:t>rom</w:t>
      </w:r>
      <w:r w:rsidR="00232C6A" w:rsidRPr="00135C74">
        <w:rPr>
          <w:lang w:eastAsia="fi-FI"/>
        </w:rPr>
        <w:t xml:space="preserve"> build</w:t>
      </w:r>
      <w:r w:rsidR="0087063E" w:rsidRPr="00135C74">
        <w:rPr>
          <w:lang w:eastAsia="fi-FI"/>
        </w:rPr>
        <w:t>ing</w:t>
      </w:r>
      <w:r w:rsidR="00232C6A" w:rsidRPr="00135C74">
        <w:rPr>
          <w:lang w:eastAsia="fi-FI"/>
        </w:rPr>
        <w:t xml:space="preserve"> knowledge management systems to learn from </w:t>
      </w:r>
      <w:r w:rsidR="00C529E3" w:rsidRPr="00135C74">
        <w:rPr>
          <w:lang w:eastAsia="fi-FI"/>
        </w:rPr>
        <w:t xml:space="preserve">past disruption </w:t>
      </w:r>
      <w:r w:rsidR="00232C6A" w:rsidRPr="00135C74">
        <w:rPr>
          <w:lang w:eastAsia="fi-FI"/>
        </w:rPr>
        <w:t>events</w:t>
      </w:r>
      <w:r w:rsidR="00725C1F" w:rsidRPr="00135C74">
        <w:rPr>
          <w:lang w:eastAsia="fi-FI"/>
        </w:rPr>
        <w:t xml:space="preserve"> </w:t>
      </w:r>
      <w:r w:rsidR="00232C6A" w:rsidRPr="00135C74">
        <w:rPr>
          <w:lang w:eastAsia="fi-FI"/>
        </w:rPr>
        <w:t>(</w:t>
      </w:r>
      <w:proofErr w:type="spellStart"/>
      <w:r w:rsidR="00232C6A" w:rsidRPr="00135C74">
        <w:rPr>
          <w:lang w:eastAsia="fi-FI"/>
        </w:rPr>
        <w:t>Zsidisin</w:t>
      </w:r>
      <w:proofErr w:type="spellEnd"/>
      <w:r w:rsidR="00232C6A" w:rsidRPr="00135C74">
        <w:rPr>
          <w:lang w:eastAsia="fi-FI"/>
        </w:rPr>
        <w:t xml:space="preserve"> </w:t>
      </w:r>
      <w:r w:rsidR="00232C6A" w:rsidRPr="00135C74">
        <w:rPr>
          <w:i/>
          <w:lang w:eastAsia="fi-FI"/>
        </w:rPr>
        <w:t>et al</w:t>
      </w:r>
      <w:r w:rsidR="00232C6A" w:rsidRPr="00135C74">
        <w:rPr>
          <w:lang w:eastAsia="fi-FI"/>
        </w:rPr>
        <w:t>.</w:t>
      </w:r>
      <w:r w:rsidR="004403D3" w:rsidRPr="00135C74">
        <w:rPr>
          <w:lang w:eastAsia="fi-FI"/>
        </w:rPr>
        <w:t>,</w:t>
      </w:r>
      <w:r w:rsidR="00232C6A" w:rsidRPr="00135C74">
        <w:rPr>
          <w:lang w:eastAsia="fi-FI"/>
        </w:rPr>
        <w:t xml:space="preserve"> 2005). </w:t>
      </w:r>
    </w:p>
    <w:p w14:paraId="4069C958" w14:textId="3CAACD89" w:rsidR="00BE33C8" w:rsidRPr="00135C74" w:rsidRDefault="008C6ACF" w:rsidP="00377304">
      <w:pPr>
        <w:spacing w:line="480" w:lineRule="auto"/>
        <w:jc w:val="both"/>
      </w:pPr>
      <w:r w:rsidRPr="00135C74">
        <w:rPr>
          <w:lang w:eastAsia="fi-FI"/>
        </w:rPr>
        <w:t xml:space="preserve">Second, </w:t>
      </w:r>
      <w:r w:rsidR="00815F35" w:rsidRPr="00135C74">
        <w:rPr>
          <w:lang w:eastAsia="fi-FI"/>
        </w:rPr>
        <w:t xml:space="preserve">our data suggest the importance of </w:t>
      </w:r>
      <w:r w:rsidR="00725C1F" w:rsidRPr="00135C74">
        <w:rPr>
          <w:lang w:eastAsia="fi-FI"/>
        </w:rPr>
        <w:t>manage</w:t>
      </w:r>
      <w:r w:rsidR="00AF07BA" w:rsidRPr="00135C74">
        <w:rPr>
          <w:lang w:eastAsia="fi-FI"/>
        </w:rPr>
        <w:t>rial</w:t>
      </w:r>
      <w:r w:rsidR="00725C1F" w:rsidRPr="00135C74">
        <w:rPr>
          <w:lang w:eastAsia="fi-FI"/>
        </w:rPr>
        <w:t xml:space="preserve"> attention </w:t>
      </w:r>
      <w:r w:rsidR="005E7F21" w:rsidRPr="00135C74">
        <w:rPr>
          <w:lang w:eastAsia="fi-FI"/>
        </w:rPr>
        <w:t>in the form</w:t>
      </w:r>
      <w:r w:rsidR="00E511F6" w:rsidRPr="00135C74">
        <w:rPr>
          <w:lang w:eastAsia="fi-FI"/>
        </w:rPr>
        <w:t xml:space="preserve"> </w:t>
      </w:r>
      <w:r w:rsidR="005E7F21" w:rsidRPr="00135C74">
        <w:rPr>
          <w:lang w:eastAsia="fi-FI"/>
        </w:rPr>
        <w:t>of</w:t>
      </w:r>
      <w:r w:rsidR="00815F35" w:rsidRPr="00135C74">
        <w:rPr>
          <w:lang w:eastAsia="fi-FI"/>
        </w:rPr>
        <w:t xml:space="preserve"> two types of attentional selection</w:t>
      </w:r>
      <w:r w:rsidR="00725C1F" w:rsidRPr="00135C74">
        <w:rPr>
          <w:lang w:eastAsia="fi-FI"/>
        </w:rPr>
        <w:t>. Coexist</w:t>
      </w:r>
      <w:r w:rsidR="00C529E3" w:rsidRPr="00135C74">
        <w:rPr>
          <w:lang w:eastAsia="fi-FI"/>
        </w:rPr>
        <w:t>e</w:t>
      </w:r>
      <w:r w:rsidR="00725C1F" w:rsidRPr="00135C74">
        <w:rPr>
          <w:lang w:eastAsia="fi-FI"/>
        </w:rPr>
        <w:t xml:space="preserve">nce is important </w:t>
      </w:r>
      <w:r w:rsidR="00920C25" w:rsidRPr="00135C74">
        <w:rPr>
          <w:lang w:eastAsia="fi-FI"/>
        </w:rPr>
        <w:t xml:space="preserve">because </w:t>
      </w:r>
      <w:r w:rsidR="00725C1F" w:rsidRPr="00135C74">
        <w:rPr>
          <w:lang w:eastAsia="fi-FI"/>
        </w:rPr>
        <w:t>r</w:t>
      </w:r>
      <w:r w:rsidR="003322EB" w:rsidRPr="00135C74">
        <w:rPr>
          <w:lang w:eastAsia="fi-FI"/>
        </w:rPr>
        <w:t>el</w:t>
      </w:r>
      <w:r w:rsidR="00725C1F" w:rsidRPr="00135C74">
        <w:rPr>
          <w:lang w:eastAsia="fi-FI"/>
        </w:rPr>
        <w:t>iance</w:t>
      </w:r>
      <w:r w:rsidR="003322EB" w:rsidRPr="00135C74">
        <w:rPr>
          <w:lang w:eastAsia="fi-FI"/>
        </w:rPr>
        <w:t xml:space="preserve"> </w:t>
      </w:r>
      <w:r w:rsidR="00815F35" w:rsidRPr="00135C74">
        <w:rPr>
          <w:lang w:eastAsia="fi-FI"/>
        </w:rPr>
        <w:t xml:space="preserve">only </w:t>
      </w:r>
      <w:r w:rsidR="003322EB" w:rsidRPr="00135C74">
        <w:rPr>
          <w:lang w:eastAsia="fi-FI"/>
        </w:rPr>
        <w:t xml:space="preserve">on </w:t>
      </w:r>
      <w:r w:rsidR="00815F35" w:rsidRPr="00135C74">
        <w:rPr>
          <w:lang w:eastAsia="fi-FI"/>
        </w:rPr>
        <w:t xml:space="preserve">top-down or bottom-up supply disruption detection </w:t>
      </w:r>
      <w:r w:rsidR="00920C25" w:rsidRPr="00135C74">
        <w:rPr>
          <w:lang w:eastAsia="fi-FI"/>
        </w:rPr>
        <w:t xml:space="preserve">does not </w:t>
      </w:r>
      <w:r w:rsidR="00165BF3" w:rsidRPr="00135C74">
        <w:rPr>
          <w:lang w:eastAsia="fi-FI"/>
        </w:rPr>
        <w:t>seem</w:t>
      </w:r>
      <w:r w:rsidR="00815F35" w:rsidRPr="00135C74">
        <w:rPr>
          <w:lang w:eastAsia="fi-FI"/>
        </w:rPr>
        <w:t xml:space="preserve"> </w:t>
      </w:r>
      <w:r w:rsidR="00165BF3" w:rsidRPr="00135C74">
        <w:rPr>
          <w:lang w:eastAsia="fi-FI"/>
        </w:rPr>
        <w:t xml:space="preserve">to be </w:t>
      </w:r>
      <w:r w:rsidR="00815F35" w:rsidRPr="00135C74">
        <w:rPr>
          <w:lang w:eastAsia="fi-FI"/>
        </w:rPr>
        <w:t xml:space="preserve">enough </w:t>
      </w:r>
      <w:r w:rsidR="00955934">
        <w:rPr>
          <w:lang w:eastAsia="fi-FI"/>
        </w:rPr>
        <w:t>to produce</w:t>
      </w:r>
      <w:r w:rsidR="00955934" w:rsidRPr="00135C74">
        <w:rPr>
          <w:lang w:eastAsia="fi-FI"/>
        </w:rPr>
        <w:t xml:space="preserve"> </w:t>
      </w:r>
      <w:r w:rsidR="00135C74" w:rsidRPr="00135C74">
        <w:rPr>
          <w:lang w:eastAsia="fi-FI"/>
        </w:rPr>
        <w:t>favourable</w:t>
      </w:r>
      <w:r w:rsidR="00815F35" w:rsidRPr="00135C74">
        <w:rPr>
          <w:lang w:eastAsia="fi-FI"/>
        </w:rPr>
        <w:t xml:space="preserve"> </w:t>
      </w:r>
      <w:r w:rsidR="005E7F21" w:rsidRPr="00135C74">
        <w:rPr>
          <w:lang w:eastAsia="fi-FI"/>
        </w:rPr>
        <w:t xml:space="preserve">resilience </w:t>
      </w:r>
      <w:r w:rsidR="00815F35" w:rsidRPr="00135C74">
        <w:rPr>
          <w:lang w:eastAsia="fi-FI"/>
        </w:rPr>
        <w:t>outcomes</w:t>
      </w:r>
      <w:r w:rsidR="00CE7DA5" w:rsidRPr="00135C74">
        <w:rPr>
          <w:lang w:eastAsia="fi-FI"/>
        </w:rPr>
        <w:t xml:space="preserve">. </w:t>
      </w:r>
      <w:r w:rsidR="00165BF3" w:rsidRPr="00135C74">
        <w:rPr>
          <w:lang w:eastAsia="fi-FI"/>
        </w:rPr>
        <w:t>Therefore</w:t>
      </w:r>
      <w:r w:rsidR="00920C25" w:rsidRPr="00135C74">
        <w:rPr>
          <w:lang w:eastAsia="fi-FI"/>
        </w:rPr>
        <w:t>,</w:t>
      </w:r>
      <w:r w:rsidR="00165BF3" w:rsidRPr="00135C74">
        <w:rPr>
          <w:lang w:eastAsia="fi-FI"/>
        </w:rPr>
        <w:t xml:space="preserve"> our results support </w:t>
      </w:r>
      <w:r w:rsidR="00C529E3" w:rsidRPr="00135C74">
        <w:rPr>
          <w:lang w:eastAsia="fi-FI"/>
        </w:rPr>
        <w:t>the idea of pursuing</w:t>
      </w:r>
      <w:r w:rsidR="00815F35" w:rsidRPr="00135C74">
        <w:t xml:space="preserve"> </w:t>
      </w:r>
      <w:r w:rsidR="00955934">
        <w:t xml:space="preserve">a </w:t>
      </w:r>
      <w:r w:rsidR="00815F35" w:rsidRPr="00135C74">
        <w:t>balance in attentional selection</w:t>
      </w:r>
      <w:r w:rsidR="00165BF3" w:rsidRPr="00135C74">
        <w:t xml:space="preserve">, </w:t>
      </w:r>
      <w:r w:rsidR="00955934">
        <w:t xml:space="preserve">here </w:t>
      </w:r>
      <w:r w:rsidR="00165BF3" w:rsidRPr="00135C74">
        <w:t xml:space="preserve">aligned with </w:t>
      </w:r>
      <w:r w:rsidR="003456DA" w:rsidRPr="00135C74">
        <w:t xml:space="preserve">the </w:t>
      </w:r>
      <w:r w:rsidR="00C529E3" w:rsidRPr="00135C74">
        <w:t>theory o</w:t>
      </w:r>
      <w:r w:rsidR="00B4370D">
        <w:t>f</w:t>
      </w:r>
      <w:r w:rsidR="00C529E3" w:rsidRPr="00135C74">
        <w:t xml:space="preserve"> </w:t>
      </w:r>
      <w:r w:rsidR="00815F35" w:rsidRPr="00135C74">
        <w:t>organi</w:t>
      </w:r>
      <w:r w:rsidR="001870C5">
        <w:t>s</w:t>
      </w:r>
      <w:r w:rsidR="00815F35" w:rsidRPr="00135C74">
        <w:t>ational ambidexterity (</w:t>
      </w:r>
      <w:proofErr w:type="spellStart"/>
      <w:r w:rsidR="00815F35" w:rsidRPr="00135C74">
        <w:t>Birkinshaw</w:t>
      </w:r>
      <w:proofErr w:type="spellEnd"/>
      <w:r w:rsidR="00815F35" w:rsidRPr="00135C74">
        <w:t xml:space="preserve"> and Gupta, 2013) </w:t>
      </w:r>
      <w:r w:rsidR="00165BF3" w:rsidRPr="00135C74">
        <w:t xml:space="preserve">and </w:t>
      </w:r>
      <w:r w:rsidR="00955934">
        <w:t xml:space="preserve">the </w:t>
      </w:r>
      <w:r w:rsidR="00C529E3" w:rsidRPr="00135C74">
        <w:t xml:space="preserve">findings on </w:t>
      </w:r>
      <w:r w:rsidR="00165BF3" w:rsidRPr="00135C74">
        <w:t>attention in the procurement management context</w:t>
      </w:r>
      <w:r w:rsidR="00815F35" w:rsidRPr="00135C74">
        <w:t xml:space="preserve"> (Lorentz </w:t>
      </w:r>
      <w:r w:rsidR="00815F35" w:rsidRPr="00135C74">
        <w:rPr>
          <w:i/>
        </w:rPr>
        <w:t>et al</w:t>
      </w:r>
      <w:r w:rsidR="00815F35" w:rsidRPr="00135C74">
        <w:t xml:space="preserve">., 2019). </w:t>
      </w:r>
      <w:r w:rsidR="00BE33C8" w:rsidRPr="00135C74">
        <w:t xml:space="preserve">Although </w:t>
      </w:r>
      <w:r w:rsidR="00D27A8A">
        <w:t>our</w:t>
      </w:r>
      <w:r w:rsidR="00D27A8A" w:rsidRPr="00135C74">
        <w:t xml:space="preserve"> </w:t>
      </w:r>
      <w:r w:rsidR="00EC6A47" w:rsidRPr="00135C74">
        <w:t>results</w:t>
      </w:r>
      <w:r w:rsidR="00BE33C8" w:rsidRPr="00135C74">
        <w:t xml:space="preserve"> </w:t>
      </w:r>
      <w:r w:rsidR="00D27A8A">
        <w:t>a</w:t>
      </w:r>
      <w:r w:rsidR="00D27A8A" w:rsidRPr="00135C74">
        <w:t xml:space="preserve">re </w:t>
      </w:r>
      <w:r w:rsidR="00BE33C8" w:rsidRPr="00135C74">
        <w:t xml:space="preserve">not able to capture </w:t>
      </w:r>
      <w:r w:rsidR="001F37BA" w:rsidRPr="00135C74">
        <w:t>the potential</w:t>
      </w:r>
      <w:r w:rsidR="00BE33C8" w:rsidRPr="00135C74">
        <w:t xml:space="preserve"> benefi</w:t>
      </w:r>
      <w:r w:rsidR="001F37BA" w:rsidRPr="00135C74">
        <w:t>ts of</w:t>
      </w:r>
      <w:r w:rsidR="00B4370D">
        <w:t xml:space="preserve"> the</w:t>
      </w:r>
      <w:r w:rsidR="00BE33C8" w:rsidRPr="00135C74">
        <w:t xml:space="preserve"> dynamic balancing of top-down and bottom-up attentional selection</w:t>
      </w:r>
      <w:r w:rsidR="001F37BA" w:rsidRPr="00135C74">
        <w:t xml:space="preserve"> over time</w:t>
      </w:r>
      <w:r w:rsidR="00BE33C8" w:rsidRPr="00135C74">
        <w:t>, the contingencies for such capability</w:t>
      </w:r>
      <w:r w:rsidR="00920C25" w:rsidRPr="00135C74">
        <w:t>-</w:t>
      </w:r>
      <w:r w:rsidR="00BE33C8" w:rsidRPr="00135C74">
        <w:t xml:space="preserve">shifting processes may be addressed in </w:t>
      </w:r>
      <w:r w:rsidR="00D27A8A" w:rsidRPr="00135C74">
        <w:t>fu</w:t>
      </w:r>
      <w:r w:rsidR="00D27A8A">
        <w:t>ture</w:t>
      </w:r>
      <w:r w:rsidR="00D27A8A" w:rsidRPr="00135C74">
        <w:t xml:space="preserve"> </w:t>
      </w:r>
      <w:r w:rsidR="00BE33C8" w:rsidRPr="00135C74">
        <w:t xml:space="preserve">research (cf. Luger </w:t>
      </w:r>
      <w:r w:rsidR="00BE33C8" w:rsidRPr="00135C74">
        <w:rPr>
          <w:i/>
        </w:rPr>
        <w:t>et al</w:t>
      </w:r>
      <w:r w:rsidR="00BE33C8" w:rsidRPr="00135C74">
        <w:t xml:space="preserve">., 2018). </w:t>
      </w:r>
      <w:r w:rsidR="00C157E4" w:rsidRPr="00135C74">
        <w:t xml:space="preserve">The prolonged nature of </w:t>
      </w:r>
      <w:r w:rsidR="00920C25" w:rsidRPr="00135C74">
        <w:t xml:space="preserve">disruptions related to the </w:t>
      </w:r>
      <w:r w:rsidR="00C157E4" w:rsidRPr="00135C74">
        <w:t xml:space="preserve">COVID-19 pandemic </w:t>
      </w:r>
      <w:r w:rsidR="00123E1C" w:rsidRPr="00135C74">
        <w:t xml:space="preserve">highlights </w:t>
      </w:r>
      <w:r w:rsidR="00AF55B1">
        <w:t xml:space="preserve">the </w:t>
      </w:r>
      <w:r w:rsidR="00C157E4" w:rsidRPr="00135C74">
        <w:t xml:space="preserve">extreme conditions </w:t>
      </w:r>
      <w:r w:rsidR="00920C25" w:rsidRPr="00135C74">
        <w:t xml:space="preserve">that </w:t>
      </w:r>
      <w:r w:rsidR="00C157E4" w:rsidRPr="00135C74">
        <w:t>require</w:t>
      </w:r>
      <w:r w:rsidR="00920C25" w:rsidRPr="00135C74">
        <w:t xml:space="preserve"> </w:t>
      </w:r>
      <w:r w:rsidR="00C157E4" w:rsidRPr="00135C74">
        <w:t>rethink</w:t>
      </w:r>
      <w:r w:rsidR="00B4370D">
        <w:t>ing</w:t>
      </w:r>
      <w:r w:rsidR="00C157E4" w:rsidRPr="00135C74">
        <w:t xml:space="preserve"> how supply networks are managed (Sodhi and Tang, 2021)</w:t>
      </w:r>
      <w:r w:rsidR="00AF55B1">
        <w:t>,</w:t>
      </w:r>
      <w:r w:rsidR="00C157E4" w:rsidRPr="00135C74">
        <w:t xml:space="preserve"> possibly indicat</w:t>
      </w:r>
      <w:r w:rsidR="00AF55B1">
        <w:t>ing</w:t>
      </w:r>
      <w:r w:rsidR="00C157E4" w:rsidRPr="00135C74">
        <w:t xml:space="preserve"> the need to dynamically rebalance detection mechanisms throughout the life</w:t>
      </w:r>
      <w:r w:rsidR="004D223F">
        <w:t xml:space="preserve"> </w:t>
      </w:r>
      <w:r w:rsidR="00C157E4" w:rsidRPr="00135C74">
        <w:t>cycle of such extreme conditions.</w:t>
      </w:r>
      <w:r w:rsidR="00232C6A" w:rsidRPr="00135C74">
        <w:t xml:space="preserve"> </w:t>
      </w:r>
    </w:p>
    <w:p w14:paraId="5E84CE65" w14:textId="1CCFC737" w:rsidR="008C6ACF" w:rsidRPr="00135C74" w:rsidRDefault="00AA581E">
      <w:pPr>
        <w:spacing w:line="480" w:lineRule="auto"/>
        <w:jc w:val="both"/>
        <w:rPr>
          <w:lang w:eastAsia="fi-FI"/>
        </w:rPr>
      </w:pPr>
      <w:r w:rsidRPr="00135C74">
        <w:t>Interestingly, o</w:t>
      </w:r>
      <w:r w:rsidR="00741C49" w:rsidRPr="00135C74">
        <w:t xml:space="preserve">ur </w:t>
      </w:r>
      <w:r w:rsidR="004158AD" w:rsidRPr="00135C74">
        <w:t xml:space="preserve">results </w:t>
      </w:r>
      <w:r w:rsidRPr="00135C74">
        <w:t xml:space="preserve">did not support our hypothesis regarding the </w:t>
      </w:r>
      <w:r w:rsidR="00741C49" w:rsidRPr="00135C74">
        <w:t>difference in terms</w:t>
      </w:r>
      <w:r w:rsidR="004158AD" w:rsidRPr="00135C74">
        <w:t xml:space="preserve"> of</w:t>
      </w:r>
      <w:r w:rsidR="00741C49" w:rsidRPr="00135C74">
        <w:t xml:space="preserve"> the </w:t>
      </w:r>
      <w:r w:rsidR="00E95B32" w:rsidRPr="00135C74">
        <w:t xml:space="preserve">degree of </w:t>
      </w:r>
      <w:r w:rsidR="00741C49" w:rsidRPr="00135C74">
        <w:t>impact of</w:t>
      </w:r>
      <w:r w:rsidR="00875E99">
        <w:t xml:space="preserve"> the</w:t>
      </w:r>
      <w:r w:rsidR="00741C49" w:rsidRPr="00135C74">
        <w:t xml:space="preserve"> </w:t>
      </w:r>
      <w:r w:rsidRPr="00135C74">
        <w:t>im</w:t>
      </w:r>
      <w:r w:rsidR="00741C49" w:rsidRPr="00135C74">
        <w:t>balance</w:t>
      </w:r>
      <w:r w:rsidRPr="00135C74">
        <w:t xml:space="preserve"> in</w:t>
      </w:r>
      <w:r w:rsidR="00741C49" w:rsidRPr="00135C74">
        <w:t xml:space="preserve"> supply disruption detection on the </w:t>
      </w:r>
      <w:r w:rsidR="00E95B32" w:rsidRPr="00135C74">
        <w:t xml:space="preserve">two </w:t>
      </w:r>
      <w:r w:rsidR="00741C49" w:rsidRPr="00135C74">
        <w:t xml:space="preserve">attentional perspectives on supply disruption risk management. </w:t>
      </w:r>
      <w:r w:rsidR="00875E99">
        <w:t>B</w:t>
      </w:r>
      <w:r w:rsidR="00875E99" w:rsidRPr="00135C74">
        <w:t>ased on our Assumption 2 that managers typically tend to be biased towards the top-down approach</w:t>
      </w:r>
      <w:r w:rsidR="00875E99">
        <w:t>,</w:t>
      </w:r>
      <w:r w:rsidR="00875E99" w:rsidRPr="00135C74">
        <w:t xml:space="preserve"> </w:t>
      </w:r>
      <w:r w:rsidR="00875E99">
        <w:t>w</w:t>
      </w:r>
      <w:r w:rsidRPr="00135C74">
        <w:t>e expected tha</w:t>
      </w:r>
      <w:r w:rsidR="00B4370D">
        <w:t xml:space="preserve">t </w:t>
      </w:r>
      <w:r w:rsidRPr="00135C74">
        <w:t>t</w:t>
      </w:r>
      <w:r w:rsidR="00B4370D">
        <w:t>he</w:t>
      </w:r>
      <w:r w:rsidRPr="00135C74">
        <w:t xml:space="preserve"> focus on sources would suffer more from imbalance. Descriptive statistics </w:t>
      </w:r>
      <w:r w:rsidR="00875E99" w:rsidRPr="00135C74">
        <w:t>o</w:t>
      </w:r>
      <w:r w:rsidR="00875E99">
        <w:t>f</w:t>
      </w:r>
      <w:r w:rsidR="00875E99" w:rsidRPr="00135C74">
        <w:t xml:space="preserve"> </w:t>
      </w:r>
      <w:r w:rsidRPr="00135C74">
        <w:t>our data proved our assumption wrong and showed that there is a group of managers with bottom-up bias</w:t>
      </w:r>
      <w:r w:rsidR="00875E99">
        <w:t>,</w:t>
      </w:r>
      <w:r w:rsidRPr="00135C74">
        <w:t xml:space="preserve"> in addition to the group with top-down bias. </w:t>
      </w:r>
      <w:r w:rsidR="00741C49" w:rsidRPr="00135C74">
        <w:t>Further research may seek to replicate our study and re-examine these associations</w:t>
      </w:r>
      <w:r w:rsidR="00E95B32" w:rsidRPr="00135C74">
        <w:t xml:space="preserve"> for more conclusive results</w:t>
      </w:r>
      <w:r w:rsidR="003F1D16" w:rsidRPr="00135C74">
        <w:t xml:space="preserve">, as well as the contingencies that lead to bias towards the top-down or bottom-up attentional selection. We </w:t>
      </w:r>
      <w:r w:rsidRPr="00135C74">
        <w:t xml:space="preserve">conclude that balancing </w:t>
      </w:r>
      <w:r w:rsidRPr="00135C74">
        <w:lastRenderedPageBreak/>
        <w:t xml:space="preserve">attentional selection for disruption detection serves the purposes of both perspectives on supply disruption risk management. </w:t>
      </w:r>
    </w:p>
    <w:p w14:paraId="349BF6E1" w14:textId="1BCD796D" w:rsidR="00920C25" w:rsidRPr="00135C74" w:rsidRDefault="00232C6A" w:rsidP="00232C6A">
      <w:pPr>
        <w:spacing w:line="480" w:lineRule="auto"/>
        <w:jc w:val="both"/>
        <w:rPr>
          <w:lang w:eastAsia="fi-FI"/>
        </w:rPr>
      </w:pPr>
      <w:r w:rsidRPr="00135C74">
        <w:rPr>
          <w:lang w:eastAsia="fi-FI"/>
        </w:rPr>
        <w:t xml:space="preserve">Finally, </w:t>
      </w:r>
      <w:r w:rsidR="00A9777F" w:rsidRPr="00135C74">
        <w:rPr>
          <w:lang w:eastAsia="fi-FI"/>
        </w:rPr>
        <w:t>th</w:t>
      </w:r>
      <w:r w:rsidR="00875E99">
        <w:rPr>
          <w:lang w:eastAsia="fi-FI"/>
        </w:rPr>
        <w:t>e present</w:t>
      </w:r>
      <w:r w:rsidR="00A9777F" w:rsidRPr="00135C74">
        <w:rPr>
          <w:lang w:eastAsia="fi-FI"/>
        </w:rPr>
        <w:t xml:space="preserve"> study contributes </w:t>
      </w:r>
      <w:r w:rsidRPr="00135C74">
        <w:rPr>
          <w:lang w:eastAsia="fi-FI"/>
        </w:rPr>
        <w:t xml:space="preserve">to understanding the </w:t>
      </w:r>
      <w:bookmarkStart w:id="0" w:name="_Hlk66456132"/>
      <w:proofErr w:type="spellStart"/>
      <w:r w:rsidRPr="00135C74">
        <w:rPr>
          <w:lang w:eastAsia="fi-FI"/>
        </w:rPr>
        <w:t>microfoundations</w:t>
      </w:r>
      <w:proofErr w:type="spellEnd"/>
      <w:r w:rsidRPr="00135C74">
        <w:rPr>
          <w:lang w:eastAsia="fi-FI"/>
        </w:rPr>
        <w:t xml:space="preserve"> </w:t>
      </w:r>
      <w:bookmarkEnd w:id="0"/>
      <w:r w:rsidRPr="00135C74">
        <w:rPr>
          <w:lang w:eastAsia="fi-FI"/>
        </w:rPr>
        <w:t xml:space="preserve">of supply disruption risk management capability by focusing on the </w:t>
      </w:r>
      <w:r w:rsidR="00AF07BA" w:rsidRPr="00135C74">
        <w:rPr>
          <w:lang w:eastAsia="fi-FI"/>
        </w:rPr>
        <w:t>attention of supply managers</w:t>
      </w:r>
      <w:r w:rsidRPr="00135C74">
        <w:rPr>
          <w:lang w:eastAsia="fi-FI"/>
        </w:rPr>
        <w:t xml:space="preserve"> (cf. </w:t>
      </w:r>
      <w:proofErr w:type="spellStart"/>
      <w:r w:rsidRPr="00135C74">
        <w:rPr>
          <w:lang w:eastAsia="fi-FI"/>
        </w:rPr>
        <w:t>Felin</w:t>
      </w:r>
      <w:proofErr w:type="spellEnd"/>
      <w:r w:rsidRPr="00135C74">
        <w:rPr>
          <w:lang w:eastAsia="fi-FI"/>
        </w:rPr>
        <w:t xml:space="preserve"> </w:t>
      </w:r>
      <w:r w:rsidRPr="00135C74">
        <w:rPr>
          <w:i/>
          <w:lang w:eastAsia="fi-FI"/>
        </w:rPr>
        <w:t>et al</w:t>
      </w:r>
      <w:r w:rsidRPr="00135C74">
        <w:rPr>
          <w:lang w:eastAsia="fi-FI"/>
        </w:rPr>
        <w:t>., 2012). Drawing parallels with the dynamic capability literature, for example</w:t>
      </w:r>
      <w:r w:rsidR="00920C25" w:rsidRPr="00135C74">
        <w:rPr>
          <w:lang w:eastAsia="fi-FI"/>
        </w:rPr>
        <w:t>,</w:t>
      </w:r>
      <w:r w:rsidRPr="00135C74">
        <w:rPr>
          <w:lang w:eastAsia="fi-FI"/>
        </w:rPr>
        <w:t xml:space="preserve"> in terms of sensing as </w:t>
      </w:r>
      <w:r w:rsidR="00920C25" w:rsidRPr="00135C74">
        <w:rPr>
          <w:lang w:eastAsia="fi-FI"/>
        </w:rPr>
        <w:t xml:space="preserve">a </w:t>
      </w:r>
      <w:r w:rsidRPr="00135C74">
        <w:rPr>
          <w:lang w:eastAsia="fi-FI"/>
        </w:rPr>
        <w:t xml:space="preserve">recognition of opportunities (and threats), </w:t>
      </w:r>
      <w:r w:rsidR="00920C25" w:rsidRPr="00135C74">
        <w:rPr>
          <w:lang w:eastAsia="fi-FI"/>
        </w:rPr>
        <w:t>we</w:t>
      </w:r>
      <w:r w:rsidRPr="00135C74">
        <w:rPr>
          <w:lang w:eastAsia="fi-FI"/>
        </w:rPr>
        <w:t xml:space="preserve"> show that attention indeed play</w:t>
      </w:r>
      <w:r w:rsidR="00104370" w:rsidRPr="00135C74">
        <w:rPr>
          <w:lang w:eastAsia="fi-FI"/>
        </w:rPr>
        <w:t>s</w:t>
      </w:r>
      <w:r w:rsidR="00B4370D">
        <w:rPr>
          <w:lang w:eastAsia="fi-FI"/>
        </w:rPr>
        <w:t xml:space="preserve"> a</w:t>
      </w:r>
      <w:r w:rsidRPr="00135C74">
        <w:rPr>
          <w:lang w:eastAsia="fi-FI"/>
        </w:rPr>
        <w:t xml:space="preserve"> </w:t>
      </w:r>
      <w:proofErr w:type="spellStart"/>
      <w:r w:rsidRPr="00135C74">
        <w:rPr>
          <w:lang w:eastAsia="fi-FI"/>
        </w:rPr>
        <w:t>microfoundational</w:t>
      </w:r>
      <w:proofErr w:type="spellEnd"/>
      <w:r w:rsidRPr="00135C74">
        <w:rPr>
          <w:lang w:eastAsia="fi-FI"/>
        </w:rPr>
        <w:t xml:space="preserve"> role as </w:t>
      </w:r>
      <w:r w:rsidR="00104370" w:rsidRPr="00135C74">
        <w:rPr>
          <w:lang w:eastAsia="fi-FI"/>
        </w:rPr>
        <w:t xml:space="preserve">a </w:t>
      </w:r>
      <w:r w:rsidRPr="00135C74">
        <w:rPr>
          <w:lang w:eastAsia="fi-FI"/>
        </w:rPr>
        <w:t>building block of dynamic capabilities (</w:t>
      </w:r>
      <w:proofErr w:type="spellStart"/>
      <w:r w:rsidRPr="00135C74">
        <w:rPr>
          <w:lang w:eastAsia="fi-FI"/>
        </w:rPr>
        <w:t>Helfat</w:t>
      </w:r>
      <w:proofErr w:type="spellEnd"/>
      <w:r w:rsidRPr="00135C74">
        <w:rPr>
          <w:lang w:eastAsia="fi-FI"/>
        </w:rPr>
        <w:t xml:space="preserve"> and </w:t>
      </w:r>
      <w:proofErr w:type="spellStart"/>
      <w:r w:rsidRPr="00135C74">
        <w:rPr>
          <w:lang w:eastAsia="fi-FI"/>
        </w:rPr>
        <w:t>Peteraf</w:t>
      </w:r>
      <w:proofErr w:type="spellEnd"/>
      <w:r w:rsidRPr="00135C74">
        <w:rPr>
          <w:lang w:eastAsia="fi-FI"/>
        </w:rPr>
        <w:t xml:space="preserve">, 2015). Our research provides insights </w:t>
      </w:r>
      <w:r w:rsidR="00B4370D">
        <w:rPr>
          <w:lang w:eastAsia="fi-FI"/>
        </w:rPr>
        <w:t>i</w:t>
      </w:r>
      <w:r w:rsidRPr="00135C74">
        <w:rPr>
          <w:lang w:eastAsia="fi-FI"/>
        </w:rPr>
        <w:t>n</w:t>
      </w:r>
      <w:r w:rsidR="00B4370D">
        <w:rPr>
          <w:lang w:eastAsia="fi-FI"/>
        </w:rPr>
        <w:t>to</w:t>
      </w:r>
      <w:r w:rsidRPr="00135C74">
        <w:rPr>
          <w:lang w:eastAsia="fi-FI"/>
        </w:rPr>
        <w:t xml:space="preserve"> the </w:t>
      </w:r>
      <w:proofErr w:type="spellStart"/>
      <w:r w:rsidR="00783C0E" w:rsidRPr="00135C74">
        <w:rPr>
          <w:lang w:eastAsia="fi-FI"/>
        </w:rPr>
        <w:t>microfoundational</w:t>
      </w:r>
      <w:proofErr w:type="spellEnd"/>
      <w:r w:rsidR="00783C0E" w:rsidRPr="00135C74">
        <w:rPr>
          <w:lang w:eastAsia="fi-FI"/>
        </w:rPr>
        <w:t xml:space="preserve"> </w:t>
      </w:r>
      <w:r w:rsidRPr="00135C74">
        <w:rPr>
          <w:lang w:eastAsia="fi-FI"/>
        </w:rPr>
        <w:t xml:space="preserve">nature and role of attention in the </w:t>
      </w:r>
      <w:r w:rsidR="00920C25" w:rsidRPr="00135C74">
        <w:rPr>
          <w:lang w:eastAsia="fi-FI"/>
        </w:rPr>
        <w:t xml:space="preserve">context of </w:t>
      </w:r>
      <w:r w:rsidRPr="00135C74">
        <w:rPr>
          <w:lang w:eastAsia="fi-FI"/>
        </w:rPr>
        <w:t xml:space="preserve">supply disruption risk management. </w:t>
      </w:r>
    </w:p>
    <w:p w14:paraId="5BD863BA" w14:textId="5655745D" w:rsidR="007F4A2D" w:rsidRDefault="007F4A2D" w:rsidP="00377304">
      <w:pPr>
        <w:spacing w:line="480" w:lineRule="auto"/>
        <w:jc w:val="both"/>
        <w:rPr>
          <w:i/>
          <w:lang w:eastAsia="fi-FI"/>
        </w:rPr>
      </w:pPr>
    </w:p>
    <w:p w14:paraId="275E011B" w14:textId="77777777" w:rsidR="000B55A8" w:rsidRPr="00135C74" w:rsidRDefault="000B55A8" w:rsidP="00377304">
      <w:pPr>
        <w:spacing w:line="480" w:lineRule="auto"/>
        <w:jc w:val="both"/>
        <w:rPr>
          <w:i/>
          <w:lang w:eastAsia="fi-FI"/>
        </w:rPr>
      </w:pPr>
    </w:p>
    <w:p w14:paraId="273596DC" w14:textId="2EFD57D2" w:rsidR="00377304" w:rsidRPr="00135C74" w:rsidRDefault="00736458" w:rsidP="00377304">
      <w:pPr>
        <w:spacing w:line="480" w:lineRule="auto"/>
        <w:jc w:val="both"/>
        <w:rPr>
          <w:i/>
          <w:lang w:eastAsia="fi-FI"/>
        </w:rPr>
      </w:pPr>
      <w:r w:rsidRPr="00135C74">
        <w:rPr>
          <w:i/>
          <w:lang w:eastAsia="fi-FI"/>
        </w:rPr>
        <w:t xml:space="preserve">5.2 </w:t>
      </w:r>
      <w:r w:rsidR="00C339D3" w:rsidRPr="00135C74">
        <w:rPr>
          <w:i/>
          <w:lang w:eastAsia="fi-FI"/>
        </w:rPr>
        <w:t xml:space="preserve">Managerial </w:t>
      </w:r>
      <w:r w:rsidRPr="00135C74">
        <w:rPr>
          <w:i/>
          <w:lang w:eastAsia="fi-FI"/>
        </w:rPr>
        <w:t>i</w:t>
      </w:r>
      <w:r w:rsidR="000D72E0" w:rsidRPr="00135C74">
        <w:rPr>
          <w:i/>
          <w:lang w:eastAsia="fi-FI"/>
        </w:rPr>
        <w:t>mplications</w:t>
      </w:r>
    </w:p>
    <w:p w14:paraId="52CED6D8" w14:textId="43E06DCA" w:rsidR="00F76826" w:rsidRPr="00135C74" w:rsidRDefault="00F76826" w:rsidP="00377304">
      <w:pPr>
        <w:spacing w:line="480" w:lineRule="auto"/>
        <w:jc w:val="both"/>
      </w:pPr>
      <w:r w:rsidRPr="00135C74">
        <w:rPr>
          <w:lang w:eastAsia="fi-FI"/>
        </w:rPr>
        <w:t>The result</w:t>
      </w:r>
      <w:r w:rsidR="00CB2197" w:rsidRPr="00135C74">
        <w:rPr>
          <w:lang w:eastAsia="fi-FI"/>
        </w:rPr>
        <w:t>s</w:t>
      </w:r>
      <w:r w:rsidR="00875E99">
        <w:rPr>
          <w:lang w:eastAsia="fi-FI"/>
        </w:rPr>
        <w:t xml:space="preserve"> of the current study</w:t>
      </w:r>
      <w:r w:rsidRPr="00135C74">
        <w:rPr>
          <w:lang w:eastAsia="fi-FI"/>
        </w:rPr>
        <w:t xml:space="preserve"> may encourage firms to </w:t>
      </w:r>
      <w:r w:rsidR="00481D89" w:rsidRPr="00135C74">
        <w:rPr>
          <w:lang w:eastAsia="fi-FI"/>
        </w:rPr>
        <w:t>purposefully</w:t>
      </w:r>
      <w:r w:rsidRPr="00135C74">
        <w:rPr>
          <w:lang w:eastAsia="fi-FI"/>
        </w:rPr>
        <w:t xml:space="preserve"> develop their supply risk management practices. </w:t>
      </w:r>
      <w:r w:rsidRPr="00135C74">
        <w:t>As demonstrated by a higher mean value, the predominant approach to</w:t>
      </w:r>
      <w:r w:rsidR="00875E99">
        <w:t>wards</w:t>
      </w:r>
      <w:r w:rsidRPr="00135C74">
        <w:t xml:space="preserve"> supply disruption risk management focus</w:t>
      </w:r>
      <w:r w:rsidR="00CB2197" w:rsidRPr="00135C74">
        <w:t>es</w:t>
      </w:r>
      <w:r w:rsidRPr="00135C74">
        <w:t xml:space="preserve"> on risk sources. </w:t>
      </w:r>
      <w:r w:rsidR="001870C5">
        <w:t>Although</w:t>
      </w:r>
      <w:r w:rsidRPr="00135C74">
        <w:t xml:space="preserve"> the results do not show that either</w:t>
      </w:r>
      <w:r w:rsidR="00B4370D">
        <w:t xml:space="preserve"> a</w:t>
      </w:r>
      <w:r w:rsidRPr="00135C74">
        <w:t xml:space="preserve"> focus on supply risk sources or</w:t>
      </w:r>
      <w:r w:rsidR="00B4370D">
        <w:t xml:space="preserve"> </w:t>
      </w:r>
      <w:r w:rsidRPr="00135C74">
        <w:t xml:space="preserve">on supply network recoverability </w:t>
      </w:r>
      <w:r w:rsidR="00920C25" w:rsidRPr="00135C74">
        <w:t xml:space="preserve">is </w:t>
      </w:r>
      <w:r w:rsidRPr="00135C74">
        <w:t>superior, the findings imply that both have a positive impact on supply resilience</w:t>
      </w:r>
      <w:r w:rsidR="007F2D73">
        <w:t>;</w:t>
      </w:r>
      <w:r w:rsidR="00C20C8D" w:rsidRPr="00135C74">
        <w:t xml:space="preserve"> thus</w:t>
      </w:r>
      <w:r w:rsidR="007F2D73">
        <w:t>,</w:t>
      </w:r>
      <w:r w:rsidR="00C20C8D" w:rsidRPr="00135C74">
        <w:t xml:space="preserve"> both should be implemented</w:t>
      </w:r>
      <w:r w:rsidR="00EB2C55" w:rsidRPr="00135C74">
        <w:t xml:space="preserve"> (</w:t>
      </w:r>
      <w:proofErr w:type="spellStart"/>
      <w:r w:rsidR="00EB2C55" w:rsidRPr="00135C74">
        <w:t>Simchi</w:t>
      </w:r>
      <w:proofErr w:type="spellEnd"/>
      <w:r w:rsidR="00EB2C55" w:rsidRPr="00135C74">
        <w:t xml:space="preserve">-Levi </w:t>
      </w:r>
      <w:r w:rsidR="00EB2C55" w:rsidRPr="00BB09AD">
        <w:rPr>
          <w:i/>
        </w:rPr>
        <w:t>et al.</w:t>
      </w:r>
      <w:r w:rsidR="00EB2C55" w:rsidRPr="00135C74">
        <w:t>, 2015)</w:t>
      </w:r>
      <w:r w:rsidRPr="00135C74">
        <w:t xml:space="preserve">. </w:t>
      </w:r>
      <w:r w:rsidR="007F2D73">
        <w:t>Because</w:t>
      </w:r>
      <w:r w:rsidR="007F2D73" w:rsidRPr="00135C74">
        <w:t xml:space="preserve"> </w:t>
      </w:r>
      <w:r w:rsidR="00C37257" w:rsidRPr="00135C74">
        <w:t xml:space="preserve">there might be </w:t>
      </w:r>
      <w:r w:rsidR="00783C0E" w:rsidRPr="00135C74">
        <w:t xml:space="preserve">resource </w:t>
      </w:r>
      <w:r w:rsidR="00C37257" w:rsidRPr="00135C74">
        <w:t xml:space="preserve">constraints </w:t>
      </w:r>
      <w:r w:rsidR="007F2D73">
        <w:t>when</w:t>
      </w:r>
      <w:r w:rsidR="007F2D73" w:rsidRPr="00135C74">
        <w:t xml:space="preserve"> </w:t>
      </w:r>
      <w:r w:rsidR="00C37257" w:rsidRPr="00135C74">
        <w:t>focus</w:t>
      </w:r>
      <w:r w:rsidR="00481D89" w:rsidRPr="00135C74">
        <w:t>ing</w:t>
      </w:r>
      <w:r w:rsidR="00C37257" w:rsidRPr="00135C74">
        <w:t xml:space="preserve"> on recoverability, firms may consider collaborati</w:t>
      </w:r>
      <w:r w:rsidR="00094D01" w:rsidRPr="00135C74">
        <w:t xml:space="preserve">ve risk management </w:t>
      </w:r>
      <w:r w:rsidR="00C37257" w:rsidRPr="00135C74">
        <w:t>across supply chain</w:t>
      </w:r>
      <w:r w:rsidR="00094D01" w:rsidRPr="00135C74">
        <w:t>s</w:t>
      </w:r>
      <w:r w:rsidR="00C37257" w:rsidRPr="00135C74">
        <w:t xml:space="preserve"> </w:t>
      </w:r>
      <w:r w:rsidR="00481D89" w:rsidRPr="00135C74">
        <w:t xml:space="preserve">as a </w:t>
      </w:r>
      <w:r w:rsidR="00533220" w:rsidRPr="00135C74">
        <w:t xml:space="preserve">solution </w:t>
      </w:r>
      <w:r w:rsidR="00C20C8D" w:rsidRPr="00135C74">
        <w:t>(</w:t>
      </w:r>
      <w:proofErr w:type="spellStart"/>
      <w:r w:rsidR="00C20C8D" w:rsidRPr="00135C74">
        <w:t>Azadegan</w:t>
      </w:r>
      <w:proofErr w:type="spellEnd"/>
      <w:r w:rsidR="00C20C8D" w:rsidRPr="00135C74">
        <w:t xml:space="preserve"> and Dooley, 2021)</w:t>
      </w:r>
      <w:r w:rsidR="00A93067">
        <w:t>,</w:t>
      </w:r>
      <w:r w:rsidR="00C20C8D" w:rsidRPr="00135C74">
        <w:t xml:space="preserve"> thus remedy</w:t>
      </w:r>
      <w:r w:rsidR="00A93067">
        <w:t>ing</w:t>
      </w:r>
      <w:r w:rsidR="00C20C8D" w:rsidRPr="00135C74">
        <w:t xml:space="preserve"> the bias towards </w:t>
      </w:r>
      <w:r w:rsidR="00A93067">
        <w:t xml:space="preserve">a </w:t>
      </w:r>
      <w:r w:rsidR="00C20C8D" w:rsidRPr="00135C74">
        <w:t xml:space="preserve">focus on risk sources. </w:t>
      </w:r>
    </w:p>
    <w:p w14:paraId="7469AE4E" w14:textId="08AADB0C" w:rsidR="00E96B53" w:rsidRPr="00135C74" w:rsidRDefault="00CB2197" w:rsidP="00377304">
      <w:pPr>
        <w:spacing w:line="480" w:lineRule="auto"/>
        <w:jc w:val="both"/>
      </w:pPr>
      <w:r w:rsidRPr="00135C74">
        <w:t>Given</w:t>
      </w:r>
      <w:r w:rsidR="008D6BBD" w:rsidRPr="00135C74">
        <w:t xml:space="preserve"> the </w:t>
      </w:r>
      <w:r w:rsidR="00783C0E" w:rsidRPr="00135C74">
        <w:t>tendency for imbalance in attentional selection for disruption detection</w:t>
      </w:r>
      <w:r w:rsidR="008D6BBD" w:rsidRPr="00135C74">
        <w:t xml:space="preserve">, managers </w:t>
      </w:r>
      <w:r w:rsidR="00783C0E" w:rsidRPr="00135C74">
        <w:t>must consider interventions for balancing. For example, when there is a need to emphasi</w:t>
      </w:r>
      <w:r w:rsidR="001870C5">
        <w:t>se</w:t>
      </w:r>
      <w:r w:rsidR="00481D89" w:rsidRPr="00135C74">
        <w:t xml:space="preserve"> </w:t>
      </w:r>
      <w:r w:rsidR="00692C8C" w:rsidRPr="00135C74">
        <w:t xml:space="preserve">bottom-up </w:t>
      </w:r>
      <w:r w:rsidR="00481D89" w:rsidRPr="00135C74">
        <w:t>attentional selection</w:t>
      </w:r>
      <w:r w:rsidR="00783C0E" w:rsidRPr="00135C74">
        <w:t xml:space="preserve"> more</w:t>
      </w:r>
      <w:r w:rsidR="00692C8C" w:rsidRPr="00135C74">
        <w:t xml:space="preserve">, </w:t>
      </w:r>
      <w:r w:rsidR="00783C0E" w:rsidRPr="00135C74">
        <w:t xml:space="preserve">such as when </w:t>
      </w:r>
      <w:r w:rsidR="00692C8C" w:rsidRPr="00135C74">
        <w:t>organi</w:t>
      </w:r>
      <w:r w:rsidR="001870C5">
        <w:t>s</w:t>
      </w:r>
      <w:r w:rsidR="00692C8C" w:rsidRPr="00135C74">
        <w:t xml:space="preserve">ations </w:t>
      </w:r>
      <w:r w:rsidR="00783C0E" w:rsidRPr="00135C74">
        <w:t xml:space="preserve">may face equivocality and </w:t>
      </w:r>
      <w:r w:rsidR="00692C8C" w:rsidRPr="00135C74">
        <w:t>discontinuous change</w:t>
      </w:r>
      <w:r w:rsidR="00783C0E" w:rsidRPr="00135C74">
        <w:t xml:space="preserve"> in supply markets</w:t>
      </w:r>
      <w:r w:rsidR="002531AA" w:rsidRPr="00135C74">
        <w:t xml:space="preserve">, firms should use supply market intelligence </w:t>
      </w:r>
      <w:r w:rsidR="002531AA" w:rsidRPr="00135C74">
        <w:lastRenderedPageBreak/>
        <w:t xml:space="preserve">acquisition mechanisms that facilitate </w:t>
      </w:r>
      <w:r w:rsidR="00A93067">
        <w:t xml:space="preserve">the </w:t>
      </w:r>
      <w:r w:rsidR="002531AA" w:rsidRPr="00135C74">
        <w:t xml:space="preserve">collecting and processing </w:t>
      </w:r>
      <w:r w:rsidR="007F4A2D" w:rsidRPr="00135C74">
        <w:t xml:space="preserve">of </w:t>
      </w:r>
      <w:r w:rsidR="002531AA" w:rsidRPr="00135C74">
        <w:t>rich information</w:t>
      </w:r>
      <w:r w:rsidR="000E372A" w:rsidRPr="00135C74">
        <w:t>. These may include</w:t>
      </w:r>
      <w:r w:rsidR="00B4370D">
        <w:t>,</w:t>
      </w:r>
      <w:r w:rsidR="000E372A" w:rsidRPr="00135C74">
        <w:t xml:space="preserve"> for example</w:t>
      </w:r>
      <w:r w:rsidR="00B4370D">
        <w:t>,</w:t>
      </w:r>
      <w:r w:rsidR="002531AA" w:rsidRPr="00135C74">
        <w:t xml:space="preserve"> direct discussions and meetings with suppliers and internal stakeholders, </w:t>
      </w:r>
      <w:r w:rsidR="00A93067">
        <w:t xml:space="preserve">the </w:t>
      </w:r>
      <w:r w:rsidR="002531AA" w:rsidRPr="00135C74">
        <w:t>maintenance of personal contact networks</w:t>
      </w:r>
      <w:r w:rsidR="00F37C8A" w:rsidRPr="00135C74">
        <w:t>,</w:t>
      </w:r>
      <w:r w:rsidR="002531AA" w:rsidRPr="00135C74">
        <w:t xml:space="preserve"> and </w:t>
      </w:r>
      <w:r w:rsidR="00A93067">
        <w:t xml:space="preserve">the </w:t>
      </w:r>
      <w:r w:rsidR="002531AA" w:rsidRPr="00135C74">
        <w:t xml:space="preserve">deployment of news feeds or collaborative platforms (Lorentz </w:t>
      </w:r>
      <w:r w:rsidR="002531AA" w:rsidRPr="00135C74">
        <w:rPr>
          <w:i/>
        </w:rPr>
        <w:t>et al</w:t>
      </w:r>
      <w:r w:rsidR="002531AA" w:rsidRPr="00135C74">
        <w:t xml:space="preserve">., 2020). </w:t>
      </w:r>
    </w:p>
    <w:p w14:paraId="7A3403C8" w14:textId="254F269B" w:rsidR="00F76826" w:rsidRPr="00135C74" w:rsidRDefault="00D872DE" w:rsidP="00377304">
      <w:pPr>
        <w:spacing w:line="480" w:lineRule="auto"/>
        <w:jc w:val="both"/>
        <w:rPr>
          <w:lang w:eastAsia="fi-FI"/>
        </w:rPr>
      </w:pPr>
      <w:r w:rsidRPr="00135C74">
        <w:rPr>
          <w:lang w:eastAsia="fi-FI"/>
        </w:rPr>
        <w:t>Finally, c</w:t>
      </w:r>
      <w:r w:rsidR="00E96B53" w:rsidRPr="00135C74">
        <w:rPr>
          <w:lang w:eastAsia="fi-FI"/>
        </w:rPr>
        <w:t xml:space="preserve">an the lessons learned </w:t>
      </w:r>
      <w:r w:rsidR="009E1651" w:rsidRPr="00135C74">
        <w:rPr>
          <w:lang w:eastAsia="fi-FI"/>
        </w:rPr>
        <w:t>d</w:t>
      </w:r>
      <w:r w:rsidR="00E96B53" w:rsidRPr="00135C74">
        <w:rPr>
          <w:lang w:eastAsia="fi-FI"/>
        </w:rPr>
        <w:t>uring the COVID-19 pandemic be applied to other potential disruptions? Sarkis (2020) note</w:t>
      </w:r>
      <w:r w:rsidR="00BB09AD">
        <w:rPr>
          <w:lang w:eastAsia="fi-FI"/>
        </w:rPr>
        <w:t>s</w:t>
      </w:r>
      <w:r w:rsidR="00E96B53" w:rsidRPr="00135C74">
        <w:rPr>
          <w:lang w:eastAsia="fi-FI"/>
        </w:rPr>
        <w:t xml:space="preserve"> that the pandemic was not an unexpected black swan </w:t>
      </w:r>
      <w:r w:rsidR="00A93067">
        <w:rPr>
          <w:lang w:eastAsia="fi-FI"/>
        </w:rPr>
        <w:t>because</w:t>
      </w:r>
      <w:r w:rsidR="00A93067" w:rsidRPr="00135C74">
        <w:rPr>
          <w:lang w:eastAsia="fi-FI"/>
        </w:rPr>
        <w:t xml:space="preserve"> </w:t>
      </w:r>
      <w:r w:rsidR="00E96B53" w:rsidRPr="00135C74">
        <w:rPr>
          <w:lang w:eastAsia="fi-FI"/>
        </w:rPr>
        <w:t xml:space="preserve">there were warnings and knowledge </w:t>
      </w:r>
      <w:r w:rsidR="00481D89" w:rsidRPr="00135C74">
        <w:rPr>
          <w:lang w:eastAsia="fi-FI"/>
        </w:rPr>
        <w:t>available b</w:t>
      </w:r>
      <w:r w:rsidR="00E96B53" w:rsidRPr="00135C74">
        <w:rPr>
          <w:lang w:eastAsia="fi-FI"/>
        </w:rPr>
        <w:t xml:space="preserve">eforehand. </w:t>
      </w:r>
      <w:r w:rsidR="00545FAD" w:rsidRPr="00135C74">
        <w:rPr>
          <w:lang w:eastAsia="fi-FI"/>
        </w:rPr>
        <w:t xml:space="preserve">They point out that climate shocks, such as droughts, floods, fires and loss of biodiversity, intensified by global warming are going </w:t>
      </w:r>
      <w:r w:rsidR="004269F5" w:rsidRPr="00135C74">
        <w:rPr>
          <w:lang w:eastAsia="fi-FI"/>
        </w:rPr>
        <w:t>to be a similar test for the</w:t>
      </w:r>
      <w:r w:rsidR="00545FAD" w:rsidRPr="00135C74">
        <w:rPr>
          <w:lang w:eastAsia="fi-FI"/>
        </w:rPr>
        <w:t xml:space="preserve"> resili</w:t>
      </w:r>
      <w:r w:rsidR="003F272B" w:rsidRPr="00135C74">
        <w:rPr>
          <w:lang w:eastAsia="fi-FI"/>
        </w:rPr>
        <w:t>e</w:t>
      </w:r>
      <w:r w:rsidR="00545FAD" w:rsidRPr="00135C74">
        <w:rPr>
          <w:lang w:eastAsia="fi-FI"/>
        </w:rPr>
        <w:t xml:space="preserve">nce and </w:t>
      </w:r>
      <w:r w:rsidR="00135C74" w:rsidRPr="00135C74">
        <w:rPr>
          <w:lang w:eastAsia="fi-FI"/>
        </w:rPr>
        <w:t>preparedness</w:t>
      </w:r>
      <w:r w:rsidR="00545FAD" w:rsidRPr="00135C74">
        <w:rPr>
          <w:lang w:eastAsia="fi-FI"/>
        </w:rPr>
        <w:t xml:space="preserve"> of supply chains</w:t>
      </w:r>
      <w:r w:rsidR="006766B3" w:rsidRPr="00135C74">
        <w:rPr>
          <w:lang w:eastAsia="fi-FI"/>
        </w:rPr>
        <w:t>, yet</w:t>
      </w:r>
      <w:r w:rsidR="00B853EC" w:rsidRPr="00135C74">
        <w:rPr>
          <w:lang w:eastAsia="fi-FI"/>
        </w:rPr>
        <w:t xml:space="preserve"> </w:t>
      </w:r>
      <w:r w:rsidR="003F272B" w:rsidRPr="00135C74">
        <w:rPr>
          <w:lang w:eastAsia="fi-FI"/>
        </w:rPr>
        <w:t xml:space="preserve">how managers focus attention on these </w:t>
      </w:r>
      <w:r w:rsidR="001F37BA" w:rsidRPr="00135C74">
        <w:rPr>
          <w:lang w:eastAsia="fi-FI"/>
        </w:rPr>
        <w:t xml:space="preserve">remains </w:t>
      </w:r>
      <w:r w:rsidR="003F272B" w:rsidRPr="00135C74">
        <w:rPr>
          <w:lang w:eastAsia="fi-FI"/>
        </w:rPr>
        <w:t>under-researched</w:t>
      </w:r>
      <w:r w:rsidR="00545FAD" w:rsidRPr="00135C74">
        <w:rPr>
          <w:lang w:eastAsia="fi-FI"/>
        </w:rPr>
        <w:t>.</w:t>
      </w:r>
      <w:r w:rsidR="006761F2" w:rsidRPr="00135C74">
        <w:rPr>
          <w:lang w:eastAsia="fi-FI"/>
        </w:rPr>
        <w:t xml:space="preserve"> Identifying the current weaknesses in risk management</w:t>
      </w:r>
      <w:r w:rsidR="00277AEF" w:rsidRPr="00135C74">
        <w:rPr>
          <w:lang w:eastAsia="fi-FI"/>
        </w:rPr>
        <w:t xml:space="preserve"> </w:t>
      </w:r>
      <w:r w:rsidR="00094D01" w:rsidRPr="00135C74">
        <w:rPr>
          <w:lang w:eastAsia="fi-FI"/>
        </w:rPr>
        <w:t xml:space="preserve">from </w:t>
      </w:r>
      <w:r w:rsidR="001F37BA" w:rsidRPr="00135C74">
        <w:rPr>
          <w:lang w:eastAsia="fi-FI"/>
        </w:rPr>
        <w:t xml:space="preserve">an </w:t>
      </w:r>
      <w:r w:rsidR="00094D01" w:rsidRPr="00135C74">
        <w:rPr>
          <w:lang w:eastAsia="fi-FI"/>
        </w:rPr>
        <w:t>attention</w:t>
      </w:r>
      <w:r w:rsidR="001F37BA" w:rsidRPr="00135C74">
        <w:rPr>
          <w:lang w:eastAsia="fi-FI"/>
        </w:rPr>
        <w:t>al</w:t>
      </w:r>
      <w:r w:rsidR="00094D01" w:rsidRPr="00135C74">
        <w:rPr>
          <w:lang w:eastAsia="fi-FI"/>
        </w:rPr>
        <w:t xml:space="preserve"> point of view </w:t>
      </w:r>
      <w:r w:rsidR="00277AEF" w:rsidRPr="00135C74">
        <w:rPr>
          <w:lang w:eastAsia="fi-FI"/>
        </w:rPr>
        <w:t>may help organi</w:t>
      </w:r>
      <w:r w:rsidR="001870C5">
        <w:rPr>
          <w:lang w:eastAsia="fi-FI"/>
        </w:rPr>
        <w:t>s</w:t>
      </w:r>
      <w:r w:rsidR="00277AEF" w:rsidRPr="00135C74">
        <w:rPr>
          <w:lang w:eastAsia="fi-FI"/>
        </w:rPr>
        <w:t xml:space="preserve">ations design </w:t>
      </w:r>
      <w:r w:rsidR="00A93067">
        <w:rPr>
          <w:lang w:eastAsia="fi-FI"/>
        </w:rPr>
        <w:t xml:space="preserve">the </w:t>
      </w:r>
      <w:r w:rsidR="00277AEF" w:rsidRPr="00135C74">
        <w:rPr>
          <w:lang w:eastAsia="fi-FI"/>
        </w:rPr>
        <w:t xml:space="preserve">processes and structures that </w:t>
      </w:r>
      <w:r w:rsidR="00A93067">
        <w:rPr>
          <w:lang w:eastAsia="fi-FI"/>
        </w:rPr>
        <w:t xml:space="preserve">will </w:t>
      </w:r>
      <w:r w:rsidR="00277AEF" w:rsidRPr="00135C74">
        <w:rPr>
          <w:lang w:eastAsia="fi-FI"/>
        </w:rPr>
        <w:t xml:space="preserve">ensure </w:t>
      </w:r>
      <w:r w:rsidR="00F37C8A" w:rsidRPr="00135C74">
        <w:rPr>
          <w:lang w:eastAsia="fi-FI"/>
        </w:rPr>
        <w:t xml:space="preserve">their </w:t>
      </w:r>
      <w:r w:rsidR="00277AEF" w:rsidRPr="00135C74">
        <w:rPr>
          <w:lang w:eastAsia="fi-FI"/>
        </w:rPr>
        <w:t xml:space="preserve">survival during </w:t>
      </w:r>
      <w:r w:rsidR="00CC0331" w:rsidRPr="00135C74">
        <w:rPr>
          <w:lang w:eastAsia="fi-FI"/>
        </w:rPr>
        <w:t>prolonged</w:t>
      </w:r>
      <w:r w:rsidR="00277AEF" w:rsidRPr="00135C74">
        <w:rPr>
          <w:lang w:eastAsia="fi-FI"/>
        </w:rPr>
        <w:t xml:space="preserve"> global disruptions. </w:t>
      </w:r>
    </w:p>
    <w:p w14:paraId="19B7EE99" w14:textId="77777777" w:rsidR="005952C5" w:rsidRPr="00135C74" w:rsidRDefault="005952C5" w:rsidP="00377304">
      <w:pPr>
        <w:spacing w:line="480" w:lineRule="auto"/>
        <w:jc w:val="both"/>
        <w:rPr>
          <w:i/>
          <w:lang w:eastAsia="fi-FI"/>
        </w:rPr>
      </w:pPr>
    </w:p>
    <w:p w14:paraId="120FD955" w14:textId="7E812170" w:rsidR="00D6464B" w:rsidRPr="00135C74" w:rsidRDefault="00736458" w:rsidP="00377304">
      <w:pPr>
        <w:spacing w:line="480" w:lineRule="auto"/>
        <w:jc w:val="both"/>
        <w:rPr>
          <w:i/>
          <w:lang w:eastAsia="fi-FI"/>
        </w:rPr>
      </w:pPr>
      <w:r w:rsidRPr="00135C74">
        <w:rPr>
          <w:i/>
          <w:lang w:eastAsia="fi-FI"/>
        </w:rPr>
        <w:t xml:space="preserve">5.3 </w:t>
      </w:r>
      <w:r w:rsidR="00C339D3" w:rsidRPr="00135C74">
        <w:rPr>
          <w:i/>
          <w:lang w:eastAsia="fi-FI"/>
        </w:rPr>
        <w:t xml:space="preserve">Limitations and </w:t>
      </w:r>
      <w:r w:rsidRPr="00135C74">
        <w:rPr>
          <w:i/>
          <w:lang w:eastAsia="fi-FI"/>
        </w:rPr>
        <w:t>f</w:t>
      </w:r>
      <w:r w:rsidR="00C339D3" w:rsidRPr="00135C74">
        <w:rPr>
          <w:i/>
          <w:lang w:eastAsia="fi-FI"/>
        </w:rPr>
        <w:t xml:space="preserve">uture </w:t>
      </w:r>
      <w:r w:rsidRPr="00135C74">
        <w:rPr>
          <w:i/>
          <w:lang w:eastAsia="fi-FI"/>
        </w:rPr>
        <w:t>r</w:t>
      </w:r>
      <w:r w:rsidR="000D72E0" w:rsidRPr="00135C74">
        <w:rPr>
          <w:i/>
          <w:lang w:eastAsia="fi-FI"/>
        </w:rPr>
        <w:t>esearch</w:t>
      </w:r>
    </w:p>
    <w:p w14:paraId="30B9FFEC" w14:textId="0CE4CBCD" w:rsidR="006761F2" w:rsidRPr="00135C74" w:rsidRDefault="00EA7152" w:rsidP="00377304">
      <w:pPr>
        <w:spacing w:line="480" w:lineRule="auto"/>
        <w:jc w:val="both"/>
      </w:pPr>
      <w:r w:rsidRPr="00135C74">
        <w:t xml:space="preserve">Our study is subject to some limitations that may offer opportunities for further research. </w:t>
      </w:r>
      <w:r w:rsidR="004315A3" w:rsidRPr="00135C74">
        <w:t>Our data were collected from developed European countries</w:t>
      </w:r>
      <w:r w:rsidR="00CC0331" w:rsidRPr="00135C74">
        <w:t xml:space="preserve"> in the COVID-19 context</w:t>
      </w:r>
      <w:r w:rsidR="004315A3" w:rsidRPr="00135C74">
        <w:t xml:space="preserve">, which may limit the </w:t>
      </w:r>
      <w:r w:rsidR="00BE35DF" w:rsidRPr="00135C74">
        <w:t>generali</w:t>
      </w:r>
      <w:r w:rsidR="00BE35DF">
        <w:t>s</w:t>
      </w:r>
      <w:r w:rsidR="00BE35DF" w:rsidRPr="00135C74">
        <w:t xml:space="preserve">ability </w:t>
      </w:r>
      <w:r w:rsidR="004315A3" w:rsidRPr="00135C74">
        <w:t>of the findings</w:t>
      </w:r>
      <w:r w:rsidR="00CC0331" w:rsidRPr="00135C74">
        <w:t xml:space="preserve"> </w:t>
      </w:r>
      <w:r w:rsidR="00E53D98">
        <w:t>to</w:t>
      </w:r>
      <w:r w:rsidR="00CC0331" w:rsidRPr="00135C74">
        <w:t xml:space="preserve"> other geographies and disruption contexts</w:t>
      </w:r>
      <w:r w:rsidR="004315A3" w:rsidRPr="00135C74">
        <w:t xml:space="preserve">. </w:t>
      </w:r>
      <w:r w:rsidR="0056387B" w:rsidRPr="00135C74">
        <w:t xml:space="preserve">The majority of the respondents represented manufacturing firms. </w:t>
      </w:r>
      <w:r w:rsidR="00B154D1" w:rsidRPr="00135C74">
        <w:t xml:space="preserve">Diversifying the range of countries </w:t>
      </w:r>
      <w:r w:rsidR="0056387B" w:rsidRPr="00135C74">
        <w:t xml:space="preserve">and industries </w:t>
      </w:r>
      <w:r w:rsidR="004158AD" w:rsidRPr="00135C74">
        <w:t xml:space="preserve">with different socioeconomic contexts </w:t>
      </w:r>
      <w:r w:rsidR="00B154D1" w:rsidRPr="00135C74">
        <w:t>would allow</w:t>
      </w:r>
      <w:r w:rsidR="00B4370D">
        <w:t xml:space="preserve"> for</w:t>
      </w:r>
      <w:r w:rsidR="00B154D1" w:rsidRPr="00135C74">
        <w:t xml:space="preserve"> </w:t>
      </w:r>
      <w:r w:rsidR="00F37C8A" w:rsidRPr="00135C74">
        <w:t xml:space="preserve">a </w:t>
      </w:r>
      <w:r w:rsidR="004158AD" w:rsidRPr="00135C74">
        <w:t xml:space="preserve">comparative </w:t>
      </w:r>
      <w:r w:rsidR="00B154D1" w:rsidRPr="00135C74">
        <w:t xml:space="preserve">understanding </w:t>
      </w:r>
      <w:r w:rsidR="004158AD" w:rsidRPr="00135C74">
        <w:t xml:space="preserve">of </w:t>
      </w:r>
      <w:r w:rsidR="00B154D1" w:rsidRPr="00135C74">
        <w:t>the role of different organi</w:t>
      </w:r>
      <w:r w:rsidR="001870C5">
        <w:t>s</w:t>
      </w:r>
      <w:r w:rsidR="00B154D1" w:rsidRPr="00135C74">
        <w:t>ational and cultural contexts</w:t>
      </w:r>
      <w:r w:rsidR="004158AD" w:rsidRPr="00135C74">
        <w:t xml:space="preserve"> in COVID-19 supply chain issues (Chowdhury </w:t>
      </w:r>
      <w:r w:rsidR="004158AD" w:rsidRPr="00135C74">
        <w:rPr>
          <w:i/>
        </w:rPr>
        <w:t>et al</w:t>
      </w:r>
      <w:r w:rsidR="004158AD" w:rsidRPr="00135C74">
        <w:t>.</w:t>
      </w:r>
      <w:r w:rsidR="004403D3" w:rsidRPr="00135C74">
        <w:t>,</w:t>
      </w:r>
      <w:r w:rsidR="004158AD" w:rsidRPr="00135C74">
        <w:t xml:space="preserve"> 2021)</w:t>
      </w:r>
      <w:r w:rsidR="00966146" w:rsidRPr="00135C74">
        <w:t>.</w:t>
      </w:r>
      <w:r w:rsidR="00B154D1" w:rsidRPr="00135C74">
        <w:t xml:space="preserve"> </w:t>
      </w:r>
      <w:r w:rsidR="00F37C8A" w:rsidRPr="00135C74">
        <w:t>In addition, t</w:t>
      </w:r>
      <w:r w:rsidRPr="00135C74">
        <w:t xml:space="preserve">he data collection was cross-sectional, which should be considered when </w:t>
      </w:r>
      <w:r w:rsidR="00B4370D">
        <w:t>dr</w:t>
      </w:r>
      <w:r w:rsidRPr="00135C74">
        <w:t>a</w:t>
      </w:r>
      <w:r w:rsidR="00B4370D">
        <w:t>w</w:t>
      </w:r>
      <w:r w:rsidRPr="00135C74">
        <w:t>ing conclusions regarding the causality of the studied constructs</w:t>
      </w:r>
      <w:r w:rsidR="0056387B" w:rsidRPr="00135C74">
        <w:t>.</w:t>
      </w:r>
    </w:p>
    <w:p w14:paraId="5B53FABA" w14:textId="7493639D" w:rsidR="00DA62EB" w:rsidRPr="00135C74" w:rsidRDefault="00F37C8A" w:rsidP="00377304">
      <w:pPr>
        <w:spacing w:line="480" w:lineRule="auto"/>
        <w:jc w:val="both"/>
      </w:pPr>
      <w:r w:rsidRPr="00135C74">
        <w:t>T</w:t>
      </w:r>
      <w:r w:rsidR="00D27E5C" w:rsidRPr="00135C74">
        <w:t xml:space="preserve">he data </w:t>
      </w:r>
      <w:r w:rsidRPr="00135C74">
        <w:t xml:space="preserve">were </w:t>
      </w:r>
      <w:r w:rsidR="00D27E5C" w:rsidRPr="00135C74">
        <w:t xml:space="preserve">collected in </w:t>
      </w:r>
      <w:r w:rsidR="00E53D98">
        <w:t xml:space="preserve">the </w:t>
      </w:r>
      <w:r w:rsidR="00D27E5C" w:rsidRPr="00135C74">
        <w:t>spring</w:t>
      </w:r>
      <w:r w:rsidR="00E53D98">
        <w:t xml:space="preserve"> and </w:t>
      </w:r>
      <w:r w:rsidR="00D27E5C" w:rsidRPr="00135C74">
        <w:t>summer</w:t>
      </w:r>
      <w:r w:rsidR="00E53D98">
        <w:t xml:space="preserve"> of</w:t>
      </w:r>
      <w:r w:rsidR="00D27E5C" w:rsidRPr="00135C74">
        <w:t xml:space="preserve"> 2020 </w:t>
      </w:r>
      <w:r w:rsidR="00E6195D" w:rsidRPr="00135C74">
        <w:t xml:space="preserve">when the global COVID-19 outbreak was still in </w:t>
      </w:r>
      <w:r w:rsidR="00E53D98">
        <w:t xml:space="preserve">its </w:t>
      </w:r>
      <w:r w:rsidR="00E6195D" w:rsidRPr="00135C74">
        <w:t>relatively early stages.</w:t>
      </w:r>
      <w:r w:rsidR="00D6464B" w:rsidRPr="00135C74">
        <w:t xml:space="preserve"> </w:t>
      </w:r>
      <w:r w:rsidR="00DA62EB" w:rsidRPr="00135C74">
        <w:t xml:space="preserve">It is likely that the </w:t>
      </w:r>
      <w:r w:rsidR="001F37BA" w:rsidRPr="00135C74">
        <w:t xml:space="preserve">firms surveyed </w:t>
      </w:r>
      <w:r w:rsidR="00DA62EB" w:rsidRPr="00135C74">
        <w:t xml:space="preserve">were most severely </w:t>
      </w:r>
      <w:r w:rsidR="00DA62EB" w:rsidRPr="00135C74">
        <w:lastRenderedPageBreak/>
        <w:t xml:space="preserve">affected by the first wave of the pandemic. </w:t>
      </w:r>
      <w:r w:rsidR="004315A3" w:rsidRPr="00135C74">
        <w:t>Since then, m</w:t>
      </w:r>
      <w:r w:rsidR="00DA62EB" w:rsidRPr="00135C74">
        <w:t xml:space="preserve">any firms </w:t>
      </w:r>
      <w:r w:rsidR="004315A3" w:rsidRPr="00135C74">
        <w:t>have been</w:t>
      </w:r>
      <w:r w:rsidR="00DA62EB" w:rsidRPr="00135C74">
        <w:t xml:space="preserve"> forced to alter their practices. Future research can hopefully demonstrate the long-term impacts of the </w:t>
      </w:r>
      <w:r w:rsidR="001F37BA" w:rsidRPr="00135C74">
        <w:t>changes</w:t>
      </w:r>
      <w:r w:rsidR="00DA62EB" w:rsidRPr="00135C74">
        <w:t xml:space="preserve"> imposed by COVID-19.</w:t>
      </w:r>
      <w:r w:rsidR="00D90614" w:rsidRPr="00135C74">
        <w:t xml:space="preserve"> It will be interesting to see if the focus of supply disruption risk management will shift toward</w:t>
      </w:r>
      <w:r w:rsidR="00B4370D">
        <w:t>s</w:t>
      </w:r>
      <w:r w:rsidR="00D90614" w:rsidRPr="00135C74">
        <w:t xml:space="preserve"> supply network and recoverability when firms have come to reali</w:t>
      </w:r>
      <w:r w:rsidR="00B4370D">
        <w:t>s</w:t>
      </w:r>
      <w:r w:rsidR="00D90614" w:rsidRPr="00135C74">
        <w:t xml:space="preserve">e that it may be impossible to prespecify all risk sources and events and </w:t>
      </w:r>
      <w:proofErr w:type="spellStart"/>
      <w:r w:rsidR="00D90614" w:rsidRPr="00135C74">
        <w:t>pre</w:t>
      </w:r>
      <w:r w:rsidR="00077142">
        <w:t>assess</w:t>
      </w:r>
      <w:proofErr w:type="spellEnd"/>
      <w:r w:rsidR="00D90614" w:rsidRPr="00135C74">
        <w:t xml:space="preserve"> their impacts. </w:t>
      </w:r>
      <w:r w:rsidR="001870C5">
        <w:t>Because</w:t>
      </w:r>
      <w:r w:rsidR="00D90614" w:rsidRPr="00135C74">
        <w:t xml:space="preserve"> supply network recoverability as a risk management approach may be more challenging to execute </w:t>
      </w:r>
      <w:r w:rsidR="00A47210">
        <w:t>because of</w:t>
      </w:r>
      <w:r w:rsidR="00D90614" w:rsidRPr="00135C74">
        <w:t xml:space="preserve"> its resource intensity, future research may suggest ways to improve network recoverability. </w:t>
      </w:r>
    </w:p>
    <w:p w14:paraId="3CE9EDB2" w14:textId="64346CC8" w:rsidR="00654245" w:rsidRPr="00135C74" w:rsidRDefault="00F37C8A" w:rsidP="00377304">
      <w:pPr>
        <w:spacing w:line="480" w:lineRule="auto"/>
        <w:jc w:val="both"/>
      </w:pPr>
      <w:r w:rsidRPr="00135C74">
        <w:t xml:space="preserve">Given that </w:t>
      </w:r>
      <w:r w:rsidR="00E96B53" w:rsidRPr="00135C74">
        <w:t>there may be naturally occurring tendenc</w:t>
      </w:r>
      <w:r w:rsidR="00654245" w:rsidRPr="00135C74">
        <w:t>ies</w:t>
      </w:r>
      <w:r w:rsidR="00E96B53" w:rsidRPr="00135C74">
        <w:t xml:space="preserve"> toward</w:t>
      </w:r>
      <w:r w:rsidR="00654245" w:rsidRPr="00135C74">
        <w:t xml:space="preserve">s imbalance in </w:t>
      </w:r>
      <w:r w:rsidR="00A47210">
        <w:t xml:space="preserve">the </w:t>
      </w:r>
      <w:r w:rsidR="00654245" w:rsidRPr="00135C74">
        <w:t>attentional selection for disruption detection</w:t>
      </w:r>
      <w:r w:rsidR="00E96B53" w:rsidRPr="00135C74">
        <w:t xml:space="preserve">, </w:t>
      </w:r>
      <w:r w:rsidR="003901E2" w:rsidRPr="00135C74">
        <w:t xml:space="preserve">a qualitative deep dive into how firms can </w:t>
      </w:r>
      <w:r w:rsidR="00654245" w:rsidRPr="00135C74">
        <w:t>adjust and (re)</w:t>
      </w:r>
      <w:r w:rsidR="003901E2" w:rsidRPr="00135C74">
        <w:t xml:space="preserve">balance </w:t>
      </w:r>
      <w:r w:rsidR="0076712A" w:rsidRPr="00135C74">
        <w:t xml:space="preserve">would be </w:t>
      </w:r>
      <w:r w:rsidR="00654245" w:rsidRPr="00135C74">
        <w:t xml:space="preserve">a </w:t>
      </w:r>
      <w:r w:rsidR="0076712A" w:rsidRPr="00135C74">
        <w:t>promising</w:t>
      </w:r>
      <w:r w:rsidR="00654245" w:rsidRPr="00135C74">
        <w:t xml:space="preserve"> research topic</w:t>
      </w:r>
      <w:r w:rsidR="0076712A" w:rsidRPr="00135C74">
        <w:t xml:space="preserve">. In particular, </w:t>
      </w:r>
      <w:r w:rsidR="00420110" w:rsidRPr="00135C74">
        <w:t xml:space="preserve">there is a need to study resilience and supply risk management at a micro level, </w:t>
      </w:r>
      <w:r w:rsidRPr="00135C74">
        <w:t>that is</w:t>
      </w:r>
      <w:r w:rsidR="00992BB3" w:rsidRPr="00135C74">
        <w:t>,</w:t>
      </w:r>
      <w:r w:rsidR="00420110" w:rsidRPr="00135C74">
        <w:t xml:space="preserve"> at the level of an individual decision</w:t>
      </w:r>
      <w:r w:rsidR="00734AFC" w:rsidRPr="00135C74">
        <w:t xml:space="preserve"> </w:t>
      </w:r>
      <w:r w:rsidR="00420110" w:rsidRPr="00135C74">
        <w:t xml:space="preserve">maker (Mena </w:t>
      </w:r>
      <w:r w:rsidR="00420110" w:rsidRPr="00135C74">
        <w:rPr>
          <w:i/>
        </w:rPr>
        <w:t>et al</w:t>
      </w:r>
      <w:r w:rsidR="00420110" w:rsidRPr="00135C74">
        <w:t>., 2020).</w:t>
      </w:r>
      <w:r w:rsidR="004A0696" w:rsidRPr="00135C74">
        <w:t xml:space="preserve"> </w:t>
      </w:r>
      <w:r w:rsidR="009C73CC" w:rsidRPr="00135C74">
        <w:t xml:space="preserve">For example, an ethnographic study could uncover how </w:t>
      </w:r>
      <w:r w:rsidR="00A9777F" w:rsidRPr="00135C74">
        <w:t xml:space="preserve">the </w:t>
      </w:r>
      <w:r w:rsidR="009C73CC" w:rsidRPr="00135C74">
        <w:t>attentional processing</w:t>
      </w:r>
      <w:r w:rsidR="00A9777F" w:rsidRPr="00135C74">
        <w:t xml:space="preserve"> of individual procurement professionals</w:t>
      </w:r>
      <w:r w:rsidR="009C73CC" w:rsidRPr="00135C74">
        <w:t xml:space="preserve"> determines </w:t>
      </w:r>
      <w:r w:rsidRPr="00135C74">
        <w:t xml:space="preserve">the </w:t>
      </w:r>
      <w:r w:rsidR="009C73CC" w:rsidRPr="00135C74">
        <w:t>reali</w:t>
      </w:r>
      <w:r w:rsidR="00B4370D">
        <w:t>s</w:t>
      </w:r>
      <w:r w:rsidR="009C73CC" w:rsidRPr="00135C74">
        <w:t>ed supply disruption risk management approach</w:t>
      </w:r>
      <w:r w:rsidR="0024696F">
        <w:t>, along with</w:t>
      </w:r>
      <w:r w:rsidR="009C73CC" w:rsidRPr="00135C74">
        <w:t xml:space="preserve"> how these processes may be collectively managed.</w:t>
      </w:r>
      <w:r w:rsidR="00654245" w:rsidRPr="00135C74">
        <w:t xml:space="preserve"> Finally, there are</w:t>
      </w:r>
      <w:r w:rsidR="00B4370D">
        <w:t xml:space="preserve"> a</w:t>
      </w:r>
      <w:r w:rsidR="00654245" w:rsidRPr="00135C74">
        <w:t xml:space="preserve"> number of supply network variables </w:t>
      </w:r>
      <w:r w:rsidR="005B7F3B">
        <w:t>that</w:t>
      </w:r>
      <w:r w:rsidR="005B7F3B" w:rsidRPr="00135C74">
        <w:t xml:space="preserve"> </w:t>
      </w:r>
      <w:r w:rsidR="00654245" w:rsidRPr="00135C74">
        <w:t>may have an effect on the biases towards either of the perspectives on supply disruption risk management or the attentional selection for disruption detection. Future research may, for example, control for supply network complexity, as well as the nature of supplier relationships, to understand the effect</w:t>
      </w:r>
      <w:r w:rsidR="00CF0A29">
        <w:t>s</w:t>
      </w:r>
      <w:r w:rsidR="00654245" w:rsidRPr="00135C74">
        <w:t xml:space="preserve"> of such contingencies on these biases and imbalances. </w:t>
      </w:r>
    </w:p>
    <w:p w14:paraId="158C3CD2" w14:textId="77777777" w:rsidR="00B202B0" w:rsidRPr="00135C74" w:rsidRDefault="00B202B0" w:rsidP="00377304">
      <w:pPr>
        <w:spacing w:line="480" w:lineRule="auto"/>
        <w:jc w:val="both"/>
      </w:pPr>
    </w:p>
    <w:p w14:paraId="62AD6CA4" w14:textId="0EB141E4" w:rsidR="00B202B0" w:rsidRDefault="008E3CC8" w:rsidP="00B202B0">
      <w:pPr>
        <w:spacing w:line="480" w:lineRule="auto"/>
        <w:jc w:val="both"/>
        <w:rPr>
          <w:b/>
        </w:rPr>
      </w:pPr>
      <w:r w:rsidRPr="00135C74">
        <w:rPr>
          <w:b/>
        </w:rPr>
        <w:t>References</w:t>
      </w:r>
    </w:p>
    <w:p w14:paraId="0AC03757" w14:textId="77777777" w:rsidR="00737F4F" w:rsidRDefault="00737F4F" w:rsidP="00737F4F">
      <w:pPr>
        <w:jc w:val="both"/>
      </w:pPr>
      <w:r w:rsidRPr="00B4698A">
        <w:t>Abadie, L</w:t>
      </w:r>
      <w:r>
        <w:t>.</w:t>
      </w:r>
      <w:r w:rsidRPr="00B4698A">
        <w:t xml:space="preserve"> M</w:t>
      </w:r>
      <w:r>
        <w:t>.</w:t>
      </w:r>
      <w:r w:rsidRPr="00B4698A">
        <w:t xml:space="preserve">; </w:t>
      </w:r>
      <w:proofErr w:type="spellStart"/>
      <w:r w:rsidRPr="00B4698A">
        <w:t>Galarraga</w:t>
      </w:r>
      <w:proofErr w:type="spellEnd"/>
      <w:r w:rsidRPr="00B4698A">
        <w:t>, I</w:t>
      </w:r>
      <w:r>
        <w:t>.</w:t>
      </w:r>
      <w:r w:rsidRPr="00B4698A">
        <w:t xml:space="preserve">; </w:t>
      </w:r>
      <w:proofErr w:type="spellStart"/>
      <w:r w:rsidRPr="00B4698A">
        <w:t>Murieta</w:t>
      </w:r>
      <w:proofErr w:type="spellEnd"/>
      <w:r w:rsidRPr="00B4698A">
        <w:t>, E</w:t>
      </w:r>
      <w:r>
        <w:t>.</w:t>
      </w:r>
      <w:r w:rsidRPr="00B4698A">
        <w:t xml:space="preserve"> S</w:t>
      </w:r>
      <w:r>
        <w:t>.</w:t>
      </w:r>
      <w:r w:rsidRPr="00B4698A">
        <w:t xml:space="preserve"> de (2017): Understanding risks in the light of uncertainty. Low-probability, high-impact coastal events in cities. </w:t>
      </w:r>
      <w:r w:rsidRPr="008367E9">
        <w:rPr>
          <w:i/>
          <w:iCs/>
        </w:rPr>
        <w:t xml:space="preserve">Environmental Research Letters </w:t>
      </w:r>
      <w:r>
        <w:t xml:space="preserve">Vol. </w:t>
      </w:r>
      <w:r w:rsidRPr="00B4698A">
        <w:t>12</w:t>
      </w:r>
      <w:r>
        <w:t xml:space="preserve">, No. </w:t>
      </w:r>
      <w:r w:rsidRPr="00B4698A">
        <w:t>1, 14017.</w:t>
      </w:r>
    </w:p>
    <w:p w14:paraId="0B17BBFB" w14:textId="77777777" w:rsidR="00737F4F" w:rsidRPr="007D20A2" w:rsidRDefault="00737F4F" w:rsidP="00737F4F">
      <w:pPr>
        <w:jc w:val="both"/>
      </w:pPr>
      <w:proofErr w:type="spellStart"/>
      <w:r w:rsidRPr="007D20A2">
        <w:t>Akkermans</w:t>
      </w:r>
      <w:proofErr w:type="spellEnd"/>
      <w:r w:rsidRPr="007D20A2">
        <w:t>, H.</w:t>
      </w:r>
      <w:r>
        <w:t xml:space="preserve"> and</w:t>
      </w:r>
      <w:r w:rsidRPr="007D20A2">
        <w:t xml:space="preserve"> Van </w:t>
      </w:r>
      <w:proofErr w:type="spellStart"/>
      <w:r w:rsidRPr="007D20A2">
        <w:t>Wassenhove</w:t>
      </w:r>
      <w:proofErr w:type="spellEnd"/>
      <w:r w:rsidRPr="007D20A2">
        <w:t>, L. N. (2018a)</w:t>
      </w:r>
      <w:r>
        <w:t>,</w:t>
      </w:r>
      <w:r w:rsidRPr="007D20A2">
        <w:t xml:space="preserve"> </w:t>
      </w:r>
      <w:r>
        <w:t>“</w:t>
      </w:r>
      <w:r w:rsidRPr="007D20A2">
        <w:t>Supply chain tsunamis: Research on low‐probability, high‐impact disruptions</w:t>
      </w:r>
      <w:r>
        <w:t>”,</w:t>
      </w:r>
      <w:r w:rsidRPr="007D20A2">
        <w:t xml:space="preserve"> </w:t>
      </w:r>
      <w:r w:rsidRPr="007D20A2">
        <w:rPr>
          <w:i/>
        </w:rPr>
        <w:t>Journal of Supply Chain Management</w:t>
      </w:r>
      <w:r w:rsidRPr="007D20A2">
        <w:t xml:space="preserve">, </w:t>
      </w:r>
      <w:r>
        <w:t xml:space="preserve">Vol. </w:t>
      </w:r>
      <w:r w:rsidRPr="007D20A2">
        <w:t>54</w:t>
      </w:r>
      <w:r>
        <w:t xml:space="preserve"> No. </w:t>
      </w:r>
      <w:r w:rsidRPr="007D20A2">
        <w:t>1,</w:t>
      </w:r>
      <w:r>
        <w:t xml:space="preserve"> pp.</w:t>
      </w:r>
      <w:r w:rsidRPr="007D20A2">
        <w:t xml:space="preserve"> 64-76.</w:t>
      </w:r>
    </w:p>
    <w:p w14:paraId="28934894" w14:textId="77777777" w:rsidR="00737F4F" w:rsidRPr="007D20A2" w:rsidRDefault="00737F4F" w:rsidP="00737F4F">
      <w:pPr>
        <w:jc w:val="both"/>
      </w:pPr>
      <w:proofErr w:type="spellStart"/>
      <w:r w:rsidRPr="007D20A2">
        <w:lastRenderedPageBreak/>
        <w:t>Akkermans</w:t>
      </w:r>
      <w:proofErr w:type="spellEnd"/>
      <w:r w:rsidRPr="007D20A2">
        <w:t xml:space="preserve">, H. A. </w:t>
      </w:r>
      <w:r>
        <w:t>and</w:t>
      </w:r>
      <w:r w:rsidRPr="007D20A2">
        <w:t xml:space="preserve"> Van </w:t>
      </w:r>
      <w:proofErr w:type="spellStart"/>
      <w:r w:rsidRPr="007D20A2">
        <w:t>Wassenhove</w:t>
      </w:r>
      <w:proofErr w:type="spellEnd"/>
      <w:r w:rsidRPr="007D20A2">
        <w:t>, L. N. (2018b)</w:t>
      </w:r>
      <w:r>
        <w:t>,</w:t>
      </w:r>
      <w:r w:rsidRPr="007D20A2">
        <w:t xml:space="preserve"> </w:t>
      </w:r>
      <w:r>
        <w:t>“</w:t>
      </w:r>
      <w:r w:rsidRPr="007D20A2">
        <w:t>A dynamic model of managerial response to grey swan events in supply networks</w:t>
      </w:r>
      <w:r>
        <w:t>”,</w:t>
      </w:r>
      <w:r w:rsidRPr="007D20A2">
        <w:t xml:space="preserve"> </w:t>
      </w:r>
      <w:r w:rsidRPr="007D20A2">
        <w:rPr>
          <w:i/>
        </w:rPr>
        <w:t>International Journal of Production Research</w:t>
      </w:r>
      <w:r w:rsidRPr="007D20A2">
        <w:t xml:space="preserve">, </w:t>
      </w:r>
      <w:r>
        <w:t xml:space="preserve">Vol. </w:t>
      </w:r>
      <w:r w:rsidRPr="007D20A2">
        <w:t>56</w:t>
      </w:r>
      <w:r>
        <w:t xml:space="preserve"> No. </w:t>
      </w:r>
      <w:r w:rsidRPr="007D20A2">
        <w:t>1-2,</w:t>
      </w:r>
      <w:r>
        <w:t xml:space="preserve"> pp.</w:t>
      </w:r>
      <w:r w:rsidRPr="007D20A2">
        <w:t xml:space="preserve"> 10-21.</w:t>
      </w:r>
    </w:p>
    <w:p w14:paraId="355418AD" w14:textId="77777777" w:rsidR="00737F4F" w:rsidRPr="007D20A2" w:rsidRDefault="00737F4F" w:rsidP="00737F4F">
      <w:pPr>
        <w:jc w:val="both"/>
      </w:pPr>
      <w:proofErr w:type="spellStart"/>
      <w:r w:rsidRPr="007D20A2">
        <w:t>Ambulkar</w:t>
      </w:r>
      <w:proofErr w:type="spellEnd"/>
      <w:r w:rsidRPr="007D20A2">
        <w:t>, S., Blackhurst, J.</w:t>
      </w:r>
      <w:r>
        <w:t xml:space="preserve"> and</w:t>
      </w:r>
      <w:r w:rsidRPr="007D20A2">
        <w:t xml:space="preserve"> </w:t>
      </w:r>
      <w:proofErr w:type="spellStart"/>
      <w:r w:rsidRPr="007D20A2">
        <w:t>Grawe</w:t>
      </w:r>
      <w:proofErr w:type="spellEnd"/>
      <w:r w:rsidRPr="007D20A2">
        <w:t>, S. (2015)</w:t>
      </w:r>
      <w:r>
        <w:t>,</w:t>
      </w:r>
      <w:r w:rsidRPr="007D20A2">
        <w:t xml:space="preserve"> </w:t>
      </w:r>
      <w:r>
        <w:t>“</w:t>
      </w:r>
      <w:r w:rsidRPr="007D20A2">
        <w:t>Firm's resilience to supply chain disruptions: Scale development and empirical examination</w:t>
      </w:r>
      <w:r>
        <w:t>”,</w:t>
      </w:r>
      <w:r w:rsidRPr="007D20A2">
        <w:t xml:space="preserve"> </w:t>
      </w:r>
      <w:r w:rsidRPr="007D20A2">
        <w:rPr>
          <w:i/>
        </w:rPr>
        <w:t xml:space="preserve">Journal of </w:t>
      </w:r>
      <w:r>
        <w:rPr>
          <w:i/>
        </w:rPr>
        <w:t>O</w:t>
      </w:r>
      <w:r w:rsidRPr="007D20A2">
        <w:rPr>
          <w:i/>
        </w:rPr>
        <w:t xml:space="preserve">perations </w:t>
      </w:r>
      <w:r>
        <w:rPr>
          <w:i/>
        </w:rPr>
        <w:t>M</w:t>
      </w:r>
      <w:r w:rsidRPr="007D20A2">
        <w:rPr>
          <w:i/>
        </w:rPr>
        <w:t>anagement</w:t>
      </w:r>
      <w:r w:rsidRPr="007D20A2">
        <w:t xml:space="preserve">, </w:t>
      </w:r>
      <w:r>
        <w:t xml:space="preserve">Vol. </w:t>
      </w:r>
      <w:r w:rsidRPr="007D20A2">
        <w:t xml:space="preserve">33, </w:t>
      </w:r>
      <w:r>
        <w:t xml:space="preserve">pp. </w:t>
      </w:r>
      <w:r w:rsidRPr="007D20A2">
        <w:t>111-122.</w:t>
      </w:r>
    </w:p>
    <w:p w14:paraId="7643868D" w14:textId="77777777" w:rsidR="00737F4F" w:rsidRPr="007D20A2" w:rsidRDefault="00737F4F" w:rsidP="00737F4F">
      <w:pPr>
        <w:jc w:val="both"/>
      </w:pPr>
      <w:r w:rsidRPr="007D20A2">
        <w:t xml:space="preserve">Anderson, J.C. and </w:t>
      </w:r>
      <w:proofErr w:type="spellStart"/>
      <w:r w:rsidRPr="007D20A2">
        <w:t>Gerbing</w:t>
      </w:r>
      <w:proofErr w:type="spellEnd"/>
      <w:r w:rsidRPr="007D20A2">
        <w:t xml:space="preserve">, D.W. (1988), “Structural equation </w:t>
      </w:r>
      <w:proofErr w:type="spellStart"/>
      <w:r w:rsidRPr="007D20A2">
        <w:t>modeling</w:t>
      </w:r>
      <w:proofErr w:type="spellEnd"/>
      <w:r w:rsidRPr="007D20A2">
        <w:t xml:space="preserve"> in practice: A review and recommended two-step approach”, </w:t>
      </w:r>
      <w:r w:rsidRPr="007D20A2">
        <w:rPr>
          <w:i/>
        </w:rPr>
        <w:t>Psychological Bulletin</w:t>
      </w:r>
      <w:r w:rsidRPr="007D20A2">
        <w:t>, Vol. 103 No. 3, pp. 411.</w:t>
      </w:r>
    </w:p>
    <w:p w14:paraId="178DCA08" w14:textId="77777777" w:rsidR="00737F4F" w:rsidRPr="007D20A2" w:rsidRDefault="00737F4F" w:rsidP="00737F4F">
      <w:pPr>
        <w:jc w:val="both"/>
      </w:pPr>
      <w:r w:rsidRPr="007D20A2">
        <w:t xml:space="preserve">Armstrong, J. S. and Overton, T. S. (1977), “Estimating nonresponse bias in mail surveys”, </w:t>
      </w:r>
      <w:r w:rsidRPr="007D20A2">
        <w:rPr>
          <w:i/>
        </w:rPr>
        <w:t>Journal of Marketing Research</w:t>
      </w:r>
      <w:r w:rsidRPr="007D20A2">
        <w:t>, Vol. 14 No. 3, pp. 396-402.</w:t>
      </w:r>
    </w:p>
    <w:p w14:paraId="358C63A8" w14:textId="77777777" w:rsidR="00737F4F" w:rsidRPr="007D20A2" w:rsidRDefault="00737F4F" w:rsidP="00737F4F">
      <w:pPr>
        <w:jc w:val="both"/>
      </w:pPr>
      <w:proofErr w:type="spellStart"/>
      <w:r w:rsidRPr="007D20A2">
        <w:t>Azadegan</w:t>
      </w:r>
      <w:proofErr w:type="spellEnd"/>
      <w:r w:rsidRPr="007D20A2">
        <w:t xml:space="preserve">, A. </w:t>
      </w:r>
      <w:r>
        <w:t>and</w:t>
      </w:r>
      <w:r w:rsidRPr="007D20A2">
        <w:t xml:space="preserve"> Dooley, K. (2021)</w:t>
      </w:r>
      <w:r>
        <w:t>,</w:t>
      </w:r>
      <w:r w:rsidRPr="007D20A2">
        <w:t xml:space="preserve"> </w:t>
      </w:r>
      <w:r>
        <w:t>“</w:t>
      </w:r>
      <w:r w:rsidRPr="007D20A2">
        <w:t>A typology of supply network resilience strategies: complex collaborations in a complex world</w:t>
      </w:r>
      <w:r>
        <w:t>”,</w:t>
      </w:r>
      <w:r w:rsidRPr="007D20A2">
        <w:t xml:space="preserve"> </w:t>
      </w:r>
      <w:r w:rsidRPr="007D20A2">
        <w:rPr>
          <w:i/>
        </w:rPr>
        <w:t>Journal of Supply Chain Management</w:t>
      </w:r>
      <w:r w:rsidRPr="007D20A2">
        <w:t xml:space="preserve">, </w:t>
      </w:r>
      <w:r>
        <w:t xml:space="preserve">Vol. </w:t>
      </w:r>
      <w:r w:rsidRPr="007D20A2">
        <w:t>57</w:t>
      </w:r>
      <w:r>
        <w:t xml:space="preserve"> No. </w:t>
      </w:r>
      <w:r w:rsidRPr="007D20A2">
        <w:t>1,</w:t>
      </w:r>
      <w:r>
        <w:t xml:space="preserve"> pp.</w:t>
      </w:r>
      <w:r w:rsidRPr="007D20A2">
        <w:t xml:space="preserve"> 17-26.</w:t>
      </w:r>
    </w:p>
    <w:p w14:paraId="65D7FA32" w14:textId="77777777" w:rsidR="00737F4F" w:rsidRPr="007D20A2" w:rsidRDefault="00737F4F" w:rsidP="00737F4F">
      <w:pPr>
        <w:jc w:val="both"/>
      </w:pPr>
      <w:r w:rsidRPr="007D20A2">
        <w:t>Banker, S. (2020)</w:t>
      </w:r>
      <w:r>
        <w:t>,</w:t>
      </w:r>
      <w:r w:rsidRPr="007D20A2">
        <w:t xml:space="preserve"> </w:t>
      </w:r>
      <w:r>
        <w:t>“</w:t>
      </w:r>
      <w:r w:rsidRPr="007D20A2">
        <w:t xml:space="preserve">A </w:t>
      </w:r>
      <w:r w:rsidRPr="00B62888">
        <w:t xml:space="preserve">very agile supply chain: the inside story of </w:t>
      </w:r>
      <w:r w:rsidRPr="007D20A2">
        <w:t xml:space="preserve">AGCO’s </w:t>
      </w:r>
      <w:r>
        <w:t>r</w:t>
      </w:r>
      <w:r w:rsidRPr="007D20A2">
        <w:t>esponse to COVID-19</w:t>
      </w:r>
      <w:r>
        <w:t>”,</w:t>
      </w:r>
      <w:r w:rsidRPr="007D20A2">
        <w:t xml:space="preserve"> </w:t>
      </w:r>
      <w:r w:rsidRPr="007D20A2">
        <w:rPr>
          <w:i/>
        </w:rPr>
        <w:t>Supply Chain Management Review</w:t>
      </w:r>
      <w:r w:rsidRPr="007D20A2">
        <w:t xml:space="preserve">, April. </w:t>
      </w:r>
    </w:p>
    <w:p w14:paraId="29A64C06" w14:textId="77777777" w:rsidR="00737F4F" w:rsidRPr="007D20A2" w:rsidRDefault="00737F4F" w:rsidP="00737F4F">
      <w:pPr>
        <w:jc w:val="both"/>
      </w:pPr>
      <w:r w:rsidRPr="007D20A2">
        <w:t xml:space="preserve">Barney, J. A. Y. </w:t>
      </w:r>
      <w:r>
        <w:t>and</w:t>
      </w:r>
      <w:r w:rsidRPr="007D20A2">
        <w:t xml:space="preserve"> </w:t>
      </w:r>
      <w:proofErr w:type="spellStart"/>
      <w:r w:rsidRPr="007D20A2">
        <w:t>Felin</w:t>
      </w:r>
      <w:proofErr w:type="spellEnd"/>
      <w:r w:rsidRPr="007D20A2">
        <w:t>, T. (2013)</w:t>
      </w:r>
      <w:r>
        <w:t>,</w:t>
      </w:r>
      <w:r w:rsidRPr="007D20A2">
        <w:t xml:space="preserve"> </w:t>
      </w:r>
      <w:r>
        <w:t>“</w:t>
      </w:r>
      <w:r w:rsidRPr="007D20A2">
        <w:t xml:space="preserve">What are </w:t>
      </w:r>
      <w:proofErr w:type="spellStart"/>
      <w:r w:rsidRPr="007D20A2">
        <w:t>microfoundations</w:t>
      </w:r>
      <w:proofErr w:type="spellEnd"/>
      <w:r w:rsidRPr="007D20A2">
        <w:t>?</w:t>
      </w:r>
      <w:r>
        <w:t>”,</w:t>
      </w:r>
      <w:r w:rsidRPr="007D20A2">
        <w:t xml:space="preserve"> </w:t>
      </w:r>
      <w:r w:rsidRPr="007D20A2">
        <w:rPr>
          <w:i/>
        </w:rPr>
        <w:t>Academy of Management Perspectives</w:t>
      </w:r>
      <w:r w:rsidRPr="007D20A2">
        <w:t xml:space="preserve">, </w:t>
      </w:r>
      <w:r>
        <w:t xml:space="preserve">Vol. </w:t>
      </w:r>
      <w:r w:rsidRPr="007D20A2">
        <w:t>27</w:t>
      </w:r>
      <w:r>
        <w:t xml:space="preserve"> No. </w:t>
      </w:r>
      <w:r w:rsidRPr="007D20A2">
        <w:t>2,</w:t>
      </w:r>
      <w:r>
        <w:t xml:space="preserve"> pp.</w:t>
      </w:r>
      <w:r w:rsidRPr="007D20A2">
        <w:t xml:space="preserve"> 138-155.</w:t>
      </w:r>
    </w:p>
    <w:p w14:paraId="6BBF3F52" w14:textId="77777777" w:rsidR="00737F4F" w:rsidRPr="007D20A2" w:rsidRDefault="00737F4F" w:rsidP="00737F4F">
      <w:pPr>
        <w:jc w:val="both"/>
      </w:pPr>
      <w:proofErr w:type="spellStart"/>
      <w:r w:rsidRPr="007D20A2">
        <w:t>Birkinshaw</w:t>
      </w:r>
      <w:proofErr w:type="spellEnd"/>
      <w:r w:rsidRPr="007D20A2">
        <w:t xml:space="preserve">, J. </w:t>
      </w:r>
      <w:r>
        <w:t>and</w:t>
      </w:r>
      <w:r w:rsidRPr="007D20A2">
        <w:t xml:space="preserve"> Gupta, K. (2013)</w:t>
      </w:r>
      <w:r>
        <w:t>,</w:t>
      </w:r>
      <w:r w:rsidRPr="007D20A2">
        <w:t xml:space="preserve"> </w:t>
      </w:r>
      <w:r>
        <w:t>“</w:t>
      </w:r>
      <w:r w:rsidRPr="007D20A2">
        <w:t>Clarifying the distinctive contribution of ambidexterity to the field of organization studies</w:t>
      </w:r>
      <w:r>
        <w:t>”,</w:t>
      </w:r>
      <w:r w:rsidRPr="007D20A2">
        <w:t xml:space="preserve"> </w:t>
      </w:r>
      <w:r w:rsidRPr="007D20A2">
        <w:rPr>
          <w:i/>
        </w:rPr>
        <w:t>Academy of Management Perspectives</w:t>
      </w:r>
      <w:r w:rsidRPr="007D20A2">
        <w:t xml:space="preserve">, </w:t>
      </w:r>
      <w:r>
        <w:t xml:space="preserve">Vol. </w:t>
      </w:r>
      <w:r w:rsidRPr="007D20A2">
        <w:t>27</w:t>
      </w:r>
      <w:r>
        <w:t xml:space="preserve"> No. </w:t>
      </w:r>
      <w:r w:rsidRPr="007D20A2">
        <w:t>4,</w:t>
      </w:r>
      <w:r>
        <w:t xml:space="preserve"> pp.</w:t>
      </w:r>
      <w:r w:rsidRPr="007D20A2">
        <w:t xml:space="preserve"> 287-298.</w:t>
      </w:r>
    </w:p>
    <w:p w14:paraId="22ED0F06" w14:textId="77777777" w:rsidR="00737F4F" w:rsidRPr="007D20A2" w:rsidRDefault="00737F4F" w:rsidP="00737F4F">
      <w:pPr>
        <w:jc w:val="both"/>
      </w:pPr>
      <w:r w:rsidRPr="007D20A2">
        <w:t>Blackhurst, J., Dunn, K. S.</w:t>
      </w:r>
      <w:r>
        <w:t xml:space="preserve"> and</w:t>
      </w:r>
      <w:r w:rsidRPr="007D20A2">
        <w:t xml:space="preserve"> </w:t>
      </w:r>
      <w:proofErr w:type="spellStart"/>
      <w:r w:rsidRPr="007D20A2">
        <w:t>Craighead</w:t>
      </w:r>
      <w:proofErr w:type="spellEnd"/>
      <w:r w:rsidRPr="007D20A2">
        <w:t>, C. W. (2011)</w:t>
      </w:r>
      <w:r>
        <w:t>,</w:t>
      </w:r>
      <w:r w:rsidRPr="007D20A2">
        <w:t xml:space="preserve"> </w:t>
      </w:r>
      <w:r>
        <w:t>“</w:t>
      </w:r>
      <w:r w:rsidRPr="007D20A2">
        <w:t>An empirically derived framework of global supply resiliency</w:t>
      </w:r>
      <w:r>
        <w:t>”,</w:t>
      </w:r>
      <w:r w:rsidRPr="007D20A2">
        <w:t xml:space="preserve"> </w:t>
      </w:r>
      <w:r w:rsidRPr="007D20A2">
        <w:rPr>
          <w:i/>
        </w:rPr>
        <w:t>Journal of Business Logistics</w:t>
      </w:r>
      <w:r w:rsidRPr="007D20A2">
        <w:t xml:space="preserve">, </w:t>
      </w:r>
      <w:r>
        <w:t xml:space="preserve">Vol. </w:t>
      </w:r>
      <w:r w:rsidRPr="007D20A2">
        <w:t>32</w:t>
      </w:r>
      <w:r>
        <w:t xml:space="preserve"> No. </w:t>
      </w:r>
      <w:r w:rsidRPr="007D20A2">
        <w:t>4,</w:t>
      </w:r>
      <w:r>
        <w:t xml:space="preserve"> pp.</w:t>
      </w:r>
      <w:r w:rsidRPr="007D20A2">
        <w:t xml:space="preserve"> 374-391.</w:t>
      </w:r>
    </w:p>
    <w:p w14:paraId="7B6611BF" w14:textId="77777777" w:rsidR="00737F4F" w:rsidRPr="007D20A2" w:rsidRDefault="00737F4F" w:rsidP="00737F4F">
      <w:pPr>
        <w:jc w:val="both"/>
      </w:pPr>
      <w:r w:rsidRPr="007D20A2">
        <w:t xml:space="preserve">Bode, C. </w:t>
      </w:r>
      <w:r>
        <w:t>and</w:t>
      </w:r>
      <w:r w:rsidRPr="007D20A2">
        <w:t xml:space="preserve"> Macdonald, J. R. (201</w:t>
      </w:r>
      <w:r>
        <w:t>6</w:t>
      </w:r>
      <w:r w:rsidRPr="007D20A2">
        <w:t>)</w:t>
      </w:r>
      <w:r>
        <w:t>,</w:t>
      </w:r>
      <w:r w:rsidRPr="007D20A2">
        <w:t xml:space="preserve"> </w:t>
      </w:r>
      <w:r>
        <w:t>“</w:t>
      </w:r>
      <w:r w:rsidRPr="007D20A2">
        <w:t>Stages of supply chain disruption response: Direct, constraining, and mediating factors for impact mitigation</w:t>
      </w:r>
      <w:r>
        <w:t>”,</w:t>
      </w:r>
      <w:r w:rsidRPr="007D20A2">
        <w:t xml:space="preserve"> </w:t>
      </w:r>
      <w:r w:rsidRPr="007D20A2">
        <w:rPr>
          <w:i/>
        </w:rPr>
        <w:t>Decision Sciences</w:t>
      </w:r>
      <w:r w:rsidRPr="007D20A2">
        <w:t xml:space="preserve">, </w:t>
      </w:r>
      <w:r>
        <w:t xml:space="preserve">Vol. </w:t>
      </w:r>
      <w:r w:rsidRPr="007D20A2">
        <w:t>48</w:t>
      </w:r>
      <w:r>
        <w:t xml:space="preserve"> No. </w:t>
      </w:r>
      <w:r w:rsidRPr="007D20A2">
        <w:t>5,</w:t>
      </w:r>
      <w:r>
        <w:t xml:space="preserve"> pp.</w:t>
      </w:r>
      <w:r w:rsidRPr="007D20A2">
        <w:t xml:space="preserve"> 836-874.</w:t>
      </w:r>
    </w:p>
    <w:p w14:paraId="15C3D1E9" w14:textId="77777777" w:rsidR="00737F4F" w:rsidRPr="007D20A2" w:rsidRDefault="00737F4F" w:rsidP="00737F4F">
      <w:pPr>
        <w:jc w:val="both"/>
      </w:pPr>
      <w:r w:rsidRPr="007D20A2">
        <w:t xml:space="preserve">Bode, C. </w:t>
      </w:r>
      <w:r>
        <w:t>and</w:t>
      </w:r>
      <w:r w:rsidRPr="007D20A2">
        <w:t xml:space="preserve"> Wagner, S. M. (2015)</w:t>
      </w:r>
      <w:r>
        <w:t>,</w:t>
      </w:r>
      <w:r w:rsidRPr="007D20A2">
        <w:t xml:space="preserve"> </w:t>
      </w:r>
      <w:r>
        <w:t>“</w:t>
      </w:r>
      <w:r w:rsidRPr="007D20A2">
        <w:t>Structural drivers of upstream supply chain complexity and the frequency of supply chain disruptions</w:t>
      </w:r>
      <w:r>
        <w:t>”,</w:t>
      </w:r>
      <w:r w:rsidRPr="007D20A2">
        <w:t xml:space="preserve"> </w:t>
      </w:r>
      <w:r w:rsidRPr="007D20A2">
        <w:rPr>
          <w:i/>
        </w:rPr>
        <w:t>Journal of Operations Management</w:t>
      </w:r>
      <w:r w:rsidRPr="007D20A2">
        <w:t xml:space="preserve">, </w:t>
      </w:r>
      <w:r>
        <w:t xml:space="preserve">Vol. </w:t>
      </w:r>
      <w:r w:rsidRPr="007D20A2">
        <w:t xml:space="preserve">36, </w:t>
      </w:r>
      <w:r>
        <w:t xml:space="preserve">pp. </w:t>
      </w:r>
      <w:r w:rsidRPr="007D20A2">
        <w:t>215-228.</w:t>
      </w:r>
    </w:p>
    <w:p w14:paraId="1458A57F" w14:textId="77777777" w:rsidR="00737F4F" w:rsidRPr="007D20A2" w:rsidRDefault="00737F4F" w:rsidP="00737F4F">
      <w:pPr>
        <w:jc w:val="both"/>
      </w:pPr>
      <w:proofErr w:type="spellStart"/>
      <w:r w:rsidRPr="007D20A2">
        <w:t>Braunscheidel</w:t>
      </w:r>
      <w:proofErr w:type="spellEnd"/>
      <w:r w:rsidRPr="007D20A2">
        <w:t xml:space="preserve">, M. J. </w:t>
      </w:r>
      <w:r>
        <w:t>and</w:t>
      </w:r>
      <w:r w:rsidRPr="007D20A2">
        <w:t xml:space="preserve"> Suresh, N. C. (2009)</w:t>
      </w:r>
      <w:r>
        <w:t>,</w:t>
      </w:r>
      <w:r w:rsidRPr="007D20A2">
        <w:t xml:space="preserve"> </w:t>
      </w:r>
      <w:r>
        <w:t>“</w:t>
      </w:r>
      <w:r w:rsidRPr="007D20A2">
        <w:t>The organizational antecedents of a firm’s supply chain agility for risk mitigation and response</w:t>
      </w:r>
      <w:r>
        <w:t>”,</w:t>
      </w:r>
      <w:r w:rsidRPr="007D20A2">
        <w:t xml:space="preserve"> </w:t>
      </w:r>
      <w:r w:rsidRPr="007D20A2">
        <w:rPr>
          <w:i/>
        </w:rPr>
        <w:t>Journal of Operations Management</w:t>
      </w:r>
      <w:r w:rsidRPr="007D20A2">
        <w:t xml:space="preserve">, </w:t>
      </w:r>
      <w:r>
        <w:t xml:space="preserve">Vol. </w:t>
      </w:r>
      <w:r w:rsidRPr="007D20A2">
        <w:t>27</w:t>
      </w:r>
      <w:r>
        <w:t xml:space="preserve"> No. </w:t>
      </w:r>
      <w:r w:rsidRPr="007D20A2">
        <w:t>2,</w:t>
      </w:r>
      <w:r>
        <w:t xml:space="preserve"> pp.</w:t>
      </w:r>
      <w:r w:rsidRPr="007D20A2">
        <w:t xml:space="preserve"> 119-140.</w:t>
      </w:r>
    </w:p>
    <w:p w14:paraId="27D1C86A" w14:textId="77777777" w:rsidR="00737F4F" w:rsidRDefault="00737F4F" w:rsidP="00737F4F">
      <w:pPr>
        <w:jc w:val="both"/>
      </w:pPr>
      <w:proofErr w:type="spellStart"/>
      <w:r w:rsidRPr="00216D8F">
        <w:t>Busse</w:t>
      </w:r>
      <w:proofErr w:type="spellEnd"/>
      <w:r w:rsidRPr="00216D8F">
        <w:t xml:space="preserve">, C., </w:t>
      </w:r>
      <w:proofErr w:type="spellStart"/>
      <w:r w:rsidRPr="00216D8F">
        <w:t>Kach</w:t>
      </w:r>
      <w:proofErr w:type="spellEnd"/>
      <w:r w:rsidRPr="00216D8F">
        <w:t xml:space="preserve">, A. P., &amp; Wagner, S. M. (2017). Boundary conditions: What they are, how to explore them, why we need them, and when to consider them. </w:t>
      </w:r>
      <w:r w:rsidRPr="008367E9">
        <w:rPr>
          <w:i/>
          <w:iCs/>
        </w:rPr>
        <w:t>Organizational Research Methods</w:t>
      </w:r>
      <w:r w:rsidRPr="00216D8F">
        <w:t xml:space="preserve">, </w:t>
      </w:r>
      <w:r>
        <w:t xml:space="preserve">Vol. </w:t>
      </w:r>
      <w:r w:rsidRPr="00216D8F">
        <w:t>20</w:t>
      </w:r>
      <w:r>
        <w:t xml:space="preserve"> No. </w:t>
      </w:r>
      <w:r w:rsidRPr="00216D8F">
        <w:t>4,</w:t>
      </w:r>
      <w:r>
        <w:t xml:space="preserve"> pp.</w:t>
      </w:r>
      <w:r w:rsidRPr="00216D8F">
        <w:t xml:space="preserve"> 574-609.</w:t>
      </w:r>
    </w:p>
    <w:p w14:paraId="360244BA" w14:textId="77777777" w:rsidR="00737F4F" w:rsidRDefault="00737F4F" w:rsidP="00737F4F">
      <w:pPr>
        <w:jc w:val="both"/>
      </w:pPr>
      <w:r w:rsidRPr="00CE342C">
        <w:t>Butt, A</w:t>
      </w:r>
      <w:r>
        <w:t xml:space="preserve">. S. </w:t>
      </w:r>
      <w:r w:rsidRPr="00CE342C">
        <w:t xml:space="preserve">(2021): Strategies to mitigate the impact of COVID-19 on supply chain disruptions: a multiple case analysis of buyers and distributors. </w:t>
      </w:r>
      <w:r w:rsidRPr="008367E9">
        <w:rPr>
          <w:i/>
          <w:iCs/>
        </w:rPr>
        <w:t>International Journal of Logistics Management</w:t>
      </w:r>
      <w:r w:rsidRPr="00CE342C">
        <w:t>. DOI: 10.1108/IJLM-11-2020-0455.</w:t>
      </w:r>
    </w:p>
    <w:p w14:paraId="10137295" w14:textId="77777777" w:rsidR="00737F4F" w:rsidRDefault="00737F4F" w:rsidP="00737F4F">
      <w:pPr>
        <w:jc w:val="both"/>
      </w:pPr>
      <w:r w:rsidRPr="00843149">
        <w:t xml:space="preserve">Chaudhuri, A., Ghadge, A., </w:t>
      </w:r>
      <w:proofErr w:type="spellStart"/>
      <w:r w:rsidRPr="00843149">
        <w:t>Gaudenzi</w:t>
      </w:r>
      <w:proofErr w:type="spellEnd"/>
      <w:r w:rsidRPr="00843149">
        <w:t>, B., &amp; Dani, S. (2020). A conceptual framework for improving effectiveness of risk management in supply networks. International Journal of Logistics Management, The.</w:t>
      </w:r>
    </w:p>
    <w:p w14:paraId="551F7DE4" w14:textId="77777777" w:rsidR="00737F4F" w:rsidRPr="007D20A2" w:rsidRDefault="00737F4F" w:rsidP="00737F4F">
      <w:pPr>
        <w:jc w:val="both"/>
      </w:pPr>
      <w:r w:rsidRPr="007D20A2">
        <w:t xml:space="preserve">Cho, T. S. </w:t>
      </w:r>
      <w:r>
        <w:t>and</w:t>
      </w:r>
      <w:r w:rsidRPr="007D20A2">
        <w:t xml:space="preserve"> Hambrick, D. C. (2006)</w:t>
      </w:r>
      <w:r>
        <w:t>,</w:t>
      </w:r>
      <w:r w:rsidRPr="007D20A2">
        <w:t xml:space="preserve"> </w:t>
      </w:r>
      <w:r>
        <w:t>“</w:t>
      </w:r>
      <w:r w:rsidRPr="007D20A2">
        <w:t>Attention as the mediator between top management team characteristics and strategic change: The case of airline deregulation</w:t>
      </w:r>
      <w:r>
        <w:t>”,</w:t>
      </w:r>
      <w:r w:rsidRPr="007D20A2">
        <w:t xml:space="preserve"> </w:t>
      </w:r>
      <w:r w:rsidRPr="007D20A2">
        <w:rPr>
          <w:i/>
        </w:rPr>
        <w:t>Organization Science</w:t>
      </w:r>
      <w:r w:rsidRPr="007D20A2">
        <w:t xml:space="preserve">, </w:t>
      </w:r>
      <w:r>
        <w:t xml:space="preserve">Vol. </w:t>
      </w:r>
      <w:r w:rsidRPr="007D20A2">
        <w:t>17</w:t>
      </w:r>
      <w:r>
        <w:t xml:space="preserve"> No. </w:t>
      </w:r>
      <w:r w:rsidRPr="007D20A2">
        <w:t>4,</w:t>
      </w:r>
      <w:r>
        <w:t xml:space="preserve"> pp.</w:t>
      </w:r>
      <w:r w:rsidRPr="007D20A2">
        <w:t xml:space="preserve"> 453-469.</w:t>
      </w:r>
    </w:p>
    <w:p w14:paraId="342D83C6" w14:textId="77777777" w:rsidR="00737F4F" w:rsidRPr="007D20A2" w:rsidRDefault="00737F4F" w:rsidP="00737F4F">
      <w:pPr>
        <w:jc w:val="both"/>
      </w:pPr>
      <w:r w:rsidRPr="007D20A2">
        <w:t>Choi, T. Y.</w:t>
      </w:r>
      <w:r>
        <w:t xml:space="preserve"> and</w:t>
      </w:r>
      <w:r w:rsidRPr="007D20A2">
        <w:t xml:space="preserve"> Hong, Y. (2002)</w:t>
      </w:r>
      <w:r>
        <w:t>,</w:t>
      </w:r>
      <w:r w:rsidRPr="007D20A2">
        <w:t xml:space="preserve"> </w:t>
      </w:r>
      <w:r>
        <w:t>“</w:t>
      </w:r>
      <w:r w:rsidRPr="007D20A2">
        <w:t>Unveiling the structure of supply networks: case studies in Honda, Acura, and DaimlerChrysler</w:t>
      </w:r>
      <w:r>
        <w:t>”,</w:t>
      </w:r>
      <w:r w:rsidRPr="007D20A2">
        <w:t xml:space="preserve"> </w:t>
      </w:r>
      <w:r w:rsidRPr="007D20A2">
        <w:rPr>
          <w:i/>
        </w:rPr>
        <w:t>Journal of Operations Management,</w:t>
      </w:r>
      <w:r w:rsidRPr="007D20A2">
        <w:t xml:space="preserve"> </w:t>
      </w:r>
      <w:r>
        <w:t xml:space="preserve">Vol. </w:t>
      </w:r>
      <w:r w:rsidRPr="007D20A2">
        <w:t>20</w:t>
      </w:r>
      <w:r>
        <w:t xml:space="preserve"> No. </w:t>
      </w:r>
      <w:r w:rsidRPr="007D20A2">
        <w:t xml:space="preserve">5, </w:t>
      </w:r>
      <w:r>
        <w:t xml:space="preserve">pp. </w:t>
      </w:r>
      <w:r w:rsidRPr="007D20A2">
        <w:t>469-493.</w:t>
      </w:r>
    </w:p>
    <w:p w14:paraId="512504A4" w14:textId="77777777" w:rsidR="00737F4F" w:rsidRPr="007D20A2" w:rsidRDefault="00737F4F" w:rsidP="00737F4F">
      <w:pPr>
        <w:jc w:val="both"/>
      </w:pPr>
      <w:r w:rsidRPr="007D20A2">
        <w:t xml:space="preserve">Choi, T. Y., Rogers, D. </w:t>
      </w:r>
      <w:r>
        <w:t>and</w:t>
      </w:r>
      <w:r w:rsidRPr="007D20A2">
        <w:t xml:space="preserve"> Vakil, B. (2020)</w:t>
      </w:r>
      <w:r>
        <w:t>,</w:t>
      </w:r>
      <w:r w:rsidRPr="007D20A2">
        <w:t xml:space="preserve"> </w:t>
      </w:r>
      <w:r>
        <w:t>“</w:t>
      </w:r>
      <w:r w:rsidRPr="007D20A2">
        <w:t>Coronavirus is a wake-up call for supply chain management</w:t>
      </w:r>
      <w:r>
        <w:t>”,</w:t>
      </w:r>
      <w:r w:rsidRPr="007D20A2">
        <w:t xml:space="preserve"> </w:t>
      </w:r>
      <w:r w:rsidRPr="007D20A2">
        <w:rPr>
          <w:i/>
        </w:rPr>
        <w:t>Harvard Business Review</w:t>
      </w:r>
      <w:r w:rsidRPr="007D20A2">
        <w:t xml:space="preserve">, </w:t>
      </w:r>
      <w:r>
        <w:t xml:space="preserve">Vol. </w:t>
      </w:r>
      <w:r w:rsidRPr="007D20A2">
        <w:t>27.</w:t>
      </w:r>
    </w:p>
    <w:p w14:paraId="142FECE2" w14:textId="77777777" w:rsidR="00737F4F" w:rsidRPr="007D20A2" w:rsidRDefault="00737F4F" w:rsidP="00737F4F">
      <w:pPr>
        <w:jc w:val="both"/>
      </w:pPr>
      <w:r w:rsidRPr="007D20A2">
        <w:lastRenderedPageBreak/>
        <w:t xml:space="preserve">Chowdhury, P., Paul, S. K., </w:t>
      </w:r>
      <w:proofErr w:type="spellStart"/>
      <w:r w:rsidRPr="007D20A2">
        <w:t>Kaisar</w:t>
      </w:r>
      <w:proofErr w:type="spellEnd"/>
      <w:r w:rsidRPr="007D20A2">
        <w:t xml:space="preserve">, S. </w:t>
      </w:r>
      <w:r>
        <w:t>and</w:t>
      </w:r>
      <w:r w:rsidRPr="007D20A2">
        <w:t xml:space="preserve"> </w:t>
      </w:r>
      <w:proofErr w:type="spellStart"/>
      <w:r w:rsidRPr="007D20A2">
        <w:t>Moktadir</w:t>
      </w:r>
      <w:proofErr w:type="spellEnd"/>
      <w:r w:rsidRPr="007D20A2">
        <w:t>, M. A. (2021)</w:t>
      </w:r>
      <w:r>
        <w:t>,</w:t>
      </w:r>
      <w:r w:rsidRPr="007D20A2">
        <w:t xml:space="preserve"> </w:t>
      </w:r>
      <w:r>
        <w:t>“</w:t>
      </w:r>
      <w:r w:rsidRPr="007D20A2">
        <w:t>COVID-19 pandemic related supply chain studies: a systematic review</w:t>
      </w:r>
      <w:r>
        <w:t>”,</w:t>
      </w:r>
      <w:r w:rsidRPr="007D20A2">
        <w:t xml:space="preserve"> </w:t>
      </w:r>
      <w:r w:rsidRPr="007D20A2">
        <w:rPr>
          <w:i/>
        </w:rPr>
        <w:t>Transportation Research Part E: Logistics and Transportation Review</w:t>
      </w:r>
      <w:r w:rsidRPr="007D20A2">
        <w:t>, 102271.</w:t>
      </w:r>
    </w:p>
    <w:p w14:paraId="0D9F63C2" w14:textId="08A8C827" w:rsidR="00737F4F" w:rsidRDefault="00737F4F" w:rsidP="00737F4F">
      <w:pPr>
        <w:jc w:val="both"/>
      </w:pPr>
      <w:proofErr w:type="spellStart"/>
      <w:r w:rsidRPr="007D20A2">
        <w:t>Craighead</w:t>
      </w:r>
      <w:proofErr w:type="spellEnd"/>
      <w:r w:rsidRPr="007D20A2">
        <w:t xml:space="preserve">, C. W., Blackhurst, J., </w:t>
      </w:r>
      <w:proofErr w:type="spellStart"/>
      <w:r w:rsidRPr="007D20A2">
        <w:t>Rungtusanatham</w:t>
      </w:r>
      <w:proofErr w:type="spellEnd"/>
      <w:r w:rsidRPr="007D20A2">
        <w:t xml:space="preserve">, M. J. </w:t>
      </w:r>
      <w:r>
        <w:t>and</w:t>
      </w:r>
      <w:r w:rsidRPr="007D20A2">
        <w:t xml:space="preserve"> Handfield, R. B. (2007)</w:t>
      </w:r>
      <w:r>
        <w:t>,</w:t>
      </w:r>
      <w:r w:rsidRPr="007D20A2">
        <w:t xml:space="preserve"> </w:t>
      </w:r>
      <w:r>
        <w:t>“</w:t>
      </w:r>
      <w:r w:rsidRPr="007D20A2">
        <w:t>The severity of supply chain disruptions: design characteristics and mitigation capabilities</w:t>
      </w:r>
      <w:r>
        <w:t>”,</w:t>
      </w:r>
      <w:r w:rsidRPr="007D20A2">
        <w:t xml:space="preserve"> </w:t>
      </w:r>
      <w:r w:rsidRPr="007D20A2">
        <w:rPr>
          <w:i/>
        </w:rPr>
        <w:t>Decision Sciences</w:t>
      </w:r>
      <w:r w:rsidRPr="007D20A2">
        <w:t xml:space="preserve">, </w:t>
      </w:r>
      <w:r>
        <w:t xml:space="preserve">Vol. </w:t>
      </w:r>
      <w:r w:rsidRPr="007D20A2">
        <w:t>38</w:t>
      </w:r>
      <w:r>
        <w:t xml:space="preserve"> No. </w:t>
      </w:r>
      <w:r w:rsidRPr="007D20A2">
        <w:t>1,</w:t>
      </w:r>
      <w:r>
        <w:t xml:space="preserve"> pp.</w:t>
      </w:r>
      <w:r w:rsidRPr="007D20A2">
        <w:t xml:space="preserve"> 131-156.</w:t>
      </w:r>
    </w:p>
    <w:p w14:paraId="4E134879" w14:textId="38506B4C" w:rsidR="00BE428A" w:rsidRPr="007D20A2" w:rsidRDefault="00BE428A" w:rsidP="00737F4F">
      <w:pPr>
        <w:jc w:val="both"/>
      </w:pPr>
      <w:r w:rsidRPr="00BE428A">
        <w:t>Curran, P</w:t>
      </w:r>
      <w:r>
        <w:t>. J., West, S. G. and Finch, J. F. (1996),</w:t>
      </w:r>
      <w:r w:rsidRPr="00BE428A">
        <w:t xml:space="preserve"> </w:t>
      </w:r>
      <w:r>
        <w:t>“</w:t>
      </w:r>
      <w:r w:rsidRPr="00BE428A">
        <w:t xml:space="preserve">The robustness of test statistics to nonnormality and specification error </w:t>
      </w:r>
      <w:r>
        <w:t>in confirmatory factor analysis”,</w:t>
      </w:r>
      <w:r w:rsidRPr="00BE428A">
        <w:t xml:space="preserve"> </w:t>
      </w:r>
      <w:r w:rsidRPr="00BE428A">
        <w:rPr>
          <w:i/>
        </w:rPr>
        <w:t>Psychological Methods</w:t>
      </w:r>
      <w:r w:rsidRPr="00BE428A">
        <w:t xml:space="preserve">, </w:t>
      </w:r>
      <w:r>
        <w:t xml:space="preserve">Vol. </w:t>
      </w:r>
      <w:r w:rsidRPr="00BE428A">
        <w:t>1</w:t>
      </w:r>
      <w:r>
        <w:t xml:space="preserve"> No. </w:t>
      </w:r>
      <w:r w:rsidRPr="00BE428A">
        <w:t>1,</w:t>
      </w:r>
      <w:r>
        <w:t xml:space="preserve"> pp.</w:t>
      </w:r>
      <w:r w:rsidRPr="00BE428A">
        <w:t xml:space="preserve"> 16.</w:t>
      </w:r>
    </w:p>
    <w:p w14:paraId="36C2D228" w14:textId="77777777" w:rsidR="00737F4F" w:rsidRPr="007D20A2" w:rsidRDefault="00737F4F" w:rsidP="00737F4F">
      <w:pPr>
        <w:jc w:val="both"/>
      </w:pPr>
      <w:proofErr w:type="spellStart"/>
      <w:r w:rsidRPr="007D20A2">
        <w:t>Cyert</w:t>
      </w:r>
      <w:proofErr w:type="spellEnd"/>
      <w:r w:rsidRPr="007D20A2">
        <w:t xml:space="preserve">, R. M. </w:t>
      </w:r>
      <w:r>
        <w:t>and</w:t>
      </w:r>
      <w:r w:rsidRPr="007D20A2">
        <w:t xml:space="preserve"> March, J. G. (1963). </w:t>
      </w:r>
      <w:r w:rsidRPr="007D20A2">
        <w:rPr>
          <w:i/>
        </w:rPr>
        <w:t xml:space="preserve">A </w:t>
      </w:r>
      <w:proofErr w:type="spellStart"/>
      <w:r w:rsidRPr="007D20A2">
        <w:rPr>
          <w:i/>
        </w:rPr>
        <w:t>behavioral</w:t>
      </w:r>
      <w:proofErr w:type="spellEnd"/>
      <w:r w:rsidRPr="007D20A2">
        <w:rPr>
          <w:i/>
        </w:rPr>
        <w:t xml:space="preserve"> theory of the firm</w:t>
      </w:r>
      <w:r>
        <w:t>,</w:t>
      </w:r>
      <w:r w:rsidRPr="007D20A2">
        <w:t xml:space="preserve"> Englewood Cliffs, NJ, 2(4), </w:t>
      </w:r>
      <w:r>
        <w:t xml:space="preserve">pp. </w:t>
      </w:r>
      <w:r w:rsidRPr="007D20A2">
        <w:t>169-187.</w:t>
      </w:r>
    </w:p>
    <w:p w14:paraId="6B0529B6" w14:textId="77777777" w:rsidR="00737F4F" w:rsidRPr="007D20A2" w:rsidRDefault="00737F4F" w:rsidP="00737F4F">
      <w:pPr>
        <w:jc w:val="both"/>
      </w:pPr>
      <w:r w:rsidRPr="007D20A2">
        <w:t xml:space="preserve">Daft, R. L. </w:t>
      </w:r>
      <w:r>
        <w:t>and</w:t>
      </w:r>
      <w:r w:rsidRPr="007D20A2">
        <w:t xml:space="preserve"> Wiginton, J. C. (1979)</w:t>
      </w:r>
      <w:r>
        <w:t>,</w:t>
      </w:r>
      <w:r w:rsidRPr="007D20A2">
        <w:t xml:space="preserve"> </w:t>
      </w:r>
      <w:r>
        <w:t>“</w:t>
      </w:r>
      <w:r w:rsidRPr="007D20A2">
        <w:t>Language and organization</w:t>
      </w:r>
      <w:r>
        <w:t>”,</w:t>
      </w:r>
      <w:r w:rsidRPr="007D20A2">
        <w:t xml:space="preserve"> </w:t>
      </w:r>
      <w:r w:rsidRPr="007D20A2">
        <w:rPr>
          <w:i/>
        </w:rPr>
        <w:t>Academy of Management Review</w:t>
      </w:r>
      <w:r w:rsidRPr="007D20A2">
        <w:t xml:space="preserve">, </w:t>
      </w:r>
      <w:r>
        <w:t xml:space="preserve">Vol. </w:t>
      </w:r>
      <w:r w:rsidRPr="007D20A2">
        <w:t>4</w:t>
      </w:r>
      <w:r>
        <w:t xml:space="preserve"> No. </w:t>
      </w:r>
      <w:r w:rsidRPr="007D20A2">
        <w:t>2,</w:t>
      </w:r>
      <w:r>
        <w:t xml:space="preserve"> pp.</w:t>
      </w:r>
      <w:r w:rsidRPr="007D20A2">
        <w:t xml:space="preserve"> 179-191.</w:t>
      </w:r>
    </w:p>
    <w:p w14:paraId="401E1B83" w14:textId="77777777" w:rsidR="00737F4F" w:rsidRPr="007D20A2" w:rsidRDefault="00737F4F" w:rsidP="00737F4F">
      <w:pPr>
        <w:jc w:val="both"/>
      </w:pPr>
      <w:r w:rsidRPr="007D20A2">
        <w:t xml:space="preserve">Day, G. S. </w:t>
      </w:r>
      <w:r>
        <w:t>and</w:t>
      </w:r>
      <w:r w:rsidRPr="007D20A2">
        <w:t xml:space="preserve"> </w:t>
      </w:r>
      <w:proofErr w:type="spellStart"/>
      <w:r w:rsidRPr="007D20A2">
        <w:t>Schoemaker</w:t>
      </w:r>
      <w:proofErr w:type="spellEnd"/>
      <w:r w:rsidRPr="007D20A2">
        <w:t>, P. J. (2004)</w:t>
      </w:r>
      <w:r>
        <w:t>,</w:t>
      </w:r>
      <w:r w:rsidRPr="007D20A2">
        <w:t xml:space="preserve"> </w:t>
      </w:r>
      <w:r>
        <w:t>“</w:t>
      </w:r>
      <w:r w:rsidRPr="007D20A2">
        <w:t>Driving through the fog: managing at the edge</w:t>
      </w:r>
      <w:r>
        <w:t>”,</w:t>
      </w:r>
      <w:r w:rsidRPr="007D20A2">
        <w:t xml:space="preserve"> </w:t>
      </w:r>
      <w:r w:rsidRPr="007D20A2">
        <w:rPr>
          <w:i/>
        </w:rPr>
        <w:t>Long Range Planning</w:t>
      </w:r>
      <w:r w:rsidRPr="007D20A2">
        <w:t xml:space="preserve">, </w:t>
      </w:r>
      <w:r>
        <w:t xml:space="preserve">Vol. </w:t>
      </w:r>
      <w:r w:rsidRPr="007D20A2">
        <w:t>37</w:t>
      </w:r>
      <w:r>
        <w:t xml:space="preserve"> No. </w:t>
      </w:r>
      <w:r w:rsidRPr="007D20A2">
        <w:t>2,</w:t>
      </w:r>
      <w:r>
        <w:t xml:space="preserve"> pp.</w:t>
      </w:r>
      <w:r w:rsidRPr="007D20A2">
        <w:t xml:space="preserve"> 127-142.</w:t>
      </w:r>
    </w:p>
    <w:p w14:paraId="5E1235BF" w14:textId="77777777" w:rsidR="00737F4F" w:rsidRPr="007D20A2" w:rsidRDefault="00737F4F" w:rsidP="00737F4F">
      <w:pPr>
        <w:jc w:val="both"/>
      </w:pPr>
      <w:r w:rsidRPr="00705F74">
        <w:t xml:space="preserve">Ellis, S. C., Henry, R. M. and </w:t>
      </w:r>
      <w:r w:rsidRPr="007D20A2">
        <w:t>Shockley, J. (2010)</w:t>
      </w:r>
      <w:r>
        <w:t>,</w:t>
      </w:r>
      <w:r w:rsidRPr="007D20A2">
        <w:t xml:space="preserve"> </w:t>
      </w:r>
      <w:r>
        <w:t>“</w:t>
      </w:r>
      <w:r w:rsidRPr="007D20A2">
        <w:t xml:space="preserve">Buyer perceptions of supply disruption risk: A </w:t>
      </w:r>
      <w:proofErr w:type="spellStart"/>
      <w:r w:rsidRPr="007D20A2">
        <w:t>behavioral</w:t>
      </w:r>
      <w:proofErr w:type="spellEnd"/>
      <w:r w:rsidRPr="007D20A2">
        <w:t xml:space="preserve"> view and empirical assessment</w:t>
      </w:r>
      <w:r>
        <w:t>”,</w:t>
      </w:r>
      <w:r w:rsidRPr="007D20A2">
        <w:t xml:space="preserve"> </w:t>
      </w:r>
      <w:r w:rsidRPr="007D20A2">
        <w:rPr>
          <w:i/>
        </w:rPr>
        <w:t>Journal of Operations Management</w:t>
      </w:r>
      <w:r w:rsidRPr="007D20A2">
        <w:t xml:space="preserve">, </w:t>
      </w:r>
      <w:r>
        <w:t xml:space="preserve">Vol. </w:t>
      </w:r>
      <w:r w:rsidRPr="007D20A2">
        <w:t>28</w:t>
      </w:r>
      <w:r>
        <w:t xml:space="preserve"> No. </w:t>
      </w:r>
      <w:r w:rsidRPr="007D20A2">
        <w:t>1,</w:t>
      </w:r>
      <w:r>
        <w:t xml:space="preserve"> pp.</w:t>
      </w:r>
      <w:r w:rsidRPr="007D20A2">
        <w:t xml:space="preserve"> 34-46.</w:t>
      </w:r>
    </w:p>
    <w:p w14:paraId="7BA4D353" w14:textId="77777777" w:rsidR="00737F4F" w:rsidRPr="007D20A2" w:rsidRDefault="00737F4F" w:rsidP="00737F4F">
      <w:pPr>
        <w:jc w:val="both"/>
        <w:rPr>
          <w:i/>
        </w:rPr>
      </w:pPr>
      <w:proofErr w:type="spellStart"/>
      <w:r w:rsidRPr="007D20A2">
        <w:t>Fabbe-Costes</w:t>
      </w:r>
      <w:proofErr w:type="spellEnd"/>
      <w:r w:rsidRPr="007D20A2">
        <w:t xml:space="preserve">, N., </w:t>
      </w:r>
      <w:proofErr w:type="spellStart"/>
      <w:r w:rsidRPr="007D20A2">
        <w:t>Lechaptois</w:t>
      </w:r>
      <w:proofErr w:type="spellEnd"/>
      <w:r w:rsidRPr="007D20A2">
        <w:t xml:space="preserve">, L. </w:t>
      </w:r>
      <w:r>
        <w:t>and</w:t>
      </w:r>
      <w:r w:rsidRPr="007D20A2">
        <w:t xml:space="preserve"> Spring, M. (2020)</w:t>
      </w:r>
      <w:r>
        <w:t>,</w:t>
      </w:r>
      <w:r w:rsidRPr="007D20A2">
        <w:t xml:space="preserve"> “</w:t>
      </w:r>
      <w:r>
        <w:t>’</w:t>
      </w:r>
      <w:r w:rsidRPr="007D20A2">
        <w:t>The map is not the territory</w:t>
      </w:r>
      <w:r>
        <w:t>’</w:t>
      </w:r>
      <w:r w:rsidRPr="007D20A2">
        <w:t>: a boundary objects perspective on supply chain mapping</w:t>
      </w:r>
      <w:r>
        <w:t>”,</w:t>
      </w:r>
      <w:r w:rsidRPr="007D20A2">
        <w:t xml:space="preserve"> </w:t>
      </w:r>
      <w:r w:rsidRPr="007D20A2">
        <w:rPr>
          <w:i/>
        </w:rPr>
        <w:t>International Journal of Operations &amp; Production Management</w:t>
      </w:r>
      <w:r w:rsidRPr="00705F74">
        <w:t>, Vol. 40 No. 9, pp. 1475-1497.</w:t>
      </w:r>
    </w:p>
    <w:p w14:paraId="7D4C096A" w14:textId="77777777" w:rsidR="00737F4F" w:rsidRDefault="00737F4F" w:rsidP="00737F4F">
      <w:pPr>
        <w:jc w:val="both"/>
      </w:pPr>
      <w:r w:rsidRPr="008367E9">
        <w:rPr>
          <w:lang w:val="sv-SE"/>
        </w:rPr>
        <w:t xml:space="preserve">Fan, H., Cheng, T. C. E., Li, G., &amp; Lee, P. K. (2016). </w:t>
      </w:r>
      <w:r w:rsidRPr="00216D8F">
        <w:t>The effectiveness of supply chain risk information processing capability: An information processing perspective. IEEE Transactions on Engineering Management, 63(4), 414-425.</w:t>
      </w:r>
    </w:p>
    <w:p w14:paraId="691227DC" w14:textId="77777777" w:rsidR="00737F4F" w:rsidRPr="007D20A2" w:rsidRDefault="00737F4F" w:rsidP="00737F4F">
      <w:pPr>
        <w:jc w:val="both"/>
      </w:pPr>
      <w:proofErr w:type="spellStart"/>
      <w:r w:rsidRPr="00705F74">
        <w:t>Felin</w:t>
      </w:r>
      <w:proofErr w:type="spellEnd"/>
      <w:r w:rsidRPr="00705F74">
        <w:t xml:space="preserve">, T., Foss, N. J., </w:t>
      </w:r>
      <w:proofErr w:type="spellStart"/>
      <w:r w:rsidRPr="00705F74">
        <w:t>Heimeriks</w:t>
      </w:r>
      <w:proofErr w:type="spellEnd"/>
      <w:r w:rsidRPr="00705F74">
        <w:t>, K. H. and</w:t>
      </w:r>
      <w:r w:rsidRPr="00A02388">
        <w:t xml:space="preserve"> Madsen, T. L. (2012)</w:t>
      </w:r>
      <w:r w:rsidRPr="00705F74">
        <w:t>,</w:t>
      </w:r>
      <w:r w:rsidRPr="00A02388">
        <w:t xml:space="preserve"> </w:t>
      </w:r>
      <w:r>
        <w:t>“</w:t>
      </w:r>
      <w:proofErr w:type="spellStart"/>
      <w:r w:rsidRPr="007D20A2">
        <w:t>Microfoundations</w:t>
      </w:r>
      <w:proofErr w:type="spellEnd"/>
      <w:r w:rsidRPr="007D20A2">
        <w:t xml:space="preserve"> of routines and capabilities: Individuals, processes, and structure</w:t>
      </w:r>
      <w:r>
        <w:t>”,</w:t>
      </w:r>
      <w:r w:rsidRPr="007D20A2">
        <w:t xml:space="preserve"> </w:t>
      </w:r>
      <w:r w:rsidRPr="007D20A2">
        <w:rPr>
          <w:i/>
        </w:rPr>
        <w:t>Journal of Management Studies</w:t>
      </w:r>
      <w:r w:rsidRPr="007D20A2">
        <w:t xml:space="preserve">, </w:t>
      </w:r>
      <w:r>
        <w:t xml:space="preserve">Vol. </w:t>
      </w:r>
      <w:r w:rsidRPr="007D20A2">
        <w:t>49</w:t>
      </w:r>
      <w:r>
        <w:t xml:space="preserve"> No. </w:t>
      </w:r>
      <w:r w:rsidRPr="007D20A2">
        <w:t>8,</w:t>
      </w:r>
      <w:r>
        <w:t xml:space="preserve"> pp.</w:t>
      </w:r>
      <w:r w:rsidRPr="007D20A2">
        <w:t xml:space="preserve"> 1351-1374.</w:t>
      </w:r>
    </w:p>
    <w:p w14:paraId="7890029A" w14:textId="77777777" w:rsidR="00737F4F" w:rsidRPr="007D20A2" w:rsidRDefault="00737F4F" w:rsidP="00737F4F">
      <w:pPr>
        <w:jc w:val="both"/>
      </w:pPr>
      <w:r w:rsidRPr="007D20A2">
        <w:t xml:space="preserve">Flynn, B., </w:t>
      </w:r>
      <w:proofErr w:type="spellStart"/>
      <w:r w:rsidRPr="007D20A2">
        <w:t>Pagell</w:t>
      </w:r>
      <w:proofErr w:type="spellEnd"/>
      <w:r w:rsidRPr="007D20A2">
        <w:t>, M.</w:t>
      </w:r>
      <w:r>
        <w:t xml:space="preserve"> and</w:t>
      </w:r>
      <w:r w:rsidRPr="007D20A2">
        <w:t xml:space="preserve"> Fugate, B. (2018)</w:t>
      </w:r>
      <w:r>
        <w:t>,</w:t>
      </w:r>
      <w:r w:rsidRPr="007D20A2">
        <w:t xml:space="preserve"> </w:t>
      </w:r>
      <w:r>
        <w:t>“</w:t>
      </w:r>
      <w:r w:rsidRPr="007D20A2">
        <w:t xml:space="preserve">Editorial: Survey research design in supply chain management: </w:t>
      </w:r>
      <w:r>
        <w:t>T</w:t>
      </w:r>
      <w:r w:rsidRPr="007D20A2">
        <w:t>he need for evolution in our expectations</w:t>
      </w:r>
      <w:r>
        <w:t>”,</w:t>
      </w:r>
      <w:r w:rsidRPr="007D20A2">
        <w:t xml:space="preserve"> </w:t>
      </w:r>
      <w:r w:rsidRPr="007D20A2">
        <w:rPr>
          <w:i/>
        </w:rPr>
        <w:t>Journal of Supply Chain Management</w:t>
      </w:r>
      <w:r w:rsidRPr="007D20A2">
        <w:t xml:space="preserve">, </w:t>
      </w:r>
      <w:r>
        <w:t xml:space="preserve">Vol. </w:t>
      </w:r>
      <w:r w:rsidRPr="007D20A2">
        <w:t>54</w:t>
      </w:r>
      <w:r>
        <w:t xml:space="preserve"> No. </w:t>
      </w:r>
      <w:r w:rsidRPr="007D20A2">
        <w:t>1,</w:t>
      </w:r>
      <w:r>
        <w:t xml:space="preserve"> pp.</w:t>
      </w:r>
      <w:r w:rsidRPr="007D20A2">
        <w:t xml:space="preserve"> 1-15.</w:t>
      </w:r>
    </w:p>
    <w:p w14:paraId="47C0CC6D" w14:textId="77777777" w:rsidR="00737F4F" w:rsidRPr="00705F74" w:rsidRDefault="00737F4F" w:rsidP="00737F4F">
      <w:pPr>
        <w:jc w:val="both"/>
      </w:pPr>
      <w:proofErr w:type="spellStart"/>
      <w:r w:rsidRPr="007D20A2">
        <w:t>Fornell</w:t>
      </w:r>
      <w:proofErr w:type="spellEnd"/>
      <w:r w:rsidRPr="007D20A2">
        <w:t xml:space="preserve">, C. </w:t>
      </w:r>
      <w:r>
        <w:t>and</w:t>
      </w:r>
      <w:r w:rsidRPr="007D20A2">
        <w:t xml:space="preserve"> </w:t>
      </w:r>
      <w:proofErr w:type="spellStart"/>
      <w:r w:rsidRPr="007D20A2">
        <w:t>Larcker</w:t>
      </w:r>
      <w:proofErr w:type="spellEnd"/>
      <w:r w:rsidRPr="007D20A2">
        <w:t>, D. F. (1981)</w:t>
      </w:r>
      <w:r>
        <w:t>,</w:t>
      </w:r>
      <w:r w:rsidRPr="007D20A2">
        <w:t xml:space="preserve"> </w:t>
      </w:r>
      <w:r>
        <w:t>“</w:t>
      </w:r>
      <w:r w:rsidRPr="007D20A2">
        <w:t>Evaluating structural equation models with unobservable variables and measurement error</w:t>
      </w:r>
      <w:r>
        <w:t>”,</w:t>
      </w:r>
      <w:r w:rsidRPr="007D20A2">
        <w:t xml:space="preserve"> </w:t>
      </w:r>
      <w:r w:rsidRPr="00705F74">
        <w:rPr>
          <w:i/>
        </w:rPr>
        <w:t>Journal of Marketing Research</w:t>
      </w:r>
      <w:r w:rsidRPr="007D20A2">
        <w:t xml:space="preserve">, </w:t>
      </w:r>
      <w:r>
        <w:t xml:space="preserve">Vol. </w:t>
      </w:r>
      <w:r w:rsidRPr="007D20A2">
        <w:t>18</w:t>
      </w:r>
      <w:r>
        <w:t xml:space="preserve"> No. </w:t>
      </w:r>
      <w:r w:rsidRPr="00705F74">
        <w:t>1, pp. 39-50.</w:t>
      </w:r>
    </w:p>
    <w:p w14:paraId="4A6F3C73" w14:textId="77777777" w:rsidR="00737F4F" w:rsidRDefault="00737F4F" w:rsidP="00737F4F">
      <w:pPr>
        <w:jc w:val="both"/>
      </w:pPr>
      <w:r w:rsidRPr="00A02BA5">
        <w:t>Friday, D., Ryan, S., Sridhar</w:t>
      </w:r>
      <w:r>
        <w:t>an, R. and Collins, D. (2018), “</w:t>
      </w:r>
      <w:r w:rsidRPr="00A02BA5">
        <w:t>Collaborative risk management:</w:t>
      </w:r>
      <w:r>
        <w:t xml:space="preserve"> a systematic literature review”</w:t>
      </w:r>
      <w:r w:rsidRPr="00A02BA5">
        <w:t xml:space="preserve">, </w:t>
      </w:r>
      <w:r w:rsidRPr="008367E9">
        <w:rPr>
          <w:i/>
        </w:rPr>
        <w:t>International Journal of Physical Distribution &amp; Logistics Management</w:t>
      </w:r>
      <w:r w:rsidRPr="00A02BA5">
        <w:t>, Vol. 48 No. 3, pp. 231-253.</w:t>
      </w:r>
    </w:p>
    <w:p w14:paraId="286EF33A" w14:textId="77777777" w:rsidR="00737F4F" w:rsidRPr="007D20A2" w:rsidRDefault="00737F4F" w:rsidP="00737F4F">
      <w:pPr>
        <w:jc w:val="both"/>
      </w:pPr>
      <w:r w:rsidRPr="00705F74">
        <w:t xml:space="preserve">Fuller, C. M., Simmering, M. J., </w:t>
      </w:r>
      <w:proofErr w:type="spellStart"/>
      <w:r w:rsidRPr="00705F74">
        <w:t>Atinc</w:t>
      </w:r>
      <w:proofErr w:type="spellEnd"/>
      <w:r w:rsidRPr="00705F74">
        <w:t xml:space="preserve">, G., </w:t>
      </w:r>
      <w:proofErr w:type="spellStart"/>
      <w:r w:rsidRPr="00705F74">
        <w:t>Atinc</w:t>
      </w:r>
      <w:proofErr w:type="spellEnd"/>
      <w:r w:rsidRPr="00705F74">
        <w:t xml:space="preserve">, Y. </w:t>
      </w:r>
      <w:r>
        <w:t>and</w:t>
      </w:r>
      <w:r w:rsidRPr="007D20A2">
        <w:t xml:space="preserve"> </w:t>
      </w:r>
      <w:proofErr w:type="spellStart"/>
      <w:r w:rsidRPr="007D20A2">
        <w:t>Babin</w:t>
      </w:r>
      <w:proofErr w:type="spellEnd"/>
      <w:r w:rsidRPr="007D20A2">
        <w:t>, B. J. (2016)</w:t>
      </w:r>
      <w:r>
        <w:t>,</w:t>
      </w:r>
      <w:r w:rsidRPr="007D20A2">
        <w:t xml:space="preserve"> </w:t>
      </w:r>
      <w:r>
        <w:t>“</w:t>
      </w:r>
      <w:r w:rsidRPr="007D20A2">
        <w:t>Common methods variance detection in business research</w:t>
      </w:r>
      <w:r>
        <w:t>”,</w:t>
      </w:r>
      <w:r w:rsidRPr="007D20A2">
        <w:t xml:space="preserve"> </w:t>
      </w:r>
      <w:r w:rsidRPr="007D20A2">
        <w:rPr>
          <w:i/>
        </w:rPr>
        <w:t>Journal of Business Research</w:t>
      </w:r>
      <w:r w:rsidRPr="007D20A2">
        <w:t xml:space="preserve">, </w:t>
      </w:r>
      <w:r>
        <w:t xml:space="preserve">Vol. </w:t>
      </w:r>
      <w:r w:rsidRPr="007D20A2">
        <w:t>69</w:t>
      </w:r>
      <w:r>
        <w:t xml:space="preserve"> No. </w:t>
      </w:r>
      <w:r w:rsidRPr="007D20A2">
        <w:t>8,</w:t>
      </w:r>
      <w:r>
        <w:t xml:space="preserve"> pp.</w:t>
      </w:r>
      <w:r w:rsidRPr="007D20A2">
        <w:t xml:space="preserve"> 3192-3198.</w:t>
      </w:r>
    </w:p>
    <w:p w14:paraId="4375BDAE" w14:textId="77777777" w:rsidR="00737F4F" w:rsidRDefault="00737F4F" w:rsidP="00737F4F">
      <w:pPr>
        <w:jc w:val="both"/>
      </w:pPr>
      <w:r w:rsidRPr="00705F74">
        <w:t xml:space="preserve">Garver, M. S. </w:t>
      </w:r>
      <w:r>
        <w:t>and</w:t>
      </w:r>
      <w:r w:rsidRPr="00705F74">
        <w:t xml:space="preserve"> Mentzer, J. T. (1999)</w:t>
      </w:r>
      <w:r>
        <w:t>,</w:t>
      </w:r>
      <w:r w:rsidRPr="00705F74">
        <w:t xml:space="preserve"> </w:t>
      </w:r>
      <w:r>
        <w:t>“</w:t>
      </w:r>
      <w:r w:rsidRPr="007D20A2">
        <w:t xml:space="preserve">Logistics research methods: employing structural equation </w:t>
      </w:r>
      <w:proofErr w:type="spellStart"/>
      <w:r w:rsidRPr="007D20A2">
        <w:t>modeling</w:t>
      </w:r>
      <w:proofErr w:type="spellEnd"/>
      <w:r w:rsidRPr="007D20A2">
        <w:t xml:space="preserve"> to test for construct validity</w:t>
      </w:r>
      <w:r>
        <w:t>”,</w:t>
      </w:r>
      <w:r w:rsidRPr="007D20A2">
        <w:t xml:space="preserve"> </w:t>
      </w:r>
      <w:r w:rsidRPr="007D20A2">
        <w:rPr>
          <w:i/>
        </w:rPr>
        <w:t>Journal of Business Logistics</w:t>
      </w:r>
      <w:r w:rsidRPr="007D20A2">
        <w:t xml:space="preserve">, </w:t>
      </w:r>
      <w:r>
        <w:t xml:space="preserve">Vol. </w:t>
      </w:r>
      <w:r w:rsidRPr="007D20A2">
        <w:t>20</w:t>
      </w:r>
      <w:r>
        <w:t xml:space="preserve"> No. </w:t>
      </w:r>
      <w:r w:rsidRPr="007D20A2">
        <w:t xml:space="preserve">1, </w:t>
      </w:r>
      <w:r>
        <w:t xml:space="preserve">pp. </w:t>
      </w:r>
      <w:r w:rsidRPr="007D20A2">
        <w:t>33.</w:t>
      </w:r>
    </w:p>
    <w:p w14:paraId="16FA8C3D" w14:textId="506DDCFE" w:rsidR="00737F4F" w:rsidRDefault="00737F4F" w:rsidP="00737F4F">
      <w:pPr>
        <w:jc w:val="both"/>
      </w:pPr>
      <w:proofErr w:type="spellStart"/>
      <w:r w:rsidRPr="00C65C0D">
        <w:t>Haber</w:t>
      </w:r>
      <w:r>
        <w:t>mann</w:t>
      </w:r>
      <w:proofErr w:type="spellEnd"/>
      <w:r>
        <w:t>, M., Blackhurst, J. and Metcalf, A. Y. (2015),</w:t>
      </w:r>
      <w:r w:rsidRPr="00C65C0D">
        <w:t xml:space="preserve"> </w:t>
      </w:r>
      <w:r>
        <w:t>“</w:t>
      </w:r>
      <w:r w:rsidRPr="00C65C0D">
        <w:t>Keep your friends close? Supply c</w:t>
      </w:r>
      <w:r>
        <w:t>hain design and disruption risk”,</w:t>
      </w:r>
      <w:r w:rsidRPr="00C65C0D">
        <w:t xml:space="preserve"> </w:t>
      </w:r>
      <w:r w:rsidRPr="008367E9">
        <w:rPr>
          <w:i/>
        </w:rPr>
        <w:t>Decision Sciences</w:t>
      </w:r>
      <w:r w:rsidRPr="00C65C0D">
        <w:t xml:space="preserve">, </w:t>
      </w:r>
      <w:r>
        <w:t xml:space="preserve">Vol. </w:t>
      </w:r>
      <w:r w:rsidRPr="00C65C0D">
        <w:t>46</w:t>
      </w:r>
      <w:r>
        <w:t xml:space="preserve"> No. </w:t>
      </w:r>
      <w:r w:rsidRPr="00C65C0D">
        <w:t>3,</w:t>
      </w:r>
      <w:r>
        <w:t xml:space="preserve"> pp.</w:t>
      </w:r>
      <w:r w:rsidRPr="00C65C0D">
        <w:t xml:space="preserve"> 491-526</w:t>
      </w:r>
    </w:p>
    <w:p w14:paraId="21C3CDDF" w14:textId="4C635B57" w:rsidR="00221A94" w:rsidRPr="007D20A2" w:rsidRDefault="00221A94" w:rsidP="00737F4F">
      <w:pPr>
        <w:jc w:val="both"/>
      </w:pPr>
      <w:r w:rsidRPr="00221A94">
        <w:t>Hair, J.F. J</w:t>
      </w:r>
      <w:r>
        <w:t xml:space="preserve">r., Black, W.C., </w:t>
      </w:r>
      <w:proofErr w:type="spellStart"/>
      <w:r>
        <w:t>Babin</w:t>
      </w:r>
      <w:proofErr w:type="spellEnd"/>
      <w:r>
        <w:t>, B.J., and Anderson, R.E. (2010),</w:t>
      </w:r>
      <w:r w:rsidRPr="00221A94">
        <w:t xml:space="preserve"> </w:t>
      </w:r>
      <w:r w:rsidRPr="00221A94">
        <w:rPr>
          <w:i/>
        </w:rPr>
        <w:t>Multivariate data analysis</w:t>
      </w:r>
      <w:r>
        <w:t>,</w:t>
      </w:r>
      <w:r w:rsidRPr="00221A94">
        <w:t xml:space="preserve"> </w:t>
      </w:r>
      <w:r w:rsidRPr="00221A94">
        <w:rPr>
          <w:i/>
        </w:rPr>
        <w:t>7th edition</w:t>
      </w:r>
      <w:r w:rsidRPr="00221A94">
        <w:t>. Upper Saddle River, NJ, Pearson Prentice Hall.</w:t>
      </w:r>
    </w:p>
    <w:p w14:paraId="24E2B357" w14:textId="77777777" w:rsidR="00737F4F" w:rsidRPr="007D20A2" w:rsidRDefault="00737F4F" w:rsidP="00737F4F">
      <w:pPr>
        <w:jc w:val="both"/>
      </w:pPr>
      <w:r w:rsidRPr="007D20A2">
        <w:t>Harland, C. (2021)</w:t>
      </w:r>
      <w:r>
        <w:t>,</w:t>
      </w:r>
      <w:r w:rsidRPr="007D20A2">
        <w:t xml:space="preserve"> </w:t>
      </w:r>
      <w:r>
        <w:t>“</w:t>
      </w:r>
      <w:r w:rsidRPr="007D20A2">
        <w:t>Discontinuous wefts: Weaving a more interconnected supply chain management tapestry</w:t>
      </w:r>
      <w:r>
        <w:t>”,</w:t>
      </w:r>
      <w:r w:rsidRPr="007D20A2">
        <w:t xml:space="preserve"> </w:t>
      </w:r>
      <w:r w:rsidRPr="007D20A2">
        <w:rPr>
          <w:i/>
        </w:rPr>
        <w:t>Journal of Supply Chain Management</w:t>
      </w:r>
      <w:r>
        <w:rPr>
          <w:i/>
        </w:rPr>
        <w:t xml:space="preserve">, </w:t>
      </w:r>
      <w:r>
        <w:t>Vol. 57 No. 1, pp. 27-40.</w:t>
      </w:r>
    </w:p>
    <w:p w14:paraId="2806C668" w14:textId="77777777" w:rsidR="00737F4F" w:rsidRPr="007D20A2" w:rsidRDefault="00737F4F" w:rsidP="00737F4F">
      <w:pPr>
        <w:jc w:val="both"/>
        <w:rPr>
          <w:i/>
        </w:rPr>
      </w:pPr>
      <w:r w:rsidRPr="007D20A2">
        <w:lastRenderedPageBreak/>
        <w:t xml:space="preserve">Hazen, B. T., Overstreet, R. E. </w:t>
      </w:r>
      <w:r>
        <w:t>and</w:t>
      </w:r>
      <w:r w:rsidRPr="007D20A2">
        <w:t xml:space="preserve"> Boone, C. A. (2015)</w:t>
      </w:r>
      <w:r>
        <w:t>,</w:t>
      </w:r>
      <w:r w:rsidRPr="007D20A2">
        <w:t xml:space="preserve"> </w:t>
      </w:r>
      <w:r>
        <w:t>“</w:t>
      </w:r>
      <w:r w:rsidRPr="007D20A2">
        <w:t xml:space="preserve">Suggested reporting guidelines for structural equation </w:t>
      </w:r>
      <w:proofErr w:type="spellStart"/>
      <w:r w:rsidRPr="007D20A2">
        <w:t>modeling</w:t>
      </w:r>
      <w:proofErr w:type="spellEnd"/>
      <w:r w:rsidRPr="007D20A2">
        <w:t xml:space="preserve"> in supply chain management research</w:t>
      </w:r>
      <w:r>
        <w:t>”,</w:t>
      </w:r>
      <w:r w:rsidRPr="007D20A2">
        <w:t xml:space="preserve"> </w:t>
      </w:r>
      <w:r w:rsidRPr="007D20A2">
        <w:rPr>
          <w:i/>
        </w:rPr>
        <w:t>The International Journal of Logistics Management</w:t>
      </w:r>
      <w:r>
        <w:rPr>
          <w:i/>
        </w:rPr>
        <w:t xml:space="preserve">, </w:t>
      </w:r>
      <w:r>
        <w:t>Vol. 26 No. 3, pp. 627-641.</w:t>
      </w:r>
    </w:p>
    <w:p w14:paraId="26F6474B" w14:textId="77777777" w:rsidR="00737F4F" w:rsidRPr="007D20A2" w:rsidRDefault="00737F4F" w:rsidP="00737F4F">
      <w:pPr>
        <w:jc w:val="both"/>
      </w:pPr>
      <w:proofErr w:type="spellStart"/>
      <w:r w:rsidRPr="00922C71">
        <w:t>Heckmann</w:t>
      </w:r>
      <w:proofErr w:type="spellEnd"/>
      <w:r w:rsidRPr="00922C71">
        <w:t xml:space="preserve">, I., Comes, T. and Nickel, S. (2015), “A critical review on supply chain risk – Definition, measure and </w:t>
      </w:r>
      <w:proofErr w:type="spellStart"/>
      <w:r w:rsidRPr="00922C71">
        <w:t>modeling</w:t>
      </w:r>
      <w:proofErr w:type="spellEnd"/>
      <w:r w:rsidRPr="00922C71">
        <w:t xml:space="preserve">” </w:t>
      </w:r>
      <w:r w:rsidRPr="00922C71">
        <w:rPr>
          <w:i/>
        </w:rPr>
        <w:t xml:space="preserve">Omega, </w:t>
      </w:r>
      <w:r w:rsidRPr="00922C71">
        <w:t>Vol. 52, pp. 119–132.</w:t>
      </w:r>
    </w:p>
    <w:p w14:paraId="5119D4F9" w14:textId="77777777" w:rsidR="00737F4F" w:rsidRPr="007D20A2" w:rsidRDefault="00737F4F" w:rsidP="00737F4F">
      <w:pPr>
        <w:jc w:val="both"/>
      </w:pPr>
      <w:proofErr w:type="spellStart"/>
      <w:r w:rsidRPr="007D20A2">
        <w:t>Helfat</w:t>
      </w:r>
      <w:proofErr w:type="spellEnd"/>
      <w:r w:rsidRPr="007D20A2">
        <w:t xml:space="preserve">, C. E. </w:t>
      </w:r>
      <w:r>
        <w:t>and</w:t>
      </w:r>
      <w:r w:rsidRPr="007D20A2">
        <w:t xml:space="preserve"> </w:t>
      </w:r>
      <w:proofErr w:type="spellStart"/>
      <w:r w:rsidRPr="007D20A2">
        <w:t>Peteraf</w:t>
      </w:r>
      <w:proofErr w:type="spellEnd"/>
      <w:r w:rsidRPr="007D20A2">
        <w:t>, M. A. (2015)</w:t>
      </w:r>
      <w:r>
        <w:t>,</w:t>
      </w:r>
      <w:r w:rsidRPr="007D20A2">
        <w:t xml:space="preserve"> </w:t>
      </w:r>
      <w:r>
        <w:t>“</w:t>
      </w:r>
      <w:r w:rsidRPr="007D20A2">
        <w:t xml:space="preserve">Managerial cognitive capabilities and the </w:t>
      </w:r>
      <w:proofErr w:type="spellStart"/>
      <w:r w:rsidRPr="007D20A2">
        <w:t>microfoundations</w:t>
      </w:r>
      <w:proofErr w:type="spellEnd"/>
      <w:r w:rsidRPr="007D20A2">
        <w:t xml:space="preserve"> of dynamic capabilities</w:t>
      </w:r>
      <w:r>
        <w:t>”,</w:t>
      </w:r>
      <w:r w:rsidRPr="007D20A2">
        <w:t xml:space="preserve"> </w:t>
      </w:r>
      <w:r w:rsidRPr="007D20A2">
        <w:rPr>
          <w:i/>
        </w:rPr>
        <w:t>Strategic Management Journal</w:t>
      </w:r>
      <w:r w:rsidRPr="007D20A2">
        <w:t xml:space="preserve">, </w:t>
      </w:r>
      <w:r>
        <w:t xml:space="preserve">Vol. </w:t>
      </w:r>
      <w:r w:rsidRPr="007D20A2">
        <w:t>36</w:t>
      </w:r>
      <w:r>
        <w:t xml:space="preserve"> No. </w:t>
      </w:r>
      <w:r w:rsidRPr="007D20A2">
        <w:t>6,</w:t>
      </w:r>
      <w:r>
        <w:t xml:space="preserve"> pp.</w:t>
      </w:r>
      <w:r w:rsidRPr="007D20A2">
        <w:t xml:space="preserve"> 831-850.</w:t>
      </w:r>
    </w:p>
    <w:p w14:paraId="670C2E4B" w14:textId="77777777" w:rsidR="00737F4F" w:rsidRPr="007D20A2" w:rsidRDefault="00737F4F" w:rsidP="00737F4F">
      <w:pPr>
        <w:jc w:val="both"/>
      </w:pPr>
      <w:proofErr w:type="spellStart"/>
      <w:r w:rsidRPr="007D20A2">
        <w:t>Henseler</w:t>
      </w:r>
      <w:proofErr w:type="spellEnd"/>
      <w:r w:rsidRPr="007D20A2">
        <w:t xml:space="preserve">, J., </w:t>
      </w:r>
      <w:proofErr w:type="spellStart"/>
      <w:r w:rsidRPr="007D20A2">
        <w:t>Ringle</w:t>
      </w:r>
      <w:proofErr w:type="spellEnd"/>
      <w:r w:rsidRPr="007D20A2">
        <w:t xml:space="preserve">, C. M. </w:t>
      </w:r>
      <w:r>
        <w:t>and</w:t>
      </w:r>
      <w:r w:rsidRPr="007D20A2">
        <w:t xml:space="preserve"> </w:t>
      </w:r>
      <w:proofErr w:type="spellStart"/>
      <w:r w:rsidRPr="007D20A2">
        <w:t>Sarstedt</w:t>
      </w:r>
      <w:proofErr w:type="spellEnd"/>
      <w:r w:rsidRPr="007D20A2">
        <w:t>, M. (2015)</w:t>
      </w:r>
      <w:r>
        <w:t>,</w:t>
      </w:r>
      <w:r w:rsidRPr="007D20A2">
        <w:t xml:space="preserve"> </w:t>
      </w:r>
      <w:r>
        <w:t>“</w:t>
      </w:r>
      <w:r w:rsidRPr="007D20A2">
        <w:t xml:space="preserve">A new criterion for assessing discriminant validity in variance-based structural equation </w:t>
      </w:r>
      <w:proofErr w:type="spellStart"/>
      <w:r w:rsidRPr="007D20A2">
        <w:t>modeling</w:t>
      </w:r>
      <w:proofErr w:type="spellEnd"/>
      <w:r>
        <w:t>”,</w:t>
      </w:r>
      <w:r w:rsidRPr="007D20A2">
        <w:t xml:space="preserve"> </w:t>
      </w:r>
      <w:r w:rsidRPr="007D20A2">
        <w:rPr>
          <w:i/>
        </w:rPr>
        <w:t>Journal of the Academy of Marketing Science</w:t>
      </w:r>
      <w:r w:rsidRPr="007D20A2">
        <w:t xml:space="preserve">, </w:t>
      </w:r>
      <w:r>
        <w:t xml:space="preserve">Vol. </w:t>
      </w:r>
      <w:r w:rsidRPr="007D20A2">
        <w:t>43</w:t>
      </w:r>
      <w:r>
        <w:t xml:space="preserve"> No. </w:t>
      </w:r>
      <w:r w:rsidRPr="007D20A2">
        <w:t>1,</w:t>
      </w:r>
      <w:r>
        <w:t xml:space="preserve"> pp.</w:t>
      </w:r>
      <w:r w:rsidRPr="007D20A2">
        <w:t xml:space="preserve"> 115-135.</w:t>
      </w:r>
    </w:p>
    <w:p w14:paraId="5958EB48" w14:textId="77777777" w:rsidR="00737F4F" w:rsidRPr="007D20A2" w:rsidRDefault="00737F4F" w:rsidP="00737F4F">
      <w:pPr>
        <w:jc w:val="both"/>
      </w:pPr>
      <w:r w:rsidRPr="007D20A2">
        <w:t>Hodgson, G. M. (2007)</w:t>
      </w:r>
      <w:r>
        <w:t>,</w:t>
      </w:r>
      <w:r w:rsidRPr="007D20A2">
        <w:t xml:space="preserve"> </w:t>
      </w:r>
      <w:r>
        <w:t>“</w:t>
      </w:r>
      <w:r w:rsidRPr="007D20A2">
        <w:t xml:space="preserve">Meanings of </w:t>
      </w:r>
      <w:r>
        <w:t>m</w:t>
      </w:r>
      <w:r w:rsidRPr="007D20A2">
        <w:t xml:space="preserve">ethodological </w:t>
      </w:r>
      <w:r>
        <w:t>i</w:t>
      </w:r>
      <w:r w:rsidRPr="007D20A2">
        <w:t>ndividualism</w:t>
      </w:r>
      <w:r>
        <w:t>”,</w:t>
      </w:r>
      <w:r w:rsidRPr="007D20A2">
        <w:t xml:space="preserve"> </w:t>
      </w:r>
      <w:r w:rsidRPr="007D20A2">
        <w:rPr>
          <w:i/>
        </w:rPr>
        <w:t>Journal of Economic Methodology</w:t>
      </w:r>
      <w:r>
        <w:rPr>
          <w:i/>
        </w:rPr>
        <w:t>,</w:t>
      </w:r>
      <w:r w:rsidRPr="007D20A2">
        <w:t xml:space="preserve"> </w:t>
      </w:r>
      <w:r>
        <w:t xml:space="preserve">Vol. </w:t>
      </w:r>
      <w:r w:rsidRPr="007D20A2">
        <w:t>14</w:t>
      </w:r>
      <w:r>
        <w:t xml:space="preserve"> No. </w:t>
      </w:r>
      <w:r w:rsidRPr="007D20A2">
        <w:t>2,</w:t>
      </w:r>
      <w:r>
        <w:t xml:space="preserve"> pp.</w:t>
      </w:r>
      <w:r w:rsidRPr="007D20A2">
        <w:t xml:space="preserve"> 211–226.</w:t>
      </w:r>
    </w:p>
    <w:p w14:paraId="4347028C" w14:textId="77777777" w:rsidR="00737F4F" w:rsidRDefault="00737F4F" w:rsidP="00737F4F">
      <w:pPr>
        <w:jc w:val="both"/>
      </w:pPr>
      <w:r w:rsidRPr="00705F74">
        <w:t>Hu, L. T.</w:t>
      </w:r>
      <w:r>
        <w:t xml:space="preserve"> and</w:t>
      </w:r>
      <w:r w:rsidRPr="00705F74">
        <w:t xml:space="preserve"> </w:t>
      </w:r>
      <w:proofErr w:type="spellStart"/>
      <w:r w:rsidRPr="00705F74">
        <w:t>Bentler</w:t>
      </w:r>
      <w:proofErr w:type="spellEnd"/>
      <w:r w:rsidRPr="00705F74">
        <w:t>, P. M. (1999)</w:t>
      </w:r>
      <w:r>
        <w:t>,</w:t>
      </w:r>
      <w:r w:rsidRPr="00705F74">
        <w:t xml:space="preserve"> </w:t>
      </w:r>
      <w:r>
        <w:t>“</w:t>
      </w:r>
      <w:proofErr w:type="spellStart"/>
      <w:r w:rsidRPr="007D20A2">
        <w:t>Cutoff</w:t>
      </w:r>
      <w:proofErr w:type="spellEnd"/>
      <w:r w:rsidRPr="007D20A2">
        <w:t xml:space="preserve"> criteria for fit indexes in covariance structure analysis: Conventional criteria versus new alternatives</w:t>
      </w:r>
      <w:r>
        <w:t>”,</w:t>
      </w:r>
      <w:r w:rsidRPr="007D20A2">
        <w:t xml:space="preserve"> </w:t>
      </w:r>
      <w:r w:rsidRPr="007D20A2">
        <w:rPr>
          <w:i/>
        </w:rPr>
        <w:t xml:space="preserve">Structural </w:t>
      </w:r>
      <w:r>
        <w:rPr>
          <w:i/>
        </w:rPr>
        <w:t>E</w:t>
      </w:r>
      <w:r w:rsidRPr="007D20A2">
        <w:rPr>
          <w:i/>
        </w:rPr>
        <w:t xml:space="preserve">quation </w:t>
      </w:r>
      <w:proofErr w:type="spellStart"/>
      <w:r>
        <w:rPr>
          <w:i/>
        </w:rPr>
        <w:t>M</w:t>
      </w:r>
      <w:r w:rsidRPr="007D20A2">
        <w:rPr>
          <w:i/>
        </w:rPr>
        <w:t>odeling</w:t>
      </w:r>
      <w:proofErr w:type="spellEnd"/>
      <w:r w:rsidRPr="007D20A2">
        <w:rPr>
          <w:i/>
        </w:rPr>
        <w:t xml:space="preserve">: </w:t>
      </w:r>
      <w:r>
        <w:rPr>
          <w:i/>
        </w:rPr>
        <w:t>a</w:t>
      </w:r>
      <w:r w:rsidRPr="007D20A2">
        <w:rPr>
          <w:i/>
        </w:rPr>
        <w:t xml:space="preserve"> </w:t>
      </w:r>
      <w:r>
        <w:rPr>
          <w:i/>
        </w:rPr>
        <w:t>M</w:t>
      </w:r>
      <w:r w:rsidRPr="007D20A2">
        <w:rPr>
          <w:i/>
        </w:rPr>
        <w:t xml:space="preserve">ultidisciplinary </w:t>
      </w:r>
      <w:r>
        <w:rPr>
          <w:i/>
        </w:rPr>
        <w:t>J</w:t>
      </w:r>
      <w:r w:rsidRPr="007D20A2">
        <w:rPr>
          <w:i/>
        </w:rPr>
        <w:t>ournal</w:t>
      </w:r>
      <w:r w:rsidRPr="007D20A2">
        <w:t xml:space="preserve">, </w:t>
      </w:r>
      <w:r>
        <w:t xml:space="preserve">Vol. </w:t>
      </w:r>
      <w:r w:rsidRPr="007D20A2">
        <w:t>6</w:t>
      </w:r>
      <w:r>
        <w:t xml:space="preserve"> No. </w:t>
      </w:r>
      <w:r w:rsidRPr="007D20A2">
        <w:t>1,</w:t>
      </w:r>
      <w:r>
        <w:t xml:space="preserve"> pp.</w:t>
      </w:r>
      <w:r w:rsidRPr="007D20A2">
        <w:t xml:space="preserve"> 1-55.</w:t>
      </w:r>
    </w:p>
    <w:p w14:paraId="16398316" w14:textId="77777777" w:rsidR="00737F4F" w:rsidRPr="007D20A2" w:rsidRDefault="00737F4F" w:rsidP="00737F4F">
      <w:pPr>
        <w:jc w:val="both"/>
      </w:pPr>
      <w:r w:rsidRPr="00CE342C">
        <w:t>Ivanov, D</w:t>
      </w:r>
      <w:r>
        <w:t>. and</w:t>
      </w:r>
      <w:r w:rsidRPr="00CE342C">
        <w:t xml:space="preserve"> Das, A</w:t>
      </w:r>
      <w:r>
        <w:t>.</w:t>
      </w:r>
      <w:r w:rsidRPr="00CE342C">
        <w:t xml:space="preserve"> (2020): Coronavirus (COVID-19/SARS-CoV-2) and supply chain resilience: a research note. </w:t>
      </w:r>
      <w:r w:rsidRPr="008367E9">
        <w:rPr>
          <w:i/>
          <w:iCs/>
        </w:rPr>
        <w:t>International Journal of Integrated Supply Management</w:t>
      </w:r>
      <w:r>
        <w:t xml:space="preserve">, Vol. </w:t>
      </w:r>
      <w:r w:rsidRPr="00CE342C">
        <w:t>13</w:t>
      </w:r>
      <w:r>
        <w:t xml:space="preserve"> No. </w:t>
      </w:r>
      <w:r w:rsidRPr="00CE342C">
        <w:t xml:space="preserve">1, </w:t>
      </w:r>
      <w:r>
        <w:t>pp</w:t>
      </w:r>
      <w:r w:rsidRPr="00CE342C">
        <w:t>. 90–102.</w:t>
      </w:r>
    </w:p>
    <w:p w14:paraId="3766AEBF" w14:textId="77777777" w:rsidR="00737F4F" w:rsidRDefault="00737F4F" w:rsidP="00737F4F">
      <w:pPr>
        <w:jc w:val="both"/>
      </w:pPr>
      <w:r w:rsidRPr="00A02BA5">
        <w:t xml:space="preserve">Ivanov, D. and </w:t>
      </w:r>
      <w:proofErr w:type="spellStart"/>
      <w:r w:rsidRPr="00A02BA5">
        <w:t>Dolgui</w:t>
      </w:r>
      <w:proofErr w:type="spellEnd"/>
      <w:r w:rsidRPr="00A02BA5">
        <w:t xml:space="preserve">, A. (2019), “Low-Certainty-Need (LCN) supply chains: a new perspective in managing disruption risks and resilience”, </w:t>
      </w:r>
      <w:r w:rsidRPr="008367E9">
        <w:rPr>
          <w:i/>
        </w:rPr>
        <w:t>International Journal of Production Research</w:t>
      </w:r>
      <w:r w:rsidRPr="00A02BA5">
        <w:t>, Vol. 57 No. 15–16, pp. 5119–5136.</w:t>
      </w:r>
    </w:p>
    <w:p w14:paraId="794AA15C" w14:textId="77777777" w:rsidR="00737F4F" w:rsidRDefault="00737F4F" w:rsidP="00737F4F">
      <w:pPr>
        <w:jc w:val="both"/>
      </w:pPr>
      <w:proofErr w:type="spellStart"/>
      <w:r w:rsidRPr="008129B5">
        <w:t>Junni</w:t>
      </w:r>
      <w:proofErr w:type="spellEnd"/>
      <w:r w:rsidRPr="008129B5">
        <w:t xml:space="preserve">, P., Sarala, R. M., </w:t>
      </w:r>
      <w:proofErr w:type="spellStart"/>
      <w:r w:rsidRPr="008129B5">
        <w:t>Taras</w:t>
      </w:r>
      <w:proofErr w:type="spellEnd"/>
      <w:r w:rsidRPr="008129B5">
        <w:t xml:space="preserve">, </w:t>
      </w:r>
      <w:r w:rsidRPr="00C65C0D">
        <w:t>V. A. S.</w:t>
      </w:r>
      <w:r>
        <w:t xml:space="preserve"> and</w:t>
      </w:r>
      <w:r w:rsidRPr="008367E9">
        <w:t xml:space="preserve"> </w:t>
      </w:r>
      <w:proofErr w:type="spellStart"/>
      <w:r w:rsidRPr="008367E9">
        <w:t>Tarba</w:t>
      </w:r>
      <w:proofErr w:type="spellEnd"/>
      <w:r w:rsidRPr="008367E9">
        <w:t>, S. Y. (2013),</w:t>
      </w:r>
      <w:r w:rsidRPr="008129B5">
        <w:t xml:space="preserve"> </w:t>
      </w:r>
      <w:r>
        <w:t>“</w:t>
      </w:r>
      <w:r w:rsidRPr="00A82920">
        <w:t>Organizational ambidexterity a</w:t>
      </w:r>
      <w:r>
        <w:t>nd performance: A meta-analysis”,</w:t>
      </w:r>
      <w:r w:rsidRPr="00A82920">
        <w:t xml:space="preserve"> </w:t>
      </w:r>
      <w:r w:rsidRPr="008367E9">
        <w:rPr>
          <w:i/>
        </w:rPr>
        <w:t>Academy of Management Perspectives</w:t>
      </w:r>
      <w:r w:rsidRPr="00A82920">
        <w:t xml:space="preserve">, </w:t>
      </w:r>
      <w:r>
        <w:t xml:space="preserve">Vol. </w:t>
      </w:r>
      <w:r w:rsidRPr="00A82920">
        <w:t>27</w:t>
      </w:r>
      <w:r>
        <w:t xml:space="preserve"> No. </w:t>
      </w:r>
      <w:r w:rsidRPr="00A82920">
        <w:t xml:space="preserve">4, </w:t>
      </w:r>
      <w:r>
        <w:t xml:space="preserve">pp. </w:t>
      </w:r>
      <w:r w:rsidRPr="00A82920">
        <w:t>299-312.</w:t>
      </w:r>
    </w:p>
    <w:p w14:paraId="3F1D4DAB" w14:textId="77777777" w:rsidR="00737F4F" w:rsidRPr="007D20A2" w:rsidRDefault="00737F4F" w:rsidP="00737F4F">
      <w:pPr>
        <w:jc w:val="both"/>
      </w:pPr>
      <w:r w:rsidRPr="007D20A2">
        <w:t xml:space="preserve">Kauppi, K., </w:t>
      </w:r>
      <w:proofErr w:type="spellStart"/>
      <w:r w:rsidRPr="007D20A2">
        <w:t>Longoni</w:t>
      </w:r>
      <w:proofErr w:type="spellEnd"/>
      <w:r w:rsidRPr="007D20A2">
        <w:t xml:space="preserve">, A., </w:t>
      </w:r>
      <w:proofErr w:type="spellStart"/>
      <w:r w:rsidRPr="007D20A2">
        <w:t>Caniato</w:t>
      </w:r>
      <w:proofErr w:type="spellEnd"/>
      <w:r w:rsidRPr="007D20A2">
        <w:t xml:space="preserve">, F. </w:t>
      </w:r>
      <w:r>
        <w:t>and</w:t>
      </w:r>
      <w:r w:rsidRPr="007D20A2">
        <w:t xml:space="preserve"> </w:t>
      </w:r>
      <w:proofErr w:type="spellStart"/>
      <w:r w:rsidRPr="007D20A2">
        <w:t>Kuula</w:t>
      </w:r>
      <w:proofErr w:type="spellEnd"/>
      <w:r w:rsidRPr="007D20A2">
        <w:t>, M. (2016)</w:t>
      </w:r>
      <w:r>
        <w:t>,</w:t>
      </w:r>
      <w:r w:rsidRPr="007D20A2">
        <w:t xml:space="preserve"> </w:t>
      </w:r>
      <w:r>
        <w:t>“</w:t>
      </w:r>
      <w:r w:rsidRPr="007D20A2">
        <w:t>Managing country disruption risks and improving operational performance: risk management along integrated supply chains</w:t>
      </w:r>
      <w:r>
        <w:t>”,</w:t>
      </w:r>
      <w:r w:rsidRPr="007D20A2">
        <w:t xml:space="preserve"> </w:t>
      </w:r>
      <w:r w:rsidRPr="007D20A2">
        <w:rPr>
          <w:i/>
        </w:rPr>
        <w:t>International Journal of Production Economics</w:t>
      </w:r>
      <w:r w:rsidRPr="007D20A2">
        <w:t xml:space="preserve">, </w:t>
      </w:r>
      <w:r>
        <w:t xml:space="preserve">Vol </w:t>
      </w:r>
      <w:r w:rsidRPr="007D20A2">
        <w:t xml:space="preserve">182, </w:t>
      </w:r>
      <w:r>
        <w:t xml:space="preserve">pp. </w:t>
      </w:r>
      <w:r w:rsidRPr="007D20A2">
        <w:t>484-495.</w:t>
      </w:r>
    </w:p>
    <w:p w14:paraId="62396DB7" w14:textId="77777777" w:rsidR="00737F4F" w:rsidRPr="007D20A2" w:rsidRDefault="00737F4F" w:rsidP="00737F4F">
      <w:pPr>
        <w:jc w:val="both"/>
      </w:pPr>
      <w:r w:rsidRPr="007D20A2">
        <w:t xml:space="preserve">Kim, Y., Chen, Y. S. </w:t>
      </w:r>
      <w:r>
        <w:t>and</w:t>
      </w:r>
      <w:r w:rsidRPr="007D20A2">
        <w:t xml:space="preserve"> Linderman, K. (2015)</w:t>
      </w:r>
      <w:r>
        <w:t>,</w:t>
      </w:r>
      <w:r w:rsidRPr="007D20A2">
        <w:t xml:space="preserve"> </w:t>
      </w:r>
      <w:r>
        <w:t>“</w:t>
      </w:r>
      <w:r w:rsidRPr="007D20A2">
        <w:t>Supply network disruption and resilience: A network structural perspective</w:t>
      </w:r>
      <w:r>
        <w:t>”,</w:t>
      </w:r>
      <w:r w:rsidRPr="007D20A2">
        <w:t xml:space="preserve"> </w:t>
      </w:r>
      <w:r w:rsidRPr="007D20A2">
        <w:rPr>
          <w:i/>
        </w:rPr>
        <w:t>Journal of Operations Management</w:t>
      </w:r>
      <w:r w:rsidRPr="007D20A2">
        <w:t xml:space="preserve">, </w:t>
      </w:r>
      <w:r>
        <w:t xml:space="preserve">Vol. </w:t>
      </w:r>
      <w:r w:rsidRPr="007D20A2">
        <w:t>33,</w:t>
      </w:r>
      <w:r>
        <w:t xml:space="preserve"> pp.</w:t>
      </w:r>
      <w:r w:rsidRPr="007D20A2">
        <w:t xml:space="preserve"> 43-59.</w:t>
      </w:r>
    </w:p>
    <w:p w14:paraId="5032E217" w14:textId="77777777" w:rsidR="00737F4F" w:rsidRPr="007D20A2" w:rsidRDefault="00737F4F" w:rsidP="00737F4F">
      <w:pPr>
        <w:jc w:val="both"/>
      </w:pPr>
      <w:proofErr w:type="spellStart"/>
      <w:r w:rsidRPr="007D20A2">
        <w:t>Kleindorfer</w:t>
      </w:r>
      <w:proofErr w:type="spellEnd"/>
      <w:r w:rsidRPr="007D20A2">
        <w:t xml:space="preserve">, P. R. </w:t>
      </w:r>
      <w:r>
        <w:t>and</w:t>
      </w:r>
      <w:r w:rsidRPr="007D20A2">
        <w:t xml:space="preserve"> Saad, G. H. (2005)</w:t>
      </w:r>
      <w:r>
        <w:t>,</w:t>
      </w:r>
      <w:r w:rsidRPr="007D20A2">
        <w:t xml:space="preserve"> </w:t>
      </w:r>
      <w:r>
        <w:t>“</w:t>
      </w:r>
      <w:r w:rsidRPr="007D20A2">
        <w:t>Managing disruption risks in supply chains</w:t>
      </w:r>
      <w:r>
        <w:t>”,</w:t>
      </w:r>
      <w:r w:rsidRPr="007D20A2">
        <w:t xml:space="preserve"> </w:t>
      </w:r>
      <w:r w:rsidRPr="007D20A2">
        <w:rPr>
          <w:i/>
        </w:rPr>
        <w:t>Production and Operations Management</w:t>
      </w:r>
      <w:r w:rsidRPr="007D20A2">
        <w:t xml:space="preserve">, </w:t>
      </w:r>
      <w:r>
        <w:t xml:space="preserve">Vol. </w:t>
      </w:r>
      <w:r w:rsidRPr="007D20A2">
        <w:t>14</w:t>
      </w:r>
      <w:r>
        <w:t xml:space="preserve"> No. </w:t>
      </w:r>
      <w:r w:rsidRPr="007D20A2">
        <w:t>1,</w:t>
      </w:r>
      <w:r>
        <w:t xml:space="preserve"> pp.</w:t>
      </w:r>
      <w:r w:rsidRPr="007D20A2">
        <w:t xml:space="preserve"> 53-68.</w:t>
      </w:r>
    </w:p>
    <w:p w14:paraId="4B1879AD" w14:textId="77777777" w:rsidR="00737F4F" w:rsidRPr="007D20A2" w:rsidRDefault="00737F4F" w:rsidP="00737F4F">
      <w:pPr>
        <w:jc w:val="both"/>
      </w:pPr>
      <w:r w:rsidRPr="007D20A2">
        <w:t xml:space="preserve">Krause, D., </w:t>
      </w:r>
      <w:proofErr w:type="spellStart"/>
      <w:r w:rsidRPr="007D20A2">
        <w:t>Luzzini</w:t>
      </w:r>
      <w:proofErr w:type="spellEnd"/>
      <w:r w:rsidRPr="007D20A2">
        <w:t>, D.</w:t>
      </w:r>
      <w:r>
        <w:t xml:space="preserve"> and</w:t>
      </w:r>
      <w:r w:rsidRPr="007D20A2">
        <w:t xml:space="preserve"> Lawson, B. (2018)</w:t>
      </w:r>
      <w:r>
        <w:t>,</w:t>
      </w:r>
      <w:r w:rsidRPr="007D20A2">
        <w:t xml:space="preserve"> </w:t>
      </w:r>
      <w:r>
        <w:t>“</w:t>
      </w:r>
      <w:r w:rsidRPr="007D20A2">
        <w:t>Building the case for a single key informant in supply chain management survey research</w:t>
      </w:r>
      <w:r>
        <w:t>”,</w:t>
      </w:r>
      <w:r w:rsidRPr="007D20A2">
        <w:t xml:space="preserve"> </w:t>
      </w:r>
      <w:r w:rsidRPr="007D20A2">
        <w:rPr>
          <w:i/>
        </w:rPr>
        <w:t>Journal of Supply Chain Management</w:t>
      </w:r>
      <w:r w:rsidRPr="007D20A2">
        <w:t xml:space="preserve">, </w:t>
      </w:r>
      <w:r>
        <w:t xml:space="preserve">Vol. </w:t>
      </w:r>
      <w:r w:rsidRPr="007D20A2">
        <w:t>54</w:t>
      </w:r>
      <w:r>
        <w:t xml:space="preserve"> No. </w:t>
      </w:r>
      <w:r w:rsidRPr="007D20A2">
        <w:t>1,</w:t>
      </w:r>
      <w:r>
        <w:t xml:space="preserve"> pp.</w:t>
      </w:r>
      <w:r w:rsidRPr="007D20A2">
        <w:t xml:space="preserve"> 42-50.</w:t>
      </w:r>
    </w:p>
    <w:p w14:paraId="0500BC37" w14:textId="77777777" w:rsidR="00737F4F" w:rsidRPr="007D20A2" w:rsidRDefault="00737F4F" w:rsidP="00737F4F">
      <w:pPr>
        <w:jc w:val="both"/>
      </w:pPr>
      <w:proofErr w:type="spellStart"/>
      <w:r w:rsidRPr="00C31ACF">
        <w:t>Lavie</w:t>
      </w:r>
      <w:proofErr w:type="spellEnd"/>
      <w:r w:rsidRPr="00C31ACF">
        <w:t xml:space="preserve">, D., </w:t>
      </w:r>
      <w:proofErr w:type="spellStart"/>
      <w:r w:rsidRPr="00C31ACF">
        <w:t>Stettner</w:t>
      </w:r>
      <w:proofErr w:type="spellEnd"/>
      <w:r w:rsidRPr="00C31ACF">
        <w:t>, U. a</w:t>
      </w:r>
      <w:r w:rsidRPr="00705F74">
        <w:t>nd</w:t>
      </w:r>
      <w:r w:rsidRPr="00C31ACF">
        <w:t xml:space="preserve"> </w:t>
      </w:r>
      <w:proofErr w:type="spellStart"/>
      <w:r w:rsidRPr="00C31ACF">
        <w:t>Tushman</w:t>
      </w:r>
      <w:proofErr w:type="spellEnd"/>
      <w:r w:rsidRPr="00C31ACF">
        <w:t>, M. L. (2010)</w:t>
      </w:r>
      <w:r w:rsidRPr="00705F74">
        <w:t>,</w:t>
      </w:r>
      <w:r w:rsidRPr="00C31ACF">
        <w:t xml:space="preserve"> </w:t>
      </w:r>
      <w:r>
        <w:t>“</w:t>
      </w:r>
      <w:r w:rsidRPr="007D20A2">
        <w:t>Exploration and exploitation within and across organizations</w:t>
      </w:r>
      <w:r>
        <w:t>”,</w:t>
      </w:r>
      <w:r w:rsidRPr="007D20A2">
        <w:t xml:space="preserve"> </w:t>
      </w:r>
      <w:r w:rsidRPr="007D20A2">
        <w:rPr>
          <w:i/>
        </w:rPr>
        <w:t>Academy of Management Annals</w:t>
      </w:r>
      <w:r w:rsidRPr="007D20A2">
        <w:t xml:space="preserve">, </w:t>
      </w:r>
      <w:r>
        <w:t xml:space="preserve">Vol. </w:t>
      </w:r>
      <w:r w:rsidRPr="007D20A2">
        <w:t>4</w:t>
      </w:r>
      <w:r>
        <w:t xml:space="preserve"> No. </w:t>
      </w:r>
      <w:r w:rsidRPr="007D20A2">
        <w:t>1,</w:t>
      </w:r>
      <w:r>
        <w:t xml:space="preserve"> pp.</w:t>
      </w:r>
      <w:r w:rsidRPr="007D20A2">
        <w:t xml:space="preserve"> 109-155.</w:t>
      </w:r>
    </w:p>
    <w:p w14:paraId="08413FB5" w14:textId="77777777" w:rsidR="00737F4F" w:rsidRPr="007D20A2" w:rsidRDefault="00737F4F" w:rsidP="00737F4F">
      <w:pPr>
        <w:jc w:val="both"/>
      </w:pPr>
      <w:r w:rsidRPr="007D20A2">
        <w:t>Lindell, M. K.</w:t>
      </w:r>
      <w:r>
        <w:t xml:space="preserve"> and</w:t>
      </w:r>
      <w:r w:rsidRPr="007D20A2">
        <w:t xml:space="preserve"> Whitney, D. J. (2001)</w:t>
      </w:r>
      <w:r>
        <w:t>,</w:t>
      </w:r>
      <w:r w:rsidRPr="007D20A2">
        <w:t xml:space="preserve"> </w:t>
      </w:r>
      <w:r>
        <w:t>“</w:t>
      </w:r>
      <w:r w:rsidRPr="007D20A2">
        <w:t>Accounting for common method variance in cross-sectional research designs</w:t>
      </w:r>
      <w:r>
        <w:t>”,</w:t>
      </w:r>
      <w:r w:rsidRPr="007D20A2">
        <w:t xml:space="preserve"> </w:t>
      </w:r>
      <w:r w:rsidRPr="007D20A2">
        <w:rPr>
          <w:i/>
        </w:rPr>
        <w:t>Journal of Applied Psychology</w:t>
      </w:r>
      <w:r w:rsidRPr="007D20A2">
        <w:t xml:space="preserve">, </w:t>
      </w:r>
      <w:r>
        <w:t xml:space="preserve">Vol. </w:t>
      </w:r>
      <w:r w:rsidRPr="007D20A2">
        <w:t>86</w:t>
      </w:r>
      <w:r>
        <w:t xml:space="preserve"> No. </w:t>
      </w:r>
      <w:r w:rsidRPr="007D20A2">
        <w:t>1,</w:t>
      </w:r>
      <w:r>
        <w:t xml:space="preserve"> pp.</w:t>
      </w:r>
      <w:r w:rsidRPr="007D20A2">
        <w:t xml:space="preserve"> 114.</w:t>
      </w:r>
    </w:p>
    <w:p w14:paraId="4A35BF4C" w14:textId="77777777" w:rsidR="00737F4F" w:rsidRPr="00705F74" w:rsidRDefault="00737F4F" w:rsidP="00737F4F">
      <w:pPr>
        <w:jc w:val="both"/>
      </w:pPr>
      <w:r w:rsidRPr="00705F74">
        <w:t>Linton, T. and Vakil, B. (2020</w:t>
      </w:r>
      <w:r>
        <w:t>,</w:t>
      </w:r>
      <w:r w:rsidRPr="00705F74">
        <w:t xml:space="preserve"> </w:t>
      </w:r>
      <w:r>
        <w:t>“</w:t>
      </w:r>
      <w:r w:rsidRPr="007D20A2">
        <w:t>Coronavirus is proving we need more resilient supply chains</w:t>
      </w:r>
      <w:r>
        <w:t>”</w:t>
      </w:r>
      <w:r w:rsidRPr="007D20A2">
        <w:t xml:space="preserve">. </w:t>
      </w:r>
      <w:r w:rsidRPr="00705F74">
        <w:rPr>
          <w:i/>
        </w:rPr>
        <w:t>Harvard Business Review</w:t>
      </w:r>
      <w:r w:rsidRPr="00705F74">
        <w:t xml:space="preserve">, </w:t>
      </w:r>
      <w:r>
        <w:t xml:space="preserve">March </w:t>
      </w:r>
      <w:r w:rsidRPr="00705F74">
        <w:t>5.</w:t>
      </w:r>
    </w:p>
    <w:p w14:paraId="0AF89776" w14:textId="77777777" w:rsidR="00737F4F" w:rsidRPr="007D20A2" w:rsidRDefault="00737F4F" w:rsidP="00737F4F">
      <w:pPr>
        <w:jc w:val="both"/>
      </w:pPr>
      <w:r w:rsidRPr="00705F74">
        <w:t xml:space="preserve">Lorentz, H., Aminoff, A., </w:t>
      </w:r>
      <w:proofErr w:type="spellStart"/>
      <w:r w:rsidRPr="00705F74">
        <w:t>Kaipia</w:t>
      </w:r>
      <w:proofErr w:type="spellEnd"/>
      <w:r w:rsidRPr="00705F74">
        <w:t xml:space="preserve">, R., </w:t>
      </w:r>
      <w:proofErr w:type="spellStart"/>
      <w:r w:rsidRPr="00705F74">
        <w:t>Pihlajamaa</w:t>
      </w:r>
      <w:proofErr w:type="spellEnd"/>
      <w:r w:rsidRPr="00705F74">
        <w:t xml:space="preserve">, M., </w:t>
      </w:r>
      <w:proofErr w:type="spellStart"/>
      <w:r w:rsidRPr="00705F74">
        <w:t>Ehtamo</w:t>
      </w:r>
      <w:proofErr w:type="spellEnd"/>
      <w:r w:rsidRPr="00705F74">
        <w:t xml:space="preserve">, J. and Tanskanen, K. (2020), </w:t>
      </w:r>
      <w:r>
        <w:t>“</w:t>
      </w:r>
      <w:r w:rsidRPr="007D20A2">
        <w:t>Acquisition of supply market intelligence–An information processing perspective</w:t>
      </w:r>
      <w:r>
        <w:rPr>
          <w:i/>
        </w:rPr>
        <w:t>”,</w:t>
      </w:r>
      <w:r w:rsidRPr="007D20A2">
        <w:rPr>
          <w:i/>
        </w:rPr>
        <w:t xml:space="preserve"> Journal of Purchasing and Supply Management</w:t>
      </w:r>
      <w:r w:rsidRPr="007D20A2">
        <w:t xml:space="preserve">, </w:t>
      </w:r>
      <w:r>
        <w:t xml:space="preserve">Vol. </w:t>
      </w:r>
      <w:r w:rsidRPr="007D20A2">
        <w:t>26</w:t>
      </w:r>
      <w:r>
        <w:t xml:space="preserve"> No. </w:t>
      </w:r>
      <w:r w:rsidRPr="007D20A2">
        <w:t>5,</w:t>
      </w:r>
      <w:r>
        <w:t xml:space="preserve"> pp.</w:t>
      </w:r>
      <w:r w:rsidRPr="007D20A2">
        <w:t xml:space="preserve"> 100649.</w:t>
      </w:r>
    </w:p>
    <w:p w14:paraId="7DD73CF7" w14:textId="77777777" w:rsidR="00737F4F" w:rsidRPr="007D20A2" w:rsidRDefault="00737F4F" w:rsidP="00737F4F">
      <w:pPr>
        <w:jc w:val="both"/>
      </w:pPr>
      <w:r w:rsidRPr="00705F74">
        <w:t>Lorentz, H., Laari, S., Engblom, J.</w:t>
      </w:r>
      <w:r w:rsidRPr="006B68D0">
        <w:t xml:space="preserve"> and</w:t>
      </w:r>
      <w:r w:rsidRPr="00705F74">
        <w:t xml:space="preserve"> Tanskanen, K. (2019), </w:t>
      </w:r>
      <w:r>
        <w:t>“</w:t>
      </w:r>
      <w:r w:rsidRPr="007D20A2">
        <w:t>Attention-based view on achieving ambidexterity in purchasing and supply management</w:t>
      </w:r>
      <w:r w:rsidRPr="00705F74">
        <w:t>”,</w:t>
      </w:r>
      <w:r w:rsidRPr="007D20A2">
        <w:rPr>
          <w:i/>
        </w:rPr>
        <w:t xml:space="preserve"> Journal of Purchasing and Supply Management</w:t>
      </w:r>
      <w:r w:rsidRPr="007D20A2">
        <w:t xml:space="preserve">, </w:t>
      </w:r>
      <w:r>
        <w:t xml:space="preserve">Vol. </w:t>
      </w:r>
      <w:r w:rsidRPr="007D20A2">
        <w:t>25</w:t>
      </w:r>
      <w:r>
        <w:t xml:space="preserve"> No. </w:t>
      </w:r>
      <w:r w:rsidRPr="007D20A2">
        <w:t>5,</w:t>
      </w:r>
      <w:r>
        <w:t xml:space="preserve"> pp.</w:t>
      </w:r>
      <w:r w:rsidRPr="007D20A2">
        <w:t xml:space="preserve"> 100560.</w:t>
      </w:r>
    </w:p>
    <w:p w14:paraId="454ACB4A" w14:textId="77777777" w:rsidR="00737F4F" w:rsidRPr="007D20A2" w:rsidRDefault="00737F4F" w:rsidP="00737F4F">
      <w:pPr>
        <w:jc w:val="both"/>
      </w:pPr>
      <w:r w:rsidRPr="006B68D0">
        <w:t>Lorentz, H., Töyli, J., Solakivi, T. an</w:t>
      </w:r>
      <w:r w:rsidRPr="00705F74">
        <w:t>d</w:t>
      </w:r>
      <w:r w:rsidRPr="006B68D0">
        <w:t xml:space="preserve"> Ojala, L. (2016)</w:t>
      </w:r>
      <w:r w:rsidRPr="00705F74">
        <w:t>,</w:t>
      </w:r>
      <w:r w:rsidRPr="006B68D0">
        <w:t xml:space="preserve"> </w:t>
      </w:r>
      <w:r>
        <w:t>“</w:t>
      </w:r>
      <w:r w:rsidRPr="007D20A2">
        <w:t>The effect of a geographically dispersed supply base on downside risk: Developing and testing the N-shaped theory</w:t>
      </w:r>
      <w:r>
        <w:t>”,</w:t>
      </w:r>
      <w:r w:rsidRPr="007D20A2">
        <w:t xml:space="preserve"> </w:t>
      </w:r>
      <w:r w:rsidRPr="007D20A2">
        <w:rPr>
          <w:i/>
        </w:rPr>
        <w:t>International Business Review</w:t>
      </w:r>
      <w:r w:rsidRPr="007D20A2">
        <w:t xml:space="preserve">, </w:t>
      </w:r>
      <w:r>
        <w:t xml:space="preserve">Vol. </w:t>
      </w:r>
      <w:r w:rsidRPr="007D20A2">
        <w:t>25</w:t>
      </w:r>
      <w:r>
        <w:t xml:space="preserve"> No. </w:t>
      </w:r>
      <w:r w:rsidRPr="007D20A2">
        <w:t>4,</w:t>
      </w:r>
      <w:r>
        <w:t xml:space="preserve"> pp.</w:t>
      </w:r>
      <w:r w:rsidRPr="007D20A2">
        <w:t xml:space="preserve"> 872-882.</w:t>
      </w:r>
    </w:p>
    <w:p w14:paraId="61659D96" w14:textId="77777777" w:rsidR="00737F4F" w:rsidRPr="007D20A2" w:rsidRDefault="00737F4F" w:rsidP="00737F4F">
      <w:pPr>
        <w:jc w:val="both"/>
      </w:pPr>
      <w:r w:rsidRPr="007D20A2">
        <w:lastRenderedPageBreak/>
        <w:t>Lu, G., Ding, X., Peng, D.X.</w:t>
      </w:r>
      <w:r>
        <w:t xml:space="preserve"> and</w:t>
      </w:r>
      <w:r w:rsidRPr="007D20A2">
        <w:t xml:space="preserve"> Chuang, H.H. (2018)</w:t>
      </w:r>
      <w:r>
        <w:t>,</w:t>
      </w:r>
      <w:r w:rsidRPr="007D20A2">
        <w:t xml:space="preserve"> </w:t>
      </w:r>
      <w:r>
        <w:t>“</w:t>
      </w:r>
      <w:r w:rsidRPr="007D20A2">
        <w:t>Addressing endogeneity in operations management research: Recent developments, common problems, and directions for future research</w:t>
      </w:r>
      <w:r>
        <w:t>”,</w:t>
      </w:r>
      <w:r w:rsidRPr="007D20A2">
        <w:t xml:space="preserve"> </w:t>
      </w:r>
      <w:r w:rsidRPr="007D20A2">
        <w:rPr>
          <w:i/>
        </w:rPr>
        <w:t>Journal of Operations Management</w:t>
      </w:r>
      <w:r w:rsidRPr="007D20A2">
        <w:t xml:space="preserve">, </w:t>
      </w:r>
      <w:r>
        <w:t xml:space="preserve">Vol. </w:t>
      </w:r>
      <w:r w:rsidRPr="007D20A2">
        <w:t xml:space="preserve">64, </w:t>
      </w:r>
      <w:r>
        <w:t xml:space="preserve">pp. </w:t>
      </w:r>
      <w:r w:rsidRPr="007D20A2">
        <w:t>53-64.</w:t>
      </w:r>
    </w:p>
    <w:p w14:paraId="125B7D2E" w14:textId="77777777" w:rsidR="00737F4F" w:rsidRPr="007D20A2" w:rsidRDefault="00737F4F" w:rsidP="00737F4F">
      <w:pPr>
        <w:jc w:val="both"/>
      </w:pPr>
      <w:r w:rsidRPr="007D20A2">
        <w:t xml:space="preserve">Luger, J., </w:t>
      </w:r>
      <w:proofErr w:type="spellStart"/>
      <w:r w:rsidRPr="007D20A2">
        <w:t>Raisch</w:t>
      </w:r>
      <w:proofErr w:type="spellEnd"/>
      <w:r w:rsidRPr="007D20A2">
        <w:t>, S.</w:t>
      </w:r>
      <w:r>
        <w:t xml:space="preserve"> and</w:t>
      </w:r>
      <w:r w:rsidRPr="007D20A2">
        <w:t xml:space="preserve"> </w:t>
      </w:r>
      <w:proofErr w:type="spellStart"/>
      <w:r w:rsidRPr="007D20A2">
        <w:t>Schimmer</w:t>
      </w:r>
      <w:proofErr w:type="spellEnd"/>
      <w:r w:rsidRPr="007D20A2">
        <w:t>, M. (2018)</w:t>
      </w:r>
      <w:r>
        <w:t>,</w:t>
      </w:r>
      <w:r w:rsidRPr="007D20A2">
        <w:t xml:space="preserve"> </w:t>
      </w:r>
      <w:r>
        <w:t>“</w:t>
      </w:r>
      <w:r w:rsidRPr="007D20A2">
        <w:t>Dynamic balancing of exploration and exploitation: The contingent benefits of ambidexterity</w:t>
      </w:r>
      <w:r>
        <w:t>”,</w:t>
      </w:r>
      <w:r w:rsidRPr="007D20A2">
        <w:t xml:space="preserve"> </w:t>
      </w:r>
      <w:r w:rsidRPr="00705F74">
        <w:rPr>
          <w:i/>
        </w:rPr>
        <w:t>Organization Science</w:t>
      </w:r>
      <w:r w:rsidRPr="007D20A2">
        <w:t xml:space="preserve">, </w:t>
      </w:r>
      <w:r>
        <w:t xml:space="preserve">Vol. </w:t>
      </w:r>
      <w:r w:rsidRPr="007D20A2">
        <w:t>29</w:t>
      </w:r>
      <w:r>
        <w:t xml:space="preserve"> No. </w:t>
      </w:r>
      <w:r w:rsidRPr="007D20A2">
        <w:t>3,</w:t>
      </w:r>
      <w:r>
        <w:t xml:space="preserve"> pp.</w:t>
      </w:r>
      <w:r w:rsidRPr="007D20A2">
        <w:t xml:space="preserve"> 449-470.</w:t>
      </w:r>
    </w:p>
    <w:p w14:paraId="5ADE0096" w14:textId="77777777" w:rsidR="00737F4F" w:rsidRPr="007D20A2" w:rsidRDefault="00737F4F" w:rsidP="00737F4F">
      <w:pPr>
        <w:jc w:val="both"/>
      </w:pPr>
      <w:r w:rsidRPr="007D20A2">
        <w:t>MacCallum, R. C., Browne, M. W.</w:t>
      </w:r>
      <w:r>
        <w:t xml:space="preserve"> and</w:t>
      </w:r>
      <w:r w:rsidRPr="007D20A2">
        <w:t xml:space="preserve"> Sugawara, H. M. (1996)</w:t>
      </w:r>
      <w:r>
        <w:t>,</w:t>
      </w:r>
      <w:r w:rsidRPr="007D20A2">
        <w:t xml:space="preserve"> </w:t>
      </w:r>
      <w:r>
        <w:t>“</w:t>
      </w:r>
      <w:r w:rsidRPr="007D20A2">
        <w:t xml:space="preserve">Power analysis and determination of sample size for covariance structure </w:t>
      </w:r>
      <w:proofErr w:type="spellStart"/>
      <w:r w:rsidRPr="007D20A2">
        <w:t>modeling</w:t>
      </w:r>
      <w:proofErr w:type="spellEnd"/>
      <w:r>
        <w:t>”,</w:t>
      </w:r>
      <w:r w:rsidRPr="007D20A2">
        <w:t xml:space="preserve"> </w:t>
      </w:r>
      <w:r w:rsidRPr="007D20A2">
        <w:rPr>
          <w:i/>
        </w:rPr>
        <w:t>Psychological Methods</w:t>
      </w:r>
      <w:r w:rsidRPr="007D20A2">
        <w:t xml:space="preserve">, </w:t>
      </w:r>
      <w:r>
        <w:t xml:space="preserve">Vol. </w:t>
      </w:r>
      <w:r w:rsidRPr="007D20A2">
        <w:t>1</w:t>
      </w:r>
      <w:r>
        <w:t xml:space="preserve"> No. </w:t>
      </w:r>
      <w:r w:rsidRPr="007D20A2">
        <w:t>2,</w:t>
      </w:r>
      <w:r>
        <w:t xml:space="preserve"> pp.</w:t>
      </w:r>
      <w:r w:rsidRPr="007D20A2">
        <w:t xml:space="preserve"> 130.</w:t>
      </w:r>
    </w:p>
    <w:p w14:paraId="11C96126" w14:textId="77777777" w:rsidR="00737F4F" w:rsidRPr="007D20A2" w:rsidRDefault="00737F4F" w:rsidP="00737F4F">
      <w:pPr>
        <w:jc w:val="both"/>
      </w:pPr>
      <w:r w:rsidRPr="007D20A2">
        <w:t>Martens, B. J., Crum, M. R.</w:t>
      </w:r>
      <w:r>
        <w:t xml:space="preserve"> and</w:t>
      </w:r>
      <w:r w:rsidRPr="007D20A2">
        <w:t xml:space="preserve"> </w:t>
      </w:r>
      <w:proofErr w:type="spellStart"/>
      <w:r w:rsidRPr="007D20A2">
        <w:t>Poist</w:t>
      </w:r>
      <w:proofErr w:type="spellEnd"/>
      <w:r w:rsidRPr="007D20A2">
        <w:t>, R. F. (2011)</w:t>
      </w:r>
      <w:proofErr w:type="gramStart"/>
      <w:r>
        <w:t>, ”E</w:t>
      </w:r>
      <w:r w:rsidRPr="007D20A2">
        <w:t>xamining</w:t>
      </w:r>
      <w:proofErr w:type="gramEnd"/>
      <w:r w:rsidRPr="007D20A2">
        <w:t xml:space="preserve"> antecedents to supply chain security effectiveness. </w:t>
      </w:r>
      <w:r>
        <w:t>A</w:t>
      </w:r>
      <w:r w:rsidRPr="007D20A2">
        <w:t>n exploratory study</w:t>
      </w:r>
      <w:r>
        <w:t>”,</w:t>
      </w:r>
      <w:r w:rsidRPr="007D20A2">
        <w:t xml:space="preserve"> </w:t>
      </w:r>
      <w:r w:rsidRPr="007D20A2">
        <w:rPr>
          <w:i/>
        </w:rPr>
        <w:t>Journal of Business Logistics</w:t>
      </w:r>
      <w:r>
        <w:rPr>
          <w:i/>
        </w:rPr>
        <w:t>,</w:t>
      </w:r>
      <w:r w:rsidRPr="007D20A2">
        <w:t xml:space="preserve"> </w:t>
      </w:r>
      <w:r>
        <w:t xml:space="preserve">Vol. </w:t>
      </w:r>
      <w:r w:rsidRPr="007D20A2">
        <w:t xml:space="preserve">32 </w:t>
      </w:r>
      <w:r>
        <w:t xml:space="preserve">No. </w:t>
      </w:r>
      <w:r w:rsidRPr="007D20A2">
        <w:t xml:space="preserve">2, </w:t>
      </w:r>
      <w:r>
        <w:t xml:space="preserve">pp. </w:t>
      </w:r>
      <w:r w:rsidRPr="007D20A2">
        <w:t>153–166.</w:t>
      </w:r>
    </w:p>
    <w:p w14:paraId="75A09C6F" w14:textId="77777777" w:rsidR="00737F4F" w:rsidRPr="007D20A2" w:rsidRDefault="00737F4F" w:rsidP="00737F4F">
      <w:pPr>
        <w:jc w:val="both"/>
      </w:pPr>
      <w:proofErr w:type="spellStart"/>
      <w:r w:rsidRPr="007D20A2">
        <w:t>Meinlschmidt</w:t>
      </w:r>
      <w:proofErr w:type="spellEnd"/>
      <w:r w:rsidRPr="007D20A2">
        <w:t xml:space="preserve">, J., Schleper, M. C. </w:t>
      </w:r>
      <w:r>
        <w:t>and</w:t>
      </w:r>
      <w:r w:rsidRPr="007D20A2">
        <w:t xml:space="preserve"> </w:t>
      </w:r>
      <w:proofErr w:type="spellStart"/>
      <w:r w:rsidRPr="007D20A2">
        <w:t>Foerstl</w:t>
      </w:r>
      <w:proofErr w:type="spellEnd"/>
      <w:r w:rsidRPr="007D20A2">
        <w:t>, K. (2018)</w:t>
      </w:r>
      <w:r>
        <w:t>,</w:t>
      </w:r>
      <w:r w:rsidRPr="007D20A2">
        <w:t xml:space="preserve"> </w:t>
      </w:r>
      <w:r>
        <w:t>“</w:t>
      </w:r>
      <w:r w:rsidRPr="007D20A2">
        <w:t>Tackling the sustainability iceberg</w:t>
      </w:r>
      <w:r>
        <w:t>”,</w:t>
      </w:r>
      <w:r w:rsidRPr="007D20A2">
        <w:t xml:space="preserve"> </w:t>
      </w:r>
      <w:r w:rsidRPr="007D20A2">
        <w:rPr>
          <w:i/>
        </w:rPr>
        <w:t>International Journal of Operations &amp; Production Management</w:t>
      </w:r>
      <w:r>
        <w:t>, Vol. 38 No. 10, pp. 1888-1914.</w:t>
      </w:r>
    </w:p>
    <w:p w14:paraId="2D9E3FEB" w14:textId="77777777" w:rsidR="00737F4F" w:rsidRPr="007D20A2" w:rsidRDefault="00737F4F" w:rsidP="00737F4F">
      <w:pPr>
        <w:jc w:val="both"/>
      </w:pPr>
      <w:r w:rsidRPr="00705F74">
        <w:t xml:space="preserve">Mena, C., Melnyk, S. A., </w:t>
      </w:r>
      <w:proofErr w:type="spellStart"/>
      <w:r w:rsidRPr="00705F74">
        <w:t>Baghersad</w:t>
      </w:r>
      <w:proofErr w:type="spellEnd"/>
      <w:r w:rsidRPr="00705F74">
        <w:t xml:space="preserve">, M. and Zobel, C. W. (2020), </w:t>
      </w:r>
      <w:r>
        <w:t>“</w:t>
      </w:r>
      <w:r w:rsidRPr="007D20A2">
        <w:t xml:space="preserve">Sourcing decisions under conditions of risk and resilience: A </w:t>
      </w:r>
      <w:proofErr w:type="spellStart"/>
      <w:r w:rsidRPr="007D20A2">
        <w:t>behavioral</w:t>
      </w:r>
      <w:proofErr w:type="spellEnd"/>
      <w:r w:rsidRPr="007D20A2">
        <w:t xml:space="preserve"> study</w:t>
      </w:r>
      <w:r>
        <w:t>”,</w:t>
      </w:r>
      <w:r w:rsidRPr="007D20A2">
        <w:t xml:space="preserve"> </w:t>
      </w:r>
      <w:r w:rsidRPr="007D20A2">
        <w:rPr>
          <w:i/>
        </w:rPr>
        <w:t>Decision Sciences</w:t>
      </w:r>
      <w:r w:rsidRPr="007D20A2">
        <w:t xml:space="preserve">, </w:t>
      </w:r>
      <w:r>
        <w:t xml:space="preserve">Vol. </w:t>
      </w:r>
      <w:r w:rsidRPr="007D20A2">
        <w:t>51</w:t>
      </w:r>
      <w:r>
        <w:t xml:space="preserve"> No. </w:t>
      </w:r>
      <w:r w:rsidRPr="007D20A2">
        <w:t>4,</w:t>
      </w:r>
      <w:r>
        <w:t xml:space="preserve"> pp.</w:t>
      </w:r>
      <w:r w:rsidRPr="007D20A2">
        <w:t xml:space="preserve"> 985-1014.</w:t>
      </w:r>
    </w:p>
    <w:p w14:paraId="2B06DBEF" w14:textId="77777777" w:rsidR="00737F4F" w:rsidRPr="007D20A2" w:rsidRDefault="00737F4F" w:rsidP="00737F4F">
      <w:pPr>
        <w:jc w:val="both"/>
      </w:pPr>
      <w:proofErr w:type="spellStart"/>
      <w:r w:rsidRPr="007D20A2">
        <w:t>Montabon</w:t>
      </w:r>
      <w:proofErr w:type="spellEnd"/>
      <w:r w:rsidRPr="007D20A2">
        <w:t>, F., Daugherty, P. J.</w:t>
      </w:r>
      <w:r>
        <w:t xml:space="preserve"> and</w:t>
      </w:r>
      <w:r w:rsidRPr="007D20A2">
        <w:t xml:space="preserve"> Chen, H. (2018)</w:t>
      </w:r>
      <w:r>
        <w:t>,</w:t>
      </w:r>
      <w:r w:rsidRPr="007D20A2">
        <w:t xml:space="preserve"> </w:t>
      </w:r>
      <w:r>
        <w:t>“</w:t>
      </w:r>
      <w:r w:rsidRPr="007D20A2">
        <w:t>Setting standards for single respondent survey design</w:t>
      </w:r>
      <w:r>
        <w:t>”,</w:t>
      </w:r>
      <w:r w:rsidRPr="007D20A2">
        <w:t xml:space="preserve"> </w:t>
      </w:r>
      <w:r w:rsidRPr="007D20A2">
        <w:rPr>
          <w:i/>
        </w:rPr>
        <w:t>Journal of Supply Chain Management</w:t>
      </w:r>
      <w:r w:rsidRPr="007D20A2">
        <w:t xml:space="preserve">, </w:t>
      </w:r>
      <w:r>
        <w:t xml:space="preserve">Vol. </w:t>
      </w:r>
      <w:r w:rsidRPr="007D20A2">
        <w:t>54</w:t>
      </w:r>
      <w:r>
        <w:t xml:space="preserve"> No. </w:t>
      </w:r>
      <w:r w:rsidRPr="007D20A2">
        <w:t>1,</w:t>
      </w:r>
      <w:r>
        <w:t xml:space="preserve"> pp.</w:t>
      </w:r>
      <w:r w:rsidRPr="007D20A2">
        <w:t xml:space="preserve"> 35-41.</w:t>
      </w:r>
    </w:p>
    <w:p w14:paraId="41303731" w14:textId="77777777" w:rsidR="00737F4F" w:rsidRPr="007D20A2" w:rsidRDefault="00737F4F" w:rsidP="00737F4F">
      <w:pPr>
        <w:jc w:val="both"/>
      </w:pPr>
      <w:proofErr w:type="spellStart"/>
      <w:r w:rsidRPr="007D20A2">
        <w:t>Norrman</w:t>
      </w:r>
      <w:proofErr w:type="spellEnd"/>
      <w:r w:rsidRPr="007D20A2">
        <w:t>, A.</w:t>
      </w:r>
      <w:r>
        <w:t xml:space="preserve"> and</w:t>
      </w:r>
      <w:r w:rsidRPr="007D20A2">
        <w:t xml:space="preserve"> Jansson, U. (2004)</w:t>
      </w:r>
      <w:r>
        <w:t>,</w:t>
      </w:r>
      <w:r w:rsidRPr="007D20A2">
        <w:t xml:space="preserve"> </w:t>
      </w:r>
      <w:r>
        <w:t>“</w:t>
      </w:r>
      <w:r w:rsidRPr="007D20A2">
        <w:t>Ericsson's proactive supply chain risk management approach after a serious sub‐supplier accident</w:t>
      </w:r>
      <w:r>
        <w:t>”,</w:t>
      </w:r>
      <w:r w:rsidRPr="007D20A2">
        <w:t xml:space="preserve"> </w:t>
      </w:r>
      <w:r w:rsidRPr="007D20A2">
        <w:rPr>
          <w:i/>
        </w:rPr>
        <w:t>International Journal of Physical Distribution &amp; Logistics Management</w:t>
      </w:r>
      <w:r w:rsidRPr="007D20A2">
        <w:t xml:space="preserve">, </w:t>
      </w:r>
      <w:r>
        <w:t xml:space="preserve">Vol. </w:t>
      </w:r>
      <w:r w:rsidRPr="007D20A2">
        <w:t>34</w:t>
      </w:r>
      <w:r>
        <w:t xml:space="preserve"> No. </w:t>
      </w:r>
      <w:r w:rsidRPr="007D20A2">
        <w:t>5,</w:t>
      </w:r>
      <w:r>
        <w:t xml:space="preserve"> pp.</w:t>
      </w:r>
      <w:r w:rsidRPr="007D20A2">
        <w:t xml:space="preserve"> 434-456.</w:t>
      </w:r>
    </w:p>
    <w:p w14:paraId="71C224B2" w14:textId="77777777" w:rsidR="00737F4F" w:rsidRPr="007D20A2" w:rsidRDefault="00737F4F" w:rsidP="00737F4F">
      <w:pPr>
        <w:jc w:val="both"/>
      </w:pPr>
      <w:r w:rsidRPr="007D20A2">
        <w:t>Ocasio, W. (1997)</w:t>
      </w:r>
      <w:r>
        <w:t>,</w:t>
      </w:r>
      <w:r w:rsidRPr="007D20A2">
        <w:t xml:space="preserve"> </w:t>
      </w:r>
      <w:r>
        <w:t>“</w:t>
      </w:r>
      <w:r w:rsidRPr="007D20A2">
        <w:t>Towards an attention‐based view of the firm</w:t>
      </w:r>
      <w:r>
        <w:rPr>
          <w:i/>
        </w:rPr>
        <w:t>”,</w:t>
      </w:r>
      <w:r w:rsidRPr="007D20A2">
        <w:rPr>
          <w:i/>
        </w:rPr>
        <w:t xml:space="preserve"> Strategic Management Journal</w:t>
      </w:r>
      <w:r w:rsidRPr="007D20A2">
        <w:t xml:space="preserve">, </w:t>
      </w:r>
      <w:r>
        <w:t xml:space="preserve">Vol. </w:t>
      </w:r>
      <w:r w:rsidRPr="007D20A2">
        <w:t>18</w:t>
      </w:r>
      <w:r>
        <w:t xml:space="preserve"> No. </w:t>
      </w:r>
      <w:r w:rsidRPr="007D20A2">
        <w:t>S1,</w:t>
      </w:r>
      <w:r>
        <w:t xml:space="preserve"> pp.</w:t>
      </w:r>
      <w:r w:rsidRPr="007D20A2">
        <w:t xml:space="preserve"> 187-206.</w:t>
      </w:r>
    </w:p>
    <w:p w14:paraId="4006AEF5" w14:textId="77777777" w:rsidR="00737F4F" w:rsidRPr="007D20A2" w:rsidRDefault="00737F4F" w:rsidP="00737F4F">
      <w:pPr>
        <w:jc w:val="both"/>
      </w:pPr>
      <w:r w:rsidRPr="007D20A2">
        <w:t>Ocasio, W. (2011)</w:t>
      </w:r>
      <w:r>
        <w:t>,</w:t>
      </w:r>
      <w:r w:rsidRPr="007D20A2">
        <w:t xml:space="preserve"> </w:t>
      </w:r>
      <w:r>
        <w:t>“</w:t>
      </w:r>
      <w:r w:rsidRPr="007D20A2">
        <w:t>Attention to attention</w:t>
      </w:r>
      <w:r>
        <w:t>”,</w:t>
      </w:r>
      <w:r w:rsidRPr="007D20A2">
        <w:t xml:space="preserve"> </w:t>
      </w:r>
      <w:r w:rsidRPr="007D20A2">
        <w:rPr>
          <w:i/>
        </w:rPr>
        <w:t>Organization Science</w:t>
      </w:r>
      <w:r w:rsidRPr="007D20A2">
        <w:t xml:space="preserve">, </w:t>
      </w:r>
      <w:r>
        <w:t xml:space="preserve">Vol. </w:t>
      </w:r>
      <w:r w:rsidRPr="007D20A2">
        <w:t>22</w:t>
      </w:r>
      <w:r>
        <w:t xml:space="preserve"> No. </w:t>
      </w:r>
      <w:r w:rsidRPr="007D20A2">
        <w:t>5,</w:t>
      </w:r>
      <w:r>
        <w:t xml:space="preserve"> pp.</w:t>
      </w:r>
      <w:r w:rsidRPr="007D20A2">
        <w:t xml:space="preserve"> 1286-1296.</w:t>
      </w:r>
    </w:p>
    <w:p w14:paraId="5B72D53A" w14:textId="77777777" w:rsidR="00737F4F" w:rsidRPr="007D20A2" w:rsidRDefault="00737F4F" w:rsidP="00737F4F">
      <w:pPr>
        <w:jc w:val="both"/>
      </w:pPr>
      <w:r w:rsidRPr="007D20A2">
        <w:t xml:space="preserve">Pettit, T. J., </w:t>
      </w:r>
      <w:proofErr w:type="spellStart"/>
      <w:r w:rsidRPr="007D20A2">
        <w:t>Fiksel</w:t>
      </w:r>
      <w:proofErr w:type="spellEnd"/>
      <w:r w:rsidRPr="007D20A2">
        <w:t xml:space="preserve">, J., &amp; Croxton, K. L. (2010). Ensuring supply chain resilience: development and implementation of an assessment tool. </w:t>
      </w:r>
      <w:r w:rsidRPr="007D20A2">
        <w:rPr>
          <w:i/>
        </w:rPr>
        <w:t>Journal of Business Logistics</w:t>
      </w:r>
      <w:r w:rsidRPr="007D20A2">
        <w:t>, 34(1), 46-76.</w:t>
      </w:r>
    </w:p>
    <w:p w14:paraId="5F6B054F" w14:textId="77777777" w:rsidR="00737F4F" w:rsidRPr="007D20A2" w:rsidRDefault="00737F4F" w:rsidP="00737F4F">
      <w:pPr>
        <w:jc w:val="both"/>
      </w:pPr>
      <w:r w:rsidRPr="007D20A2">
        <w:t xml:space="preserve">Podsakoff, P. M., </w:t>
      </w:r>
      <w:proofErr w:type="spellStart"/>
      <w:r w:rsidRPr="007D20A2">
        <w:t>MacKenzie</w:t>
      </w:r>
      <w:proofErr w:type="spellEnd"/>
      <w:r w:rsidRPr="007D20A2">
        <w:t>, S. B., Lee, J. Y.</w:t>
      </w:r>
      <w:r>
        <w:t xml:space="preserve"> and</w:t>
      </w:r>
      <w:r w:rsidRPr="007D20A2">
        <w:t xml:space="preserve"> Podsakoff, N. P. (2003)</w:t>
      </w:r>
      <w:r>
        <w:t>,</w:t>
      </w:r>
      <w:r w:rsidRPr="007D20A2">
        <w:t xml:space="preserve"> </w:t>
      </w:r>
      <w:r>
        <w:t>“</w:t>
      </w:r>
      <w:r w:rsidRPr="007D20A2">
        <w:t xml:space="preserve">Common method biases in </w:t>
      </w:r>
      <w:proofErr w:type="spellStart"/>
      <w:r w:rsidRPr="007D20A2">
        <w:t>behavioral</w:t>
      </w:r>
      <w:proofErr w:type="spellEnd"/>
      <w:r w:rsidRPr="007D20A2">
        <w:t xml:space="preserve"> research: a critical review of the literature and recommended remedies</w:t>
      </w:r>
      <w:r>
        <w:t>”,</w:t>
      </w:r>
      <w:r w:rsidRPr="007D20A2">
        <w:t xml:space="preserve"> </w:t>
      </w:r>
      <w:r w:rsidRPr="007D20A2">
        <w:rPr>
          <w:i/>
        </w:rPr>
        <w:t>Journal of Applied Psychology</w:t>
      </w:r>
      <w:r w:rsidRPr="007D20A2">
        <w:t xml:space="preserve">, </w:t>
      </w:r>
      <w:r>
        <w:t xml:space="preserve">Vol. </w:t>
      </w:r>
      <w:r w:rsidRPr="007D20A2">
        <w:t>88</w:t>
      </w:r>
      <w:r>
        <w:t xml:space="preserve"> No. </w:t>
      </w:r>
      <w:r w:rsidRPr="007D20A2">
        <w:t>5,</w:t>
      </w:r>
      <w:r>
        <w:t xml:space="preserve"> pp.</w:t>
      </w:r>
      <w:r w:rsidRPr="007D20A2">
        <w:t xml:space="preserve"> 879.</w:t>
      </w:r>
    </w:p>
    <w:p w14:paraId="27B78F7A" w14:textId="77777777" w:rsidR="00737F4F" w:rsidRPr="007D20A2" w:rsidRDefault="00737F4F" w:rsidP="00737F4F">
      <w:pPr>
        <w:jc w:val="both"/>
      </w:pPr>
      <w:r w:rsidRPr="007D20A2">
        <w:t>Revilla, E.</w:t>
      </w:r>
      <w:r>
        <w:t xml:space="preserve"> and</w:t>
      </w:r>
      <w:r w:rsidRPr="007D20A2">
        <w:t xml:space="preserve"> Saenz, M. J. (2017)</w:t>
      </w:r>
      <w:r>
        <w:t>,</w:t>
      </w:r>
      <w:r w:rsidRPr="007D20A2">
        <w:t xml:space="preserve"> </w:t>
      </w:r>
      <w:r>
        <w:t>“</w:t>
      </w:r>
      <w:r w:rsidRPr="007D20A2">
        <w:t>The impact of risk management on the frequency of supply chain disruptions</w:t>
      </w:r>
      <w:r>
        <w:t>”,</w:t>
      </w:r>
      <w:r w:rsidRPr="007D20A2">
        <w:t xml:space="preserve"> </w:t>
      </w:r>
      <w:r w:rsidRPr="007D20A2">
        <w:rPr>
          <w:i/>
        </w:rPr>
        <w:t>International Journal of Operations &amp; Production Management</w:t>
      </w:r>
      <w:r w:rsidRPr="007D20A2">
        <w:t xml:space="preserve">, </w:t>
      </w:r>
      <w:r>
        <w:t xml:space="preserve">Vol. </w:t>
      </w:r>
      <w:r w:rsidRPr="007D20A2">
        <w:t>37</w:t>
      </w:r>
      <w:r>
        <w:t xml:space="preserve"> No. </w:t>
      </w:r>
      <w:r w:rsidRPr="007D20A2">
        <w:t>5,</w:t>
      </w:r>
      <w:r>
        <w:t xml:space="preserve"> pp.</w:t>
      </w:r>
      <w:r w:rsidRPr="007D20A2">
        <w:t xml:space="preserve"> 557-576.</w:t>
      </w:r>
    </w:p>
    <w:p w14:paraId="480804C0" w14:textId="01BE3440" w:rsidR="00737F4F" w:rsidRDefault="00737F4F" w:rsidP="00737F4F">
      <w:pPr>
        <w:jc w:val="both"/>
      </w:pPr>
      <w:r w:rsidRPr="00705F74">
        <w:t xml:space="preserve">Riley, J. M., Klein, R., Miller, J. and </w:t>
      </w:r>
      <w:r w:rsidRPr="007D20A2">
        <w:t>Sridharan, V. (2016)</w:t>
      </w:r>
      <w:r>
        <w:t>,</w:t>
      </w:r>
      <w:r w:rsidRPr="007D20A2">
        <w:t xml:space="preserve"> </w:t>
      </w:r>
      <w:r>
        <w:t>“</w:t>
      </w:r>
      <w:r w:rsidRPr="007D20A2">
        <w:t>How internal integration, information sharing, and training affect supply chain risk management capabilities</w:t>
      </w:r>
      <w:r>
        <w:rPr>
          <w:i/>
        </w:rPr>
        <w:t>”,</w:t>
      </w:r>
      <w:r w:rsidRPr="007D20A2">
        <w:rPr>
          <w:i/>
        </w:rPr>
        <w:t xml:space="preserve"> International Journal of Physical Distribution &amp; Logistics Management</w:t>
      </w:r>
      <w:r w:rsidRPr="007D20A2">
        <w:t xml:space="preserve">, </w:t>
      </w:r>
      <w:r>
        <w:t xml:space="preserve">Vol. </w:t>
      </w:r>
      <w:r w:rsidRPr="007D20A2">
        <w:t>46</w:t>
      </w:r>
      <w:r>
        <w:t xml:space="preserve"> No. </w:t>
      </w:r>
      <w:r w:rsidRPr="007D20A2">
        <w:t>10,</w:t>
      </w:r>
      <w:r>
        <w:t xml:space="preserve"> pp.</w:t>
      </w:r>
      <w:r w:rsidRPr="007D20A2">
        <w:t xml:space="preserve"> 953-980.</w:t>
      </w:r>
    </w:p>
    <w:p w14:paraId="78E73325" w14:textId="3DF04733" w:rsidR="006B2A94" w:rsidRPr="007D20A2" w:rsidRDefault="006B2A94" w:rsidP="00737F4F">
      <w:pPr>
        <w:jc w:val="both"/>
      </w:pPr>
      <w:proofErr w:type="spellStart"/>
      <w:r w:rsidRPr="006B2A94">
        <w:t>Rungtusanatham</w:t>
      </w:r>
      <w:proofErr w:type="spellEnd"/>
      <w:r w:rsidRPr="006B2A94">
        <w:t xml:space="preserve">, M., Forza, C., </w:t>
      </w:r>
      <w:proofErr w:type="spellStart"/>
      <w:r w:rsidRPr="006B2A94">
        <w:t>Koka</w:t>
      </w:r>
      <w:proofErr w:type="spellEnd"/>
      <w:r w:rsidRPr="006B2A94">
        <w:t xml:space="preserve">, B. R., Salvador, F. and </w:t>
      </w:r>
      <w:proofErr w:type="spellStart"/>
      <w:r w:rsidRPr="006B2A94">
        <w:t>Nie</w:t>
      </w:r>
      <w:proofErr w:type="spellEnd"/>
      <w:r w:rsidRPr="006B2A94">
        <w:t xml:space="preserve">, W. (2005), </w:t>
      </w:r>
      <w:r>
        <w:t>“</w:t>
      </w:r>
      <w:r w:rsidRPr="006B2A94">
        <w:t>TQM across multiple countries: convergence hypothesis versus nat</w:t>
      </w:r>
      <w:r>
        <w:t>ional specificity arguments”,</w:t>
      </w:r>
      <w:r w:rsidRPr="006B2A94">
        <w:t xml:space="preserve"> </w:t>
      </w:r>
      <w:r w:rsidRPr="006B2A94">
        <w:rPr>
          <w:i/>
        </w:rPr>
        <w:t>Journal of Operations Management</w:t>
      </w:r>
      <w:r w:rsidRPr="006B2A94">
        <w:t xml:space="preserve">, </w:t>
      </w:r>
      <w:r>
        <w:t xml:space="preserve">Vol. </w:t>
      </w:r>
      <w:r w:rsidRPr="006B2A94">
        <w:t>23</w:t>
      </w:r>
      <w:r>
        <w:t xml:space="preserve"> No. </w:t>
      </w:r>
      <w:r w:rsidRPr="006B2A94">
        <w:t>1,</w:t>
      </w:r>
      <w:r>
        <w:t xml:space="preserve"> pp.</w:t>
      </w:r>
      <w:r w:rsidRPr="006B2A94">
        <w:t xml:space="preserve"> 43-63.</w:t>
      </w:r>
    </w:p>
    <w:p w14:paraId="76AB13E3" w14:textId="77777777" w:rsidR="00737F4F" w:rsidRPr="00E657AB" w:rsidRDefault="00737F4F" w:rsidP="00737F4F">
      <w:pPr>
        <w:jc w:val="both"/>
      </w:pPr>
      <w:r w:rsidRPr="00E657AB">
        <w:t xml:space="preserve">Sarkis, J. (2020). Supply chain sustainability: learning from the COVID-19 pandemic. </w:t>
      </w:r>
      <w:r w:rsidRPr="00E657AB">
        <w:rPr>
          <w:i/>
        </w:rPr>
        <w:t>International Journal of Operations &amp; Production Management</w:t>
      </w:r>
      <w:r w:rsidRPr="00E657AB">
        <w:t>.</w:t>
      </w:r>
    </w:p>
    <w:p w14:paraId="1C26D903" w14:textId="77777777" w:rsidR="00737F4F" w:rsidRPr="007D20A2" w:rsidRDefault="00737F4F" w:rsidP="00737F4F">
      <w:pPr>
        <w:jc w:val="both"/>
      </w:pPr>
      <w:r w:rsidRPr="00E657AB">
        <w:t xml:space="preserve">Schulz-Hardt, S., Frey, D., </w:t>
      </w:r>
      <w:proofErr w:type="spellStart"/>
      <w:r w:rsidRPr="00E657AB">
        <w:t>Lüthgens</w:t>
      </w:r>
      <w:proofErr w:type="spellEnd"/>
      <w:r w:rsidRPr="00E657AB">
        <w:t>, C. and Moscovici, S. (2000), “</w:t>
      </w:r>
      <w:r w:rsidRPr="00E910CD">
        <w:t xml:space="preserve">Biased information search in group decision making”, </w:t>
      </w:r>
      <w:r w:rsidRPr="00E910CD">
        <w:rPr>
          <w:i/>
        </w:rPr>
        <w:t>Journal of Personality and Social Psychology</w:t>
      </w:r>
      <w:r w:rsidRPr="00E910CD">
        <w:t>, Vol. 78 No. 4, pp. 655.</w:t>
      </w:r>
    </w:p>
    <w:p w14:paraId="19601126" w14:textId="77777777" w:rsidR="00737F4F" w:rsidRPr="007D20A2" w:rsidRDefault="00737F4F" w:rsidP="00737F4F">
      <w:pPr>
        <w:jc w:val="both"/>
      </w:pPr>
      <w:r w:rsidRPr="007D20A2">
        <w:t>Shao, X. F. (2013)</w:t>
      </w:r>
      <w:r>
        <w:t>,</w:t>
      </w:r>
      <w:r w:rsidRPr="007D20A2">
        <w:t xml:space="preserve"> </w:t>
      </w:r>
      <w:r>
        <w:t>“</w:t>
      </w:r>
      <w:r w:rsidRPr="007D20A2">
        <w:t>Supply chain characteristics and disruption mitigation capability: an empirical investigation in China</w:t>
      </w:r>
      <w:r>
        <w:rPr>
          <w:i/>
        </w:rPr>
        <w:t>”,</w:t>
      </w:r>
      <w:r w:rsidRPr="007D20A2">
        <w:rPr>
          <w:i/>
        </w:rPr>
        <w:t xml:space="preserve"> International Journal of Logistics Research and Applications</w:t>
      </w:r>
      <w:r w:rsidRPr="007D20A2">
        <w:t xml:space="preserve">, </w:t>
      </w:r>
      <w:r>
        <w:t xml:space="preserve">Vol. </w:t>
      </w:r>
      <w:r w:rsidRPr="007D20A2">
        <w:t>16</w:t>
      </w:r>
      <w:r>
        <w:t xml:space="preserve"> No. </w:t>
      </w:r>
      <w:r w:rsidRPr="007D20A2">
        <w:t>4,</w:t>
      </w:r>
      <w:r>
        <w:t xml:space="preserve"> pp.</w:t>
      </w:r>
      <w:r w:rsidRPr="007D20A2">
        <w:t xml:space="preserve"> 277-295.</w:t>
      </w:r>
    </w:p>
    <w:p w14:paraId="157E961B" w14:textId="77777777" w:rsidR="00737F4F" w:rsidRPr="00E657AB" w:rsidRDefault="00737F4F" w:rsidP="00737F4F">
      <w:pPr>
        <w:jc w:val="both"/>
      </w:pPr>
      <w:proofErr w:type="spellStart"/>
      <w:r w:rsidRPr="00E657AB">
        <w:lastRenderedPageBreak/>
        <w:t>Sheffi</w:t>
      </w:r>
      <w:proofErr w:type="spellEnd"/>
      <w:r w:rsidRPr="00E657AB">
        <w:t xml:space="preserve">, Y. (2005), </w:t>
      </w:r>
      <w:r w:rsidRPr="00E657AB">
        <w:rPr>
          <w:i/>
        </w:rPr>
        <w:t>The resilient enterprise: Overcoming vulnerability for competitive advantage</w:t>
      </w:r>
      <w:r w:rsidRPr="00E657AB">
        <w:t xml:space="preserve">, The MIT Press, Cambridge, </w:t>
      </w:r>
      <w:proofErr w:type="spellStart"/>
      <w:r w:rsidRPr="00E657AB">
        <w:t>Massachusetss</w:t>
      </w:r>
      <w:proofErr w:type="spellEnd"/>
      <w:r w:rsidRPr="00E657AB">
        <w:t>.</w:t>
      </w:r>
    </w:p>
    <w:p w14:paraId="34513F3C" w14:textId="77777777" w:rsidR="00737F4F" w:rsidRPr="007D20A2" w:rsidRDefault="00737F4F" w:rsidP="00737F4F">
      <w:pPr>
        <w:jc w:val="both"/>
      </w:pPr>
      <w:r w:rsidRPr="007D20A2">
        <w:t xml:space="preserve">Shepherd, D. A., </w:t>
      </w:r>
      <w:proofErr w:type="spellStart"/>
      <w:r w:rsidRPr="007D20A2">
        <w:t>Mcmullen</w:t>
      </w:r>
      <w:proofErr w:type="spellEnd"/>
      <w:r w:rsidRPr="007D20A2">
        <w:t>, J. S.</w:t>
      </w:r>
      <w:r>
        <w:t xml:space="preserve"> and</w:t>
      </w:r>
      <w:r w:rsidRPr="007D20A2">
        <w:t xml:space="preserve"> Ocasio, W. (2017)</w:t>
      </w:r>
      <w:r>
        <w:t>,</w:t>
      </w:r>
      <w:r w:rsidRPr="007D20A2">
        <w:t xml:space="preserve"> </w:t>
      </w:r>
      <w:r>
        <w:t>“</w:t>
      </w:r>
      <w:r w:rsidRPr="007D20A2">
        <w:t>Is that an opportunity? An attention model of top managers' opportunity beliefs for strategic action</w:t>
      </w:r>
      <w:r>
        <w:t>”,</w:t>
      </w:r>
      <w:r w:rsidRPr="007D20A2">
        <w:t xml:space="preserve"> </w:t>
      </w:r>
      <w:r w:rsidRPr="007D20A2">
        <w:rPr>
          <w:i/>
        </w:rPr>
        <w:t>Strategic Management Journal</w:t>
      </w:r>
      <w:r w:rsidRPr="007D20A2">
        <w:t xml:space="preserve">, </w:t>
      </w:r>
      <w:r>
        <w:t xml:space="preserve">Vol. </w:t>
      </w:r>
      <w:r w:rsidRPr="007D20A2">
        <w:t>38</w:t>
      </w:r>
      <w:r>
        <w:t xml:space="preserve"> No. </w:t>
      </w:r>
      <w:r w:rsidRPr="007D20A2">
        <w:t>3,</w:t>
      </w:r>
      <w:r>
        <w:t xml:space="preserve"> pp.</w:t>
      </w:r>
      <w:r w:rsidRPr="007D20A2">
        <w:t xml:space="preserve"> 626-644.</w:t>
      </w:r>
    </w:p>
    <w:p w14:paraId="2BF3A7D5" w14:textId="77777777" w:rsidR="00737F4F" w:rsidRDefault="00737F4F" w:rsidP="00737F4F">
      <w:pPr>
        <w:jc w:val="both"/>
      </w:pPr>
      <w:proofErr w:type="spellStart"/>
      <w:r w:rsidRPr="007D20A2">
        <w:t>Simchi</w:t>
      </w:r>
      <w:proofErr w:type="spellEnd"/>
      <w:r w:rsidRPr="007D20A2">
        <w:t>-Levi, D., Schmidt, W.</w:t>
      </w:r>
      <w:r>
        <w:t xml:space="preserve"> and</w:t>
      </w:r>
      <w:r w:rsidRPr="007D20A2">
        <w:t xml:space="preserve"> Wei, Y. (2014)</w:t>
      </w:r>
      <w:r>
        <w:t>,</w:t>
      </w:r>
      <w:r w:rsidRPr="007D20A2">
        <w:t xml:space="preserve"> </w:t>
      </w:r>
      <w:r>
        <w:t>“</w:t>
      </w:r>
      <w:r w:rsidRPr="007D20A2">
        <w:t>From superstorms to factory fires: Managing unpredictable supply chain disruptions</w:t>
      </w:r>
      <w:r>
        <w:rPr>
          <w:i/>
        </w:rPr>
        <w:t>”,</w:t>
      </w:r>
      <w:r w:rsidRPr="007D20A2">
        <w:rPr>
          <w:i/>
        </w:rPr>
        <w:t xml:space="preserve"> Harvard Business Review</w:t>
      </w:r>
      <w:r w:rsidRPr="007D20A2">
        <w:t xml:space="preserve">, </w:t>
      </w:r>
      <w:r>
        <w:t xml:space="preserve">Vol. </w:t>
      </w:r>
      <w:r w:rsidRPr="007D20A2">
        <w:t>92</w:t>
      </w:r>
      <w:r>
        <w:t xml:space="preserve"> No. </w:t>
      </w:r>
      <w:r w:rsidRPr="007D20A2">
        <w:t>1-2,</w:t>
      </w:r>
      <w:r>
        <w:t xml:space="preserve"> pp.</w:t>
      </w:r>
      <w:r w:rsidRPr="007D20A2">
        <w:t xml:space="preserve"> 96-101.</w:t>
      </w:r>
    </w:p>
    <w:p w14:paraId="3D7A5159" w14:textId="77777777" w:rsidR="00737F4F" w:rsidRDefault="00737F4F" w:rsidP="00737F4F">
      <w:pPr>
        <w:jc w:val="both"/>
      </w:pPr>
      <w:proofErr w:type="spellStart"/>
      <w:r w:rsidRPr="00216D8F">
        <w:t>Simchi</w:t>
      </w:r>
      <w:proofErr w:type="spellEnd"/>
      <w:r w:rsidRPr="00216D8F">
        <w:t>-Levi, D., Schmidt, W., Wei, Y., Zhang, P. Y., Combs, K., Ge, Y., ... &amp; Zhang, D. (2015). Identifying risks and mitigating disruptions in the automotive supply chain. Interfaces, 45(5), 375-390.</w:t>
      </w:r>
    </w:p>
    <w:p w14:paraId="188F9B4D" w14:textId="77777777" w:rsidR="00737F4F" w:rsidRPr="007D20A2" w:rsidRDefault="00737F4F" w:rsidP="00737F4F">
      <w:pPr>
        <w:jc w:val="both"/>
      </w:pPr>
      <w:proofErr w:type="spellStart"/>
      <w:r w:rsidRPr="00216D8F">
        <w:t>Simchi</w:t>
      </w:r>
      <w:proofErr w:type="spellEnd"/>
      <w:r w:rsidRPr="00216D8F">
        <w:t>‐Levi, D., Wang, H., &amp; Wei, Y. (2018). Increasing supply chain robustness through process flexibility and inventory. Production and Operations Management, 27(8), 1476-1491.</w:t>
      </w:r>
    </w:p>
    <w:p w14:paraId="584595E3" w14:textId="77777777" w:rsidR="00737F4F" w:rsidRPr="007D20A2" w:rsidRDefault="00737F4F" w:rsidP="00737F4F">
      <w:pPr>
        <w:jc w:val="both"/>
      </w:pPr>
      <w:r w:rsidRPr="007D20A2">
        <w:t>Simon, H. A. (1947)</w:t>
      </w:r>
      <w:r>
        <w:t>,</w:t>
      </w:r>
      <w:r w:rsidRPr="007D20A2">
        <w:t xml:space="preserve"> </w:t>
      </w:r>
      <w:r>
        <w:t>“</w:t>
      </w:r>
      <w:r w:rsidRPr="007D20A2">
        <w:t>A Comment on</w:t>
      </w:r>
      <w:r>
        <w:t xml:space="preserve"> ‘</w:t>
      </w:r>
      <w:r w:rsidRPr="007D20A2">
        <w:t>The Science of Public Administration</w:t>
      </w:r>
      <w:r>
        <w:t>’”,</w:t>
      </w:r>
      <w:r w:rsidRPr="007D20A2">
        <w:t xml:space="preserve"> </w:t>
      </w:r>
      <w:r w:rsidRPr="007D20A2">
        <w:rPr>
          <w:i/>
        </w:rPr>
        <w:t>Public Administration Review</w:t>
      </w:r>
      <w:r w:rsidRPr="007D20A2">
        <w:t xml:space="preserve">, </w:t>
      </w:r>
      <w:r>
        <w:t xml:space="preserve">Vol. </w:t>
      </w:r>
      <w:r w:rsidRPr="007D20A2">
        <w:t>7</w:t>
      </w:r>
      <w:r>
        <w:t xml:space="preserve"> No. </w:t>
      </w:r>
      <w:r w:rsidRPr="007D20A2">
        <w:t>3,</w:t>
      </w:r>
      <w:r>
        <w:t xml:space="preserve"> pp.</w:t>
      </w:r>
      <w:r w:rsidRPr="007D20A2">
        <w:t xml:space="preserve"> 200-203.</w:t>
      </w:r>
    </w:p>
    <w:p w14:paraId="00941929" w14:textId="77777777" w:rsidR="00737F4F" w:rsidRDefault="00737F4F" w:rsidP="00737F4F">
      <w:pPr>
        <w:jc w:val="both"/>
      </w:pPr>
      <w:r w:rsidRPr="007D20A2">
        <w:t>Sodhi, M. S.</w:t>
      </w:r>
      <w:r>
        <w:t xml:space="preserve"> and</w:t>
      </w:r>
      <w:r w:rsidRPr="007D20A2">
        <w:t xml:space="preserve"> Tang, C. S. (202</w:t>
      </w:r>
      <w:r>
        <w:t>1</w:t>
      </w:r>
      <w:r w:rsidRPr="007D20A2">
        <w:t>)</w:t>
      </w:r>
      <w:r>
        <w:t>,</w:t>
      </w:r>
      <w:r w:rsidRPr="007D20A2">
        <w:t xml:space="preserve"> </w:t>
      </w:r>
      <w:r>
        <w:t>“</w:t>
      </w:r>
      <w:r w:rsidRPr="007D20A2">
        <w:t xml:space="preserve">Supply </w:t>
      </w:r>
      <w:r>
        <w:t>c</w:t>
      </w:r>
      <w:r w:rsidRPr="007D20A2">
        <w:t xml:space="preserve">hain </w:t>
      </w:r>
      <w:r>
        <w:t>m</w:t>
      </w:r>
      <w:r w:rsidRPr="007D20A2">
        <w:t xml:space="preserve">anagement for </w:t>
      </w:r>
      <w:r>
        <w:t>e</w:t>
      </w:r>
      <w:r w:rsidRPr="007D20A2">
        <w:t xml:space="preserve">xtreme </w:t>
      </w:r>
      <w:r>
        <w:t>c</w:t>
      </w:r>
      <w:r w:rsidRPr="007D20A2">
        <w:t xml:space="preserve">onditions: Research </w:t>
      </w:r>
      <w:r>
        <w:t>o</w:t>
      </w:r>
      <w:r w:rsidRPr="007D20A2">
        <w:t>pportunities</w:t>
      </w:r>
      <w:r>
        <w:rPr>
          <w:i/>
        </w:rPr>
        <w:t>”,</w:t>
      </w:r>
      <w:r w:rsidRPr="007D20A2">
        <w:rPr>
          <w:i/>
        </w:rPr>
        <w:t xml:space="preserve"> Journal of Supply Chain Management</w:t>
      </w:r>
      <w:r>
        <w:t>, Vol. 57 No. 1, pp. 7-16.</w:t>
      </w:r>
    </w:p>
    <w:p w14:paraId="4C95D864" w14:textId="77777777" w:rsidR="00737F4F" w:rsidRPr="00705F74" w:rsidRDefault="00737F4F" w:rsidP="00737F4F">
      <w:pPr>
        <w:jc w:val="both"/>
        <w:rPr>
          <w:i/>
        </w:rPr>
      </w:pPr>
      <w:r>
        <w:t xml:space="preserve">Son, B.-G., Chae, S., </w:t>
      </w:r>
      <w:proofErr w:type="spellStart"/>
      <w:r>
        <w:t>Kocabasoglu-Hillmer</w:t>
      </w:r>
      <w:proofErr w:type="spellEnd"/>
      <w:r>
        <w:t>, C. (2021), “</w:t>
      </w:r>
      <w:r w:rsidRPr="0015430D">
        <w:t>Catastrophic supply chain disruptions and supply network changes: a study of the 2011 Japanese earthquake</w:t>
      </w:r>
      <w:r>
        <w:t xml:space="preserve">”, </w:t>
      </w:r>
      <w:r>
        <w:rPr>
          <w:i/>
        </w:rPr>
        <w:t>International Journal of Operations &amp; Production Management.</w:t>
      </w:r>
    </w:p>
    <w:p w14:paraId="2B9B4B66" w14:textId="77777777" w:rsidR="00737F4F" w:rsidRDefault="00737F4F" w:rsidP="00737F4F">
      <w:pPr>
        <w:jc w:val="both"/>
      </w:pPr>
      <w:r w:rsidRPr="007D20A2">
        <w:t>Walsh, J. P. (1995)</w:t>
      </w:r>
      <w:r>
        <w:t>,</w:t>
      </w:r>
      <w:r w:rsidRPr="007D20A2">
        <w:t xml:space="preserve"> </w:t>
      </w:r>
      <w:r>
        <w:t>“</w:t>
      </w:r>
      <w:r w:rsidRPr="007D20A2">
        <w:t>Managerial and organizational cognition: Notes from a trip down memory lane</w:t>
      </w:r>
      <w:r>
        <w:t>”,</w:t>
      </w:r>
      <w:r w:rsidRPr="007D20A2">
        <w:t xml:space="preserve"> </w:t>
      </w:r>
      <w:r w:rsidRPr="007D20A2">
        <w:rPr>
          <w:i/>
        </w:rPr>
        <w:t>Organization Science</w:t>
      </w:r>
      <w:r w:rsidRPr="007D20A2">
        <w:t xml:space="preserve">, </w:t>
      </w:r>
      <w:r>
        <w:t xml:space="preserve">Vol. </w:t>
      </w:r>
      <w:r w:rsidRPr="007D20A2">
        <w:t>6</w:t>
      </w:r>
      <w:r>
        <w:t xml:space="preserve"> No. </w:t>
      </w:r>
      <w:r w:rsidRPr="007D20A2">
        <w:t>3,</w:t>
      </w:r>
      <w:r>
        <w:t xml:space="preserve"> pp.</w:t>
      </w:r>
      <w:r w:rsidRPr="007D20A2">
        <w:t xml:space="preserve"> 280-321.</w:t>
      </w:r>
    </w:p>
    <w:p w14:paraId="7FA8498A" w14:textId="4E02337C" w:rsidR="00737F4F" w:rsidRDefault="00737F4F" w:rsidP="00737F4F">
      <w:pPr>
        <w:jc w:val="both"/>
      </w:pPr>
      <w:r w:rsidRPr="00CE342C">
        <w:t xml:space="preserve">Wieland, </w:t>
      </w:r>
      <w:r>
        <w:t>A. and</w:t>
      </w:r>
      <w:r w:rsidRPr="00CE342C">
        <w:t xml:space="preserve"> </w:t>
      </w:r>
      <w:proofErr w:type="spellStart"/>
      <w:r w:rsidRPr="00CE342C">
        <w:t>Durach</w:t>
      </w:r>
      <w:proofErr w:type="spellEnd"/>
      <w:r w:rsidRPr="00CE342C">
        <w:t>, C</w:t>
      </w:r>
      <w:r>
        <w:t>.</w:t>
      </w:r>
      <w:r w:rsidRPr="00CE342C">
        <w:t xml:space="preserve"> F. (2021): Two perspectives on supply chain resilience. In: Journal of Business Logistics. DOI: 10.1111/jbl.12271.</w:t>
      </w:r>
    </w:p>
    <w:p w14:paraId="457DE819" w14:textId="6613DCF9" w:rsidR="006B2A94" w:rsidRPr="007D20A2" w:rsidRDefault="006B2A94" w:rsidP="00737F4F">
      <w:pPr>
        <w:jc w:val="both"/>
      </w:pPr>
      <w:proofErr w:type="spellStart"/>
      <w:r>
        <w:t>Wiengarten</w:t>
      </w:r>
      <w:proofErr w:type="spellEnd"/>
      <w:r>
        <w:t xml:space="preserve">, F. and </w:t>
      </w:r>
      <w:proofErr w:type="spellStart"/>
      <w:r>
        <w:t>Pagell</w:t>
      </w:r>
      <w:proofErr w:type="spellEnd"/>
      <w:r>
        <w:t>, M. (2012),</w:t>
      </w:r>
      <w:r w:rsidRPr="006B2A94">
        <w:t xml:space="preserve"> </w:t>
      </w:r>
      <w:r>
        <w:t>“</w:t>
      </w:r>
      <w:r w:rsidRPr="006B2A94">
        <w:t>The importance of quality management for the success of envir</w:t>
      </w:r>
      <w:r>
        <w:t>onmental management initiatives”,</w:t>
      </w:r>
      <w:r w:rsidRPr="006B2A94">
        <w:t xml:space="preserve"> </w:t>
      </w:r>
      <w:r w:rsidRPr="006B2A94">
        <w:rPr>
          <w:i/>
        </w:rPr>
        <w:t>International Journal of Production Economics</w:t>
      </w:r>
      <w:r w:rsidRPr="006B2A94">
        <w:t xml:space="preserve">, </w:t>
      </w:r>
      <w:r>
        <w:t xml:space="preserve">Vol. </w:t>
      </w:r>
      <w:r w:rsidRPr="006B2A94">
        <w:t>140</w:t>
      </w:r>
      <w:r>
        <w:t xml:space="preserve"> No. </w:t>
      </w:r>
      <w:r w:rsidRPr="006B2A94">
        <w:t>1,</w:t>
      </w:r>
      <w:r>
        <w:t xml:space="preserve"> pp.</w:t>
      </w:r>
      <w:r w:rsidRPr="006B2A94">
        <w:t xml:space="preserve"> 407-415.</w:t>
      </w:r>
    </w:p>
    <w:p w14:paraId="761A29E4" w14:textId="77777777" w:rsidR="00737F4F" w:rsidRPr="007D20A2" w:rsidRDefault="00737F4F" w:rsidP="00737F4F">
      <w:pPr>
        <w:jc w:val="both"/>
      </w:pPr>
      <w:proofErr w:type="spellStart"/>
      <w:r w:rsidRPr="007D20A2">
        <w:t>Wiengarten</w:t>
      </w:r>
      <w:proofErr w:type="spellEnd"/>
      <w:r w:rsidRPr="007D20A2">
        <w:t xml:space="preserve">, F., </w:t>
      </w:r>
      <w:proofErr w:type="spellStart"/>
      <w:r w:rsidRPr="007D20A2">
        <w:t>Pagell</w:t>
      </w:r>
      <w:proofErr w:type="spellEnd"/>
      <w:r w:rsidRPr="007D20A2">
        <w:t>, M.</w:t>
      </w:r>
      <w:r>
        <w:t xml:space="preserve"> and</w:t>
      </w:r>
      <w:r w:rsidRPr="007D20A2">
        <w:t xml:space="preserve"> </w:t>
      </w:r>
      <w:proofErr w:type="spellStart"/>
      <w:r w:rsidRPr="007D20A2">
        <w:t>Fynes</w:t>
      </w:r>
      <w:proofErr w:type="spellEnd"/>
      <w:r w:rsidRPr="007D20A2">
        <w:t>, B. (2012)</w:t>
      </w:r>
      <w:r>
        <w:t>,</w:t>
      </w:r>
      <w:r w:rsidRPr="007D20A2">
        <w:t xml:space="preserve"> </w:t>
      </w:r>
      <w:r>
        <w:t>“</w:t>
      </w:r>
      <w:r w:rsidRPr="007D20A2">
        <w:t>Supply chain environmental investments in dynamic industries: Comparing investment and performance differences with static industries</w:t>
      </w:r>
      <w:r>
        <w:t>”,</w:t>
      </w:r>
      <w:r w:rsidRPr="007D20A2">
        <w:t xml:space="preserve"> </w:t>
      </w:r>
      <w:r w:rsidRPr="007D20A2">
        <w:rPr>
          <w:i/>
        </w:rPr>
        <w:t>International Journal of Production Economics</w:t>
      </w:r>
      <w:r w:rsidRPr="007D20A2">
        <w:t xml:space="preserve">, </w:t>
      </w:r>
      <w:r>
        <w:t xml:space="preserve">Vol. </w:t>
      </w:r>
      <w:r w:rsidRPr="007D20A2">
        <w:t>135</w:t>
      </w:r>
      <w:r>
        <w:t xml:space="preserve"> No. </w:t>
      </w:r>
      <w:r w:rsidRPr="007D20A2">
        <w:t>2,</w:t>
      </w:r>
      <w:r>
        <w:t xml:space="preserve"> pp.</w:t>
      </w:r>
      <w:r w:rsidRPr="007D20A2">
        <w:t xml:space="preserve"> 541-551.</w:t>
      </w:r>
    </w:p>
    <w:p w14:paraId="64C60C48" w14:textId="77777777" w:rsidR="00737F4F" w:rsidRPr="007D20A2" w:rsidRDefault="00737F4F" w:rsidP="00737F4F">
      <w:pPr>
        <w:jc w:val="both"/>
      </w:pPr>
      <w:r w:rsidRPr="007D20A2">
        <w:t xml:space="preserve">Williams, L. J., Hartman, N., &amp; </w:t>
      </w:r>
      <w:proofErr w:type="spellStart"/>
      <w:r w:rsidRPr="007D20A2">
        <w:t>Cavazotte</w:t>
      </w:r>
      <w:proofErr w:type="spellEnd"/>
      <w:r w:rsidRPr="007D20A2">
        <w:t>, F. (2010)</w:t>
      </w:r>
      <w:r>
        <w:t>,</w:t>
      </w:r>
      <w:r w:rsidRPr="007D20A2">
        <w:t xml:space="preserve"> </w:t>
      </w:r>
      <w:r>
        <w:t>“</w:t>
      </w:r>
      <w:r w:rsidRPr="007D20A2">
        <w:t>Method variance and marker variables: A review and comprehensive CFA marker technique</w:t>
      </w:r>
      <w:r>
        <w:t>”,</w:t>
      </w:r>
      <w:r w:rsidRPr="007D20A2">
        <w:t xml:space="preserve"> </w:t>
      </w:r>
      <w:r w:rsidRPr="007D20A2">
        <w:rPr>
          <w:i/>
        </w:rPr>
        <w:t>Organizational Research Methods</w:t>
      </w:r>
      <w:r w:rsidRPr="007D20A2">
        <w:t xml:space="preserve">, </w:t>
      </w:r>
      <w:r>
        <w:t xml:space="preserve">Vol. </w:t>
      </w:r>
      <w:r w:rsidRPr="007D20A2">
        <w:t>13</w:t>
      </w:r>
      <w:r>
        <w:t xml:space="preserve"> No. </w:t>
      </w:r>
      <w:r w:rsidRPr="007D20A2">
        <w:t>3,</w:t>
      </w:r>
      <w:r>
        <w:t xml:space="preserve"> pp.</w:t>
      </w:r>
      <w:r w:rsidRPr="007D20A2">
        <w:t xml:space="preserve"> 477-514.</w:t>
      </w:r>
    </w:p>
    <w:p w14:paraId="1CD21B1F" w14:textId="77777777" w:rsidR="00737F4F" w:rsidRPr="007D20A2" w:rsidRDefault="00737F4F" w:rsidP="00737F4F">
      <w:pPr>
        <w:jc w:val="both"/>
      </w:pPr>
      <w:proofErr w:type="spellStart"/>
      <w:r w:rsidRPr="007D20A2">
        <w:t>Wouters</w:t>
      </w:r>
      <w:proofErr w:type="spellEnd"/>
      <w:r w:rsidRPr="007D20A2">
        <w:t>, M., Anderson, J. C.</w:t>
      </w:r>
      <w:r>
        <w:t xml:space="preserve"> and</w:t>
      </w:r>
      <w:r w:rsidRPr="007D20A2">
        <w:t xml:space="preserve"> </w:t>
      </w:r>
      <w:proofErr w:type="spellStart"/>
      <w:r w:rsidRPr="007D20A2">
        <w:t>Wynstra</w:t>
      </w:r>
      <w:proofErr w:type="spellEnd"/>
      <w:r w:rsidRPr="007D20A2">
        <w:t>, F. (2005)</w:t>
      </w:r>
      <w:r>
        <w:t>,</w:t>
      </w:r>
      <w:r w:rsidRPr="007D20A2">
        <w:t xml:space="preserve"> </w:t>
      </w:r>
      <w:r>
        <w:t>“</w:t>
      </w:r>
      <w:r w:rsidRPr="007D20A2">
        <w:t>The adoption of total cost of ownership for sourcing decisions. A structural equations analysis</w:t>
      </w:r>
      <w:r>
        <w:t>”,</w:t>
      </w:r>
      <w:r w:rsidRPr="007D20A2">
        <w:t xml:space="preserve"> </w:t>
      </w:r>
      <w:r w:rsidRPr="007D20A2">
        <w:rPr>
          <w:i/>
          <w:iCs/>
        </w:rPr>
        <w:t>Accounting, Organizations and Society</w:t>
      </w:r>
      <w:r>
        <w:rPr>
          <w:i/>
          <w:iCs/>
        </w:rPr>
        <w:t>,</w:t>
      </w:r>
      <w:r w:rsidRPr="007D20A2">
        <w:t xml:space="preserve"> </w:t>
      </w:r>
      <w:r>
        <w:t xml:space="preserve">Vol. </w:t>
      </w:r>
      <w:r w:rsidRPr="007D20A2">
        <w:t>30</w:t>
      </w:r>
      <w:r>
        <w:t xml:space="preserve"> No. </w:t>
      </w:r>
      <w:r w:rsidRPr="007D20A2">
        <w:t>2,</w:t>
      </w:r>
      <w:r>
        <w:t xml:space="preserve"> pp.</w:t>
      </w:r>
      <w:r w:rsidRPr="007D20A2">
        <w:t xml:space="preserve"> 167–191.</w:t>
      </w:r>
    </w:p>
    <w:p w14:paraId="43673C7E" w14:textId="77777777" w:rsidR="00737F4F" w:rsidRPr="00E657AB" w:rsidRDefault="00737F4F" w:rsidP="00737F4F">
      <w:pPr>
        <w:jc w:val="both"/>
      </w:pPr>
      <w:r w:rsidRPr="00C77BB6">
        <w:t>Yan, T., Choi, T. Y., Kim, Y.</w:t>
      </w:r>
      <w:r>
        <w:t xml:space="preserve"> and</w:t>
      </w:r>
      <w:r w:rsidRPr="00C77BB6">
        <w:t xml:space="preserve"> Yang, Y. (2015)</w:t>
      </w:r>
      <w:r>
        <w:t>, “</w:t>
      </w:r>
      <w:r w:rsidRPr="00C77BB6">
        <w:t>A theory of the nexus supplier: A critical supplier from a network perspective</w:t>
      </w:r>
      <w:r>
        <w:t xml:space="preserve">”, </w:t>
      </w:r>
      <w:r w:rsidRPr="008367E9">
        <w:rPr>
          <w:i/>
        </w:rPr>
        <w:t>Journal of Supply Chain Management</w:t>
      </w:r>
      <w:r w:rsidRPr="00C77BB6">
        <w:t xml:space="preserve">, </w:t>
      </w:r>
      <w:r>
        <w:t xml:space="preserve">Vol. </w:t>
      </w:r>
      <w:r w:rsidRPr="00C77BB6">
        <w:t>51</w:t>
      </w:r>
      <w:r>
        <w:t xml:space="preserve"> No. </w:t>
      </w:r>
      <w:r w:rsidRPr="00C77BB6">
        <w:t xml:space="preserve">1, </w:t>
      </w:r>
      <w:r w:rsidRPr="00E657AB">
        <w:t>pp. 52-66.</w:t>
      </w:r>
    </w:p>
    <w:p w14:paraId="6A888B82" w14:textId="77777777" w:rsidR="00737F4F" w:rsidRPr="007D20A2" w:rsidRDefault="00737F4F" w:rsidP="00737F4F">
      <w:pPr>
        <w:jc w:val="both"/>
      </w:pPr>
      <w:r w:rsidRPr="00E657AB">
        <w:t xml:space="preserve">Zellner, A. (1962), “An efficient method of estimating seemingly unrelated regressions and tests for aggregation bias”, </w:t>
      </w:r>
      <w:r w:rsidRPr="00E657AB">
        <w:rPr>
          <w:i/>
        </w:rPr>
        <w:t>Journal of the American Statistical</w:t>
      </w:r>
      <w:r w:rsidRPr="008367E9">
        <w:rPr>
          <w:i/>
        </w:rPr>
        <w:t xml:space="preserve"> Association</w:t>
      </w:r>
      <w:r w:rsidRPr="00C65C0D">
        <w:t xml:space="preserve">, </w:t>
      </w:r>
      <w:r>
        <w:t xml:space="preserve">Vol. </w:t>
      </w:r>
      <w:r w:rsidRPr="00C65C0D">
        <w:t>57</w:t>
      </w:r>
      <w:r>
        <w:t xml:space="preserve"> No. 298</w:t>
      </w:r>
      <w:r w:rsidRPr="00C65C0D">
        <w:t>,</w:t>
      </w:r>
      <w:r>
        <w:t xml:space="preserve"> pp.</w:t>
      </w:r>
      <w:r w:rsidRPr="00C65C0D">
        <w:t xml:space="preserve"> 348-368.</w:t>
      </w:r>
    </w:p>
    <w:p w14:paraId="135CDCFC" w14:textId="77777777" w:rsidR="00737F4F" w:rsidRPr="007D20A2" w:rsidRDefault="00737F4F" w:rsidP="00737F4F">
      <w:pPr>
        <w:jc w:val="both"/>
      </w:pPr>
      <w:proofErr w:type="spellStart"/>
      <w:r w:rsidRPr="007D20A2">
        <w:t>Zsidisin</w:t>
      </w:r>
      <w:proofErr w:type="spellEnd"/>
      <w:r w:rsidRPr="007D20A2">
        <w:t>, G. A., Melnyk, S. A.</w:t>
      </w:r>
      <w:r>
        <w:t xml:space="preserve"> and</w:t>
      </w:r>
      <w:r w:rsidRPr="007D20A2">
        <w:t xml:space="preserve"> Ragatz, G. L. (2005)</w:t>
      </w:r>
      <w:r>
        <w:t>,</w:t>
      </w:r>
      <w:r w:rsidRPr="007D20A2">
        <w:t xml:space="preserve"> </w:t>
      </w:r>
      <w:r>
        <w:t>“</w:t>
      </w:r>
      <w:r w:rsidRPr="007D20A2">
        <w:t>An institutional theory perspective of business continuity planning for purchasing and supply management</w:t>
      </w:r>
      <w:r>
        <w:t>”,</w:t>
      </w:r>
      <w:r w:rsidRPr="007D20A2">
        <w:t xml:space="preserve"> </w:t>
      </w:r>
      <w:r w:rsidRPr="007D20A2">
        <w:rPr>
          <w:i/>
        </w:rPr>
        <w:t>International Journal of Production Research,</w:t>
      </w:r>
      <w:r w:rsidRPr="007D20A2">
        <w:t xml:space="preserve"> </w:t>
      </w:r>
      <w:r>
        <w:t xml:space="preserve">Vol. </w:t>
      </w:r>
      <w:r w:rsidRPr="007D20A2">
        <w:t>43</w:t>
      </w:r>
      <w:r>
        <w:t xml:space="preserve"> No. </w:t>
      </w:r>
      <w:r w:rsidRPr="007D20A2">
        <w:t>16,</w:t>
      </w:r>
      <w:r>
        <w:t xml:space="preserve"> pp.</w:t>
      </w:r>
      <w:r w:rsidRPr="007D20A2">
        <w:t xml:space="preserve"> 3401–3420.</w:t>
      </w:r>
    </w:p>
    <w:p w14:paraId="7631A523" w14:textId="5B26F00F" w:rsidR="00737F4F" w:rsidRPr="00BB09AD" w:rsidRDefault="00737F4F" w:rsidP="00BB09AD">
      <w:pPr>
        <w:jc w:val="both"/>
      </w:pPr>
      <w:proofErr w:type="spellStart"/>
      <w:r w:rsidRPr="007D20A2">
        <w:t>Zsidisin</w:t>
      </w:r>
      <w:proofErr w:type="spellEnd"/>
      <w:r w:rsidRPr="007D20A2">
        <w:t>, G. A.</w:t>
      </w:r>
      <w:r>
        <w:t xml:space="preserve"> and</w:t>
      </w:r>
      <w:r w:rsidRPr="007D20A2">
        <w:t xml:space="preserve"> Wagner, S. M. (2010)</w:t>
      </w:r>
      <w:r>
        <w:t>,</w:t>
      </w:r>
      <w:r w:rsidRPr="007D20A2">
        <w:t xml:space="preserve"> </w:t>
      </w:r>
      <w:r>
        <w:t>“</w:t>
      </w:r>
      <w:r w:rsidRPr="007D20A2">
        <w:t>Do perceptions become reality? The moderating role of supply chain resiliency on disruption occurrence</w:t>
      </w:r>
      <w:r>
        <w:t>”,</w:t>
      </w:r>
      <w:r w:rsidRPr="007D20A2">
        <w:t xml:space="preserve"> </w:t>
      </w:r>
      <w:r w:rsidRPr="007D20A2">
        <w:rPr>
          <w:i/>
        </w:rPr>
        <w:t>Journal of Business Logistics</w:t>
      </w:r>
      <w:r w:rsidRPr="007D20A2">
        <w:t xml:space="preserve">, </w:t>
      </w:r>
      <w:r>
        <w:t xml:space="preserve">Vol. </w:t>
      </w:r>
      <w:r w:rsidRPr="007D20A2">
        <w:t>31</w:t>
      </w:r>
      <w:r>
        <w:t xml:space="preserve"> No. </w:t>
      </w:r>
      <w:r w:rsidRPr="007D20A2">
        <w:t>2,</w:t>
      </w:r>
      <w:r>
        <w:t xml:space="preserve"> pp.</w:t>
      </w:r>
      <w:r w:rsidRPr="007D20A2">
        <w:t xml:space="preserve"> 1-20.</w:t>
      </w:r>
    </w:p>
    <w:sectPr w:rsidR="00737F4F" w:rsidRPr="00BB09AD" w:rsidSect="00F4676F">
      <w:headerReference w:type="default" r:id="rId9"/>
      <w:pgSz w:w="11907" w:h="16840"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F7649" w14:textId="77777777" w:rsidR="00CD2A3C" w:rsidRDefault="00CD2A3C" w:rsidP="00C86190">
      <w:r>
        <w:separator/>
      </w:r>
    </w:p>
  </w:endnote>
  <w:endnote w:type="continuationSeparator" w:id="0">
    <w:p w14:paraId="54F60BB3" w14:textId="77777777" w:rsidR="00CD2A3C" w:rsidRDefault="00CD2A3C" w:rsidP="00C8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93218" w14:textId="77777777" w:rsidR="00CD2A3C" w:rsidRDefault="00CD2A3C" w:rsidP="00C86190">
      <w:r>
        <w:separator/>
      </w:r>
    </w:p>
  </w:footnote>
  <w:footnote w:type="continuationSeparator" w:id="0">
    <w:p w14:paraId="3FF6B4BB" w14:textId="77777777" w:rsidR="00CD2A3C" w:rsidRDefault="00CD2A3C" w:rsidP="00C8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682432"/>
      <w:docPartObj>
        <w:docPartGallery w:val="Page Numbers (Top of Page)"/>
        <w:docPartUnique/>
      </w:docPartObj>
    </w:sdtPr>
    <w:sdtEndPr>
      <w:rPr>
        <w:noProof/>
      </w:rPr>
    </w:sdtEndPr>
    <w:sdtContent>
      <w:p w14:paraId="70BE6A8A" w14:textId="03E2C287" w:rsidR="007B1A05" w:rsidRDefault="007B1A05">
        <w:pPr>
          <w:pStyle w:val="Header"/>
        </w:pPr>
        <w:r>
          <w:fldChar w:fldCharType="begin"/>
        </w:r>
        <w:r>
          <w:instrText xml:space="preserve"> PAGE   \* MERGEFORMAT </w:instrText>
        </w:r>
        <w:r>
          <w:fldChar w:fldCharType="separate"/>
        </w:r>
        <w:r w:rsidR="0014034B">
          <w:rPr>
            <w:noProof/>
          </w:rPr>
          <w:t>11</w:t>
        </w:r>
        <w:r>
          <w:rPr>
            <w:noProof/>
          </w:rPr>
          <w:fldChar w:fldCharType="end"/>
        </w:r>
      </w:p>
    </w:sdtContent>
  </w:sdt>
  <w:p w14:paraId="5DA3A812" w14:textId="77777777" w:rsidR="007B1A05" w:rsidRDefault="007B1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3F5"/>
    <w:multiLevelType w:val="multilevel"/>
    <w:tmpl w:val="576097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11063C"/>
    <w:multiLevelType w:val="hybridMultilevel"/>
    <w:tmpl w:val="961A0360"/>
    <w:lvl w:ilvl="0" w:tplc="040B0001">
      <w:start w:val="1"/>
      <w:numFmt w:val="bullet"/>
      <w:lvlText w:val=""/>
      <w:lvlJc w:val="left"/>
      <w:pPr>
        <w:ind w:left="3600" w:hanging="360"/>
      </w:pPr>
      <w:rPr>
        <w:rFonts w:ascii="Symbol" w:hAnsi="Symbol" w:hint="default"/>
      </w:rPr>
    </w:lvl>
    <w:lvl w:ilvl="1" w:tplc="040B0003" w:tentative="1">
      <w:start w:val="1"/>
      <w:numFmt w:val="bullet"/>
      <w:lvlText w:val="o"/>
      <w:lvlJc w:val="left"/>
      <w:pPr>
        <w:ind w:left="4320" w:hanging="360"/>
      </w:pPr>
      <w:rPr>
        <w:rFonts w:ascii="Courier New" w:hAnsi="Courier New" w:cs="Courier New" w:hint="default"/>
      </w:rPr>
    </w:lvl>
    <w:lvl w:ilvl="2" w:tplc="040B0005" w:tentative="1">
      <w:start w:val="1"/>
      <w:numFmt w:val="bullet"/>
      <w:lvlText w:val=""/>
      <w:lvlJc w:val="left"/>
      <w:pPr>
        <w:ind w:left="5040" w:hanging="360"/>
      </w:pPr>
      <w:rPr>
        <w:rFonts w:ascii="Wingdings" w:hAnsi="Wingdings" w:hint="default"/>
      </w:rPr>
    </w:lvl>
    <w:lvl w:ilvl="3" w:tplc="040B0001" w:tentative="1">
      <w:start w:val="1"/>
      <w:numFmt w:val="bullet"/>
      <w:lvlText w:val=""/>
      <w:lvlJc w:val="left"/>
      <w:pPr>
        <w:ind w:left="5760" w:hanging="360"/>
      </w:pPr>
      <w:rPr>
        <w:rFonts w:ascii="Symbol" w:hAnsi="Symbol" w:hint="default"/>
      </w:rPr>
    </w:lvl>
    <w:lvl w:ilvl="4" w:tplc="040B0003" w:tentative="1">
      <w:start w:val="1"/>
      <w:numFmt w:val="bullet"/>
      <w:lvlText w:val="o"/>
      <w:lvlJc w:val="left"/>
      <w:pPr>
        <w:ind w:left="6480" w:hanging="360"/>
      </w:pPr>
      <w:rPr>
        <w:rFonts w:ascii="Courier New" w:hAnsi="Courier New" w:cs="Courier New" w:hint="default"/>
      </w:rPr>
    </w:lvl>
    <w:lvl w:ilvl="5" w:tplc="040B0005" w:tentative="1">
      <w:start w:val="1"/>
      <w:numFmt w:val="bullet"/>
      <w:lvlText w:val=""/>
      <w:lvlJc w:val="left"/>
      <w:pPr>
        <w:ind w:left="7200" w:hanging="360"/>
      </w:pPr>
      <w:rPr>
        <w:rFonts w:ascii="Wingdings" w:hAnsi="Wingdings" w:hint="default"/>
      </w:rPr>
    </w:lvl>
    <w:lvl w:ilvl="6" w:tplc="040B0001" w:tentative="1">
      <w:start w:val="1"/>
      <w:numFmt w:val="bullet"/>
      <w:lvlText w:val=""/>
      <w:lvlJc w:val="left"/>
      <w:pPr>
        <w:ind w:left="7920" w:hanging="360"/>
      </w:pPr>
      <w:rPr>
        <w:rFonts w:ascii="Symbol" w:hAnsi="Symbol" w:hint="default"/>
      </w:rPr>
    </w:lvl>
    <w:lvl w:ilvl="7" w:tplc="040B0003" w:tentative="1">
      <w:start w:val="1"/>
      <w:numFmt w:val="bullet"/>
      <w:lvlText w:val="o"/>
      <w:lvlJc w:val="left"/>
      <w:pPr>
        <w:ind w:left="8640" w:hanging="360"/>
      </w:pPr>
      <w:rPr>
        <w:rFonts w:ascii="Courier New" w:hAnsi="Courier New" w:cs="Courier New" w:hint="default"/>
      </w:rPr>
    </w:lvl>
    <w:lvl w:ilvl="8" w:tplc="040B0005" w:tentative="1">
      <w:start w:val="1"/>
      <w:numFmt w:val="bullet"/>
      <w:lvlText w:val=""/>
      <w:lvlJc w:val="left"/>
      <w:pPr>
        <w:ind w:left="9360" w:hanging="360"/>
      </w:pPr>
      <w:rPr>
        <w:rFonts w:ascii="Wingdings" w:hAnsi="Wingdings" w:hint="default"/>
      </w:rPr>
    </w:lvl>
  </w:abstractNum>
  <w:abstractNum w:abstractNumId="2" w15:restartNumberingAfterBreak="0">
    <w:nsid w:val="170A2289"/>
    <w:multiLevelType w:val="hybridMultilevel"/>
    <w:tmpl w:val="24842DBC"/>
    <w:lvl w:ilvl="0" w:tplc="040B0001">
      <w:start w:val="1"/>
      <w:numFmt w:val="bullet"/>
      <w:lvlText w:val=""/>
      <w:lvlJc w:val="left"/>
      <w:pPr>
        <w:ind w:left="4030" w:hanging="360"/>
      </w:pPr>
      <w:rPr>
        <w:rFonts w:ascii="Symbol" w:hAnsi="Symbol" w:hint="default"/>
      </w:rPr>
    </w:lvl>
    <w:lvl w:ilvl="1" w:tplc="040B0003">
      <w:start w:val="1"/>
      <w:numFmt w:val="bullet"/>
      <w:lvlText w:val="o"/>
      <w:lvlJc w:val="left"/>
      <w:pPr>
        <w:ind w:left="4750" w:hanging="360"/>
      </w:pPr>
      <w:rPr>
        <w:rFonts w:ascii="Courier New" w:hAnsi="Courier New" w:cs="Courier New" w:hint="default"/>
      </w:rPr>
    </w:lvl>
    <w:lvl w:ilvl="2" w:tplc="040B0005" w:tentative="1">
      <w:start w:val="1"/>
      <w:numFmt w:val="bullet"/>
      <w:lvlText w:val=""/>
      <w:lvlJc w:val="left"/>
      <w:pPr>
        <w:ind w:left="5470" w:hanging="360"/>
      </w:pPr>
      <w:rPr>
        <w:rFonts w:ascii="Wingdings" w:hAnsi="Wingdings" w:hint="default"/>
      </w:rPr>
    </w:lvl>
    <w:lvl w:ilvl="3" w:tplc="040B0001" w:tentative="1">
      <w:start w:val="1"/>
      <w:numFmt w:val="bullet"/>
      <w:lvlText w:val=""/>
      <w:lvlJc w:val="left"/>
      <w:pPr>
        <w:ind w:left="6190" w:hanging="360"/>
      </w:pPr>
      <w:rPr>
        <w:rFonts w:ascii="Symbol" w:hAnsi="Symbol" w:hint="default"/>
      </w:rPr>
    </w:lvl>
    <w:lvl w:ilvl="4" w:tplc="040B0003" w:tentative="1">
      <w:start w:val="1"/>
      <w:numFmt w:val="bullet"/>
      <w:lvlText w:val="o"/>
      <w:lvlJc w:val="left"/>
      <w:pPr>
        <w:ind w:left="6910" w:hanging="360"/>
      </w:pPr>
      <w:rPr>
        <w:rFonts w:ascii="Courier New" w:hAnsi="Courier New" w:cs="Courier New" w:hint="default"/>
      </w:rPr>
    </w:lvl>
    <w:lvl w:ilvl="5" w:tplc="040B0005" w:tentative="1">
      <w:start w:val="1"/>
      <w:numFmt w:val="bullet"/>
      <w:lvlText w:val=""/>
      <w:lvlJc w:val="left"/>
      <w:pPr>
        <w:ind w:left="7630" w:hanging="360"/>
      </w:pPr>
      <w:rPr>
        <w:rFonts w:ascii="Wingdings" w:hAnsi="Wingdings" w:hint="default"/>
      </w:rPr>
    </w:lvl>
    <w:lvl w:ilvl="6" w:tplc="040B0001" w:tentative="1">
      <w:start w:val="1"/>
      <w:numFmt w:val="bullet"/>
      <w:lvlText w:val=""/>
      <w:lvlJc w:val="left"/>
      <w:pPr>
        <w:ind w:left="8350" w:hanging="360"/>
      </w:pPr>
      <w:rPr>
        <w:rFonts w:ascii="Symbol" w:hAnsi="Symbol" w:hint="default"/>
      </w:rPr>
    </w:lvl>
    <w:lvl w:ilvl="7" w:tplc="040B0003" w:tentative="1">
      <w:start w:val="1"/>
      <w:numFmt w:val="bullet"/>
      <w:lvlText w:val="o"/>
      <w:lvlJc w:val="left"/>
      <w:pPr>
        <w:ind w:left="9070" w:hanging="360"/>
      </w:pPr>
      <w:rPr>
        <w:rFonts w:ascii="Courier New" w:hAnsi="Courier New" w:cs="Courier New" w:hint="default"/>
      </w:rPr>
    </w:lvl>
    <w:lvl w:ilvl="8" w:tplc="040B0005" w:tentative="1">
      <w:start w:val="1"/>
      <w:numFmt w:val="bullet"/>
      <w:lvlText w:val=""/>
      <w:lvlJc w:val="left"/>
      <w:pPr>
        <w:ind w:left="9790" w:hanging="360"/>
      </w:pPr>
      <w:rPr>
        <w:rFonts w:ascii="Wingdings" w:hAnsi="Wingdings" w:hint="default"/>
      </w:rPr>
    </w:lvl>
  </w:abstractNum>
  <w:abstractNum w:abstractNumId="3" w15:restartNumberingAfterBreak="0">
    <w:nsid w:val="36604545"/>
    <w:multiLevelType w:val="hybridMultilevel"/>
    <w:tmpl w:val="5BA642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9F94C05"/>
    <w:multiLevelType w:val="multilevel"/>
    <w:tmpl w:val="2F06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B03484"/>
    <w:multiLevelType w:val="hybridMultilevel"/>
    <w:tmpl w:val="19AA05FE"/>
    <w:lvl w:ilvl="0" w:tplc="60D67B42">
      <w:start w:val="1"/>
      <w:numFmt w:val="decimal"/>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7CDE1CD4"/>
    <w:multiLevelType w:val="hybridMultilevel"/>
    <w:tmpl w:val="4270379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5EF"/>
    <w:rsid w:val="000009B9"/>
    <w:rsid w:val="00001CCD"/>
    <w:rsid w:val="00002881"/>
    <w:rsid w:val="00002CFB"/>
    <w:rsid w:val="000042EB"/>
    <w:rsid w:val="00010026"/>
    <w:rsid w:val="000107B6"/>
    <w:rsid w:val="00013B4B"/>
    <w:rsid w:val="000160D2"/>
    <w:rsid w:val="00017518"/>
    <w:rsid w:val="0002117F"/>
    <w:rsid w:val="00021B0D"/>
    <w:rsid w:val="00022E77"/>
    <w:rsid w:val="000250C7"/>
    <w:rsid w:val="000334A3"/>
    <w:rsid w:val="00034812"/>
    <w:rsid w:val="0003532B"/>
    <w:rsid w:val="00035FC5"/>
    <w:rsid w:val="00040FBA"/>
    <w:rsid w:val="00042091"/>
    <w:rsid w:val="0004257F"/>
    <w:rsid w:val="000431C9"/>
    <w:rsid w:val="00044B6E"/>
    <w:rsid w:val="0005023B"/>
    <w:rsid w:val="000512CE"/>
    <w:rsid w:val="0005160E"/>
    <w:rsid w:val="00055DBF"/>
    <w:rsid w:val="00057B89"/>
    <w:rsid w:val="00057D84"/>
    <w:rsid w:val="00061E6E"/>
    <w:rsid w:val="000639F6"/>
    <w:rsid w:val="00064340"/>
    <w:rsid w:val="00064378"/>
    <w:rsid w:val="00071E68"/>
    <w:rsid w:val="00072043"/>
    <w:rsid w:val="00074748"/>
    <w:rsid w:val="00077142"/>
    <w:rsid w:val="00077C4D"/>
    <w:rsid w:val="00081513"/>
    <w:rsid w:val="00081FB1"/>
    <w:rsid w:val="000822C3"/>
    <w:rsid w:val="00082C64"/>
    <w:rsid w:val="00083CDC"/>
    <w:rsid w:val="0008520E"/>
    <w:rsid w:val="00085753"/>
    <w:rsid w:val="00085CD2"/>
    <w:rsid w:val="00085CD4"/>
    <w:rsid w:val="00090A15"/>
    <w:rsid w:val="00092BDF"/>
    <w:rsid w:val="00094D01"/>
    <w:rsid w:val="00097228"/>
    <w:rsid w:val="000A1DBA"/>
    <w:rsid w:val="000A47C9"/>
    <w:rsid w:val="000A4A5E"/>
    <w:rsid w:val="000A6FF7"/>
    <w:rsid w:val="000B2B60"/>
    <w:rsid w:val="000B55A8"/>
    <w:rsid w:val="000B7789"/>
    <w:rsid w:val="000C5E5B"/>
    <w:rsid w:val="000D08CF"/>
    <w:rsid w:val="000D0A24"/>
    <w:rsid w:val="000D1209"/>
    <w:rsid w:val="000D21A8"/>
    <w:rsid w:val="000D5C49"/>
    <w:rsid w:val="000D72E0"/>
    <w:rsid w:val="000E372A"/>
    <w:rsid w:val="000F17C5"/>
    <w:rsid w:val="000F1978"/>
    <w:rsid w:val="000F3D2B"/>
    <w:rsid w:val="000F72E9"/>
    <w:rsid w:val="00104370"/>
    <w:rsid w:val="00105724"/>
    <w:rsid w:val="00105FD2"/>
    <w:rsid w:val="00113718"/>
    <w:rsid w:val="00113A67"/>
    <w:rsid w:val="00113C44"/>
    <w:rsid w:val="001169D4"/>
    <w:rsid w:val="00117C4F"/>
    <w:rsid w:val="001226C7"/>
    <w:rsid w:val="00123E1C"/>
    <w:rsid w:val="0012683F"/>
    <w:rsid w:val="00127BB4"/>
    <w:rsid w:val="00127CF0"/>
    <w:rsid w:val="00132142"/>
    <w:rsid w:val="00135C74"/>
    <w:rsid w:val="00137F66"/>
    <w:rsid w:val="0014034B"/>
    <w:rsid w:val="00140895"/>
    <w:rsid w:val="00141195"/>
    <w:rsid w:val="001446B7"/>
    <w:rsid w:val="0014688F"/>
    <w:rsid w:val="00147AE4"/>
    <w:rsid w:val="0015132E"/>
    <w:rsid w:val="00151DBF"/>
    <w:rsid w:val="00152F0C"/>
    <w:rsid w:val="0015430D"/>
    <w:rsid w:val="00155AE4"/>
    <w:rsid w:val="00157F0E"/>
    <w:rsid w:val="00161626"/>
    <w:rsid w:val="00165BF3"/>
    <w:rsid w:val="001707E1"/>
    <w:rsid w:val="00170DE0"/>
    <w:rsid w:val="00171220"/>
    <w:rsid w:val="00172BB6"/>
    <w:rsid w:val="00174AFC"/>
    <w:rsid w:val="00175EE2"/>
    <w:rsid w:val="0018013C"/>
    <w:rsid w:val="00181D9F"/>
    <w:rsid w:val="00181DC3"/>
    <w:rsid w:val="00183CF6"/>
    <w:rsid w:val="00184DF2"/>
    <w:rsid w:val="001870C5"/>
    <w:rsid w:val="00187E69"/>
    <w:rsid w:val="0019329B"/>
    <w:rsid w:val="001A04E8"/>
    <w:rsid w:val="001A0DE0"/>
    <w:rsid w:val="001A17A3"/>
    <w:rsid w:val="001A1939"/>
    <w:rsid w:val="001A3BD8"/>
    <w:rsid w:val="001A3ED7"/>
    <w:rsid w:val="001A48F0"/>
    <w:rsid w:val="001A5B99"/>
    <w:rsid w:val="001A66BF"/>
    <w:rsid w:val="001A69E7"/>
    <w:rsid w:val="001B155D"/>
    <w:rsid w:val="001B2C1B"/>
    <w:rsid w:val="001B3A5B"/>
    <w:rsid w:val="001B650C"/>
    <w:rsid w:val="001B70A1"/>
    <w:rsid w:val="001B78F5"/>
    <w:rsid w:val="001C03F6"/>
    <w:rsid w:val="001C270F"/>
    <w:rsid w:val="001C2797"/>
    <w:rsid w:val="001C2ED0"/>
    <w:rsid w:val="001C4DDB"/>
    <w:rsid w:val="001C61FA"/>
    <w:rsid w:val="001D0A9F"/>
    <w:rsid w:val="001D36FE"/>
    <w:rsid w:val="001D3C79"/>
    <w:rsid w:val="001D4933"/>
    <w:rsid w:val="001D4B17"/>
    <w:rsid w:val="001D57D1"/>
    <w:rsid w:val="001D639A"/>
    <w:rsid w:val="001E089D"/>
    <w:rsid w:val="001F37BA"/>
    <w:rsid w:val="001F5168"/>
    <w:rsid w:val="001F70C9"/>
    <w:rsid w:val="002039BE"/>
    <w:rsid w:val="002107B0"/>
    <w:rsid w:val="00211EF1"/>
    <w:rsid w:val="00213034"/>
    <w:rsid w:val="00213405"/>
    <w:rsid w:val="00213F0A"/>
    <w:rsid w:val="00216D8F"/>
    <w:rsid w:val="00221A94"/>
    <w:rsid w:val="0022259C"/>
    <w:rsid w:val="002240F5"/>
    <w:rsid w:val="00224311"/>
    <w:rsid w:val="00227446"/>
    <w:rsid w:val="00232161"/>
    <w:rsid w:val="00232C6A"/>
    <w:rsid w:val="00234180"/>
    <w:rsid w:val="00234536"/>
    <w:rsid w:val="00234EF4"/>
    <w:rsid w:val="00236694"/>
    <w:rsid w:val="00236786"/>
    <w:rsid w:val="002374A7"/>
    <w:rsid w:val="00245DCE"/>
    <w:rsid w:val="00246786"/>
    <w:rsid w:val="0024696F"/>
    <w:rsid w:val="002531AA"/>
    <w:rsid w:val="00255B92"/>
    <w:rsid w:val="002631D7"/>
    <w:rsid w:val="002639F5"/>
    <w:rsid w:val="0026725E"/>
    <w:rsid w:val="002721D4"/>
    <w:rsid w:val="00277AEF"/>
    <w:rsid w:val="00282922"/>
    <w:rsid w:val="00283549"/>
    <w:rsid w:val="00283C11"/>
    <w:rsid w:val="002853C0"/>
    <w:rsid w:val="002868ED"/>
    <w:rsid w:val="00293A05"/>
    <w:rsid w:val="002A1682"/>
    <w:rsid w:val="002A2D5B"/>
    <w:rsid w:val="002A74A2"/>
    <w:rsid w:val="002A7951"/>
    <w:rsid w:val="002B436D"/>
    <w:rsid w:val="002B5ACE"/>
    <w:rsid w:val="002B5B74"/>
    <w:rsid w:val="002B739F"/>
    <w:rsid w:val="002B7CCF"/>
    <w:rsid w:val="002C133E"/>
    <w:rsid w:val="002C44CE"/>
    <w:rsid w:val="002C53EA"/>
    <w:rsid w:val="002C5601"/>
    <w:rsid w:val="002D3559"/>
    <w:rsid w:val="002D3D2B"/>
    <w:rsid w:val="002D53BD"/>
    <w:rsid w:val="002D584C"/>
    <w:rsid w:val="002D6237"/>
    <w:rsid w:val="002D7FF5"/>
    <w:rsid w:val="002E121E"/>
    <w:rsid w:val="002E144F"/>
    <w:rsid w:val="002E2001"/>
    <w:rsid w:val="002E4D52"/>
    <w:rsid w:val="002E5889"/>
    <w:rsid w:val="002F7EE7"/>
    <w:rsid w:val="003002FE"/>
    <w:rsid w:val="00310EC6"/>
    <w:rsid w:val="0031151A"/>
    <w:rsid w:val="00313197"/>
    <w:rsid w:val="00315F36"/>
    <w:rsid w:val="00316714"/>
    <w:rsid w:val="003204CC"/>
    <w:rsid w:val="00323DF5"/>
    <w:rsid w:val="00325EF1"/>
    <w:rsid w:val="00327C79"/>
    <w:rsid w:val="00327CC0"/>
    <w:rsid w:val="003322EB"/>
    <w:rsid w:val="00332BDE"/>
    <w:rsid w:val="00333C95"/>
    <w:rsid w:val="00334CAB"/>
    <w:rsid w:val="003358F6"/>
    <w:rsid w:val="00344C8D"/>
    <w:rsid w:val="003456DA"/>
    <w:rsid w:val="00345788"/>
    <w:rsid w:val="00345AAF"/>
    <w:rsid w:val="00355874"/>
    <w:rsid w:val="00356C37"/>
    <w:rsid w:val="00364C83"/>
    <w:rsid w:val="0036553E"/>
    <w:rsid w:val="0036698F"/>
    <w:rsid w:val="003679A9"/>
    <w:rsid w:val="003721CE"/>
    <w:rsid w:val="0037434F"/>
    <w:rsid w:val="00374495"/>
    <w:rsid w:val="0037488F"/>
    <w:rsid w:val="00377304"/>
    <w:rsid w:val="00380453"/>
    <w:rsid w:val="00383F95"/>
    <w:rsid w:val="003858E2"/>
    <w:rsid w:val="003876B3"/>
    <w:rsid w:val="003901E2"/>
    <w:rsid w:val="00391A57"/>
    <w:rsid w:val="00392D4F"/>
    <w:rsid w:val="003A4888"/>
    <w:rsid w:val="003A563A"/>
    <w:rsid w:val="003B5D62"/>
    <w:rsid w:val="003B7410"/>
    <w:rsid w:val="003C2D4F"/>
    <w:rsid w:val="003C3163"/>
    <w:rsid w:val="003C74E2"/>
    <w:rsid w:val="003D3B5A"/>
    <w:rsid w:val="003D3C3B"/>
    <w:rsid w:val="003D46A4"/>
    <w:rsid w:val="003D5FD2"/>
    <w:rsid w:val="003D73F1"/>
    <w:rsid w:val="003D7442"/>
    <w:rsid w:val="003E3BD2"/>
    <w:rsid w:val="003E5ABA"/>
    <w:rsid w:val="003E67C6"/>
    <w:rsid w:val="003F1D16"/>
    <w:rsid w:val="003F272B"/>
    <w:rsid w:val="003F478A"/>
    <w:rsid w:val="003F5DAB"/>
    <w:rsid w:val="003F78BE"/>
    <w:rsid w:val="003F7995"/>
    <w:rsid w:val="00404CC7"/>
    <w:rsid w:val="00405018"/>
    <w:rsid w:val="0041447A"/>
    <w:rsid w:val="004158AD"/>
    <w:rsid w:val="00416475"/>
    <w:rsid w:val="004169C1"/>
    <w:rsid w:val="00417646"/>
    <w:rsid w:val="00420110"/>
    <w:rsid w:val="00422EFC"/>
    <w:rsid w:val="00423785"/>
    <w:rsid w:val="00424A1B"/>
    <w:rsid w:val="00426085"/>
    <w:rsid w:val="004269F5"/>
    <w:rsid w:val="004272A7"/>
    <w:rsid w:val="004315A3"/>
    <w:rsid w:val="00432573"/>
    <w:rsid w:val="00433E0A"/>
    <w:rsid w:val="004364A5"/>
    <w:rsid w:val="004403D3"/>
    <w:rsid w:val="004450F5"/>
    <w:rsid w:val="00447592"/>
    <w:rsid w:val="00447E9B"/>
    <w:rsid w:val="00450537"/>
    <w:rsid w:val="00450F64"/>
    <w:rsid w:val="00453787"/>
    <w:rsid w:val="00453CE1"/>
    <w:rsid w:val="00454074"/>
    <w:rsid w:val="004544EA"/>
    <w:rsid w:val="00454D07"/>
    <w:rsid w:val="00454EC6"/>
    <w:rsid w:val="0045519A"/>
    <w:rsid w:val="00455FF6"/>
    <w:rsid w:val="004572E3"/>
    <w:rsid w:val="00457642"/>
    <w:rsid w:val="00460F44"/>
    <w:rsid w:val="00461CBD"/>
    <w:rsid w:val="00462583"/>
    <w:rsid w:val="00466418"/>
    <w:rsid w:val="00470FA0"/>
    <w:rsid w:val="00474131"/>
    <w:rsid w:val="004762BE"/>
    <w:rsid w:val="0047730A"/>
    <w:rsid w:val="00481D89"/>
    <w:rsid w:val="004845DF"/>
    <w:rsid w:val="004911AA"/>
    <w:rsid w:val="004937C4"/>
    <w:rsid w:val="004941A9"/>
    <w:rsid w:val="00494CF8"/>
    <w:rsid w:val="00496880"/>
    <w:rsid w:val="004975AF"/>
    <w:rsid w:val="004A0696"/>
    <w:rsid w:val="004A1E33"/>
    <w:rsid w:val="004A1EDF"/>
    <w:rsid w:val="004A3DEA"/>
    <w:rsid w:val="004A51CE"/>
    <w:rsid w:val="004A7718"/>
    <w:rsid w:val="004B021C"/>
    <w:rsid w:val="004B1334"/>
    <w:rsid w:val="004B5037"/>
    <w:rsid w:val="004B68D8"/>
    <w:rsid w:val="004C09D2"/>
    <w:rsid w:val="004C49DB"/>
    <w:rsid w:val="004C5786"/>
    <w:rsid w:val="004C75D8"/>
    <w:rsid w:val="004D09CE"/>
    <w:rsid w:val="004D1682"/>
    <w:rsid w:val="004D16A9"/>
    <w:rsid w:val="004D223F"/>
    <w:rsid w:val="004D31A2"/>
    <w:rsid w:val="004E0B82"/>
    <w:rsid w:val="004E0DB1"/>
    <w:rsid w:val="004E1773"/>
    <w:rsid w:val="004E30C1"/>
    <w:rsid w:val="004E3934"/>
    <w:rsid w:val="004E4429"/>
    <w:rsid w:val="004E68F1"/>
    <w:rsid w:val="004E7BDD"/>
    <w:rsid w:val="004F2080"/>
    <w:rsid w:val="004F2D86"/>
    <w:rsid w:val="004F3CA6"/>
    <w:rsid w:val="004F3E4F"/>
    <w:rsid w:val="004F6EF7"/>
    <w:rsid w:val="00503D71"/>
    <w:rsid w:val="0051187B"/>
    <w:rsid w:val="00513A79"/>
    <w:rsid w:val="0051413D"/>
    <w:rsid w:val="0051529D"/>
    <w:rsid w:val="005157BD"/>
    <w:rsid w:val="00522B89"/>
    <w:rsid w:val="005231C7"/>
    <w:rsid w:val="005248A8"/>
    <w:rsid w:val="005249F0"/>
    <w:rsid w:val="00526A3B"/>
    <w:rsid w:val="00533220"/>
    <w:rsid w:val="00534B49"/>
    <w:rsid w:val="0053568D"/>
    <w:rsid w:val="005365B7"/>
    <w:rsid w:val="00536976"/>
    <w:rsid w:val="00541CE6"/>
    <w:rsid w:val="00544061"/>
    <w:rsid w:val="00544704"/>
    <w:rsid w:val="00545FAD"/>
    <w:rsid w:val="00552E77"/>
    <w:rsid w:val="00552FBB"/>
    <w:rsid w:val="005561A4"/>
    <w:rsid w:val="0056144F"/>
    <w:rsid w:val="00561B05"/>
    <w:rsid w:val="0056387B"/>
    <w:rsid w:val="00565663"/>
    <w:rsid w:val="005676A3"/>
    <w:rsid w:val="005727BC"/>
    <w:rsid w:val="005775E1"/>
    <w:rsid w:val="005811C6"/>
    <w:rsid w:val="005816B2"/>
    <w:rsid w:val="00582233"/>
    <w:rsid w:val="00582563"/>
    <w:rsid w:val="00585292"/>
    <w:rsid w:val="00586C32"/>
    <w:rsid w:val="0059163F"/>
    <w:rsid w:val="00594640"/>
    <w:rsid w:val="005952C5"/>
    <w:rsid w:val="00597AA3"/>
    <w:rsid w:val="005A082F"/>
    <w:rsid w:val="005A0DBA"/>
    <w:rsid w:val="005A0FEC"/>
    <w:rsid w:val="005A1983"/>
    <w:rsid w:val="005A2F9D"/>
    <w:rsid w:val="005A4069"/>
    <w:rsid w:val="005A60DA"/>
    <w:rsid w:val="005B0ABF"/>
    <w:rsid w:val="005B59A2"/>
    <w:rsid w:val="005B6C71"/>
    <w:rsid w:val="005B76E3"/>
    <w:rsid w:val="005B78F6"/>
    <w:rsid w:val="005B7F3B"/>
    <w:rsid w:val="005C0677"/>
    <w:rsid w:val="005C2C7F"/>
    <w:rsid w:val="005C42E2"/>
    <w:rsid w:val="005C5F05"/>
    <w:rsid w:val="005C6AE3"/>
    <w:rsid w:val="005D47FE"/>
    <w:rsid w:val="005D535F"/>
    <w:rsid w:val="005D636F"/>
    <w:rsid w:val="005D6B03"/>
    <w:rsid w:val="005D7326"/>
    <w:rsid w:val="005E0B29"/>
    <w:rsid w:val="005E14DF"/>
    <w:rsid w:val="005E2ABF"/>
    <w:rsid w:val="005E4511"/>
    <w:rsid w:val="005E60A5"/>
    <w:rsid w:val="005E6762"/>
    <w:rsid w:val="005E7F21"/>
    <w:rsid w:val="005F35F5"/>
    <w:rsid w:val="005F5806"/>
    <w:rsid w:val="00602CBE"/>
    <w:rsid w:val="006044E5"/>
    <w:rsid w:val="006060B1"/>
    <w:rsid w:val="0060653B"/>
    <w:rsid w:val="00607081"/>
    <w:rsid w:val="00611571"/>
    <w:rsid w:val="0061170B"/>
    <w:rsid w:val="00614843"/>
    <w:rsid w:val="0062112A"/>
    <w:rsid w:val="006247C9"/>
    <w:rsid w:val="006266C6"/>
    <w:rsid w:val="00626AAC"/>
    <w:rsid w:val="0063002C"/>
    <w:rsid w:val="00632B41"/>
    <w:rsid w:val="00633324"/>
    <w:rsid w:val="00634237"/>
    <w:rsid w:val="0063446B"/>
    <w:rsid w:val="00636738"/>
    <w:rsid w:val="006446A0"/>
    <w:rsid w:val="00645887"/>
    <w:rsid w:val="00646F74"/>
    <w:rsid w:val="00647AAC"/>
    <w:rsid w:val="00652A31"/>
    <w:rsid w:val="00654245"/>
    <w:rsid w:val="0065647B"/>
    <w:rsid w:val="006567A6"/>
    <w:rsid w:val="00671EFC"/>
    <w:rsid w:val="0067556A"/>
    <w:rsid w:val="006761F2"/>
    <w:rsid w:val="006766B3"/>
    <w:rsid w:val="0067763C"/>
    <w:rsid w:val="0068150C"/>
    <w:rsid w:val="00681B5A"/>
    <w:rsid w:val="00690948"/>
    <w:rsid w:val="00690C8E"/>
    <w:rsid w:val="00692C8C"/>
    <w:rsid w:val="00693DA0"/>
    <w:rsid w:val="006950CA"/>
    <w:rsid w:val="006A427E"/>
    <w:rsid w:val="006A5224"/>
    <w:rsid w:val="006B0486"/>
    <w:rsid w:val="006B07AE"/>
    <w:rsid w:val="006B2A94"/>
    <w:rsid w:val="006B511A"/>
    <w:rsid w:val="006B68D0"/>
    <w:rsid w:val="006B6C30"/>
    <w:rsid w:val="006C57B5"/>
    <w:rsid w:val="006C5EB4"/>
    <w:rsid w:val="006C7521"/>
    <w:rsid w:val="006D5A0D"/>
    <w:rsid w:val="006D62FA"/>
    <w:rsid w:val="006E4255"/>
    <w:rsid w:val="006E4D80"/>
    <w:rsid w:val="006F3911"/>
    <w:rsid w:val="006F6E4F"/>
    <w:rsid w:val="006F72BF"/>
    <w:rsid w:val="006F7692"/>
    <w:rsid w:val="00700E93"/>
    <w:rsid w:val="00702A40"/>
    <w:rsid w:val="00704565"/>
    <w:rsid w:val="00705F74"/>
    <w:rsid w:val="0070780C"/>
    <w:rsid w:val="0071141A"/>
    <w:rsid w:val="00716DCE"/>
    <w:rsid w:val="00716E52"/>
    <w:rsid w:val="00721321"/>
    <w:rsid w:val="0072147A"/>
    <w:rsid w:val="007217E8"/>
    <w:rsid w:val="00723FE8"/>
    <w:rsid w:val="00725518"/>
    <w:rsid w:val="00725C1F"/>
    <w:rsid w:val="00732DD8"/>
    <w:rsid w:val="00734AFC"/>
    <w:rsid w:val="0073502B"/>
    <w:rsid w:val="00736173"/>
    <w:rsid w:val="00736458"/>
    <w:rsid w:val="007367C5"/>
    <w:rsid w:val="00737F4F"/>
    <w:rsid w:val="007405F8"/>
    <w:rsid w:val="00741C49"/>
    <w:rsid w:val="0074296F"/>
    <w:rsid w:val="0074626F"/>
    <w:rsid w:val="00746A2E"/>
    <w:rsid w:val="00747BCB"/>
    <w:rsid w:val="007513BD"/>
    <w:rsid w:val="0076133F"/>
    <w:rsid w:val="0076213F"/>
    <w:rsid w:val="00762862"/>
    <w:rsid w:val="00763E8B"/>
    <w:rsid w:val="007653B0"/>
    <w:rsid w:val="007664D0"/>
    <w:rsid w:val="0076712A"/>
    <w:rsid w:val="0077345C"/>
    <w:rsid w:val="00773D95"/>
    <w:rsid w:val="0078291E"/>
    <w:rsid w:val="00783C0E"/>
    <w:rsid w:val="00784099"/>
    <w:rsid w:val="0078413D"/>
    <w:rsid w:val="00791AF5"/>
    <w:rsid w:val="00794107"/>
    <w:rsid w:val="007973E1"/>
    <w:rsid w:val="007A308D"/>
    <w:rsid w:val="007A7344"/>
    <w:rsid w:val="007A7496"/>
    <w:rsid w:val="007B0095"/>
    <w:rsid w:val="007B06D4"/>
    <w:rsid w:val="007B126A"/>
    <w:rsid w:val="007B14D0"/>
    <w:rsid w:val="007B1A05"/>
    <w:rsid w:val="007B331D"/>
    <w:rsid w:val="007B515E"/>
    <w:rsid w:val="007B789A"/>
    <w:rsid w:val="007B794F"/>
    <w:rsid w:val="007D20A2"/>
    <w:rsid w:val="007D79B2"/>
    <w:rsid w:val="007E2F80"/>
    <w:rsid w:val="007E5180"/>
    <w:rsid w:val="007E6CB5"/>
    <w:rsid w:val="007F01A7"/>
    <w:rsid w:val="007F2150"/>
    <w:rsid w:val="007F27B6"/>
    <w:rsid w:val="007F2D73"/>
    <w:rsid w:val="007F4A2D"/>
    <w:rsid w:val="007F56E1"/>
    <w:rsid w:val="007F7CCA"/>
    <w:rsid w:val="008002C6"/>
    <w:rsid w:val="00801A6E"/>
    <w:rsid w:val="0080204B"/>
    <w:rsid w:val="00802857"/>
    <w:rsid w:val="0080534D"/>
    <w:rsid w:val="0080587D"/>
    <w:rsid w:val="008061B1"/>
    <w:rsid w:val="0080784E"/>
    <w:rsid w:val="008129B5"/>
    <w:rsid w:val="00813DFB"/>
    <w:rsid w:val="00815F35"/>
    <w:rsid w:val="008161A9"/>
    <w:rsid w:val="008239CC"/>
    <w:rsid w:val="008241DD"/>
    <w:rsid w:val="0082664A"/>
    <w:rsid w:val="00831E9D"/>
    <w:rsid w:val="00834064"/>
    <w:rsid w:val="00834409"/>
    <w:rsid w:val="008367E9"/>
    <w:rsid w:val="00837282"/>
    <w:rsid w:val="00837E79"/>
    <w:rsid w:val="0084165D"/>
    <w:rsid w:val="00843149"/>
    <w:rsid w:val="00843FD4"/>
    <w:rsid w:val="0084402E"/>
    <w:rsid w:val="00846C77"/>
    <w:rsid w:val="00857FA2"/>
    <w:rsid w:val="00861417"/>
    <w:rsid w:val="0087063E"/>
    <w:rsid w:val="0087444F"/>
    <w:rsid w:val="0087495C"/>
    <w:rsid w:val="00875E99"/>
    <w:rsid w:val="00876531"/>
    <w:rsid w:val="00876924"/>
    <w:rsid w:val="008770E0"/>
    <w:rsid w:val="00881F94"/>
    <w:rsid w:val="00883EAF"/>
    <w:rsid w:val="008853D7"/>
    <w:rsid w:val="0088632D"/>
    <w:rsid w:val="0088637A"/>
    <w:rsid w:val="0089635B"/>
    <w:rsid w:val="00896E79"/>
    <w:rsid w:val="008A03D7"/>
    <w:rsid w:val="008A2A23"/>
    <w:rsid w:val="008A39EB"/>
    <w:rsid w:val="008A7D93"/>
    <w:rsid w:val="008B2021"/>
    <w:rsid w:val="008B4132"/>
    <w:rsid w:val="008B7A46"/>
    <w:rsid w:val="008C307B"/>
    <w:rsid w:val="008C3A8C"/>
    <w:rsid w:val="008C4441"/>
    <w:rsid w:val="008C6ACF"/>
    <w:rsid w:val="008C7EE0"/>
    <w:rsid w:val="008D2907"/>
    <w:rsid w:val="008D2B09"/>
    <w:rsid w:val="008D576F"/>
    <w:rsid w:val="008D5A93"/>
    <w:rsid w:val="008D5FE9"/>
    <w:rsid w:val="008D68E1"/>
    <w:rsid w:val="008D6BBD"/>
    <w:rsid w:val="008D6C34"/>
    <w:rsid w:val="008E18F0"/>
    <w:rsid w:val="008E376A"/>
    <w:rsid w:val="008E3CC8"/>
    <w:rsid w:val="008E7A78"/>
    <w:rsid w:val="008F388B"/>
    <w:rsid w:val="008F65C2"/>
    <w:rsid w:val="0090097E"/>
    <w:rsid w:val="0090214B"/>
    <w:rsid w:val="0090481D"/>
    <w:rsid w:val="0090651A"/>
    <w:rsid w:val="00907A2D"/>
    <w:rsid w:val="00910063"/>
    <w:rsid w:val="00915F90"/>
    <w:rsid w:val="00916793"/>
    <w:rsid w:val="00916867"/>
    <w:rsid w:val="0091695C"/>
    <w:rsid w:val="00916D34"/>
    <w:rsid w:val="00920C25"/>
    <w:rsid w:val="009211BB"/>
    <w:rsid w:val="0092206D"/>
    <w:rsid w:val="0092748F"/>
    <w:rsid w:val="009318AA"/>
    <w:rsid w:val="00932643"/>
    <w:rsid w:val="00932B84"/>
    <w:rsid w:val="00932F34"/>
    <w:rsid w:val="00935E21"/>
    <w:rsid w:val="0094082E"/>
    <w:rsid w:val="009429ED"/>
    <w:rsid w:val="00946F63"/>
    <w:rsid w:val="00950C6A"/>
    <w:rsid w:val="00951083"/>
    <w:rsid w:val="009521A0"/>
    <w:rsid w:val="009551AC"/>
    <w:rsid w:val="009553AD"/>
    <w:rsid w:val="00955934"/>
    <w:rsid w:val="009559FE"/>
    <w:rsid w:val="00960912"/>
    <w:rsid w:val="009614FF"/>
    <w:rsid w:val="00962B93"/>
    <w:rsid w:val="0096544C"/>
    <w:rsid w:val="0096592F"/>
    <w:rsid w:val="00966146"/>
    <w:rsid w:val="00967939"/>
    <w:rsid w:val="00967E5A"/>
    <w:rsid w:val="00970A0D"/>
    <w:rsid w:val="00982225"/>
    <w:rsid w:val="009929D5"/>
    <w:rsid w:val="00992BB3"/>
    <w:rsid w:val="009976F2"/>
    <w:rsid w:val="009A4FF7"/>
    <w:rsid w:val="009A5D7B"/>
    <w:rsid w:val="009A73D5"/>
    <w:rsid w:val="009B17FB"/>
    <w:rsid w:val="009B2706"/>
    <w:rsid w:val="009B4145"/>
    <w:rsid w:val="009B5131"/>
    <w:rsid w:val="009B6A08"/>
    <w:rsid w:val="009C006A"/>
    <w:rsid w:val="009C0377"/>
    <w:rsid w:val="009C0C28"/>
    <w:rsid w:val="009C0CD1"/>
    <w:rsid w:val="009C0DB7"/>
    <w:rsid w:val="009C3BBA"/>
    <w:rsid w:val="009C6144"/>
    <w:rsid w:val="009C6651"/>
    <w:rsid w:val="009C6FEC"/>
    <w:rsid w:val="009C73CC"/>
    <w:rsid w:val="009D73EC"/>
    <w:rsid w:val="009E1651"/>
    <w:rsid w:val="009E1667"/>
    <w:rsid w:val="009F3B24"/>
    <w:rsid w:val="009F62C0"/>
    <w:rsid w:val="009F6B66"/>
    <w:rsid w:val="00A02388"/>
    <w:rsid w:val="00A02BA5"/>
    <w:rsid w:val="00A06894"/>
    <w:rsid w:val="00A11211"/>
    <w:rsid w:val="00A31096"/>
    <w:rsid w:val="00A32DF8"/>
    <w:rsid w:val="00A34A95"/>
    <w:rsid w:val="00A36689"/>
    <w:rsid w:val="00A37E25"/>
    <w:rsid w:val="00A42808"/>
    <w:rsid w:val="00A43830"/>
    <w:rsid w:val="00A47210"/>
    <w:rsid w:val="00A50CDB"/>
    <w:rsid w:val="00A5235C"/>
    <w:rsid w:val="00A563EF"/>
    <w:rsid w:val="00A5789D"/>
    <w:rsid w:val="00A61314"/>
    <w:rsid w:val="00A626B8"/>
    <w:rsid w:val="00A6323D"/>
    <w:rsid w:val="00A63AA6"/>
    <w:rsid w:val="00A6506F"/>
    <w:rsid w:val="00A7084E"/>
    <w:rsid w:val="00A73A50"/>
    <w:rsid w:val="00A7660E"/>
    <w:rsid w:val="00A7665B"/>
    <w:rsid w:val="00A82920"/>
    <w:rsid w:val="00A8483B"/>
    <w:rsid w:val="00A85C9C"/>
    <w:rsid w:val="00A86F33"/>
    <w:rsid w:val="00A8762D"/>
    <w:rsid w:val="00A87887"/>
    <w:rsid w:val="00A91740"/>
    <w:rsid w:val="00A93067"/>
    <w:rsid w:val="00A93E92"/>
    <w:rsid w:val="00A9777F"/>
    <w:rsid w:val="00A97C7D"/>
    <w:rsid w:val="00AA289F"/>
    <w:rsid w:val="00AA45B1"/>
    <w:rsid w:val="00AA581E"/>
    <w:rsid w:val="00AA7569"/>
    <w:rsid w:val="00AB601F"/>
    <w:rsid w:val="00AB781F"/>
    <w:rsid w:val="00AB7D65"/>
    <w:rsid w:val="00AB7FB2"/>
    <w:rsid w:val="00AB7FF0"/>
    <w:rsid w:val="00AC3073"/>
    <w:rsid w:val="00AC47CB"/>
    <w:rsid w:val="00AC48F7"/>
    <w:rsid w:val="00AC6F81"/>
    <w:rsid w:val="00AC796C"/>
    <w:rsid w:val="00AD34E6"/>
    <w:rsid w:val="00AD3C89"/>
    <w:rsid w:val="00AE2585"/>
    <w:rsid w:val="00AE4502"/>
    <w:rsid w:val="00AE4FB0"/>
    <w:rsid w:val="00AE7E11"/>
    <w:rsid w:val="00AF07BA"/>
    <w:rsid w:val="00AF55B1"/>
    <w:rsid w:val="00B01D67"/>
    <w:rsid w:val="00B0419F"/>
    <w:rsid w:val="00B05430"/>
    <w:rsid w:val="00B05DD4"/>
    <w:rsid w:val="00B103DC"/>
    <w:rsid w:val="00B112FF"/>
    <w:rsid w:val="00B154D1"/>
    <w:rsid w:val="00B202B0"/>
    <w:rsid w:val="00B209A6"/>
    <w:rsid w:val="00B209BA"/>
    <w:rsid w:val="00B26231"/>
    <w:rsid w:val="00B270FA"/>
    <w:rsid w:val="00B27E1A"/>
    <w:rsid w:val="00B340B8"/>
    <w:rsid w:val="00B36B0C"/>
    <w:rsid w:val="00B4370D"/>
    <w:rsid w:val="00B4698A"/>
    <w:rsid w:val="00B47764"/>
    <w:rsid w:val="00B514C3"/>
    <w:rsid w:val="00B51516"/>
    <w:rsid w:val="00B5155E"/>
    <w:rsid w:val="00B524DE"/>
    <w:rsid w:val="00B53C71"/>
    <w:rsid w:val="00B53E10"/>
    <w:rsid w:val="00B62888"/>
    <w:rsid w:val="00B62DFF"/>
    <w:rsid w:val="00B639CE"/>
    <w:rsid w:val="00B64998"/>
    <w:rsid w:val="00B663A6"/>
    <w:rsid w:val="00B66FBD"/>
    <w:rsid w:val="00B6774C"/>
    <w:rsid w:val="00B67CE8"/>
    <w:rsid w:val="00B73FF6"/>
    <w:rsid w:val="00B75CAD"/>
    <w:rsid w:val="00B76C9F"/>
    <w:rsid w:val="00B82DA9"/>
    <w:rsid w:val="00B82DD6"/>
    <w:rsid w:val="00B853EC"/>
    <w:rsid w:val="00B85A3E"/>
    <w:rsid w:val="00B94E48"/>
    <w:rsid w:val="00B974F3"/>
    <w:rsid w:val="00BA08C3"/>
    <w:rsid w:val="00BA1E3F"/>
    <w:rsid w:val="00BA35B0"/>
    <w:rsid w:val="00BA4715"/>
    <w:rsid w:val="00BA4DCC"/>
    <w:rsid w:val="00BA657F"/>
    <w:rsid w:val="00BA684D"/>
    <w:rsid w:val="00BA7EBB"/>
    <w:rsid w:val="00BB09AD"/>
    <w:rsid w:val="00BB1DFE"/>
    <w:rsid w:val="00BB2334"/>
    <w:rsid w:val="00BB62D3"/>
    <w:rsid w:val="00BB6A45"/>
    <w:rsid w:val="00BB7B46"/>
    <w:rsid w:val="00BC109A"/>
    <w:rsid w:val="00BC283F"/>
    <w:rsid w:val="00BC4074"/>
    <w:rsid w:val="00BC4E2A"/>
    <w:rsid w:val="00BC6801"/>
    <w:rsid w:val="00BD2F3A"/>
    <w:rsid w:val="00BD44E2"/>
    <w:rsid w:val="00BD456A"/>
    <w:rsid w:val="00BD7235"/>
    <w:rsid w:val="00BE0A41"/>
    <w:rsid w:val="00BE33C8"/>
    <w:rsid w:val="00BE35DF"/>
    <w:rsid w:val="00BE3F54"/>
    <w:rsid w:val="00BE428A"/>
    <w:rsid w:val="00BE5380"/>
    <w:rsid w:val="00BE6F66"/>
    <w:rsid w:val="00BE775C"/>
    <w:rsid w:val="00BF0D2C"/>
    <w:rsid w:val="00BF3235"/>
    <w:rsid w:val="00BF3A0D"/>
    <w:rsid w:val="00BF67DE"/>
    <w:rsid w:val="00BF6DA2"/>
    <w:rsid w:val="00BF760A"/>
    <w:rsid w:val="00C013FC"/>
    <w:rsid w:val="00C014D2"/>
    <w:rsid w:val="00C02488"/>
    <w:rsid w:val="00C02C54"/>
    <w:rsid w:val="00C0384F"/>
    <w:rsid w:val="00C0463E"/>
    <w:rsid w:val="00C105BA"/>
    <w:rsid w:val="00C10D17"/>
    <w:rsid w:val="00C119D6"/>
    <w:rsid w:val="00C11C75"/>
    <w:rsid w:val="00C14BD6"/>
    <w:rsid w:val="00C157E4"/>
    <w:rsid w:val="00C20C8D"/>
    <w:rsid w:val="00C20D7D"/>
    <w:rsid w:val="00C21FFE"/>
    <w:rsid w:val="00C239BA"/>
    <w:rsid w:val="00C23CAC"/>
    <w:rsid w:val="00C26761"/>
    <w:rsid w:val="00C31194"/>
    <w:rsid w:val="00C31ACF"/>
    <w:rsid w:val="00C339D3"/>
    <w:rsid w:val="00C341BC"/>
    <w:rsid w:val="00C37257"/>
    <w:rsid w:val="00C37B78"/>
    <w:rsid w:val="00C40DF1"/>
    <w:rsid w:val="00C42962"/>
    <w:rsid w:val="00C45E37"/>
    <w:rsid w:val="00C511A8"/>
    <w:rsid w:val="00C521C0"/>
    <w:rsid w:val="00C529E3"/>
    <w:rsid w:val="00C56E21"/>
    <w:rsid w:val="00C57DC8"/>
    <w:rsid w:val="00C6243D"/>
    <w:rsid w:val="00C65C0D"/>
    <w:rsid w:val="00C72975"/>
    <w:rsid w:val="00C74253"/>
    <w:rsid w:val="00C77BB6"/>
    <w:rsid w:val="00C831C1"/>
    <w:rsid w:val="00C86190"/>
    <w:rsid w:val="00C8643A"/>
    <w:rsid w:val="00C90C1E"/>
    <w:rsid w:val="00C90D6D"/>
    <w:rsid w:val="00C90EAF"/>
    <w:rsid w:val="00C93655"/>
    <w:rsid w:val="00C93CB9"/>
    <w:rsid w:val="00C96AC2"/>
    <w:rsid w:val="00C97215"/>
    <w:rsid w:val="00CA122A"/>
    <w:rsid w:val="00CB0980"/>
    <w:rsid w:val="00CB0B7B"/>
    <w:rsid w:val="00CB168C"/>
    <w:rsid w:val="00CB2197"/>
    <w:rsid w:val="00CB313E"/>
    <w:rsid w:val="00CB526F"/>
    <w:rsid w:val="00CB7289"/>
    <w:rsid w:val="00CC0331"/>
    <w:rsid w:val="00CC0AD0"/>
    <w:rsid w:val="00CC0EF6"/>
    <w:rsid w:val="00CC16F3"/>
    <w:rsid w:val="00CD0917"/>
    <w:rsid w:val="00CD2A3C"/>
    <w:rsid w:val="00CD52BE"/>
    <w:rsid w:val="00CE342C"/>
    <w:rsid w:val="00CE6936"/>
    <w:rsid w:val="00CE6E73"/>
    <w:rsid w:val="00CE7DA5"/>
    <w:rsid w:val="00CF0A29"/>
    <w:rsid w:val="00CF1BC3"/>
    <w:rsid w:val="00CF47F7"/>
    <w:rsid w:val="00CF5BD8"/>
    <w:rsid w:val="00CF6A64"/>
    <w:rsid w:val="00D02078"/>
    <w:rsid w:val="00D04A71"/>
    <w:rsid w:val="00D06BB0"/>
    <w:rsid w:val="00D13DCD"/>
    <w:rsid w:val="00D176FB"/>
    <w:rsid w:val="00D17A0F"/>
    <w:rsid w:val="00D24E67"/>
    <w:rsid w:val="00D25ED5"/>
    <w:rsid w:val="00D27A8A"/>
    <w:rsid w:val="00D27E5C"/>
    <w:rsid w:val="00D30AA8"/>
    <w:rsid w:val="00D30B4B"/>
    <w:rsid w:val="00D33869"/>
    <w:rsid w:val="00D404DA"/>
    <w:rsid w:val="00D411DC"/>
    <w:rsid w:val="00D41388"/>
    <w:rsid w:val="00D42C7E"/>
    <w:rsid w:val="00D43EAB"/>
    <w:rsid w:val="00D5192E"/>
    <w:rsid w:val="00D523E5"/>
    <w:rsid w:val="00D529C9"/>
    <w:rsid w:val="00D52EF7"/>
    <w:rsid w:val="00D53D2C"/>
    <w:rsid w:val="00D551E7"/>
    <w:rsid w:val="00D6156B"/>
    <w:rsid w:val="00D61E59"/>
    <w:rsid w:val="00D626BC"/>
    <w:rsid w:val="00D635EF"/>
    <w:rsid w:val="00D6464B"/>
    <w:rsid w:val="00D656D7"/>
    <w:rsid w:val="00D71A08"/>
    <w:rsid w:val="00D720F3"/>
    <w:rsid w:val="00D728E3"/>
    <w:rsid w:val="00D7681E"/>
    <w:rsid w:val="00D8528C"/>
    <w:rsid w:val="00D872DE"/>
    <w:rsid w:val="00D90207"/>
    <w:rsid w:val="00D90614"/>
    <w:rsid w:val="00D917DC"/>
    <w:rsid w:val="00D93255"/>
    <w:rsid w:val="00D9393A"/>
    <w:rsid w:val="00D97113"/>
    <w:rsid w:val="00DA62EB"/>
    <w:rsid w:val="00DA65E2"/>
    <w:rsid w:val="00DA742F"/>
    <w:rsid w:val="00DB0E1D"/>
    <w:rsid w:val="00DB2A39"/>
    <w:rsid w:val="00DB3151"/>
    <w:rsid w:val="00DB52BD"/>
    <w:rsid w:val="00DB6D83"/>
    <w:rsid w:val="00DC00B5"/>
    <w:rsid w:val="00DC44CE"/>
    <w:rsid w:val="00DC680C"/>
    <w:rsid w:val="00DC6D64"/>
    <w:rsid w:val="00DD3662"/>
    <w:rsid w:val="00DD5346"/>
    <w:rsid w:val="00DE439F"/>
    <w:rsid w:val="00DE7CF5"/>
    <w:rsid w:val="00DF026A"/>
    <w:rsid w:val="00DF0A38"/>
    <w:rsid w:val="00DF0BD5"/>
    <w:rsid w:val="00DF1897"/>
    <w:rsid w:val="00DF1F19"/>
    <w:rsid w:val="00DF303E"/>
    <w:rsid w:val="00DF3BA8"/>
    <w:rsid w:val="00DF46BA"/>
    <w:rsid w:val="00DF574E"/>
    <w:rsid w:val="00DF6790"/>
    <w:rsid w:val="00DF7512"/>
    <w:rsid w:val="00E01DB7"/>
    <w:rsid w:val="00E02049"/>
    <w:rsid w:val="00E06EB6"/>
    <w:rsid w:val="00E1193C"/>
    <w:rsid w:val="00E143FC"/>
    <w:rsid w:val="00E25452"/>
    <w:rsid w:val="00E26178"/>
    <w:rsid w:val="00E30DFD"/>
    <w:rsid w:val="00E323C9"/>
    <w:rsid w:val="00E3694E"/>
    <w:rsid w:val="00E43E20"/>
    <w:rsid w:val="00E4465F"/>
    <w:rsid w:val="00E46047"/>
    <w:rsid w:val="00E511F6"/>
    <w:rsid w:val="00E529EF"/>
    <w:rsid w:val="00E53D98"/>
    <w:rsid w:val="00E54B85"/>
    <w:rsid w:val="00E55F5B"/>
    <w:rsid w:val="00E6195D"/>
    <w:rsid w:val="00E623D7"/>
    <w:rsid w:val="00E633E5"/>
    <w:rsid w:val="00E64FB3"/>
    <w:rsid w:val="00E654E4"/>
    <w:rsid w:val="00E661D0"/>
    <w:rsid w:val="00E675EC"/>
    <w:rsid w:val="00E748C1"/>
    <w:rsid w:val="00E80A21"/>
    <w:rsid w:val="00E818D0"/>
    <w:rsid w:val="00E82B64"/>
    <w:rsid w:val="00E86419"/>
    <w:rsid w:val="00E91ACC"/>
    <w:rsid w:val="00E9274D"/>
    <w:rsid w:val="00E94DDA"/>
    <w:rsid w:val="00E95B32"/>
    <w:rsid w:val="00E96B53"/>
    <w:rsid w:val="00EA156D"/>
    <w:rsid w:val="00EA5799"/>
    <w:rsid w:val="00EA607C"/>
    <w:rsid w:val="00EA7152"/>
    <w:rsid w:val="00EB2C55"/>
    <w:rsid w:val="00EB4CD7"/>
    <w:rsid w:val="00EB5904"/>
    <w:rsid w:val="00EC3216"/>
    <w:rsid w:val="00EC534E"/>
    <w:rsid w:val="00EC6A47"/>
    <w:rsid w:val="00EC7C79"/>
    <w:rsid w:val="00ED004A"/>
    <w:rsid w:val="00ED0C2C"/>
    <w:rsid w:val="00ED5CEE"/>
    <w:rsid w:val="00EE1116"/>
    <w:rsid w:val="00EE2E65"/>
    <w:rsid w:val="00EE35E7"/>
    <w:rsid w:val="00EE7976"/>
    <w:rsid w:val="00EF0006"/>
    <w:rsid w:val="00EF1F72"/>
    <w:rsid w:val="00EF6778"/>
    <w:rsid w:val="00EF6D81"/>
    <w:rsid w:val="00EF7AC2"/>
    <w:rsid w:val="00F01D68"/>
    <w:rsid w:val="00F04894"/>
    <w:rsid w:val="00F10E5D"/>
    <w:rsid w:val="00F15ED3"/>
    <w:rsid w:val="00F17F1D"/>
    <w:rsid w:val="00F20985"/>
    <w:rsid w:val="00F270CC"/>
    <w:rsid w:val="00F306B0"/>
    <w:rsid w:val="00F35483"/>
    <w:rsid w:val="00F37C8A"/>
    <w:rsid w:val="00F419A2"/>
    <w:rsid w:val="00F44306"/>
    <w:rsid w:val="00F4676F"/>
    <w:rsid w:val="00F46C5B"/>
    <w:rsid w:val="00F56CDA"/>
    <w:rsid w:val="00F56EDC"/>
    <w:rsid w:val="00F577DC"/>
    <w:rsid w:val="00F602D0"/>
    <w:rsid w:val="00F62C4A"/>
    <w:rsid w:val="00F62F4B"/>
    <w:rsid w:val="00F66129"/>
    <w:rsid w:val="00F66888"/>
    <w:rsid w:val="00F7207C"/>
    <w:rsid w:val="00F729AA"/>
    <w:rsid w:val="00F738EA"/>
    <w:rsid w:val="00F75723"/>
    <w:rsid w:val="00F76826"/>
    <w:rsid w:val="00F80099"/>
    <w:rsid w:val="00F96149"/>
    <w:rsid w:val="00FA2B57"/>
    <w:rsid w:val="00FA68FE"/>
    <w:rsid w:val="00FA7CFD"/>
    <w:rsid w:val="00FB1629"/>
    <w:rsid w:val="00FB3394"/>
    <w:rsid w:val="00FB42AF"/>
    <w:rsid w:val="00FC2B9A"/>
    <w:rsid w:val="00FC3BA8"/>
    <w:rsid w:val="00FC3DBF"/>
    <w:rsid w:val="00FC5FBA"/>
    <w:rsid w:val="00FD3D1C"/>
    <w:rsid w:val="00FD4921"/>
    <w:rsid w:val="00FD6CCE"/>
    <w:rsid w:val="00FE412E"/>
    <w:rsid w:val="00FE5702"/>
    <w:rsid w:val="00FF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F09EB"/>
  <w15:docId w15:val="{24FC7E1C-C116-474D-8C30-66DBD99C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B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6B0C"/>
    <w:rPr>
      <w:sz w:val="16"/>
      <w:szCs w:val="16"/>
    </w:rPr>
  </w:style>
  <w:style w:type="paragraph" w:styleId="CommentText">
    <w:name w:val="annotation text"/>
    <w:basedOn w:val="Normal"/>
    <w:link w:val="CommentTextChar"/>
    <w:uiPriority w:val="99"/>
    <w:unhideWhenUsed/>
    <w:rsid w:val="00B36B0C"/>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B36B0C"/>
    <w:rPr>
      <w:sz w:val="20"/>
      <w:szCs w:val="20"/>
    </w:rPr>
  </w:style>
  <w:style w:type="paragraph" w:styleId="CommentSubject">
    <w:name w:val="annotation subject"/>
    <w:basedOn w:val="CommentText"/>
    <w:next w:val="CommentText"/>
    <w:link w:val="CommentSubjectChar"/>
    <w:uiPriority w:val="99"/>
    <w:semiHidden/>
    <w:unhideWhenUsed/>
    <w:rsid w:val="00B36B0C"/>
    <w:rPr>
      <w:b/>
      <w:bCs/>
    </w:rPr>
  </w:style>
  <w:style w:type="character" w:customStyle="1" w:styleId="CommentSubjectChar">
    <w:name w:val="Comment Subject Char"/>
    <w:basedOn w:val="CommentTextChar"/>
    <w:link w:val="CommentSubject"/>
    <w:uiPriority w:val="99"/>
    <w:semiHidden/>
    <w:rsid w:val="00B36B0C"/>
    <w:rPr>
      <w:b/>
      <w:bCs/>
      <w:sz w:val="20"/>
      <w:szCs w:val="20"/>
    </w:rPr>
  </w:style>
  <w:style w:type="paragraph" w:styleId="BalloonText">
    <w:name w:val="Balloon Text"/>
    <w:basedOn w:val="Normal"/>
    <w:link w:val="BalloonTextChar"/>
    <w:uiPriority w:val="99"/>
    <w:semiHidden/>
    <w:unhideWhenUsed/>
    <w:rsid w:val="00B36B0C"/>
    <w:rPr>
      <w:rFonts w:ascii="Segoe UI" w:eastAsiaTheme="minorHAnsi" w:hAnsi="Segoe UI" w:cs="Segoe UI"/>
      <w:sz w:val="20"/>
      <w:szCs w:val="18"/>
      <w:lang w:val="en-US" w:eastAsia="en-US"/>
    </w:rPr>
  </w:style>
  <w:style w:type="character" w:customStyle="1" w:styleId="BalloonTextChar">
    <w:name w:val="Balloon Text Char"/>
    <w:basedOn w:val="DefaultParagraphFont"/>
    <w:link w:val="BalloonText"/>
    <w:uiPriority w:val="99"/>
    <w:semiHidden/>
    <w:rsid w:val="00B36B0C"/>
    <w:rPr>
      <w:rFonts w:ascii="Segoe UI" w:hAnsi="Segoe UI" w:cs="Segoe UI"/>
      <w:sz w:val="20"/>
      <w:szCs w:val="18"/>
    </w:rPr>
  </w:style>
  <w:style w:type="paragraph" w:styleId="Caption">
    <w:name w:val="caption"/>
    <w:basedOn w:val="Normal"/>
    <w:next w:val="Normal"/>
    <w:uiPriority w:val="35"/>
    <w:unhideWhenUsed/>
    <w:qFormat/>
    <w:rsid w:val="00AE4FB0"/>
    <w:pPr>
      <w:spacing w:after="200"/>
    </w:pPr>
    <w:rPr>
      <w:rFonts w:asciiTheme="minorHAnsi" w:eastAsiaTheme="minorHAnsi" w:hAnsiTheme="minorHAnsi" w:cstheme="minorBidi"/>
      <w:i/>
      <w:iCs/>
      <w:color w:val="1F497D" w:themeColor="text2"/>
      <w:sz w:val="18"/>
      <w:szCs w:val="18"/>
      <w:lang w:val="en-US" w:eastAsia="en-US"/>
    </w:rPr>
  </w:style>
  <w:style w:type="paragraph" w:styleId="ListParagraph">
    <w:name w:val="List Paragraph"/>
    <w:basedOn w:val="Normal"/>
    <w:uiPriority w:val="34"/>
    <w:qFormat/>
    <w:rsid w:val="00450537"/>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C86190"/>
    <w:pPr>
      <w:tabs>
        <w:tab w:val="center" w:pos="4819"/>
        <w:tab w:val="right" w:pos="9638"/>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86190"/>
  </w:style>
  <w:style w:type="paragraph" w:styleId="Footer">
    <w:name w:val="footer"/>
    <w:basedOn w:val="Normal"/>
    <w:link w:val="FooterChar"/>
    <w:uiPriority w:val="99"/>
    <w:unhideWhenUsed/>
    <w:rsid w:val="00C86190"/>
    <w:pPr>
      <w:tabs>
        <w:tab w:val="center" w:pos="4819"/>
        <w:tab w:val="right" w:pos="9638"/>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86190"/>
  </w:style>
  <w:style w:type="paragraph" w:styleId="Revision">
    <w:name w:val="Revision"/>
    <w:hidden/>
    <w:uiPriority w:val="99"/>
    <w:semiHidden/>
    <w:rsid w:val="00E1193C"/>
    <w:pPr>
      <w:spacing w:after="0" w:line="240" w:lineRule="auto"/>
    </w:pPr>
  </w:style>
  <w:style w:type="paragraph" w:customStyle="1" w:styleId="CitaviLiteraturverzeichnis">
    <w:name w:val="Citavi Literaturverzeichnis"/>
    <w:basedOn w:val="Normal"/>
    <w:rsid w:val="00232C6A"/>
    <w:pPr>
      <w:spacing w:after="60"/>
      <w:ind w:left="567" w:hanging="567"/>
    </w:pPr>
    <w:rPr>
      <w:rFonts w:ascii="Segoe UI" w:hAnsi="Segoe UI" w:cs="Segoe UI"/>
      <w:sz w:val="18"/>
      <w:szCs w:val="18"/>
      <w:lang w:val="de-DE" w:eastAsia="de-DE"/>
    </w:rPr>
  </w:style>
  <w:style w:type="character" w:styleId="Hyperlink">
    <w:name w:val="Hyperlink"/>
    <w:basedOn w:val="DefaultParagraphFont"/>
    <w:uiPriority w:val="99"/>
    <w:unhideWhenUsed/>
    <w:rsid w:val="00A93E92"/>
    <w:rPr>
      <w:color w:val="0000FF" w:themeColor="hyperlink"/>
      <w:u w:val="single"/>
    </w:rPr>
  </w:style>
  <w:style w:type="character" w:styleId="FollowedHyperlink">
    <w:name w:val="FollowedHyperlink"/>
    <w:basedOn w:val="DefaultParagraphFont"/>
    <w:uiPriority w:val="99"/>
    <w:semiHidden/>
    <w:unhideWhenUsed/>
    <w:rsid w:val="008F388B"/>
    <w:rPr>
      <w:color w:val="800080" w:themeColor="followedHyperlink"/>
      <w:u w:val="single"/>
    </w:rPr>
  </w:style>
  <w:style w:type="paragraph" w:styleId="PlainText">
    <w:name w:val="Plain Text"/>
    <w:basedOn w:val="Normal"/>
    <w:link w:val="PlainTextChar"/>
    <w:uiPriority w:val="99"/>
    <w:semiHidden/>
    <w:unhideWhenUsed/>
    <w:rsid w:val="004C09D2"/>
    <w:rPr>
      <w:rFonts w:ascii="Calibri" w:hAnsi="Calibri"/>
      <w:szCs w:val="21"/>
      <w:lang w:val="fi-FI"/>
    </w:rPr>
  </w:style>
  <w:style w:type="character" w:customStyle="1" w:styleId="PlainTextChar">
    <w:name w:val="Plain Text Char"/>
    <w:basedOn w:val="DefaultParagraphFont"/>
    <w:link w:val="PlainText"/>
    <w:uiPriority w:val="99"/>
    <w:semiHidden/>
    <w:rsid w:val="004C09D2"/>
    <w:rPr>
      <w:rFonts w:ascii="Calibri" w:hAnsi="Calibri"/>
      <w:szCs w:val="21"/>
      <w:lang w:val="fi-FI"/>
    </w:rPr>
  </w:style>
  <w:style w:type="paragraph" w:customStyle="1" w:styleId="Kappale2">
    <w:name w:val="Kappale 2"/>
    <w:basedOn w:val="Normal"/>
    <w:uiPriority w:val="99"/>
    <w:qFormat/>
    <w:rsid w:val="00C831C1"/>
    <w:pPr>
      <w:spacing w:line="360" w:lineRule="auto"/>
      <w:ind w:firstLine="851"/>
      <w:jc w:val="both"/>
    </w:pPr>
    <w:rPr>
      <w:rFonts w:eastAsiaTheme="minorHAnsi" w:cstheme="minorBidi"/>
      <w:szCs w:val="22"/>
      <w:lang w:val="fi-FI" w:eastAsia="en-US"/>
    </w:rPr>
  </w:style>
  <w:style w:type="character" w:styleId="PlaceholderText">
    <w:name w:val="Placeholder Text"/>
    <w:basedOn w:val="DefaultParagraphFont"/>
    <w:uiPriority w:val="99"/>
    <w:semiHidden/>
    <w:rsid w:val="00CA12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732">
      <w:bodyDiv w:val="1"/>
      <w:marLeft w:val="0"/>
      <w:marRight w:val="0"/>
      <w:marTop w:val="0"/>
      <w:marBottom w:val="0"/>
      <w:divBdr>
        <w:top w:val="none" w:sz="0" w:space="0" w:color="auto"/>
        <w:left w:val="none" w:sz="0" w:space="0" w:color="auto"/>
        <w:bottom w:val="none" w:sz="0" w:space="0" w:color="auto"/>
        <w:right w:val="none" w:sz="0" w:space="0" w:color="auto"/>
      </w:divBdr>
    </w:div>
    <w:div w:id="91513500">
      <w:bodyDiv w:val="1"/>
      <w:marLeft w:val="0"/>
      <w:marRight w:val="0"/>
      <w:marTop w:val="0"/>
      <w:marBottom w:val="0"/>
      <w:divBdr>
        <w:top w:val="none" w:sz="0" w:space="0" w:color="auto"/>
        <w:left w:val="none" w:sz="0" w:space="0" w:color="auto"/>
        <w:bottom w:val="none" w:sz="0" w:space="0" w:color="auto"/>
        <w:right w:val="none" w:sz="0" w:space="0" w:color="auto"/>
      </w:divBdr>
    </w:div>
    <w:div w:id="133529049">
      <w:bodyDiv w:val="1"/>
      <w:marLeft w:val="0"/>
      <w:marRight w:val="0"/>
      <w:marTop w:val="0"/>
      <w:marBottom w:val="0"/>
      <w:divBdr>
        <w:top w:val="none" w:sz="0" w:space="0" w:color="auto"/>
        <w:left w:val="none" w:sz="0" w:space="0" w:color="auto"/>
        <w:bottom w:val="none" w:sz="0" w:space="0" w:color="auto"/>
        <w:right w:val="none" w:sz="0" w:space="0" w:color="auto"/>
      </w:divBdr>
    </w:div>
    <w:div w:id="212737721">
      <w:bodyDiv w:val="1"/>
      <w:marLeft w:val="0"/>
      <w:marRight w:val="0"/>
      <w:marTop w:val="0"/>
      <w:marBottom w:val="0"/>
      <w:divBdr>
        <w:top w:val="none" w:sz="0" w:space="0" w:color="auto"/>
        <w:left w:val="none" w:sz="0" w:space="0" w:color="auto"/>
        <w:bottom w:val="none" w:sz="0" w:space="0" w:color="auto"/>
        <w:right w:val="none" w:sz="0" w:space="0" w:color="auto"/>
      </w:divBdr>
      <w:divsChild>
        <w:div w:id="2145418923">
          <w:marLeft w:val="0"/>
          <w:marRight w:val="0"/>
          <w:marTop w:val="0"/>
          <w:marBottom w:val="0"/>
          <w:divBdr>
            <w:top w:val="none" w:sz="0" w:space="0" w:color="auto"/>
            <w:left w:val="none" w:sz="0" w:space="0" w:color="auto"/>
            <w:bottom w:val="none" w:sz="0" w:space="0" w:color="auto"/>
            <w:right w:val="none" w:sz="0" w:space="0" w:color="auto"/>
          </w:divBdr>
        </w:div>
      </w:divsChild>
    </w:div>
    <w:div w:id="312684890">
      <w:bodyDiv w:val="1"/>
      <w:marLeft w:val="0"/>
      <w:marRight w:val="0"/>
      <w:marTop w:val="0"/>
      <w:marBottom w:val="0"/>
      <w:divBdr>
        <w:top w:val="none" w:sz="0" w:space="0" w:color="auto"/>
        <w:left w:val="none" w:sz="0" w:space="0" w:color="auto"/>
        <w:bottom w:val="none" w:sz="0" w:space="0" w:color="auto"/>
        <w:right w:val="none" w:sz="0" w:space="0" w:color="auto"/>
      </w:divBdr>
    </w:div>
    <w:div w:id="327514542">
      <w:bodyDiv w:val="1"/>
      <w:marLeft w:val="0"/>
      <w:marRight w:val="0"/>
      <w:marTop w:val="0"/>
      <w:marBottom w:val="0"/>
      <w:divBdr>
        <w:top w:val="none" w:sz="0" w:space="0" w:color="auto"/>
        <w:left w:val="none" w:sz="0" w:space="0" w:color="auto"/>
        <w:bottom w:val="none" w:sz="0" w:space="0" w:color="auto"/>
        <w:right w:val="none" w:sz="0" w:space="0" w:color="auto"/>
      </w:divBdr>
      <w:divsChild>
        <w:div w:id="2047022108">
          <w:marLeft w:val="0"/>
          <w:marRight w:val="0"/>
          <w:marTop w:val="0"/>
          <w:marBottom w:val="0"/>
          <w:divBdr>
            <w:top w:val="none" w:sz="0" w:space="0" w:color="auto"/>
            <w:left w:val="none" w:sz="0" w:space="0" w:color="auto"/>
            <w:bottom w:val="none" w:sz="0" w:space="0" w:color="auto"/>
            <w:right w:val="none" w:sz="0" w:space="0" w:color="auto"/>
          </w:divBdr>
        </w:div>
      </w:divsChild>
    </w:div>
    <w:div w:id="354038376">
      <w:bodyDiv w:val="1"/>
      <w:marLeft w:val="0"/>
      <w:marRight w:val="0"/>
      <w:marTop w:val="0"/>
      <w:marBottom w:val="0"/>
      <w:divBdr>
        <w:top w:val="none" w:sz="0" w:space="0" w:color="auto"/>
        <w:left w:val="none" w:sz="0" w:space="0" w:color="auto"/>
        <w:bottom w:val="none" w:sz="0" w:space="0" w:color="auto"/>
        <w:right w:val="none" w:sz="0" w:space="0" w:color="auto"/>
      </w:divBdr>
      <w:divsChild>
        <w:div w:id="1838961984">
          <w:marLeft w:val="0"/>
          <w:marRight w:val="0"/>
          <w:marTop w:val="0"/>
          <w:marBottom w:val="0"/>
          <w:divBdr>
            <w:top w:val="none" w:sz="0" w:space="0" w:color="auto"/>
            <w:left w:val="none" w:sz="0" w:space="0" w:color="auto"/>
            <w:bottom w:val="none" w:sz="0" w:space="0" w:color="auto"/>
            <w:right w:val="none" w:sz="0" w:space="0" w:color="auto"/>
          </w:divBdr>
        </w:div>
      </w:divsChild>
    </w:div>
    <w:div w:id="378212766">
      <w:bodyDiv w:val="1"/>
      <w:marLeft w:val="0"/>
      <w:marRight w:val="0"/>
      <w:marTop w:val="0"/>
      <w:marBottom w:val="0"/>
      <w:divBdr>
        <w:top w:val="none" w:sz="0" w:space="0" w:color="auto"/>
        <w:left w:val="none" w:sz="0" w:space="0" w:color="auto"/>
        <w:bottom w:val="none" w:sz="0" w:space="0" w:color="auto"/>
        <w:right w:val="none" w:sz="0" w:space="0" w:color="auto"/>
      </w:divBdr>
    </w:div>
    <w:div w:id="513031736">
      <w:bodyDiv w:val="1"/>
      <w:marLeft w:val="0"/>
      <w:marRight w:val="0"/>
      <w:marTop w:val="0"/>
      <w:marBottom w:val="0"/>
      <w:divBdr>
        <w:top w:val="none" w:sz="0" w:space="0" w:color="auto"/>
        <w:left w:val="none" w:sz="0" w:space="0" w:color="auto"/>
        <w:bottom w:val="none" w:sz="0" w:space="0" w:color="auto"/>
        <w:right w:val="none" w:sz="0" w:space="0" w:color="auto"/>
      </w:divBdr>
    </w:div>
    <w:div w:id="558786675">
      <w:bodyDiv w:val="1"/>
      <w:marLeft w:val="0"/>
      <w:marRight w:val="0"/>
      <w:marTop w:val="0"/>
      <w:marBottom w:val="0"/>
      <w:divBdr>
        <w:top w:val="none" w:sz="0" w:space="0" w:color="auto"/>
        <w:left w:val="none" w:sz="0" w:space="0" w:color="auto"/>
        <w:bottom w:val="none" w:sz="0" w:space="0" w:color="auto"/>
        <w:right w:val="none" w:sz="0" w:space="0" w:color="auto"/>
      </w:divBdr>
      <w:divsChild>
        <w:div w:id="989940462">
          <w:marLeft w:val="0"/>
          <w:marRight w:val="0"/>
          <w:marTop w:val="0"/>
          <w:marBottom w:val="0"/>
          <w:divBdr>
            <w:top w:val="none" w:sz="0" w:space="0" w:color="auto"/>
            <w:left w:val="none" w:sz="0" w:space="0" w:color="auto"/>
            <w:bottom w:val="none" w:sz="0" w:space="0" w:color="auto"/>
            <w:right w:val="none" w:sz="0" w:space="0" w:color="auto"/>
          </w:divBdr>
        </w:div>
      </w:divsChild>
    </w:div>
    <w:div w:id="594285372">
      <w:bodyDiv w:val="1"/>
      <w:marLeft w:val="0"/>
      <w:marRight w:val="0"/>
      <w:marTop w:val="0"/>
      <w:marBottom w:val="0"/>
      <w:divBdr>
        <w:top w:val="none" w:sz="0" w:space="0" w:color="auto"/>
        <w:left w:val="none" w:sz="0" w:space="0" w:color="auto"/>
        <w:bottom w:val="none" w:sz="0" w:space="0" w:color="auto"/>
        <w:right w:val="none" w:sz="0" w:space="0" w:color="auto"/>
      </w:divBdr>
    </w:div>
    <w:div w:id="721059361">
      <w:bodyDiv w:val="1"/>
      <w:marLeft w:val="0"/>
      <w:marRight w:val="0"/>
      <w:marTop w:val="0"/>
      <w:marBottom w:val="0"/>
      <w:divBdr>
        <w:top w:val="none" w:sz="0" w:space="0" w:color="auto"/>
        <w:left w:val="none" w:sz="0" w:space="0" w:color="auto"/>
        <w:bottom w:val="none" w:sz="0" w:space="0" w:color="auto"/>
        <w:right w:val="none" w:sz="0" w:space="0" w:color="auto"/>
      </w:divBdr>
    </w:div>
    <w:div w:id="722217661">
      <w:bodyDiv w:val="1"/>
      <w:marLeft w:val="0"/>
      <w:marRight w:val="0"/>
      <w:marTop w:val="0"/>
      <w:marBottom w:val="0"/>
      <w:divBdr>
        <w:top w:val="none" w:sz="0" w:space="0" w:color="auto"/>
        <w:left w:val="none" w:sz="0" w:space="0" w:color="auto"/>
        <w:bottom w:val="none" w:sz="0" w:space="0" w:color="auto"/>
        <w:right w:val="none" w:sz="0" w:space="0" w:color="auto"/>
      </w:divBdr>
      <w:divsChild>
        <w:div w:id="1582183345">
          <w:marLeft w:val="0"/>
          <w:marRight w:val="0"/>
          <w:marTop w:val="0"/>
          <w:marBottom w:val="0"/>
          <w:divBdr>
            <w:top w:val="none" w:sz="0" w:space="0" w:color="auto"/>
            <w:left w:val="none" w:sz="0" w:space="0" w:color="auto"/>
            <w:bottom w:val="none" w:sz="0" w:space="0" w:color="auto"/>
            <w:right w:val="none" w:sz="0" w:space="0" w:color="auto"/>
          </w:divBdr>
        </w:div>
      </w:divsChild>
    </w:div>
    <w:div w:id="824778482">
      <w:bodyDiv w:val="1"/>
      <w:marLeft w:val="0"/>
      <w:marRight w:val="0"/>
      <w:marTop w:val="0"/>
      <w:marBottom w:val="0"/>
      <w:divBdr>
        <w:top w:val="none" w:sz="0" w:space="0" w:color="auto"/>
        <w:left w:val="none" w:sz="0" w:space="0" w:color="auto"/>
        <w:bottom w:val="none" w:sz="0" w:space="0" w:color="auto"/>
        <w:right w:val="none" w:sz="0" w:space="0" w:color="auto"/>
      </w:divBdr>
    </w:div>
    <w:div w:id="853694056">
      <w:bodyDiv w:val="1"/>
      <w:marLeft w:val="0"/>
      <w:marRight w:val="0"/>
      <w:marTop w:val="0"/>
      <w:marBottom w:val="0"/>
      <w:divBdr>
        <w:top w:val="none" w:sz="0" w:space="0" w:color="auto"/>
        <w:left w:val="none" w:sz="0" w:space="0" w:color="auto"/>
        <w:bottom w:val="none" w:sz="0" w:space="0" w:color="auto"/>
        <w:right w:val="none" w:sz="0" w:space="0" w:color="auto"/>
      </w:divBdr>
      <w:divsChild>
        <w:div w:id="1322269081">
          <w:marLeft w:val="0"/>
          <w:marRight w:val="0"/>
          <w:marTop w:val="0"/>
          <w:marBottom w:val="0"/>
          <w:divBdr>
            <w:top w:val="none" w:sz="0" w:space="0" w:color="auto"/>
            <w:left w:val="none" w:sz="0" w:space="0" w:color="auto"/>
            <w:bottom w:val="none" w:sz="0" w:space="0" w:color="auto"/>
            <w:right w:val="none" w:sz="0" w:space="0" w:color="auto"/>
          </w:divBdr>
        </w:div>
      </w:divsChild>
    </w:div>
    <w:div w:id="940449982">
      <w:bodyDiv w:val="1"/>
      <w:marLeft w:val="0"/>
      <w:marRight w:val="0"/>
      <w:marTop w:val="0"/>
      <w:marBottom w:val="0"/>
      <w:divBdr>
        <w:top w:val="none" w:sz="0" w:space="0" w:color="auto"/>
        <w:left w:val="none" w:sz="0" w:space="0" w:color="auto"/>
        <w:bottom w:val="none" w:sz="0" w:space="0" w:color="auto"/>
        <w:right w:val="none" w:sz="0" w:space="0" w:color="auto"/>
      </w:divBdr>
    </w:div>
    <w:div w:id="966858619">
      <w:bodyDiv w:val="1"/>
      <w:marLeft w:val="0"/>
      <w:marRight w:val="0"/>
      <w:marTop w:val="0"/>
      <w:marBottom w:val="0"/>
      <w:divBdr>
        <w:top w:val="none" w:sz="0" w:space="0" w:color="auto"/>
        <w:left w:val="none" w:sz="0" w:space="0" w:color="auto"/>
        <w:bottom w:val="none" w:sz="0" w:space="0" w:color="auto"/>
        <w:right w:val="none" w:sz="0" w:space="0" w:color="auto"/>
      </w:divBdr>
    </w:div>
    <w:div w:id="988561655">
      <w:bodyDiv w:val="1"/>
      <w:marLeft w:val="0"/>
      <w:marRight w:val="0"/>
      <w:marTop w:val="0"/>
      <w:marBottom w:val="0"/>
      <w:divBdr>
        <w:top w:val="none" w:sz="0" w:space="0" w:color="auto"/>
        <w:left w:val="none" w:sz="0" w:space="0" w:color="auto"/>
        <w:bottom w:val="none" w:sz="0" w:space="0" w:color="auto"/>
        <w:right w:val="none" w:sz="0" w:space="0" w:color="auto"/>
      </w:divBdr>
      <w:divsChild>
        <w:div w:id="1765222454">
          <w:marLeft w:val="806"/>
          <w:marRight w:val="0"/>
          <w:marTop w:val="200"/>
          <w:marBottom w:val="0"/>
          <w:divBdr>
            <w:top w:val="none" w:sz="0" w:space="0" w:color="auto"/>
            <w:left w:val="none" w:sz="0" w:space="0" w:color="auto"/>
            <w:bottom w:val="none" w:sz="0" w:space="0" w:color="auto"/>
            <w:right w:val="none" w:sz="0" w:space="0" w:color="auto"/>
          </w:divBdr>
        </w:div>
        <w:div w:id="63143532">
          <w:marLeft w:val="806"/>
          <w:marRight w:val="0"/>
          <w:marTop w:val="200"/>
          <w:marBottom w:val="0"/>
          <w:divBdr>
            <w:top w:val="none" w:sz="0" w:space="0" w:color="auto"/>
            <w:left w:val="none" w:sz="0" w:space="0" w:color="auto"/>
            <w:bottom w:val="none" w:sz="0" w:space="0" w:color="auto"/>
            <w:right w:val="none" w:sz="0" w:space="0" w:color="auto"/>
          </w:divBdr>
        </w:div>
        <w:div w:id="194663698">
          <w:marLeft w:val="806"/>
          <w:marRight w:val="0"/>
          <w:marTop w:val="200"/>
          <w:marBottom w:val="0"/>
          <w:divBdr>
            <w:top w:val="none" w:sz="0" w:space="0" w:color="auto"/>
            <w:left w:val="none" w:sz="0" w:space="0" w:color="auto"/>
            <w:bottom w:val="none" w:sz="0" w:space="0" w:color="auto"/>
            <w:right w:val="none" w:sz="0" w:space="0" w:color="auto"/>
          </w:divBdr>
        </w:div>
        <w:div w:id="86075567">
          <w:marLeft w:val="806"/>
          <w:marRight w:val="0"/>
          <w:marTop w:val="200"/>
          <w:marBottom w:val="0"/>
          <w:divBdr>
            <w:top w:val="none" w:sz="0" w:space="0" w:color="auto"/>
            <w:left w:val="none" w:sz="0" w:space="0" w:color="auto"/>
            <w:bottom w:val="none" w:sz="0" w:space="0" w:color="auto"/>
            <w:right w:val="none" w:sz="0" w:space="0" w:color="auto"/>
          </w:divBdr>
        </w:div>
      </w:divsChild>
    </w:div>
    <w:div w:id="1097408959">
      <w:bodyDiv w:val="1"/>
      <w:marLeft w:val="0"/>
      <w:marRight w:val="0"/>
      <w:marTop w:val="0"/>
      <w:marBottom w:val="0"/>
      <w:divBdr>
        <w:top w:val="none" w:sz="0" w:space="0" w:color="auto"/>
        <w:left w:val="none" w:sz="0" w:space="0" w:color="auto"/>
        <w:bottom w:val="none" w:sz="0" w:space="0" w:color="auto"/>
        <w:right w:val="none" w:sz="0" w:space="0" w:color="auto"/>
      </w:divBdr>
      <w:divsChild>
        <w:div w:id="1917474377">
          <w:marLeft w:val="0"/>
          <w:marRight w:val="0"/>
          <w:marTop w:val="0"/>
          <w:marBottom w:val="0"/>
          <w:divBdr>
            <w:top w:val="none" w:sz="0" w:space="0" w:color="auto"/>
            <w:left w:val="none" w:sz="0" w:space="0" w:color="auto"/>
            <w:bottom w:val="none" w:sz="0" w:space="0" w:color="auto"/>
            <w:right w:val="none" w:sz="0" w:space="0" w:color="auto"/>
          </w:divBdr>
        </w:div>
      </w:divsChild>
    </w:div>
    <w:div w:id="1102650846">
      <w:bodyDiv w:val="1"/>
      <w:marLeft w:val="0"/>
      <w:marRight w:val="0"/>
      <w:marTop w:val="0"/>
      <w:marBottom w:val="0"/>
      <w:divBdr>
        <w:top w:val="none" w:sz="0" w:space="0" w:color="auto"/>
        <w:left w:val="none" w:sz="0" w:space="0" w:color="auto"/>
        <w:bottom w:val="none" w:sz="0" w:space="0" w:color="auto"/>
        <w:right w:val="none" w:sz="0" w:space="0" w:color="auto"/>
      </w:divBdr>
      <w:divsChild>
        <w:div w:id="54933039">
          <w:marLeft w:val="0"/>
          <w:marRight w:val="0"/>
          <w:marTop w:val="0"/>
          <w:marBottom w:val="0"/>
          <w:divBdr>
            <w:top w:val="none" w:sz="0" w:space="0" w:color="auto"/>
            <w:left w:val="none" w:sz="0" w:space="0" w:color="auto"/>
            <w:bottom w:val="none" w:sz="0" w:space="0" w:color="auto"/>
            <w:right w:val="none" w:sz="0" w:space="0" w:color="auto"/>
          </w:divBdr>
        </w:div>
      </w:divsChild>
    </w:div>
    <w:div w:id="1185704336">
      <w:bodyDiv w:val="1"/>
      <w:marLeft w:val="0"/>
      <w:marRight w:val="0"/>
      <w:marTop w:val="0"/>
      <w:marBottom w:val="0"/>
      <w:divBdr>
        <w:top w:val="none" w:sz="0" w:space="0" w:color="auto"/>
        <w:left w:val="none" w:sz="0" w:space="0" w:color="auto"/>
        <w:bottom w:val="none" w:sz="0" w:space="0" w:color="auto"/>
        <w:right w:val="none" w:sz="0" w:space="0" w:color="auto"/>
      </w:divBdr>
      <w:divsChild>
        <w:div w:id="1304122953">
          <w:marLeft w:val="0"/>
          <w:marRight w:val="0"/>
          <w:marTop w:val="0"/>
          <w:marBottom w:val="0"/>
          <w:divBdr>
            <w:top w:val="none" w:sz="0" w:space="0" w:color="auto"/>
            <w:left w:val="none" w:sz="0" w:space="0" w:color="auto"/>
            <w:bottom w:val="none" w:sz="0" w:space="0" w:color="auto"/>
            <w:right w:val="none" w:sz="0" w:space="0" w:color="auto"/>
          </w:divBdr>
        </w:div>
      </w:divsChild>
    </w:div>
    <w:div w:id="1276252833">
      <w:bodyDiv w:val="1"/>
      <w:marLeft w:val="0"/>
      <w:marRight w:val="0"/>
      <w:marTop w:val="0"/>
      <w:marBottom w:val="0"/>
      <w:divBdr>
        <w:top w:val="none" w:sz="0" w:space="0" w:color="auto"/>
        <w:left w:val="none" w:sz="0" w:space="0" w:color="auto"/>
        <w:bottom w:val="none" w:sz="0" w:space="0" w:color="auto"/>
        <w:right w:val="none" w:sz="0" w:space="0" w:color="auto"/>
      </w:divBdr>
    </w:div>
    <w:div w:id="1384140701">
      <w:bodyDiv w:val="1"/>
      <w:marLeft w:val="0"/>
      <w:marRight w:val="0"/>
      <w:marTop w:val="0"/>
      <w:marBottom w:val="0"/>
      <w:divBdr>
        <w:top w:val="none" w:sz="0" w:space="0" w:color="auto"/>
        <w:left w:val="none" w:sz="0" w:space="0" w:color="auto"/>
        <w:bottom w:val="none" w:sz="0" w:space="0" w:color="auto"/>
        <w:right w:val="none" w:sz="0" w:space="0" w:color="auto"/>
      </w:divBdr>
    </w:div>
    <w:div w:id="1385133988">
      <w:bodyDiv w:val="1"/>
      <w:marLeft w:val="0"/>
      <w:marRight w:val="0"/>
      <w:marTop w:val="0"/>
      <w:marBottom w:val="0"/>
      <w:divBdr>
        <w:top w:val="none" w:sz="0" w:space="0" w:color="auto"/>
        <w:left w:val="none" w:sz="0" w:space="0" w:color="auto"/>
        <w:bottom w:val="none" w:sz="0" w:space="0" w:color="auto"/>
        <w:right w:val="none" w:sz="0" w:space="0" w:color="auto"/>
      </w:divBdr>
      <w:divsChild>
        <w:div w:id="1243877826">
          <w:marLeft w:val="0"/>
          <w:marRight w:val="0"/>
          <w:marTop w:val="0"/>
          <w:marBottom w:val="0"/>
          <w:divBdr>
            <w:top w:val="none" w:sz="0" w:space="0" w:color="auto"/>
            <w:left w:val="none" w:sz="0" w:space="0" w:color="auto"/>
            <w:bottom w:val="none" w:sz="0" w:space="0" w:color="auto"/>
            <w:right w:val="none" w:sz="0" w:space="0" w:color="auto"/>
          </w:divBdr>
        </w:div>
      </w:divsChild>
    </w:div>
    <w:div w:id="1447314057">
      <w:bodyDiv w:val="1"/>
      <w:marLeft w:val="0"/>
      <w:marRight w:val="0"/>
      <w:marTop w:val="0"/>
      <w:marBottom w:val="0"/>
      <w:divBdr>
        <w:top w:val="none" w:sz="0" w:space="0" w:color="auto"/>
        <w:left w:val="none" w:sz="0" w:space="0" w:color="auto"/>
        <w:bottom w:val="none" w:sz="0" w:space="0" w:color="auto"/>
        <w:right w:val="none" w:sz="0" w:space="0" w:color="auto"/>
      </w:divBdr>
    </w:div>
    <w:div w:id="1520121046">
      <w:bodyDiv w:val="1"/>
      <w:marLeft w:val="0"/>
      <w:marRight w:val="0"/>
      <w:marTop w:val="0"/>
      <w:marBottom w:val="0"/>
      <w:divBdr>
        <w:top w:val="none" w:sz="0" w:space="0" w:color="auto"/>
        <w:left w:val="none" w:sz="0" w:space="0" w:color="auto"/>
        <w:bottom w:val="none" w:sz="0" w:space="0" w:color="auto"/>
        <w:right w:val="none" w:sz="0" w:space="0" w:color="auto"/>
      </w:divBdr>
      <w:divsChild>
        <w:div w:id="686567660">
          <w:marLeft w:val="0"/>
          <w:marRight w:val="0"/>
          <w:marTop w:val="0"/>
          <w:marBottom w:val="0"/>
          <w:divBdr>
            <w:top w:val="none" w:sz="0" w:space="0" w:color="auto"/>
            <w:left w:val="none" w:sz="0" w:space="0" w:color="auto"/>
            <w:bottom w:val="none" w:sz="0" w:space="0" w:color="auto"/>
            <w:right w:val="none" w:sz="0" w:space="0" w:color="auto"/>
          </w:divBdr>
        </w:div>
      </w:divsChild>
    </w:div>
    <w:div w:id="1593315971">
      <w:bodyDiv w:val="1"/>
      <w:marLeft w:val="0"/>
      <w:marRight w:val="0"/>
      <w:marTop w:val="0"/>
      <w:marBottom w:val="0"/>
      <w:divBdr>
        <w:top w:val="none" w:sz="0" w:space="0" w:color="auto"/>
        <w:left w:val="none" w:sz="0" w:space="0" w:color="auto"/>
        <w:bottom w:val="none" w:sz="0" w:space="0" w:color="auto"/>
        <w:right w:val="none" w:sz="0" w:space="0" w:color="auto"/>
      </w:divBdr>
      <w:divsChild>
        <w:div w:id="1152678122">
          <w:marLeft w:val="0"/>
          <w:marRight w:val="0"/>
          <w:marTop w:val="0"/>
          <w:marBottom w:val="0"/>
          <w:divBdr>
            <w:top w:val="none" w:sz="0" w:space="0" w:color="auto"/>
            <w:left w:val="none" w:sz="0" w:space="0" w:color="auto"/>
            <w:bottom w:val="none" w:sz="0" w:space="0" w:color="auto"/>
            <w:right w:val="none" w:sz="0" w:space="0" w:color="auto"/>
          </w:divBdr>
        </w:div>
      </w:divsChild>
    </w:div>
    <w:div w:id="1752464303">
      <w:bodyDiv w:val="1"/>
      <w:marLeft w:val="0"/>
      <w:marRight w:val="0"/>
      <w:marTop w:val="0"/>
      <w:marBottom w:val="0"/>
      <w:divBdr>
        <w:top w:val="none" w:sz="0" w:space="0" w:color="auto"/>
        <w:left w:val="none" w:sz="0" w:space="0" w:color="auto"/>
        <w:bottom w:val="none" w:sz="0" w:space="0" w:color="auto"/>
        <w:right w:val="none" w:sz="0" w:space="0" w:color="auto"/>
      </w:divBdr>
      <w:divsChild>
        <w:div w:id="195700228">
          <w:marLeft w:val="0"/>
          <w:marRight w:val="0"/>
          <w:marTop w:val="0"/>
          <w:marBottom w:val="0"/>
          <w:divBdr>
            <w:top w:val="none" w:sz="0" w:space="0" w:color="auto"/>
            <w:left w:val="none" w:sz="0" w:space="0" w:color="auto"/>
            <w:bottom w:val="none" w:sz="0" w:space="0" w:color="auto"/>
            <w:right w:val="none" w:sz="0" w:space="0" w:color="auto"/>
          </w:divBdr>
        </w:div>
      </w:divsChild>
    </w:div>
    <w:div w:id="1859389900">
      <w:bodyDiv w:val="1"/>
      <w:marLeft w:val="0"/>
      <w:marRight w:val="0"/>
      <w:marTop w:val="0"/>
      <w:marBottom w:val="0"/>
      <w:divBdr>
        <w:top w:val="none" w:sz="0" w:space="0" w:color="auto"/>
        <w:left w:val="none" w:sz="0" w:space="0" w:color="auto"/>
        <w:bottom w:val="none" w:sz="0" w:space="0" w:color="auto"/>
        <w:right w:val="none" w:sz="0" w:space="0" w:color="auto"/>
      </w:divBdr>
    </w:div>
    <w:div w:id="1934849913">
      <w:bodyDiv w:val="1"/>
      <w:marLeft w:val="0"/>
      <w:marRight w:val="0"/>
      <w:marTop w:val="0"/>
      <w:marBottom w:val="0"/>
      <w:divBdr>
        <w:top w:val="none" w:sz="0" w:space="0" w:color="auto"/>
        <w:left w:val="none" w:sz="0" w:space="0" w:color="auto"/>
        <w:bottom w:val="none" w:sz="0" w:space="0" w:color="auto"/>
        <w:right w:val="none" w:sz="0" w:space="0" w:color="auto"/>
      </w:divBdr>
      <w:divsChild>
        <w:div w:id="1282228268">
          <w:marLeft w:val="0"/>
          <w:marRight w:val="0"/>
          <w:marTop w:val="0"/>
          <w:marBottom w:val="0"/>
          <w:divBdr>
            <w:top w:val="none" w:sz="0" w:space="0" w:color="auto"/>
            <w:left w:val="none" w:sz="0" w:space="0" w:color="auto"/>
            <w:bottom w:val="none" w:sz="0" w:space="0" w:color="auto"/>
            <w:right w:val="none" w:sz="0" w:space="0" w:color="auto"/>
          </w:divBdr>
        </w:div>
      </w:divsChild>
    </w:div>
    <w:div w:id="1961300267">
      <w:bodyDiv w:val="1"/>
      <w:marLeft w:val="0"/>
      <w:marRight w:val="0"/>
      <w:marTop w:val="0"/>
      <w:marBottom w:val="0"/>
      <w:divBdr>
        <w:top w:val="none" w:sz="0" w:space="0" w:color="auto"/>
        <w:left w:val="none" w:sz="0" w:space="0" w:color="auto"/>
        <w:bottom w:val="none" w:sz="0" w:space="0" w:color="auto"/>
        <w:right w:val="none" w:sz="0" w:space="0" w:color="auto"/>
      </w:divBdr>
    </w:div>
    <w:div w:id="20494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lin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BF57C-33C4-4926-B8DC-24DDB9EF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10982</Words>
  <Characters>64796</Characters>
  <Application>Microsoft Office Word</Application>
  <DocSecurity>0</DocSecurity>
  <Lines>981</Lines>
  <Paragraphs>321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Turun yliopisto</Company>
  <LinksUpToDate>false</LinksUpToDate>
  <CharactersWithSpaces>75457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 Lorentz</dc:creator>
  <cp:keywords/>
  <dc:description/>
  <cp:lastModifiedBy>joanne meehan</cp:lastModifiedBy>
  <cp:revision>3</cp:revision>
  <dcterms:created xsi:type="dcterms:W3CDTF">2021-10-01T15:49:00Z</dcterms:created>
  <dcterms:modified xsi:type="dcterms:W3CDTF">2021-10-01T15:50:00Z</dcterms:modified>
</cp:coreProperties>
</file>