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7423" w14:textId="2A05C59E" w:rsidR="00FA38BD" w:rsidRPr="000B68C8" w:rsidRDefault="00FA38BD" w:rsidP="00DE29D8">
      <w:pPr>
        <w:jc w:val="center"/>
        <w:rPr>
          <w:b/>
          <w:bCs/>
          <w:sz w:val="28"/>
          <w:szCs w:val="28"/>
        </w:rPr>
      </w:pPr>
      <w:bookmarkStart w:id="0" w:name="_Toc21078840"/>
      <w:bookmarkStart w:id="1" w:name="_Toc21104373"/>
      <w:bookmarkStart w:id="2" w:name="_Toc21104554"/>
      <w:bookmarkStart w:id="3" w:name="_Toc21104580"/>
      <w:bookmarkStart w:id="4" w:name="_Toc21104613"/>
      <w:bookmarkStart w:id="5" w:name="_Toc21104633"/>
      <w:bookmarkStart w:id="6" w:name="_Ref23181520"/>
      <w:bookmarkStart w:id="7" w:name="_Ref23320567"/>
      <w:bookmarkStart w:id="8" w:name="_Ref32834017"/>
      <w:bookmarkStart w:id="9" w:name="_Toc33993010"/>
      <w:r w:rsidRPr="000B68C8">
        <w:rPr>
          <w:b/>
          <w:bCs/>
          <w:sz w:val="28"/>
          <w:szCs w:val="28"/>
        </w:rPr>
        <w:t>Closing data gaps and paving the way for pan</w:t>
      </w:r>
      <w:r w:rsidR="004F31A6" w:rsidRPr="000B68C8">
        <w:rPr>
          <w:b/>
          <w:bCs/>
          <w:sz w:val="28"/>
          <w:szCs w:val="28"/>
        </w:rPr>
        <w:t>-</w:t>
      </w:r>
      <w:r w:rsidRPr="000B68C8">
        <w:rPr>
          <w:b/>
          <w:bCs/>
          <w:sz w:val="28"/>
          <w:szCs w:val="28"/>
        </w:rPr>
        <w:t>European Fire Safety</w:t>
      </w:r>
      <w:r w:rsidR="00650B7F" w:rsidRPr="000B68C8">
        <w:rPr>
          <w:b/>
          <w:bCs/>
          <w:sz w:val="28"/>
          <w:szCs w:val="28"/>
        </w:rPr>
        <w:t xml:space="preserve"> </w:t>
      </w:r>
      <w:r w:rsidRPr="000B68C8">
        <w:rPr>
          <w:b/>
          <w:bCs/>
          <w:sz w:val="28"/>
          <w:szCs w:val="28"/>
        </w:rPr>
        <w:t>Efforts</w:t>
      </w:r>
      <w:r w:rsidR="00322B17" w:rsidRPr="000B68C8">
        <w:rPr>
          <w:b/>
          <w:bCs/>
          <w:sz w:val="28"/>
          <w:szCs w:val="28"/>
        </w:rPr>
        <w:t xml:space="preserve">. Part </w:t>
      </w:r>
      <w:r w:rsidR="00C45418" w:rsidRPr="000B68C8">
        <w:rPr>
          <w:b/>
          <w:bCs/>
          <w:sz w:val="28"/>
          <w:szCs w:val="28"/>
        </w:rPr>
        <w:t>II</w:t>
      </w:r>
      <w:r w:rsidR="00322B17" w:rsidRPr="000B68C8">
        <w:rPr>
          <w:b/>
          <w:bCs/>
          <w:sz w:val="28"/>
          <w:szCs w:val="28"/>
        </w:rPr>
        <w:t xml:space="preserve"> -</w:t>
      </w:r>
      <w:r w:rsidR="004F31A6" w:rsidRPr="000B68C8">
        <w:rPr>
          <w:b/>
          <w:bCs/>
          <w:sz w:val="28"/>
          <w:szCs w:val="28"/>
        </w:rPr>
        <w:t xml:space="preserve"> </w:t>
      </w:r>
      <w:r w:rsidR="00D24C79" w:rsidRPr="000B68C8">
        <w:rPr>
          <w:b/>
          <w:bCs/>
          <w:sz w:val="28"/>
          <w:szCs w:val="28"/>
        </w:rPr>
        <w:t xml:space="preserve">terminology of </w:t>
      </w:r>
      <w:r w:rsidR="00C26C66" w:rsidRPr="000B68C8">
        <w:rPr>
          <w:b/>
          <w:bCs/>
          <w:sz w:val="28"/>
          <w:szCs w:val="28"/>
        </w:rPr>
        <w:t>fire statistical variables</w:t>
      </w:r>
    </w:p>
    <w:p w14:paraId="3A7B1085" w14:textId="77777777" w:rsidR="001B7E4B" w:rsidRPr="000B68C8" w:rsidRDefault="001B7E4B" w:rsidP="00DE29D8">
      <w:pPr>
        <w:jc w:val="center"/>
        <w:rPr>
          <w:b/>
          <w:sz w:val="28"/>
        </w:rPr>
      </w:pPr>
    </w:p>
    <w:p w14:paraId="5F96F681" w14:textId="6ED570CC" w:rsidR="0038508D" w:rsidRPr="000B68C8" w:rsidRDefault="0038508D" w:rsidP="001B7E4B">
      <w:pPr>
        <w:pStyle w:val="Heading1"/>
        <w:numPr>
          <w:ilvl w:val="0"/>
          <w:numId w:val="0"/>
        </w:numPr>
        <w:ind w:left="432" w:hanging="432"/>
      </w:pPr>
      <w:r w:rsidRPr="000B68C8">
        <w:t>Abstract</w:t>
      </w:r>
    </w:p>
    <w:p w14:paraId="2C7066ED" w14:textId="2C21B604" w:rsidR="001A070E" w:rsidRPr="000B68C8" w:rsidRDefault="00E166F7" w:rsidP="002C507D">
      <w:r w:rsidRPr="000B68C8">
        <w:t>A</w:t>
      </w:r>
      <w:r w:rsidR="00A523F5" w:rsidRPr="000B68C8">
        <w:t xml:space="preserve"> </w:t>
      </w:r>
      <w:r w:rsidR="0096770B" w:rsidRPr="000B68C8">
        <w:t>well-defined</w:t>
      </w:r>
      <w:r w:rsidR="003A5C31" w:rsidRPr="000B68C8">
        <w:t xml:space="preserve"> </w:t>
      </w:r>
      <w:r w:rsidR="002D5FCA" w:rsidRPr="000B68C8">
        <w:t>terminology of</w:t>
      </w:r>
      <w:r w:rsidR="00911A75" w:rsidRPr="000B68C8">
        <w:t xml:space="preserve"> </w:t>
      </w:r>
      <w:r w:rsidR="002D5FCA" w:rsidRPr="000B68C8">
        <w:t>fire</w:t>
      </w:r>
      <w:r w:rsidRPr="000B68C8">
        <w:t>-related</w:t>
      </w:r>
      <w:r w:rsidR="002D5FCA" w:rsidRPr="000B68C8">
        <w:t xml:space="preserve"> variables </w:t>
      </w:r>
      <w:r w:rsidR="00723860" w:rsidRPr="000B68C8">
        <w:t>is</w:t>
      </w:r>
      <w:r w:rsidR="00974926" w:rsidRPr="000B68C8">
        <w:t xml:space="preserve"> important</w:t>
      </w:r>
      <w:r w:rsidR="00CA4FD2" w:rsidRPr="000B68C8">
        <w:t xml:space="preserve"> </w:t>
      </w:r>
      <w:r w:rsidR="00974926" w:rsidRPr="000B68C8">
        <w:t xml:space="preserve">for </w:t>
      </w:r>
      <w:r w:rsidR="00CA4FD2" w:rsidRPr="000B68C8">
        <w:t>correct analys</w:t>
      </w:r>
      <w:r w:rsidR="001366A3" w:rsidRPr="000B68C8">
        <w:t>e</w:t>
      </w:r>
      <w:r w:rsidR="00CA4FD2" w:rsidRPr="000B68C8">
        <w:t>s and</w:t>
      </w:r>
      <w:r w:rsidR="00B07CA3" w:rsidRPr="000B68C8">
        <w:t xml:space="preserve"> </w:t>
      </w:r>
      <w:r w:rsidR="00CA4FD2" w:rsidRPr="000B68C8">
        <w:t xml:space="preserve">supporting </w:t>
      </w:r>
      <w:r w:rsidR="00E350AA" w:rsidRPr="000B68C8">
        <w:t xml:space="preserve">knowledge-based decisions regarding </w:t>
      </w:r>
      <w:r w:rsidR="00E8366C" w:rsidRPr="000B68C8">
        <w:t xml:space="preserve">the </w:t>
      </w:r>
      <w:r w:rsidR="00E21AAB" w:rsidRPr="000B68C8">
        <w:t>evaluation</w:t>
      </w:r>
      <w:r w:rsidR="00E8366C" w:rsidRPr="000B68C8">
        <w:t xml:space="preserve"> of building fires</w:t>
      </w:r>
      <w:r w:rsidR="00467237" w:rsidRPr="000B68C8">
        <w:t xml:space="preserve"> at the European level.</w:t>
      </w:r>
      <w:r w:rsidR="00B5627C" w:rsidRPr="000B68C8">
        <w:t xml:space="preserve"> </w:t>
      </w:r>
      <w:r w:rsidR="00C45418" w:rsidRPr="000B68C8">
        <w:t xml:space="preserve">After developing an overview of current practices for fire statistics in Part I, </w:t>
      </w:r>
      <w:r w:rsidR="00974926" w:rsidRPr="000B68C8">
        <w:t xml:space="preserve">the </w:t>
      </w:r>
      <w:r w:rsidR="00D636EB" w:rsidRPr="000B68C8">
        <w:t xml:space="preserve">terminology used and the data collected by the EU Member States </w:t>
      </w:r>
      <w:r w:rsidR="001366A3" w:rsidRPr="000B68C8">
        <w:t xml:space="preserve">and </w:t>
      </w:r>
      <w:r w:rsidR="00E16A5B" w:rsidRPr="000B68C8">
        <w:t>eight</w:t>
      </w:r>
      <w:r w:rsidR="009F790A" w:rsidRPr="000B68C8">
        <w:t xml:space="preserve"> </w:t>
      </w:r>
      <w:r w:rsidR="001366A3" w:rsidRPr="000B68C8">
        <w:t xml:space="preserve">other countries </w:t>
      </w:r>
      <w:r w:rsidR="00D636EB" w:rsidRPr="000B68C8">
        <w:t xml:space="preserve">regarding fire </w:t>
      </w:r>
      <w:r w:rsidR="001366A3" w:rsidRPr="000B68C8">
        <w:t>incidents</w:t>
      </w:r>
      <w:r w:rsidR="00D636EB" w:rsidRPr="000B68C8">
        <w:t xml:space="preserve">, </w:t>
      </w:r>
      <w:r w:rsidR="00E5720C" w:rsidRPr="000B68C8">
        <w:t xml:space="preserve">property damage </w:t>
      </w:r>
      <w:r w:rsidR="00120070" w:rsidRPr="000B68C8">
        <w:t xml:space="preserve">and </w:t>
      </w:r>
      <w:r w:rsidR="00D636EB" w:rsidRPr="000B68C8">
        <w:t xml:space="preserve">human </w:t>
      </w:r>
      <w:r w:rsidR="000466ED" w:rsidRPr="000B68C8">
        <w:t xml:space="preserve">losses </w:t>
      </w:r>
      <w:r w:rsidR="00120070" w:rsidRPr="000B68C8">
        <w:t>were</w:t>
      </w:r>
      <w:r w:rsidR="009F790A" w:rsidRPr="000B68C8">
        <w:t xml:space="preserve"> mapped</w:t>
      </w:r>
      <w:r w:rsidR="00B07CA3" w:rsidRPr="000B68C8">
        <w:t xml:space="preserve"> to increase awareness </w:t>
      </w:r>
      <w:r w:rsidR="00624475" w:rsidRPr="000B68C8">
        <w:t>of</w:t>
      </w:r>
      <w:r w:rsidR="00B07CA3" w:rsidRPr="000B68C8">
        <w:t xml:space="preserve"> their practice and support </w:t>
      </w:r>
      <w:r w:rsidR="00E5720C" w:rsidRPr="000B68C8">
        <w:t>a comprehensive assessment of several fire statistical</w:t>
      </w:r>
      <w:r w:rsidR="00B07CA3" w:rsidRPr="000B68C8">
        <w:t xml:space="preserve"> datasets</w:t>
      </w:r>
      <w:r w:rsidR="001366A3" w:rsidRPr="000B68C8">
        <w:t>.</w:t>
      </w:r>
      <w:r w:rsidR="00D636EB" w:rsidRPr="000B68C8">
        <w:t xml:space="preserve"> </w:t>
      </w:r>
      <w:r w:rsidR="00B07CA3" w:rsidRPr="000B68C8">
        <w:t>A</w:t>
      </w:r>
      <w:r w:rsidR="00FF33BF" w:rsidRPr="000B68C8">
        <w:t xml:space="preserve"> </w:t>
      </w:r>
      <w:r w:rsidR="00AF1293" w:rsidRPr="000B68C8">
        <w:t>questionnaire</w:t>
      </w:r>
      <w:r w:rsidR="00FF33BF" w:rsidRPr="000B68C8">
        <w:t xml:space="preserve"> </w:t>
      </w:r>
      <w:r w:rsidR="00AF44A2" w:rsidRPr="000B68C8">
        <w:t>was</w:t>
      </w:r>
      <w:r w:rsidR="00B07CA3" w:rsidRPr="000B68C8">
        <w:t xml:space="preserve"> </w:t>
      </w:r>
      <w:r w:rsidR="009F790A" w:rsidRPr="000B68C8">
        <w:t>distributed t</w:t>
      </w:r>
      <w:r w:rsidR="00B07CA3" w:rsidRPr="000B68C8">
        <w:t xml:space="preserve">o relevant authorities responsible for the collection, </w:t>
      </w:r>
      <w:r w:rsidR="00974926" w:rsidRPr="000B68C8">
        <w:t>elaboration</w:t>
      </w:r>
      <w:r w:rsidR="00974926" w:rsidRPr="000B68C8">
        <w:rPr>
          <w:lang w:val="en-US"/>
        </w:rPr>
        <w:t>/analysis</w:t>
      </w:r>
      <w:r w:rsidR="00974926" w:rsidRPr="000B68C8">
        <w:t>,</w:t>
      </w:r>
      <w:r w:rsidR="00B07CA3" w:rsidRPr="000B68C8">
        <w:t xml:space="preserve"> and </w:t>
      </w:r>
      <w:r w:rsidR="00E5720C" w:rsidRPr="000B68C8">
        <w:t xml:space="preserve">fire statistical </w:t>
      </w:r>
      <w:r w:rsidR="00B07CA3" w:rsidRPr="000B68C8">
        <w:t xml:space="preserve">data publications to define and select the essential variables for an appropriate fire </w:t>
      </w:r>
      <w:r w:rsidR="00723860" w:rsidRPr="000B68C8">
        <w:t>assessment</w:t>
      </w:r>
      <w:r w:rsidR="00B07CA3" w:rsidRPr="000B68C8">
        <w:t xml:space="preserve"> and fire incident description. </w:t>
      </w:r>
      <w:r w:rsidR="009F790A" w:rsidRPr="000B68C8">
        <w:t>Based on the results of the questionnaire</w:t>
      </w:r>
      <w:r w:rsidR="00120070" w:rsidRPr="000B68C8">
        <w:t xml:space="preserve"> </w:t>
      </w:r>
      <w:r w:rsidR="007138D6" w:rsidRPr="000B68C8">
        <w:t xml:space="preserve">able to identify the essential fire statistical variables </w:t>
      </w:r>
      <w:r w:rsidR="00120070" w:rsidRPr="000B68C8">
        <w:t>and a detailed analysis of</w:t>
      </w:r>
      <w:r w:rsidR="000D1CEA" w:rsidRPr="000B68C8">
        <w:t xml:space="preserve"> </w:t>
      </w:r>
      <w:r w:rsidR="000327B2" w:rsidRPr="000B68C8">
        <w:t>current</w:t>
      </w:r>
      <w:r w:rsidR="000D1CEA" w:rsidRPr="000B68C8">
        <w:t xml:space="preserve"> definitions adopted in the fire statistics of the EU</w:t>
      </w:r>
      <w:r w:rsidR="00E5720C" w:rsidRPr="000B68C8">
        <w:t xml:space="preserve"> Member States</w:t>
      </w:r>
      <w:r w:rsidR="000D1CEA" w:rsidRPr="000B68C8">
        <w:t xml:space="preserve"> and other countries, </w:t>
      </w:r>
      <w:r w:rsidR="009F790A" w:rsidRPr="000B68C8">
        <w:t>a</w:t>
      </w:r>
      <w:r w:rsidR="001366A3" w:rsidRPr="000B68C8">
        <w:t xml:space="preserve"> common terminology is proposed to collect the necessary data in the EU Member States and obtain meaningful datasets based on standardised terms and definitions. </w:t>
      </w:r>
      <w:r w:rsidR="00722065" w:rsidRPr="000B68C8">
        <w:t>The</w:t>
      </w:r>
      <w:r w:rsidR="00C528C5" w:rsidRPr="000B68C8">
        <w:t xml:space="preserve"> </w:t>
      </w:r>
      <w:r w:rsidR="00AF44A2" w:rsidRPr="000B68C8">
        <w:t>results</w:t>
      </w:r>
      <w:r w:rsidR="00C528C5" w:rsidRPr="000B68C8">
        <w:t xml:space="preserve"> will generate essential </w:t>
      </w:r>
      <w:r w:rsidR="00DF39E5" w:rsidRPr="000B68C8">
        <w:t xml:space="preserve">outputs </w:t>
      </w:r>
      <w:r w:rsidR="00C528C5" w:rsidRPr="000B68C8">
        <w:t xml:space="preserve">to move towards harmonised fire statistics at </w:t>
      </w:r>
      <w:r w:rsidR="00380FC5" w:rsidRPr="000B68C8">
        <w:t xml:space="preserve">the </w:t>
      </w:r>
      <w:r w:rsidR="00C528C5" w:rsidRPr="000B68C8">
        <w:t xml:space="preserve">EU level and contribute to an appropriate analysis able to improve fire prevention and fire mitigation in building fires. </w:t>
      </w:r>
    </w:p>
    <w:p w14:paraId="2A3EE0E3" w14:textId="77777777" w:rsidR="001B7E4B" w:rsidRPr="000B68C8" w:rsidRDefault="001B7E4B" w:rsidP="002C507D"/>
    <w:p w14:paraId="1962E6D5" w14:textId="6F295A8D" w:rsidR="002C507D" w:rsidRPr="000B68C8" w:rsidRDefault="00C71945" w:rsidP="00342407">
      <w:pPr>
        <w:pStyle w:val="Heading2"/>
        <w:numPr>
          <w:ilvl w:val="0"/>
          <w:numId w:val="0"/>
        </w:numPr>
        <w:ind w:left="576" w:hanging="576"/>
        <w:rPr>
          <w:i w:val="0"/>
        </w:rPr>
      </w:pPr>
      <w:r w:rsidRPr="000B68C8">
        <w:rPr>
          <w:i w:val="0"/>
          <w:iCs/>
        </w:rPr>
        <w:t>Key</w:t>
      </w:r>
      <w:r w:rsidR="0038508D" w:rsidRPr="000B68C8">
        <w:rPr>
          <w:i w:val="0"/>
          <w:iCs/>
        </w:rPr>
        <w:t xml:space="preserve">words: </w:t>
      </w:r>
      <w:r w:rsidR="002C507D" w:rsidRPr="000B68C8">
        <w:rPr>
          <w:i w:val="0"/>
        </w:rPr>
        <w:t xml:space="preserve">Fire statistics, </w:t>
      </w:r>
      <w:r w:rsidR="00B71DDE" w:rsidRPr="000B68C8">
        <w:rPr>
          <w:i w:val="0"/>
        </w:rPr>
        <w:t xml:space="preserve">fire incidents, building fires, fire statistical variables, </w:t>
      </w:r>
      <w:r w:rsidR="001D4794" w:rsidRPr="000B68C8">
        <w:rPr>
          <w:i w:val="0"/>
        </w:rPr>
        <w:t xml:space="preserve">terminology </w:t>
      </w:r>
    </w:p>
    <w:p w14:paraId="5ECF84CC" w14:textId="1E359B28" w:rsidR="003A5B15" w:rsidRPr="000B68C8" w:rsidRDefault="003A5B15" w:rsidP="006362F9"/>
    <w:p w14:paraId="098E0309" w14:textId="281717E9" w:rsidR="001B7E4B" w:rsidRPr="000B68C8" w:rsidRDefault="001B7E4B" w:rsidP="006362F9"/>
    <w:p w14:paraId="18FCFC7F" w14:textId="52B56A54" w:rsidR="001B7E4B" w:rsidRPr="000B68C8" w:rsidRDefault="001B7E4B" w:rsidP="006362F9"/>
    <w:p w14:paraId="14BD059D" w14:textId="2FD2937D" w:rsidR="001B7E4B" w:rsidRPr="000B68C8" w:rsidRDefault="001B7E4B" w:rsidP="006362F9"/>
    <w:p w14:paraId="3C70FDD3" w14:textId="7776BD1B" w:rsidR="001B7E4B" w:rsidRPr="000B68C8" w:rsidRDefault="001B7E4B" w:rsidP="006362F9"/>
    <w:p w14:paraId="2141A9B3" w14:textId="3555CE31" w:rsidR="001B7E4B" w:rsidRPr="000B68C8" w:rsidRDefault="001B7E4B" w:rsidP="006362F9"/>
    <w:p w14:paraId="37D4022C" w14:textId="1EB2A301" w:rsidR="001B7E4B" w:rsidRPr="000B68C8" w:rsidRDefault="001B7E4B" w:rsidP="006362F9"/>
    <w:p w14:paraId="46241DA7" w14:textId="0B381A7A" w:rsidR="001B7E4B" w:rsidRPr="000B68C8" w:rsidRDefault="001B7E4B" w:rsidP="006362F9"/>
    <w:p w14:paraId="025C6B67" w14:textId="3D5CD119" w:rsidR="001B7E4B" w:rsidRPr="000B68C8" w:rsidRDefault="001B7E4B" w:rsidP="006362F9"/>
    <w:p w14:paraId="2CCE92BC" w14:textId="3453CBE2" w:rsidR="001B7E4B" w:rsidRPr="000B68C8" w:rsidRDefault="001B7E4B" w:rsidP="006362F9"/>
    <w:p w14:paraId="0DC17479" w14:textId="27AD7F9E" w:rsidR="001B7E4B" w:rsidRPr="000B68C8" w:rsidRDefault="001B7E4B" w:rsidP="006362F9"/>
    <w:p w14:paraId="46059D46" w14:textId="12FE03B7" w:rsidR="001B7E4B" w:rsidRPr="000B68C8" w:rsidRDefault="001B7E4B" w:rsidP="006362F9"/>
    <w:p w14:paraId="35E14AAA" w14:textId="01D81BB8" w:rsidR="001B7E4B" w:rsidRPr="000B68C8" w:rsidRDefault="001B7E4B" w:rsidP="006362F9"/>
    <w:p w14:paraId="5AAC01D6" w14:textId="20B8B9C8" w:rsidR="001B7E4B" w:rsidRPr="000B68C8" w:rsidRDefault="001B7E4B" w:rsidP="006362F9"/>
    <w:p w14:paraId="594C68FA" w14:textId="77777777" w:rsidR="001B7E4B" w:rsidRPr="000B68C8" w:rsidRDefault="001B7E4B" w:rsidP="006362F9"/>
    <w:p w14:paraId="5783B971" w14:textId="5C8E1D35" w:rsidR="009F790A" w:rsidRPr="000B68C8" w:rsidRDefault="00AA3EE0" w:rsidP="009F790A">
      <w:pPr>
        <w:pStyle w:val="Heading1"/>
      </w:pPr>
      <w:bookmarkStart w:id="10" w:name="_Ref104886386"/>
      <w:r w:rsidRPr="000B68C8">
        <w:lastRenderedPageBreak/>
        <w:t>Introduction</w:t>
      </w:r>
      <w:bookmarkEnd w:id="10"/>
    </w:p>
    <w:p w14:paraId="6FB9F660" w14:textId="0B2D79E1" w:rsidR="007138D6" w:rsidRPr="000B68C8" w:rsidRDefault="00AE011F" w:rsidP="00B07CA3">
      <w:r w:rsidRPr="000B68C8">
        <w:t xml:space="preserve">The </w:t>
      </w:r>
      <w:r w:rsidR="0015298B" w:rsidRPr="000B68C8">
        <w:t xml:space="preserve">evaluation of fire </w:t>
      </w:r>
      <w:r w:rsidRPr="000B68C8">
        <w:t xml:space="preserve">safety </w:t>
      </w:r>
      <w:r w:rsidR="0015298B" w:rsidRPr="000B68C8">
        <w:t xml:space="preserve">in buildings involves complexity in terms of fire risk identification, analysis, evaluation and treatment </w:t>
      </w:r>
      <w:r w:rsidR="0015298B" w:rsidRPr="000B68C8">
        <w:fldChar w:fldCharType="begin" w:fldLock="1"/>
      </w:r>
      <w:r w:rsidR="002D362A" w:rsidRPr="000B68C8">
        <w:instrText>ADDIN CSL_CITATION {"citationItems":[{"id":"ITEM-1","itemData":{"author":[{"dropping-particle":"","family":"ISO 31000:2018","given":"","non-dropping-particle":"","parse-names":false,"suffix":""}],"id":"ITEM-1","issued":{"date-parts":[["2009"]]},"title":"Risk management - Principles and guidelines","type":"article"},"uris":["http://www.mendeley.com/documents/?uuid=f6a7f920-9806-4489-b16f-769ef64d8dde"]}],"mendeley":{"formattedCitation":"[1]","plainTextFormattedCitation":"[1]","previouslyFormattedCitation":"[1]"},"properties":{"noteIndex":0},"schema":"https://github.com/citation-style-language/schema/raw/master/csl-citation.json"}</w:instrText>
      </w:r>
      <w:r w:rsidR="0015298B" w:rsidRPr="000B68C8">
        <w:fldChar w:fldCharType="separate"/>
      </w:r>
      <w:r w:rsidR="0015298B" w:rsidRPr="000B68C8">
        <w:rPr>
          <w:noProof/>
        </w:rPr>
        <w:t>[1]</w:t>
      </w:r>
      <w:r w:rsidR="0015298B" w:rsidRPr="000B68C8">
        <w:fldChar w:fldCharType="end"/>
      </w:r>
      <w:r w:rsidR="0015298B" w:rsidRPr="000B68C8">
        <w:t>, the coexistence of several actors</w:t>
      </w:r>
      <w:r w:rsidR="0059065C" w:rsidRPr="000B68C8">
        <w:t>,</w:t>
      </w:r>
      <w:r w:rsidR="0015298B" w:rsidRPr="000B68C8">
        <w:t xml:space="preserve"> such as fire engineers, regulators and occupants, and the interaction between the social, societal, technical, organizational and economic dimensions </w:t>
      </w:r>
      <w:r w:rsidR="0015298B" w:rsidRPr="000B68C8">
        <w:fldChar w:fldCharType="begin" w:fldLock="1"/>
      </w:r>
      <w:r w:rsidR="008517F3" w:rsidRPr="000B68C8">
        <w:instrText>ADDIN CSL_CITATION {"citationItems":[{"id":"ITEM-1","itemData":{"author":[{"dropping-particle":"","family":"Almufti","given":"Ibrahim","non-dropping-particle":"","parse-names":false,"suffix":""},{"dropping-particle":"","family":"Willford","given":"Michael","non-dropping-particle":"","parse-names":false,"suffix":""},{"dropping-particle":"","family":"Delucchi","given":"Michael","non-dropping-particle":"","parse-names":false,"suffix":""},{"dropping-particle":"","family":"Davis","given":"Craig","non-dropping-particle":"","parse-names":false,"suffix":""},{"dropping-particle":"","family":"Hanson","given":"Bob","non-dropping-particle":"","parse-names":false,"suffix":""},{"dropping-particle":"","family":"Langdon","given":"Davis","non-dropping-particle":"","parse-names":false,"suffix":""},{"dropping-particle":"","family":"Friedman","given":"David","non-dropping-particle":"","parse-names":false,"suffix":""},{"dropping-particle":"","family":"Johnson","given":"Laurie","non-dropping-particle":"","parse-names":false,"suffix":""},{"dropping-particle":"","family":"Nielsen","given":"Gregory","non-dropping-particle":"","parse-names":false,"suffix":""},{"dropping-particle":"","family":"Riordan","given":"Nick O","non-dropping-particle":"","parse-names":false,"suffix":""},{"dropping-particle":"","family":"Roberts","given":"Cole","non-dropping-particle":"","parse-names":false,"suffix":""},{"dropping-particle":"","family":"Steiner","given":"Michael","non-dropping-particle":"","parse-names":false,"suffix":""},{"dropping-particle":"","family":"Wilson","given":"Alex","non-dropping-particle":"","parse-names":false,"suffix":""},{"dropping-particle":"","family":"Wolski","given":"Armin","non-dropping-particle":"","parse-names":false,"suffix":""},{"dropping-particle":"","family":"Mote","given":"Tim","non-dropping-particle":"","parse-names":false,"suffix":""}],"id":"ITEM-1","issue":"October","issued":{"date-parts":[["2013"]]},"title":"REDi ™ Rating System","type":"report"},"uris":["http://www.mendeley.com/documents/?uuid=24c64a8d-838f-4ba5-83c0-cb4654e52096"]}],"mendeley":{"formattedCitation":"[2]","plainTextFormattedCitation":"[2]","previouslyFormattedCitation":"[2]"},"properties":{"noteIndex":0},"schema":"https://github.com/citation-style-language/schema/raw/master/csl-citation.json"}</w:instrText>
      </w:r>
      <w:r w:rsidR="0015298B" w:rsidRPr="000B68C8">
        <w:fldChar w:fldCharType="separate"/>
      </w:r>
      <w:r w:rsidR="0015298B" w:rsidRPr="000B68C8">
        <w:rPr>
          <w:noProof/>
        </w:rPr>
        <w:t>[2]</w:t>
      </w:r>
      <w:r w:rsidR="0015298B" w:rsidRPr="000B68C8">
        <w:fldChar w:fldCharType="end"/>
      </w:r>
      <w:r w:rsidR="0015298B" w:rsidRPr="000B68C8">
        <w:t xml:space="preserve">. Therefore, the fire safety issue could represent an unbounded problem with endless questions </w:t>
      </w:r>
      <w:r w:rsidR="0015298B" w:rsidRPr="000B68C8">
        <w:fldChar w:fldCharType="begin" w:fldLock="1"/>
      </w:r>
      <w:r w:rsidR="008517F3" w:rsidRPr="000B68C8">
        <w:instrText>ADDIN CSL_CITATION {"citationItems":[{"id":"ITEM-1","itemData":{"DOI":"10.1007/BF01305269","ISSN":"00152684","abstract":"The application of fire safety research using engineering methods is frustrated by conventional attitudes. The desire of researchers to always achieve a greater level of understanding means that they cannot recognize that satisfactory engineering solutions may be achieved with partial information. The desire of regulators to have simple rules and tests for administrative convenience contrasts with the need of designers to have maximum flexibility in order to arrive at optimum solutions. The magic numbers embodied in regulations are accepted without question, while any engineering solution is subject to a disproportionately high standard of proof. To move forward, rules need to have an engineering basis and to be goal-related: The purpose of the rules needs to be understood by both researchers and regulators. © 1995 National Fire Protection Association.","author":[{"dropping-particle":"","family":"Law","given":"Margaret","non-dropping-particle":"","parse-names":false,"suffix":""},{"dropping-particle":"","family":"Beever","given":"Paula","non-dropping-particle":"","parse-names":false,"suffix":""}],"container-title":"Fire Technology","id":"ITEM-1","issue":"1","issued":{"date-parts":[["1995"]]},"page":"77-83","title":"Magic numbers and golden rules","type":"article-journal","volume":"31"},"uris":["http://www.mendeley.com/documents/?uuid=8f8ee59f-a234-431f-b889-ed4abcfc3ea8"]}],"mendeley":{"formattedCitation":"[3]","plainTextFormattedCitation":"[3]","previouslyFormattedCitation":"[3]"},"properties":{"noteIndex":0},"schema":"https://github.com/citation-style-language/schema/raw/master/csl-citation.json"}</w:instrText>
      </w:r>
      <w:r w:rsidR="0015298B" w:rsidRPr="000B68C8">
        <w:fldChar w:fldCharType="separate"/>
      </w:r>
      <w:r w:rsidR="0015298B" w:rsidRPr="000B68C8">
        <w:rPr>
          <w:noProof/>
        </w:rPr>
        <w:t>[3]</w:t>
      </w:r>
      <w:r w:rsidR="0015298B" w:rsidRPr="000B68C8">
        <w:fldChar w:fldCharType="end"/>
      </w:r>
      <w:r w:rsidR="0015298B" w:rsidRPr="000B68C8">
        <w:t xml:space="preserve"> and a series of guesses </w:t>
      </w:r>
      <w:r w:rsidR="0015298B" w:rsidRPr="000B68C8">
        <w:fldChar w:fldCharType="begin" w:fldLock="1"/>
      </w:r>
      <w:r w:rsidR="008517F3" w:rsidRPr="000B68C8">
        <w:instrText>ADDIN CSL_CITATION {"citationItems":[{"id":"ITEM-1","itemData":{"author":[{"dropping-particle":"","family":"Brannigan","given":"Vincent M","non-dropping-particle":"","parse-names":false,"suffix":""}],"container-title":"Fire Safety Science","id":"ITEM-1","issued":{"date-parts":[["2000"]]},"page":"207-2018","title":"Fire scenarios or scenario fires? Can fire safety science provide the critical inputs for performance based fire safety analyses?","type":"article-journal","volume":"6"},"uris":["http://www.mendeley.com/documents/?uuid=9f7d083c-626e-4529-8c6a-d30bb30a0bc7"]}],"mendeley":{"formattedCitation":"[4]","plainTextFormattedCitation":"[4]","previouslyFormattedCitation":"[4]"},"properties":{"noteIndex":0},"schema":"https://github.com/citation-style-language/schema/raw/master/csl-citation.json"}</w:instrText>
      </w:r>
      <w:r w:rsidR="0015298B" w:rsidRPr="000B68C8">
        <w:fldChar w:fldCharType="separate"/>
      </w:r>
      <w:r w:rsidR="0015298B" w:rsidRPr="000B68C8">
        <w:rPr>
          <w:noProof/>
        </w:rPr>
        <w:t>[4]</w:t>
      </w:r>
      <w:r w:rsidR="0015298B" w:rsidRPr="000B68C8">
        <w:fldChar w:fldCharType="end"/>
      </w:r>
      <w:r w:rsidR="0015298B" w:rsidRPr="000B68C8">
        <w:t xml:space="preserve"> that could be overpassed by the analysis of fire incidents in buildings collected in the fire statistics of several countries. </w:t>
      </w:r>
    </w:p>
    <w:p w14:paraId="6E9EF08D" w14:textId="21B46EF2" w:rsidR="00256436" w:rsidRPr="000B68C8" w:rsidRDefault="00024874" w:rsidP="00B07CA3">
      <w:r w:rsidRPr="000B68C8">
        <w:t>I</w:t>
      </w:r>
      <w:r w:rsidR="0015298B" w:rsidRPr="000B68C8">
        <w:t>t is in this light that in</w:t>
      </w:r>
      <w:r w:rsidRPr="000B68C8">
        <w:t xml:space="preserve"> </w:t>
      </w:r>
      <w:r w:rsidR="002B2384" w:rsidRPr="000B68C8">
        <w:t xml:space="preserve">the </w:t>
      </w:r>
      <w:r w:rsidRPr="000B68C8">
        <w:t>EU Member States and other international countries, data of fire incidents in buildings are rec</w:t>
      </w:r>
      <w:r w:rsidR="00AF7B2A" w:rsidRPr="000B68C8">
        <w:t xml:space="preserve">orded in fire statistical </w:t>
      </w:r>
      <w:r w:rsidRPr="000B68C8">
        <w:t>datasets</w:t>
      </w:r>
      <w:r w:rsidR="00AF7B2A" w:rsidRPr="000B68C8">
        <w:t xml:space="preserve"> and represent fundamental </w:t>
      </w:r>
      <w:r w:rsidR="002A77A1" w:rsidRPr="000B68C8">
        <w:t>information on</w:t>
      </w:r>
      <w:r w:rsidR="00AF7B2A" w:rsidRPr="000B68C8">
        <w:t xml:space="preserve"> building performance, </w:t>
      </w:r>
      <w:r w:rsidR="00793772" w:rsidRPr="000B68C8">
        <w:t xml:space="preserve">the </w:t>
      </w:r>
      <w:r w:rsidR="00AF7B2A" w:rsidRPr="000B68C8">
        <w:t xml:space="preserve">effectiveness of safety measures, </w:t>
      </w:r>
      <w:r w:rsidR="00793772" w:rsidRPr="000B68C8">
        <w:t xml:space="preserve">and </w:t>
      </w:r>
      <w:r w:rsidR="00AF7B2A" w:rsidRPr="000B68C8">
        <w:t>human safety</w:t>
      </w:r>
      <w:r w:rsidR="00C349E4" w:rsidRPr="000B68C8">
        <w:t xml:space="preserve"> during fire events</w:t>
      </w:r>
      <w:r w:rsidRPr="000B68C8">
        <w:t xml:space="preserve">. </w:t>
      </w:r>
      <w:r w:rsidR="006D3637" w:rsidRPr="000B68C8">
        <w:t>T</w:t>
      </w:r>
      <w:r w:rsidR="00793772" w:rsidRPr="000B68C8">
        <w:t>h</w:t>
      </w:r>
      <w:r w:rsidR="002A77A1" w:rsidRPr="000B68C8">
        <w:t>ese data</w:t>
      </w:r>
      <w:r w:rsidR="00793772" w:rsidRPr="000B68C8">
        <w:t xml:space="preserve"> </w:t>
      </w:r>
      <w:r w:rsidR="006D3637" w:rsidRPr="000B68C8">
        <w:t xml:space="preserve">represent relevant information </w:t>
      </w:r>
      <w:r w:rsidR="002A77A1" w:rsidRPr="000B68C8">
        <w:t xml:space="preserve">for several authorities such as the </w:t>
      </w:r>
      <w:r w:rsidR="00793772" w:rsidRPr="000B68C8">
        <w:t>fire safety community in terms of identification of fire risk and related consequences, fire brigade</w:t>
      </w:r>
      <w:r w:rsidR="002A77A1" w:rsidRPr="000B68C8">
        <w:t>s</w:t>
      </w:r>
      <w:r w:rsidR="00793772" w:rsidRPr="000B68C8">
        <w:t xml:space="preserve"> to optimize fire response and resources allocation, and national and local governments to implement fire prevention campaigns</w:t>
      </w:r>
      <w:r w:rsidR="006D3637" w:rsidRPr="000B68C8">
        <w:t xml:space="preserve">. However, </w:t>
      </w:r>
      <w:r w:rsidR="008C5BDE" w:rsidRPr="000B68C8">
        <w:t xml:space="preserve">as presented in Part I </w:t>
      </w:r>
      <w:r w:rsidR="008C5BDE" w:rsidRPr="000B68C8">
        <w:fldChar w:fldCharType="begin" w:fldLock="1"/>
      </w:r>
      <w:r w:rsidR="00A208EF" w:rsidRPr="000B68C8">
        <w:instrText>ADDIN CSL_CITATION {"citationItems":[{"id":"ITEM-1","itemData":{"author":[{"dropping-particle":"","family":"Manes","given":"Martina","non-dropping-particle":"","parse-names":false,"suffix":""},{"dropping-particle":"","family":"Houssami","given":"Mohamad","non-dropping-particle":"El","parse-names":false,"suffix":""},{"dropping-particle":"","family":"Campbell","given":"Richard","non-dropping-particle":"","parse-names":false,"suffix":""},{"dropping-particle":"","family":"Sauca","given":"Ana","non-dropping-particle":"","parse-names":false,"suffix":""},{"dropping-particle":"","family":"Rush","given":"David","non-dropping-particle":"","parse-names":false,"suffix":""},{"dropping-particle":"","family":"Hofmann","given":"Anja","non-dropping-particle":"","parse-names":false,"suffix":""},{"dropping-particle":"","family":"Andersson","given":"Petra","non-dropping-particle":"","parse-names":false,"suffix":""},{"dropping-particle":"","family":"Wagner","given":"Peter","non-dropping-particle":"","parse-names":false,"suffix":""},{"dropping-particle":"","family":"Sokolov","given":"Sergei","non-dropping-particle":"","parse-names":false,"suffix":""},{"dropping-particle":"","family":"Veeneklaas","given":"Johanna","non-dropping-particle":"","parse-names":false,"suffix":""},{"dropping-particle":"","family":"Kobes","given":"Margrethe","non-dropping-particle":"","parse-names":false,"suffix":""},{"dropping-particle":"","family":"Oberhagemann","given":"Dirk","non-dropping-particle":"","parse-names":false,"suffix":""},{"dropping-particle":"","family":"Rupp","given":"Nicola","non-dropping-particle":"","parse-names":false,"suffix":""},{"dropping-particle":"","family":"Jomaas","given":"Grunde","non-dropping-particle":"","parse-names":false,"suffix":""},{"dropping-particle":"","family":"Grone","given":"Friedrich","non-dropping-particle":"","parse-names":false,"suffix":""},{"dropping-particle":"","family":"Hees","given":"Patrick","non-dropping-particle":"van","parse-names":false,"suffix":""},{"dropping-particle":"","family":"Guillaume","given":"Eric","non-dropping-particle":"","parse-names":false,"suffix":""}],"container-title":"Fire Technology Journal (under review)","id":"ITEM-1","issued":{"date-parts":[["2022"]]},"title":"Closing data gaps and paving the way for pan-European Fire Safety Efforts. Part I - overview of current practices for fire statistics","type":"article-journal"},"uris":["http://www.mendeley.com/documents/?uuid=50c9fd75-2b5f-4c7c-ac6c-72d6e25028ad"]}],"mendeley":{"formattedCitation":"[5]","plainTextFormattedCitation":"[5]","previouslyFormattedCitation":"[5]"},"properties":{"noteIndex":0},"schema":"https://github.com/citation-style-language/schema/raw/master/csl-citation.json"}</w:instrText>
      </w:r>
      <w:r w:rsidR="008C5BDE" w:rsidRPr="000B68C8">
        <w:fldChar w:fldCharType="separate"/>
      </w:r>
      <w:r w:rsidR="008C5BDE" w:rsidRPr="000B68C8">
        <w:rPr>
          <w:noProof/>
        </w:rPr>
        <w:t>[5]</w:t>
      </w:r>
      <w:r w:rsidR="008C5BDE" w:rsidRPr="000B68C8">
        <w:fldChar w:fldCharType="end"/>
      </w:r>
      <w:r w:rsidR="008C5BDE" w:rsidRPr="000B68C8">
        <w:t xml:space="preserve"> when an overview of current practices for fire statistics was developed, </w:t>
      </w:r>
      <w:r w:rsidR="00793772" w:rsidRPr="000B68C8">
        <w:t>the variety of fire statistical practices, collection methodolog</w:t>
      </w:r>
      <w:r w:rsidR="002A77A1" w:rsidRPr="000B68C8">
        <w:t>ies</w:t>
      </w:r>
      <w:r w:rsidR="00793772" w:rsidRPr="000B68C8">
        <w:t xml:space="preserve"> and recorded variables</w:t>
      </w:r>
      <w:r w:rsidR="002A77A1" w:rsidRPr="000B68C8">
        <w:t xml:space="preserve"> need to be </w:t>
      </w:r>
      <w:r w:rsidR="005A33F8" w:rsidRPr="000B68C8">
        <w:t>investigated</w:t>
      </w:r>
      <w:r w:rsidR="002A77A1" w:rsidRPr="000B68C8">
        <w:t xml:space="preserve"> in detail to develop a comprehensive assessment. </w:t>
      </w:r>
    </w:p>
    <w:p w14:paraId="7872A16E" w14:textId="182A40AB" w:rsidR="005976AF" w:rsidRPr="000B68C8" w:rsidRDefault="00DC6AAA" w:rsidP="00B07CA3">
      <w:r w:rsidRPr="000B68C8">
        <w:t xml:space="preserve">Moreover, </w:t>
      </w:r>
      <w:r w:rsidR="00140F8C" w:rsidRPr="000B68C8">
        <w:t>when the definitions adopted in the fire statistics are examined, there could be</w:t>
      </w:r>
      <w:r w:rsidR="005976AF" w:rsidRPr="000B68C8">
        <w:t xml:space="preserve"> </w:t>
      </w:r>
      <w:r w:rsidR="00140F8C" w:rsidRPr="000B68C8">
        <w:t xml:space="preserve">multiple </w:t>
      </w:r>
      <w:r w:rsidR="00222B83" w:rsidRPr="000B68C8">
        <w:t xml:space="preserve">organisations </w:t>
      </w:r>
      <w:r w:rsidR="00140F8C" w:rsidRPr="000B68C8">
        <w:t>collecting the data</w:t>
      </w:r>
      <w:r w:rsidR="00222B83" w:rsidRPr="000B68C8">
        <w:t>, which can reduce the data accuracy</w:t>
      </w:r>
      <w:r w:rsidR="00140F8C" w:rsidRPr="000B68C8">
        <w:t xml:space="preserve">. For example, fire statistics from insurance companies could not correspond to those used by the fire and rescue services. </w:t>
      </w:r>
      <w:r w:rsidR="000C4291" w:rsidRPr="000B68C8">
        <w:t xml:space="preserve">This is the case in Spain where an annual report of fire statistics is published based on data provided by the fire services and the Legal Medicine Institutes </w:t>
      </w:r>
      <w:r w:rsidR="000C4291" w:rsidRPr="000B68C8">
        <w:fldChar w:fldCharType="begin" w:fldLock="1"/>
      </w:r>
      <w:r w:rsidR="008517F3" w:rsidRPr="000B68C8">
        <w:instrText>ADDIN CSL_CITATION {"citationItems":[{"id":"ITEM-1","itemData":{"ISBN":"9788498443363","author":[{"dropping-particle":"","family":"Fundación Mapfre","given":"","non-dropping-particle":"","parse-names":false,"suffix":""},{"dropping-particle":"","family":"APTB","given":"","non-dropping-particle":"","parse-names":false,"suffix":""}],"id":"ITEM-1","issued":{"date-parts":[["2020"]]},"title":"Víctimas de incendios en España en 2019","type":"report"},"uris":["http://www.mendeley.com/documents/?uuid=ee346efc-9af3-476a-b166-3e58e4fb1f1f"]}],"mendeley":{"formattedCitation":"[6]","plainTextFormattedCitation":"[6]","previouslyFormattedCitation":"[6]"},"properties":{"noteIndex":0},"schema":"https://github.com/citation-style-language/schema/raw/master/csl-citation.json"}</w:instrText>
      </w:r>
      <w:r w:rsidR="000C4291" w:rsidRPr="000B68C8">
        <w:fldChar w:fldCharType="separate"/>
      </w:r>
      <w:r w:rsidR="0015298B" w:rsidRPr="000B68C8">
        <w:rPr>
          <w:noProof/>
        </w:rPr>
        <w:t>[6]</w:t>
      </w:r>
      <w:r w:rsidR="000C4291" w:rsidRPr="000B68C8">
        <w:fldChar w:fldCharType="end"/>
      </w:r>
      <w:r w:rsidR="000C4291" w:rsidRPr="000B68C8">
        <w:t xml:space="preserve">, and a different one by the Association of Insurers </w:t>
      </w:r>
      <w:r w:rsidR="000C4291" w:rsidRPr="000B68C8">
        <w:fldChar w:fldCharType="begin" w:fldLock="1"/>
      </w:r>
      <w:r w:rsidR="008517F3" w:rsidRPr="000B68C8">
        <w:instrText>ADDIN CSL_CITATION {"citationItems":[{"id":"ITEM-1","itemData":{"author":[{"dropping-particle":"","family":"UNESPA","given":"","non-dropping-particle":"","parse-names":false,"suffix":""}],"id":"ITEM-1","issued":{"date-parts":[["2021"]]},"title":"¡FUEGO! Los incendios asegurados en 2019-2020","type":"report"},"uris":["http://www.mendeley.com/documents/?uuid=53fcba2b-0bb6-45f2-ba22-b039bed7b94d"]}],"mendeley":{"formattedCitation":"[7]","plainTextFormattedCitation":"[7]","previouslyFormattedCitation":"[7]"},"properties":{"noteIndex":0},"schema":"https://github.com/citation-style-language/schema/raw/master/csl-citation.json"}</w:instrText>
      </w:r>
      <w:r w:rsidR="000C4291" w:rsidRPr="000B68C8">
        <w:fldChar w:fldCharType="separate"/>
      </w:r>
      <w:r w:rsidR="0015298B" w:rsidRPr="000B68C8">
        <w:rPr>
          <w:noProof/>
        </w:rPr>
        <w:t>[7]</w:t>
      </w:r>
      <w:r w:rsidR="000C4291" w:rsidRPr="000B68C8">
        <w:fldChar w:fldCharType="end"/>
      </w:r>
      <w:r w:rsidR="000C4291" w:rsidRPr="000B68C8">
        <w:t xml:space="preserve">. </w:t>
      </w:r>
      <w:r w:rsidR="005976AF" w:rsidRPr="000B68C8">
        <w:t xml:space="preserve">The coexistence of multiple domains </w:t>
      </w:r>
      <w:r w:rsidR="0067429D" w:rsidRPr="000B68C8">
        <w:t xml:space="preserve">implies further difficulties in assessing the </w:t>
      </w:r>
      <w:r w:rsidR="002B2384" w:rsidRPr="000B68C8">
        <w:t>essential variables required for a comprehensive fire investigation and fire description.</w:t>
      </w:r>
      <w:r w:rsidR="00231772" w:rsidRPr="000B68C8">
        <w:t xml:space="preserve"> </w:t>
      </w:r>
    </w:p>
    <w:p w14:paraId="78CF68CB" w14:textId="0FC6D974" w:rsidR="002A77A1" w:rsidRPr="000B68C8" w:rsidRDefault="000C4291" w:rsidP="00B07CA3">
      <w:r w:rsidRPr="000B68C8">
        <w:t xml:space="preserve">In </w:t>
      </w:r>
      <w:r w:rsidR="00737B82" w:rsidRPr="000B68C8">
        <w:t xml:space="preserve">France </w:t>
      </w:r>
      <w:r w:rsidR="00FE1813" w:rsidRPr="000B68C8">
        <w:fldChar w:fldCharType="begin" w:fldLock="1"/>
      </w:r>
      <w:r w:rsidR="007359B2" w:rsidRPr="000B68C8">
        <w:instrText>ADDIN CSL_CITATION {"citationItems":[{"id":"ITEM-1","itemData":{"author":[{"dropping-particle":"","family":"Ministere de L'Interieur","given":"","non-dropping-particle":"","parse-names":false,"suffix":""}],"id":"ITEM-1","issued":{"date-parts":[["2020"]]},"title":"Les Statistiques des Services d'Incendie","type":"report"},"uris":["http://www.mendeley.com/documents/?uuid=587ef859-519c-4d3f-8d97-a6b3cce48472"]}],"mendeley":{"formattedCitation":"[8]","plainTextFormattedCitation":"[8]","previouslyFormattedCitation":"[8]"},"properties":{"noteIndex":0},"schema":"https://github.com/citation-style-language/schema/raw/master/csl-citation.json"}</w:instrText>
      </w:r>
      <w:r w:rsidR="00FE1813" w:rsidRPr="000B68C8">
        <w:fldChar w:fldCharType="separate"/>
      </w:r>
      <w:r w:rsidR="00BC2D97" w:rsidRPr="000B68C8">
        <w:rPr>
          <w:noProof/>
        </w:rPr>
        <w:t>[8]</w:t>
      </w:r>
      <w:r w:rsidR="00FE1813" w:rsidRPr="000B68C8">
        <w:fldChar w:fldCharType="end"/>
      </w:r>
      <w:r w:rsidR="002B2384" w:rsidRPr="000B68C8">
        <w:t>,</w:t>
      </w:r>
      <w:r w:rsidR="00FE1813" w:rsidRPr="000B68C8">
        <w:t xml:space="preserve"> </w:t>
      </w:r>
      <w:r w:rsidR="00737B82" w:rsidRPr="000B68C8">
        <w:t>w</w:t>
      </w:r>
      <w:r w:rsidR="00FE1813" w:rsidRPr="000B68C8">
        <w:t>h</w:t>
      </w:r>
      <w:r w:rsidR="00737B82" w:rsidRPr="000B68C8">
        <w:t>ere an official terminology for fire statistical variables is not available</w:t>
      </w:r>
      <w:r w:rsidR="001613AA" w:rsidRPr="000B68C8">
        <w:t>,</w:t>
      </w:r>
      <w:r w:rsidR="00737B82" w:rsidRPr="000B68C8">
        <w:t xml:space="preserve"> or </w:t>
      </w:r>
      <w:r w:rsidR="00E5720C" w:rsidRPr="000B68C8">
        <w:t xml:space="preserve">in </w:t>
      </w:r>
      <w:r w:rsidR="00A945CB" w:rsidRPr="000B68C8">
        <w:t xml:space="preserve">Australia and other countries </w:t>
      </w:r>
      <w:r w:rsidR="00E5720C" w:rsidRPr="000B68C8">
        <w:t xml:space="preserve">where </w:t>
      </w:r>
      <w:r w:rsidR="00737B82" w:rsidRPr="000B68C8">
        <w:t xml:space="preserve">data are collected at </w:t>
      </w:r>
      <w:r w:rsidR="00A945CB" w:rsidRPr="000B68C8">
        <w:t xml:space="preserve">the state level </w:t>
      </w:r>
      <w:r w:rsidR="00A945CB" w:rsidRPr="000B68C8">
        <w:fldChar w:fldCharType="begin" w:fldLock="1"/>
      </w:r>
      <w:r w:rsidR="007359B2" w:rsidRPr="000B68C8">
        <w:instrText>ADDIN CSL_CITATION {"citationItems":[{"id":"ITEM-1","itemData":{"author":[{"dropping-particle":"","family":"State Records Authority of New South Wales","given":"","non-dropping-particle":"","parse-names":false,"suffix":""}],"id":"ITEM-1","issued":{"date-parts":[["1998"]]},"title":"Australian Incident Reporting System reference manual [AIRS Reference Manual]","type":"report"},"uris":["http://www.mendeley.com/documents/?uuid=f85c89e6-938e-42db-af83-7fdac18b7254"]}],"mendeley":{"formattedCitation":"[9]","plainTextFormattedCitation":"[9]","previouslyFormattedCitation":"[9]"},"properties":{"noteIndex":0},"schema":"https://github.com/citation-style-language/schema/raw/master/csl-citation.json"}</w:instrText>
      </w:r>
      <w:r w:rsidR="00A945CB" w:rsidRPr="000B68C8">
        <w:fldChar w:fldCharType="separate"/>
      </w:r>
      <w:r w:rsidR="00BC2D97" w:rsidRPr="000B68C8">
        <w:rPr>
          <w:noProof/>
        </w:rPr>
        <w:t>[9]</w:t>
      </w:r>
      <w:r w:rsidR="00A945CB" w:rsidRPr="000B68C8">
        <w:fldChar w:fldCharType="end"/>
      </w:r>
      <w:r w:rsidR="00A945CB" w:rsidRPr="000B68C8">
        <w:t xml:space="preserve"> or </w:t>
      </w:r>
      <w:r w:rsidR="00737B82" w:rsidRPr="000B68C8">
        <w:t xml:space="preserve">local level without a national centralized system, </w:t>
      </w:r>
      <w:r w:rsidR="00FE1813" w:rsidRPr="000B68C8">
        <w:t xml:space="preserve">various fire departments could </w:t>
      </w:r>
      <w:r w:rsidR="00A945CB" w:rsidRPr="000B68C8">
        <w:t xml:space="preserve">attribute </w:t>
      </w:r>
      <w:r w:rsidR="00FE1813" w:rsidRPr="000B68C8">
        <w:t>different fire aspects</w:t>
      </w:r>
      <w:r w:rsidR="00222B83" w:rsidRPr="000B68C8">
        <w:t xml:space="preserve"> to the same fire statistical variable</w:t>
      </w:r>
      <w:r w:rsidR="00FE1813" w:rsidRPr="000B68C8">
        <w:t>. Furthermore, even in countries where a national fire statistics collection is available</w:t>
      </w:r>
      <w:r w:rsidR="00222B83" w:rsidRPr="000B68C8">
        <w:t>,</w:t>
      </w:r>
      <w:r w:rsidR="00FE1813" w:rsidRPr="000B68C8">
        <w:t xml:space="preserve"> such as in the USA </w:t>
      </w:r>
      <w:r w:rsidR="00FE1813" w:rsidRPr="000B68C8">
        <w:fldChar w:fldCharType="begin" w:fldLock="1"/>
      </w:r>
      <w:r w:rsidR="007359B2" w:rsidRPr="000B68C8">
        <w:instrText>ADDIN CSL_CITATION {"citationItems":[{"id":"ITEM-1","itemData":{"author":[{"dropping-particle":"","family":"U.S. Fire Administration","given":"","non-dropping-particle":"","parse-names":false,"suffix":""}],"id":"ITEM-1","issued":{"date-parts":[["2015"]]},"title":"National Fire Incident Reporting System","type":"report"},"uris":["http://www.mendeley.com/documents/?uuid=6f230c7b-c235-4d06-86cd-975398980aea"]}],"mendeley":{"formattedCitation":"[10]","plainTextFormattedCitation":"[10]","previouslyFormattedCitation":"[10]"},"properties":{"noteIndex":0},"schema":"https://github.com/citation-style-language/schema/raw/master/csl-citation.json"}</w:instrText>
      </w:r>
      <w:r w:rsidR="00FE1813" w:rsidRPr="000B68C8">
        <w:fldChar w:fldCharType="separate"/>
      </w:r>
      <w:r w:rsidR="00BC2D97" w:rsidRPr="000B68C8">
        <w:rPr>
          <w:noProof/>
        </w:rPr>
        <w:t>[10]</w:t>
      </w:r>
      <w:r w:rsidR="00FE1813" w:rsidRPr="000B68C8">
        <w:fldChar w:fldCharType="end"/>
      </w:r>
      <w:r w:rsidR="00222B83" w:rsidRPr="000B68C8">
        <w:t>,</w:t>
      </w:r>
      <w:r w:rsidR="00FE1813" w:rsidRPr="000B68C8">
        <w:t xml:space="preserve"> or where a structured and continuously implemented system is present</w:t>
      </w:r>
      <w:r w:rsidR="00222B83" w:rsidRPr="000B68C8">
        <w:t>,</w:t>
      </w:r>
      <w:r w:rsidR="00FE1813" w:rsidRPr="000B68C8">
        <w:t xml:space="preserve"> such as in England </w:t>
      </w:r>
      <w:r w:rsidR="00FE1813" w:rsidRPr="000B68C8">
        <w:fldChar w:fldCharType="begin" w:fldLock="1"/>
      </w:r>
      <w:r w:rsidR="007359B2" w:rsidRPr="000B68C8">
        <w:instrText>ADDIN CSL_CITATION {"citationItems":[{"id":"ITEM-1","itemData":{"ISBN":"9781409835899","author":[{"dropping-particle":"","family":"Department for Communities &amp; Local Government","given":"","non-dropping-particle":"","parse-names":false,"suffix":""}],"id":"ITEM-1","issued":{"date-parts":[["2012"]]},"title":"Incident Recording System - Questions and lists Version 1.6","type":"book"},"uris":["http://www.mendeley.com/documents/?uuid=dfa6fee9-d321-4657-ae3e-b80770c7c307"]}],"mendeley":{"formattedCitation":"[11]","plainTextFormattedCitation":"[11]","previouslyFormattedCitation":"[11]"},"properties":{"noteIndex":0},"schema":"https://github.com/citation-style-language/schema/raw/master/csl-citation.json"}</w:instrText>
      </w:r>
      <w:r w:rsidR="00FE1813" w:rsidRPr="000B68C8">
        <w:fldChar w:fldCharType="separate"/>
      </w:r>
      <w:r w:rsidR="00BC2D97" w:rsidRPr="000B68C8">
        <w:rPr>
          <w:noProof/>
        </w:rPr>
        <w:t>[11]</w:t>
      </w:r>
      <w:r w:rsidR="00FE1813" w:rsidRPr="000B68C8">
        <w:fldChar w:fldCharType="end"/>
      </w:r>
      <w:r w:rsidR="00582F13" w:rsidRPr="000B68C8">
        <w:t xml:space="preserve"> and Sweden </w:t>
      </w:r>
      <w:r w:rsidR="00582F13" w:rsidRPr="000B68C8">
        <w:fldChar w:fldCharType="begin" w:fldLock="1"/>
      </w:r>
      <w:r w:rsidR="007359B2" w:rsidRPr="000B68C8">
        <w:instrText>ADDIN CSL_CITATION {"citationItems":[{"id":"ITEM-1","itemData":{"ISBN":"9789173830768","abstract":"This yearbook is a report with descriptive statistics on the organisation and emergency responses of the Swedish rescue services. The statistics are based on material that the Swedish Rescue Services Agency collated from 1996 to 2008 from the municipal fire (and rescue) brigades and national authorities. The production of rescue service statistics now takes place in the section for Lessons Learned at the Swedish Civil Contingencies Agency (MSB). For fires and most sorts of accidents it is the municipality that is responsible for the rescue service response. National authorities are responsible for mountain, air and sea search and rescue, searching for missing people, maritime environmental protection and emissions of radioactive substances from a nuclear energy establishment. In total the municipal fire brigades carried out approximately 92 400 emergency responses in 2008. This was an increase of about 4% from 2007. More than four out of ten emerg— ency responses proved to be unnecessary. False calls from automatic fire alarms stood for 80% of these unnecessary responses. Most of the remainder were false calls with good intent, less than 2% being judged as malicious false calls. The total number of unneces- sary calls was about the same as in 2007. In 2008 fire brigades attended close to 10 900 building fires. This is reduction of about 2% from 2007. Fires in homes accounted for 55% of all building fires, while 21% were in public buildings and 11% in industrial buildings. The most common cause of fires in public buildings was arson, which was the cause of nearly 2950 building fires in 2008. School buildings are especially targeted and last year arson was assessed to have caused 270 fires, which represents more then half of all fires in school buildings. The trend of fires in school buildings caused by arson is increasing, and last year’s figure is the highest since the incident report system was introduced in 1996. There was a substantial increase in the number of emergency responses to non-building fires attended in 2008 when compared with 2007. In 2008 the fire brigades attended 17 800 non-building fires, which is an increase of nearly 11%. Nearly one third of all non-building fires are either forest or grass fires, which are very dependent on weather conditions. The weather varies considerably from year to year, making it difficult to observe underlying changes in the fire risk over the years. At traffic accidents firefighers play an important role w…","author":[{"dropping-particle":"","family":"Lundqvist","given":"Marie","non-dropping-particle":"","parse-names":false,"suffix":""},{"dropping-particle":"","family":"McIntyre","given":"Colin","non-dropping-particle":"","parse-names":false,"suffix":""},{"dropping-particle":"","family":"Hedman","given":"Ulrika","non-dropping-particle":"","parse-names":false,"suffix":""}],"id":"ITEM-1","issued":{"date-parts":[["2008"]]},"number-of-pages":"1-69","title":"The Swedish Rescue Services in Figures","type":"book"},"uris":["http://www.mendeley.com/documents/?uuid=e88a0dfa-f552-4355-8675-a5b2d790c75b"]}],"mendeley":{"formattedCitation":"[12]","plainTextFormattedCitation":"[12]","previouslyFormattedCitation":"[12]"},"properties":{"noteIndex":0},"schema":"https://github.com/citation-style-language/schema/raw/master/csl-citation.json"}</w:instrText>
      </w:r>
      <w:r w:rsidR="00582F13" w:rsidRPr="000B68C8">
        <w:fldChar w:fldCharType="separate"/>
      </w:r>
      <w:r w:rsidR="00BC2D97" w:rsidRPr="000B68C8">
        <w:rPr>
          <w:noProof/>
        </w:rPr>
        <w:t>[12]</w:t>
      </w:r>
      <w:r w:rsidR="00582F13" w:rsidRPr="000B68C8">
        <w:fldChar w:fldCharType="end"/>
      </w:r>
      <w:r w:rsidR="00FE1813" w:rsidRPr="000B68C8">
        <w:t xml:space="preserve">, </w:t>
      </w:r>
      <w:r w:rsidR="00222B83" w:rsidRPr="000B68C8">
        <w:t xml:space="preserve">the method for reporting and interpreting </w:t>
      </w:r>
      <w:r w:rsidR="00FE1813" w:rsidRPr="000B68C8">
        <w:t xml:space="preserve">data may </w:t>
      </w:r>
      <w:r w:rsidR="006D3637" w:rsidRPr="000B68C8">
        <w:t xml:space="preserve">locally </w:t>
      </w:r>
      <w:r w:rsidR="00FE1813" w:rsidRPr="000B68C8">
        <w:t xml:space="preserve">vary according to </w:t>
      </w:r>
      <w:r w:rsidR="002B2384" w:rsidRPr="000B68C8">
        <w:t xml:space="preserve">the </w:t>
      </w:r>
      <w:r w:rsidR="00A945CB" w:rsidRPr="000B68C8">
        <w:t xml:space="preserve">approach adopted by </w:t>
      </w:r>
      <w:r w:rsidR="00FE1813" w:rsidRPr="000B68C8">
        <w:t>the fire brigade</w:t>
      </w:r>
      <w:r w:rsidR="00A945CB" w:rsidRPr="000B68C8">
        <w:t xml:space="preserve"> in</w:t>
      </w:r>
      <w:r w:rsidR="00FE1813" w:rsidRPr="000B68C8">
        <w:t xml:space="preserve"> filling in the fire incident report. </w:t>
      </w:r>
      <w:r w:rsidR="00582F13" w:rsidRPr="000B68C8">
        <w:t xml:space="preserve">Only in </w:t>
      </w:r>
      <w:r w:rsidR="00A945CB" w:rsidRPr="000B68C8">
        <w:t xml:space="preserve">a </w:t>
      </w:r>
      <w:r w:rsidR="00582F13" w:rsidRPr="000B68C8">
        <w:t xml:space="preserve">limited number of cases, there is a </w:t>
      </w:r>
      <w:r w:rsidR="001223BA" w:rsidRPr="000B68C8">
        <w:t>follow-up</w:t>
      </w:r>
      <w:r w:rsidR="00582F13" w:rsidRPr="000B68C8">
        <w:t xml:space="preserve"> during the</w:t>
      </w:r>
      <w:r w:rsidR="00A945CB" w:rsidRPr="000B68C8">
        <w:t xml:space="preserve"> data</w:t>
      </w:r>
      <w:r w:rsidR="00582F13" w:rsidRPr="000B68C8">
        <w:t xml:space="preserve"> elaboration phase when recorded fire statistical data </w:t>
      </w:r>
      <w:r w:rsidR="00A945CB" w:rsidRPr="000B68C8">
        <w:t>appear</w:t>
      </w:r>
      <w:r w:rsidR="00582F13" w:rsidRPr="000B68C8">
        <w:t xml:space="preserve"> to present inconsistencies or uncertainties</w:t>
      </w:r>
      <w:r w:rsidR="00761D35" w:rsidRPr="000B68C8">
        <w:t xml:space="preserve"> (e.g.</w:t>
      </w:r>
      <w:r w:rsidR="00582F13" w:rsidRPr="000B68C8">
        <w:t xml:space="preserve"> Ireland </w:t>
      </w:r>
      <w:r w:rsidR="00582F13" w:rsidRPr="000B68C8">
        <w:fldChar w:fldCharType="begin" w:fldLock="1"/>
      </w:r>
      <w:r w:rsidR="000672DB" w:rsidRPr="000B68C8">
        <w:instrText>ADDIN CSL_CITATION {"citationItems":[{"id":"ITEM-1","itemData":{"URL":"http://www.housing.old.gov.ie/community/fire-and-emergency-management/other/statistics","accessed":{"date-parts":[["2023","2","25"]]},"author":[{"dropping-particle":"","family":"Department of Housing Local Government and Heritage (Ireland)","given":"","non-dropping-particle":"","parse-names":false,"suffix":""}],"id":"ITEM-1","issued":{"date-parts":[["2021"]]},"title":"Fire service statistics","type":"webpage"},"uris":["http://www.mendeley.com/documents/?uuid=738d456a-2a7f-40f7-800d-8dc8a6eaea73"]}],"mendeley":{"formattedCitation":"[13]","plainTextFormattedCitation":"[13]","previouslyFormattedCitation":"[13]"},"properties":{"noteIndex":0},"schema":"https://github.com/citation-style-language/schema/raw/master/csl-citation.json"}</w:instrText>
      </w:r>
      <w:r w:rsidR="00582F13" w:rsidRPr="000B68C8">
        <w:fldChar w:fldCharType="separate"/>
      </w:r>
      <w:r w:rsidR="00BC2D97" w:rsidRPr="000B68C8">
        <w:rPr>
          <w:noProof/>
        </w:rPr>
        <w:t>[13]</w:t>
      </w:r>
      <w:r w:rsidR="00582F13" w:rsidRPr="000B68C8">
        <w:fldChar w:fldCharType="end"/>
      </w:r>
      <w:r w:rsidR="008517F3" w:rsidRPr="000B68C8">
        <w:t>)</w:t>
      </w:r>
      <w:r w:rsidR="00582F13" w:rsidRPr="000B68C8">
        <w:t xml:space="preserve">. </w:t>
      </w:r>
    </w:p>
    <w:p w14:paraId="586D1EEC" w14:textId="0168FAD6" w:rsidR="00FE1813" w:rsidRPr="000B68C8" w:rsidRDefault="0071413C" w:rsidP="00CD06A1">
      <w:r w:rsidRPr="000B68C8">
        <w:t xml:space="preserve">The issue related to the interpretation and adopted definitions is </w:t>
      </w:r>
      <w:r w:rsidR="00761D35" w:rsidRPr="000B68C8">
        <w:t xml:space="preserve">particularly </w:t>
      </w:r>
      <w:r w:rsidRPr="000B68C8">
        <w:t xml:space="preserve">relevant when international fire statistical data are provided. </w:t>
      </w:r>
      <w:r w:rsidR="005D7650" w:rsidRPr="000B68C8">
        <w:t xml:space="preserve">The </w:t>
      </w:r>
      <w:r w:rsidRPr="000B68C8">
        <w:t xml:space="preserve">“World Fire Statistics” reports </w:t>
      </w:r>
      <w:r w:rsidR="00906434" w:rsidRPr="000B68C8">
        <w:fldChar w:fldCharType="begin" w:fldLock="1"/>
      </w:r>
      <w:r w:rsidR="007359B2" w:rsidRPr="000B68C8">
        <w:instrText>ADDIN CSL_CITATION {"citationItems":[{"id":"ITEM-1","itemData":{"author":[{"dropping-particle":"","family":"Brushlinsky","given":"Nikolai","non-dropping-particle":"","parse-names":false,"suffix":""},{"dropping-particle":"","family":"Ahrens","given":"Marty","non-dropping-particle":"","parse-names":false,"suffix":""},{"dropping-particle":"","family":"Sergei","given":"Sokolov","non-dropping-particle":"","parse-names":false,"suffix":""},{"dropping-particle":"","family":"Wagner","given":"Peter","non-dropping-particle":"","parse-names":false,"suffix":""}],"container-title":"Center of Fire Statistics, International Association of Fire and Rescue Services.","id":"ITEM-1","issued":{"date-parts":[["2018"]]},"title":"World Fire Statistics n23","type":"article-journal"},"uris":["http://www.mendeley.com/documents/?uuid=df641d27-8dac-4eff-9f6b-9f6932b9d8e7"]},{"id":"ITEM-2","itemData":{"author":[{"dropping-particle":"","family":"Brushlinsky","given":"N.","non-dropping-particle":"","parse-names":false,"suffix":""},{"dropping-particle":"","family":"Ahrens","given":"M.","non-dropping-particle":"","parse-names":false,"suffix":""},{"dropping-particle":"","family":"Sergei","given":"S.","non-dropping-particle":"","parse-names":false,"suffix":""},{"dropping-particle":"","family":"Wagner","given":"P.","non-dropping-particle":"","parse-names":false,"suffix":""}],"container-title":"Center of Fire Statistics, International Association of Fire and Rescue Services.","id":"ITEM-2","issued":{"date-parts":[["2018"]]},"title":"World fire statistics reports","type":"webpage"},"uris":["http://www.mendeley.com/documents/?uuid=b7114bb0-a354-412d-8ac2-f30cac1fb295"]}],"mendeley":{"formattedCitation":"[14], [15]","plainTextFormattedCitation":"[14], [15]","previouslyFormattedCitation":"[14], [15]"},"properties":{"noteIndex":0},"schema":"https://github.com/citation-style-language/schema/raw/master/csl-citation.json"}</w:instrText>
      </w:r>
      <w:r w:rsidR="00906434" w:rsidRPr="000B68C8">
        <w:fldChar w:fldCharType="separate"/>
      </w:r>
      <w:r w:rsidR="00BC2D97" w:rsidRPr="000B68C8">
        <w:rPr>
          <w:noProof/>
        </w:rPr>
        <w:t>[14], [15]</w:t>
      </w:r>
      <w:r w:rsidR="00906434" w:rsidRPr="000B68C8">
        <w:fldChar w:fldCharType="end"/>
      </w:r>
      <w:r w:rsidR="00906434" w:rsidRPr="000B68C8">
        <w:t xml:space="preserve"> </w:t>
      </w:r>
      <w:r w:rsidR="005D7650" w:rsidRPr="000B68C8">
        <w:t xml:space="preserve">are </w:t>
      </w:r>
      <w:r w:rsidRPr="000B68C8">
        <w:t xml:space="preserve">published </w:t>
      </w:r>
      <w:r w:rsidR="00761D35" w:rsidRPr="000B68C8">
        <w:t xml:space="preserve">yearly </w:t>
      </w:r>
      <w:r w:rsidRPr="000B68C8">
        <w:t>by the International Association of Fire and Rescue Service (CTIF)</w:t>
      </w:r>
      <w:r w:rsidR="005D7650" w:rsidRPr="000B68C8">
        <w:t xml:space="preserve"> for </w:t>
      </w:r>
      <w:r w:rsidRPr="000B68C8">
        <w:t>European countries and selected other countries</w:t>
      </w:r>
      <w:r w:rsidR="005D7650" w:rsidRPr="000B68C8">
        <w:t>. Data could be provided by fire and rescue services or other institutions responsible for the fire statisti</w:t>
      </w:r>
      <w:r w:rsidR="001613AA" w:rsidRPr="000B68C8">
        <w:t>cs</w:t>
      </w:r>
      <w:r w:rsidR="005D7650" w:rsidRPr="000B68C8">
        <w:t xml:space="preserve"> and when variables related to fire incidents, deaths and injuries are plotted over time, the differences could be attributable </w:t>
      </w:r>
      <w:r w:rsidR="00414CB3" w:rsidRPr="000B68C8">
        <w:t>to</w:t>
      </w:r>
      <w:r w:rsidR="005D7650" w:rsidRPr="000B68C8">
        <w:t xml:space="preserve"> </w:t>
      </w:r>
      <w:r w:rsidR="00414CB3" w:rsidRPr="000B68C8">
        <w:t>geographical locations</w:t>
      </w:r>
      <w:r w:rsidR="00582F13" w:rsidRPr="000B68C8">
        <w:t xml:space="preserve"> </w:t>
      </w:r>
      <w:r w:rsidR="00582F13" w:rsidRPr="000B68C8">
        <w:fldChar w:fldCharType="begin" w:fldLock="1"/>
      </w:r>
      <w:r w:rsidR="007359B2" w:rsidRPr="000B68C8">
        <w:instrText>ADDIN CSL_CITATION {"citationItems":[{"id":"ITEM-1","itemData":{"DOI":"10.1016/j.firesaf.2019.102890","ISSN":"03797112","author":[{"dropping-particle":"","family":"Hu","given":"Jun","non-dropping-particle":"","parse-names":false,"suffix":""},{"dropping-particle":"","family":"Shu","given":"Xueming","non-dropping-particle":"","parse-names":false,"suffix":""},{"dropping-particle":"","family":"Xie","given":"Sitao","non-dropping-particle":"","parse-names":false,"suffix":""},{"dropping-particle":"","family":"Tang","given":"Shiyang","non-dropping-particle":"","parse-names":false,"suffix":""},{"dropping-particle":"","family":"Wu","given":"Jinjin","non-dropping-particle":"","parse-names":false,"suffix":""},{"dropping-particle":"","family":"Deng","given":"Boyu","non-dropping-particle":"","parse-names":false,"suffix":""}],"container-title":"Fire Safety Journal","id":"ITEM-1","issued":{"date-parts":[["2019"]]},"publisher":"Elsevier Ltd","title":"Socioeconomic determinants of urban fire risk: A city-wide analysis of 283 Chinese cities from 2013 to 2016","type":"article-journal","volume":"110"},"uris":["http://www.mendeley.com/documents/?uuid=520e92ff-27e1-43ab-ad75-ffac7ebdb995"]}],"mendeley":{"formattedCitation":"[16]","plainTextFormattedCitation":"[16]","previouslyFormattedCitation":"[16]"},"properties":{"noteIndex":0},"schema":"https://github.com/citation-style-language/schema/raw/master/csl-citation.json"}</w:instrText>
      </w:r>
      <w:r w:rsidR="00582F13" w:rsidRPr="000B68C8">
        <w:fldChar w:fldCharType="separate"/>
      </w:r>
      <w:r w:rsidR="00BC2D97" w:rsidRPr="000B68C8">
        <w:rPr>
          <w:noProof/>
        </w:rPr>
        <w:t>[16]</w:t>
      </w:r>
      <w:r w:rsidR="00582F13" w:rsidRPr="000B68C8">
        <w:fldChar w:fldCharType="end"/>
      </w:r>
      <w:r w:rsidR="00414CB3" w:rsidRPr="000B68C8">
        <w:t>, collection methodologies</w:t>
      </w:r>
      <w:r w:rsidR="00582F13" w:rsidRPr="000B68C8">
        <w:t xml:space="preserve">, fire safety regulations in place </w:t>
      </w:r>
      <w:r w:rsidR="00582F13" w:rsidRPr="000B68C8">
        <w:fldChar w:fldCharType="begin" w:fldLock="1"/>
      </w:r>
      <w:r w:rsidR="007359B2" w:rsidRPr="000B68C8">
        <w:instrText>ADDIN CSL_CITATION {"citationItems":[{"id":"ITEM-1","itemData":{"author":[{"dropping-particle":"","family":"Bryant","given":"Stephanie","non-dropping-particle":"","parse-names":false,"suffix":""},{"dropping-particle":"","family":"Preston","given":"Isabel","non-dropping-particle":"","parse-names":false,"suffix":""}],"container-title":"Home Office","id":"ITEM-1","issued":{"date-parts":[["2017"]]},"title":"Focus on trends in fires and fire-related fatalities","type":"article-journal"},"uris":["http://www.mendeley.com/documents/?uuid=b6799be3-f327-4909-bdef-5cc0704e9d9f"]}],"mendeley":{"formattedCitation":"[17]","plainTextFormattedCitation":"[17]","previouslyFormattedCitation":"[17]"},"properties":{"noteIndex":0},"schema":"https://github.com/citation-style-language/schema/raw/master/csl-citation.json"}</w:instrText>
      </w:r>
      <w:r w:rsidR="00582F13" w:rsidRPr="000B68C8">
        <w:fldChar w:fldCharType="separate"/>
      </w:r>
      <w:r w:rsidR="00BC2D97" w:rsidRPr="000B68C8">
        <w:rPr>
          <w:noProof/>
        </w:rPr>
        <w:t>[17]</w:t>
      </w:r>
      <w:r w:rsidR="00582F13" w:rsidRPr="000B68C8">
        <w:fldChar w:fldCharType="end"/>
      </w:r>
      <w:r w:rsidR="00582F13" w:rsidRPr="000B68C8">
        <w:t>,</w:t>
      </w:r>
      <w:r w:rsidR="00414CB3" w:rsidRPr="000B68C8">
        <w:t xml:space="preserve"> and most of all to </w:t>
      </w:r>
      <w:r w:rsidR="00A945CB" w:rsidRPr="000B68C8">
        <w:t xml:space="preserve">the adopted </w:t>
      </w:r>
      <w:r w:rsidR="00414CB3" w:rsidRPr="000B68C8">
        <w:t>terminology.</w:t>
      </w:r>
      <w:r w:rsidR="00CD06A1" w:rsidRPr="000B68C8">
        <w:t xml:space="preserve"> For example, in the fire statistics published </w:t>
      </w:r>
      <w:r w:rsidR="002F7ED9" w:rsidRPr="000B68C8">
        <w:t>by</w:t>
      </w:r>
      <w:r w:rsidR="00CD06A1" w:rsidRPr="000B68C8">
        <w:t xml:space="preserve"> the Home Office in England</w:t>
      </w:r>
      <w:r w:rsidR="001613AA" w:rsidRPr="000B68C8">
        <w:t>,</w:t>
      </w:r>
      <w:r w:rsidR="00CD06A1" w:rsidRPr="000B68C8">
        <w:t xml:space="preserve"> there is a subdivision between fire and total damage</w:t>
      </w:r>
      <w:r w:rsidR="0059065C" w:rsidRPr="000B68C8">
        <w:t>.</w:t>
      </w:r>
      <w:r w:rsidR="00DC623B" w:rsidRPr="000B68C8">
        <w:t xml:space="preserve"> </w:t>
      </w:r>
      <w:r w:rsidR="0059065C" w:rsidRPr="000B68C8">
        <w:t xml:space="preserve">The Home Office defines </w:t>
      </w:r>
      <w:r w:rsidR="00DC623B" w:rsidRPr="000B68C8">
        <w:t xml:space="preserve">fire damage </w:t>
      </w:r>
      <w:r w:rsidR="0059065C" w:rsidRPr="000B68C8">
        <w:t xml:space="preserve">as </w:t>
      </w:r>
      <w:r w:rsidR="00DC623B" w:rsidRPr="000B68C8">
        <w:t>the total horizontal area damaged by the flame and heat (in m</w:t>
      </w:r>
      <w:r w:rsidR="00DC623B" w:rsidRPr="000B68C8">
        <w:rPr>
          <w:vertAlign w:val="superscript"/>
        </w:rPr>
        <w:t>2</w:t>
      </w:r>
      <w:r w:rsidR="00DC623B" w:rsidRPr="000B68C8">
        <w:t xml:space="preserve">) at the </w:t>
      </w:r>
      <w:r w:rsidR="0059065C" w:rsidRPr="000B68C8">
        <w:t xml:space="preserve">end </w:t>
      </w:r>
      <w:r w:rsidR="00DC623B" w:rsidRPr="000B68C8">
        <w:t>of the fire</w:t>
      </w:r>
      <w:r w:rsidR="001613AA" w:rsidRPr="000B68C8">
        <w:t xml:space="preserve"> </w:t>
      </w:r>
      <w:r w:rsidR="0059065C" w:rsidRPr="000B68C8">
        <w:t xml:space="preserve">and </w:t>
      </w:r>
      <w:r w:rsidR="001613AA" w:rsidRPr="000B68C8">
        <w:t xml:space="preserve">refer to </w:t>
      </w:r>
      <w:r w:rsidR="00913DC6" w:rsidRPr="000B68C8">
        <w:t xml:space="preserve">a </w:t>
      </w:r>
      <w:r w:rsidR="001613AA" w:rsidRPr="000B68C8">
        <w:t xml:space="preserve">total aggregate of all horizontal damage in the building </w:t>
      </w:r>
      <w:r w:rsidR="00DC623B" w:rsidRPr="000B68C8">
        <w:fldChar w:fldCharType="begin" w:fldLock="1"/>
      </w:r>
      <w:r w:rsidR="007359B2" w:rsidRPr="000B68C8">
        <w:instrText>ADDIN CSL_CITATION {"citationItems":[{"id":"ITEM-1","itemData":{"author":[{"dropping-particle":"","family":"Home Office","given":"","non-dropping-particle":"","parse-names":false,"suffix":""}],"id":"ITEM-1","issue":"September","issued":{"date-parts":[["2017"]]},"title":"Publishing Incident Recording System data on the fire and rescue service at an incident level: ‘Other building’ fires dataset guidance","type":"report"},"uris":["http://www.mendeley.com/documents/?uuid=a46daf1d-f8c2-4f31-bcf9-f45dcc795f8f"]}],"mendeley":{"formattedCitation":"[18]","plainTextFormattedCitation":"[18]","previouslyFormattedCitation":"[18]"},"properties":{"noteIndex":0},"schema":"https://github.com/citation-style-language/schema/raw/master/csl-citation.json"}</w:instrText>
      </w:r>
      <w:r w:rsidR="00DC623B" w:rsidRPr="000B68C8">
        <w:fldChar w:fldCharType="separate"/>
      </w:r>
      <w:r w:rsidR="00BC2D97" w:rsidRPr="000B68C8">
        <w:rPr>
          <w:noProof/>
        </w:rPr>
        <w:t>[18]</w:t>
      </w:r>
      <w:r w:rsidR="00DC623B" w:rsidRPr="000B68C8">
        <w:fldChar w:fldCharType="end"/>
      </w:r>
      <w:r w:rsidR="006D3637" w:rsidRPr="000B68C8">
        <w:t xml:space="preserve">. </w:t>
      </w:r>
      <w:r w:rsidR="0059065C" w:rsidRPr="000B68C8">
        <w:t>I</w:t>
      </w:r>
      <w:r w:rsidR="006D3637" w:rsidRPr="000B68C8">
        <w:t>n</w:t>
      </w:r>
      <w:r w:rsidR="0059065C" w:rsidRPr="000B68C8">
        <w:t xml:space="preserve"> contrast, in</w:t>
      </w:r>
      <w:r w:rsidR="00CD06A1" w:rsidRPr="000B68C8">
        <w:t xml:space="preserve"> the USA</w:t>
      </w:r>
      <w:r w:rsidR="0059065C" w:rsidRPr="000B68C8">
        <w:t xml:space="preserve">, </w:t>
      </w:r>
      <w:r w:rsidR="00CD06A1" w:rsidRPr="000B68C8">
        <w:t xml:space="preserve">flame damage </w:t>
      </w:r>
      <w:r w:rsidR="006D3637" w:rsidRPr="000B68C8">
        <w:t xml:space="preserve">is recorded and </w:t>
      </w:r>
      <w:r w:rsidR="001613AA" w:rsidRPr="000B68C8">
        <w:t xml:space="preserve">defined as </w:t>
      </w:r>
      <w:r w:rsidR="00CD06A1" w:rsidRPr="000B68C8">
        <w:t>the area actually burned or charred and does not include areas receiving only heat, smoke, or water damage</w:t>
      </w:r>
      <w:r w:rsidR="001613AA" w:rsidRPr="000B68C8">
        <w:t xml:space="preserve">, and </w:t>
      </w:r>
      <w:r w:rsidR="00985BC2" w:rsidRPr="000B68C8">
        <w:t xml:space="preserve">it is </w:t>
      </w:r>
      <w:r w:rsidR="001613AA" w:rsidRPr="000B68C8">
        <w:t>recorded as the number of stories damaged by flame spread</w:t>
      </w:r>
      <w:r w:rsidR="00DC623B" w:rsidRPr="000B68C8">
        <w:t xml:space="preserve"> </w:t>
      </w:r>
      <w:r w:rsidR="00DC623B" w:rsidRPr="000B68C8">
        <w:fldChar w:fldCharType="begin" w:fldLock="1"/>
      </w:r>
      <w:r w:rsidR="007359B2" w:rsidRPr="000B68C8">
        <w:instrText>ADDIN CSL_CITATION {"citationItems":[{"id":"ITEM-1","itemData":{"author":[{"dropping-particle":"","family":"U.S. Fire Administration","given":"","non-dropping-particle":"","parse-names":false,"suffix":""}],"id":"ITEM-1","issued":{"date-parts":[["2015"]]},"title":"National Fire Incident Reporting System","type":"report"},"uris":["http://www.mendeley.com/documents/?uuid=6f230c7b-c235-4d06-86cd-975398980aea"]}],"mendeley":{"formattedCitation":"[10]","plainTextFormattedCitation":"[10]","previouslyFormattedCitation":"[10]"},"properties":{"noteIndex":0},"schema":"https://github.com/citation-style-language/schema/raw/master/csl-citation.json"}</w:instrText>
      </w:r>
      <w:r w:rsidR="00DC623B" w:rsidRPr="000B68C8">
        <w:fldChar w:fldCharType="separate"/>
      </w:r>
      <w:r w:rsidR="00BC2D97" w:rsidRPr="000B68C8">
        <w:rPr>
          <w:noProof/>
        </w:rPr>
        <w:t>[10]</w:t>
      </w:r>
      <w:r w:rsidR="00DC623B" w:rsidRPr="000B68C8">
        <w:fldChar w:fldCharType="end"/>
      </w:r>
      <w:r w:rsidR="00CD06A1" w:rsidRPr="000B68C8">
        <w:t>.</w:t>
      </w:r>
    </w:p>
    <w:p w14:paraId="1C2CC388" w14:textId="3049877A" w:rsidR="008517F3" w:rsidRPr="000B68C8" w:rsidRDefault="00761D35" w:rsidP="00B07CA3">
      <w:r w:rsidRPr="000B68C8">
        <w:t>Based on the above, there is clearly a</w:t>
      </w:r>
      <w:r w:rsidR="00414CB3" w:rsidRPr="000B68C8">
        <w:t xml:space="preserve"> necessity </w:t>
      </w:r>
      <w:r w:rsidR="00B07CA3" w:rsidRPr="000B68C8">
        <w:t xml:space="preserve">to map the </w:t>
      </w:r>
      <w:r w:rsidR="0095367F" w:rsidRPr="000B68C8">
        <w:t xml:space="preserve">current </w:t>
      </w:r>
      <w:r w:rsidR="00A945CB" w:rsidRPr="000B68C8">
        <w:t xml:space="preserve">fire statistical </w:t>
      </w:r>
      <w:r w:rsidR="00B07CA3" w:rsidRPr="000B68C8">
        <w:t xml:space="preserve">terminology and the data collected regarding fire </w:t>
      </w:r>
      <w:r w:rsidR="0095367F" w:rsidRPr="000B68C8">
        <w:t>incidents</w:t>
      </w:r>
      <w:r w:rsidR="00B07CA3" w:rsidRPr="000B68C8">
        <w:t xml:space="preserve"> </w:t>
      </w:r>
      <w:r w:rsidR="0095367F" w:rsidRPr="000B68C8">
        <w:t xml:space="preserve">in residential and non-residential buildings </w:t>
      </w:r>
      <w:r w:rsidR="00B07CA3" w:rsidRPr="000B68C8">
        <w:t>in the EU Member States</w:t>
      </w:r>
      <w:r w:rsidR="00414CB3" w:rsidRPr="000B68C8">
        <w:t xml:space="preserve"> to support </w:t>
      </w:r>
      <w:r w:rsidR="00913DC6" w:rsidRPr="000B68C8">
        <w:t xml:space="preserve">a </w:t>
      </w:r>
      <w:r w:rsidR="00414CB3" w:rsidRPr="000B68C8">
        <w:t xml:space="preserve">more meaningful evaluation of fire statistical variables and enable </w:t>
      </w:r>
      <w:r w:rsidR="00913DC6" w:rsidRPr="000B68C8">
        <w:t xml:space="preserve">a </w:t>
      </w:r>
      <w:r w:rsidR="00414CB3" w:rsidRPr="000B68C8">
        <w:t>more accurate analysis of the fire aspects covered by each of them</w:t>
      </w:r>
      <w:r w:rsidR="0095367F" w:rsidRPr="000B68C8">
        <w:t xml:space="preserve">. </w:t>
      </w:r>
      <w:r w:rsidR="002B2384" w:rsidRPr="000B68C8">
        <w:t xml:space="preserve">Furthermore, it is important to </w:t>
      </w:r>
      <w:r w:rsidR="00913DC6" w:rsidRPr="000B68C8">
        <w:t>select</w:t>
      </w:r>
      <w:r w:rsidR="002B2384" w:rsidRPr="000B68C8">
        <w:t xml:space="preserve"> and identify the essential fire statistical variables able to provide a complete description of the fire incidents. </w:t>
      </w:r>
    </w:p>
    <w:p w14:paraId="4B344A40" w14:textId="6687AC6E" w:rsidR="008517F3" w:rsidRPr="000B68C8" w:rsidRDefault="008517F3" w:rsidP="0008749E">
      <w:r w:rsidRPr="000B68C8">
        <w:t xml:space="preserve">The ISO/TR 17755:2014 </w:t>
      </w:r>
      <w:r w:rsidR="0008749E" w:rsidRPr="000B68C8">
        <w:fldChar w:fldCharType="begin" w:fldLock="1"/>
      </w:r>
      <w:r w:rsidR="007359B2" w:rsidRPr="000B68C8">
        <w:instrText>ADDIN CSL_CITATION {"citationItems":[{"id":"ITEM-1","itemData":{"author":[{"dropping-particle":"","family":"PD ISO/TR 17755:2014","given":"","non-dropping-particle":"","parse-names":false,"suffix":""}],"id":"ITEM-1","issued":{"date-parts":[["2014"]]},"title":"Fire safety — Overview of national fire statistics practices","type":"report"},"uris":["http://www.mendeley.com/documents/?uuid=96b3e786-9566-493e-b87e-49d51b361e74"]}],"mendeley":{"formattedCitation":"[19]","plainTextFormattedCitation":"[19]","previouslyFormattedCitation":"[19]"},"properties":{"noteIndex":0},"schema":"https://github.com/citation-style-language/schema/raw/master/csl-citation.json"}</w:instrText>
      </w:r>
      <w:r w:rsidR="0008749E" w:rsidRPr="000B68C8">
        <w:fldChar w:fldCharType="separate"/>
      </w:r>
      <w:r w:rsidR="00BC2D97" w:rsidRPr="000B68C8">
        <w:rPr>
          <w:noProof/>
        </w:rPr>
        <w:t>[19]</w:t>
      </w:r>
      <w:r w:rsidR="0008749E" w:rsidRPr="000B68C8">
        <w:fldChar w:fldCharType="end"/>
      </w:r>
      <w:r w:rsidR="0008749E" w:rsidRPr="000B68C8">
        <w:t xml:space="preserve"> </w:t>
      </w:r>
      <w:r w:rsidRPr="000B68C8">
        <w:t xml:space="preserve">presents data on national fire statistics </w:t>
      </w:r>
      <w:r w:rsidR="0093024E" w:rsidRPr="000B68C8">
        <w:t>practices</w:t>
      </w:r>
      <w:r w:rsidRPr="000B68C8">
        <w:t xml:space="preserve"> of 10 countries </w:t>
      </w:r>
      <w:r w:rsidR="00FE3539" w:rsidRPr="000B68C8">
        <w:t>(</w:t>
      </w:r>
      <w:r w:rsidR="0008749E" w:rsidRPr="000B68C8">
        <w:t xml:space="preserve">Australia, Canada, China, France, Japan, Kenya, (Republic of) Korea, Russia, United Kingdom, and </w:t>
      </w:r>
      <w:r w:rsidR="0093024E" w:rsidRPr="000B68C8">
        <w:t xml:space="preserve">the </w:t>
      </w:r>
      <w:r w:rsidR="0008749E" w:rsidRPr="000B68C8">
        <w:t xml:space="preserve">USA) </w:t>
      </w:r>
      <w:r w:rsidR="002F7ED9" w:rsidRPr="000B68C8">
        <w:t xml:space="preserve">highlighting </w:t>
      </w:r>
      <w:r w:rsidR="0008749E" w:rsidRPr="000B68C8">
        <w:t>data collection</w:t>
      </w:r>
      <w:r w:rsidR="002F7ED9" w:rsidRPr="000B68C8">
        <w:t xml:space="preserve"> methodologies</w:t>
      </w:r>
      <w:r w:rsidR="0008749E" w:rsidRPr="000B68C8">
        <w:t xml:space="preserve"> and recorded fire statistical variables based on </w:t>
      </w:r>
      <w:r w:rsidR="002F7ED9" w:rsidRPr="000B68C8">
        <w:t xml:space="preserve">the information gathered in </w:t>
      </w:r>
      <w:r w:rsidR="0008749E" w:rsidRPr="000B68C8">
        <w:t xml:space="preserve">a survey. </w:t>
      </w:r>
      <w:r w:rsidRPr="000B68C8">
        <w:t>Th</w:t>
      </w:r>
      <w:r w:rsidR="00FE3539" w:rsidRPr="000B68C8">
        <w:t xml:space="preserve">e differences </w:t>
      </w:r>
      <w:r w:rsidR="0008749E" w:rsidRPr="000B68C8">
        <w:t xml:space="preserve">found in the </w:t>
      </w:r>
      <w:r w:rsidR="00FE3539" w:rsidRPr="000B68C8">
        <w:t>definitions adopted for the fire statistical variables are</w:t>
      </w:r>
      <w:r w:rsidRPr="000B68C8">
        <w:t xml:space="preserve"> </w:t>
      </w:r>
      <w:r w:rsidR="0008749E" w:rsidRPr="000B68C8">
        <w:t>covered</w:t>
      </w:r>
      <w:r w:rsidRPr="000B68C8">
        <w:t xml:space="preserve"> by the research developed by the ISO/T</w:t>
      </w:r>
      <w:r w:rsidR="002F7ED9" w:rsidRPr="000B68C8">
        <w:t>S</w:t>
      </w:r>
      <w:r w:rsidRPr="000B68C8">
        <w:t xml:space="preserve"> 17755</w:t>
      </w:r>
      <w:r w:rsidR="002F7ED9" w:rsidRPr="000B68C8">
        <w:t>-2:</w:t>
      </w:r>
      <w:r w:rsidRPr="000B68C8">
        <w:t>20</w:t>
      </w:r>
      <w:r w:rsidR="002F7ED9" w:rsidRPr="000B68C8">
        <w:t>20(E)</w:t>
      </w:r>
      <w:r w:rsidRPr="000B68C8">
        <w:t xml:space="preserve"> </w:t>
      </w:r>
      <w:r w:rsidRPr="000B68C8">
        <w:fldChar w:fldCharType="begin" w:fldLock="1"/>
      </w:r>
      <w:r w:rsidR="007359B2" w:rsidRPr="000B68C8">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Pr="000B68C8">
        <w:fldChar w:fldCharType="separate"/>
      </w:r>
      <w:r w:rsidR="00BC2D97" w:rsidRPr="000B68C8">
        <w:rPr>
          <w:noProof/>
        </w:rPr>
        <w:t>[20]</w:t>
      </w:r>
      <w:r w:rsidRPr="000B68C8">
        <w:fldChar w:fldCharType="end"/>
      </w:r>
      <w:r w:rsidRPr="000B68C8">
        <w:t xml:space="preserve"> that </w:t>
      </w:r>
      <w:r w:rsidR="002D545A" w:rsidRPr="000B68C8">
        <w:t>introduces</w:t>
      </w:r>
      <w:r w:rsidRPr="000B68C8">
        <w:t xml:space="preserve"> a  lack of common terminology and methodology</w:t>
      </w:r>
      <w:r w:rsidR="002D545A" w:rsidRPr="000B68C8">
        <w:t>,</w:t>
      </w:r>
      <w:r w:rsidRPr="000B68C8">
        <w:t xml:space="preserve"> and weaknesses in the training and qualification of fire investigators faced by fire safety experts involved in fire statistics. The ISO/T</w:t>
      </w:r>
      <w:r w:rsidR="002F7ED9" w:rsidRPr="000B68C8">
        <w:t>S</w:t>
      </w:r>
      <w:r w:rsidRPr="000B68C8">
        <w:t xml:space="preserve"> 17755</w:t>
      </w:r>
      <w:r w:rsidR="002F7ED9" w:rsidRPr="000B68C8">
        <w:t>-2</w:t>
      </w:r>
      <w:r w:rsidRPr="000B68C8">
        <w:t>:20</w:t>
      </w:r>
      <w:r w:rsidR="002F7ED9" w:rsidRPr="000B68C8">
        <w:t>20(E)</w:t>
      </w:r>
      <w:r w:rsidRPr="000B68C8">
        <w:t xml:space="preserve"> </w:t>
      </w:r>
      <w:r w:rsidRPr="000B68C8">
        <w:fldChar w:fldCharType="begin" w:fldLock="1"/>
      </w:r>
      <w:r w:rsidR="007359B2" w:rsidRPr="000B68C8">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Pr="000B68C8">
        <w:fldChar w:fldCharType="separate"/>
      </w:r>
      <w:r w:rsidR="00BC2D97" w:rsidRPr="000B68C8">
        <w:rPr>
          <w:noProof/>
        </w:rPr>
        <w:t>[20]</w:t>
      </w:r>
      <w:r w:rsidRPr="000B68C8">
        <w:fldChar w:fldCharType="end"/>
      </w:r>
      <w:r w:rsidRPr="000B68C8">
        <w:t xml:space="preserve"> harmonizes the definitions of specific terms commonly used in fire statistical data. However, </w:t>
      </w:r>
      <w:r w:rsidR="0093024E" w:rsidRPr="000B68C8">
        <w:t xml:space="preserve">a </w:t>
      </w:r>
      <w:r w:rsidR="002F7ED9" w:rsidRPr="000B68C8">
        <w:t>detail</w:t>
      </w:r>
      <w:r w:rsidR="0093024E" w:rsidRPr="000B68C8">
        <w:t>ed</w:t>
      </w:r>
      <w:r w:rsidR="002F7ED9" w:rsidRPr="000B68C8">
        <w:t xml:space="preserve"> analysis of </w:t>
      </w:r>
      <w:r w:rsidRPr="000B68C8">
        <w:t>current fire statistic</w:t>
      </w:r>
      <w:r w:rsidR="002F7ED9" w:rsidRPr="000B68C8">
        <w:t>al</w:t>
      </w:r>
      <w:r w:rsidRPr="000B68C8">
        <w:t xml:space="preserve"> practice of </w:t>
      </w:r>
      <w:r w:rsidR="002F7ED9" w:rsidRPr="000B68C8">
        <w:t>the</w:t>
      </w:r>
      <w:r w:rsidRPr="000B68C8">
        <w:t xml:space="preserve"> EU Member States and other countries</w:t>
      </w:r>
      <w:r w:rsidR="002F7ED9" w:rsidRPr="000B68C8">
        <w:t xml:space="preserve"> is necessary to understand the adopted terminology and enable an accurate evaluation of the fire incidents in buildings.</w:t>
      </w:r>
    </w:p>
    <w:p w14:paraId="77387667" w14:textId="2AAB095D" w:rsidR="005000DD" w:rsidRPr="000B68C8" w:rsidRDefault="00356591" w:rsidP="00487AFF">
      <w:r w:rsidRPr="000B68C8">
        <w:t>I</w:t>
      </w:r>
      <w:r w:rsidR="00FE3539" w:rsidRPr="000B68C8">
        <w:t>t is</w:t>
      </w:r>
      <w:r w:rsidR="002F7ED9" w:rsidRPr="000B68C8">
        <w:t xml:space="preserve"> in this light that t</w:t>
      </w:r>
      <w:r w:rsidR="00FE3539" w:rsidRPr="000B68C8">
        <w:t>he analysis developed in this research investigated</w:t>
      </w:r>
      <w:r w:rsidRPr="000B68C8">
        <w:t xml:space="preserve"> the</w:t>
      </w:r>
      <w:r w:rsidR="009F790A" w:rsidRPr="000B68C8">
        <w:t xml:space="preserve"> fire statistics of 27 EU Member States and </w:t>
      </w:r>
      <w:r w:rsidR="00810532" w:rsidRPr="000B68C8">
        <w:t>eight</w:t>
      </w:r>
      <w:r w:rsidR="009F790A" w:rsidRPr="000B68C8">
        <w:t xml:space="preserve"> other </w:t>
      </w:r>
      <w:r w:rsidR="005E151B" w:rsidRPr="000B68C8">
        <w:t xml:space="preserve">countries </w:t>
      </w:r>
      <w:r w:rsidR="009F790A" w:rsidRPr="000B68C8">
        <w:t xml:space="preserve">(Australia, Canada, New Zealand, Norway, Russia, Switzerland, UK and USA) </w:t>
      </w:r>
      <w:r w:rsidRPr="000B68C8">
        <w:t>to determine adopted definitions and available fire statistical variables</w:t>
      </w:r>
      <w:r w:rsidR="009F790A" w:rsidRPr="000B68C8">
        <w:t xml:space="preserve">. The </w:t>
      </w:r>
      <w:r w:rsidR="005E151B" w:rsidRPr="000B68C8">
        <w:t xml:space="preserve">selected </w:t>
      </w:r>
      <w:r w:rsidR="009F790A" w:rsidRPr="000B68C8">
        <w:t>other countries</w:t>
      </w:r>
      <w:r w:rsidR="00AA3B7A" w:rsidRPr="000B68C8">
        <w:t xml:space="preserve"> </w:t>
      </w:r>
      <w:r w:rsidR="009F790A" w:rsidRPr="000B68C8">
        <w:t xml:space="preserve">are included in the analysis due to their structured </w:t>
      </w:r>
      <w:r w:rsidR="005E151B" w:rsidRPr="000B68C8">
        <w:t xml:space="preserve">and detailed </w:t>
      </w:r>
      <w:r w:rsidR="009F790A" w:rsidRPr="000B68C8">
        <w:t xml:space="preserve">fire statistics. </w:t>
      </w:r>
      <w:r w:rsidR="005000DD" w:rsidRPr="000B68C8">
        <w:t xml:space="preserve">A variety of challenges was encountered </w:t>
      </w:r>
      <w:r w:rsidR="002D545A" w:rsidRPr="000B68C8">
        <w:t xml:space="preserve">during the research </w:t>
      </w:r>
      <w:r w:rsidR="00761D35" w:rsidRPr="000B68C8">
        <w:t>due to</w:t>
      </w:r>
      <w:r w:rsidR="005000DD" w:rsidRPr="000B68C8">
        <w:t xml:space="preserve"> language barriers, confidentiality policies, private databases</w:t>
      </w:r>
      <w:r w:rsidR="00761D35" w:rsidRPr="000B68C8">
        <w:t>,</w:t>
      </w:r>
      <w:r w:rsidR="005000DD" w:rsidRPr="000B68C8">
        <w:t xml:space="preserve"> and non-response to requests for information. Therefore, </w:t>
      </w:r>
      <w:r w:rsidR="005E151B" w:rsidRPr="000B68C8">
        <w:t xml:space="preserve">direct contacts were established with </w:t>
      </w:r>
      <w:r w:rsidR="00A945CB" w:rsidRPr="000B68C8">
        <w:t xml:space="preserve">responsible </w:t>
      </w:r>
      <w:r w:rsidR="005000DD" w:rsidRPr="000B68C8">
        <w:t>authorities</w:t>
      </w:r>
      <w:r w:rsidR="005E151B" w:rsidRPr="000B68C8">
        <w:t xml:space="preserve"> for the </w:t>
      </w:r>
      <w:r w:rsidR="005000DD" w:rsidRPr="000B68C8">
        <w:t xml:space="preserve">fire statistics </w:t>
      </w:r>
      <w:r w:rsidR="004C4518" w:rsidRPr="000B68C8">
        <w:t>of</w:t>
      </w:r>
      <w:r w:rsidR="005000DD" w:rsidRPr="000B68C8">
        <w:t xml:space="preserve"> </w:t>
      </w:r>
      <w:r w:rsidR="004C4518" w:rsidRPr="000B68C8">
        <w:t>the 35 countries</w:t>
      </w:r>
      <w:r w:rsidR="00AA3B7A" w:rsidRPr="000B68C8">
        <w:t xml:space="preserve">. </w:t>
      </w:r>
    </w:p>
    <w:p w14:paraId="283BE3F0" w14:textId="6C0AC0E3" w:rsidR="0090406B" w:rsidRPr="000B68C8" w:rsidRDefault="00913DC6" w:rsidP="00487AFF">
      <w:r w:rsidRPr="000B68C8">
        <w:t>This research aims</w:t>
      </w:r>
      <w:r w:rsidR="000B2DF9" w:rsidRPr="000B68C8">
        <w:t xml:space="preserve"> to identify several essential fire statistical variables necessary for the description and assessment of fire incidents, determine the adopted definitions in existing fire statistics</w:t>
      </w:r>
      <w:r w:rsidR="005976AF" w:rsidRPr="000B68C8">
        <w:t xml:space="preserve">, </w:t>
      </w:r>
      <w:r w:rsidR="000B2DF9" w:rsidRPr="000B68C8">
        <w:t xml:space="preserve">compare them with those provided by the ISO TS 17755-2 standard </w:t>
      </w:r>
      <w:r w:rsidR="000B2DF9" w:rsidRPr="000B68C8">
        <w:fldChar w:fldCharType="begin" w:fldLock="1"/>
      </w:r>
      <w:r w:rsidR="007359B2" w:rsidRPr="000B68C8">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000B2DF9" w:rsidRPr="000B68C8">
        <w:fldChar w:fldCharType="separate"/>
      </w:r>
      <w:r w:rsidR="00BC2D97" w:rsidRPr="000B68C8">
        <w:rPr>
          <w:noProof/>
        </w:rPr>
        <w:t>[20]</w:t>
      </w:r>
      <w:r w:rsidR="000B2DF9" w:rsidRPr="000B68C8">
        <w:fldChar w:fldCharType="end"/>
      </w:r>
      <w:r w:rsidR="000B2DF9" w:rsidRPr="000B68C8">
        <w:t xml:space="preserve">, and, finally, propose a common terminology to move towards a homogeneous collection methodology and terminology at the European level. </w:t>
      </w:r>
      <w:r w:rsidR="00AA3B7A" w:rsidRPr="000B68C8">
        <w:t xml:space="preserve">The </w:t>
      </w:r>
      <w:r w:rsidR="005000DD" w:rsidRPr="000B68C8">
        <w:t>developed analyses are considered the foundations to support future actions able to create meaningful datasets based on standardized terms and definitions and improve fire safety in buildings.</w:t>
      </w:r>
    </w:p>
    <w:p w14:paraId="7396B91B" w14:textId="577EB8E2" w:rsidR="008D462B" w:rsidRPr="000B68C8" w:rsidRDefault="009475D8" w:rsidP="00487AFF">
      <w:r w:rsidRPr="000B68C8">
        <w:t xml:space="preserve">The structure of the paper introduces the steps followed in the analysis. Section </w:t>
      </w:r>
      <w:r w:rsidR="00752B31" w:rsidRPr="000B68C8">
        <w:fldChar w:fldCharType="begin"/>
      </w:r>
      <w:r w:rsidR="00752B31" w:rsidRPr="000B68C8">
        <w:instrText xml:space="preserve"> REF _Ref127887418 \r \h </w:instrText>
      </w:r>
      <w:r w:rsidR="000B68C8">
        <w:instrText xml:space="preserve"> \* MERGEFORMAT </w:instrText>
      </w:r>
      <w:r w:rsidR="00752B31" w:rsidRPr="000B68C8">
        <w:fldChar w:fldCharType="separate"/>
      </w:r>
      <w:r w:rsidR="00527272" w:rsidRPr="000B68C8">
        <w:t>2</w:t>
      </w:r>
      <w:r w:rsidR="00752B31" w:rsidRPr="000B68C8">
        <w:fldChar w:fldCharType="end"/>
      </w:r>
      <w:r w:rsidRPr="000B68C8">
        <w:t xml:space="preserve"> provides the adopted methodologies </w:t>
      </w:r>
      <w:r w:rsidR="00AB286F" w:rsidRPr="000B68C8">
        <w:t xml:space="preserve">for the investigation of the existing definitions for fire statistical variables, </w:t>
      </w:r>
      <w:r w:rsidR="00E828DE" w:rsidRPr="000B68C8">
        <w:t xml:space="preserve">created </w:t>
      </w:r>
      <w:r w:rsidR="00F96C8A" w:rsidRPr="000B68C8">
        <w:t>questionnaire</w:t>
      </w:r>
      <w:r w:rsidR="00E828DE" w:rsidRPr="000B68C8">
        <w:t xml:space="preserve">, and </w:t>
      </w:r>
      <w:r w:rsidR="00815390" w:rsidRPr="000B68C8">
        <w:t xml:space="preserve">proposed terminology. </w:t>
      </w:r>
      <w:r w:rsidR="00752B31" w:rsidRPr="000B68C8">
        <w:t>Section</w:t>
      </w:r>
      <w:r w:rsidR="00815390" w:rsidRPr="000B68C8">
        <w:t xml:space="preserve"> </w:t>
      </w:r>
      <w:r w:rsidR="00752B31" w:rsidRPr="000B68C8">
        <w:fldChar w:fldCharType="begin"/>
      </w:r>
      <w:r w:rsidR="00752B31" w:rsidRPr="000B68C8">
        <w:instrText xml:space="preserve"> REF _Ref88849836 \r \h </w:instrText>
      </w:r>
      <w:r w:rsidR="000B68C8">
        <w:instrText xml:space="preserve"> \* MERGEFORMAT </w:instrText>
      </w:r>
      <w:r w:rsidR="00752B31" w:rsidRPr="000B68C8">
        <w:fldChar w:fldCharType="separate"/>
      </w:r>
      <w:r w:rsidR="00527272" w:rsidRPr="000B68C8">
        <w:t>3</w:t>
      </w:r>
      <w:r w:rsidR="00752B31" w:rsidRPr="000B68C8">
        <w:fldChar w:fldCharType="end"/>
      </w:r>
      <w:r w:rsidR="00815390" w:rsidRPr="000B68C8">
        <w:t xml:space="preserve"> extensively describes the existing </w:t>
      </w:r>
      <w:r w:rsidR="00EA2476" w:rsidRPr="000B68C8">
        <w:t xml:space="preserve">definitions for fire statistics in the EU </w:t>
      </w:r>
      <w:r w:rsidR="00676292" w:rsidRPr="000B68C8">
        <w:t>M</w:t>
      </w:r>
      <w:r w:rsidR="00EA2476" w:rsidRPr="000B68C8">
        <w:t xml:space="preserve">ember States and other countries. Section </w:t>
      </w:r>
      <w:r w:rsidR="00752B31" w:rsidRPr="000B68C8">
        <w:fldChar w:fldCharType="begin"/>
      </w:r>
      <w:r w:rsidR="00752B31" w:rsidRPr="000B68C8">
        <w:instrText xml:space="preserve"> REF _Ref104887238 \r \h </w:instrText>
      </w:r>
      <w:r w:rsidR="000B68C8">
        <w:instrText xml:space="preserve"> \* MERGEFORMAT </w:instrText>
      </w:r>
      <w:r w:rsidR="00752B31" w:rsidRPr="000B68C8">
        <w:fldChar w:fldCharType="separate"/>
      </w:r>
      <w:r w:rsidR="00527272" w:rsidRPr="000B68C8">
        <w:t>4</w:t>
      </w:r>
      <w:r w:rsidR="00752B31" w:rsidRPr="000B68C8">
        <w:fldChar w:fldCharType="end"/>
      </w:r>
      <w:r w:rsidR="00EA2476" w:rsidRPr="000B68C8">
        <w:t xml:space="preserve"> is focused on the explanations o</w:t>
      </w:r>
      <w:r w:rsidR="0092600B" w:rsidRPr="000B68C8">
        <w:t>f</w:t>
      </w:r>
      <w:r w:rsidR="00EA2476" w:rsidRPr="000B68C8">
        <w:t xml:space="preserve"> how the questionnaire was created</w:t>
      </w:r>
      <w:r w:rsidR="009C6A19" w:rsidRPr="000B68C8">
        <w:t xml:space="preserve"> and</w:t>
      </w:r>
      <w:r w:rsidR="00225126" w:rsidRPr="000B68C8">
        <w:t xml:space="preserve"> </w:t>
      </w:r>
      <w:r w:rsidR="0092600B" w:rsidRPr="000B68C8">
        <w:t xml:space="preserve">the </w:t>
      </w:r>
      <w:r w:rsidR="00352C74" w:rsidRPr="000B68C8">
        <w:t>outcomes</w:t>
      </w:r>
      <w:r w:rsidR="009C6A19" w:rsidRPr="000B68C8">
        <w:t xml:space="preserve"> obtained</w:t>
      </w:r>
      <w:r w:rsidR="00225126" w:rsidRPr="000B68C8">
        <w:t xml:space="preserve">. Based on the </w:t>
      </w:r>
      <w:r w:rsidR="009C6A19" w:rsidRPr="000B68C8">
        <w:t>findings</w:t>
      </w:r>
      <w:r w:rsidR="00225126" w:rsidRPr="000B68C8">
        <w:t xml:space="preserve"> from Section </w:t>
      </w:r>
      <w:r w:rsidR="00752B31" w:rsidRPr="000B68C8">
        <w:fldChar w:fldCharType="begin"/>
      </w:r>
      <w:r w:rsidR="00752B31" w:rsidRPr="000B68C8">
        <w:instrText xml:space="preserve"> REF _Ref88849836 \r \h </w:instrText>
      </w:r>
      <w:r w:rsidR="000B68C8">
        <w:instrText xml:space="preserve"> \* MERGEFORMAT </w:instrText>
      </w:r>
      <w:r w:rsidR="00752B31" w:rsidRPr="000B68C8">
        <w:fldChar w:fldCharType="separate"/>
      </w:r>
      <w:r w:rsidR="00527272" w:rsidRPr="000B68C8">
        <w:t>3</w:t>
      </w:r>
      <w:r w:rsidR="00752B31" w:rsidRPr="000B68C8">
        <w:fldChar w:fldCharType="end"/>
      </w:r>
      <w:r w:rsidR="00225126" w:rsidRPr="000B68C8">
        <w:t xml:space="preserve"> and</w:t>
      </w:r>
      <w:r w:rsidR="00752B31" w:rsidRPr="000B68C8">
        <w:t xml:space="preserve"> </w:t>
      </w:r>
      <w:r w:rsidR="00752B31" w:rsidRPr="000B68C8">
        <w:fldChar w:fldCharType="begin"/>
      </w:r>
      <w:r w:rsidR="00752B31" w:rsidRPr="000B68C8">
        <w:instrText xml:space="preserve"> REF _Ref104887238 \r \h </w:instrText>
      </w:r>
      <w:r w:rsidR="000B68C8">
        <w:instrText xml:space="preserve"> \* MERGEFORMAT </w:instrText>
      </w:r>
      <w:r w:rsidR="00752B31" w:rsidRPr="000B68C8">
        <w:fldChar w:fldCharType="separate"/>
      </w:r>
      <w:r w:rsidR="00527272" w:rsidRPr="000B68C8">
        <w:t>4</w:t>
      </w:r>
      <w:r w:rsidR="00752B31" w:rsidRPr="000B68C8">
        <w:fldChar w:fldCharType="end"/>
      </w:r>
      <w:r w:rsidR="00225126" w:rsidRPr="000B68C8">
        <w:t xml:space="preserve">, Section </w:t>
      </w:r>
      <w:r w:rsidR="00752B31" w:rsidRPr="000B68C8">
        <w:fldChar w:fldCharType="begin"/>
      </w:r>
      <w:r w:rsidR="00752B31" w:rsidRPr="000B68C8">
        <w:instrText xml:space="preserve"> REF _Ref126944464 \r \h </w:instrText>
      </w:r>
      <w:r w:rsidR="000B68C8">
        <w:instrText xml:space="preserve"> \* MERGEFORMAT </w:instrText>
      </w:r>
      <w:r w:rsidR="00752B31" w:rsidRPr="000B68C8">
        <w:fldChar w:fldCharType="separate"/>
      </w:r>
      <w:r w:rsidR="00527272" w:rsidRPr="000B68C8">
        <w:t>5</w:t>
      </w:r>
      <w:r w:rsidR="00752B31" w:rsidRPr="000B68C8">
        <w:fldChar w:fldCharType="end"/>
      </w:r>
      <w:r w:rsidR="00225126" w:rsidRPr="000B68C8">
        <w:t xml:space="preserve"> proposes the </w:t>
      </w:r>
      <w:r w:rsidR="00352C74" w:rsidRPr="000B68C8">
        <w:t>terminology for the</w:t>
      </w:r>
      <w:r w:rsidR="009C6A19" w:rsidRPr="000B68C8">
        <w:t xml:space="preserve"> se</w:t>
      </w:r>
      <w:r w:rsidR="00C12FD2" w:rsidRPr="000B68C8">
        <w:t>lected</w:t>
      </w:r>
      <w:r w:rsidR="00352C74" w:rsidRPr="000B68C8">
        <w:t xml:space="preserve"> fire statistical variables based on the results of the questionnaire. Finally, Section </w:t>
      </w:r>
      <w:r w:rsidR="00752B31" w:rsidRPr="000B68C8">
        <w:fldChar w:fldCharType="begin"/>
      </w:r>
      <w:r w:rsidR="00752B31" w:rsidRPr="000B68C8">
        <w:instrText xml:space="preserve"> REF _Ref127887487 \r \h </w:instrText>
      </w:r>
      <w:r w:rsidR="000B68C8">
        <w:instrText xml:space="preserve"> \* MERGEFORMAT </w:instrText>
      </w:r>
      <w:r w:rsidR="00752B31" w:rsidRPr="000B68C8">
        <w:fldChar w:fldCharType="separate"/>
      </w:r>
      <w:r w:rsidR="00527272" w:rsidRPr="000B68C8">
        <w:t>6</w:t>
      </w:r>
      <w:r w:rsidR="00752B31" w:rsidRPr="000B68C8">
        <w:fldChar w:fldCharType="end"/>
      </w:r>
      <w:r w:rsidR="00352C74" w:rsidRPr="000B68C8">
        <w:t xml:space="preserve"> </w:t>
      </w:r>
      <w:r w:rsidR="004958BE" w:rsidRPr="000B68C8">
        <w:t xml:space="preserve">discusses the conclusions of the work highlighting suggestions and future areas of investigation. </w:t>
      </w:r>
    </w:p>
    <w:p w14:paraId="3ED77D89" w14:textId="01421E48" w:rsidR="00527272" w:rsidRPr="000B68C8" w:rsidRDefault="00851942" w:rsidP="00487AFF">
      <w:r w:rsidRPr="000B68C8">
        <w:t xml:space="preserve">The research presented was part of the EU FireStat project </w:t>
      </w:r>
      <w:r w:rsidR="00A74EA0" w:rsidRPr="000B68C8">
        <w:fldChar w:fldCharType="begin" w:fldLock="1"/>
      </w:r>
      <w:r w:rsidR="007359B2" w:rsidRPr="000B68C8">
        <w:instrText>ADDIN CSL_CITATION {"citationItems":[{"id":"ITEM-1","itemData":{"author":[{"dropping-particle":"","family":"European Commission Directorate-General for Internal Market Industry Entrepreneurship and SMEs EU Firestat project","given":"","non-dropping-particle":"","parse-names":false,"suffix":""}],"id":"ITEM-1","issued":{"date-parts":[["2022"]]},"publisher":"Publications Office of the European Union","title":"Closing data gaps and paving the way for pan-European fire safety efforts: final report","type":"book"},"uris":["http://www.mendeley.com/documents/?uuid=66d13429-b367-447e-ad99-e8161cdd25fe"]}],"mendeley":{"formattedCitation":"[21]","plainTextFormattedCitation":"[21]","previouslyFormattedCitation":"[21]"},"properties":{"noteIndex":0},"schema":"https://github.com/citation-style-language/schema/raw/master/csl-citation.json"}</w:instrText>
      </w:r>
      <w:r w:rsidR="00A74EA0" w:rsidRPr="000B68C8">
        <w:fldChar w:fldCharType="separate"/>
      </w:r>
      <w:r w:rsidR="00BC2D97" w:rsidRPr="000B68C8">
        <w:rPr>
          <w:noProof/>
        </w:rPr>
        <w:t>[21]</w:t>
      </w:r>
      <w:r w:rsidR="00A74EA0" w:rsidRPr="000B68C8">
        <w:fldChar w:fldCharType="end"/>
      </w:r>
      <w:r w:rsidR="00A74EA0" w:rsidRPr="000B68C8">
        <w:t xml:space="preserve"> </w:t>
      </w:r>
      <w:r w:rsidRPr="000B68C8">
        <w:t>and developed an extended investigation of fire statistical practice</w:t>
      </w:r>
      <w:r w:rsidR="00175179" w:rsidRPr="000B68C8">
        <w:t>s</w:t>
      </w:r>
      <w:r w:rsidRPr="000B68C8">
        <w:t xml:space="preserve"> in the EU Member States and other countries where further details are provided by the related EU FireStat reports </w:t>
      </w:r>
      <w:r w:rsidRPr="000B68C8">
        <w:fldChar w:fldCharType="begin" w:fldLock="1"/>
      </w:r>
      <w:r w:rsidR="007359B2" w:rsidRPr="000B68C8">
        <w:instrText>ADDIN CSL_CITATION {"citationItems":[{"id":"ITEM-1","itemData":{"author":[{"dropping-particle":"","family":"EU FireStat","given":"","non-dropping-particle":"","parse-names":false,"suffix":""}],"id":"ITEM-1","issued":{"date-parts":[["2021"]]},"title":"EU FireStat - Closing data gaps and paving the way for pan-European Fire Safety Efforts. Report Task 0 - Diagnostic","type":"report"},"uris":["http://www.mendeley.com/documents/?uuid=5e79237c-dd3a-44cf-b821-b1328ff5dd16"]},{"id":"ITEM-2","itemData":{"author":[{"dropping-particle":"","family":"EU FireStat","given":"","non-dropping-particle":"","parse-names":false,"suffix":""}],"id":"ITEM-2","issued":{"date-parts":[["2021"]]},"title":"EU FireStat - Closing data gaps and paving the way for pan-European Fire Safety Efforts. Report Task 1 - Terminology and data collection methodology","type":"report"},"uris":["http://www.mendeley.com/documents/?uuid=bb11fa42-0b56-48aa-87c9-3c2d28d79a94"]},{"id":"ITEM-3","itemData":{"author":[{"dropping-particle":"","family":"EU FireStat","given":"","non-dropping-particle":"","parse-names":false,"suffix":""}],"id":"ITEM-3","issued":{"date-parts":[["2021"]]},"title":"EU FireStat - Closing data gaps and paving the way for pan-European Fire Safety Efforts. Report Task 2 - Data needed for decision making","type":"report"},"uris":["http://www.mendeley.com/documents/?uuid=fb9f2687-b490-447c-a1e7-643e1290adfd"]},{"id":"ITEM-4","itemData":{"author":[{"dropping-particle":"","family":"EU FireStat","given":"","non-dropping-particle":"","parse-names":false,"suffix":""}],"id":"ITEM-4","issued":{"date-parts":[["2021"]]},"title":"EU FireStat - Closing data gaps and paving the way for pan-European Fire Safety Efforts. Report Task 4 - Terminology","type":"report"},"uris":["http://www.mendeley.com/documents/?uuid=470d87f7-f610-4885-a57b-f7cdc2d3cbad"]}],"mendeley":{"formattedCitation":"[22]–[25]","plainTextFormattedCitation":"[22]–[25]","previouslyFormattedCitation":"[22]–[25]"},"properties":{"noteIndex":0},"schema":"https://github.com/citation-style-language/schema/raw/master/csl-citation.json"}</w:instrText>
      </w:r>
      <w:r w:rsidRPr="000B68C8">
        <w:fldChar w:fldCharType="separate"/>
      </w:r>
      <w:r w:rsidR="00BC2D97" w:rsidRPr="000B68C8">
        <w:rPr>
          <w:noProof/>
        </w:rPr>
        <w:t>[22]–[25]</w:t>
      </w:r>
      <w:r w:rsidRPr="000B68C8">
        <w:fldChar w:fldCharType="end"/>
      </w:r>
      <w:r w:rsidRPr="000B68C8">
        <w:t>. The analyses introduced in this paper need to be contextualized in a broader research context and considered in combination with the outputs generated by Paper I</w:t>
      </w:r>
      <w:r w:rsidR="00D4340E" w:rsidRPr="000B68C8">
        <w:t xml:space="preserve"> </w:t>
      </w:r>
      <w:r w:rsidR="00D4340E" w:rsidRPr="000B68C8">
        <w:fldChar w:fldCharType="begin" w:fldLock="1"/>
      </w:r>
      <w:r w:rsidR="00A208EF" w:rsidRPr="000B68C8">
        <w:instrText>ADDIN CSL_CITATION {"citationItems":[{"id":"ITEM-1","itemData":{"author":[{"dropping-particle":"","family":"Manes","given":"Martina","non-dropping-particle":"","parse-names":false,"suffix":""},{"dropping-particle":"","family":"Houssami","given":"Mohamad","non-dropping-particle":"El","parse-names":false,"suffix":""},{"dropping-particle":"","family":"Campbell","given":"Richard","non-dropping-particle":"","parse-names":false,"suffix":""},{"dropping-particle":"","family":"Sauca","given":"Ana","non-dropping-particle":"","parse-names":false,"suffix":""},{"dropping-particle":"","family":"Rush","given":"David","non-dropping-particle":"","parse-names":false,"suffix":""},{"dropping-particle":"","family":"Hofmann","given":"Anja","non-dropping-particle":"","parse-names":false,"suffix":""},{"dropping-particle":"","family":"Andersson","given":"Petra","non-dropping-particle":"","parse-names":false,"suffix":""},{"dropping-particle":"","family":"Wagner","given":"Peter","non-dropping-particle":"","parse-names":false,"suffix":""},{"dropping-particle":"","family":"Sokolov","given":"Sergei","non-dropping-particle":"","parse-names":false,"suffix":""},{"dropping-particle":"","family":"Veeneklaas","given":"Johanna","non-dropping-particle":"","parse-names":false,"suffix":""},{"dropping-particle":"","family":"Kobes","given":"Margrethe","non-dropping-particle":"","parse-names":false,"suffix":""},{"dropping-particle":"","family":"Oberhagemann","given":"Dirk","non-dropping-particle":"","parse-names":false,"suffix":""},{"dropping-particle":"","family":"Rupp","given":"Nicola","non-dropping-particle":"","parse-names":false,"suffix":""},{"dropping-particle":"","family":"Jomaas","given":"Grunde","non-dropping-particle":"","parse-names":false,"suffix":""},{"dropping-particle":"","family":"Grone","given":"Friedrich","non-dropping-particle":"","parse-names":false,"suffix":""},{"dropping-particle":"","family":"Hees","given":"Patrick","non-dropping-particle":"van","parse-names":false,"suffix":""},{"dropping-particle":"","family":"Guillaume","given":"Eric","non-dropping-particle":"","parse-names":false,"suffix":""}],"container-title":"Fire Technology Journal (under review)","id":"ITEM-1","issued":{"date-parts":[["2022"]]},"title":"Closing data gaps and paving the way for pan-European Fire Safety Efforts. Part I - overview of current practices for fire statistics","type":"article-journal"},"uris":["http://www.mendeley.com/documents/?uuid=50c9fd75-2b5f-4c7c-ac6c-72d6e25028ad"]}],"mendeley":{"formattedCitation":"[5]","plainTextFormattedCitation":"[5]","previouslyFormattedCitation":"[5]"},"properties":{"noteIndex":0},"schema":"https://github.com/citation-style-language/schema/raw/master/csl-citation.json"}</w:instrText>
      </w:r>
      <w:r w:rsidR="00D4340E" w:rsidRPr="000B68C8">
        <w:fldChar w:fldCharType="separate"/>
      </w:r>
      <w:r w:rsidR="00D4340E" w:rsidRPr="000B68C8">
        <w:rPr>
          <w:noProof/>
        </w:rPr>
        <w:t>[5]</w:t>
      </w:r>
      <w:r w:rsidR="00D4340E" w:rsidRPr="000B68C8">
        <w:fldChar w:fldCharType="end"/>
      </w:r>
      <w:r w:rsidRPr="000B68C8">
        <w:t xml:space="preserve">.  </w:t>
      </w:r>
    </w:p>
    <w:p w14:paraId="6DBAE3E9" w14:textId="73649E4A" w:rsidR="00380FC5" w:rsidRPr="000B68C8" w:rsidRDefault="000A2E46" w:rsidP="002A70D3">
      <w:pPr>
        <w:pStyle w:val="Heading1"/>
      </w:pPr>
      <w:bookmarkStart w:id="11" w:name="_Ref127887418"/>
      <w:r w:rsidRPr="000B68C8">
        <w:t>Methodology</w:t>
      </w:r>
      <w:bookmarkEnd w:id="11"/>
    </w:p>
    <w:p w14:paraId="7DB5CD4D" w14:textId="73E33420" w:rsidR="00AD7C62" w:rsidRPr="000B68C8" w:rsidRDefault="00AD7C62" w:rsidP="00AD7C62">
      <w:r w:rsidRPr="000B68C8">
        <w:t xml:space="preserve">The methodology adopted to achieve the aim of the research is mainly composed </w:t>
      </w:r>
      <w:r w:rsidR="00DF5B35" w:rsidRPr="000B68C8">
        <w:t xml:space="preserve">of </w:t>
      </w:r>
      <w:r w:rsidRPr="000B68C8">
        <w:t>three steps. The analysis has been first focused on a detailed investigation of the existing definitions and classifications of the fire statistical variables in the 27 EU Member States and eight other countries to increase awareness o</w:t>
      </w:r>
      <w:r w:rsidR="00684BDB" w:rsidRPr="000B68C8">
        <w:t>f</w:t>
      </w:r>
      <w:r w:rsidRPr="000B68C8">
        <w:t xml:space="preserve"> current terminologies and covered fire incident fields (Section</w:t>
      </w:r>
      <w:r w:rsidR="00C16751" w:rsidRPr="000B68C8">
        <w:t xml:space="preserve"> </w:t>
      </w:r>
      <w:r w:rsidR="00C16751" w:rsidRPr="000B68C8">
        <w:fldChar w:fldCharType="begin"/>
      </w:r>
      <w:r w:rsidR="00C16751" w:rsidRPr="000B68C8">
        <w:instrText xml:space="preserve"> REF _Ref127092018 \r \h </w:instrText>
      </w:r>
      <w:r w:rsidR="000B68C8">
        <w:instrText xml:space="preserve"> \* MERGEFORMAT </w:instrText>
      </w:r>
      <w:r w:rsidR="00C16751" w:rsidRPr="000B68C8">
        <w:fldChar w:fldCharType="separate"/>
      </w:r>
      <w:r w:rsidR="00C16751" w:rsidRPr="000B68C8">
        <w:t>2.1</w:t>
      </w:r>
      <w:r w:rsidR="00C16751" w:rsidRPr="000B68C8">
        <w:fldChar w:fldCharType="end"/>
      </w:r>
      <w:r w:rsidRPr="000B68C8">
        <w:t xml:space="preserve">). </w:t>
      </w:r>
      <w:bookmarkStart w:id="12" w:name="_Hlk126932832"/>
      <w:r w:rsidRPr="000B68C8">
        <w:t xml:space="preserve">The variety of current practices in terms of recorded fire statistical fields and the diversity in the related definitions inevitably highlighted the necessity to define a list of essential fire statistical variables that should be recorded and uniquely defined. It is in this light that based on current practice in complex and structured fire statistics, the analyses were consequently focused on the creation of a survey with the aim to define a list of essential fire statistical variables chosen by relevant authorities and consortium members and compared with the existing fire statistics of the 27 EU Member States (Section </w:t>
      </w:r>
      <w:r w:rsidRPr="000B68C8">
        <w:fldChar w:fldCharType="begin"/>
      </w:r>
      <w:r w:rsidRPr="000B68C8">
        <w:instrText xml:space="preserve"> REF _Ref96438552 \r \h  \* MERGEFORMAT </w:instrText>
      </w:r>
      <w:r w:rsidRPr="000B68C8">
        <w:fldChar w:fldCharType="separate"/>
      </w:r>
      <w:r w:rsidR="00527272" w:rsidRPr="000B68C8">
        <w:t>2.2</w:t>
      </w:r>
      <w:r w:rsidRPr="000B68C8">
        <w:fldChar w:fldCharType="end"/>
      </w:r>
      <w:r w:rsidRPr="000B68C8">
        <w:t xml:space="preserve">). </w:t>
      </w:r>
      <w:bookmarkEnd w:id="12"/>
      <w:r w:rsidRPr="000B68C8">
        <w:t>Finally, once the variables have been selected and subdivided according to three different tiers, definitions for each of them were provided based on the detailed overview of the existing definitions developed in the first phase of the analysis and optimized in terms of accuracy and clarity (Section</w:t>
      </w:r>
      <w:r w:rsidR="00C16751" w:rsidRPr="000B68C8">
        <w:t xml:space="preserve"> </w:t>
      </w:r>
      <w:r w:rsidR="00C16751" w:rsidRPr="000B68C8">
        <w:fldChar w:fldCharType="begin"/>
      </w:r>
      <w:r w:rsidR="00C16751" w:rsidRPr="000B68C8">
        <w:instrText xml:space="preserve"> REF _Ref128206776 \r \h </w:instrText>
      </w:r>
      <w:r w:rsidR="000B68C8">
        <w:instrText xml:space="preserve"> \* MERGEFORMAT </w:instrText>
      </w:r>
      <w:r w:rsidR="00C16751" w:rsidRPr="000B68C8">
        <w:fldChar w:fldCharType="separate"/>
      </w:r>
      <w:r w:rsidR="00C16751" w:rsidRPr="000B68C8">
        <w:t>2.3</w:t>
      </w:r>
      <w:r w:rsidR="00C16751" w:rsidRPr="000B68C8">
        <w:fldChar w:fldCharType="end"/>
      </w:r>
      <w:r w:rsidRPr="000B68C8">
        <w:t>).</w:t>
      </w:r>
    </w:p>
    <w:p w14:paraId="69112BEE" w14:textId="5B4E9C14" w:rsidR="007E3179" w:rsidRPr="000B68C8" w:rsidRDefault="007E4E65" w:rsidP="00342407">
      <w:pPr>
        <w:pStyle w:val="Heading2"/>
      </w:pPr>
      <w:bookmarkStart w:id="13" w:name="_Ref127092018"/>
      <w:r w:rsidRPr="000B68C8">
        <w:t xml:space="preserve">The existing </w:t>
      </w:r>
      <w:r w:rsidR="00DD0E44" w:rsidRPr="000B68C8">
        <w:t>definitions</w:t>
      </w:r>
      <w:r w:rsidR="007E1D3C" w:rsidRPr="000B68C8">
        <w:t xml:space="preserve"> and classification of the fire statistical variables</w:t>
      </w:r>
      <w:bookmarkEnd w:id="13"/>
    </w:p>
    <w:p w14:paraId="2468D30A" w14:textId="7E506684" w:rsidR="00746AA6" w:rsidRPr="000B68C8" w:rsidRDefault="00337A7D" w:rsidP="00313EF3">
      <w:r w:rsidRPr="000B68C8">
        <w:t>The</w:t>
      </w:r>
      <w:r w:rsidR="00313EF3" w:rsidRPr="000B68C8">
        <w:t xml:space="preserve"> analyses focused on the investigation of the existing fire statistics in 27 EU Member States and eight other countries (Australia, Canada, New Zealand, Norway, Russia, Switzerland, UK</w:t>
      </w:r>
      <w:r w:rsidR="00761D35" w:rsidRPr="000B68C8">
        <w:t>,</w:t>
      </w:r>
      <w:r w:rsidR="00313EF3" w:rsidRPr="000B68C8">
        <w:t xml:space="preserve"> and </w:t>
      </w:r>
      <w:r w:rsidR="0093024E" w:rsidRPr="000B68C8">
        <w:t xml:space="preserve">the </w:t>
      </w:r>
      <w:r w:rsidR="00313EF3" w:rsidRPr="000B68C8">
        <w:t>USA)</w:t>
      </w:r>
      <w:r w:rsidR="00761D35" w:rsidRPr="000B68C8">
        <w:t xml:space="preserve"> by</w:t>
      </w:r>
      <w:r w:rsidR="00313EF3" w:rsidRPr="000B68C8">
        <w:t xml:space="preserve"> establishing </w:t>
      </w:r>
      <w:r w:rsidR="00BA1194" w:rsidRPr="000B68C8">
        <w:t>key</w:t>
      </w:r>
      <w:r w:rsidR="007E1D3C" w:rsidRPr="000B68C8">
        <w:t xml:space="preserve"> aspects of fire </w:t>
      </w:r>
      <w:r w:rsidR="00BA1194" w:rsidRPr="000B68C8">
        <w:t>incidents related to</w:t>
      </w:r>
      <w:r w:rsidR="007E1D3C" w:rsidRPr="000B68C8">
        <w:t xml:space="preserve"> </w:t>
      </w:r>
      <w:r w:rsidR="001C22EC" w:rsidRPr="000B68C8">
        <w:t>pre-and</w:t>
      </w:r>
      <w:r w:rsidR="007E1D3C" w:rsidRPr="000B68C8">
        <w:t xml:space="preserve"> post-fire conditions in buildings</w:t>
      </w:r>
      <w:r w:rsidR="00746AA6" w:rsidRPr="000B68C8">
        <w:t xml:space="preserve"> as well </w:t>
      </w:r>
      <w:r w:rsidR="00913DC6" w:rsidRPr="000B68C8">
        <w:t xml:space="preserve">the </w:t>
      </w:r>
      <w:r w:rsidR="00746AA6" w:rsidRPr="000B68C8">
        <w:t>effectiveness of fire safety measures and life safety</w:t>
      </w:r>
      <w:r w:rsidR="00267604" w:rsidRPr="000B68C8">
        <w:t>.</w:t>
      </w:r>
      <w:r w:rsidR="007E1D3C" w:rsidRPr="000B68C8">
        <w:t xml:space="preserve"> </w:t>
      </w:r>
    </w:p>
    <w:p w14:paraId="5E472B60" w14:textId="6E53942D" w:rsidR="00337A7D" w:rsidRPr="000B68C8" w:rsidRDefault="00746AA6" w:rsidP="00445536">
      <w:r w:rsidRPr="000B68C8">
        <w:t xml:space="preserve">The existing fire statistical variables were identified </w:t>
      </w:r>
      <w:r w:rsidR="00761D35" w:rsidRPr="000B68C8">
        <w:t xml:space="preserve">through </w:t>
      </w:r>
      <w:r w:rsidRPr="000B68C8">
        <w:t>subdivi</w:t>
      </w:r>
      <w:r w:rsidR="00761D35" w:rsidRPr="000B68C8">
        <w:t>sion</w:t>
      </w:r>
      <w:r w:rsidRPr="000B68C8">
        <w:t xml:space="preserve"> </w:t>
      </w:r>
      <w:r w:rsidR="00761D35" w:rsidRPr="000B68C8">
        <w:t>in</w:t>
      </w:r>
      <w:r w:rsidRPr="000B68C8">
        <w:t xml:space="preserve">to ten </w:t>
      </w:r>
      <w:r w:rsidR="00337A7D" w:rsidRPr="000B68C8">
        <w:t xml:space="preserve">main categories of interest </w:t>
      </w:r>
      <w:r w:rsidRPr="000B68C8">
        <w:t>defined as</w:t>
      </w:r>
      <w:r w:rsidR="00337A7D" w:rsidRPr="000B68C8">
        <w:t xml:space="preserve"> fire incident, building description, fire causes, fire consequences, fatalities, casualties, fire safety measures, fire response, fire costs, and fire prevention (</w:t>
      </w:r>
      <w:r w:rsidR="00337A7D" w:rsidRPr="000B68C8">
        <w:fldChar w:fldCharType="begin"/>
      </w:r>
      <w:r w:rsidR="00337A7D" w:rsidRPr="000B68C8">
        <w:instrText xml:space="preserve"> REF _Ref83724733 \h </w:instrText>
      </w:r>
      <w:r w:rsidR="000B68C8">
        <w:instrText xml:space="preserve"> \* MERGEFORMAT </w:instrText>
      </w:r>
      <w:r w:rsidR="00337A7D" w:rsidRPr="000B68C8">
        <w:fldChar w:fldCharType="separate"/>
      </w:r>
      <w:r w:rsidR="00527272" w:rsidRPr="000B68C8">
        <w:t xml:space="preserve">Table </w:t>
      </w:r>
      <w:r w:rsidR="00527272" w:rsidRPr="000B68C8">
        <w:rPr>
          <w:noProof/>
        </w:rPr>
        <w:t>1</w:t>
      </w:r>
      <w:r w:rsidR="00337A7D" w:rsidRPr="000B68C8">
        <w:fldChar w:fldCharType="end"/>
      </w:r>
      <w:r w:rsidR="00337A7D" w:rsidRPr="000B68C8">
        <w:t xml:space="preserve">) where each category of interest has several variables. </w:t>
      </w:r>
      <w:r w:rsidR="00445536" w:rsidRPr="000B68C8">
        <w:t>Direct contacts with the relevant authorities responsible for the fire statistics in the examined countries were ensured and a</w:t>
      </w:r>
      <w:r w:rsidR="00337A7D" w:rsidRPr="000B68C8">
        <w:t xml:space="preserve"> summary table </w:t>
      </w:r>
      <w:r w:rsidR="00913DC6" w:rsidRPr="000B68C8">
        <w:t xml:space="preserve">was </w:t>
      </w:r>
      <w:r w:rsidR="00337A7D" w:rsidRPr="000B68C8">
        <w:t xml:space="preserve">created as a guide to follow where each country could fill in their current practice and recorded variables. In this paper, only the information gathered for the definitions adopted in the fire statistics will be discussed while the information on the authorities responsible for the collection, methodology and data elaborations are covered by </w:t>
      </w:r>
      <w:r w:rsidR="001C22EC" w:rsidRPr="000B68C8">
        <w:t xml:space="preserve">the reports published by the EU FireStat </w:t>
      </w:r>
      <w:r w:rsidR="001C22EC" w:rsidRPr="000B68C8">
        <w:fldChar w:fldCharType="begin" w:fldLock="1"/>
      </w:r>
      <w:r w:rsidR="007359B2" w:rsidRPr="000B68C8">
        <w:instrText>ADDIN CSL_CITATION {"citationItems":[{"id":"ITEM-1","itemData":{"author":[{"dropping-particle":"","family":"EU FireStat","given":"","non-dropping-particle":"","parse-names":false,"suffix":""}],"id":"ITEM-1","issued":{"date-parts":[["2021"]]},"title":"EU FireStat - Closing data gaps and paving the way for pan-European Fire Safety Efforts. Report Task 0 - Diagnostic","type":"report"},"uris":["http://www.mendeley.com/documents/?uuid=5e79237c-dd3a-44cf-b821-b1328ff5dd16"]},{"id":"ITEM-2","itemData":{"author":[{"dropping-particle":"","family":"EU FireStat","given":"","non-dropping-particle":"","parse-names":false,"suffix":""}],"id":"ITEM-2","issued":{"date-parts":[["2021"]]},"title":"EU FireStat - Closing data gaps and paving the way for pan-European Fire Safety Efforts. Report Task 1 - Terminology and data collection methodology","type":"report"},"uris":["http://www.mendeley.com/documents/?uuid=bb11fa42-0b56-48aa-87c9-3c2d28d79a94"]}],"mendeley":{"formattedCitation":"[22], [23]","plainTextFormattedCitation":"[22], [23]","previouslyFormattedCitation":"[22], [23]"},"properties":{"noteIndex":0},"schema":"https://github.com/citation-style-language/schema/raw/master/csl-citation.json"}</w:instrText>
      </w:r>
      <w:r w:rsidR="001C22EC" w:rsidRPr="000B68C8">
        <w:fldChar w:fldCharType="separate"/>
      </w:r>
      <w:r w:rsidR="00BC2D97" w:rsidRPr="000B68C8">
        <w:rPr>
          <w:noProof/>
        </w:rPr>
        <w:t>[22], [23]</w:t>
      </w:r>
      <w:r w:rsidR="001C22EC" w:rsidRPr="000B68C8">
        <w:fldChar w:fldCharType="end"/>
      </w:r>
      <w:r w:rsidR="004C4518" w:rsidRPr="000B68C8">
        <w:t xml:space="preserve"> and </w:t>
      </w:r>
      <w:r w:rsidR="00445536" w:rsidRPr="000B68C8">
        <w:t xml:space="preserve">in the research by Manes et al. </w:t>
      </w:r>
      <w:r w:rsidR="00445536" w:rsidRPr="000B68C8">
        <w:fldChar w:fldCharType="begin" w:fldLock="1"/>
      </w:r>
      <w:r w:rsidR="00A208EF" w:rsidRPr="000B68C8">
        <w:instrText>ADDIN CSL_CITATION {"citationItems":[{"id":"ITEM-1","itemData":{"author":[{"dropping-particle":"","family":"Manes","given":"Martina","non-dropping-particle":"","parse-names":false,"suffix":""},{"dropping-particle":"","family":"Houssami","given":"Mohamad","non-dropping-particle":"El","parse-names":false,"suffix":""},{"dropping-particle":"","family":"Campbell","given":"Richard","non-dropping-particle":"","parse-names":false,"suffix":""},{"dropping-particle":"","family":"Sauca","given":"Ana","non-dropping-particle":"","parse-names":false,"suffix":""},{"dropping-particle":"","family":"Rush","given":"David","non-dropping-particle":"","parse-names":false,"suffix":""},{"dropping-particle":"","family":"Hofmann","given":"Anja","non-dropping-particle":"","parse-names":false,"suffix":""},{"dropping-particle":"","family":"Andersson","given":"Petra","non-dropping-particle":"","parse-names":false,"suffix":""},{"dropping-particle":"","family":"Wagner","given":"Peter","non-dropping-particle":"","parse-names":false,"suffix":""},{"dropping-particle":"","family":"Sokolov","given":"Sergei","non-dropping-particle":"","parse-names":false,"suffix":""},{"dropping-particle":"","family":"Veeneklaas","given":"Johanna","non-dropping-particle":"","parse-names":false,"suffix":""},{"dropping-particle":"","family":"Kobes","given":"Margrethe","non-dropping-particle":"","parse-names":false,"suffix":""},{"dropping-particle":"","family":"Oberhagemann","given":"Dirk","non-dropping-particle":"","parse-names":false,"suffix":""},{"dropping-particle":"","family":"Rupp","given":"Nicola","non-dropping-particle":"","parse-names":false,"suffix":""},{"dropping-particle":"","family":"Jomaas","given":"Grunde","non-dropping-particle":"","parse-names":false,"suffix":""},{"dropping-particle":"","family":"Grone","given":"Friedrich","non-dropping-particle":"","parse-names":false,"suffix":""},{"dropping-particle":"","family":"Hees","given":"Patrick","non-dropping-particle":"van","parse-names":false,"suffix":""},{"dropping-particle":"","family":"Guillaume","given":"Eric","non-dropping-particle":"","parse-names":false,"suffix":""}],"container-title":"Fire Technology Journal (under review)","id":"ITEM-1","issued":{"date-parts":[["2022"]]},"title":"Closing data gaps and paving the way for pan-European Fire Safety Efforts. Part I - overview of current practices for fire statistics","type":"article-journal"},"uris":["http://www.mendeley.com/documents/?uuid=50c9fd75-2b5f-4c7c-ac6c-72d6e25028ad"]}],"mendeley":{"formattedCitation":"[5]","plainTextFormattedCitation":"[5]","previouslyFormattedCitation":"[5]"},"properties":{"noteIndex":0},"schema":"https://github.com/citation-style-language/schema/raw/master/csl-citation.json"}</w:instrText>
      </w:r>
      <w:r w:rsidR="00445536" w:rsidRPr="000B68C8">
        <w:fldChar w:fldCharType="separate"/>
      </w:r>
      <w:r w:rsidR="0015298B" w:rsidRPr="000B68C8">
        <w:rPr>
          <w:noProof/>
        </w:rPr>
        <w:t>[5]</w:t>
      </w:r>
      <w:r w:rsidR="00445536" w:rsidRPr="000B68C8">
        <w:fldChar w:fldCharType="end"/>
      </w:r>
      <w:r w:rsidR="00761D35" w:rsidRPr="000B68C8">
        <w:t>,</w:t>
      </w:r>
      <w:r w:rsidR="00C068AF" w:rsidRPr="000B68C8">
        <w:t xml:space="preserve"> </w:t>
      </w:r>
      <w:r w:rsidR="00761D35" w:rsidRPr="000B68C8">
        <w:t xml:space="preserve">which </w:t>
      </w:r>
      <w:r w:rsidR="00C068AF" w:rsidRPr="000B68C8">
        <w:t>also include a comprehensive literature review of the studies focused on European and international fire statistics</w:t>
      </w:r>
      <w:r w:rsidR="004C4518" w:rsidRPr="000B68C8">
        <w:t>.</w:t>
      </w:r>
    </w:p>
    <w:p w14:paraId="6FD07E59" w14:textId="5D53990C" w:rsidR="00F450DD" w:rsidRPr="000B68C8" w:rsidRDefault="00F450DD" w:rsidP="00F450DD">
      <w:pPr>
        <w:pStyle w:val="Caption"/>
      </w:pPr>
      <w:bookmarkStart w:id="14" w:name="_Ref83724733"/>
      <w:bookmarkStart w:id="15" w:name="_Ref87435844"/>
      <w:r w:rsidRPr="000B68C8">
        <w:t xml:space="preserve">Table </w:t>
      </w:r>
      <w:fldSimple w:instr=" SEQ Table \* ARABIC ">
        <w:r w:rsidR="00527272" w:rsidRPr="000B68C8">
          <w:rPr>
            <w:noProof/>
          </w:rPr>
          <w:t>1</w:t>
        </w:r>
      </w:fldSimple>
      <w:bookmarkEnd w:id="14"/>
      <w:r w:rsidRPr="000B68C8">
        <w:t>: Fields covered in the 1</w:t>
      </w:r>
      <w:r w:rsidR="007B2E22" w:rsidRPr="000B68C8">
        <w:t>0</w:t>
      </w:r>
      <w:r w:rsidRPr="000B68C8">
        <w:t xml:space="preserve"> </w:t>
      </w:r>
      <w:r w:rsidR="00B90789" w:rsidRPr="000B68C8">
        <w:t>categor</w:t>
      </w:r>
      <w:r w:rsidR="00740587" w:rsidRPr="000B68C8">
        <w:t>ies</w:t>
      </w:r>
      <w:r w:rsidR="00B90789" w:rsidRPr="000B68C8">
        <w:t xml:space="preserve"> of interest</w:t>
      </w:r>
      <w:bookmarkEnd w:id="15"/>
    </w:p>
    <w:tbl>
      <w:tblPr>
        <w:tblW w:w="0" w:type="auto"/>
        <w:jc w:val="center"/>
        <w:tblBorders>
          <w:top w:val="single" w:sz="4" w:space="0" w:color="auto"/>
          <w:bottom w:val="single" w:sz="4" w:space="0" w:color="auto"/>
        </w:tblBorders>
        <w:tblLook w:val="04A0" w:firstRow="1" w:lastRow="0" w:firstColumn="1" w:lastColumn="0" w:noHBand="0" w:noVBand="1"/>
      </w:tblPr>
      <w:tblGrid>
        <w:gridCol w:w="1985"/>
        <w:gridCol w:w="2268"/>
        <w:gridCol w:w="1984"/>
        <w:gridCol w:w="2789"/>
      </w:tblGrid>
      <w:tr w:rsidR="005D6922" w:rsidRPr="000B68C8" w14:paraId="4E855224" w14:textId="7AFFB334" w:rsidTr="006362F9">
        <w:trPr>
          <w:trHeight w:val="20"/>
          <w:jc w:val="center"/>
        </w:trPr>
        <w:tc>
          <w:tcPr>
            <w:tcW w:w="1985" w:type="dxa"/>
            <w:tcBorders>
              <w:top w:val="single" w:sz="4" w:space="0" w:color="auto"/>
              <w:bottom w:val="single" w:sz="4" w:space="0" w:color="auto"/>
              <w:right w:val="single" w:sz="4" w:space="0" w:color="auto"/>
            </w:tcBorders>
            <w:shd w:val="clear" w:color="auto" w:fill="auto"/>
            <w:vAlign w:val="center"/>
          </w:tcPr>
          <w:p w14:paraId="2D15A437" w14:textId="78833D7A" w:rsidR="00CE4E96" w:rsidRPr="000B68C8" w:rsidRDefault="00CE4E96" w:rsidP="00597FA1">
            <w:pPr>
              <w:pStyle w:val="NoSpacing"/>
              <w:jc w:val="center"/>
              <w:rPr>
                <w:rFonts w:cs="Times New Roman"/>
                <w:b/>
                <w:bCs/>
                <w:sz w:val="18"/>
                <w:szCs w:val="18"/>
                <w:lang w:eastAsia="en-GB"/>
              </w:rPr>
            </w:pPr>
            <w:r w:rsidRPr="000B68C8">
              <w:rPr>
                <w:rFonts w:cs="Times New Roman"/>
                <w:b/>
                <w:bCs/>
                <w:sz w:val="18"/>
                <w:szCs w:val="18"/>
                <w:lang w:eastAsia="en-GB"/>
              </w:rPr>
              <w:t>Category of interest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49A680" w14:textId="5DDA6D8D" w:rsidR="00CE4E96" w:rsidRPr="000B68C8" w:rsidRDefault="00CE4E96" w:rsidP="00FD11E9">
            <w:pPr>
              <w:pStyle w:val="NoSpacing"/>
              <w:jc w:val="center"/>
              <w:rPr>
                <w:rFonts w:cs="Times New Roman"/>
                <w:b/>
                <w:bCs/>
                <w:sz w:val="18"/>
                <w:szCs w:val="18"/>
                <w:lang w:eastAsia="en-GB"/>
              </w:rPr>
            </w:pPr>
            <w:r w:rsidRPr="000B68C8">
              <w:rPr>
                <w:rFonts w:cs="Times New Roman"/>
                <w:b/>
                <w:bCs/>
                <w:sz w:val="18"/>
                <w:szCs w:val="18"/>
                <w:lang w:eastAsia="en-GB"/>
              </w:rPr>
              <w:t>Variables</w:t>
            </w:r>
          </w:p>
        </w:tc>
        <w:tc>
          <w:tcPr>
            <w:tcW w:w="1984" w:type="dxa"/>
            <w:tcBorders>
              <w:top w:val="single" w:sz="4" w:space="0" w:color="auto"/>
              <w:left w:val="single" w:sz="4" w:space="0" w:color="auto"/>
              <w:bottom w:val="single" w:sz="4" w:space="0" w:color="auto"/>
              <w:right w:val="single" w:sz="4" w:space="0" w:color="auto"/>
            </w:tcBorders>
            <w:vAlign w:val="center"/>
          </w:tcPr>
          <w:p w14:paraId="25D33E51" w14:textId="70BA017D" w:rsidR="00CE4E96" w:rsidRPr="000B68C8" w:rsidDel="004449D9" w:rsidRDefault="005D6922" w:rsidP="00310EC1">
            <w:pPr>
              <w:pStyle w:val="NoSpacing"/>
              <w:jc w:val="center"/>
              <w:rPr>
                <w:rFonts w:cs="Times New Roman"/>
                <w:b/>
                <w:bCs/>
                <w:sz w:val="18"/>
                <w:szCs w:val="18"/>
                <w:lang w:eastAsia="en-GB"/>
              </w:rPr>
            </w:pPr>
            <w:r w:rsidRPr="000B68C8">
              <w:rPr>
                <w:rFonts w:cs="Times New Roman"/>
                <w:b/>
                <w:bCs/>
                <w:sz w:val="18"/>
                <w:szCs w:val="18"/>
                <w:lang w:eastAsia="en-GB"/>
              </w:rPr>
              <w:t>Category of interest</w:t>
            </w:r>
          </w:p>
        </w:tc>
        <w:tc>
          <w:tcPr>
            <w:tcW w:w="2789" w:type="dxa"/>
            <w:tcBorders>
              <w:top w:val="single" w:sz="4" w:space="0" w:color="auto"/>
              <w:left w:val="single" w:sz="4" w:space="0" w:color="auto"/>
              <w:bottom w:val="single" w:sz="4" w:space="0" w:color="auto"/>
            </w:tcBorders>
            <w:vAlign w:val="center"/>
          </w:tcPr>
          <w:p w14:paraId="3E8AC714" w14:textId="7D59461F" w:rsidR="00CE4E96" w:rsidRPr="000B68C8" w:rsidDel="004449D9" w:rsidRDefault="005D6922" w:rsidP="009B03CD">
            <w:pPr>
              <w:pStyle w:val="NoSpacing"/>
              <w:jc w:val="center"/>
              <w:rPr>
                <w:rFonts w:cs="Times New Roman"/>
                <w:b/>
                <w:bCs/>
                <w:sz w:val="18"/>
                <w:szCs w:val="18"/>
                <w:lang w:eastAsia="en-GB"/>
              </w:rPr>
            </w:pPr>
            <w:r w:rsidRPr="000B68C8">
              <w:rPr>
                <w:rFonts w:cs="Times New Roman"/>
                <w:b/>
                <w:bCs/>
                <w:sz w:val="18"/>
                <w:szCs w:val="18"/>
                <w:lang w:eastAsia="en-GB"/>
              </w:rPr>
              <w:t>Variables</w:t>
            </w:r>
          </w:p>
        </w:tc>
      </w:tr>
      <w:tr w:rsidR="005D6922" w:rsidRPr="000B68C8" w14:paraId="1BC69753" w14:textId="67FC0869" w:rsidTr="006362F9">
        <w:trPr>
          <w:trHeight w:val="20"/>
          <w:jc w:val="center"/>
        </w:trPr>
        <w:tc>
          <w:tcPr>
            <w:tcW w:w="1985" w:type="dxa"/>
            <w:vMerge w:val="restart"/>
            <w:tcBorders>
              <w:top w:val="single" w:sz="4" w:space="0" w:color="auto"/>
              <w:bottom w:val="nil"/>
              <w:right w:val="nil"/>
            </w:tcBorders>
            <w:shd w:val="clear" w:color="auto" w:fill="auto"/>
            <w:vAlign w:val="center"/>
            <w:hideMark/>
          </w:tcPr>
          <w:p w14:paraId="69289572" w14:textId="77777777"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FIRE INCIDENT</w:t>
            </w:r>
          </w:p>
        </w:tc>
        <w:tc>
          <w:tcPr>
            <w:tcW w:w="2268" w:type="dxa"/>
            <w:tcBorders>
              <w:top w:val="single" w:sz="4" w:space="0" w:color="auto"/>
              <w:left w:val="nil"/>
              <w:bottom w:val="nil"/>
              <w:right w:val="single" w:sz="4" w:space="0" w:color="auto"/>
            </w:tcBorders>
            <w:shd w:val="clear" w:color="auto" w:fill="auto"/>
            <w:vAlign w:val="center"/>
            <w:hideMark/>
          </w:tcPr>
          <w:p w14:paraId="54FA2768" w14:textId="77777777"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Accidental fire</w:t>
            </w:r>
          </w:p>
        </w:tc>
        <w:tc>
          <w:tcPr>
            <w:tcW w:w="1984" w:type="dxa"/>
            <w:vMerge w:val="restart"/>
            <w:tcBorders>
              <w:top w:val="single" w:sz="4" w:space="0" w:color="auto"/>
              <w:left w:val="single" w:sz="4" w:space="0" w:color="auto"/>
              <w:bottom w:val="single" w:sz="4" w:space="0" w:color="auto"/>
              <w:right w:val="nil"/>
            </w:tcBorders>
            <w:vAlign w:val="center"/>
          </w:tcPr>
          <w:p w14:paraId="0097D539" w14:textId="740DCF86"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CASUALTIES</w:t>
            </w:r>
          </w:p>
        </w:tc>
        <w:tc>
          <w:tcPr>
            <w:tcW w:w="2789" w:type="dxa"/>
            <w:tcBorders>
              <w:top w:val="single" w:sz="4" w:space="0" w:color="auto"/>
              <w:left w:val="nil"/>
              <w:bottom w:val="nil"/>
              <w:right w:val="nil"/>
            </w:tcBorders>
            <w:vAlign w:val="center"/>
          </w:tcPr>
          <w:p w14:paraId="4ADB90CA" w14:textId="7E5D3C70"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Injured people</w:t>
            </w:r>
          </w:p>
        </w:tc>
      </w:tr>
      <w:tr w:rsidR="005D6922" w:rsidRPr="000B68C8" w14:paraId="5DC9AFC8" w14:textId="296A346B" w:rsidTr="006362F9">
        <w:trPr>
          <w:trHeight w:val="20"/>
          <w:jc w:val="center"/>
        </w:trPr>
        <w:tc>
          <w:tcPr>
            <w:tcW w:w="1985" w:type="dxa"/>
            <w:vMerge/>
            <w:tcBorders>
              <w:top w:val="nil"/>
              <w:bottom w:val="nil"/>
              <w:right w:val="nil"/>
            </w:tcBorders>
            <w:vAlign w:val="center"/>
            <w:hideMark/>
          </w:tcPr>
          <w:p w14:paraId="2CA81D20" w14:textId="77777777" w:rsidR="00CE4E96" w:rsidRPr="000B68C8" w:rsidRDefault="00CE4E96"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48722386" w14:textId="77777777"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Deliberate fire</w:t>
            </w:r>
          </w:p>
        </w:tc>
        <w:tc>
          <w:tcPr>
            <w:tcW w:w="1984" w:type="dxa"/>
            <w:vMerge/>
            <w:tcBorders>
              <w:top w:val="nil"/>
              <w:left w:val="single" w:sz="4" w:space="0" w:color="auto"/>
              <w:bottom w:val="single" w:sz="4" w:space="0" w:color="auto"/>
              <w:right w:val="nil"/>
            </w:tcBorders>
            <w:vAlign w:val="center"/>
          </w:tcPr>
          <w:p w14:paraId="0E2B12D0" w14:textId="77777777" w:rsidR="00CE4E96" w:rsidRPr="000B68C8" w:rsidRDefault="00CE4E96" w:rsidP="00342407">
            <w:pPr>
              <w:pStyle w:val="NoSpacing"/>
              <w:jc w:val="center"/>
              <w:rPr>
                <w:rFonts w:cs="Times New Roman"/>
                <w:sz w:val="18"/>
                <w:szCs w:val="18"/>
                <w:lang w:eastAsia="en-GB"/>
              </w:rPr>
            </w:pPr>
          </w:p>
        </w:tc>
        <w:tc>
          <w:tcPr>
            <w:tcW w:w="2789" w:type="dxa"/>
            <w:tcBorders>
              <w:top w:val="nil"/>
              <w:left w:val="nil"/>
              <w:bottom w:val="single" w:sz="4" w:space="0" w:color="auto"/>
              <w:right w:val="nil"/>
            </w:tcBorders>
            <w:vAlign w:val="center"/>
          </w:tcPr>
          <w:p w14:paraId="6A69B70C" w14:textId="59E490FE" w:rsidR="00CE4E96" w:rsidRPr="000B68C8" w:rsidRDefault="00CE4E96" w:rsidP="00342407">
            <w:pPr>
              <w:pStyle w:val="NoSpacing"/>
              <w:jc w:val="center"/>
              <w:rPr>
                <w:rFonts w:cs="Times New Roman"/>
                <w:sz w:val="18"/>
                <w:szCs w:val="18"/>
                <w:lang w:eastAsia="en-GB"/>
              </w:rPr>
            </w:pPr>
            <w:r w:rsidRPr="000B68C8">
              <w:rPr>
                <w:rFonts w:cs="Times New Roman"/>
                <w:sz w:val="18"/>
                <w:szCs w:val="18"/>
                <w:lang w:eastAsia="en-GB"/>
              </w:rPr>
              <w:t>Type of injury</w:t>
            </w:r>
          </w:p>
        </w:tc>
      </w:tr>
      <w:tr w:rsidR="005D6922" w:rsidRPr="000B68C8" w14:paraId="20E34AFB" w14:textId="2C30D2C7" w:rsidTr="006362F9">
        <w:trPr>
          <w:trHeight w:val="20"/>
          <w:jc w:val="center"/>
        </w:trPr>
        <w:tc>
          <w:tcPr>
            <w:tcW w:w="1985" w:type="dxa"/>
            <w:vMerge/>
            <w:tcBorders>
              <w:top w:val="nil"/>
              <w:bottom w:val="single" w:sz="4" w:space="0" w:color="auto"/>
              <w:right w:val="nil"/>
            </w:tcBorders>
            <w:vAlign w:val="center"/>
            <w:hideMark/>
          </w:tcPr>
          <w:p w14:paraId="1D697F46"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73445E51"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False alarm</w:t>
            </w:r>
          </w:p>
        </w:tc>
        <w:tc>
          <w:tcPr>
            <w:tcW w:w="1984" w:type="dxa"/>
            <w:vMerge w:val="restart"/>
            <w:tcBorders>
              <w:top w:val="single" w:sz="4" w:space="0" w:color="auto"/>
              <w:left w:val="single" w:sz="4" w:space="0" w:color="auto"/>
              <w:bottom w:val="single" w:sz="4" w:space="0" w:color="auto"/>
              <w:right w:val="nil"/>
            </w:tcBorders>
            <w:vAlign w:val="center"/>
          </w:tcPr>
          <w:p w14:paraId="26000155" w14:textId="17FABA9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SAFETY MEASURES</w:t>
            </w:r>
          </w:p>
        </w:tc>
        <w:tc>
          <w:tcPr>
            <w:tcW w:w="2789" w:type="dxa"/>
            <w:tcBorders>
              <w:top w:val="single" w:sz="4" w:space="0" w:color="auto"/>
              <w:left w:val="nil"/>
              <w:bottom w:val="nil"/>
              <w:right w:val="nil"/>
            </w:tcBorders>
            <w:vAlign w:val="center"/>
          </w:tcPr>
          <w:p w14:paraId="6812EF29" w14:textId="29E8E705"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Alarm</w:t>
            </w:r>
          </w:p>
        </w:tc>
      </w:tr>
      <w:tr w:rsidR="005D6922" w:rsidRPr="000B68C8" w14:paraId="717A8148" w14:textId="72237767" w:rsidTr="006362F9">
        <w:trPr>
          <w:trHeight w:val="20"/>
          <w:jc w:val="center"/>
        </w:trPr>
        <w:tc>
          <w:tcPr>
            <w:tcW w:w="1985" w:type="dxa"/>
            <w:vMerge w:val="restart"/>
            <w:tcBorders>
              <w:top w:val="single" w:sz="4" w:space="0" w:color="auto"/>
              <w:bottom w:val="nil"/>
              <w:right w:val="nil"/>
            </w:tcBorders>
            <w:shd w:val="clear" w:color="auto" w:fill="auto"/>
            <w:vAlign w:val="center"/>
            <w:hideMark/>
          </w:tcPr>
          <w:p w14:paraId="4AC034E8"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BUILDING DESCRIPTION</w:t>
            </w:r>
          </w:p>
        </w:tc>
        <w:tc>
          <w:tcPr>
            <w:tcW w:w="2268" w:type="dxa"/>
            <w:tcBorders>
              <w:top w:val="single" w:sz="4" w:space="0" w:color="auto"/>
              <w:left w:val="nil"/>
              <w:bottom w:val="nil"/>
              <w:right w:val="single" w:sz="4" w:space="0" w:color="auto"/>
            </w:tcBorders>
            <w:shd w:val="clear" w:color="auto" w:fill="auto"/>
            <w:noWrap/>
            <w:vAlign w:val="center"/>
            <w:hideMark/>
          </w:tcPr>
          <w:p w14:paraId="4ABA8B30"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Building fire</w:t>
            </w:r>
          </w:p>
        </w:tc>
        <w:tc>
          <w:tcPr>
            <w:tcW w:w="1984" w:type="dxa"/>
            <w:vMerge/>
            <w:tcBorders>
              <w:top w:val="nil"/>
              <w:left w:val="single" w:sz="4" w:space="0" w:color="auto"/>
              <w:bottom w:val="single" w:sz="4" w:space="0" w:color="auto"/>
              <w:right w:val="nil"/>
            </w:tcBorders>
            <w:vAlign w:val="center"/>
          </w:tcPr>
          <w:p w14:paraId="3A0C9CEC"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55A8B123" w14:textId="66F38434"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Type of alarms</w:t>
            </w:r>
          </w:p>
        </w:tc>
      </w:tr>
      <w:tr w:rsidR="005D6922" w:rsidRPr="000B68C8" w14:paraId="0A5E8E66" w14:textId="584DDE20" w:rsidTr="006362F9">
        <w:trPr>
          <w:trHeight w:val="20"/>
          <w:jc w:val="center"/>
        </w:trPr>
        <w:tc>
          <w:tcPr>
            <w:tcW w:w="1985" w:type="dxa"/>
            <w:vMerge/>
            <w:tcBorders>
              <w:top w:val="nil"/>
              <w:bottom w:val="nil"/>
              <w:right w:val="nil"/>
            </w:tcBorders>
            <w:vAlign w:val="center"/>
            <w:hideMark/>
          </w:tcPr>
          <w:p w14:paraId="03BEA6FD"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noWrap/>
            <w:vAlign w:val="center"/>
            <w:hideMark/>
          </w:tcPr>
          <w:p w14:paraId="4418E6E4"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Residential buildings</w:t>
            </w:r>
          </w:p>
        </w:tc>
        <w:tc>
          <w:tcPr>
            <w:tcW w:w="1984" w:type="dxa"/>
            <w:vMerge/>
            <w:tcBorders>
              <w:top w:val="nil"/>
              <w:left w:val="single" w:sz="4" w:space="0" w:color="auto"/>
              <w:bottom w:val="single" w:sz="4" w:space="0" w:color="auto"/>
              <w:right w:val="nil"/>
            </w:tcBorders>
            <w:vAlign w:val="center"/>
          </w:tcPr>
          <w:p w14:paraId="4FD01F63"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3E4F6517" w14:textId="2723B37B"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Automatic extinguishing systems</w:t>
            </w:r>
          </w:p>
        </w:tc>
      </w:tr>
      <w:tr w:rsidR="005D6922" w:rsidRPr="000B68C8" w14:paraId="178ED563" w14:textId="2FB6D246" w:rsidTr="006362F9">
        <w:trPr>
          <w:trHeight w:val="20"/>
          <w:jc w:val="center"/>
        </w:trPr>
        <w:tc>
          <w:tcPr>
            <w:tcW w:w="1985" w:type="dxa"/>
            <w:vMerge/>
            <w:tcBorders>
              <w:top w:val="nil"/>
              <w:bottom w:val="single" w:sz="4" w:space="0" w:color="auto"/>
              <w:right w:val="nil"/>
            </w:tcBorders>
            <w:vAlign w:val="center"/>
            <w:hideMark/>
          </w:tcPr>
          <w:p w14:paraId="6889A32A"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0345605F"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Non-residential buildings</w:t>
            </w:r>
          </w:p>
        </w:tc>
        <w:tc>
          <w:tcPr>
            <w:tcW w:w="1984" w:type="dxa"/>
            <w:vMerge/>
            <w:tcBorders>
              <w:top w:val="nil"/>
              <w:left w:val="single" w:sz="4" w:space="0" w:color="auto"/>
              <w:bottom w:val="single" w:sz="4" w:space="0" w:color="auto"/>
              <w:right w:val="nil"/>
            </w:tcBorders>
            <w:vAlign w:val="center"/>
          </w:tcPr>
          <w:p w14:paraId="6042F1C5"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13AD840D" w14:textId="1FA94170"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Type of automatic extinguishing systems</w:t>
            </w:r>
          </w:p>
        </w:tc>
      </w:tr>
      <w:tr w:rsidR="005D6922" w:rsidRPr="000B68C8" w14:paraId="18E4FA71" w14:textId="002C1AE0" w:rsidTr="006362F9">
        <w:trPr>
          <w:trHeight w:val="20"/>
          <w:jc w:val="center"/>
        </w:trPr>
        <w:tc>
          <w:tcPr>
            <w:tcW w:w="1985" w:type="dxa"/>
            <w:vMerge w:val="restart"/>
            <w:tcBorders>
              <w:top w:val="single" w:sz="4" w:space="0" w:color="auto"/>
              <w:bottom w:val="nil"/>
              <w:right w:val="nil"/>
            </w:tcBorders>
            <w:shd w:val="clear" w:color="auto" w:fill="auto"/>
            <w:vAlign w:val="center"/>
            <w:hideMark/>
          </w:tcPr>
          <w:p w14:paraId="5D9CE545"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CAUSES</w:t>
            </w:r>
          </w:p>
        </w:tc>
        <w:tc>
          <w:tcPr>
            <w:tcW w:w="2268" w:type="dxa"/>
            <w:tcBorders>
              <w:top w:val="single" w:sz="4" w:space="0" w:color="auto"/>
              <w:left w:val="nil"/>
              <w:bottom w:val="nil"/>
              <w:right w:val="single" w:sz="4" w:space="0" w:color="auto"/>
            </w:tcBorders>
            <w:shd w:val="clear" w:color="auto" w:fill="auto"/>
            <w:noWrap/>
            <w:vAlign w:val="center"/>
            <w:hideMark/>
          </w:tcPr>
          <w:p w14:paraId="671482A6"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causes</w:t>
            </w:r>
          </w:p>
        </w:tc>
        <w:tc>
          <w:tcPr>
            <w:tcW w:w="1984" w:type="dxa"/>
            <w:vMerge/>
            <w:tcBorders>
              <w:top w:val="nil"/>
              <w:left w:val="single" w:sz="4" w:space="0" w:color="auto"/>
              <w:bottom w:val="single" w:sz="4" w:space="0" w:color="auto"/>
              <w:right w:val="nil"/>
            </w:tcBorders>
            <w:vAlign w:val="center"/>
          </w:tcPr>
          <w:p w14:paraId="24A18015"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370FB820" w14:textId="3B4031AA"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Compartmentation</w:t>
            </w:r>
          </w:p>
        </w:tc>
      </w:tr>
      <w:tr w:rsidR="005D6922" w:rsidRPr="000B68C8" w14:paraId="3CEC395B" w14:textId="583D58A0" w:rsidTr="006362F9">
        <w:trPr>
          <w:trHeight w:val="20"/>
          <w:jc w:val="center"/>
        </w:trPr>
        <w:tc>
          <w:tcPr>
            <w:tcW w:w="1985" w:type="dxa"/>
            <w:vMerge/>
            <w:tcBorders>
              <w:top w:val="nil"/>
              <w:bottom w:val="nil"/>
              <w:right w:val="nil"/>
            </w:tcBorders>
            <w:vAlign w:val="center"/>
            <w:hideMark/>
          </w:tcPr>
          <w:p w14:paraId="23687640"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noWrap/>
            <w:vAlign w:val="center"/>
            <w:hideMark/>
          </w:tcPr>
          <w:p w14:paraId="798D4DBD"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Source of ignition</w:t>
            </w:r>
          </w:p>
        </w:tc>
        <w:tc>
          <w:tcPr>
            <w:tcW w:w="1984" w:type="dxa"/>
            <w:vMerge/>
            <w:tcBorders>
              <w:top w:val="nil"/>
              <w:left w:val="single" w:sz="4" w:space="0" w:color="auto"/>
              <w:bottom w:val="single" w:sz="4" w:space="0" w:color="auto"/>
              <w:right w:val="nil"/>
            </w:tcBorders>
            <w:vAlign w:val="center"/>
          </w:tcPr>
          <w:p w14:paraId="61830039"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447DC4B2" w14:textId="28BE27A4"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barriers</w:t>
            </w:r>
          </w:p>
        </w:tc>
      </w:tr>
      <w:tr w:rsidR="005D6922" w:rsidRPr="000B68C8" w14:paraId="5694FCD5" w14:textId="64A5CBC1" w:rsidTr="006362F9">
        <w:trPr>
          <w:trHeight w:val="20"/>
          <w:jc w:val="center"/>
        </w:trPr>
        <w:tc>
          <w:tcPr>
            <w:tcW w:w="1985" w:type="dxa"/>
            <w:vMerge/>
            <w:tcBorders>
              <w:top w:val="nil"/>
              <w:bottom w:val="single" w:sz="4" w:space="0" w:color="auto"/>
              <w:right w:val="nil"/>
            </w:tcBorders>
            <w:vAlign w:val="center"/>
            <w:hideMark/>
          </w:tcPr>
          <w:p w14:paraId="4D612EE6"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24511B67"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Area of fire origin</w:t>
            </w:r>
          </w:p>
        </w:tc>
        <w:tc>
          <w:tcPr>
            <w:tcW w:w="1984" w:type="dxa"/>
            <w:vMerge/>
            <w:tcBorders>
              <w:top w:val="nil"/>
              <w:left w:val="single" w:sz="4" w:space="0" w:color="auto"/>
              <w:bottom w:val="single" w:sz="4" w:space="0" w:color="auto"/>
              <w:right w:val="nil"/>
            </w:tcBorders>
            <w:vAlign w:val="center"/>
          </w:tcPr>
          <w:p w14:paraId="28087E6E"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4786998F" w14:textId="22039319"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Safe areas</w:t>
            </w:r>
          </w:p>
        </w:tc>
      </w:tr>
      <w:tr w:rsidR="005D6922" w:rsidRPr="000B68C8" w14:paraId="61559AAD" w14:textId="63C29C20" w:rsidTr="006362F9">
        <w:trPr>
          <w:trHeight w:val="20"/>
          <w:jc w:val="center"/>
        </w:trPr>
        <w:tc>
          <w:tcPr>
            <w:tcW w:w="1985" w:type="dxa"/>
            <w:vMerge w:val="restart"/>
            <w:tcBorders>
              <w:top w:val="single" w:sz="4" w:space="0" w:color="auto"/>
              <w:bottom w:val="nil"/>
              <w:right w:val="nil"/>
            </w:tcBorders>
            <w:shd w:val="clear" w:color="auto" w:fill="auto"/>
            <w:vAlign w:val="center"/>
            <w:hideMark/>
          </w:tcPr>
          <w:p w14:paraId="2CB45CFC" w14:textId="1AD709E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CONSEQUENCES</w:t>
            </w:r>
          </w:p>
        </w:tc>
        <w:tc>
          <w:tcPr>
            <w:tcW w:w="2268" w:type="dxa"/>
            <w:tcBorders>
              <w:top w:val="single" w:sz="4" w:space="0" w:color="auto"/>
              <w:left w:val="nil"/>
              <w:bottom w:val="nil"/>
              <w:right w:val="single" w:sz="4" w:space="0" w:color="auto"/>
            </w:tcBorders>
            <w:shd w:val="clear" w:color="auto" w:fill="auto"/>
            <w:noWrap/>
            <w:vAlign w:val="center"/>
            <w:hideMark/>
          </w:tcPr>
          <w:p w14:paraId="1E5FEEB7"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spread</w:t>
            </w:r>
          </w:p>
        </w:tc>
        <w:tc>
          <w:tcPr>
            <w:tcW w:w="1984" w:type="dxa"/>
            <w:vMerge/>
            <w:tcBorders>
              <w:top w:val="nil"/>
              <w:left w:val="single" w:sz="4" w:space="0" w:color="auto"/>
              <w:bottom w:val="single" w:sz="4" w:space="0" w:color="auto"/>
              <w:right w:val="nil"/>
            </w:tcBorders>
            <w:vAlign w:val="center"/>
          </w:tcPr>
          <w:p w14:paraId="17B181F6"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3BEC6060" w14:textId="7E2EFBB9"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Smoke extractors</w:t>
            </w:r>
          </w:p>
        </w:tc>
      </w:tr>
      <w:tr w:rsidR="005D6922" w:rsidRPr="000B68C8" w14:paraId="7EB74E28" w14:textId="6AD72346" w:rsidTr="006362F9">
        <w:trPr>
          <w:trHeight w:val="20"/>
          <w:jc w:val="center"/>
        </w:trPr>
        <w:tc>
          <w:tcPr>
            <w:tcW w:w="1985" w:type="dxa"/>
            <w:vMerge/>
            <w:tcBorders>
              <w:top w:val="nil"/>
              <w:bottom w:val="nil"/>
              <w:right w:val="nil"/>
            </w:tcBorders>
            <w:vAlign w:val="center"/>
            <w:hideMark/>
          </w:tcPr>
          <w:p w14:paraId="2C1BC188"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noWrap/>
            <w:vAlign w:val="center"/>
            <w:hideMark/>
          </w:tcPr>
          <w:p w14:paraId="3FDC3A59"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horizontal spread</w:t>
            </w:r>
          </w:p>
        </w:tc>
        <w:tc>
          <w:tcPr>
            <w:tcW w:w="1984" w:type="dxa"/>
            <w:vMerge/>
            <w:tcBorders>
              <w:top w:val="nil"/>
              <w:left w:val="single" w:sz="4" w:space="0" w:color="auto"/>
              <w:bottom w:val="single" w:sz="4" w:space="0" w:color="auto"/>
              <w:right w:val="nil"/>
            </w:tcBorders>
            <w:vAlign w:val="center"/>
          </w:tcPr>
          <w:p w14:paraId="25705250"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5A711C47" w14:textId="6B7BD9A5"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brigades on site</w:t>
            </w:r>
          </w:p>
        </w:tc>
      </w:tr>
      <w:tr w:rsidR="005D6922" w:rsidRPr="000B68C8" w14:paraId="256FC6A5" w14:textId="31B2D4A6" w:rsidTr="006362F9">
        <w:trPr>
          <w:trHeight w:val="20"/>
          <w:jc w:val="center"/>
        </w:trPr>
        <w:tc>
          <w:tcPr>
            <w:tcW w:w="1985" w:type="dxa"/>
            <w:vMerge/>
            <w:tcBorders>
              <w:top w:val="nil"/>
              <w:bottom w:val="nil"/>
              <w:right w:val="nil"/>
            </w:tcBorders>
            <w:vAlign w:val="center"/>
            <w:hideMark/>
          </w:tcPr>
          <w:p w14:paraId="593E4EF6"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noWrap/>
            <w:vAlign w:val="center"/>
            <w:hideMark/>
          </w:tcPr>
          <w:p w14:paraId="46682C14"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vertical spread</w:t>
            </w:r>
          </w:p>
        </w:tc>
        <w:tc>
          <w:tcPr>
            <w:tcW w:w="1984" w:type="dxa"/>
            <w:vMerge/>
            <w:tcBorders>
              <w:top w:val="nil"/>
              <w:left w:val="single" w:sz="4" w:space="0" w:color="auto"/>
              <w:bottom w:val="single" w:sz="4" w:space="0" w:color="auto"/>
              <w:right w:val="nil"/>
            </w:tcBorders>
            <w:vAlign w:val="center"/>
          </w:tcPr>
          <w:p w14:paraId="1DF5064A"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nil"/>
              <w:right w:val="nil"/>
            </w:tcBorders>
            <w:vAlign w:val="center"/>
          </w:tcPr>
          <w:p w14:paraId="3494AA70" w14:textId="09598F72"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Escape routes</w:t>
            </w:r>
          </w:p>
        </w:tc>
      </w:tr>
      <w:tr w:rsidR="005D6922" w:rsidRPr="000B68C8" w14:paraId="5C9205FE" w14:textId="22BA74FF" w:rsidTr="006362F9">
        <w:trPr>
          <w:trHeight w:val="20"/>
          <w:jc w:val="center"/>
        </w:trPr>
        <w:tc>
          <w:tcPr>
            <w:tcW w:w="1985" w:type="dxa"/>
            <w:vMerge/>
            <w:tcBorders>
              <w:top w:val="nil"/>
              <w:bottom w:val="nil"/>
              <w:right w:val="nil"/>
            </w:tcBorders>
            <w:vAlign w:val="center"/>
            <w:hideMark/>
          </w:tcPr>
          <w:p w14:paraId="4C247771"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2E06F92D"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Damage</w:t>
            </w:r>
          </w:p>
        </w:tc>
        <w:tc>
          <w:tcPr>
            <w:tcW w:w="1984" w:type="dxa"/>
            <w:vMerge/>
            <w:tcBorders>
              <w:top w:val="nil"/>
              <w:left w:val="single" w:sz="4" w:space="0" w:color="auto"/>
              <w:bottom w:val="single" w:sz="4" w:space="0" w:color="auto"/>
              <w:right w:val="nil"/>
            </w:tcBorders>
            <w:vAlign w:val="center"/>
          </w:tcPr>
          <w:p w14:paraId="625DE540"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single" w:sz="4" w:space="0" w:color="auto"/>
              <w:right w:val="nil"/>
            </w:tcBorders>
            <w:vAlign w:val="center"/>
          </w:tcPr>
          <w:p w14:paraId="66272BDB" w14:textId="4BE0CFAC"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Evacuation</w:t>
            </w:r>
          </w:p>
        </w:tc>
      </w:tr>
      <w:tr w:rsidR="005D6922" w:rsidRPr="000B68C8" w14:paraId="2146EA13" w14:textId="73368AA9" w:rsidTr="006362F9">
        <w:trPr>
          <w:trHeight w:val="20"/>
          <w:jc w:val="center"/>
        </w:trPr>
        <w:tc>
          <w:tcPr>
            <w:tcW w:w="1985" w:type="dxa"/>
            <w:vMerge/>
            <w:tcBorders>
              <w:top w:val="nil"/>
              <w:bottom w:val="nil"/>
              <w:right w:val="nil"/>
            </w:tcBorders>
            <w:vAlign w:val="center"/>
            <w:hideMark/>
          </w:tcPr>
          <w:p w14:paraId="68FCC886"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44A5A20F"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w:t>
            </w:r>
          </w:p>
        </w:tc>
        <w:tc>
          <w:tcPr>
            <w:tcW w:w="1984" w:type="dxa"/>
            <w:vMerge w:val="restart"/>
            <w:tcBorders>
              <w:top w:val="single" w:sz="4" w:space="0" w:color="auto"/>
              <w:left w:val="single" w:sz="4" w:space="0" w:color="auto"/>
              <w:bottom w:val="single" w:sz="4" w:space="0" w:color="auto"/>
              <w:right w:val="nil"/>
            </w:tcBorders>
            <w:vAlign w:val="center"/>
          </w:tcPr>
          <w:p w14:paraId="30F25ACE" w14:textId="789C2A51"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RESPONSE</w:t>
            </w:r>
          </w:p>
        </w:tc>
        <w:tc>
          <w:tcPr>
            <w:tcW w:w="2789" w:type="dxa"/>
            <w:tcBorders>
              <w:top w:val="single" w:sz="4" w:space="0" w:color="auto"/>
              <w:left w:val="nil"/>
              <w:bottom w:val="nil"/>
              <w:right w:val="nil"/>
            </w:tcBorders>
            <w:vAlign w:val="center"/>
          </w:tcPr>
          <w:p w14:paraId="0E727CF1" w14:textId="47AFB720"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service time of response</w:t>
            </w:r>
          </w:p>
        </w:tc>
      </w:tr>
      <w:tr w:rsidR="005D6922" w:rsidRPr="000B68C8" w14:paraId="52F5431B" w14:textId="54E12D59" w:rsidTr="006362F9">
        <w:trPr>
          <w:trHeight w:val="20"/>
          <w:jc w:val="center"/>
        </w:trPr>
        <w:tc>
          <w:tcPr>
            <w:tcW w:w="1985" w:type="dxa"/>
            <w:vMerge/>
            <w:tcBorders>
              <w:top w:val="nil"/>
              <w:bottom w:val="nil"/>
              <w:right w:val="nil"/>
            </w:tcBorders>
            <w:vAlign w:val="center"/>
            <w:hideMark/>
          </w:tcPr>
          <w:p w14:paraId="388E9F76"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5288536C"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Flame</w:t>
            </w:r>
          </w:p>
        </w:tc>
        <w:tc>
          <w:tcPr>
            <w:tcW w:w="1984" w:type="dxa"/>
            <w:vMerge/>
            <w:tcBorders>
              <w:top w:val="nil"/>
              <w:left w:val="single" w:sz="4" w:space="0" w:color="auto"/>
              <w:bottom w:val="single" w:sz="4" w:space="0" w:color="auto"/>
              <w:right w:val="nil"/>
            </w:tcBorders>
            <w:vAlign w:val="center"/>
          </w:tcPr>
          <w:p w14:paraId="3C77C399"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single" w:sz="4" w:space="0" w:color="auto"/>
              <w:right w:val="nil"/>
            </w:tcBorders>
            <w:vAlign w:val="center"/>
          </w:tcPr>
          <w:p w14:paraId="5D95A1F9" w14:textId="3B1125C9"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Occupant fire response</w:t>
            </w:r>
          </w:p>
        </w:tc>
      </w:tr>
      <w:tr w:rsidR="005D6922" w:rsidRPr="000B68C8" w14:paraId="4BE69779" w14:textId="6032FC93" w:rsidTr="006362F9">
        <w:trPr>
          <w:trHeight w:val="20"/>
          <w:jc w:val="center"/>
        </w:trPr>
        <w:tc>
          <w:tcPr>
            <w:tcW w:w="1985" w:type="dxa"/>
            <w:vMerge/>
            <w:tcBorders>
              <w:top w:val="nil"/>
              <w:bottom w:val="nil"/>
              <w:right w:val="nil"/>
            </w:tcBorders>
            <w:vAlign w:val="center"/>
            <w:hideMark/>
          </w:tcPr>
          <w:p w14:paraId="261C39BA"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23DF6306"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Smoke</w:t>
            </w:r>
          </w:p>
        </w:tc>
        <w:tc>
          <w:tcPr>
            <w:tcW w:w="1984" w:type="dxa"/>
            <w:vMerge w:val="restart"/>
            <w:tcBorders>
              <w:top w:val="single" w:sz="4" w:space="0" w:color="auto"/>
              <w:left w:val="single" w:sz="4" w:space="0" w:color="auto"/>
              <w:bottom w:val="single" w:sz="4" w:space="0" w:color="auto"/>
              <w:right w:val="nil"/>
            </w:tcBorders>
            <w:vAlign w:val="center"/>
          </w:tcPr>
          <w:p w14:paraId="757A982B" w14:textId="6EC90395"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FIRE FINANCIAL COSTS</w:t>
            </w:r>
          </w:p>
        </w:tc>
        <w:tc>
          <w:tcPr>
            <w:tcW w:w="2789" w:type="dxa"/>
            <w:tcBorders>
              <w:top w:val="single" w:sz="4" w:space="0" w:color="auto"/>
              <w:left w:val="nil"/>
              <w:bottom w:val="nil"/>
              <w:right w:val="nil"/>
            </w:tcBorders>
            <w:vAlign w:val="center"/>
          </w:tcPr>
          <w:p w14:paraId="1F1076D6" w14:textId="1B772588"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Direct financial costs</w:t>
            </w:r>
          </w:p>
        </w:tc>
      </w:tr>
      <w:tr w:rsidR="005D6922" w:rsidRPr="000B68C8" w14:paraId="3949D155" w14:textId="5F19E7C3" w:rsidTr="006362F9">
        <w:trPr>
          <w:trHeight w:val="20"/>
          <w:jc w:val="center"/>
        </w:trPr>
        <w:tc>
          <w:tcPr>
            <w:tcW w:w="1985" w:type="dxa"/>
            <w:vMerge/>
            <w:tcBorders>
              <w:top w:val="nil"/>
              <w:bottom w:val="nil"/>
              <w:right w:val="nil"/>
            </w:tcBorders>
            <w:vAlign w:val="center"/>
            <w:hideMark/>
          </w:tcPr>
          <w:p w14:paraId="684DE2EF" w14:textId="77777777" w:rsidR="005D6922" w:rsidRPr="000B68C8" w:rsidRDefault="005D6922" w:rsidP="00342407">
            <w:pPr>
              <w:pStyle w:val="NoSpacing"/>
              <w:jc w:val="center"/>
              <w:rPr>
                <w:rFonts w:cs="Times New Roman"/>
                <w:sz w:val="18"/>
                <w:szCs w:val="18"/>
                <w:lang w:eastAsia="en-GB"/>
              </w:rPr>
            </w:pPr>
          </w:p>
        </w:tc>
        <w:tc>
          <w:tcPr>
            <w:tcW w:w="2268" w:type="dxa"/>
            <w:tcBorders>
              <w:top w:val="nil"/>
              <w:left w:val="nil"/>
              <w:bottom w:val="nil"/>
              <w:right w:val="single" w:sz="4" w:space="0" w:color="auto"/>
            </w:tcBorders>
            <w:shd w:val="clear" w:color="auto" w:fill="auto"/>
            <w:vAlign w:val="center"/>
            <w:hideMark/>
          </w:tcPr>
          <w:p w14:paraId="0F07CCD5" w14:textId="77777777"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Water</w:t>
            </w:r>
          </w:p>
        </w:tc>
        <w:tc>
          <w:tcPr>
            <w:tcW w:w="1984" w:type="dxa"/>
            <w:vMerge/>
            <w:tcBorders>
              <w:top w:val="nil"/>
              <w:left w:val="single" w:sz="4" w:space="0" w:color="auto"/>
              <w:bottom w:val="single" w:sz="4" w:space="0" w:color="auto"/>
              <w:right w:val="nil"/>
            </w:tcBorders>
            <w:vAlign w:val="center"/>
          </w:tcPr>
          <w:p w14:paraId="60E5A668" w14:textId="77777777" w:rsidR="005D6922" w:rsidRPr="000B68C8" w:rsidRDefault="005D6922" w:rsidP="00342407">
            <w:pPr>
              <w:pStyle w:val="NoSpacing"/>
              <w:jc w:val="center"/>
              <w:rPr>
                <w:rFonts w:cs="Times New Roman"/>
                <w:sz w:val="18"/>
                <w:szCs w:val="18"/>
                <w:lang w:eastAsia="en-GB"/>
              </w:rPr>
            </w:pPr>
          </w:p>
        </w:tc>
        <w:tc>
          <w:tcPr>
            <w:tcW w:w="2789" w:type="dxa"/>
            <w:tcBorders>
              <w:top w:val="nil"/>
              <w:left w:val="nil"/>
              <w:bottom w:val="single" w:sz="4" w:space="0" w:color="auto"/>
              <w:right w:val="nil"/>
            </w:tcBorders>
            <w:vAlign w:val="center"/>
          </w:tcPr>
          <w:p w14:paraId="7FDD1F8B" w14:textId="46A3AD3F" w:rsidR="005D6922" w:rsidRPr="000B68C8" w:rsidRDefault="005D6922" w:rsidP="00342407">
            <w:pPr>
              <w:pStyle w:val="NoSpacing"/>
              <w:jc w:val="center"/>
              <w:rPr>
                <w:rFonts w:cs="Times New Roman"/>
                <w:sz w:val="18"/>
                <w:szCs w:val="18"/>
                <w:lang w:eastAsia="en-GB"/>
              </w:rPr>
            </w:pPr>
            <w:r w:rsidRPr="000B68C8">
              <w:rPr>
                <w:rFonts w:cs="Times New Roman"/>
                <w:sz w:val="18"/>
                <w:szCs w:val="18"/>
                <w:lang w:eastAsia="en-GB"/>
              </w:rPr>
              <w:t>Indirect financial costs</w:t>
            </w:r>
          </w:p>
        </w:tc>
      </w:tr>
      <w:tr w:rsidR="008109DC" w:rsidRPr="000B68C8" w14:paraId="3287F6B5" w14:textId="0CDB7B65" w:rsidTr="00231772">
        <w:trPr>
          <w:trHeight w:val="20"/>
          <w:jc w:val="center"/>
        </w:trPr>
        <w:tc>
          <w:tcPr>
            <w:tcW w:w="1985" w:type="dxa"/>
            <w:vMerge/>
            <w:tcBorders>
              <w:top w:val="nil"/>
              <w:bottom w:val="single" w:sz="4" w:space="0" w:color="auto"/>
              <w:right w:val="nil"/>
            </w:tcBorders>
            <w:vAlign w:val="center"/>
            <w:hideMark/>
          </w:tcPr>
          <w:p w14:paraId="5FF08E6E" w14:textId="77777777" w:rsidR="008109DC" w:rsidRPr="000B68C8" w:rsidRDefault="008109DC" w:rsidP="00342407">
            <w:pPr>
              <w:pStyle w:val="NoSpacing"/>
              <w:jc w:val="center"/>
              <w:rPr>
                <w:rFonts w:cs="Times New Roman"/>
                <w:sz w:val="18"/>
                <w:szCs w:val="18"/>
                <w:lang w:eastAsia="en-GB"/>
              </w:rPr>
            </w:pPr>
          </w:p>
        </w:tc>
        <w:tc>
          <w:tcPr>
            <w:tcW w:w="2268" w:type="dxa"/>
            <w:tcBorders>
              <w:top w:val="nil"/>
              <w:left w:val="nil"/>
              <w:bottom w:val="single" w:sz="4" w:space="0" w:color="auto"/>
              <w:right w:val="single" w:sz="4" w:space="0" w:color="auto"/>
            </w:tcBorders>
            <w:shd w:val="clear" w:color="auto" w:fill="auto"/>
            <w:vAlign w:val="center"/>
            <w:hideMark/>
          </w:tcPr>
          <w:p w14:paraId="2A950906" w14:textId="77777777"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Total</w:t>
            </w:r>
          </w:p>
        </w:tc>
        <w:tc>
          <w:tcPr>
            <w:tcW w:w="1984" w:type="dxa"/>
            <w:vMerge w:val="restart"/>
            <w:tcBorders>
              <w:top w:val="single" w:sz="4" w:space="0" w:color="auto"/>
              <w:left w:val="single" w:sz="4" w:space="0" w:color="auto"/>
              <w:bottom w:val="single" w:sz="4" w:space="0" w:color="auto"/>
              <w:right w:val="nil"/>
            </w:tcBorders>
            <w:vAlign w:val="center"/>
          </w:tcPr>
          <w:p w14:paraId="2D7E545F" w14:textId="31A874CC"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FIRE PREVENTION</w:t>
            </w:r>
          </w:p>
        </w:tc>
        <w:tc>
          <w:tcPr>
            <w:tcW w:w="2789" w:type="dxa"/>
            <w:vMerge w:val="restart"/>
            <w:tcBorders>
              <w:top w:val="single" w:sz="4" w:space="0" w:color="auto"/>
              <w:left w:val="nil"/>
              <w:bottom w:val="single" w:sz="4" w:space="0" w:color="auto"/>
              <w:right w:val="nil"/>
            </w:tcBorders>
            <w:vAlign w:val="center"/>
          </w:tcPr>
          <w:p w14:paraId="5B198252" w14:textId="6D7BB568"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Fire regulations and prevention</w:t>
            </w:r>
          </w:p>
        </w:tc>
      </w:tr>
      <w:tr w:rsidR="008109DC" w:rsidRPr="000B68C8" w14:paraId="7FF065F7" w14:textId="56D385CF" w:rsidTr="00231772">
        <w:trPr>
          <w:trHeight w:val="20"/>
          <w:jc w:val="center"/>
        </w:trPr>
        <w:tc>
          <w:tcPr>
            <w:tcW w:w="1985" w:type="dxa"/>
            <w:vMerge w:val="restart"/>
            <w:tcBorders>
              <w:top w:val="single" w:sz="4" w:space="0" w:color="auto"/>
              <w:bottom w:val="single" w:sz="4" w:space="0" w:color="auto"/>
              <w:right w:val="nil"/>
            </w:tcBorders>
            <w:shd w:val="clear" w:color="auto" w:fill="auto"/>
            <w:vAlign w:val="center"/>
            <w:hideMark/>
          </w:tcPr>
          <w:p w14:paraId="25105B31" w14:textId="77777777"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FATALITIES</w:t>
            </w:r>
          </w:p>
        </w:tc>
        <w:tc>
          <w:tcPr>
            <w:tcW w:w="2268" w:type="dxa"/>
            <w:tcBorders>
              <w:top w:val="single" w:sz="4" w:space="0" w:color="auto"/>
              <w:left w:val="nil"/>
              <w:bottom w:val="nil"/>
              <w:right w:val="single" w:sz="4" w:space="0" w:color="auto"/>
            </w:tcBorders>
            <w:shd w:val="clear" w:color="auto" w:fill="auto"/>
            <w:noWrap/>
            <w:vAlign w:val="center"/>
            <w:hideMark/>
          </w:tcPr>
          <w:p w14:paraId="7F872DAE" w14:textId="77777777"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Victims</w:t>
            </w:r>
          </w:p>
        </w:tc>
        <w:tc>
          <w:tcPr>
            <w:tcW w:w="1984" w:type="dxa"/>
            <w:vMerge/>
            <w:tcBorders>
              <w:top w:val="single" w:sz="4" w:space="0" w:color="auto"/>
              <w:left w:val="single" w:sz="4" w:space="0" w:color="auto"/>
              <w:bottom w:val="single" w:sz="4" w:space="0" w:color="auto"/>
              <w:right w:val="nil"/>
            </w:tcBorders>
            <w:vAlign w:val="center"/>
          </w:tcPr>
          <w:p w14:paraId="0CFCCE83" w14:textId="77777777" w:rsidR="008109DC" w:rsidRPr="000B68C8" w:rsidRDefault="008109DC" w:rsidP="00342407">
            <w:pPr>
              <w:pStyle w:val="NoSpacing"/>
              <w:jc w:val="center"/>
              <w:rPr>
                <w:rFonts w:cs="Times New Roman"/>
                <w:sz w:val="18"/>
                <w:szCs w:val="18"/>
                <w:lang w:eastAsia="en-GB"/>
              </w:rPr>
            </w:pPr>
          </w:p>
        </w:tc>
        <w:tc>
          <w:tcPr>
            <w:tcW w:w="2789" w:type="dxa"/>
            <w:vMerge/>
            <w:tcBorders>
              <w:top w:val="single" w:sz="4" w:space="0" w:color="auto"/>
              <w:left w:val="nil"/>
              <w:bottom w:val="single" w:sz="4" w:space="0" w:color="auto"/>
            </w:tcBorders>
            <w:vAlign w:val="center"/>
          </w:tcPr>
          <w:p w14:paraId="0BC13BA8" w14:textId="77777777" w:rsidR="008109DC" w:rsidRPr="000B68C8" w:rsidRDefault="008109DC" w:rsidP="00342407">
            <w:pPr>
              <w:pStyle w:val="NoSpacing"/>
              <w:jc w:val="center"/>
              <w:rPr>
                <w:rFonts w:cs="Times New Roman"/>
                <w:sz w:val="18"/>
                <w:szCs w:val="18"/>
                <w:lang w:eastAsia="en-GB"/>
              </w:rPr>
            </w:pPr>
          </w:p>
        </w:tc>
      </w:tr>
      <w:tr w:rsidR="008109DC" w:rsidRPr="000B68C8" w14:paraId="509681FE" w14:textId="0DED8B3A" w:rsidTr="00231772">
        <w:trPr>
          <w:trHeight w:val="20"/>
          <w:jc w:val="center"/>
        </w:trPr>
        <w:tc>
          <w:tcPr>
            <w:tcW w:w="1985" w:type="dxa"/>
            <w:vMerge/>
            <w:tcBorders>
              <w:top w:val="single" w:sz="4" w:space="0" w:color="auto"/>
              <w:bottom w:val="single" w:sz="4" w:space="0" w:color="auto"/>
              <w:right w:val="nil"/>
            </w:tcBorders>
            <w:vAlign w:val="center"/>
            <w:hideMark/>
          </w:tcPr>
          <w:p w14:paraId="4484BB60" w14:textId="77777777" w:rsidR="008109DC" w:rsidRPr="000B68C8" w:rsidRDefault="008109DC" w:rsidP="00342407">
            <w:pPr>
              <w:pStyle w:val="NoSpacing"/>
              <w:jc w:val="center"/>
              <w:rPr>
                <w:rFonts w:cs="Times New Roman"/>
                <w:sz w:val="18"/>
                <w:szCs w:val="18"/>
                <w:lang w:eastAsia="en-GB"/>
              </w:rPr>
            </w:pPr>
          </w:p>
        </w:tc>
        <w:tc>
          <w:tcPr>
            <w:tcW w:w="2268" w:type="dxa"/>
            <w:tcBorders>
              <w:top w:val="nil"/>
              <w:left w:val="nil"/>
              <w:bottom w:val="single" w:sz="4" w:space="0" w:color="auto"/>
              <w:right w:val="single" w:sz="4" w:space="0" w:color="auto"/>
            </w:tcBorders>
            <w:shd w:val="clear" w:color="auto" w:fill="auto"/>
            <w:noWrap/>
            <w:vAlign w:val="center"/>
            <w:hideMark/>
          </w:tcPr>
          <w:p w14:paraId="33153B73" w14:textId="77777777" w:rsidR="008109DC" w:rsidRPr="000B68C8" w:rsidRDefault="008109DC" w:rsidP="00342407">
            <w:pPr>
              <w:pStyle w:val="NoSpacing"/>
              <w:jc w:val="center"/>
              <w:rPr>
                <w:rFonts w:cs="Times New Roman"/>
                <w:sz w:val="18"/>
                <w:szCs w:val="18"/>
                <w:lang w:eastAsia="en-GB"/>
              </w:rPr>
            </w:pPr>
            <w:r w:rsidRPr="000B68C8">
              <w:rPr>
                <w:rFonts w:cs="Times New Roman"/>
                <w:sz w:val="18"/>
                <w:szCs w:val="18"/>
                <w:lang w:eastAsia="en-GB"/>
              </w:rPr>
              <w:t>Type of fatality</w:t>
            </w:r>
          </w:p>
        </w:tc>
        <w:tc>
          <w:tcPr>
            <w:tcW w:w="1984" w:type="dxa"/>
            <w:vMerge/>
            <w:tcBorders>
              <w:top w:val="single" w:sz="4" w:space="0" w:color="auto"/>
              <w:left w:val="single" w:sz="4" w:space="0" w:color="auto"/>
              <w:bottom w:val="single" w:sz="4" w:space="0" w:color="auto"/>
              <w:right w:val="nil"/>
            </w:tcBorders>
            <w:vAlign w:val="center"/>
          </w:tcPr>
          <w:p w14:paraId="6D762F3E" w14:textId="77777777" w:rsidR="008109DC" w:rsidRPr="000B68C8" w:rsidRDefault="008109DC" w:rsidP="00342407">
            <w:pPr>
              <w:pStyle w:val="NoSpacing"/>
              <w:jc w:val="center"/>
              <w:rPr>
                <w:rFonts w:cs="Times New Roman"/>
                <w:sz w:val="18"/>
                <w:szCs w:val="18"/>
                <w:lang w:eastAsia="en-GB"/>
              </w:rPr>
            </w:pPr>
          </w:p>
        </w:tc>
        <w:tc>
          <w:tcPr>
            <w:tcW w:w="2789" w:type="dxa"/>
            <w:vMerge/>
            <w:tcBorders>
              <w:top w:val="single" w:sz="4" w:space="0" w:color="auto"/>
              <w:left w:val="nil"/>
              <w:bottom w:val="single" w:sz="4" w:space="0" w:color="auto"/>
            </w:tcBorders>
            <w:vAlign w:val="center"/>
          </w:tcPr>
          <w:p w14:paraId="6D02F321" w14:textId="77777777" w:rsidR="008109DC" w:rsidRPr="000B68C8" w:rsidRDefault="008109DC" w:rsidP="00342407">
            <w:pPr>
              <w:pStyle w:val="NoSpacing"/>
              <w:jc w:val="center"/>
              <w:rPr>
                <w:rFonts w:cs="Times New Roman"/>
                <w:sz w:val="18"/>
                <w:szCs w:val="18"/>
                <w:lang w:eastAsia="en-GB"/>
              </w:rPr>
            </w:pPr>
          </w:p>
        </w:tc>
      </w:tr>
    </w:tbl>
    <w:p w14:paraId="34FB9CAF" w14:textId="17687990" w:rsidR="00BD7848" w:rsidRPr="000B68C8" w:rsidRDefault="00BD7848" w:rsidP="0018358F">
      <w:bookmarkStart w:id="16" w:name="_Ref86306634"/>
      <w:r w:rsidRPr="000B68C8">
        <w:t>When the 35 selected countries were investigated, no response was received from Luxembourg, Malta and Portugal, and only limited information from Lithuania and Spain. In addition to those five, seven EU Member States (Belgium, Bulgaria, Croatia, Cyprus, Greece, Latvia, and Poland) affirmed their lack of appropriate definitions for the fire statistical variables. Therefore, as the analysis is focused on the definitions available, a total of 23 countries (15 EU and eight other countries), as listed in</w:t>
      </w:r>
      <w:r w:rsidR="00270F22" w:rsidRPr="000B68C8">
        <w:t xml:space="preserve"> </w:t>
      </w:r>
      <w:r w:rsidR="00270F22" w:rsidRPr="000B68C8">
        <w:fldChar w:fldCharType="begin"/>
      </w:r>
      <w:r w:rsidR="00270F22" w:rsidRPr="000B68C8">
        <w:instrText xml:space="preserve"> REF _Ref128206867 \h </w:instrText>
      </w:r>
      <w:r w:rsidR="000B68C8">
        <w:instrText xml:space="preserve"> \* MERGEFORMAT </w:instrText>
      </w:r>
      <w:r w:rsidR="00270F22" w:rsidRPr="000B68C8">
        <w:fldChar w:fldCharType="separate"/>
      </w:r>
      <w:r w:rsidR="00270F22" w:rsidRPr="000B68C8">
        <w:t xml:space="preserve">Table </w:t>
      </w:r>
      <w:r w:rsidR="00270F22" w:rsidRPr="000B68C8">
        <w:rPr>
          <w:noProof/>
        </w:rPr>
        <w:t>2</w:t>
      </w:r>
      <w:r w:rsidR="00270F22" w:rsidRPr="000B68C8">
        <w:fldChar w:fldCharType="end"/>
      </w:r>
      <w:r w:rsidRPr="000B68C8">
        <w:t xml:space="preserve">, were included in the analysis. The relevant supplied information was then reclassified according to the major categories as shown in Table 1. Moreover, the gathered definitions were compared to those provided in the ISO/TS 17755-2(E):2020 </w:t>
      </w:r>
      <w:r w:rsidRPr="000B68C8">
        <w:fldChar w:fldCharType="begin" w:fldLock="1"/>
      </w:r>
      <w:r w:rsidR="007359B2" w:rsidRPr="000B68C8">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Pr="000B68C8">
        <w:fldChar w:fldCharType="separate"/>
      </w:r>
      <w:r w:rsidR="00BC2D97" w:rsidRPr="000B68C8">
        <w:rPr>
          <w:noProof/>
        </w:rPr>
        <w:t>[20]</w:t>
      </w:r>
      <w:r w:rsidRPr="000B68C8">
        <w:fldChar w:fldCharType="end"/>
      </w:r>
      <w:r w:rsidRPr="000B68C8">
        <w:t>.</w:t>
      </w:r>
    </w:p>
    <w:p w14:paraId="476FF9BB" w14:textId="049071D8" w:rsidR="00F868E0" w:rsidRPr="000B68C8" w:rsidRDefault="00F868E0" w:rsidP="00231772">
      <w:pPr>
        <w:pStyle w:val="Caption"/>
        <w:spacing w:before="120"/>
      </w:pPr>
      <w:bookmarkStart w:id="17" w:name="_Ref128206867"/>
      <w:r w:rsidRPr="000B68C8">
        <w:t xml:space="preserve">Table </w:t>
      </w:r>
      <w:fldSimple w:instr=" SEQ Table \* ARABIC ">
        <w:r w:rsidR="00527272" w:rsidRPr="000B68C8">
          <w:rPr>
            <w:noProof/>
          </w:rPr>
          <w:t>2</w:t>
        </w:r>
      </w:fldSimple>
      <w:bookmarkEnd w:id="16"/>
      <w:bookmarkEnd w:id="17"/>
      <w:r w:rsidRPr="000B68C8">
        <w:t xml:space="preserve">: </w:t>
      </w:r>
      <w:bookmarkStart w:id="18" w:name="_Hlk126943423"/>
      <w:r w:rsidR="00F65C70" w:rsidRPr="000B68C8">
        <w:t>E</w:t>
      </w:r>
      <w:r w:rsidR="00380FC5" w:rsidRPr="000B68C8">
        <w:t>U</w:t>
      </w:r>
      <w:r w:rsidR="00F65C70" w:rsidRPr="000B68C8">
        <w:t xml:space="preserve"> Member States</w:t>
      </w:r>
      <w:r w:rsidR="00F47F95" w:rsidRPr="000B68C8">
        <w:t xml:space="preserve"> and other </w:t>
      </w:r>
      <w:r w:rsidR="00F65C70" w:rsidRPr="000B68C8">
        <w:t xml:space="preserve">countries </w:t>
      </w:r>
      <w:r w:rsidR="005E7276" w:rsidRPr="000B68C8">
        <w:t xml:space="preserve">where </w:t>
      </w:r>
      <w:r w:rsidR="00F65C70" w:rsidRPr="000B68C8">
        <w:t>definitions</w:t>
      </w:r>
      <w:r w:rsidR="00AF44A2" w:rsidRPr="000B68C8">
        <w:t xml:space="preserve"> for fire statistical variables</w:t>
      </w:r>
      <w:r w:rsidR="005E7276" w:rsidRPr="000B68C8">
        <w:t xml:space="preserve"> exist</w:t>
      </w:r>
    </w:p>
    <w:tbl>
      <w:tblPr>
        <w:tblW w:w="5000" w:type="pct"/>
        <w:tblBorders>
          <w:top w:val="single" w:sz="4" w:space="0" w:color="auto"/>
          <w:bottom w:val="single" w:sz="4" w:space="0" w:color="auto"/>
        </w:tblBorders>
        <w:tblLook w:val="04A0" w:firstRow="1" w:lastRow="0" w:firstColumn="1" w:lastColumn="0" w:noHBand="0" w:noVBand="1"/>
      </w:tblPr>
      <w:tblGrid>
        <w:gridCol w:w="3403"/>
        <w:gridCol w:w="5623"/>
      </w:tblGrid>
      <w:tr w:rsidR="00F65C70" w:rsidRPr="000B68C8" w14:paraId="2B18382A" w14:textId="61DCCA13" w:rsidTr="00342407">
        <w:trPr>
          <w:trHeight w:val="20"/>
        </w:trPr>
        <w:tc>
          <w:tcPr>
            <w:tcW w:w="1885" w:type="pct"/>
            <w:tcBorders>
              <w:top w:val="single" w:sz="4" w:space="0" w:color="auto"/>
              <w:bottom w:val="single" w:sz="4" w:space="0" w:color="auto"/>
              <w:right w:val="single" w:sz="4" w:space="0" w:color="auto"/>
            </w:tcBorders>
            <w:shd w:val="clear" w:color="auto" w:fill="auto"/>
            <w:vAlign w:val="center"/>
            <w:hideMark/>
          </w:tcPr>
          <w:bookmarkEnd w:id="18"/>
          <w:p w14:paraId="2F71F0D0" w14:textId="7B43970B" w:rsidR="00F65C70" w:rsidRPr="000B68C8" w:rsidRDefault="00F65C70" w:rsidP="00310EC1">
            <w:pPr>
              <w:pStyle w:val="NoSpacing"/>
              <w:jc w:val="center"/>
              <w:rPr>
                <w:rFonts w:cs="Times New Roman"/>
                <w:b/>
                <w:bCs/>
                <w:szCs w:val="20"/>
                <w:lang w:eastAsia="en-GB"/>
              </w:rPr>
            </w:pPr>
            <w:r w:rsidRPr="000B68C8">
              <w:rPr>
                <w:rFonts w:cs="Times New Roman"/>
                <w:b/>
                <w:bCs/>
                <w:szCs w:val="20"/>
                <w:lang w:eastAsia="en-GB"/>
              </w:rPr>
              <w:t>EU Member States</w:t>
            </w:r>
            <w:r w:rsidR="00310EC1" w:rsidRPr="000B68C8">
              <w:rPr>
                <w:rFonts w:cs="Times New Roman"/>
                <w:b/>
                <w:bCs/>
                <w:szCs w:val="20"/>
                <w:lang w:eastAsia="en-GB"/>
              </w:rPr>
              <w:t xml:space="preserve"> </w:t>
            </w:r>
            <w:r w:rsidRPr="000B68C8">
              <w:rPr>
                <w:rFonts w:cs="Times New Roman"/>
                <w:b/>
                <w:bCs/>
                <w:szCs w:val="20"/>
                <w:lang w:eastAsia="en-GB"/>
              </w:rPr>
              <w:t>with definitions</w:t>
            </w:r>
          </w:p>
        </w:tc>
        <w:tc>
          <w:tcPr>
            <w:tcW w:w="3115" w:type="pct"/>
            <w:tcBorders>
              <w:top w:val="single" w:sz="4" w:space="0" w:color="auto"/>
              <w:left w:val="single" w:sz="4" w:space="0" w:color="auto"/>
              <w:bottom w:val="single" w:sz="4" w:space="0" w:color="auto"/>
            </w:tcBorders>
            <w:vAlign w:val="center"/>
          </w:tcPr>
          <w:p w14:paraId="6E412D04" w14:textId="40E3810D" w:rsidR="00F65C70" w:rsidRPr="000B68C8" w:rsidRDefault="00F65C70" w:rsidP="00F65C70">
            <w:pPr>
              <w:pStyle w:val="NoSpacing"/>
              <w:jc w:val="center"/>
              <w:rPr>
                <w:rFonts w:cs="Times New Roman"/>
                <w:b/>
                <w:bCs/>
                <w:szCs w:val="20"/>
                <w:lang w:eastAsia="en-GB"/>
              </w:rPr>
            </w:pPr>
            <w:r w:rsidRPr="000B68C8">
              <w:rPr>
                <w:rFonts w:cs="Times New Roman"/>
                <w:b/>
                <w:bCs/>
                <w:szCs w:val="20"/>
                <w:lang w:eastAsia="en-GB"/>
              </w:rPr>
              <w:t>Other countrie</w:t>
            </w:r>
            <w:r w:rsidR="00310EC1" w:rsidRPr="000B68C8">
              <w:rPr>
                <w:rFonts w:cs="Times New Roman"/>
                <w:b/>
                <w:bCs/>
                <w:szCs w:val="20"/>
                <w:lang w:eastAsia="en-GB"/>
              </w:rPr>
              <w:t xml:space="preserve">s </w:t>
            </w:r>
            <w:r w:rsidRPr="000B68C8">
              <w:rPr>
                <w:rFonts w:cs="Times New Roman"/>
                <w:b/>
                <w:bCs/>
                <w:szCs w:val="20"/>
                <w:lang w:eastAsia="en-GB"/>
              </w:rPr>
              <w:t>with definitions</w:t>
            </w:r>
          </w:p>
        </w:tc>
      </w:tr>
      <w:tr w:rsidR="00F65C70" w:rsidRPr="000B68C8" w14:paraId="57ADF785" w14:textId="02DC54C1" w:rsidTr="00342407">
        <w:trPr>
          <w:trHeight w:val="20"/>
        </w:trPr>
        <w:tc>
          <w:tcPr>
            <w:tcW w:w="1885" w:type="pct"/>
            <w:tcBorders>
              <w:top w:val="single" w:sz="4" w:space="0" w:color="auto"/>
              <w:right w:val="single" w:sz="4" w:space="0" w:color="auto"/>
            </w:tcBorders>
            <w:shd w:val="clear" w:color="auto" w:fill="auto"/>
            <w:vAlign w:val="center"/>
            <w:hideMark/>
          </w:tcPr>
          <w:p w14:paraId="5B2F608C" w14:textId="77777777" w:rsidR="00F65C70" w:rsidRPr="000B68C8" w:rsidRDefault="00F65C70" w:rsidP="00F65C70">
            <w:pPr>
              <w:pStyle w:val="NoSpacing"/>
              <w:jc w:val="center"/>
              <w:rPr>
                <w:rFonts w:cs="Times New Roman"/>
                <w:szCs w:val="20"/>
                <w:lang w:eastAsia="en-GB"/>
              </w:rPr>
            </w:pPr>
            <w:r w:rsidRPr="000B68C8">
              <w:rPr>
                <w:rFonts w:cs="Times New Roman"/>
                <w:szCs w:val="20"/>
                <w:lang w:eastAsia="en-GB"/>
              </w:rPr>
              <w:t>Austria</w:t>
            </w:r>
          </w:p>
        </w:tc>
        <w:tc>
          <w:tcPr>
            <w:tcW w:w="3115" w:type="pct"/>
            <w:tcBorders>
              <w:top w:val="single" w:sz="4" w:space="0" w:color="auto"/>
              <w:left w:val="single" w:sz="4" w:space="0" w:color="auto"/>
            </w:tcBorders>
            <w:vAlign w:val="center"/>
          </w:tcPr>
          <w:p w14:paraId="59AC1726" w14:textId="5A683276" w:rsidR="00F65C70" w:rsidRPr="000B68C8" w:rsidRDefault="00F65C70" w:rsidP="00F65C70">
            <w:pPr>
              <w:pStyle w:val="NoSpacing"/>
              <w:jc w:val="center"/>
              <w:rPr>
                <w:rFonts w:cs="Times New Roman"/>
                <w:szCs w:val="20"/>
                <w:lang w:eastAsia="en-GB"/>
              </w:rPr>
            </w:pPr>
            <w:r w:rsidRPr="000B68C8">
              <w:rPr>
                <w:rFonts w:cs="Times New Roman"/>
                <w:szCs w:val="20"/>
                <w:lang w:eastAsia="en-GB"/>
              </w:rPr>
              <w:t>Australia</w:t>
            </w:r>
          </w:p>
        </w:tc>
      </w:tr>
      <w:tr w:rsidR="00F65C70" w:rsidRPr="000B68C8" w14:paraId="4C48F0C0" w14:textId="5BC35C30" w:rsidTr="00342407">
        <w:trPr>
          <w:trHeight w:val="20"/>
        </w:trPr>
        <w:tc>
          <w:tcPr>
            <w:tcW w:w="1885" w:type="pct"/>
            <w:tcBorders>
              <w:right w:val="single" w:sz="4" w:space="0" w:color="auto"/>
            </w:tcBorders>
            <w:shd w:val="clear" w:color="auto" w:fill="auto"/>
            <w:vAlign w:val="center"/>
          </w:tcPr>
          <w:p w14:paraId="47FD8DCC" w14:textId="07573C9D" w:rsidR="00F65C70" w:rsidRPr="000B68C8" w:rsidRDefault="00F65C70" w:rsidP="00F65C70">
            <w:pPr>
              <w:pStyle w:val="NoSpacing"/>
              <w:jc w:val="center"/>
              <w:rPr>
                <w:rFonts w:cs="Times New Roman"/>
                <w:szCs w:val="20"/>
                <w:lang w:eastAsia="en-GB"/>
              </w:rPr>
            </w:pPr>
            <w:r w:rsidRPr="000B68C8">
              <w:rPr>
                <w:rFonts w:cs="Times New Roman"/>
                <w:szCs w:val="20"/>
                <w:lang w:eastAsia="en-GB"/>
              </w:rPr>
              <w:t>Czech Republic</w:t>
            </w:r>
          </w:p>
        </w:tc>
        <w:tc>
          <w:tcPr>
            <w:tcW w:w="3115" w:type="pct"/>
            <w:tcBorders>
              <w:left w:val="single" w:sz="4" w:space="0" w:color="auto"/>
            </w:tcBorders>
            <w:vAlign w:val="center"/>
          </w:tcPr>
          <w:p w14:paraId="70B47327" w14:textId="6A64BD92" w:rsidR="00F65C70" w:rsidRPr="000B68C8" w:rsidRDefault="00F65C70" w:rsidP="00F65C70">
            <w:pPr>
              <w:pStyle w:val="NoSpacing"/>
              <w:jc w:val="center"/>
              <w:rPr>
                <w:rFonts w:cs="Times New Roman"/>
                <w:szCs w:val="20"/>
                <w:lang w:eastAsia="en-GB"/>
              </w:rPr>
            </w:pPr>
            <w:r w:rsidRPr="000B68C8">
              <w:rPr>
                <w:rFonts w:cs="Times New Roman"/>
                <w:szCs w:val="20"/>
                <w:lang w:eastAsia="en-GB"/>
              </w:rPr>
              <w:t>Norway</w:t>
            </w:r>
          </w:p>
        </w:tc>
      </w:tr>
      <w:tr w:rsidR="00F65C70" w:rsidRPr="000B68C8" w14:paraId="27704A75" w14:textId="7505ACB4" w:rsidTr="00342407">
        <w:trPr>
          <w:trHeight w:val="20"/>
        </w:trPr>
        <w:tc>
          <w:tcPr>
            <w:tcW w:w="1885" w:type="pct"/>
            <w:tcBorders>
              <w:right w:val="single" w:sz="4" w:space="0" w:color="auto"/>
            </w:tcBorders>
            <w:shd w:val="clear" w:color="auto" w:fill="auto"/>
            <w:vAlign w:val="center"/>
          </w:tcPr>
          <w:p w14:paraId="2548DDC1" w14:textId="5073C6E5" w:rsidR="00F65C70" w:rsidRPr="000B68C8" w:rsidRDefault="00F65C70" w:rsidP="00F65C70">
            <w:pPr>
              <w:pStyle w:val="NoSpacing"/>
              <w:jc w:val="center"/>
              <w:rPr>
                <w:rFonts w:cs="Times New Roman"/>
                <w:szCs w:val="20"/>
                <w:lang w:eastAsia="en-GB"/>
              </w:rPr>
            </w:pPr>
            <w:r w:rsidRPr="000B68C8">
              <w:rPr>
                <w:rFonts w:cs="Times New Roman"/>
                <w:szCs w:val="20"/>
                <w:lang w:eastAsia="en-GB"/>
              </w:rPr>
              <w:t>Denmark</w:t>
            </w:r>
          </w:p>
        </w:tc>
        <w:tc>
          <w:tcPr>
            <w:tcW w:w="3115" w:type="pct"/>
            <w:tcBorders>
              <w:left w:val="single" w:sz="4" w:space="0" w:color="auto"/>
            </w:tcBorders>
            <w:vAlign w:val="center"/>
          </w:tcPr>
          <w:p w14:paraId="75BF6541" w14:textId="35C968AD" w:rsidR="00F65C70" w:rsidRPr="000B68C8" w:rsidRDefault="00F65C70" w:rsidP="00F65C70">
            <w:pPr>
              <w:pStyle w:val="NoSpacing"/>
              <w:jc w:val="center"/>
              <w:rPr>
                <w:rFonts w:cs="Times New Roman"/>
                <w:szCs w:val="20"/>
                <w:lang w:eastAsia="en-GB"/>
              </w:rPr>
            </w:pPr>
            <w:r w:rsidRPr="000B68C8">
              <w:rPr>
                <w:rFonts w:cs="Times New Roman"/>
                <w:szCs w:val="20"/>
                <w:lang w:eastAsia="en-GB"/>
              </w:rPr>
              <w:t>Canada</w:t>
            </w:r>
          </w:p>
        </w:tc>
      </w:tr>
      <w:tr w:rsidR="00F65C70" w:rsidRPr="000B68C8" w14:paraId="4919CF91" w14:textId="625E4520" w:rsidTr="00342407">
        <w:trPr>
          <w:trHeight w:val="20"/>
        </w:trPr>
        <w:tc>
          <w:tcPr>
            <w:tcW w:w="1885" w:type="pct"/>
            <w:tcBorders>
              <w:right w:val="single" w:sz="4" w:space="0" w:color="auto"/>
            </w:tcBorders>
            <w:shd w:val="clear" w:color="auto" w:fill="auto"/>
            <w:vAlign w:val="center"/>
          </w:tcPr>
          <w:p w14:paraId="19E540E6" w14:textId="76A1D3D7" w:rsidR="00F65C70" w:rsidRPr="000B68C8" w:rsidRDefault="00F65C70" w:rsidP="00F65C70">
            <w:pPr>
              <w:pStyle w:val="NoSpacing"/>
              <w:jc w:val="center"/>
              <w:rPr>
                <w:rFonts w:cs="Times New Roman"/>
                <w:szCs w:val="20"/>
                <w:lang w:eastAsia="en-GB"/>
              </w:rPr>
            </w:pPr>
            <w:r w:rsidRPr="000B68C8">
              <w:rPr>
                <w:rFonts w:cs="Times New Roman"/>
                <w:szCs w:val="20"/>
                <w:lang w:eastAsia="en-GB"/>
              </w:rPr>
              <w:t>Estonia</w:t>
            </w:r>
          </w:p>
        </w:tc>
        <w:tc>
          <w:tcPr>
            <w:tcW w:w="3115" w:type="pct"/>
            <w:tcBorders>
              <w:left w:val="single" w:sz="4" w:space="0" w:color="auto"/>
            </w:tcBorders>
            <w:vAlign w:val="center"/>
          </w:tcPr>
          <w:p w14:paraId="558ECB71" w14:textId="0AC17823" w:rsidR="00F65C70" w:rsidRPr="000B68C8" w:rsidRDefault="00F65C70" w:rsidP="00F65C70">
            <w:pPr>
              <w:pStyle w:val="NoSpacing"/>
              <w:jc w:val="center"/>
              <w:rPr>
                <w:rFonts w:cs="Times New Roman"/>
                <w:szCs w:val="20"/>
                <w:lang w:eastAsia="en-GB"/>
              </w:rPr>
            </w:pPr>
            <w:r w:rsidRPr="000B68C8">
              <w:rPr>
                <w:rFonts w:cs="Times New Roman"/>
                <w:szCs w:val="20"/>
                <w:lang w:eastAsia="en-GB"/>
              </w:rPr>
              <w:t>USA</w:t>
            </w:r>
          </w:p>
        </w:tc>
      </w:tr>
      <w:tr w:rsidR="00F65C70" w:rsidRPr="000B68C8" w14:paraId="3A377F8A" w14:textId="14107CB4" w:rsidTr="00342407">
        <w:trPr>
          <w:trHeight w:val="20"/>
        </w:trPr>
        <w:tc>
          <w:tcPr>
            <w:tcW w:w="1885" w:type="pct"/>
            <w:tcBorders>
              <w:right w:val="single" w:sz="4" w:space="0" w:color="auto"/>
            </w:tcBorders>
            <w:shd w:val="clear" w:color="auto" w:fill="auto"/>
            <w:vAlign w:val="center"/>
          </w:tcPr>
          <w:p w14:paraId="7E3CD4C6" w14:textId="322849D9" w:rsidR="00F65C70" w:rsidRPr="000B68C8" w:rsidRDefault="00F65C70" w:rsidP="00F65C70">
            <w:pPr>
              <w:pStyle w:val="NoSpacing"/>
              <w:jc w:val="center"/>
              <w:rPr>
                <w:rFonts w:cs="Times New Roman"/>
                <w:szCs w:val="20"/>
                <w:lang w:eastAsia="en-GB"/>
              </w:rPr>
            </w:pPr>
            <w:r w:rsidRPr="000B68C8">
              <w:rPr>
                <w:rFonts w:cs="Times New Roman"/>
                <w:szCs w:val="20"/>
                <w:lang w:eastAsia="en-GB"/>
              </w:rPr>
              <w:t>Finland</w:t>
            </w:r>
          </w:p>
        </w:tc>
        <w:tc>
          <w:tcPr>
            <w:tcW w:w="3115" w:type="pct"/>
            <w:tcBorders>
              <w:left w:val="single" w:sz="4" w:space="0" w:color="auto"/>
            </w:tcBorders>
            <w:vAlign w:val="center"/>
          </w:tcPr>
          <w:p w14:paraId="578CB62B" w14:textId="3B2A8E89" w:rsidR="00F65C70" w:rsidRPr="000B68C8" w:rsidRDefault="00F65C70" w:rsidP="00F65C70">
            <w:pPr>
              <w:pStyle w:val="NoSpacing"/>
              <w:jc w:val="center"/>
              <w:rPr>
                <w:rFonts w:cs="Times New Roman"/>
                <w:szCs w:val="20"/>
                <w:lang w:eastAsia="en-GB"/>
              </w:rPr>
            </w:pPr>
            <w:r w:rsidRPr="000B68C8">
              <w:rPr>
                <w:rFonts w:cs="Times New Roman"/>
                <w:szCs w:val="20"/>
                <w:lang w:eastAsia="en-GB"/>
              </w:rPr>
              <w:t>New Zealand</w:t>
            </w:r>
          </w:p>
        </w:tc>
      </w:tr>
      <w:tr w:rsidR="00F65C70" w:rsidRPr="000B68C8" w14:paraId="4E223899" w14:textId="4C9900A3" w:rsidTr="00342407">
        <w:trPr>
          <w:trHeight w:val="20"/>
        </w:trPr>
        <w:tc>
          <w:tcPr>
            <w:tcW w:w="1885" w:type="pct"/>
            <w:tcBorders>
              <w:right w:val="single" w:sz="4" w:space="0" w:color="auto"/>
            </w:tcBorders>
            <w:shd w:val="clear" w:color="auto" w:fill="auto"/>
            <w:vAlign w:val="center"/>
          </w:tcPr>
          <w:p w14:paraId="7E24A23D" w14:textId="73B5DF6C" w:rsidR="00F65C70" w:rsidRPr="000B68C8" w:rsidRDefault="00F65C70" w:rsidP="00F65C70">
            <w:pPr>
              <w:pStyle w:val="NoSpacing"/>
              <w:jc w:val="center"/>
              <w:rPr>
                <w:rFonts w:cs="Times New Roman"/>
                <w:szCs w:val="20"/>
                <w:lang w:eastAsia="en-GB"/>
              </w:rPr>
            </w:pPr>
            <w:r w:rsidRPr="000B68C8">
              <w:rPr>
                <w:rFonts w:cs="Times New Roman"/>
                <w:szCs w:val="20"/>
                <w:lang w:eastAsia="en-GB"/>
              </w:rPr>
              <w:t>France</w:t>
            </w:r>
          </w:p>
        </w:tc>
        <w:tc>
          <w:tcPr>
            <w:tcW w:w="3115" w:type="pct"/>
            <w:tcBorders>
              <w:left w:val="single" w:sz="4" w:space="0" w:color="auto"/>
            </w:tcBorders>
            <w:vAlign w:val="center"/>
          </w:tcPr>
          <w:p w14:paraId="24BA44A8" w14:textId="35A1A667" w:rsidR="00F65C70" w:rsidRPr="000B68C8" w:rsidRDefault="00F65C70" w:rsidP="00F65C70">
            <w:pPr>
              <w:pStyle w:val="NoSpacing"/>
              <w:jc w:val="center"/>
              <w:rPr>
                <w:rFonts w:cs="Times New Roman"/>
                <w:szCs w:val="20"/>
                <w:lang w:eastAsia="en-GB"/>
              </w:rPr>
            </w:pPr>
            <w:r w:rsidRPr="000B68C8">
              <w:rPr>
                <w:rFonts w:cs="Times New Roman"/>
                <w:szCs w:val="20"/>
                <w:lang w:eastAsia="en-GB"/>
              </w:rPr>
              <w:t>UK – England, Scotland and Wales</w:t>
            </w:r>
          </w:p>
        </w:tc>
      </w:tr>
      <w:tr w:rsidR="00F65C70" w:rsidRPr="000B68C8" w14:paraId="03407CCC" w14:textId="64538862" w:rsidTr="00342407">
        <w:trPr>
          <w:trHeight w:val="20"/>
        </w:trPr>
        <w:tc>
          <w:tcPr>
            <w:tcW w:w="1885" w:type="pct"/>
            <w:tcBorders>
              <w:right w:val="single" w:sz="4" w:space="0" w:color="auto"/>
            </w:tcBorders>
            <w:shd w:val="clear" w:color="auto" w:fill="auto"/>
            <w:vAlign w:val="center"/>
          </w:tcPr>
          <w:p w14:paraId="11E2129D" w14:textId="18EB4820" w:rsidR="00F65C70" w:rsidRPr="000B68C8" w:rsidRDefault="00F65C70" w:rsidP="00F65C70">
            <w:pPr>
              <w:pStyle w:val="NoSpacing"/>
              <w:jc w:val="center"/>
              <w:rPr>
                <w:rFonts w:cs="Times New Roman"/>
                <w:szCs w:val="20"/>
                <w:lang w:eastAsia="en-GB"/>
              </w:rPr>
            </w:pPr>
            <w:r w:rsidRPr="000B68C8">
              <w:rPr>
                <w:rFonts w:cs="Times New Roman"/>
                <w:szCs w:val="20"/>
                <w:lang w:eastAsia="en-GB"/>
              </w:rPr>
              <w:t>Germany</w:t>
            </w:r>
          </w:p>
        </w:tc>
        <w:tc>
          <w:tcPr>
            <w:tcW w:w="3115" w:type="pct"/>
            <w:tcBorders>
              <w:left w:val="single" w:sz="4" w:space="0" w:color="auto"/>
            </w:tcBorders>
            <w:vAlign w:val="center"/>
          </w:tcPr>
          <w:p w14:paraId="73A40751" w14:textId="2E6A2EC5" w:rsidR="00F65C70" w:rsidRPr="000B68C8" w:rsidRDefault="00F65C70" w:rsidP="00F65C70">
            <w:pPr>
              <w:pStyle w:val="NoSpacing"/>
              <w:jc w:val="center"/>
              <w:rPr>
                <w:rFonts w:cs="Times New Roman"/>
                <w:szCs w:val="20"/>
                <w:lang w:eastAsia="en-GB"/>
              </w:rPr>
            </w:pPr>
            <w:r w:rsidRPr="000B68C8">
              <w:rPr>
                <w:rFonts w:cs="Times New Roman"/>
                <w:szCs w:val="20"/>
                <w:lang w:eastAsia="en-GB"/>
              </w:rPr>
              <w:t>Russia</w:t>
            </w:r>
          </w:p>
        </w:tc>
      </w:tr>
      <w:tr w:rsidR="00F65C70" w:rsidRPr="000B68C8" w14:paraId="3629C391" w14:textId="3C3575D5" w:rsidTr="00342407">
        <w:trPr>
          <w:trHeight w:val="20"/>
        </w:trPr>
        <w:tc>
          <w:tcPr>
            <w:tcW w:w="1885" w:type="pct"/>
            <w:tcBorders>
              <w:right w:val="single" w:sz="4" w:space="0" w:color="auto"/>
            </w:tcBorders>
            <w:shd w:val="clear" w:color="auto" w:fill="auto"/>
            <w:vAlign w:val="center"/>
          </w:tcPr>
          <w:p w14:paraId="5C006272" w14:textId="79DDDA01" w:rsidR="00F65C70" w:rsidRPr="000B68C8" w:rsidRDefault="00F65C70" w:rsidP="00F65C70">
            <w:pPr>
              <w:pStyle w:val="NoSpacing"/>
              <w:jc w:val="center"/>
              <w:rPr>
                <w:rFonts w:cs="Times New Roman"/>
                <w:szCs w:val="20"/>
                <w:lang w:eastAsia="en-GB"/>
              </w:rPr>
            </w:pPr>
            <w:r w:rsidRPr="000B68C8">
              <w:rPr>
                <w:rFonts w:cs="Times New Roman"/>
                <w:szCs w:val="20"/>
                <w:lang w:eastAsia="en-GB"/>
              </w:rPr>
              <w:t>Hungary</w:t>
            </w:r>
          </w:p>
        </w:tc>
        <w:tc>
          <w:tcPr>
            <w:tcW w:w="3115" w:type="pct"/>
            <w:tcBorders>
              <w:left w:val="single" w:sz="4" w:space="0" w:color="auto"/>
            </w:tcBorders>
            <w:vAlign w:val="center"/>
          </w:tcPr>
          <w:p w14:paraId="69F63E59" w14:textId="66D5D7A8" w:rsidR="00F65C70" w:rsidRPr="000B68C8" w:rsidRDefault="00F65C70" w:rsidP="00F65C70">
            <w:pPr>
              <w:pStyle w:val="NoSpacing"/>
              <w:jc w:val="center"/>
              <w:rPr>
                <w:rFonts w:cs="Times New Roman"/>
                <w:szCs w:val="20"/>
                <w:lang w:eastAsia="en-GB"/>
              </w:rPr>
            </w:pPr>
            <w:r w:rsidRPr="000B68C8">
              <w:rPr>
                <w:rFonts w:cs="Times New Roman"/>
                <w:szCs w:val="20"/>
                <w:lang w:eastAsia="en-GB"/>
              </w:rPr>
              <w:t>Switzerland</w:t>
            </w:r>
          </w:p>
        </w:tc>
      </w:tr>
      <w:tr w:rsidR="00F65C70" w:rsidRPr="000B68C8" w14:paraId="04F010CC" w14:textId="74B37567" w:rsidTr="00342407">
        <w:trPr>
          <w:trHeight w:val="20"/>
        </w:trPr>
        <w:tc>
          <w:tcPr>
            <w:tcW w:w="1885" w:type="pct"/>
            <w:tcBorders>
              <w:right w:val="single" w:sz="4" w:space="0" w:color="auto"/>
            </w:tcBorders>
            <w:shd w:val="clear" w:color="auto" w:fill="auto"/>
            <w:vAlign w:val="center"/>
          </w:tcPr>
          <w:p w14:paraId="7B405C9A" w14:textId="02951E12" w:rsidR="00F65C70" w:rsidRPr="000B68C8" w:rsidRDefault="00F65C70" w:rsidP="00F65C70">
            <w:pPr>
              <w:pStyle w:val="NoSpacing"/>
              <w:jc w:val="center"/>
              <w:rPr>
                <w:rFonts w:cs="Times New Roman"/>
                <w:szCs w:val="20"/>
                <w:lang w:eastAsia="en-GB"/>
              </w:rPr>
            </w:pPr>
            <w:r w:rsidRPr="000B68C8">
              <w:rPr>
                <w:rFonts w:cs="Times New Roman"/>
                <w:szCs w:val="20"/>
                <w:lang w:eastAsia="en-GB"/>
              </w:rPr>
              <w:t>Ireland</w:t>
            </w:r>
          </w:p>
        </w:tc>
        <w:tc>
          <w:tcPr>
            <w:tcW w:w="3115" w:type="pct"/>
            <w:tcBorders>
              <w:left w:val="single" w:sz="4" w:space="0" w:color="auto"/>
            </w:tcBorders>
            <w:vAlign w:val="center"/>
          </w:tcPr>
          <w:p w14:paraId="23ABD4AD" w14:textId="06C6AF65" w:rsidR="00F65C70" w:rsidRPr="000B68C8" w:rsidRDefault="00F65C70" w:rsidP="00F65C70">
            <w:pPr>
              <w:pStyle w:val="NoSpacing"/>
              <w:jc w:val="center"/>
              <w:rPr>
                <w:rFonts w:cs="Times New Roman"/>
                <w:szCs w:val="20"/>
                <w:lang w:eastAsia="en-GB"/>
              </w:rPr>
            </w:pPr>
          </w:p>
        </w:tc>
      </w:tr>
      <w:tr w:rsidR="00F65C70" w:rsidRPr="000B68C8" w14:paraId="28608E79" w14:textId="31EE1EDB" w:rsidTr="00342407">
        <w:trPr>
          <w:trHeight w:val="20"/>
        </w:trPr>
        <w:tc>
          <w:tcPr>
            <w:tcW w:w="1885" w:type="pct"/>
            <w:tcBorders>
              <w:right w:val="single" w:sz="4" w:space="0" w:color="auto"/>
            </w:tcBorders>
            <w:shd w:val="clear" w:color="auto" w:fill="auto"/>
            <w:vAlign w:val="center"/>
          </w:tcPr>
          <w:p w14:paraId="08C125EC" w14:textId="3643C6D0" w:rsidR="00F65C70" w:rsidRPr="000B68C8" w:rsidRDefault="00F65C70" w:rsidP="00F65C70">
            <w:pPr>
              <w:pStyle w:val="NoSpacing"/>
              <w:jc w:val="center"/>
              <w:rPr>
                <w:rFonts w:cs="Times New Roman"/>
                <w:szCs w:val="20"/>
                <w:lang w:eastAsia="en-GB"/>
              </w:rPr>
            </w:pPr>
            <w:r w:rsidRPr="000B68C8">
              <w:rPr>
                <w:rFonts w:cs="Times New Roman"/>
                <w:szCs w:val="20"/>
                <w:lang w:eastAsia="en-GB"/>
              </w:rPr>
              <w:t>Italy</w:t>
            </w:r>
          </w:p>
        </w:tc>
        <w:tc>
          <w:tcPr>
            <w:tcW w:w="3115" w:type="pct"/>
            <w:tcBorders>
              <w:left w:val="single" w:sz="4" w:space="0" w:color="auto"/>
            </w:tcBorders>
            <w:vAlign w:val="center"/>
          </w:tcPr>
          <w:p w14:paraId="17228D48" w14:textId="0F4361FA" w:rsidR="00F65C70" w:rsidRPr="000B68C8" w:rsidRDefault="00F65C70" w:rsidP="00F65C70">
            <w:pPr>
              <w:pStyle w:val="NoSpacing"/>
              <w:jc w:val="center"/>
              <w:rPr>
                <w:rFonts w:cs="Times New Roman"/>
                <w:szCs w:val="20"/>
                <w:lang w:eastAsia="en-GB"/>
              </w:rPr>
            </w:pPr>
          </w:p>
        </w:tc>
      </w:tr>
      <w:tr w:rsidR="00F65C70" w:rsidRPr="000B68C8" w14:paraId="2EAE5D52" w14:textId="351E8771" w:rsidTr="00342407">
        <w:trPr>
          <w:trHeight w:val="20"/>
        </w:trPr>
        <w:tc>
          <w:tcPr>
            <w:tcW w:w="1885" w:type="pct"/>
            <w:tcBorders>
              <w:right w:val="single" w:sz="4" w:space="0" w:color="auto"/>
            </w:tcBorders>
            <w:shd w:val="clear" w:color="auto" w:fill="auto"/>
            <w:vAlign w:val="center"/>
          </w:tcPr>
          <w:p w14:paraId="1B467C85" w14:textId="05192C1C" w:rsidR="00F65C70" w:rsidRPr="000B68C8" w:rsidRDefault="00F65C70" w:rsidP="00F65C70">
            <w:pPr>
              <w:pStyle w:val="NoSpacing"/>
              <w:jc w:val="center"/>
              <w:rPr>
                <w:rFonts w:cs="Times New Roman"/>
                <w:szCs w:val="20"/>
                <w:lang w:eastAsia="en-GB"/>
              </w:rPr>
            </w:pPr>
            <w:r w:rsidRPr="000B68C8">
              <w:rPr>
                <w:rFonts w:cs="Times New Roman"/>
                <w:szCs w:val="20"/>
                <w:lang w:eastAsia="en-GB"/>
              </w:rPr>
              <w:t>Netherlands</w:t>
            </w:r>
          </w:p>
        </w:tc>
        <w:tc>
          <w:tcPr>
            <w:tcW w:w="3115" w:type="pct"/>
            <w:tcBorders>
              <w:left w:val="single" w:sz="4" w:space="0" w:color="auto"/>
            </w:tcBorders>
            <w:vAlign w:val="center"/>
          </w:tcPr>
          <w:p w14:paraId="6F3EC7AD" w14:textId="6970C98D" w:rsidR="00F65C70" w:rsidRPr="000B68C8" w:rsidRDefault="00F65C70" w:rsidP="00F65C70">
            <w:pPr>
              <w:pStyle w:val="NoSpacing"/>
              <w:jc w:val="center"/>
              <w:rPr>
                <w:rFonts w:cs="Times New Roman"/>
                <w:szCs w:val="20"/>
                <w:lang w:eastAsia="en-GB"/>
              </w:rPr>
            </w:pPr>
          </w:p>
        </w:tc>
      </w:tr>
      <w:tr w:rsidR="00F65C70" w:rsidRPr="000B68C8" w14:paraId="7EB64212" w14:textId="53494DDF" w:rsidTr="00342407">
        <w:trPr>
          <w:trHeight w:val="20"/>
        </w:trPr>
        <w:tc>
          <w:tcPr>
            <w:tcW w:w="1885" w:type="pct"/>
            <w:tcBorders>
              <w:right w:val="single" w:sz="4" w:space="0" w:color="auto"/>
            </w:tcBorders>
            <w:shd w:val="clear" w:color="auto" w:fill="auto"/>
            <w:vAlign w:val="center"/>
          </w:tcPr>
          <w:p w14:paraId="723EEF53" w14:textId="48DDD152" w:rsidR="00F65C70" w:rsidRPr="000B68C8" w:rsidRDefault="00F65C70" w:rsidP="00F65C70">
            <w:pPr>
              <w:pStyle w:val="NoSpacing"/>
              <w:jc w:val="center"/>
              <w:rPr>
                <w:rFonts w:cs="Times New Roman"/>
                <w:szCs w:val="20"/>
                <w:lang w:eastAsia="en-GB"/>
              </w:rPr>
            </w:pPr>
            <w:r w:rsidRPr="000B68C8">
              <w:rPr>
                <w:rFonts w:cs="Times New Roman"/>
                <w:szCs w:val="20"/>
                <w:lang w:eastAsia="en-GB"/>
              </w:rPr>
              <w:t>Romania</w:t>
            </w:r>
          </w:p>
        </w:tc>
        <w:tc>
          <w:tcPr>
            <w:tcW w:w="3115" w:type="pct"/>
            <w:tcBorders>
              <w:left w:val="single" w:sz="4" w:space="0" w:color="auto"/>
            </w:tcBorders>
          </w:tcPr>
          <w:p w14:paraId="3E3D5095" w14:textId="77777777" w:rsidR="00F65C70" w:rsidRPr="000B68C8" w:rsidRDefault="00F65C70" w:rsidP="00F65C70">
            <w:pPr>
              <w:pStyle w:val="NoSpacing"/>
              <w:jc w:val="center"/>
              <w:rPr>
                <w:rFonts w:cs="Times New Roman"/>
                <w:szCs w:val="20"/>
                <w:lang w:eastAsia="en-GB"/>
              </w:rPr>
            </w:pPr>
          </w:p>
        </w:tc>
      </w:tr>
      <w:tr w:rsidR="00F65C70" w:rsidRPr="000B68C8" w14:paraId="6F6BA29B" w14:textId="50E6138D" w:rsidTr="00342407">
        <w:trPr>
          <w:trHeight w:val="20"/>
        </w:trPr>
        <w:tc>
          <w:tcPr>
            <w:tcW w:w="1885" w:type="pct"/>
            <w:tcBorders>
              <w:right w:val="single" w:sz="4" w:space="0" w:color="auto"/>
            </w:tcBorders>
            <w:shd w:val="clear" w:color="auto" w:fill="auto"/>
            <w:vAlign w:val="center"/>
          </w:tcPr>
          <w:p w14:paraId="3111B4FC" w14:textId="147EFE3A" w:rsidR="00F65C70" w:rsidRPr="000B68C8" w:rsidRDefault="00F65C70" w:rsidP="00F65C70">
            <w:pPr>
              <w:pStyle w:val="NoSpacing"/>
              <w:jc w:val="center"/>
              <w:rPr>
                <w:rFonts w:cs="Times New Roman"/>
                <w:szCs w:val="20"/>
                <w:lang w:eastAsia="en-GB"/>
              </w:rPr>
            </w:pPr>
            <w:r w:rsidRPr="000B68C8">
              <w:rPr>
                <w:rFonts w:cs="Times New Roman"/>
                <w:szCs w:val="20"/>
                <w:lang w:eastAsia="en-GB"/>
              </w:rPr>
              <w:t>Slovakia</w:t>
            </w:r>
          </w:p>
        </w:tc>
        <w:tc>
          <w:tcPr>
            <w:tcW w:w="3115" w:type="pct"/>
            <w:tcBorders>
              <w:left w:val="single" w:sz="4" w:space="0" w:color="auto"/>
            </w:tcBorders>
          </w:tcPr>
          <w:p w14:paraId="2588D5ED" w14:textId="77777777" w:rsidR="00F65C70" w:rsidRPr="000B68C8" w:rsidRDefault="00F65C70" w:rsidP="00F65C70">
            <w:pPr>
              <w:pStyle w:val="NoSpacing"/>
              <w:jc w:val="center"/>
              <w:rPr>
                <w:rFonts w:cs="Times New Roman"/>
                <w:szCs w:val="20"/>
                <w:lang w:eastAsia="en-GB"/>
              </w:rPr>
            </w:pPr>
          </w:p>
        </w:tc>
      </w:tr>
      <w:tr w:rsidR="00F65C70" w:rsidRPr="000B68C8" w14:paraId="6F158FBE" w14:textId="3DCC6180" w:rsidTr="00342407">
        <w:trPr>
          <w:trHeight w:val="20"/>
        </w:trPr>
        <w:tc>
          <w:tcPr>
            <w:tcW w:w="1885" w:type="pct"/>
            <w:tcBorders>
              <w:right w:val="single" w:sz="4" w:space="0" w:color="auto"/>
            </w:tcBorders>
            <w:shd w:val="clear" w:color="auto" w:fill="auto"/>
            <w:vAlign w:val="center"/>
          </w:tcPr>
          <w:p w14:paraId="0F49FFFC" w14:textId="7BB2663E" w:rsidR="00F65C70" w:rsidRPr="000B68C8" w:rsidRDefault="00F65C70" w:rsidP="00F65C70">
            <w:pPr>
              <w:pStyle w:val="NoSpacing"/>
              <w:jc w:val="center"/>
              <w:rPr>
                <w:rFonts w:cs="Times New Roman"/>
                <w:szCs w:val="20"/>
                <w:lang w:eastAsia="en-GB"/>
              </w:rPr>
            </w:pPr>
            <w:r w:rsidRPr="000B68C8">
              <w:rPr>
                <w:rFonts w:cs="Times New Roman"/>
                <w:szCs w:val="20"/>
                <w:lang w:eastAsia="en-GB"/>
              </w:rPr>
              <w:t>Slovenia</w:t>
            </w:r>
          </w:p>
        </w:tc>
        <w:tc>
          <w:tcPr>
            <w:tcW w:w="3115" w:type="pct"/>
            <w:tcBorders>
              <w:left w:val="single" w:sz="4" w:space="0" w:color="auto"/>
            </w:tcBorders>
          </w:tcPr>
          <w:p w14:paraId="64C5323B" w14:textId="77777777" w:rsidR="00F65C70" w:rsidRPr="000B68C8" w:rsidRDefault="00F65C70" w:rsidP="00F65C70">
            <w:pPr>
              <w:pStyle w:val="NoSpacing"/>
              <w:jc w:val="center"/>
              <w:rPr>
                <w:rFonts w:cs="Times New Roman"/>
                <w:szCs w:val="20"/>
                <w:lang w:eastAsia="en-GB"/>
              </w:rPr>
            </w:pPr>
          </w:p>
        </w:tc>
      </w:tr>
      <w:tr w:rsidR="00F65C70" w:rsidRPr="000B68C8" w14:paraId="213D5633" w14:textId="5DE4AABE" w:rsidTr="00342407">
        <w:trPr>
          <w:trHeight w:val="20"/>
        </w:trPr>
        <w:tc>
          <w:tcPr>
            <w:tcW w:w="1885" w:type="pct"/>
            <w:tcBorders>
              <w:bottom w:val="single" w:sz="4" w:space="0" w:color="auto"/>
              <w:right w:val="single" w:sz="4" w:space="0" w:color="auto"/>
            </w:tcBorders>
            <w:shd w:val="clear" w:color="auto" w:fill="auto"/>
            <w:vAlign w:val="center"/>
            <w:hideMark/>
          </w:tcPr>
          <w:p w14:paraId="47373830" w14:textId="77777777" w:rsidR="00F65C70" w:rsidRPr="000B68C8" w:rsidRDefault="00F65C70" w:rsidP="00F65C70">
            <w:pPr>
              <w:pStyle w:val="NoSpacing"/>
              <w:jc w:val="center"/>
              <w:rPr>
                <w:rFonts w:cs="Times New Roman"/>
                <w:szCs w:val="20"/>
                <w:lang w:eastAsia="en-GB"/>
              </w:rPr>
            </w:pPr>
            <w:r w:rsidRPr="000B68C8">
              <w:rPr>
                <w:rFonts w:cs="Times New Roman"/>
                <w:szCs w:val="20"/>
                <w:lang w:eastAsia="en-GB"/>
              </w:rPr>
              <w:t>Sweden</w:t>
            </w:r>
          </w:p>
        </w:tc>
        <w:tc>
          <w:tcPr>
            <w:tcW w:w="3115" w:type="pct"/>
            <w:tcBorders>
              <w:left w:val="single" w:sz="4" w:space="0" w:color="auto"/>
            </w:tcBorders>
          </w:tcPr>
          <w:p w14:paraId="28772460" w14:textId="77777777" w:rsidR="00F65C70" w:rsidRPr="000B68C8" w:rsidRDefault="00F65C70" w:rsidP="00F65C70">
            <w:pPr>
              <w:pStyle w:val="NoSpacing"/>
              <w:jc w:val="center"/>
              <w:rPr>
                <w:rFonts w:cs="Times New Roman"/>
                <w:szCs w:val="20"/>
                <w:lang w:eastAsia="en-GB"/>
              </w:rPr>
            </w:pPr>
          </w:p>
        </w:tc>
      </w:tr>
    </w:tbl>
    <w:p w14:paraId="5AF43C52" w14:textId="3C25FA68" w:rsidR="00E83945" w:rsidRPr="000B68C8" w:rsidRDefault="00990782" w:rsidP="006362F9">
      <w:bookmarkStart w:id="19" w:name="_Ref87439651"/>
      <w:r w:rsidRPr="000B68C8">
        <w:t xml:space="preserve">Therefore, prior to the creation of a common terminology able to standardize fire statistical variables, the research defined the need to evaluate the fire statistical variables that are considered fundamental in the assessment of </w:t>
      </w:r>
      <w:r w:rsidR="00081617" w:rsidRPr="000B68C8">
        <w:t>f</w:t>
      </w:r>
      <w:r w:rsidRPr="000B68C8">
        <w:t>ire incidents and fire scenarios</w:t>
      </w:r>
      <w:r w:rsidR="00081617" w:rsidRPr="000B68C8">
        <w:t xml:space="preserve"> </w:t>
      </w:r>
      <w:r w:rsidR="0093024E" w:rsidRPr="000B68C8">
        <w:t xml:space="preserve">by </w:t>
      </w:r>
      <w:r w:rsidR="00081617" w:rsidRPr="000B68C8">
        <w:t>preparing a questionnaire.</w:t>
      </w:r>
    </w:p>
    <w:p w14:paraId="74C721E9" w14:textId="706B2EED" w:rsidR="000948AB" w:rsidRPr="000B68C8" w:rsidRDefault="001D199F" w:rsidP="00342407">
      <w:pPr>
        <w:pStyle w:val="Heading2"/>
      </w:pPr>
      <w:bookmarkStart w:id="20" w:name="_Ref96438552"/>
      <w:r w:rsidRPr="000B68C8">
        <w:t>T</w:t>
      </w:r>
      <w:r w:rsidR="007E3179" w:rsidRPr="000B68C8">
        <w:t>he quest</w:t>
      </w:r>
      <w:r w:rsidRPr="000B68C8">
        <w:t xml:space="preserve"> for </w:t>
      </w:r>
      <w:r w:rsidR="006546CF" w:rsidRPr="000B68C8">
        <w:t>essential variables to be collected</w:t>
      </w:r>
      <w:bookmarkEnd w:id="19"/>
      <w:bookmarkEnd w:id="20"/>
    </w:p>
    <w:p w14:paraId="24FF0CFD" w14:textId="14A31558" w:rsidR="002D362A" w:rsidRPr="000B68C8" w:rsidRDefault="007F2250" w:rsidP="002D362A">
      <w:r w:rsidRPr="000B68C8">
        <w:t>Following</w:t>
      </w:r>
      <w:r w:rsidR="00217166" w:rsidRPr="000B68C8">
        <w:t xml:space="preserve"> </w:t>
      </w:r>
      <w:r w:rsidR="00E83945" w:rsidRPr="000B68C8">
        <w:t xml:space="preserve">the </w:t>
      </w:r>
      <w:r w:rsidR="00217166" w:rsidRPr="000B68C8">
        <w:t xml:space="preserve">analysis </w:t>
      </w:r>
      <w:r w:rsidR="00963630" w:rsidRPr="000B68C8">
        <w:t xml:space="preserve">of current fire data </w:t>
      </w:r>
      <w:r w:rsidR="00217166" w:rsidRPr="000B68C8">
        <w:t>practice</w:t>
      </w:r>
      <w:r w:rsidR="00963630" w:rsidRPr="000B68C8">
        <w:t>s</w:t>
      </w:r>
      <w:r w:rsidR="00217166" w:rsidRPr="000B68C8">
        <w:t xml:space="preserve">, the research </w:t>
      </w:r>
      <w:r w:rsidR="00081617" w:rsidRPr="000B68C8">
        <w:t xml:space="preserve">has </w:t>
      </w:r>
      <w:r w:rsidR="00963630" w:rsidRPr="000B68C8">
        <w:t xml:space="preserve">created </w:t>
      </w:r>
      <w:r w:rsidR="00217166" w:rsidRPr="000B68C8">
        <w:t xml:space="preserve">a </w:t>
      </w:r>
      <w:r w:rsidR="00A14700" w:rsidRPr="000B68C8">
        <w:t xml:space="preserve">questionnaire </w:t>
      </w:r>
      <w:r w:rsidR="00217166" w:rsidRPr="000B68C8">
        <w:t xml:space="preserve">to </w:t>
      </w:r>
      <w:r w:rsidR="00963630" w:rsidRPr="000B68C8">
        <w:t xml:space="preserve">propose </w:t>
      </w:r>
      <w:r w:rsidR="00C66580" w:rsidRPr="000B68C8">
        <w:t>f</w:t>
      </w:r>
      <w:r w:rsidR="000948AB" w:rsidRPr="000B68C8">
        <w:t xml:space="preserve">ire data </w:t>
      </w:r>
      <w:r w:rsidR="00963630" w:rsidRPr="000B68C8">
        <w:t xml:space="preserve">elements best suited for </w:t>
      </w:r>
      <w:r w:rsidR="00C360B5" w:rsidRPr="000B68C8">
        <w:t xml:space="preserve">harmonization and collection </w:t>
      </w:r>
      <w:r w:rsidR="003A0D6A" w:rsidRPr="000B68C8">
        <w:t xml:space="preserve">in datasets maintained </w:t>
      </w:r>
      <w:r w:rsidR="00C360B5" w:rsidRPr="000B68C8">
        <w:t xml:space="preserve">by </w:t>
      </w:r>
      <w:r w:rsidR="00E83945" w:rsidRPr="000B68C8">
        <w:t xml:space="preserve">the </w:t>
      </w:r>
      <w:r w:rsidR="000948AB" w:rsidRPr="000B68C8">
        <w:t xml:space="preserve">EU Member States. </w:t>
      </w:r>
      <w:bookmarkStart w:id="21" w:name="_Toc66085648"/>
      <w:bookmarkStart w:id="22" w:name="_Toc66086795"/>
      <w:bookmarkStart w:id="23" w:name="_Toc66085649"/>
      <w:bookmarkStart w:id="24" w:name="_Toc66086796"/>
      <w:bookmarkStart w:id="25" w:name="_Toc65050869"/>
      <w:bookmarkStart w:id="26" w:name="_Toc66085652"/>
      <w:bookmarkStart w:id="27" w:name="_Toc66086799"/>
      <w:bookmarkEnd w:id="21"/>
      <w:bookmarkEnd w:id="22"/>
      <w:bookmarkEnd w:id="23"/>
      <w:bookmarkEnd w:id="24"/>
      <w:bookmarkEnd w:id="25"/>
      <w:bookmarkEnd w:id="26"/>
      <w:bookmarkEnd w:id="27"/>
      <w:r w:rsidR="002D362A" w:rsidRPr="000B68C8">
        <w:t xml:space="preserve">The main goal of the questionnaire was to identify visions, opinions and experiences regarding the data required for a comprehensive investigation of fire incidents able to support knowledge-based decisions regarding fire safety and inform legislative and policy decisions. </w:t>
      </w:r>
    </w:p>
    <w:p w14:paraId="3D4E17AD" w14:textId="55D3D987" w:rsidR="009168AE" w:rsidRPr="000B68C8" w:rsidRDefault="002D362A" w:rsidP="009168AE">
      <w:bookmarkStart w:id="28" w:name="_Hlk126943146"/>
      <w:r w:rsidRPr="000B68C8">
        <w:t xml:space="preserve">The model of influencing factors developed by Kobes et al. </w:t>
      </w:r>
      <w:r w:rsidRPr="000B68C8">
        <w:fldChar w:fldCharType="begin" w:fldLock="1"/>
      </w:r>
      <w:r w:rsidR="007359B2" w:rsidRPr="000B68C8">
        <w:instrText>ADDIN CSL_CITATION {"citationItems":[{"id":"ITEM-1","itemData":{"DOI":"10.1016/j.firesaf.2009.08.005","ISSN":"03797112","abstract":"The most crucial aspect of a building's safety in the face of fire is the possibility of safe escape. An important precondition is that its fire safety facilities enable independent and adequate fire response performances by the building's occupants. In practice, it appears that the measures currently required by law do not always provide the support that people in burning buildings need. Consequently, understanding how individuals behave in the case of fire and fire evacuation is essential if we are to bring fire safety measures into line with occupants' needs during an incident. This paper contains a review of the available literature on human behaviour in a fire so far as building safety is concerned. The findings are presented as an overview of the critical factors which determine occupants' fire response performances, namely the characteristics of fire, human beings and buildings. The study highlights that some of the assumptions about the existing paradigm of fire safety in buildings are not consistent with the knowledge set out in the literature. The key observation is that psychonomics appear to have significant influence on occupants' fire response performances. Accordingly, the traditional approach to fire safety will have to be supplemented by scientific knowledge from this field. Hence, there is a need for a new approach to fire safety design in buildings, which is set out herein. © 2009 Elsevier Ltd. All rights reserved.","author":[{"dropping-particle":"","family":"Kobes","given":"Margrethe","non-dropping-particle":"","parse-names":false,"suffix":""},{"dropping-particle":"","family":"Helsloot","given":"Ira","non-dropping-particle":"","parse-names":false,"suffix":""},{"dropping-particle":"","family":"Vries","given":"Bauke","non-dropping-particle":"de","parse-names":false,"suffix":""},{"dropping-particle":"","family":"Post","given":"Jos G.","non-dropping-particle":"","parse-names":false,"suffix":""}],"container-title":"Fire Safety Journal","id":"ITEM-1","issue":"1","issued":{"date-parts":[["2010"]]},"page":"1-11","publisher":"Elsevier","title":"Building safety and human behaviour in fire: A literature review","type":"article-journal","volume":"45"},"uris":["http://www.mendeley.com/documents/?uuid=7c3e5bc6-0576-47e8-b54d-69ad6640c8ac"]}],"mendeley":{"formattedCitation":"[26]","plainTextFormattedCitation":"[26]","previouslyFormattedCitation":"[26]"},"properties":{"noteIndex":0},"schema":"https://github.com/citation-style-language/schema/raw/master/csl-citation.json"}</w:instrText>
      </w:r>
      <w:r w:rsidRPr="000B68C8">
        <w:fldChar w:fldCharType="separate"/>
      </w:r>
      <w:r w:rsidR="00BC2D97" w:rsidRPr="000B68C8">
        <w:rPr>
          <w:noProof/>
        </w:rPr>
        <w:t>[26]</w:t>
      </w:r>
      <w:r w:rsidRPr="000B68C8">
        <w:fldChar w:fldCharType="end"/>
      </w:r>
      <w:r w:rsidR="009168AE" w:rsidRPr="000B68C8">
        <w:t xml:space="preserve"> was adopted to create the questionnaire as it introduces </w:t>
      </w:r>
      <w:r w:rsidRPr="000B68C8">
        <w:t>four factors that influence fire safety</w:t>
      </w:r>
      <w:r w:rsidR="009168AE" w:rsidRPr="000B68C8">
        <w:t xml:space="preserve">: </w:t>
      </w:r>
      <w:r w:rsidRPr="000B68C8">
        <w:t>human characteristics, building characteristics, fire characteristics and intervention characteristics</w:t>
      </w:r>
      <w:r w:rsidR="0094533E" w:rsidRPr="000B68C8">
        <w:t xml:space="preserve"> (</w:t>
      </w:r>
      <w:r w:rsidR="0094533E" w:rsidRPr="000B68C8">
        <w:fldChar w:fldCharType="begin"/>
      </w:r>
      <w:r w:rsidR="0094533E" w:rsidRPr="000B68C8">
        <w:instrText xml:space="preserve"> REF _Ref126917837 \h </w:instrText>
      </w:r>
      <w:r w:rsidR="000E6921" w:rsidRPr="000B68C8">
        <w:instrText xml:space="preserve"> \* MERGEFORMAT </w:instrText>
      </w:r>
      <w:r w:rsidR="0094533E" w:rsidRPr="000B68C8">
        <w:fldChar w:fldCharType="separate"/>
      </w:r>
      <w:r w:rsidR="00527272" w:rsidRPr="000B68C8">
        <w:t xml:space="preserve">Figure </w:t>
      </w:r>
      <w:r w:rsidR="00527272" w:rsidRPr="000B68C8">
        <w:rPr>
          <w:noProof/>
        </w:rPr>
        <w:t>1</w:t>
      </w:r>
      <w:r w:rsidR="0094533E" w:rsidRPr="000B68C8">
        <w:fldChar w:fldCharType="end"/>
      </w:r>
      <w:r w:rsidR="0094533E" w:rsidRPr="000B68C8">
        <w:t>)</w:t>
      </w:r>
      <w:r w:rsidRPr="000B68C8">
        <w:t xml:space="preserve">. </w:t>
      </w:r>
      <w:r w:rsidR="00771DCF" w:rsidRPr="000B68C8">
        <w:t>Based on the detail</w:t>
      </w:r>
      <w:r w:rsidR="00D1055E" w:rsidRPr="000B68C8">
        <w:t>ed</w:t>
      </w:r>
      <w:r w:rsidR="00771DCF" w:rsidRPr="000B68C8">
        <w:t xml:space="preserve"> investigation of current fire statistics developed in the first phase of the research</w:t>
      </w:r>
      <w:r w:rsidR="005A45AC" w:rsidRPr="000B68C8">
        <w:t xml:space="preserve">, the characteristics related to fire consequences were also considered in the analysis. Therefore, </w:t>
      </w:r>
      <w:r w:rsidR="004A277E" w:rsidRPr="000B68C8">
        <w:t>the fire statistical variables in</w:t>
      </w:r>
      <w:r w:rsidR="00771DCF" w:rsidRPr="000B68C8">
        <w:t xml:space="preserve"> </w:t>
      </w:r>
      <w:r w:rsidR="009168AE" w:rsidRPr="000B68C8">
        <w:rPr>
          <w:sz w:val="20"/>
          <w:szCs w:val="20"/>
        </w:rPr>
        <w:fldChar w:fldCharType="begin"/>
      </w:r>
      <w:r w:rsidR="009168AE" w:rsidRPr="000B68C8">
        <w:instrText xml:space="preserve"> REF _Ref83724733 \h </w:instrText>
      </w:r>
      <w:r w:rsidR="000E6921" w:rsidRPr="000B68C8">
        <w:rPr>
          <w:sz w:val="20"/>
          <w:szCs w:val="20"/>
        </w:rPr>
        <w:instrText xml:space="preserve"> \* MERGEFORMAT </w:instrText>
      </w:r>
      <w:r w:rsidR="009168AE" w:rsidRPr="000B68C8">
        <w:rPr>
          <w:sz w:val="20"/>
          <w:szCs w:val="20"/>
        </w:rPr>
      </w:r>
      <w:r w:rsidR="009168AE" w:rsidRPr="000B68C8">
        <w:rPr>
          <w:sz w:val="20"/>
          <w:szCs w:val="20"/>
        </w:rPr>
        <w:fldChar w:fldCharType="separate"/>
      </w:r>
      <w:r w:rsidR="00527272" w:rsidRPr="000B68C8">
        <w:t xml:space="preserve">Table </w:t>
      </w:r>
      <w:r w:rsidR="00527272" w:rsidRPr="000B68C8">
        <w:rPr>
          <w:noProof/>
        </w:rPr>
        <w:t>1</w:t>
      </w:r>
      <w:r w:rsidR="009168AE" w:rsidRPr="000B68C8">
        <w:rPr>
          <w:sz w:val="20"/>
          <w:szCs w:val="20"/>
        </w:rPr>
        <w:fldChar w:fldCharType="end"/>
      </w:r>
      <w:r w:rsidR="009168AE" w:rsidRPr="000B68C8">
        <w:t xml:space="preserve"> clustered per type of characteristics</w:t>
      </w:r>
      <w:r w:rsidR="004A277E" w:rsidRPr="000B68C8">
        <w:t xml:space="preserve"> were adopted </w:t>
      </w:r>
      <w:r w:rsidR="00B270E4" w:rsidRPr="000B68C8">
        <w:t xml:space="preserve">in the questionnaire </w:t>
      </w:r>
      <w:r w:rsidR="004A277E" w:rsidRPr="000B68C8">
        <w:t xml:space="preserve">as they represent </w:t>
      </w:r>
      <w:r w:rsidR="00B270E4" w:rsidRPr="000B68C8">
        <w:t>a comprehensive list and appear to be in line with structured and complex existing fire statistical datasets</w:t>
      </w:r>
      <w:r w:rsidR="009168AE" w:rsidRPr="000B68C8">
        <w:t xml:space="preserve">. </w:t>
      </w:r>
      <w:r w:rsidR="009168AE" w:rsidRPr="000B68C8">
        <w:rPr>
          <w:rFonts w:cs="Arial"/>
        </w:rPr>
        <w:t xml:space="preserve">The full questionnaire can be found in the report published by the EU FireStat project </w:t>
      </w:r>
      <w:r w:rsidR="009168AE" w:rsidRPr="000B68C8">
        <w:rPr>
          <w:rFonts w:cs="Arial"/>
        </w:rPr>
        <w:fldChar w:fldCharType="begin" w:fldLock="1"/>
      </w:r>
      <w:r w:rsidR="007359B2" w:rsidRPr="000B68C8">
        <w:rPr>
          <w:rFonts w:cs="Arial"/>
        </w:rPr>
        <w:instrText>ADDIN CSL_CITATION {"citationItems":[{"id":"ITEM-1","itemData":{"author":[{"dropping-particle":"","family":"EU FireStat","given":"","non-dropping-particle":"","parse-names":false,"suffix":""}],"id":"ITEM-1","issued":{"date-parts":[["2021"]]},"title":"EU FireStat - Closing data gaps and paving the way for pan-European Fire Safety Efforts. Report Task 2 - Data needed for decision making","type":"report"},"uris":["http://www.mendeley.com/documents/?uuid=fb9f2687-b490-447c-a1e7-643e1290adfd"]}],"mendeley":{"formattedCitation":"[24]","plainTextFormattedCitation":"[24]","previouslyFormattedCitation":"[24]"},"properties":{"noteIndex":0},"schema":"https://github.com/citation-style-language/schema/raw/master/csl-citation.json"}</w:instrText>
      </w:r>
      <w:r w:rsidR="009168AE" w:rsidRPr="000B68C8">
        <w:rPr>
          <w:rFonts w:cs="Arial"/>
        </w:rPr>
        <w:fldChar w:fldCharType="separate"/>
      </w:r>
      <w:r w:rsidR="00BC2D97" w:rsidRPr="000B68C8">
        <w:rPr>
          <w:rFonts w:cs="Arial"/>
          <w:noProof/>
        </w:rPr>
        <w:t>[24]</w:t>
      </w:r>
      <w:r w:rsidR="009168AE" w:rsidRPr="000B68C8">
        <w:rPr>
          <w:rFonts w:cs="Arial"/>
        </w:rPr>
        <w:fldChar w:fldCharType="end"/>
      </w:r>
      <w:r w:rsidR="008830E8" w:rsidRPr="000B68C8">
        <w:rPr>
          <w:rFonts w:cs="Arial"/>
        </w:rPr>
        <w:t xml:space="preserve"> where </w:t>
      </w:r>
      <w:r w:rsidR="008830E8" w:rsidRPr="000B68C8">
        <w:t xml:space="preserve">some specific examples of the variables </w:t>
      </w:r>
      <w:r w:rsidR="00781F1D" w:rsidRPr="000B68C8">
        <w:t>are</w:t>
      </w:r>
      <w:r w:rsidR="00E90AA7" w:rsidRPr="000B68C8">
        <w:t xml:space="preserve"> available to provide a more accurate description and enhance clarity.</w:t>
      </w:r>
    </w:p>
    <w:tbl>
      <w:tblPr>
        <w:tblStyle w:val="TableGrid"/>
        <w:tblW w:w="0" w:type="auto"/>
        <w:jc w:val="center"/>
        <w:tblLook w:val="04A0" w:firstRow="1" w:lastRow="0" w:firstColumn="1" w:lastColumn="0" w:noHBand="0" w:noVBand="1"/>
      </w:tblPr>
      <w:tblGrid>
        <w:gridCol w:w="9016"/>
      </w:tblGrid>
      <w:tr w:rsidR="007F2F0B" w:rsidRPr="000B68C8" w14:paraId="25539D65" w14:textId="77777777" w:rsidTr="0027331F">
        <w:trPr>
          <w:jc w:val="center"/>
        </w:trPr>
        <w:tc>
          <w:tcPr>
            <w:tcW w:w="9016" w:type="dxa"/>
            <w:tcBorders>
              <w:top w:val="nil"/>
              <w:left w:val="nil"/>
              <w:bottom w:val="nil"/>
              <w:right w:val="nil"/>
            </w:tcBorders>
            <w:vAlign w:val="center"/>
          </w:tcPr>
          <w:p w14:paraId="06131685" w14:textId="77777777" w:rsidR="007F2F0B" w:rsidRPr="000B68C8" w:rsidRDefault="007F2F0B" w:rsidP="0027331F">
            <w:pPr>
              <w:jc w:val="center"/>
            </w:pPr>
            <w:r w:rsidRPr="000B68C8">
              <w:rPr>
                <w:noProof/>
              </w:rPr>
              <w:drawing>
                <wp:anchor distT="0" distB="0" distL="114300" distR="114300" simplePos="0" relativeHeight="251659264" behindDoc="1" locked="0" layoutInCell="1" allowOverlap="1" wp14:anchorId="481DA5C2" wp14:editId="346CEC14">
                  <wp:simplePos x="0" y="0"/>
                  <wp:positionH relativeFrom="column">
                    <wp:posOffset>1166495</wp:posOffset>
                  </wp:positionH>
                  <wp:positionV relativeFrom="paragraph">
                    <wp:posOffset>0</wp:posOffset>
                  </wp:positionV>
                  <wp:extent cx="3686175" cy="3181350"/>
                  <wp:effectExtent l="0" t="0" r="9525" b="0"/>
                  <wp:wrapTight wrapText="bothSides">
                    <wp:wrapPolygon edited="0">
                      <wp:start x="0" y="0"/>
                      <wp:lineTo x="0" y="21471"/>
                      <wp:lineTo x="21544" y="21471"/>
                      <wp:lineTo x="21544" y="0"/>
                      <wp:lineTo x="0" y="0"/>
                    </wp:wrapPolygon>
                  </wp:wrapTight>
                  <wp:docPr id="7" name="Afbeelding 6" descr="Diagram&#10;&#10;Description automatically generated">
                    <a:extLst xmlns:a="http://schemas.openxmlformats.org/drawingml/2006/main">
                      <a:ext uri="{FF2B5EF4-FFF2-40B4-BE49-F238E27FC236}">
                        <a16:creationId xmlns:a16="http://schemas.microsoft.com/office/drawing/2014/main" id="{30CCC931-40C4-464E-B507-6DFC1EB58A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descr="Diagram&#10;&#10;Description automatically generated">
                            <a:extLst>
                              <a:ext uri="{FF2B5EF4-FFF2-40B4-BE49-F238E27FC236}">
                                <a16:creationId xmlns:a16="http://schemas.microsoft.com/office/drawing/2014/main" id="{30CCC931-40C4-464E-B507-6DFC1EB58A98}"/>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6175" cy="3181350"/>
                          </a:xfrm>
                          <a:prstGeom prst="rect">
                            <a:avLst/>
                          </a:prstGeom>
                        </pic:spPr>
                      </pic:pic>
                    </a:graphicData>
                  </a:graphic>
                  <wp14:sizeRelH relativeFrom="page">
                    <wp14:pctWidth>0</wp14:pctWidth>
                  </wp14:sizeRelH>
                  <wp14:sizeRelV relativeFrom="page">
                    <wp14:pctHeight>0</wp14:pctHeight>
                  </wp14:sizeRelV>
                </wp:anchor>
              </w:drawing>
            </w:r>
          </w:p>
        </w:tc>
      </w:tr>
    </w:tbl>
    <w:p w14:paraId="57FDDDC4" w14:textId="7E8A8555" w:rsidR="007F2F0B" w:rsidRPr="000B68C8" w:rsidRDefault="007F2F0B" w:rsidP="007F2F0B">
      <w:pPr>
        <w:pStyle w:val="Caption"/>
      </w:pPr>
      <w:bookmarkStart w:id="29" w:name="_Ref126917837"/>
      <w:r w:rsidRPr="000B68C8">
        <w:t xml:space="preserve">Figure </w:t>
      </w:r>
      <w:r w:rsidR="00EA07E8">
        <w:fldChar w:fldCharType="begin"/>
      </w:r>
      <w:r w:rsidR="00EA07E8">
        <w:instrText xml:space="preserve"> SEQ Figure \* ARABIC </w:instrText>
      </w:r>
      <w:r w:rsidR="00EA07E8">
        <w:fldChar w:fldCharType="separate"/>
      </w:r>
      <w:r w:rsidR="00527272" w:rsidRPr="000B68C8">
        <w:rPr>
          <w:noProof/>
        </w:rPr>
        <w:t>1</w:t>
      </w:r>
      <w:r w:rsidR="00EA07E8">
        <w:rPr>
          <w:noProof/>
        </w:rPr>
        <w:fldChar w:fldCharType="end"/>
      </w:r>
      <w:bookmarkEnd w:id="29"/>
      <w:r w:rsidRPr="000B68C8">
        <w:t xml:space="preserve">: Model of influencing factors including human, building, fire and intervention characteristics </w:t>
      </w:r>
      <w:r w:rsidRPr="000B68C8">
        <w:fldChar w:fldCharType="begin" w:fldLock="1"/>
      </w:r>
      <w:r w:rsidRPr="000B68C8">
        <w:instrText>ADDIN CSL_CITATION {"citationItems":[{"id":"ITEM-1","itemData":{"author":[{"dropping-particle":"","family":"EU FireStat","given":"","non-dropping-particle":"","parse-names":false,"suffix":""}],"id":"ITEM-1","issued":{"date-parts":[["2021"]]},"title":"EU FireStat - Closing data gaps and paving the way for pan-European Fire Safety Efforts. Report Task 2 - Data needed for decision making","type":"report"},"uris":["http://www.mendeley.com/documents/?uuid=fb9f2687-b490-447c-a1e7-643e1290adfd"]}],"mendeley":{"formattedCitation":"[24]","plainTextFormattedCitation":"[24]","previouslyFormattedCitation":"[24]"},"properties":{"noteIndex":0},"schema":"https://github.com/citation-style-language/schema/raw/master/csl-citation.json"}</w:instrText>
      </w:r>
      <w:r w:rsidRPr="000B68C8">
        <w:fldChar w:fldCharType="separate"/>
      </w:r>
      <w:r w:rsidRPr="000B68C8">
        <w:rPr>
          <w:i w:val="0"/>
          <w:noProof/>
        </w:rPr>
        <w:t>[24]</w:t>
      </w:r>
      <w:r w:rsidRPr="000B68C8">
        <w:fldChar w:fldCharType="end"/>
      </w:r>
    </w:p>
    <w:bookmarkEnd w:id="28"/>
    <w:p w14:paraId="37605D9C" w14:textId="4798C4DC" w:rsidR="0094533E" w:rsidRPr="000B68C8" w:rsidRDefault="0094533E" w:rsidP="0094533E">
      <w:pPr>
        <w:rPr>
          <w:rFonts w:cs="Arial"/>
        </w:rPr>
      </w:pPr>
      <w:r w:rsidRPr="000B68C8">
        <w:t xml:space="preserve">The questionnaire solicited feedback from stakeholders in the 27 EU Member States </w:t>
      </w:r>
      <w:r w:rsidRPr="000B68C8">
        <w:rPr>
          <w:rFonts w:cs="Arial"/>
        </w:rPr>
        <w:t xml:space="preserve">regarding the data required to create and implement fire safety policies. The stakeholders involved in policy and legislation were subdivided into three categories, listed by order of priority: </w:t>
      </w:r>
    </w:p>
    <w:p w14:paraId="06F404DD" w14:textId="77777777" w:rsidR="0094533E" w:rsidRPr="000B68C8" w:rsidRDefault="0094533E" w:rsidP="0094533E">
      <w:pPr>
        <w:pStyle w:val="ListParagraph"/>
        <w:numPr>
          <w:ilvl w:val="0"/>
          <w:numId w:val="30"/>
        </w:numPr>
        <w:spacing w:before="0" w:after="0" w:line="240" w:lineRule="auto"/>
        <w:rPr>
          <w:rFonts w:cs="Arial"/>
        </w:rPr>
      </w:pPr>
      <w:r w:rsidRPr="000B68C8">
        <w:rPr>
          <w:rFonts w:cs="Arial"/>
        </w:rPr>
        <w:t>Authorities (such as the Ministry of Interior)</w:t>
      </w:r>
    </w:p>
    <w:p w14:paraId="5A6B47EF" w14:textId="77777777" w:rsidR="0094533E" w:rsidRPr="000B68C8" w:rsidRDefault="0094533E" w:rsidP="0094533E">
      <w:pPr>
        <w:pStyle w:val="ListParagraph"/>
        <w:numPr>
          <w:ilvl w:val="0"/>
          <w:numId w:val="30"/>
        </w:numPr>
        <w:spacing w:before="0" w:after="0" w:line="240" w:lineRule="auto"/>
        <w:rPr>
          <w:rFonts w:cs="Arial"/>
        </w:rPr>
      </w:pPr>
      <w:r w:rsidRPr="000B68C8">
        <w:rPr>
          <w:rFonts w:cs="Arial"/>
        </w:rPr>
        <w:t>National fire services</w:t>
      </w:r>
    </w:p>
    <w:p w14:paraId="60B377C2" w14:textId="4AC512F3" w:rsidR="0094533E" w:rsidRPr="000B68C8" w:rsidRDefault="0094533E" w:rsidP="0094533E">
      <w:pPr>
        <w:pStyle w:val="ListParagraph"/>
        <w:numPr>
          <w:ilvl w:val="0"/>
          <w:numId w:val="30"/>
        </w:numPr>
        <w:spacing w:before="0" w:after="0" w:line="240" w:lineRule="auto"/>
        <w:rPr>
          <w:rFonts w:cs="Arial"/>
        </w:rPr>
      </w:pPr>
      <w:r w:rsidRPr="000B68C8">
        <w:rPr>
          <w:rFonts w:cs="Arial"/>
        </w:rPr>
        <w:t>Others (including national statistics institutes, insurance companies, research bodies and fire prevention and fire service associations).</w:t>
      </w:r>
    </w:p>
    <w:p w14:paraId="537F762B" w14:textId="67B926DB" w:rsidR="00ED2E62" w:rsidRPr="000B68C8" w:rsidRDefault="0062031A" w:rsidP="009168AE">
      <w:r w:rsidRPr="000B68C8">
        <w:t>In some cases, several respondents from the same organization and the same country completed the questionnaire and the individual responses were aggregated to one average response per country per type of organization to avoid potential skewed values.</w:t>
      </w:r>
      <w:r w:rsidR="007D14F1" w:rsidRPr="000B68C8">
        <w:t xml:space="preserve"> For some countries, up to nine respondents completed the questionnaire, while for other countries only one. In order to ensure that the results of the countries with several respondents do not count disproportionately, the data ha</w:t>
      </w:r>
      <w:r w:rsidR="0074227A" w:rsidRPr="000B68C8">
        <w:t>ve</w:t>
      </w:r>
      <w:r w:rsidR="007D14F1" w:rsidRPr="000B68C8">
        <w:t xml:space="preserve"> been aggregated. The responses, therefore, represent an average response per type of organisation, or per country, which does not automatically reflect a response comparable to a country for which one response was received. </w:t>
      </w:r>
      <w:r w:rsidR="00ED2E62" w:rsidRPr="000B68C8">
        <w:t>The responses have been aggregated into one answer per type of organization (authorities, national fire services and others) per country. In several cases, respondents from the same organization and the same country completed the questionnaire, often</w:t>
      </w:r>
      <w:r w:rsidR="00FC0B74" w:rsidRPr="000B68C8">
        <w:t xml:space="preserve"> providing</w:t>
      </w:r>
      <w:r w:rsidR="00ED2E62" w:rsidRPr="000B68C8">
        <w:t xml:space="preserve"> the same answer. As a result, a skewed </w:t>
      </w:r>
      <w:r w:rsidR="00414700" w:rsidRPr="000B68C8">
        <w:t xml:space="preserve">picture </w:t>
      </w:r>
      <w:r w:rsidR="00ED2E62" w:rsidRPr="000B68C8">
        <w:t xml:space="preserve">may arise for the average overview </w:t>
      </w:r>
      <w:r w:rsidR="00987C6A" w:rsidRPr="000B68C8">
        <w:t>of</w:t>
      </w:r>
      <w:r w:rsidR="00ED2E62" w:rsidRPr="000B68C8">
        <w:t xml:space="preserve"> all countries. Therefore, it was decided to aggregate the individual responses to one average response per country per type of organization. The individual responses are aggregated at the organizational level. When there is only one response from an organization within a country, the aggregated response is identical to the response at the individual level. When there are multiple responses from an organization within a country, the responses within this group are replaced by one aggregated response that summarises the individual responses. This aggregated response is composed of a majority vote principle. The criterion for selecting a variable during the aggregation is obtaining the majority (50% or more) within an organization. This has resulted in 16 responses from the authorities being merged into 15 responses, 21 responses from the national fire services into 12 responses, and 24 responses from other types of organisations into 14 responses. Finally, to provide an overview per country, the responses were aggregated into one response per country. For example, the nine responses from Sweden were combined into one average response. The same procedure was followed for the aggregation per type of organization. As a result, all 65 responses were merged into 27 responses</w:t>
      </w:r>
      <w:r w:rsidR="00FD170B" w:rsidRPr="000B68C8">
        <w:t>.</w:t>
      </w:r>
      <w:r w:rsidR="00ED2E62" w:rsidRPr="000B68C8">
        <w:t xml:space="preserve"> This aggregation choice was necessary to obtain one response per country.</w:t>
      </w:r>
    </w:p>
    <w:p w14:paraId="4B817E2B" w14:textId="3C0D550E" w:rsidR="00A21661" w:rsidRPr="000B68C8" w:rsidRDefault="007D14F1" w:rsidP="009168AE">
      <w:r w:rsidRPr="000B68C8">
        <w:t>T</w:t>
      </w:r>
      <w:r w:rsidR="0062031A" w:rsidRPr="000B68C8">
        <w:t xml:space="preserve">he responses received by the stakeholders were consequently compared to those provided by the EU FireStat consortium members and </w:t>
      </w:r>
      <w:r w:rsidR="00BA2287" w:rsidRPr="000B68C8">
        <w:t xml:space="preserve">to </w:t>
      </w:r>
      <w:r w:rsidR="0062031A" w:rsidRPr="000B68C8">
        <w:t xml:space="preserve">the variables already collected in the fire statistics of the EU member States. </w:t>
      </w:r>
      <w:r w:rsidR="00603C8A" w:rsidRPr="000B68C8">
        <w:t xml:space="preserve">The consortium members are experts in fire safety, fire investigations and data analyses with extended experience in the fields of fire statistics. It was important to consider not only the view of the responsible authorities but also the opinion of experts in the fields as their interests, experience and vision could capture different aspects of fire incidents. </w:t>
      </w:r>
      <w:r w:rsidR="00A21661" w:rsidRPr="000B68C8">
        <w:t>The majority of the consortium members are based in Europe; however, none of them is part of a responsible fire statistical authority in the 27 EU Member States.</w:t>
      </w:r>
    </w:p>
    <w:p w14:paraId="2EEB2780" w14:textId="5C7E08EE" w:rsidR="00D76732" w:rsidRPr="000B68C8" w:rsidRDefault="00603C8A" w:rsidP="009168AE">
      <w:r w:rsidRPr="000B68C8">
        <w:t xml:space="preserve">The survey was filled </w:t>
      </w:r>
      <w:r w:rsidR="008D12F4" w:rsidRPr="000B68C8">
        <w:t xml:space="preserve">in </w:t>
      </w:r>
      <w:r w:rsidRPr="000B68C8">
        <w:t xml:space="preserve">separately by the “stakeholders” composed of three types of organizations: authorities (ministry of interior), national fire services and others (fire protection association or insurance) in each country. The consortium separately </w:t>
      </w:r>
      <w:r w:rsidR="00DE2CB7" w:rsidRPr="000B68C8">
        <w:t xml:space="preserve">completed </w:t>
      </w:r>
      <w:r w:rsidRPr="000B68C8">
        <w:t xml:space="preserve">the survey and there </w:t>
      </w:r>
      <w:r w:rsidR="00185D05" w:rsidRPr="000B68C8">
        <w:t>is</w:t>
      </w:r>
      <w:r w:rsidRPr="000B68C8">
        <w:t xml:space="preserve"> no duplication in the answers (e.g. answers of consortium members did not count in answers from stakeholders and did not skew the answers). The responses from stakeholders and from the consortium are then compared to the data already collected in the EU Member States. It is possible that there could be </w:t>
      </w:r>
      <w:r w:rsidR="000F3E46" w:rsidRPr="000B68C8">
        <w:t xml:space="preserve">an </w:t>
      </w:r>
      <w:r w:rsidRPr="000B68C8">
        <w:t>underrepresentation of what is collected in some of the countries, especially in those three countries that did not provide detailed reports (Luxembourg, Malta and Portugal). However, it appears that those countries do not collect extensive fire statistics (only</w:t>
      </w:r>
      <w:r w:rsidR="00185D05" w:rsidRPr="000B68C8">
        <w:t xml:space="preserve"> the</w:t>
      </w:r>
      <w:r w:rsidRPr="000B68C8">
        <w:t xml:space="preserve"> number of fire and fire deaths for Malta and Luxembourg, and no data on structural fires in Portugal). Hence the error margin should acceptable</w:t>
      </w:r>
      <w:r w:rsidR="008A6093" w:rsidRPr="000B68C8">
        <w:t>.</w:t>
      </w:r>
    </w:p>
    <w:p w14:paraId="55020847" w14:textId="53EC4DE4" w:rsidR="009C5405" w:rsidRPr="000B68C8" w:rsidRDefault="007F2F0B" w:rsidP="0018358F">
      <w:r w:rsidRPr="000B68C8">
        <w:t xml:space="preserve">Moreover, based on the outcomes obtained in Paper I </w:t>
      </w:r>
      <w:r w:rsidR="000D59AB" w:rsidRPr="000B68C8">
        <w:fldChar w:fldCharType="begin" w:fldLock="1"/>
      </w:r>
      <w:r w:rsidR="00A22558" w:rsidRPr="000B68C8">
        <w:instrText>ADDIN CSL_CITATION {"citationItems":[{"id":"ITEM-1","itemData":{"author":[{"dropping-particle":"","family":"Manes","given":"Martina","non-dropping-particle":"","parse-names":false,"suffix":""},{"dropping-particle":"","family":"Houssami","given":"Mohamad","non-dropping-particle":"El","parse-names":false,"suffix":""},{"dropping-particle":"","family":"Campbell","given":"Richard","non-dropping-particle":"","parse-names":false,"suffix":""},{"dropping-particle":"","family":"Sauca","given":"Ana","non-dropping-particle":"","parse-names":false,"suffix":""},{"dropping-particle":"","family":"Rush","given":"David","non-dropping-particle":"","parse-names":false,"suffix":""},{"dropping-particle":"","family":"Hofmann","given":"Anja","non-dropping-particle":"","parse-names":false,"suffix":""},{"dropping-particle":"","family":"Andersson","given":"Petra","non-dropping-particle":"","parse-names":false,"suffix":""},{"dropping-particle":"","family":"Wagner","given":"Peter","non-dropping-particle":"","parse-names":false,"suffix":""},{"dropping-particle":"","family":"Sokolov","given":"Sergei","non-dropping-particle":"","parse-names":false,"suffix":""},{"dropping-particle":"","family":"Veeneklaas","given":"Johanna","non-dropping-particle":"","parse-names":false,"suffix":""},{"dropping-particle":"","family":"Kobes","given":"Margrethe","non-dropping-particle":"","parse-names":false,"suffix":""},{"dropping-particle":"","family":"Oberhagemann","given":"Dirk","non-dropping-particle":"","parse-names":false,"suffix":""},{"dropping-particle":"","family":"Rupp","given":"Nicola","non-dropping-particle":"","parse-names":false,"suffix":""},{"dropping-particle":"","family":"Jomaas","given":"Grunde","non-dropping-particle":"","parse-names":false,"suffix":""},{"dropping-particle":"","family":"Grone","given":"Friedrich","non-dropping-particle":"","parse-names":false,"suffix":""},{"dropping-particle":"","family":"Hees","given":"Patrick","non-dropping-particle":"van","parse-names":false,"suffix":""},{"dropping-particle":"","family":"Guillaume","given":"Eric","non-dropping-particle":"","parse-names":false,"suffix":""}],"container-title":"Fire Technology Journal (under review)","id":"ITEM-1","issued":{"date-parts":[["2022"]]},"title":"Closing data gaps and paving the way for pan-European Fire Safety Efforts. Part I - overview of current practices for fire statistics","type":"article-journal"},"uris":["http://www.mendeley.com/documents/?uuid=50c9fd75-2b5f-4c7c-ac6c-72d6e25028ad"]}],"mendeley":{"formattedCitation":"[5]","plainTextFormattedCitation":"[5]","previouslyFormattedCitation":"[5]"},"properties":{"noteIndex":0},"schema":"https://github.com/citation-style-language/schema/raw/master/csl-citation.json"}</w:instrText>
      </w:r>
      <w:r w:rsidR="000D59AB" w:rsidRPr="000B68C8">
        <w:fldChar w:fldCharType="separate"/>
      </w:r>
      <w:r w:rsidR="000D59AB" w:rsidRPr="000B68C8">
        <w:rPr>
          <w:noProof/>
        </w:rPr>
        <w:t>[5]</w:t>
      </w:r>
      <w:r w:rsidR="000D59AB" w:rsidRPr="000B68C8">
        <w:fldChar w:fldCharType="end"/>
      </w:r>
      <w:r w:rsidRPr="000B68C8">
        <w:t>, the frequently recorded fire statistical variables in the EU Member States appear to be focused on the description of fire incidents, identification of the fire causes, assessment of fatalities and casualties and the presence of alarms. Despite the existing fire statistics in the EU Member States producing an effect in the selection of the essential fire statistical variables, at the same time, this will support a reasonable implementation in the existing fire statistical practices</w:t>
      </w:r>
      <w:r w:rsidR="000D59AB" w:rsidRPr="000B68C8">
        <w:t>.</w:t>
      </w:r>
    </w:p>
    <w:p w14:paraId="2CF2431E" w14:textId="49C66457" w:rsidR="00F91585" w:rsidRPr="000B68C8" w:rsidRDefault="00F91585" w:rsidP="00F91585">
      <w:r w:rsidRPr="000B68C8">
        <w:t>The criteria used for the selection of the data needed for fire statistics are:</w:t>
      </w:r>
    </w:p>
    <w:p w14:paraId="650599DB" w14:textId="77777777" w:rsidR="00F91585" w:rsidRPr="000B68C8" w:rsidRDefault="00F91585" w:rsidP="00F91585">
      <w:pPr>
        <w:pStyle w:val="ListParagraph"/>
        <w:numPr>
          <w:ilvl w:val="0"/>
          <w:numId w:val="31"/>
        </w:numPr>
        <w:spacing w:before="0" w:after="0" w:line="240" w:lineRule="auto"/>
      </w:pPr>
      <w:r w:rsidRPr="000B68C8">
        <w:rPr>
          <w:rFonts w:cs="Arial"/>
        </w:rPr>
        <w:t xml:space="preserve">Variables with </w:t>
      </w:r>
      <w:r w:rsidRPr="000B68C8">
        <w:t>a majority of votes (</w:t>
      </w:r>
      <w:r w:rsidRPr="000B68C8">
        <w:rPr>
          <w:rFonts w:cs="Arial"/>
        </w:rPr>
        <w:t xml:space="preserve">≥ </w:t>
      </w:r>
      <w:r w:rsidRPr="000B68C8">
        <w:t xml:space="preserve">50%) </w:t>
      </w:r>
    </w:p>
    <w:p w14:paraId="22EC5D19" w14:textId="619D67E7" w:rsidR="00F91585" w:rsidRPr="000B68C8" w:rsidRDefault="00F91585" w:rsidP="00F91585">
      <w:pPr>
        <w:pStyle w:val="ListParagraph"/>
        <w:numPr>
          <w:ilvl w:val="0"/>
          <w:numId w:val="31"/>
        </w:numPr>
        <w:spacing w:before="0" w:after="0" w:line="240" w:lineRule="auto"/>
      </w:pPr>
      <w:r w:rsidRPr="000B68C8">
        <w:rPr>
          <w:rFonts w:cs="Arial"/>
        </w:rPr>
        <w:t xml:space="preserve">Variables that have at least more than 40% </w:t>
      </w:r>
      <w:r w:rsidR="0063057E" w:rsidRPr="000B68C8">
        <w:rPr>
          <w:rFonts w:cs="Arial"/>
        </w:rPr>
        <w:t>of</w:t>
      </w:r>
      <w:r w:rsidRPr="000B68C8">
        <w:rPr>
          <w:rFonts w:cs="Arial"/>
        </w:rPr>
        <w:t xml:space="preserve"> </w:t>
      </w:r>
      <w:r w:rsidR="00303C88" w:rsidRPr="000B68C8">
        <w:rPr>
          <w:rFonts w:cs="Arial"/>
        </w:rPr>
        <w:t xml:space="preserve">the votes of </w:t>
      </w:r>
      <w:r w:rsidRPr="000B68C8">
        <w:rPr>
          <w:rFonts w:cs="Arial"/>
        </w:rPr>
        <w:t xml:space="preserve">the respondents. Including a margin of error of ± 10 points, allows for a larger coverage of opinions, such as a near majority, considering more variables in the selection process </w:t>
      </w:r>
    </w:p>
    <w:p w14:paraId="60BC4931" w14:textId="77777777" w:rsidR="00F91585" w:rsidRPr="000B68C8" w:rsidRDefault="00F91585" w:rsidP="00F91585">
      <w:pPr>
        <w:pStyle w:val="ListParagraph"/>
        <w:numPr>
          <w:ilvl w:val="0"/>
          <w:numId w:val="31"/>
        </w:numPr>
        <w:spacing w:before="0" w:after="0" w:line="240" w:lineRule="auto"/>
        <w:rPr>
          <w:lang w:val="en-US"/>
        </w:rPr>
      </w:pPr>
      <w:r w:rsidRPr="000B68C8">
        <w:t xml:space="preserve">Variable already being collected by the majority of the 27 EU Member States (EU-27) with more relevance than a variable not yet being collected, even if not currently harmonised. </w:t>
      </w:r>
    </w:p>
    <w:p w14:paraId="3C0A87DA" w14:textId="37DC2733" w:rsidR="00F91585" w:rsidRPr="000B68C8" w:rsidRDefault="00F91585">
      <w:r w:rsidRPr="000B68C8">
        <w:t>Finally, the fire statistical variables were classified according to three Tiers</w:t>
      </w:r>
      <w:r w:rsidR="00BA2287" w:rsidRPr="000B68C8">
        <w:t xml:space="preserve">: </w:t>
      </w:r>
      <w:r w:rsidRPr="000B68C8">
        <w:rPr>
          <w:rFonts w:cs="Arial"/>
        </w:rPr>
        <w:t>Tier 1</w:t>
      </w:r>
      <w:r w:rsidR="00BA2287" w:rsidRPr="000B68C8">
        <w:rPr>
          <w:rFonts w:cs="Arial"/>
        </w:rPr>
        <w:t xml:space="preserve"> includes </w:t>
      </w:r>
      <w:r w:rsidRPr="000B68C8">
        <w:rPr>
          <w:rFonts w:cs="Arial"/>
        </w:rPr>
        <w:t>variables that are already collected by the majority of the EU Member States and also covered by the sets of variables selected by the majority of the stakeholders and the consortium or by the set of the stakeholders only</w:t>
      </w:r>
      <w:r w:rsidR="00BA2287" w:rsidRPr="000B68C8">
        <w:t xml:space="preserve">, </w:t>
      </w:r>
      <w:r w:rsidRPr="000B68C8">
        <w:rPr>
          <w:rFonts w:cs="Arial"/>
        </w:rPr>
        <w:t xml:space="preserve">Tier 2 </w:t>
      </w:r>
      <w:r w:rsidR="00BA2287" w:rsidRPr="000B68C8">
        <w:rPr>
          <w:rFonts w:cs="Arial"/>
        </w:rPr>
        <w:t>is referred to those variables selected</w:t>
      </w:r>
      <w:r w:rsidRPr="000B68C8">
        <w:rPr>
          <w:rFonts w:cs="Arial"/>
        </w:rPr>
        <w:t xml:space="preserve"> by the majority of stakeholders and the consortium and are not collected by the majority of countries</w:t>
      </w:r>
      <w:r w:rsidR="004F5C7C" w:rsidRPr="000B68C8">
        <w:rPr>
          <w:rFonts w:cs="Arial"/>
        </w:rPr>
        <w:t xml:space="preserve"> while </w:t>
      </w:r>
      <w:r w:rsidRPr="000B68C8">
        <w:rPr>
          <w:rFonts w:cs="Arial"/>
        </w:rPr>
        <w:t xml:space="preserve">Tier 3 </w:t>
      </w:r>
      <w:r w:rsidR="004F5C7C" w:rsidRPr="000B68C8">
        <w:rPr>
          <w:rFonts w:cs="Arial"/>
        </w:rPr>
        <w:t>identifies those variables chosen</w:t>
      </w:r>
      <w:r w:rsidRPr="000B68C8">
        <w:rPr>
          <w:rFonts w:cs="Arial"/>
        </w:rPr>
        <w:t xml:space="preserve"> by the stakeholders, the consortium or already collected by the 27 EU Member States excluding those in Tier 1 and 2.</w:t>
      </w:r>
      <w:r w:rsidRPr="000B68C8" w:rsidDel="00BE0CDC">
        <w:rPr>
          <w:rFonts w:cs="Arial"/>
        </w:rPr>
        <w:t xml:space="preserve"> </w:t>
      </w:r>
    </w:p>
    <w:p w14:paraId="4AAD2A8D" w14:textId="1BD96E1D" w:rsidR="007E3179" w:rsidRPr="000B68C8" w:rsidRDefault="005A78A5" w:rsidP="00342407">
      <w:pPr>
        <w:pStyle w:val="Heading2"/>
      </w:pPr>
      <w:bookmarkStart w:id="30" w:name="_Ref128206776"/>
      <w:r w:rsidRPr="000B68C8">
        <w:t>Proposed new terminology</w:t>
      </w:r>
      <w:bookmarkEnd w:id="30"/>
      <w:r w:rsidRPr="000B68C8">
        <w:t xml:space="preserve"> </w:t>
      </w:r>
    </w:p>
    <w:p w14:paraId="557C1D5A" w14:textId="2B15DE54" w:rsidR="008841B4" w:rsidRPr="000B68C8" w:rsidRDefault="00E94392" w:rsidP="00342407">
      <w:pPr>
        <w:rPr>
          <w:rFonts w:cs="Times New Roman"/>
          <w:lang w:val="en-US"/>
        </w:rPr>
      </w:pPr>
      <w:r w:rsidRPr="000B68C8">
        <w:rPr>
          <w:rFonts w:cs="Times New Roman"/>
          <w:lang w:val="en-US"/>
        </w:rPr>
        <w:t>The results obtained from the questionnaire highlighted the main</w:t>
      </w:r>
      <w:r w:rsidR="005D5CE8" w:rsidRPr="000B68C8">
        <w:rPr>
          <w:rFonts w:cs="Times New Roman"/>
          <w:lang w:val="en-US"/>
        </w:rPr>
        <w:t xml:space="preserve"> </w:t>
      </w:r>
      <w:r w:rsidRPr="000B68C8">
        <w:rPr>
          <w:rFonts w:cs="Times New Roman"/>
          <w:lang w:val="en-US"/>
        </w:rPr>
        <w:t xml:space="preserve">variables to be collected by the stakeholders. Based on </w:t>
      </w:r>
      <w:r w:rsidR="005D5CE8" w:rsidRPr="000B68C8">
        <w:rPr>
          <w:rFonts w:cs="Times New Roman"/>
          <w:lang w:val="en-US"/>
        </w:rPr>
        <w:t>th</w:t>
      </w:r>
      <w:r w:rsidR="00F21BF1" w:rsidRPr="000B68C8">
        <w:rPr>
          <w:rFonts w:cs="Times New Roman"/>
          <w:lang w:val="en-US"/>
        </w:rPr>
        <w:t>e</w:t>
      </w:r>
      <w:r w:rsidR="005D5CE8" w:rsidRPr="000B68C8">
        <w:rPr>
          <w:rFonts w:cs="Times New Roman"/>
          <w:lang w:val="en-US"/>
        </w:rPr>
        <w:t>se</w:t>
      </w:r>
      <w:r w:rsidRPr="000B68C8">
        <w:rPr>
          <w:rFonts w:cs="Times New Roman"/>
          <w:lang w:val="en-US"/>
        </w:rPr>
        <w:t xml:space="preserve"> variables, a</w:t>
      </w:r>
      <w:r w:rsidR="00FF2DB5" w:rsidRPr="000B68C8">
        <w:rPr>
          <w:rFonts w:cs="Times New Roman"/>
          <w:lang w:val="en-US"/>
        </w:rPr>
        <w:t xml:space="preserve"> terminology </w:t>
      </w:r>
      <w:r w:rsidRPr="000B68C8">
        <w:rPr>
          <w:rFonts w:cs="Times New Roman"/>
          <w:lang w:val="en-US"/>
        </w:rPr>
        <w:t>for each of them</w:t>
      </w:r>
      <w:r w:rsidR="00F21BF1" w:rsidRPr="000B68C8">
        <w:rPr>
          <w:rFonts w:cs="Times New Roman"/>
          <w:lang w:val="en-US"/>
        </w:rPr>
        <w:t xml:space="preserve"> </w:t>
      </w:r>
      <w:r w:rsidR="0034385F" w:rsidRPr="000B68C8">
        <w:rPr>
          <w:rFonts w:cs="Times New Roman"/>
          <w:lang w:val="en-US"/>
        </w:rPr>
        <w:t>was</w:t>
      </w:r>
      <w:r w:rsidR="00F21BF1" w:rsidRPr="000B68C8">
        <w:rPr>
          <w:rFonts w:cs="Times New Roman"/>
          <w:lang w:val="en-US"/>
        </w:rPr>
        <w:t xml:space="preserve"> developed</w:t>
      </w:r>
      <w:r w:rsidRPr="000B68C8">
        <w:rPr>
          <w:rFonts w:cs="Times New Roman"/>
          <w:lang w:val="en-US"/>
        </w:rPr>
        <w:t xml:space="preserve">. </w:t>
      </w:r>
      <w:r w:rsidR="00AB47B2" w:rsidRPr="000B68C8">
        <w:rPr>
          <w:rFonts w:cs="Times New Roman"/>
          <w:lang w:val="en-US"/>
        </w:rPr>
        <w:t xml:space="preserve">The proposed terminology </w:t>
      </w:r>
      <w:r w:rsidR="0034385F" w:rsidRPr="000B68C8">
        <w:rPr>
          <w:rFonts w:cs="Times New Roman"/>
          <w:lang w:val="en-US"/>
        </w:rPr>
        <w:t>was</w:t>
      </w:r>
      <w:r w:rsidR="00E52BDA" w:rsidRPr="000B68C8">
        <w:rPr>
          <w:rFonts w:cs="Times New Roman"/>
          <w:lang w:val="en-US"/>
        </w:rPr>
        <w:t xml:space="preserve"> restricted to</w:t>
      </w:r>
      <w:r w:rsidR="008841B4" w:rsidRPr="000B68C8">
        <w:rPr>
          <w:rFonts w:cs="Times New Roman"/>
          <w:lang w:val="en-US"/>
        </w:rPr>
        <w:t xml:space="preserve"> </w:t>
      </w:r>
      <w:r w:rsidR="00FD6B26" w:rsidRPr="000B68C8">
        <w:rPr>
          <w:rFonts w:cs="Times New Roman"/>
          <w:lang w:val="en-US"/>
        </w:rPr>
        <w:t>b</w:t>
      </w:r>
      <w:r w:rsidR="008841B4" w:rsidRPr="000B68C8">
        <w:rPr>
          <w:rFonts w:cs="Times New Roman"/>
          <w:lang w:val="en-US"/>
        </w:rPr>
        <w:t xml:space="preserve">uilding </w:t>
      </w:r>
      <w:r w:rsidR="00FD6B26" w:rsidRPr="000B68C8">
        <w:rPr>
          <w:rFonts w:cs="Times New Roman"/>
          <w:lang w:val="en-US"/>
        </w:rPr>
        <w:t>f</w:t>
      </w:r>
      <w:r w:rsidR="008841B4" w:rsidRPr="000B68C8">
        <w:rPr>
          <w:rFonts w:cs="Times New Roman"/>
          <w:lang w:val="en-US"/>
        </w:rPr>
        <w:t xml:space="preserve">ires </w:t>
      </w:r>
      <w:r w:rsidR="00E52BDA" w:rsidRPr="000B68C8">
        <w:rPr>
          <w:rFonts w:cs="Times New Roman"/>
          <w:lang w:val="en-US"/>
        </w:rPr>
        <w:t xml:space="preserve">in which </w:t>
      </w:r>
      <w:r w:rsidR="008841B4" w:rsidRPr="000B68C8">
        <w:rPr>
          <w:rFonts w:cs="Times New Roman"/>
          <w:lang w:val="en-US"/>
        </w:rPr>
        <w:t xml:space="preserve">the </w:t>
      </w:r>
      <w:r w:rsidR="00E52BDA" w:rsidRPr="000B68C8">
        <w:rPr>
          <w:rFonts w:cs="Times New Roman"/>
          <w:lang w:val="en-US"/>
        </w:rPr>
        <w:t>f</w:t>
      </w:r>
      <w:r w:rsidR="008841B4" w:rsidRPr="000B68C8">
        <w:rPr>
          <w:rFonts w:cs="Times New Roman"/>
          <w:lang w:val="en-US"/>
        </w:rPr>
        <w:t xml:space="preserve">ire </w:t>
      </w:r>
      <w:r w:rsidR="00E52BDA" w:rsidRPr="000B68C8">
        <w:rPr>
          <w:rFonts w:cs="Times New Roman"/>
          <w:lang w:val="en-US"/>
        </w:rPr>
        <w:t>s</w:t>
      </w:r>
      <w:r w:rsidR="008841B4" w:rsidRPr="000B68C8">
        <w:rPr>
          <w:rFonts w:cs="Times New Roman"/>
          <w:lang w:val="en-US"/>
        </w:rPr>
        <w:t xml:space="preserve">ervice confirmed that a fire was either ongoing or had been extinguished, and resulted in damage to people, </w:t>
      </w:r>
      <w:r w:rsidR="00942B32" w:rsidRPr="000B68C8">
        <w:rPr>
          <w:rFonts w:cs="Times New Roman"/>
          <w:lang w:val="en-US"/>
        </w:rPr>
        <w:t>property,</w:t>
      </w:r>
      <w:r w:rsidR="008841B4" w:rsidRPr="000B68C8">
        <w:rPr>
          <w:rFonts w:cs="Times New Roman"/>
          <w:lang w:val="en-US"/>
        </w:rPr>
        <w:t xml:space="preserve"> or the environment. </w:t>
      </w:r>
      <w:r w:rsidRPr="000B68C8">
        <w:rPr>
          <w:rFonts w:cs="Times New Roman"/>
          <w:lang w:val="en-US"/>
        </w:rPr>
        <w:t xml:space="preserve">In particular, </w:t>
      </w:r>
      <w:r w:rsidR="001C22EC" w:rsidRPr="000B68C8">
        <w:rPr>
          <w:rFonts w:cs="Times New Roman"/>
          <w:lang w:val="en-US"/>
        </w:rPr>
        <w:t xml:space="preserve">the </w:t>
      </w:r>
      <w:r w:rsidRPr="000B68C8">
        <w:rPr>
          <w:rFonts w:cs="Times New Roman"/>
          <w:lang w:val="en-US"/>
        </w:rPr>
        <w:t>d</w:t>
      </w:r>
      <w:r w:rsidR="008841B4" w:rsidRPr="000B68C8">
        <w:rPr>
          <w:rFonts w:cs="Times New Roman"/>
          <w:lang w:val="en-US"/>
        </w:rPr>
        <w:t xml:space="preserve">amage </w:t>
      </w:r>
      <w:r w:rsidR="00E52BDA" w:rsidRPr="000B68C8">
        <w:rPr>
          <w:rFonts w:cs="Times New Roman"/>
          <w:lang w:val="en-US"/>
        </w:rPr>
        <w:t xml:space="preserve">was defined </w:t>
      </w:r>
      <w:r w:rsidR="008841B4" w:rsidRPr="000B68C8">
        <w:rPr>
          <w:rFonts w:cs="Times New Roman"/>
          <w:lang w:val="en-US"/>
        </w:rPr>
        <w:t>as:</w:t>
      </w:r>
    </w:p>
    <w:p w14:paraId="157EEE39" w14:textId="44B5E517" w:rsidR="008841B4" w:rsidRPr="000B68C8" w:rsidRDefault="008841B4" w:rsidP="00342407">
      <w:pPr>
        <w:pStyle w:val="ListParagraph"/>
        <w:numPr>
          <w:ilvl w:val="1"/>
          <w:numId w:val="44"/>
        </w:numPr>
        <w:spacing w:before="0" w:after="160" w:line="259" w:lineRule="auto"/>
        <w:rPr>
          <w:rFonts w:cs="Times New Roman"/>
          <w:lang w:val="en-US"/>
        </w:rPr>
      </w:pPr>
      <w:r w:rsidRPr="000B68C8">
        <w:rPr>
          <w:rFonts w:cs="Times New Roman"/>
          <w:lang w:val="en-US"/>
        </w:rPr>
        <w:t>Injuries at the fire scen</w:t>
      </w:r>
      <w:r w:rsidR="005D5CE8" w:rsidRPr="000B68C8">
        <w:rPr>
          <w:rFonts w:cs="Times New Roman"/>
          <w:lang w:val="en-US"/>
        </w:rPr>
        <w:t>e</w:t>
      </w:r>
    </w:p>
    <w:p w14:paraId="4185C318" w14:textId="1122854A" w:rsidR="008841B4" w:rsidRPr="000B68C8" w:rsidRDefault="008841B4" w:rsidP="00342407">
      <w:pPr>
        <w:pStyle w:val="ListParagraph"/>
        <w:numPr>
          <w:ilvl w:val="1"/>
          <w:numId w:val="44"/>
        </w:numPr>
        <w:spacing w:before="0" w:after="160" w:line="259" w:lineRule="auto"/>
        <w:rPr>
          <w:rFonts w:cs="Times New Roman"/>
          <w:lang w:val="en-US"/>
        </w:rPr>
      </w:pPr>
      <w:r w:rsidRPr="000B68C8">
        <w:rPr>
          <w:rFonts w:cs="Times New Roman"/>
          <w:lang w:val="en-US"/>
        </w:rPr>
        <w:t>Fatalities at the fire scene</w:t>
      </w:r>
    </w:p>
    <w:p w14:paraId="439A4703" w14:textId="593F7E82" w:rsidR="008841B4" w:rsidRPr="000B68C8" w:rsidRDefault="008841B4" w:rsidP="00342407">
      <w:pPr>
        <w:pStyle w:val="ListParagraph"/>
        <w:numPr>
          <w:ilvl w:val="1"/>
          <w:numId w:val="44"/>
        </w:numPr>
        <w:spacing w:before="0" w:after="160" w:line="259" w:lineRule="auto"/>
        <w:rPr>
          <w:rFonts w:cs="Times New Roman"/>
          <w:lang w:val="en-US"/>
        </w:rPr>
      </w:pPr>
      <w:r w:rsidRPr="000B68C8">
        <w:rPr>
          <w:rFonts w:cs="Times New Roman"/>
          <w:lang w:val="en-US"/>
        </w:rPr>
        <w:t xml:space="preserve">Damage to property of at least 100 </w:t>
      </w:r>
      <w:r w:rsidR="00761D35" w:rsidRPr="000B68C8">
        <w:rPr>
          <w:rFonts w:cs="Times New Roman"/>
          <w:lang w:val="en-US"/>
        </w:rPr>
        <w:t>Euros</w:t>
      </w:r>
    </w:p>
    <w:p w14:paraId="10A30905" w14:textId="2FBFE80B" w:rsidR="008841B4" w:rsidRPr="000B68C8" w:rsidRDefault="008841B4" w:rsidP="00342407">
      <w:pPr>
        <w:pStyle w:val="ListParagraph"/>
        <w:numPr>
          <w:ilvl w:val="1"/>
          <w:numId w:val="44"/>
        </w:numPr>
        <w:spacing w:before="0" w:after="160" w:line="259" w:lineRule="auto"/>
        <w:rPr>
          <w:rFonts w:cs="Times New Roman"/>
          <w:lang w:val="en-US"/>
        </w:rPr>
      </w:pPr>
      <w:r w:rsidRPr="000B68C8">
        <w:rPr>
          <w:rFonts w:cs="Times New Roman"/>
          <w:lang w:val="en-US"/>
        </w:rPr>
        <w:t>Environmental contamination requiring clean-up</w:t>
      </w:r>
      <w:r w:rsidR="0034385F" w:rsidRPr="000B68C8">
        <w:rPr>
          <w:rFonts w:cs="Times New Roman"/>
          <w:lang w:val="en-US"/>
        </w:rPr>
        <w:t>.</w:t>
      </w:r>
    </w:p>
    <w:p w14:paraId="116F3002" w14:textId="316494BC" w:rsidR="008841B4" w:rsidRPr="000B68C8" w:rsidRDefault="00E52BDA" w:rsidP="002A70D3">
      <w:pPr>
        <w:spacing w:before="0" w:after="160" w:line="259" w:lineRule="auto"/>
        <w:rPr>
          <w:rFonts w:cs="Times New Roman"/>
          <w:lang w:val="en-US"/>
        </w:rPr>
      </w:pPr>
      <w:r w:rsidRPr="000B68C8">
        <w:rPr>
          <w:rFonts w:cs="Times New Roman"/>
          <w:lang w:val="en-US"/>
        </w:rPr>
        <w:t>I</w:t>
      </w:r>
      <w:r w:rsidR="00FD6B26" w:rsidRPr="000B68C8">
        <w:rPr>
          <w:rFonts w:cs="Times New Roman"/>
          <w:lang w:val="en-US"/>
        </w:rPr>
        <w:t xml:space="preserve">ncidents known as “false alarms” </w:t>
      </w:r>
      <w:r w:rsidRPr="000B68C8">
        <w:rPr>
          <w:rFonts w:cs="Times New Roman"/>
          <w:lang w:val="en-US"/>
        </w:rPr>
        <w:t xml:space="preserve">were thereby </w:t>
      </w:r>
      <w:r w:rsidR="00FD6B26" w:rsidRPr="000B68C8">
        <w:rPr>
          <w:rFonts w:cs="Times New Roman"/>
          <w:lang w:val="en-US"/>
        </w:rPr>
        <w:t xml:space="preserve">excluded from the definition of a fire event. </w:t>
      </w:r>
      <w:r w:rsidR="004E74E3" w:rsidRPr="000B68C8">
        <w:rPr>
          <w:rFonts w:cs="Times New Roman"/>
          <w:lang w:val="en-US"/>
        </w:rPr>
        <w:t xml:space="preserve">It is also important to specify that </w:t>
      </w:r>
      <w:r w:rsidRPr="000B68C8">
        <w:rPr>
          <w:rFonts w:cs="Times New Roman"/>
          <w:lang w:val="en-US"/>
        </w:rPr>
        <w:t>“</w:t>
      </w:r>
      <w:r w:rsidR="004E74E3" w:rsidRPr="000B68C8">
        <w:rPr>
          <w:rFonts w:cs="Times New Roman"/>
          <w:lang w:val="en-US"/>
        </w:rPr>
        <w:t>f</w:t>
      </w:r>
      <w:r w:rsidR="008841B4" w:rsidRPr="000B68C8">
        <w:rPr>
          <w:rFonts w:cs="Times New Roman"/>
          <w:lang w:val="en-US"/>
        </w:rPr>
        <w:t>ire</w:t>
      </w:r>
      <w:r w:rsidRPr="000B68C8">
        <w:rPr>
          <w:rFonts w:cs="Times New Roman"/>
          <w:lang w:val="en-US"/>
        </w:rPr>
        <w:t>”</w:t>
      </w:r>
      <w:r w:rsidR="008841B4" w:rsidRPr="000B68C8">
        <w:rPr>
          <w:rFonts w:cs="Times New Roman"/>
          <w:lang w:val="en-US"/>
        </w:rPr>
        <w:t xml:space="preserve"> i</w:t>
      </w:r>
      <w:r w:rsidR="00387476" w:rsidRPr="000B68C8">
        <w:rPr>
          <w:rFonts w:cs="Times New Roman"/>
          <w:lang w:val="en-US"/>
        </w:rPr>
        <w:t>s</w:t>
      </w:r>
      <w:r w:rsidR="008841B4" w:rsidRPr="000B68C8">
        <w:rPr>
          <w:rFonts w:cs="Times New Roman"/>
          <w:lang w:val="en-US"/>
        </w:rPr>
        <w:t xml:space="preserve"> </w:t>
      </w:r>
      <w:r w:rsidR="004E74E3" w:rsidRPr="000B68C8">
        <w:rPr>
          <w:rFonts w:cs="Times New Roman"/>
          <w:lang w:val="en-US"/>
        </w:rPr>
        <w:t>referred to</w:t>
      </w:r>
      <w:r w:rsidR="00105181" w:rsidRPr="000B68C8">
        <w:rPr>
          <w:rFonts w:cs="Times New Roman"/>
          <w:lang w:val="en-US"/>
        </w:rPr>
        <w:t xml:space="preserve"> </w:t>
      </w:r>
      <w:r w:rsidRPr="000B68C8">
        <w:rPr>
          <w:rFonts w:cs="Times New Roman"/>
          <w:lang w:val="en-US"/>
        </w:rPr>
        <w:t xml:space="preserve">as </w:t>
      </w:r>
      <w:r w:rsidR="00105181" w:rsidRPr="000B68C8">
        <w:rPr>
          <w:rFonts w:cs="Times New Roman"/>
          <w:lang w:val="en-US"/>
        </w:rPr>
        <w:t xml:space="preserve">the </w:t>
      </w:r>
      <w:r w:rsidR="008841B4" w:rsidRPr="000B68C8">
        <w:rPr>
          <w:rFonts w:cs="Times New Roman"/>
          <w:lang w:val="en-US"/>
        </w:rPr>
        <w:t xml:space="preserve">uncontrolled self-supporting flaming, glowing or </w:t>
      </w:r>
      <w:r w:rsidR="00380FC5" w:rsidRPr="000B68C8">
        <w:rPr>
          <w:rFonts w:cs="Times New Roman"/>
          <w:lang w:val="en-US"/>
        </w:rPr>
        <w:t xml:space="preserve">smoldering </w:t>
      </w:r>
      <w:r w:rsidR="008841B4" w:rsidRPr="000B68C8">
        <w:rPr>
          <w:rFonts w:cs="Times New Roman"/>
          <w:lang w:val="en-US"/>
        </w:rPr>
        <w:t>combustion.</w:t>
      </w:r>
      <w:r w:rsidR="004E74E3" w:rsidRPr="000B68C8">
        <w:rPr>
          <w:rFonts w:cs="Times New Roman"/>
          <w:lang w:val="en-US"/>
        </w:rPr>
        <w:t xml:space="preserve"> </w:t>
      </w:r>
      <w:r w:rsidR="00FA5538" w:rsidRPr="000B68C8">
        <w:rPr>
          <w:rFonts w:cs="Times New Roman"/>
          <w:lang w:val="en-US"/>
        </w:rPr>
        <w:t>E</w:t>
      </w:r>
      <w:r w:rsidR="00035A26" w:rsidRPr="000B68C8">
        <w:rPr>
          <w:rFonts w:cs="Times New Roman"/>
          <w:lang w:val="en-US"/>
        </w:rPr>
        <w:t>xplosions, flashes and discharges of static electricity</w:t>
      </w:r>
      <w:r w:rsidRPr="000B68C8">
        <w:rPr>
          <w:rFonts w:cs="Times New Roman"/>
          <w:lang w:val="en-US"/>
        </w:rPr>
        <w:t xml:space="preserve"> and</w:t>
      </w:r>
      <w:r w:rsidR="00035A26" w:rsidRPr="000B68C8">
        <w:rPr>
          <w:rFonts w:cs="Times New Roman"/>
          <w:lang w:val="en-US"/>
        </w:rPr>
        <w:t xml:space="preserve"> suicide by self-immolation</w:t>
      </w:r>
      <w:r w:rsidR="008841B4" w:rsidRPr="000B68C8">
        <w:rPr>
          <w:rFonts w:cs="Times New Roman"/>
          <w:lang w:val="en-US"/>
        </w:rPr>
        <w:t xml:space="preserve"> </w:t>
      </w:r>
      <w:r w:rsidR="004E74E3" w:rsidRPr="000B68C8">
        <w:rPr>
          <w:rFonts w:cs="Times New Roman"/>
          <w:lang w:val="en-US"/>
        </w:rPr>
        <w:t>are</w:t>
      </w:r>
      <w:r w:rsidR="008841B4" w:rsidRPr="000B68C8">
        <w:rPr>
          <w:rFonts w:cs="Times New Roman"/>
          <w:lang w:val="en-US"/>
        </w:rPr>
        <w:t xml:space="preserve"> only included if they caused a fire after the initial event</w:t>
      </w:r>
      <w:r w:rsidR="00F80E7E" w:rsidRPr="000B68C8">
        <w:rPr>
          <w:rFonts w:cs="Times New Roman"/>
          <w:lang w:val="en-US"/>
        </w:rPr>
        <w:t xml:space="preserve">. </w:t>
      </w:r>
      <w:r w:rsidR="008841B4" w:rsidRPr="000B68C8">
        <w:rPr>
          <w:rFonts w:cs="Times New Roman"/>
          <w:lang w:val="en-US"/>
        </w:rPr>
        <w:t xml:space="preserve">The objective when proposing the new terminology </w:t>
      </w:r>
      <w:r w:rsidR="00FA5538" w:rsidRPr="000B68C8">
        <w:rPr>
          <w:rFonts w:cs="Times New Roman"/>
          <w:lang w:val="en-US"/>
        </w:rPr>
        <w:t>wa</w:t>
      </w:r>
      <w:r w:rsidR="00106930" w:rsidRPr="000B68C8">
        <w:rPr>
          <w:rFonts w:cs="Times New Roman"/>
          <w:lang w:val="en-US"/>
        </w:rPr>
        <w:t xml:space="preserve">s </w:t>
      </w:r>
      <w:r w:rsidR="008841B4" w:rsidRPr="000B68C8">
        <w:rPr>
          <w:rFonts w:cs="Times New Roman"/>
          <w:lang w:val="en-US"/>
        </w:rPr>
        <w:t xml:space="preserve">to identify the most appropriate </w:t>
      </w:r>
      <w:r w:rsidR="003026E6" w:rsidRPr="000B68C8">
        <w:rPr>
          <w:rFonts w:cs="Times New Roman"/>
          <w:lang w:val="en-US"/>
        </w:rPr>
        <w:t>terminology</w:t>
      </w:r>
      <w:r w:rsidR="008841B4" w:rsidRPr="000B68C8">
        <w:rPr>
          <w:rFonts w:cs="Times New Roman"/>
          <w:lang w:val="en-US"/>
        </w:rPr>
        <w:t xml:space="preserve"> and definitions for variables </w:t>
      </w:r>
      <w:r w:rsidR="00380FC5" w:rsidRPr="000B68C8">
        <w:rPr>
          <w:rFonts w:cs="Times New Roman"/>
          <w:lang w:val="en-US"/>
        </w:rPr>
        <w:t xml:space="preserve">that </w:t>
      </w:r>
      <w:r w:rsidR="008841B4" w:rsidRPr="000B68C8">
        <w:rPr>
          <w:rFonts w:cs="Times New Roman"/>
          <w:lang w:val="en-US"/>
        </w:rPr>
        <w:t>describe the categories of interest to be recorded by fire officers in the</w:t>
      </w:r>
      <w:r w:rsidR="003026E6" w:rsidRPr="000B68C8">
        <w:rPr>
          <w:rFonts w:cs="Times New Roman"/>
          <w:lang w:val="en-US"/>
        </w:rPr>
        <w:t xml:space="preserve"> </w:t>
      </w:r>
      <w:r w:rsidR="008841B4" w:rsidRPr="000B68C8">
        <w:rPr>
          <w:rFonts w:cs="Times New Roman"/>
          <w:lang w:val="en-US"/>
        </w:rPr>
        <w:t xml:space="preserve">aftermath of a fire incident and subsequently collected at </w:t>
      </w:r>
      <w:r w:rsidR="00380FC5" w:rsidRPr="000B68C8">
        <w:rPr>
          <w:rFonts w:cs="Times New Roman"/>
          <w:lang w:val="en-US"/>
        </w:rPr>
        <w:t xml:space="preserve">the </w:t>
      </w:r>
      <w:r w:rsidR="008841B4" w:rsidRPr="000B68C8">
        <w:rPr>
          <w:rFonts w:cs="Times New Roman"/>
          <w:lang w:val="en-US"/>
        </w:rPr>
        <w:t xml:space="preserve">European level, as well as appropriate values which these variables can </w:t>
      </w:r>
      <w:r w:rsidR="00553184" w:rsidRPr="000B68C8">
        <w:rPr>
          <w:rFonts w:cs="Times New Roman"/>
          <w:lang w:val="en-US"/>
        </w:rPr>
        <w:t>assume</w:t>
      </w:r>
      <w:r w:rsidR="008841B4" w:rsidRPr="000B68C8">
        <w:rPr>
          <w:rFonts w:cs="Times New Roman"/>
          <w:lang w:val="en-US"/>
        </w:rPr>
        <w:t>. This terminology would constitute a minimum dataset for collection at the local level</w:t>
      </w:r>
      <w:r w:rsidR="001A66B8" w:rsidRPr="000B68C8">
        <w:rPr>
          <w:rFonts w:cs="Times New Roman"/>
          <w:lang w:val="en-US"/>
        </w:rPr>
        <w:t xml:space="preserve"> especially for those countries </w:t>
      </w:r>
      <w:r w:rsidR="00CE6DB9" w:rsidRPr="000B68C8">
        <w:rPr>
          <w:rFonts w:cs="Times New Roman"/>
          <w:lang w:val="en-US"/>
        </w:rPr>
        <w:t>not collecting these variables or without available definitions</w:t>
      </w:r>
      <w:r w:rsidR="008841B4" w:rsidRPr="000B68C8">
        <w:rPr>
          <w:rFonts w:cs="Times New Roman"/>
          <w:lang w:val="en-US"/>
        </w:rPr>
        <w:t xml:space="preserve">. It would not prevent a fire department or national authority </w:t>
      </w:r>
      <w:r w:rsidR="00380FC5" w:rsidRPr="000B68C8">
        <w:rPr>
          <w:rFonts w:cs="Times New Roman"/>
          <w:lang w:val="en-US"/>
        </w:rPr>
        <w:t xml:space="preserve">from </w:t>
      </w:r>
      <w:r w:rsidR="008841B4" w:rsidRPr="000B68C8">
        <w:rPr>
          <w:rFonts w:cs="Times New Roman"/>
          <w:lang w:val="en-US"/>
        </w:rPr>
        <w:t xml:space="preserve">having a more detailed data collection than </w:t>
      </w:r>
      <w:r w:rsidR="00C77002" w:rsidRPr="000B68C8">
        <w:rPr>
          <w:rFonts w:cs="Times New Roman"/>
          <w:lang w:val="en-US"/>
        </w:rPr>
        <w:t xml:space="preserve">the one </w:t>
      </w:r>
      <w:r w:rsidR="008841B4" w:rsidRPr="000B68C8">
        <w:rPr>
          <w:rFonts w:cs="Times New Roman"/>
          <w:lang w:val="en-US"/>
        </w:rPr>
        <w:t xml:space="preserve">proposed in this </w:t>
      </w:r>
      <w:r w:rsidR="00871497" w:rsidRPr="000B68C8">
        <w:rPr>
          <w:rFonts w:cs="Times New Roman"/>
          <w:lang w:val="en-US"/>
        </w:rPr>
        <w:t xml:space="preserve">research </w:t>
      </w:r>
      <w:r w:rsidR="00761D35" w:rsidRPr="000B68C8">
        <w:rPr>
          <w:rFonts w:cs="Times New Roman"/>
          <w:lang w:val="en-US"/>
        </w:rPr>
        <w:t>if</w:t>
      </w:r>
      <w:r w:rsidR="008841B4" w:rsidRPr="000B68C8">
        <w:rPr>
          <w:rFonts w:cs="Times New Roman"/>
          <w:lang w:val="en-US"/>
        </w:rPr>
        <w:t xml:space="preserve"> data according to the terminology of the pan-European statistics</w:t>
      </w:r>
      <w:r w:rsidR="003026E6" w:rsidRPr="000B68C8">
        <w:rPr>
          <w:rFonts w:cs="Times New Roman"/>
          <w:lang w:val="en-US"/>
        </w:rPr>
        <w:t xml:space="preserve"> are provided</w:t>
      </w:r>
      <w:r w:rsidR="008841B4" w:rsidRPr="000B68C8">
        <w:rPr>
          <w:rFonts w:cs="Times New Roman"/>
          <w:lang w:val="en-US"/>
        </w:rPr>
        <w:t>.</w:t>
      </w:r>
    </w:p>
    <w:p w14:paraId="7336F04F" w14:textId="467D52A6" w:rsidR="008841B4" w:rsidRPr="000B68C8" w:rsidRDefault="00326302" w:rsidP="008841B4">
      <w:pPr>
        <w:rPr>
          <w:rFonts w:cs="Times New Roman"/>
          <w:lang w:val="en-US"/>
        </w:rPr>
      </w:pPr>
      <w:r w:rsidRPr="000B68C8">
        <w:rPr>
          <w:rFonts w:cs="Times New Roman"/>
          <w:lang w:val="en-US"/>
        </w:rPr>
        <w:t>S</w:t>
      </w:r>
      <w:r w:rsidR="008841B4" w:rsidRPr="000B68C8">
        <w:rPr>
          <w:rFonts w:cs="Times New Roman"/>
          <w:lang w:val="en-US"/>
        </w:rPr>
        <w:t xml:space="preserve">everal </w:t>
      </w:r>
      <w:r w:rsidR="00553184" w:rsidRPr="000B68C8">
        <w:rPr>
          <w:rFonts w:cs="Times New Roman"/>
          <w:lang w:val="en-US"/>
        </w:rPr>
        <w:t>criteria</w:t>
      </w:r>
      <w:r w:rsidR="008841B4" w:rsidRPr="000B68C8">
        <w:rPr>
          <w:rFonts w:cs="Times New Roman"/>
          <w:lang w:val="en-US"/>
        </w:rPr>
        <w:t xml:space="preserve"> w</w:t>
      </w:r>
      <w:r w:rsidR="00EC3E03" w:rsidRPr="000B68C8">
        <w:rPr>
          <w:rFonts w:cs="Times New Roman"/>
          <w:lang w:val="en-US"/>
        </w:rPr>
        <w:t xml:space="preserve">ere </w:t>
      </w:r>
      <w:r w:rsidR="003026E6" w:rsidRPr="000B68C8">
        <w:rPr>
          <w:rFonts w:cs="Times New Roman"/>
          <w:lang w:val="en-US"/>
        </w:rPr>
        <w:t>established</w:t>
      </w:r>
      <w:r w:rsidR="00EC3E03" w:rsidRPr="000B68C8">
        <w:rPr>
          <w:rFonts w:cs="Times New Roman"/>
          <w:lang w:val="en-US"/>
        </w:rPr>
        <w:t xml:space="preserve"> in</w:t>
      </w:r>
      <w:r w:rsidR="008841B4" w:rsidRPr="000B68C8">
        <w:rPr>
          <w:rFonts w:cs="Times New Roman"/>
          <w:lang w:val="en-US"/>
        </w:rPr>
        <w:t xml:space="preserve"> identifying appropriate values for a variable:</w:t>
      </w:r>
    </w:p>
    <w:p w14:paraId="1DAE0AF3" w14:textId="7BEC8F12" w:rsidR="008841B4" w:rsidRPr="000B68C8" w:rsidRDefault="00D52262" w:rsidP="00342407">
      <w:pPr>
        <w:pStyle w:val="ListParagraph"/>
        <w:numPr>
          <w:ilvl w:val="0"/>
          <w:numId w:val="45"/>
        </w:numPr>
        <w:spacing w:before="0" w:after="0" w:line="240" w:lineRule="auto"/>
      </w:pPr>
      <w:r w:rsidRPr="000B68C8">
        <w:t>V</w:t>
      </w:r>
      <w:r w:rsidR="008841B4" w:rsidRPr="000B68C8">
        <w:t xml:space="preserve">alues must be </w:t>
      </w:r>
      <w:r w:rsidR="00EC3E03" w:rsidRPr="000B68C8">
        <w:t xml:space="preserve">unique </w:t>
      </w:r>
      <w:r w:rsidR="001C22EC" w:rsidRPr="000B68C8">
        <w:t>to</w:t>
      </w:r>
      <w:r w:rsidR="00EC3E03" w:rsidRPr="000B68C8">
        <w:t xml:space="preserve"> avoid </w:t>
      </w:r>
      <w:r w:rsidR="008841B4" w:rsidRPr="000B68C8">
        <w:t xml:space="preserve">overlapping alternatives </w:t>
      </w:r>
    </w:p>
    <w:p w14:paraId="38E6D6AF" w14:textId="660E6D90" w:rsidR="008841B4" w:rsidRPr="000B68C8" w:rsidRDefault="00D52262" w:rsidP="00342407">
      <w:pPr>
        <w:pStyle w:val="ListParagraph"/>
        <w:numPr>
          <w:ilvl w:val="0"/>
          <w:numId w:val="45"/>
        </w:numPr>
        <w:spacing w:before="0" w:after="0" w:line="240" w:lineRule="auto"/>
      </w:pPr>
      <w:r w:rsidRPr="000B68C8">
        <w:t>V</w:t>
      </w:r>
      <w:r w:rsidR="008841B4" w:rsidRPr="000B68C8">
        <w:t>alues must avoid terms associated with moral failings or culpability</w:t>
      </w:r>
      <w:r w:rsidR="00EE1586" w:rsidRPr="000B68C8">
        <w:t xml:space="preserve"> </w:t>
      </w:r>
      <w:r w:rsidR="00EC3E03" w:rsidRPr="000B68C8">
        <w:t>since</w:t>
      </w:r>
      <w:r w:rsidR="008841B4" w:rsidRPr="000B68C8">
        <w:t xml:space="preserve"> such values could </w:t>
      </w:r>
      <w:r w:rsidR="00EE1586" w:rsidRPr="000B68C8">
        <w:t xml:space="preserve">inflate </w:t>
      </w:r>
      <w:r w:rsidR="00913DC6" w:rsidRPr="000B68C8">
        <w:t xml:space="preserve">the </w:t>
      </w:r>
      <w:r w:rsidR="00EE1586" w:rsidRPr="000B68C8">
        <w:t xml:space="preserve">selection of </w:t>
      </w:r>
      <w:r w:rsidR="008841B4" w:rsidRPr="000B68C8">
        <w:t>“</w:t>
      </w:r>
      <w:r w:rsidR="00EE1586" w:rsidRPr="000B68C8">
        <w:t>u</w:t>
      </w:r>
      <w:r w:rsidR="008841B4" w:rsidRPr="000B68C8">
        <w:t>ndetermined”</w:t>
      </w:r>
      <w:r w:rsidR="00EE1586" w:rsidRPr="000B68C8">
        <w:t xml:space="preserve"> responses even in the face of better information</w:t>
      </w:r>
    </w:p>
    <w:p w14:paraId="0AC6B937" w14:textId="6671E675" w:rsidR="008841B4" w:rsidRPr="000B68C8" w:rsidRDefault="008841B4" w:rsidP="00342407">
      <w:pPr>
        <w:pStyle w:val="ListParagraph"/>
        <w:numPr>
          <w:ilvl w:val="0"/>
          <w:numId w:val="45"/>
        </w:numPr>
        <w:spacing w:before="0" w:after="0" w:line="240" w:lineRule="auto"/>
      </w:pPr>
      <w:r w:rsidRPr="000B68C8">
        <w:t>The proposed number of values must be suitable to allow a meaningful analysis avoiding a long list of alternatives.</w:t>
      </w:r>
    </w:p>
    <w:p w14:paraId="50046BED" w14:textId="39926B15" w:rsidR="00EE22B0" w:rsidRPr="000B68C8" w:rsidRDefault="008841B4" w:rsidP="008841B4">
      <w:pPr>
        <w:rPr>
          <w:rFonts w:cs="Times New Roman"/>
          <w:lang w:val="en-US"/>
        </w:rPr>
      </w:pPr>
      <w:r w:rsidRPr="000B68C8">
        <w:rPr>
          <w:rFonts w:cs="Times New Roman"/>
          <w:lang w:val="en-US"/>
        </w:rPr>
        <w:t xml:space="preserve">It is desirable that </w:t>
      </w:r>
      <w:r w:rsidR="00EE22B0" w:rsidRPr="000B68C8">
        <w:rPr>
          <w:rFonts w:cs="Times New Roman"/>
          <w:lang w:val="en-US"/>
        </w:rPr>
        <w:t>the option</w:t>
      </w:r>
      <w:r w:rsidRPr="000B68C8">
        <w:rPr>
          <w:rFonts w:cs="Times New Roman"/>
          <w:lang w:val="en-US"/>
        </w:rPr>
        <w:t xml:space="preserve"> “Other”</w:t>
      </w:r>
      <w:r w:rsidR="009F28F9" w:rsidRPr="000B68C8">
        <w:rPr>
          <w:rFonts w:cs="Times New Roman"/>
          <w:lang w:val="en-US"/>
        </w:rPr>
        <w:t xml:space="preserve"> </w:t>
      </w:r>
      <w:r w:rsidR="0092262F" w:rsidRPr="000B68C8">
        <w:rPr>
          <w:rFonts w:cs="Times New Roman"/>
          <w:lang w:val="en-US"/>
        </w:rPr>
        <w:t>is</w:t>
      </w:r>
      <w:r w:rsidRPr="000B68C8">
        <w:rPr>
          <w:rFonts w:cs="Times New Roman"/>
          <w:lang w:val="en-US"/>
        </w:rPr>
        <w:t xml:space="preserve"> accompanied by a short text field</w:t>
      </w:r>
      <w:r w:rsidR="003323D1" w:rsidRPr="000B68C8">
        <w:rPr>
          <w:rFonts w:cs="Times New Roman"/>
          <w:lang w:val="en-US"/>
        </w:rPr>
        <w:t xml:space="preserve"> </w:t>
      </w:r>
      <w:r w:rsidR="001C22EC" w:rsidRPr="000B68C8">
        <w:rPr>
          <w:rFonts w:cs="Times New Roman"/>
          <w:lang w:val="en-US"/>
        </w:rPr>
        <w:t>that</w:t>
      </w:r>
      <w:r w:rsidR="003323D1" w:rsidRPr="000B68C8">
        <w:rPr>
          <w:rFonts w:cs="Times New Roman"/>
          <w:lang w:val="en-US"/>
        </w:rPr>
        <w:t xml:space="preserve"> permits </w:t>
      </w:r>
      <w:r w:rsidRPr="000B68C8">
        <w:rPr>
          <w:rFonts w:cs="Times New Roman"/>
          <w:lang w:val="en-US"/>
        </w:rPr>
        <w:t xml:space="preserve">the respondent </w:t>
      </w:r>
      <w:r w:rsidR="003323D1" w:rsidRPr="000B68C8">
        <w:rPr>
          <w:rFonts w:cs="Times New Roman"/>
          <w:lang w:val="en-US"/>
        </w:rPr>
        <w:t>to</w:t>
      </w:r>
      <w:r w:rsidRPr="000B68C8">
        <w:rPr>
          <w:rFonts w:cs="Times New Roman"/>
          <w:lang w:val="en-US"/>
        </w:rPr>
        <w:t xml:space="preserve"> describe </w:t>
      </w:r>
      <w:r w:rsidR="003323D1" w:rsidRPr="000B68C8">
        <w:rPr>
          <w:rFonts w:cs="Times New Roman"/>
          <w:lang w:val="en-US"/>
        </w:rPr>
        <w:t>a</w:t>
      </w:r>
      <w:r w:rsidRPr="000B68C8">
        <w:rPr>
          <w:rFonts w:cs="Times New Roman"/>
          <w:lang w:val="en-US"/>
        </w:rPr>
        <w:t xml:space="preserve"> specific value</w:t>
      </w:r>
      <w:r w:rsidR="0092262F" w:rsidRPr="000B68C8">
        <w:rPr>
          <w:rFonts w:cs="Times New Roman"/>
          <w:lang w:val="en-US"/>
        </w:rPr>
        <w:t xml:space="preserve"> and explanation of the proposed alternative</w:t>
      </w:r>
      <w:r w:rsidRPr="000B68C8">
        <w:rPr>
          <w:rFonts w:cs="Times New Roman"/>
          <w:lang w:val="en-US"/>
        </w:rPr>
        <w:t xml:space="preserve">. </w:t>
      </w:r>
      <w:r w:rsidR="0092262F" w:rsidRPr="000B68C8">
        <w:rPr>
          <w:rFonts w:cs="Times New Roman"/>
          <w:lang w:val="en-US"/>
        </w:rPr>
        <w:t xml:space="preserve">Having the option of adding a text field </w:t>
      </w:r>
      <w:r w:rsidR="00EE22B0" w:rsidRPr="000B68C8">
        <w:rPr>
          <w:rFonts w:cs="Times New Roman"/>
          <w:lang w:val="en-US"/>
        </w:rPr>
        <w:t>increases the complexity</w:t>
      </w:r>
      <w:r w:rsidRPr="000B68C8">
        <w:rPr>
          <w:rFonts w:cs="Times New Roman"/>
          <w:lang w:val="en-US"/>
        </w:rPr>
        <w:t xml:space="preserve"> of the data collection</w:t>
      </w:r>
      <w:r w:rsidR="0092262F" w:rsidRPr="000B68C8">
        <w:rPr>
          <w:rFonts w:cs="Times New Roman"/>
          <w:lang w:val="en-US"/>
        </w:rPr>
        <w:t>. However,</w:t>
      </w:r>
      <w:r w:rsidRPr="000B68C8">
        <w:rPr>
          <w:rFonts w:cs="Times New Roman"/>
          <w:lang w:val="en-US"/>
        </w:rPr>
        <w:t xml:space="preserve"> </w:t>
      </w:r>
      <w:r w:rsidR="0092262F" w:rsidRPr="000B68C8">
        <w:rPr>
          <w:rFonts w:cs="Times New Roman"/>
          <w:lang w:val="en-US"/>
        </w:rPr>
        <w:t>it</w:t>
      </w:r>
      <w:r w:rsidRPr="000B68C8">
        <w:rPr>
          <w:rFonts w:cs="Times New Roman"/>
          <w:lang w:val="en-US"/>
        </w:rPr>
        <w:t xml:space="preserve"> </w:t>
      </w:r>
      <w:r w:rsidR="003323D1" w:rsidRPr="000B68C8">
        <w:rPr>
          <w:rFonts w:cs="Times New Roman"/>
          <w:lang w:val="en-US"/>
        </w:rPr>
        <w:t>can be</w:t>
      </w:r>
      <w:r w:rsidRPr="000B68C8">
        <w:rPr>
          <w:rFonts w:cs="Times New Roman"/>
          <w:lang w:val="en-US"/>
        </w:rPr>
        <w:t xml:space="preserve"> important for </w:t>
      </w:r>
      <w:r w:rsidR="00EE22B0" w:rsidRPr="000B68C8">
        <w:rPr>
          <w:rFonts w:cs="Times New Roman"/>
          <w:lang w:val="en-US"/>
        </w:rPr>
        <w:t xml:space="preserve">the </w:t>
      </w:r>
      <w:r w:rsidR="0092262F" w:rsidRPr="000B68C8">
        <w:rPr>
          <w:rFonts w:cs="Times New Roman"/>
          <w:lang w:val="en-US"/>
        </w:rPr>
        <w:t xml:space="preserve">data </w:t>
      </w:r>
      <w:r w:rsidRPr="000B68C8">
        <w:rPr>
          <w:rFonts w:cs="Times New Roman"/>
          <w:lang w:val="en-US"/>
        </w:rPr>
        <w:t>analysis</w:t>
      </w:r>
      <w:r w:rsidR="0092262F" w:rsidRPr="000B68C8">
        <w:rPr>
          <w:rFonts w:cs="Times New Roman"/>
          <w:lang w:val="en-US"/>
        </w:rPr>
        <w:t xml:space="preserve">, accuracy and evaluation of the missing value </w:t>
      </w:r>
      <w:r w:rsidR="00342407"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{"citationItems":[{"id":"ITEM-1","itemData":{"author":[{"dropping-particle":"","family":"EU FireStat","given":"","non-dropping-particle":"","parse-names":false,"suffix":""}],"id":"ITEM-1","issued":{"date-parts":[["2021"]]},"title":"EU FireStat - Closing data gaps and paving the way for pan-European Fire Safety Efforts. Report Task 4 - Terminology","type":"report"},"uris":["http://www.mendeley.com/documents/?uuid=470d87f7-f610-4885-a57b-f7cdc2d3cbad"]}],"mendeley":{"formattedCitation":"[25]","plainTextFormattedCitation":"[25]","previouslyFormattedCitation":"[25]"},"properties":{"noteIndex":0},"schema":"https://github.com/citation-style-language/schema/raw/master/csl-citation.json"}</w:instrText>
      </w:r>
      <w:r w:rsidR="00342407" w:rsidRPr="000B68C8">
        <w:rPr>
          <w:rFonts w:cs="Times New Roman"/>
          <w:lang w:val="en-US"/>
        </w:rPr>
        <w:fldChar w:fldCharType="separate"/>
      </w:r>
      <w:r w:rsidR="00BC2D97" w:rsidRPr="000B68C8">
        <w:rPr>
          <w:rFonts w:cs="Times New Roman"/>
          <w:noProof/>
          <w:lang w:val="en-US"/>
        </w:rPr>
        <w:t>[25]</w:t>
      </w:r>
      <w:r w:rsidR="00342407" w:rsidRPr="000B68C8">
        <w:rPr>
          <w:rFonts w:cs="Times New Roman"/>
          <w:lang w:val="en-US"/>
        </w:rPr>
        <w:fldChar w:fldCharType="end"/>
      </w:r>
      <w:r w:rsidRPr="000B68C8">
        <w:rPr>
          <w:rFonts w:cs="Times New Roman"/>
          <w:lang w:val="en-US"/>
        </w:rPr>
        <w:t xml:space="preserve">. </w:t>
      </w:r>
    </w:p>
    <w:p w14:paraId="3C052668" w14:textId="53012A23" w:rsidR="00070752" w:rsidRPr="000B68C8" w:rsidRDefault="00D515D8" w:rsidP="007E3179">
      <w:pPr>
        <w:rPr>
          <w:rFonts w:cs="Times New Roman"/>
          <w:lang w:val="en-US"/>
        </w:rPr>
      </w:pPr>
      <w:r w:rsidRPr="000B68C8">
        <w:rPr>
          <w:rFonts w:cs="Times New Roman"/>
          <w:lang w:val="en-US"/>
        </w:rPr>
        <w:t>T</w:t>
      </w:r>
      <w:r w:rsidR="00EE22B0" w:rsidRPr="000B68C8">
        <w:rPr>
          <w:rFonts w:cs="Times New Roman"/>
          <w:lang w:val="en-US"/>
        </w:rPr>
        <w:t xml:space="preserve">he following Sections will be focused on the analysis of the existing terminology, results obtained from the questionnaire and proposed unified terminology. </w:t>
      </w:r>
    </w:p>
    <w:p w14:paraId="1EA01DA8" w14:textId="1976611F" w:rsidR="009455D0" w:rsidRPr="000B68C8" w:rsidRDefault="009455D0">
      <w:pPr>
        <w:pStyle w:val="Heading1"/>
      </w:pPr>
      <w:bookmarkStart w:id="31" w:name="_Ref88849836"/>
      <w:bookmarkStart w:id="32" w:name="_Ref96006598"/>
      <w:r w:rsidRPr="000B68C8">
        <w:t xml:space="preserve">Mapping of the </w:t>
      </w:r>
      <w:r w:rsidR="00EE22B0" w:rsidRPr="000B68C8">
        <w:t xml:space="preserve">existing </w:t>
      </w:r>
      <w:r w:rsidR="00E438F1" w:rsidRPr="000B68C8">
        <w:t xml:space="preserve">definitions in the </w:t>
      </w:r>
      <w:r w:rsidR="006E5DAB" w:rsidRPr="000B68C8">
        <w:t>investigated</w:t>
      </w:r>
      <w:r w:rsidR="00E438F1" w:rsidRPr="000B68C8">
        <w:t xml:space="preserve"> countries</w:t>
      </w:r>
      <w:bookmarkEnd w:id="31"/>
      <w:r w:rsidR="00E438F1" w:rsidRPr="000B68C8">
        <w:t xml:space="preserve"> </w:t>
      </w:r>
      <w:bookmarkEnd w:id="32"/>
    </w:p>
    <w:p w14:paraId="46A59935" w14:textId="1E0C3C7E" w:rsidR="00A2331F" w:rsidRPr="000B68C8" w:rsidRDefault="00A2331F" w:rsidP="00A2331F">
      <w:r w:rsidRPr="000B68C8">
        <w:t xml:space="preserve">The definitions </w:t>
      </w:r>
      <w:r w:rsidR="00BE0CDC" w:rsidRPr="000B68C8">
        <w:t>were</w:t>
      </w:r>
      <w:r w:rsidR="0096409F" w:rsidRPr="000B68C8">
        <w:t xml:space="preserve"> grouped according to the </w:t>
      </w:r>
      <w:r w:rsidR="001D6CEC" w:rsidRPr="000B68C8">
        <w:t>categories of interest</w:t>
      </w:r>
      <w:r w:rsidR="0096409F" w:rsidRPr="000B68C8">
        <w:t xml:space="preserve"> </w:t>
      </w:r>
      <w:r w:rsidR="00C8095C" w:rsidRPr="000B68C8">
        <w:t xml:space="preserve">presented </w:t>
      </w:r>
      <w:r w:rsidR="0096409F" w:rsidRPr="000B68C8">
        <w:t xml:space="preserve">in </w:t>
      </w:r>
      <w:r w:rsidR="0096409F" w:rsidRPr="000B68C8">
        <w:fldChar w:fldCharType="begin"/>
      </w:r>
      <w:r w:rsidR="0096409F" w:rsidRPr="000B68C8">
        <w:instrText xml:space="preserve"> REF _Ref83724733 \h </w:instrText>
      </w:r>
      <w:r w:rsidR="000B68C8">
        <w:instrText xml:space="preserve"> \* MERGEFORMAT </w:instrText>
      </w:r>
      <w:r w:rsidR="0096409F" w:rsidRPr="000B68C8">
        <w:fldChar w:fldCharType="separate"/>
      </w:r>
      <w:r w:rsidR="00527272" w:rsidRPr="000B68C8">
        <w:t xml:space="preserve">Table </w:t>
      </w:r>
      <w:r w:rsidR="00527272" w:rsidRPr="000B68C8">
        <w:rPr>
          <w:noProof/>
        </w:rPr>
        <w:t>1</w:t>
      </w:r>
      <w:r w:rsidR="0096409F" w:rsidRPr="000B68C8">
        <w:fldChar w:fldCharType="end"/>
      </w:r>
      <w:r w:rsidR="0096409F" w:rsidRPr="000B68C8">
        <w:t xml:space="preserve"> </w:t>
      </w:r>
      <w:r w:rsidRPr="000B68C8">
        <w:t>and compared to those available in the ISO</w:t>
      </w:r>
      <w:r w:rsidR="00DD1958" w:rsidRPr="000B68C8">
        <w:t>/</w:t>
      </w:r>
      <w:r w:rsidRPr="000B68C8">
        <w:t>TS 17755-2</w:t>
      </w:r>
      <w:r w:rsidR="00DD1958" w:rsidRPr="000B68C8">
        <w:t xml:space="preserve"> </w:t>
      </w:r>
      <w:r w:rsidR="00DD1958" w:rsidRPr="000B68C8">
        <w:fldChar w:fldCharType="begin" w:fldLock="1"/>
      </w:r>
      <w:r w:rsidR="007359B2" w:rsidRPr="000B68C8">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00DD1958" w:rsidRPr="000B68C8">
        <w:fldChar w:fldCharType="separate"/>
      </w:r>
      <w:r w:rsidR="00BC2D97" w:rsidRPr="000B68C8">
        <w:rPr>
          <w:noProof/>
        </w:rPr>
        <w:t>[20]</w:t>
      </w:r>
      <w:r w:rsidR="00DD1958" w:rsidRPr="000B68C8">
        <w:fldChar w:fldCharType="end"/>
      </w:r>
      <w:r w:rsidRPr="000B68C8">
        <w:t xml:space="preserve">. </w:t>
      </w:r>
      <w:r w:rsidR="0096409F" w:rsidRPr="000B68C8">
        <w:t>Detailed definitions for each country</w:t>
      </w:r>
      <w:r w:rsidR="00007510" w:rsidRPr="000B68C8">
        <w:t xml:space="preserve"> and the extended definitions available in the ISO/TS 17755-2</w:t>
      </w:r>
      <w:r w:rsidR="0096409F" w:rsidRPr="000B68C8">
        <w:t xml:space="preserve"> c</w:t>
      </w:r>
      <w:r w:rsidR="00BE3ABF" w:rsidRPr="000B68C8">
        <w:t xml:space="preserve">an </w:t>
      </w:r>
      <w:r w:rsidR="0096409F" w:rsidRPr="000B68C8">
        <w:t>be found in the report published by the EU FireStat</w:t>
      </w:r>
      <w:r w:rsidR="00342407" w:rsidRPr="000B68C8">
        <w:t xml:space="preserve"> </w:t>
      </w:r>
      <w:r w:rsidR="00342407" w:rsidRPr="000B68C8">
        <w:fldChar w:fldCharType="begin" w:fldLock="1"/>
      </w:r>
      <w:r w:rsidR="007359B2" w:rsidRPr="000B68C8">
        <w:instrText>ADDIN CSL_CITATION {"citationItems":[{"id":"ITEM-1","itemData":{"author":[{"dropping-particle":"","family":"EU FireStat","given":"","non-dropping-particle":"","parse-names":false,"suffix":""}],"id":"ITEM-1","issued":{"date-parts":[["2021"]]},"title":"EU FireStat - Closing data gaps and paving the way for pan-European Fire Safety Efforts. Report Task 1 - Terminology and data collection methodology","type":"report"},"uris":["http://www.mendeley.com/documents/?uuid=bb11fa42-0b56-48aa-87c9-3c2d28d79a94"]}],"mendeley":{"formattedCitation":"[23]","plainTextFormattedCitation":"[23]","previouslyFormattedCitation":"[23]"},"properties":{"noteIndex":0},"schema":"https://github.com/citation-style-language/schema/raw/master/csl-citation.json"}</w:instrText>
      </w:r>
      <w:r w:rsidR="00342407" w:rsidRPr="000B68C8">
        <w:fldChar w:fldCharType="separate"/>
      </w:r>
      <w:r w:rsidR="00BC2D97" w:rsidRPr="000B68C8">
        <w:rPr>
          <w:noProof/>
        </w:rPr>
        <w:t>[23]</w:t>
      </w:r>
      <w:r w:rsidR="00342407" w:rsidRPr="000B68C8">
        <w:fldChar w:fldCharType="end"/>
      </w:r>
      <w:r w:rsidR="0096409F" w:rsidRPr="000B68C8">
        <w:t xml:space="preserve">. In this paper, </w:t>
      </w:r>
      <w:r w:rsidR="00D22AED" w:rsidRPr="000B68C8">
        <w:t xml:space="preserve">the analysis is focused on the main conclusions for each </w:t>
      </w:r>
      <w:r w:rsidR="00380FC5" w:rsidRPr="000B68C8">
        <w:t>category of interest</w:t>
      </w:r>
      <w:r w:rsidR="00D22AED" w:rsidRPr="000B68C8">
        <w:t xml:space="preserve"> derived </w:t>
      </w:r>
      <w:r w:rsidR="00913DC6" w:rsidRPr="000B68C8">
        <w:t xml:space="preserve">from </w:t>
      </w:r>
      <w:r w:rsidR="00D22AED" w:rsidRPr="000B68C8">
        <w:t xml:space="preserve">the investigation. </w:t>
      </w:r>
    </w:p>
    <w:p w14:paraId="341CE24E" w14:textId="5CF9EBFD" w:rsidR="00A2331F" w:rsidRPr="000B68C8" w:rsidRDefault="00A9126B" w:rsidP="006362F9">
      <w:r w:rsidRPr="000B68C8">
        <w:t xml:space="preserve">For </w:t>
      </w:r>
      <w:r w:rsidRPr="000B68C8">
        <w:rPr>
          <w:b/>
        </w:rPr>
        <w:t>f</w:t>
      </w:r>
      <w:r w:rsidR="00A2331F" w:rsidRPr="000B68C8">
        <w:rPr>
          <w:b/>
        </w:rPr>
        <w:t>ire incidents</w:t>
      </w:r>
      <w:r w:rsidRPr="000B68C8">
        <w:t>, i</w:t>
      </w:r>
      <w:r w:rsidR="00A2331F" w:rsidRPr="000B68C8">
        <w:t>n the ISO TS 17755-2, definitions for accidental</w:t>
      </w:r>
      <w:r w:rsidR="00D22AED" w:rsidRPr="000B68C8">
        <w:t xml:space="preserve">, </w:t>
      </w:r>
      <w:r w:rsidR="00A2331F" w:rsidRPr="000B68C8">
        <w:t>fire false alarm</w:t>
      </w:r>
      <w:r w:rsidR="00D22AED" w:rsidRPr="000B68C8">
        <w:t xml:space="preserve">, </w:t>
      </w:r>
      <w:r w:rsidR="00A2331F" w:rsidRPr="000B68C8">
        <w:t>arson, deliberate fire, incendiary fire, intentional fire and voluntary fire</w:t>
      </w:r>
      <w:r w:rsidR="00D22AED" w:rsidRPr="000B68C8">
        <w:t xml:space="preserve"> are available</w:t>
      </w:r>
      <w:r w:rsidR="00A2331F" w:rsidRPr="000B68C8">
        <w:t xml:space="preserve">. </w:t>
      </w:r>
      <w:r w:rsidR="00D22AED" w:rsidRPr="000B68C8">
        <w:t xml:space="preserve">In </w:t>
      </w:r>
      <w:r w:rsidR="00455E37" w:rsidRPr="000B68C8">
        <w:t>many of</w:t>
      </w:r>
      <w:r w:rsidR="00D22AED" w:rsidRPr="000B68C8">
        <w:t xml:space="preserve"> the</w:t>
      </w:r>
      <w:r w:rsidR="00A2331F" w:rsidRPr="000B68C8">
        <w:t xml:space="preserve"> EU countries, the definition of fire incident includes the various fire incident classifications</w:t>
      </w:r>
      <w:r w:rsidR="003314F7" w:rsidRPr="000B68C8">
        <w:t xml:space="preserve">. </w:t>
      </w:r>
      <w:r w:rsidR="00455E37" w:rsidRPr="000B68C8">
        <w:t>For example</w:t>
      </w:r>
      <w:r w:rsidRPr="000B68C8">
        <w:t>, i</w:t>
      </w:r>
      <w:r w:rsidR="003314F7" w:rsidRPr="000B68C8">
        <w:t xml:space="preserve">n Estonia and Finland, </w:t>
      </w:r>
      <w:r w:rsidR="00A2331F" w:rsidRPr="000B68C8">
        <w:t>specific definitions for accidental, deliberate fire and fire false alarm are available</w:t>
      </w:r>
      <w:r w:rsidR="003314F7" w:rsidRPr="000B68C8">
        <w:t xml:space="preserve"> while i</w:t>
      </w:r>
      <w:r w:rsidR="00A2331F" w:rsidRPr="000B68C8">
        <w:t xml:space="preserve">n Romania and Hungary, only a definition for fire false alarm is present. </w:t>
      </w:r>
      <w:r w:rsidR="003314F7" w:rsidRPr="000B68C8">
        <w:t>In Italy and Ireland</w:t>
      </w:r>
      <w:r w:rsidR="00380FC5" w:rsidRPr="000B68C8">
        <w:t>,</w:t>
      </w:r>
      <w:r w:rsidR="003314F7" w:rsidRPr="000B68C8">
        <w:t xml:space="preserve"> there </w:t>
      </w:r>
      <w:r w:rsidR="00BD2A0C" w:rsidRPr="000B68C8">
        <w:t>is no</w:t>
      </w:r>
      <w:r w:rsidR="003314F7" w:rsidRPr="000B68C8">
        <w:t xml:space="preserve"> proper definition. Moreover, in Italy, </w:t>
      </w:r>
      <w:r w:rsidR="00A2331F" w:rsidRPr="000B68C8">
        <w:t xml:space="preserve">fire incidents are recorded as </w:t>
      </w:r>
      <w:r w:rsidR="00380FC5" w:rsidRPr="000B68C8">
        <w:t xml:space="preserve">a </w:t>
      </w:r>
      <w:r w:rsidR="00A2331F" w:rsidRPr="000B68C8">
        <w:t xml:space="preserve">false alarm and </w:t>
      </w:r>
      <w:r w:rsidR="003314F7" w:rsidRPr="000B68C8">
        <w:t xml:space="preserve">in Ireland, </w:t>
      </w:r>
      <w:r w:rsidR="00A2331F" w:rsidRPr="000B68C8">
        <w:t xml:space="preserve">as </w:t>
      </w:r>
      <w:r w:rsidR="00380FC5" w:rsidRPr="000B68C8">
        <w:t xml:space="preserve">a </w:t>
      </w:r>
      <w:r w:rsidR="00A2331F" w:rsidRPr="000B68C8">
        <w:t>false alarm, malicious and good inten</w:t>
      </w:r>
      <w:r w:rsidR="003314F7" w:rsidRPr="000B68C8">
        <w:t>t</w:t>
      </w:r>
      <w:r w:rsidR="00A2331F" w:rsidRPr="000B68C8">
        <w:t xml:space="preserve">. </w:t>
      </w:r>
      <w:r w:rsidRPr="000B68C8">
        <w:t>When the other countries are examined, i</w:t>
      </w:r>
      <w:r w:rsidR="00A2331F" w:rsidRPr="000B68C8">
        <w:t xml:space="preserve">n Canada and the USA, a general definition for fire </w:t>
      </w:r>
      <w:r w:rsidR="00380FC5" w:rsidRPr="000B68C8">
        <w:t>incidents</w:t>
      </w:r>
      <w:r w:rsidR="00A2331F" w:rsidRPr="000B68C8">
        <w:t xml:space="preserve"> is </w:t>
      </w:r>
      <w:r w:rsidR="003314F7" w:rsidRPr="000B68C8">
        <w:t xml:space="preserve">available with the subdivision </w:t>
      </w:r>
      <w:r w:rsidR="0093024E" w:rsidRPr="000B68C8">
        <w:t xml:space="preserve">of </w:t>
      </w:r>
      <w:r w:rsidR="00A2331F" w:rsidRPr="000B68C8">
        <w:t>accidental, deliberate fires and false alarm</w:t>
      </w:r>
      <w:r w:rsidR="003314F7" w:rsidRPr="000B68C8">
        <w:t>s</w:t>
      </w:r>
      <w:r w:rsidR="00A2331F" w:rsidRPr="000B68C8">
        <w:t xml:space="preserve">. </w:t>
      </w:r>
      <w:r w:rsidR="005A530C" w:rsidRPr="000B68C8">
        <w:t>A</w:t>
      </w:r>
      <w:r w:rsidR="00A2331F" w:rsidRPr="000B68C8">
        <w:t xml:space="preserve">ccidental and deliberate fires </w:t>
      </w:r>
      <w:r w:rsidR="003314F7" w:rsidRPr="000B68C8">
        <w:t>are also</w:t>
      </w:r>
      <w:r w:rsidR="00A2331F" w:rsidRPr="000B68C8">
        <w:t xml:space="preserve"> available in New Zealand, Russia</w:t>
      </w:r>
      <w:r w:rsidR="00455E37" w:rsidRPr="000B68C8">
        <w:t>,</w:t>
      </w:r>
      <w:r w:rsidR="00A2331F" w:rsidRPr="000B68C8">
        <w:t xml:space="preserve"> and the UK. </w:t>
      </w:r>
      <w:r w:rsidR="003314F7" w:rsidRPr="000B68C8">
        <w:t>Norway defines f</w:t>
      </w:r>
      <w:r w:rsidR="00A2331F" w:rsidRPr="000B68C8">
        <w:t xml:space="preserve">alse alarms while in Australia, Russia and the UK, false alarms are recorded </w:t>
      </w:r>
      <w:r w:rsidR="003314F7" w:rsidRPr="000B68C8">
        <w:t>without a</w:t>
      </w:r>
      <w:r w:rsidR="00A2331F" w:rsidRPr="000B68C8">
        <w:t xml:space="preserve"> proper definition</w:t>
      </w:r>
      <w:r w:rsidR="003314F7" w:rsidRPr="000B68C8">
        <w:t>.</w:t>
      </w:r>
    </w:p>
    <w:p w14:paraId="7817C9D2" w14:textId="7ADF2106" w:rsidR="00A2331F" w:rsidRPr="000B68C8" w:rsidRDefault="001C22EC" w:rsidP="006362F9">
      <w:r w:rsidRPr="000B68C8">
        <w:t>The</w:t>
      </w:r>
      <w:r w:rsidR="00A2331F" w:rsidRPr="000B68C8">
        <w:t xml:space="preserve"> ISO</w:t>
      </w:r>
      <w:r w:rsidR="00EF2EA2" w:rsidRPr="000B68C8">
        <w:t>/</w:t>
      </w:r>
      <w:r w:rsidR="00A2331F" w:rsidRPr="000B68C8">
        <w:t xml:space="preserve">TS 17755-2 definitions for </w:t>
      </w:r>
      <w:r w:rsidR="00A2331F" w:rsidRPr="000B68C8">
        <w:rPr>
          <w:b/>
        </w:rPr>
        <w:t>building</w:t>
      </w:r>
      <w:r w:rsidR="00A2331F" w:rsidRPr="000B68C8">
        <w:t xml:space="preserve">, building fire, </w:t>
      </w:r>
      <w:r w:rsidRPr="000B68C8">
        <w:t xml:space="preserve">the </w:t>
      </w:r>
      <w:r w:rsidR="00A2331F" w:rsidRPr="000B68C8">
        <w:t>height of the building, dwelling fire, home fire</w:t>
      </w:r>
      <w:r w:rsidR="005A530C" w:rsidRPr="000B68C8">
        <w:t xml:space="preserve"> and</w:t>
      </w:r>
      <w:r w:rsidR="00A2331F" w:rsidRPr="000B68C8">
        <w:t xml:space="preserve"> residential fire</w:t>
      </w:r>
      <w:r w:rsidR="003314F7" w:rsidRPr="000B68C8">
        <w:t xml:space="preserve"> are available</w:t>
      </w:r>
      <w:r w:rsidR="00A2331F" w:rsidRPr="000B68C8">
        <w:t>.</w:t>
      </w:r>
      <w:r w:rsidR="00A9126B" w:rsidRPr="000B68C8">
        <w:t xml:space="preserve"> Buildings are </w:t>
      </w:r>
      <w:r w:rsidR="003314F7" w:rsidRPr="000B68C8">
        <w:t>classifi</w:t>
      </w:r>
      <w:r w:rsidR="00A9126B" w:rsidRPr="000B68C8">
        <w:t>ed</w:t>
      </w:r>
      <w:r w:rsidR="003314F7" w:rsidRPr="000B68C8">
        <w:t xml:space="preserve"> </w:t>
      </w:r>
      <w:r w:rsidR="00913DC6" w:rsidRPr="000B68C8">
        <w:t xml:space="preserve">as </w:t>
      </w:r>
      <w:r w:rsidR="003314F7" w:rsidRPr="000B68C8">
        <w:t>r</w:t>
      </w:r>
      <w:r w:rsidR="00A2331F" w:rsidRPr="000B68C8">
        <w:t xml:space="preserve">esidential and non-residential </w:t>
      </w:r>
      <w:r w:rsidR="00A9126B" w:rsidRPr="000B68C8">
        <w:t xml:space="preserve">with several classifications adopted </w:t>
      </w:r>
      <w:r w:rsidR="003314F7" w:rsidRPr="000B68C8">
        <w:t>in</w:t>
      </w:r>
      <w:r w:rsidR="00A2331F" w:rsidRPr="000B68C8">
        <w:t xml:space="preserve"> </w:t>
      </w:r>
      <w:r w:rsidR="00380FC5" w:rsidRPr="000B68C8">
        <w:t xml:space="preserve">the </w:t>
      </w:r>
      <w:r w:rsidR="00A2331F" w:rsidRPr="000B68C8">
        <w:t>EU</w:t>
      </w:r>
      <w:r w:rsidR="00511566" w:rsidRPr="000B68C8">
        <w:t xml:space="preserve"> and </w:t>
      </w:r>
      <w:r w:rsidR="00500E62" w:rsidRPr="000B68C8">
        <w:t>o</w:t>
      </w:r>
      <w:r w:rsidR="00A2331F" w:rsidRPr="000B68C8">
        <w:t xml:space="preserve">ther countries </w:t>
      </w:r>
      <w:r w:rsidR="003314F7" w:rsidRPr="000B68C8">
        <w:t>according to various property types</w:t>
      </w:r>
      <w:r w:rsidR="00A2331F" w:rsidRPr="000B68C8">
        <w:t>.</w:t>
      </w:r>
    </w:p>
    <w:p w14:paraId="12EE61F9" w14:textId="6816948E" w:rsidR="00A2331F" w:rsidRPr="000B68C8" w:rsidRDefault="003314F7" w:rsidP="006362F9">
      <w:r w:rsidRPr="000B68C8">
        <w:rPr>
          <w:b/>
          <w:bCs/>
        </w:rPr>
        <w:t>F</w:t>
      </w:r>
      <w:r w:rsidR="00A2331F" w:rsidRPr="000B68C8">
        <w:rPr>
          <w:b/>
          <w:bCs/>
        </w:rPr>
        <w:t>ire causes</w:t>
      </w:r>
      <w:r w:rsidR="00A2331F" w:rsidRPr="000B68C8">
        <w:t>, source of ignition and area of origin</w:t>
      </w:r>
      <w:r w:rsidRPr="000B68C8">
        <w:t xml:space="preserve"> are covered by the definitions provided by the ISO</w:t>
      </w:r>
      <w:r w:rsidR="00DD1958" w:rsidRPr="000B68C8">
        <w:t>/</w:t>
      </w:r>
      <w:r w:rsidRPr="000B68C8">
        <w:t>TS 17755-2</w:t>
      </w:r>
      <w:r w:rsidR="005E4CDC" w:rsidRPr="000B68C8">
        <w:t>. D</w:t>
      </w:r>
      <w:r w:rsidRPr="000B68C8">
        <w:t>efinitions for fire causes are available without being explicitly expressed</w:t>
      </w:r>
      <w:r w:rsidR="005E4CDC" w:rsidRPr="000B68C8">
        <w:t xml:space="preserve"> in many examined countries. </w:t>
      </w:r>
      <w:r w:rsidR="00455E37" w:rsidRPr="000B68C8">
        <w:t>For example</w:t>
      </w:r>
      <w:r w:rsidR="005E4CDC" w:rsidRPr="000B68C8">
        <w:t>, s</w:t>
      </w:r>
      <w:r w:rsidR="00A2331F" w:rsidRPr="000B68C8">
        <w:t xml:space="preserve">everal countries </w:t>
      </w:r>
      <w:r w:rsidR="005A530C" w:rsidRPr="000B68C8">
        <w:t>present</w:t>
      </w:r>
      <w:r w:rsidRPr="000B68C8">
        <w:t xml:space="preserve"> a</w:t>
      </w:r>
      <w:r w:rsidR="00A2331F" w:rsidRPr="000B68C8">
        <w:t xml:space="preserve"> dropdown menu </w:t>
      </w:r>
      <w:r w:rsidRPr="000B68C8">
        <w:t>instead of a specific definition</w:t>
      </w:r>
      <w:r w:rsidR="00A2331F" w:rsidRPr="000B68C8">
        <w:t xml:space="preserve">. </w:t>
      </w:r>
      <w:r w:rsidR="005E4CDC" w:rsidRPr="000B68C8">
        <w:t>Furthermore, i</w:t>
      </w:r>
      <w:r w:rsidRPr="000B68C8">
        <w:t xml:space="preserve">nterpretations </w:t>
      </w:r>
      <w:r w:rsidR="003F3698" w:rsidRPr="000B68C8">
        <w:t xml:space="preserve">of fire </w:t>
      </w:r>
      <w:r w:rsidR="001C22EC" w:rsidRPr="000B68C8">
        <w:t>causes</w:t>
      </w:r>
      <w:r w:rsidR="003F3698" w:rsidRPr="000B68C8">
        <w:t xml:space="preserve"> vary </w:t>
      </w:r>
      <w:r w:rsidRPr="000B68C8">
        <w:t xml:space="preserve">in the </w:t>
      </w:r>
      <w:r w:rsidR="005E4CDC" w:rsidRPr="000B68C8">
        <w:t xml:space="preserve">investigated </w:t>
      </w:r>
      <w:r w:rsidRPr="000B68C8">
        <w:t>countries. In some cases,</w:t>
      </w:r>
      <w:r w:rsidR="00A2331F" w:rsidRPr="000B68C8">
        <w:t xml:space="preserve"> </w:t>
      </w:r>
      <w:r w:rsidR="00C10404" w:rsidRPr="000B68C8">
        <w:t xml:space="preserve">options are available for specific possible causes, </w:t>
      </w:r>
      <w:r w:rsidR="00A2331F" w:rsidRPr="000B68C8">
        <w:t>fuel</w:t>
      </w:r>
      <w:r w:rsidR="00C10404" w:rsidRPr="000B68C8">
        <w:t>s,</w:t>
      </w:r>
      <w:r w:rsidR="00A2331F" w:rsidRPr="000B68C8">
        <w:t xml:space="preserve"> and circumstances of the fire incident (as stated in the ISO</w:t>
      </w:r>
      <w:r w:rsidR="00DD1958" w:rsidRPr="000B68C8">
        <w:t>/</w:t>
      </w:r>
      <w:r w:rsidR="00A2331F" w:rsidRPr="000B68C8">
        <w:t>TS 17755-2)</w:t>
      </w:r>
      <w:r w:rsidR="00404B11" w:rsidRPr="000B68C8">
        <w:t>,</w:t>
      </w:r>
      <w:r w:rsidRPr="000B68C8">
        <w:t xml:space="preserve"> leading to difficulties in the comparison.</w:t>
      </w:r>
      <w:r w:rsidR="00A2331F" w:rsidRPr="000B68C8">
        <w:t xml:space="preserve"> </w:t>
      </w:r>
      <w:r w:rsidRPr="000B68C8">
        <w:t xml:space="preserve">Even the field referred to </w:t>
      </w:r>
      <w:r w:rsidR="00C10404" w:rsidRPr="000B68C8">
        <w:t xml:space="preserve">as </w:t>
      </w:r>
      <w:r w:rsidRPr="000B68C8">
        <w:t xml:space="preserve">the source of ignition </w:t>
      </w:r>
      <w:r w:rsidR="00C10404" w:rsidRPr="000B68C8">
        <w:t xml:space="preserve">is subject to </w:t>
      </w:r>
      <w:r w:rsidR="005E4CDC" w:rsidRPr="000B68C8">
        <w:t xml:space="preserve">a </w:t>
      </w:r>
      <w:r w:rsidR="00C10404" w:rsidRPr="000B68C8">
        <w:t>wide variation;</w:t>
      </w:r>
      <w:r w:rsidR="00AC3F9F" w:rsidRPr="000B68C8">
        <w:t xml:space="preserve"> for example, </w:t>
      </w:r>
      <w:r w:rsidR="00C10404" w:rsidRPr="000B68C8">
        <w:t>response options</w:t>
      </w:r>
      <w:r w:rsidR="00A2331F" w:rsidRPr="000B68C8">
        <w:t xml:space="preserve"> </w:t>
      </w:r>
      <w:r w:rsidR="00AC3F9F" w:rsidRPr="000B68C8">
        <w:t xml:space="preserve">could </w:t>
      </w:r>
      <w:r w:rsidR="00A2331F" w:rsidRPr="000B68C8">
        <w:t xml:space="preserve">refer to heat transfer </w:t>
      </w:r>
      <w:r w:rsidR="00AC3F9F" w:rsidRPr="000B68C8">
        <w:t>or to</w:t>
      </w:r>
      <w:r w:rsidR="00A2331F" w:rsidRPr="000B68C8">
        <w:t xml:space="preserve"> </w:t>
      </w:r>
      <w:r w:rsidR="001C22EC" w:rsidRPr="000B68C8">
        <w:t xml:space="preserve">the </w:t>
      </w:r>
      <w:r w:rsidR="00A2331F" w:rsidRPr="000B68C8">
        <w:t xml:space="preserve">type of energy that leads to a fire. </w:t>
      </w:r>
      <w:r w:rsidR="00C10404" w:rsidRPr="000B68C8">
        <w:t>I</w:t>
      </w:r>
      <w:r w:rsidR="00AC3F9F" w:rsidRPr="000B68C8">
        <w:t xml:space="preserve">n some countries, </w:t>
      </w:r>
      <w:r w:rsidR="00A2331F" w:rsidRPr="000B68C8">
        <w:t xml:space="preserve">material first ignited is </w:t>
      </w:r>
      <w:r w:rsidR="00AC3F9F" w:rsidRPr="000B68C8">
        <w:t>included</w:t>
      </w:r>
      <w:r w:rsidR="00A2331F" w:rsidRPr="000B68C8">
        <w:t xml:space="preserve"> in this </w:t>
      </w:r>
      <w:r w:rsidR="00AC3F9F" w:rsidRPr="000B68C8">
        <w:t>field</w:t>
      </w:r>
      <w:r w:rsidR="00A2331F" w:rsidRPr="000B68C8">
        <w:t>.</w:t>
      </w:r>
    </w:p>
    <w:p w14:paraId="17C2AA03" w14:textId="7E2205CD" w:rsidR="00A2331F" w:rsidRPr="000B68C8" w:rsidRDefault="005E4CDC" w:rsidP="006362F9">
      <w:r w:rsidRPr="000B68C8">
        <w:t xml:space="preserve">When </w:t>
      </w:r>
      <w:r w:rsidRPr="000B68C8">
        <w:rPr>
          <w:b/>
        </w:rPr>
        <w:t>f</w:t>
      </w:r>
      <w:r w:rsidR="00A2331F" w:rsidRPr="000B68C8">
        <w:rPr>
          <w:b/>
        </w:rPr>
        <w:t>ire consequences</w:t>
      </w:r>
      <w:r w:rsidRPr="000B68C8">
        <w:t xml:space="preserve"> are analysed, these</w:t>
      </w:r>
      <w:r w:rsidR="00A2331F" w:rsidRPr="000B68C8">
        <w:t xml:space="preserve"> </w:t>
      </w:r>
      <w:r w:rsidR="00397389" w:rsidRPr="000B68C8">
        <w:t>are</w:t>
      </w:r>
      <w:r w:rsidR="00AC3F9F" w:rsidRPr="000B68C8">
        <w:t xml:space="preserve"> collected in only </w:t>
      </w:r>
      <w:r w:rsidR="00072F53" w:rsidRPr="000B68C8">
        <w:t xml:space="preserve">five </w:t>
      </w:r>
      <w:r w:rsidR="00A2331F" w:rsidRPr="000B68C8">
        <w:t xml:space="preserve">EU countries and </w:t>
      </w:r>
      <w:r w:rsidR="00072F53" w:rsidRPr="000B68C8">
        <w:t xml:space="preserve">seven </w:t>
      </w:r>
      <w:r w:rsidR="00500E62" w:rsidRPr="000B68C8">
        <w:t>o</w:t>
      </w:r>
      <w:r w:rsidR="00A2331F" w:rsidRPr="000B68C8">
        <w:t xml:space="preserve">ther countries. </w:t>
      </w:r>
      <w:r w:rsidR="00AC3F9F" w:rsidRPr="000B68C8">
        <w:t>The major difference in the collection is represented by s</w:t>
      </w:r>
      <w:r w:rsidR="00A2331F" w:rsidRPr="000B68C8">
        <w:t xml:space="preserve">ome </w:t>
      </w:r>
      <w:r w:rsidR="00AC3F9F" w:rsidRPr="000B68C8">
        <w:t xml:space="preserve">fire statistics which provide a definition while others </w:t>
      </w:r>
      <w:r w:rsidR="00703303" w:rsidRPr="000B68C8">
        <w:t>quantify</w:t>
      </w:r>
      <w:r w:rsidR="00AC3F9F" w:rsidRPr="000B68C8">
        <w:t xml:space="preserve"> the consequences.</w:t>
      </w:r>
      <w:r w:rsidRPr="000B68C8">
        <w:t xml:space="preserve"> For example, </w:t>
      </w:r>
      <w:r w:rsidR="00A2331F" w:rsidRPr="000B68C8">
        <w:t xml:space="preserve">Estonia, Finland, New Zealand, </w:t>
      </w:r>
      <w:r w:rsidR="0093024E" w:rsidRPr="000B68C8">
        <w:t xml:space="preserve">the </w:t>
      </w:r>
      <w:r w:rsidR="00A2331F" w:rsidRPr="000B68C8">
        <w:t>UK</w:t>
      </w:r>
      <w:r w:rsidR="00455E37" w:rsidRPr="000B68C8">
        <w:t>,</w:t>
      </w:r>
      <w:r w:rsidR="00A2331F" w:rsidRPr="000B68C8">
        <w:t xml:space="preserve"> and </w:t>
      </w:r>
      <w:r w:rsidR="0059065C" w:rsidRPr="000B68C8">
        <w:t xml:space="preserve">the </w:t>
      </w:r>
      <w:r w:rsidR="00A2331F" w:rsidRPr="000B68C8">
        <w:t xml:space="preserve">USA </w:t>
      </w:r>
      <w:r w:rsidR="00AC3F9F" w:rsidRPr="000B68C8">
        <w:t>similarly define fire spread</w:t>
      </w:r>
      <w:r w:rsidR="00BB1C5D" w:rsidRPr="000B68C8">
        <w:t>,</w:t>
      </w:r>
      <w:r w:rsidR="00AC3F9F" w:rsidRPr="000B68C8">
        <w:t xml:space="preserve"> which is evaluated </w:t>
      </w:r>
      <w:r w:rsidR="001C22EC" w:rsidRPr="000B68C8">
        <w:t xml:space="preserve">as </w:t>
      </w:r>
      <w:r w:rsidR="00AC3F9F" w:rsidRPr="000B68C8">
        <w:t>“</w:t>
      </w:r>
      <w:r w:rsidR="00A2331F" w:rsidRPr="000B68C8">
        <w:t>at the stop</w:t>
      </w:r>
      <w:r w:rsidR="00C10404" w:rsidRPr="000B68C8">
        <w:t>,</w:t>
      </w:r>
      <w:r w:rsidR="00A2331F" w:rsidRPr="000B68C8">
        <w:t>”</w:t>
      </w:r>
      <w:r w:rsidR="00AC3F9F" w:rsidRPr="000B68C8">
        <w:t xml:space="preserve"> generally referred to </w:t>
      </w:r>
      <w:r w:rsidR="0093024E" w:rsidRPr="000B68C8">
        <w:t xml:space="preserve">as </w:t>
      </w:r>
      <w:r w:rsidR="00AC3F9F" w:rsidRPr="000B68C8">
        <w:t>when the fire is extinguished. F</w:t>
      </w:r>
      <w:r w:rsidR="00A2331F" w:rsidRPr="000B68C8">
        <w:t xml:space="preserve">ire </w:t>
      </w:r>
      <w:r w:rsidR="00AC3F9F" w:rsidRPr="000B68C8">
        <w:t xml:space="preserve">is evaluated </w:t>
      </w:r>
      <w:r w:rsidR="00A2331F" w:rsidRPr="000B68C8">
        <w:t>at arrival and departure or extent</w:t>
      </w:r>
      <w:r w:rsidR="00AC3F9F" w:rsidRPr="000B68C8">
        <w:t xml:space="preserve"> in Sweden</w:t>
      </w:r>
      <w:r w:rsidR="00500E62" w:rsidRPr="000B68C8">
        <w:t>.</w:t>
      </w:r>
      <w:r w:rsidRPr="000B68C8">
        <w:t xml:space="preserve"> In Australia, t</w:t>
      </w:r>
      <w:r w:rsidR="00A2331F" w:rsidRPr="000B68C8">
        <w:t xml:space="preserve">he </w:t>
      </w:r>
      <w:r w:rsidRPr="000B68C8">
        <w:t>reasons</w:t>
      </w:r>
      <w:r w:rsidR="00A2331F" w:rsidRPr="000B68C8">
        <w:t xml:space="preserve"> or factor</w:t>
      </w:r>
      <w:r w:rsidRPr="000B68C8">
        <w:t>s</w:t>
      </w:r>
      <w:r w:rsidR="00A2331F" w:rsidRPr="000B68C8">
        <w:t xml:space="preserve"> that allowed the flame spread</w:t>
      </w:r>
      <w:r w:rsidR="00AC3F9F" w:rsidRPr="000B68C8">
        <w:t xml:space="preserve"> is recorded as </w:t>
      </w:r>
      <w:r w:rsidR="001C22EC" w:rsidRPr="000B68C8">
        <w:t xml:space="preserve">the </w:t>
      </w:r>
      <w:r w:rsidR="00AC3F9F" w:rsidRPr="000B68C8">
        <w:t>fire spread</w:t>
      </w:r>
      <w:r w:rsidRPr="000B68C8">
        <w:t>. While h</w:t>
      </w:r>
      <w:r w:rsidR="00A2331F" w:rsidRPr="000B68C8">
        <w:t>orizontal and vertical fire spread</w:t>
      </w:r>
      <w:r w:rsidR="00AC3F9F" w:rsidRPr="000B68C8">
        <w:t xml:space="preserve"> </w:t>
      </w:r>
      <w:r w:rsidR="001C22EC" w:rsidRPr="000B68C8">
        <w:t xml:space="preserve">is </w:t>
      </w:r>
      <w:r w:rsidR="00AC3F9F" w:rsidRPr="000B68C8">
        <w:t>generally recorded as two separate fields</w:t>
      </w:r>
      <w:r w:rsidRPr="000B68C8">
        <w:t xml:space="preserve">, </w:t>
      </w:r>
      <w:r w:rsidR="00A2331F" w:rsidRPr="000B68C8">
        <w:t xml:space="preserve">in the Netherlands they are </w:t>
      </w:r>
      <w:r w:rsidR="00AC3F9F" w:rsidRPr="000B68C8">
        <w:t>merged</w:t>
      </w:r>
      <w:r w:rsidR="00A2331F" w:rsidRPr="000B68C8">
        <w:t>.</w:t>
      </w:r>
      <w:r w:rsidRPr="000B68C8">
        <w:t xml:space="preserve"> Moreover, i</w:t>
      </w:r>
      <w:r w:rsidR="00AC3F9F" w:rsidRPr="000B68C8">
        <w:t xml:space="preserve">f </w:t>
      </w:r>
      <w:r w:rsidR="00A2331F" w:rsidRPr="000B68C8">
        <w:t>the damage is caused by natural causes or accidents</w:t>
      </w:r>
      <w:r w:rsidR="00EF4AC2" w:rsidRPr="000B68C8">
        <w:t>, then there</w:t>
      </w:r>
      <w:r w:rsidR="00AC3F9F" w:rsidRPr="000B68C8">
        <w:t xml:space="preserve"> could </w:t>
      </w:r>
      <w:r w:rsidR="00EF4AC2" w:rsidRPr="000B68C8">
        <w:t>be</w:t>
      </w:r>
      <w:r w:rsidR="00AC3F9F" w:rsidRPr="000B68C8">
        <w:t xml:space="preserve"> different defin</w:t>
      </w:r>
      <w:r w:rsidR="003B3713" w:rsidRPr="000B68C8">
        <w:t>itions.</w:t>
      </w:r>
      <w:r w:rsidRPr="000B68C8">
        <w:t xml:space="preserve"> For the quantification of damage, t</w:t>
      </w:r>
      <w:r w:rsidR="00500E62" w:rsidRPr="000B68C8">
        <w:t xml:space="preserve">he </w:t>
      </w:r>
      <w:r w:rsidR="003B3713" w:rsidRPr="000B68C8">
        <w:t>extent of damage</w:t>
      </w:r>
      <w:r w:rsidR="00500E62" w:rsidRPr="000B68C8">
        <w:t xml:space="preserve"> is generally evaluated in m</w:t>
      </w:r>
      <w:r w:rsidR="00500E62" w:rsidRPr="000B68C8">
        <w:rPr>
          <w:vertAlign w:val="superscript"/>
        </w:rPr>
        <w:t>2</w:t>
      </w:r>
      <w:r w:rsidR="00500E62" w:rsidRPr="000B68C8">
        <w:t xml:space="preserve"> or percentage of property damage</w:t>
      </w:r>
      <w:r w:rsidRPr="000B68C8">
        <w:t xml:space="preserve"> where i</w:t>
      </w:r>
      <w:r w:rsidR="00500E62" w:rsidRPr="000B68C8">
        <w:t>n Estonia</w:t>
      </w:r>
      <w:r w:rsidR="00703303" w:rsidRPr="000B68C8">
        <w:t>,</w:t>
      </w:r>
      <w:r w:rsidR="00500E62" w:rsidRPr="000B68C8">
        <w:t xml:space="preserve"> a formula is provided to calculate the property damage as a function of building</w:t>
      </w:r>
      <w:r w:rsidR="001545A8" w:rsidRPr="000B68C8">
        <w:t xml:space="preserve"> m</w:t>
      </w:r>
      <w:r w:rsidR="001545A8" w:rsidRPr="000B68C8">
        <w:rPr>
          <w:vertAlign w:val="superscript"/>
        </w:rPr>
        <w:t>2</w:t>
      </w:r>
      <w:r w:rsidR="00500E62" w:rsidRPr="000B68C8">
        <w:t xml:space="preserve"> burnt area, depreciation percentage, sanitary repairs, renovation, capital repairs and warranty repair.</w:t>
      </w:r>
      <w:r w:rsidRPr="000B68C8">
        <w:t xml:space="preserve"> Finally, t</w:t>
      </w:r>
      <w:r w:rsidR="003B3713" w:rsidRPr="000B68C8">
        <w:t>he f</w:t>
      </w:r>
      <w:r w:rsidR="00A2331F" w:rsidRPr="000B68C8">
        <w:t>ire</w:t>
      </w:r>
      <w:r w:rsidR="003B3713" w:rsidRPr="000B68C8">
        <w:t xml:space="preserve"> and flame</w:t>
      </w:r>
      <w:r w:rsidR="00A2331F" w:rsidRPr="000B68C8">
        <w:t xml:space="preserve"> damage definitions </w:t>
      </w:r>
      <w:r w:rsidR="003B3713" w:rsidRPr="000B68C8">
        <w:t xml:space="preserve">could be </w:t>
      </w:r>
      <w:r w:rsidR="00511566" w:rsidRPr="000B68C8">
        <w:t xml:space="preserve">qualitative </w:t>
      </w:r>
      <w:r w:rsidR="003B3713" w:rsidRPr="000B68C8">
        <w:t>or</w:t>
      </w:r>
      <w:r w:rsidR="00A2331F" w:rsidRPr="000B68C8">
        <w:t xml:space="preserve"> referred to </w:t>
      </w:r>
      <w:r w:rsidR="00624475" w:rsidRPr="000B68C8">
        <w:t xml:space="preserve">in </w:t>
      </w:r>
      <w:r w:rsidR="00A2331F" w:rsidRPr="000B68C8">
        <w:t>the</w:t>
      </w:r>
      <w:r w:rsidR="003B3713" w:rsidRPr="000B68C8">
        <w:t>ir</w:t>
      </w:r>
      <w:r w:rsidR="00A2331F" w:rsidRPr="000B68C8">
        <w:t xml:space="preserve"> evaluation</w:t>
      </w:r>
      <w:r w:rsidR="003B3713" w:rsidRPr="000B68C8">
        <w:t>.</w:t>
      </w:r>
    </w:p>
    <w:p w14:paraId="7CCC4199" w14:textId="566E9CA1" w:rsidR="00500E62" w:rsidRPr="000B68C8" w:rsidRDefault="005E4CDC" w:rsidP="006362F9">
      <w:r w:rsidRPr="000B68C8">
        <w:t xml:space="preserve">The analysis of </w:t>
      </w:r>
      <w:r w:rsidRPr="000B68C8">
        <w:rPr>
          <w:b/>
        </w:rPr>
        <w:t>f</w:t>
      </w:r>
      <w:r w:rsidR="00A2331F" w:rsidRPr="000B68C8">
        <w:rPr>
          <w:b/>
        </w:rPr>
        <w:t>ire safety measures</w:t>
      </w:r>
      <w:r w:rsidRPr="000B68C8">
        <w:t xml:space="preserve"> appears to be more complex when existing fire statistics </w:t>
      </w:r>
      <w:r w:rsidR="001C22EC" w:rsidRPr="000B68C8">
        <w:t>are</w:t>
      </w:r>
      <w:r w:rsidRPr="000B68C8">
        <w:t xml:space="preserve"> examined. </w:t>
      </w:r>
      <w:r w:rsidR="001C1B23" w:rsidRPr="000B68C8">
        <w:t>T</w:t>
      </w:r>
      <w:r w:rsidR="00A2331F" w:rsidRPr="000B68C8">
        <w:t>he ISO</w:t>
      </w:r>
      <w:r w:rsidR="00DD1958" w:rsidRPr="000B68C8">
        <w:t>/</w:t>
      </w:r>
      <w:r w:rsidR="00A2331F" w:rsidRPr="000B68C8">
        <w:t>TS 17755-2</w:t>
      </w:r>
      <w:r w:rsidR="001C1B23" w:rsidRPr="000B68C8">
        <w:t xml:space="preserve"> defines </w:t>
      </w:r>
      <w:r w:rsidR="00A2331F" w:rsidRPr="000B68C8">
        <w:t xml:space="preserve">alarms </w:t>
      </w:r>
      <w:bookmarkStart w:id="33" w:name="_Hlk63678142"/>
      <w:r w:rsidR="00A2331F" w:rsidRPr="000B68C8">
        <w:t>as the time to the notification to fire service or other local service</w:t>
      </w:r>
      <w:bookmarkEnd w:id="33"/>
      <w:r w:rsidR="00A2331F" w:rsidRPr="000B68C8">
        <w:t xml:space="preserve">s. </w:t>
      </w:r>
      <w:r w:rsidR="001C1B23" w:rsidRPr="000B68C8">
        <w:t>It is important to affirm that the definition provided by the ISO</w:t>
      </w:r>
      <w:r w:rsidR="00DD1958" w:rsidRPr="000B68C8">
        <w:t>/</w:t>
      </w:r>
      <w:r w:rsidR="001C1B23" w:rsidRPr="000B68C8">
        <w:t>TS 17755-2 does not have any correspondence to those available in the examined fire statistics.</w:t>
      </w:r>
      <w:r w:rsidR="00501E6B" w:rsidRPr="000B68C8">
        <w:t xml:space="preserve"> It is in this light that d</w:t>
      </w:r>
      <w:r w:rsidR="00A2331F" w:rsidRPr="000B68C8">
        <w:t xml:space="preserve">efinitions </w:t>
      </w:r>
      <w:r w:rsidR="001C1B23" w:rsidRPr="000B68C8">
        <w:t>for fire safety measures can be found in</w:t>
      </w:r>
      <w:r w:rsidR="00A2331F" w:rsidRPr="000B68C8">
        <w:t xml:space="preserve"> </w:t>
      </w:r>
      <w:r w:rsidR="009C7B5E" w:rsidRPr="000B68C8">
        <w:t xml:space="preserve">six </w:t>
      </w:r>
      <w:r w:rsidR="00A2331F" w:rsidRPr="000B68C8">
        <w:t>EU countries</w:t>
      </w:r>
      <w:r w:rsidR="005B65EB" w:rsidRPr="000B68C8">
        <w:t>,</w:t>
      </w:r>
      <w:r w:rsidR="00A2331F" w:rsidRPr="000B68C8">
        <w:t xml:space="preserve"> </w:t>
      </w:r>
      <w:r w:rsidR="001C1B23" w:rsidRPr="000B68C8">
        <w:t xml:space="preserve">with specified </w:t>
      </w:r>
      <w:r w:rsidR="00A2331F" w:rsidRPr="000B68C8">
        <w:t xml:space="preserve">details </w:t>
      </w:r>
      <w:r w:rsidR="005B65EB" w:rsidRPr="000B68C8">
        <w:t xml:space="preserve">available </w:t>
      </w:r>
      <w:r w:rsidR="00A2331F" w:rsidRPr="000B68C8">
        <w:t>for</w:t>
      </w:r>
      <w:r w:rsidR="001C1B23" w:rsidRPr="000B68C8">
        <w:t xml:space="preserve"> </w:t>
      </w:r>
      <w:r w:rsidR="00F42359" w:rsidRPr="000B68C8">
        <w:t xml:space="preserve">five </w:t>
      </w:r>
      <w:r w:rsidR="00A2331F" w:rsidRPr="000B68C8">
        <w:t>of them.</w:t>
      </w:r>
      <w:r w:rsidR="00501E6B" w:rsidRPr="000B68C8">
        <w:t xml:space="preserve"> There are few fields related to fire safety measures even in </w:t>
      </w:r>
      <w:r w:rsidR="00E84996" w:rsidRPr="000B68C8">
        <w:t xml:space="preserve">the </w:t>
      </w:r>
      <w:r w:rsidR="00501E6B" w:rsidRPr="000B68C8">
        <w:t>USA and Canada.</w:t>
      </w:r>
      <w:r w:rsidR="00A2331F" w:rsidRPr="000B68C8">
        <w:t xml:space="preserve"> </w:t>
      </w:r>
      <w:r w:rsidR="00455E37" w:rsidRPr="000B68C8">
        <w:t>Many</w:t>
      </w:r>
      <w:r w:rsidR="00A2331F" w:rsidRPr="000B68C8">
        <w:t xml:space="preserve"> EU countries</w:t>
      </w:r>
      <w:r w:rsidR="001C1B23" w:rsidRPr="000B68C8">
        <w:t xml:space="preserve"> affirm that this terminology is </w:t>
      </w:r>
      <w:r w:rsidR="00A2331F" w:rsidRPr="000B68C8">
        <w:t xml:space="preserve">unclear or not reported. </w:t>
      </w:r>
      <w:r w:rsidR="001C1B23" w:rsidRPr="000B68C8">
        <w:t>A</w:t>
      </w:r>
      <w:r w:rsidR="00A2331F" w:rsidRPr="000B68C8">
        <w:t>larm, type of alarms and information on extinguishing systems</w:t>
      </w:r>
      <w:r w:rsidR="001C1B23" w:rsidRPr="000B68C8">
        <w:t xml:space="preserve"> are the field</w:t>
      </w:r>
      <w:r w:rsidR="00511566" w:rsidRPr="000B68C8">
        <w:t>s</w:t>
      </w:r>
      <w:r w:rsidR="001C1B23" w:rsidRPr="000B68C8">
        <w:t xml:space="preserve"> consistently reported and this could also be attributable to </w:t>
      </w:r>
      <w:r w:rsidR="00511566" w:rsidRPr="000B68C8">
        <w:t xml:space="preserve">the </w:t>
      </w:r>
      <w:r w:rsidR="00500E62" w:rsidRPr="000B68C8">
        <w:t>o</w:t>
      </w:r>
      <w:r w:rsidR="00A2331F" w:rsidRPr="000B68C8">
        <w:t xml:space="preserve">ther </w:t>
      </w:r>
      <w:r w:rsidR="00511566" w:rsidRPr="000B68C8">
        <w:t xml:space="preserve">examined </w:t>
      </w:r>
      <w:r w:rsidR="00A2331F" w:rsidRPr="000B68C8">
        <w:t xml:space="preserve">countries. </w:t>
      </w:r>
      <w:r w:rsidR="00501E6B" w:rsidRPr="000B68C8">
        <w:t>When f</w:t>
      </w:r>
      <w:r w:rsidR="005B65EB" w:rsidRPr="000B68C8">
        <w:t xml:space="preserve">ire statistics authorities </w:t>
      </w:r>
      <w:r w:rsidR="00501E6B" w:rsidRPr="000B68C8">
        <w:t xml:space="preserve">have been </w:t>
      </w:r>
      <w:r w:rsidR="005B65EB" w:rsidRPr="000B68C8">
        <w:t>surveyed by the research</w:t>
      </w:r>
      <w:r w:rsidR="00501E6B" w:rsidRPr="000B68C8">
        <w:t xml:space="preserve">, they </w:t>
      </w:r>
      <w:r w:rsidR="005B65EB" w:rsidRPr="000B68C8">
        <w:t>found the</w:t>
      </w:r>
      <w:r w:rsidR="001C1B23" w:rsidRPr="000B68C8">
        <w:t xml:space="preserve"> fire safety measures difficult to </w:t>
      </w:r>
      <w:r w:rsidR="005B65EB" w:rsidRPr="000B68C8">
        <w:t>understand</w:t>
      </w:r>
      <w:r w:rsidR="001C1B23" w:rsidRPr="000B68C8">
        <w:t xml:space="preserve"> </w:t>
      </w:r>
      <w:r w:rsidR="00A2331F" w:rsidRPr="000B68C8">
        <w:t xml:space="preserve">and </w:t>
      </w:r>
      <w:r w:rsidR="005B65EB" w:rsidRPr="000B68C8">
        <w:t xml:space="preserve">their responses indicated </w:t>
      </w:r>
      <w:r w:rsidR="00A2331F" w:rsidRPr="000B68C8">
        <w:t xml:space="preserve">inconsistencies in interpretation. </w:t>
      </w:r>
      <w:r w:rsidR="001C1B23" w:rsidRPr="000B68C8">
        <w:t>An example could be seen in the field referred to the</w:t>
      </w:r>
      <w:r w:rsidR="00A2331F" w:rsidRPr="000B68C8">
        <w:t xml:space="preserve"> </w:t>
      </w:r>
      <w:r w:rsidR="001C1B23" w:rsidRPr="000B68C8">
        <w:t xml:space="preserve">presence of </w:t>
      </w:r>
      <w:r w:rsidR="00703303" w:rsidRPr="000B68C8">
        <w:t xml:space="preserve">a </w:t>
      </w:r>
      <w:r w:rsidR="00A2331F" w:rsidRPr="000B68C8">
        <w:t>fire brigade on site</w:t>
      </w:r>
      <w:r w:rsidR="001C1B23" w:rsidRPr="000B68C8">
        <w:t xml:space="preserve"> that was </w:t>
      </w:r>
      <w:r w:rsidR="002846EE" w:rsidRPr="000B68C8">
        <w:t>often</w:t>
      </w:r>
      <w:r w:rsidR="00A2331F" w:rsidRPr="000B68C8">
        <w:t xml:space="preserve"> considered as </w:t>
      </w:r>
      <w:r w:rsidR="002846EE" w:rsidRPr="000B68C8">
        <w:t xml:space="preserve">the municipal fire brigade and not the </w:t>
      </w:r>
      <w:r w:rsidR="00A2331F" w:rsidRPr="000B68C8">
        <w:t>industrial fire brigade</w:t>
      </w:r>
      <w:r w:rsidR="00247B5D" w:rsidRPr="000B68C8">
        <w:t>. Moreover, e</w:t>
      </w:r>
      <w:r w:rsidR="00A2331F" w:rsidRPr="000B68C8">
        <w:t>scape routes, evacuation and compartmentation</w:t>
      </w:r>
      <w:r w:rsidR="00247B5D" w:rsidRPr="000B68C8">
        <w:t xml:space="preserve"> </w:t>
      </w:r>
      <w:r w:rsidR="00500E62" w:rsidRPr="000B68C8">
        <w:t xml:space="preserve">are referred to </w:t>
      </w:r>
      <w:r w:rsidR="00703303" w:rsidRPr="000B68C8">
        <w:t xml:space="preserve">as </w:t>
      </w:r>
      <w:r w:rsidR="00500E62" w:rsidRPr="000B68C8">
        <w:t xml:space="preserve">fire safety design features but could also be interpreted </w:t>
      </w:r>
      <w:r w:rsidR="001545A8" w:rsidRPr="000B68C8">
        <w:t xml:space="preserve">for evacuated </w:t>
      </w:r>
      <w:r w:rsidR="00500E62" w:rsidRPr="000B68C8">
        <w:t>people</w:t>
      </w:r>
      <w:r w:rsidR="001545A8" w:rsidRPr="000B68C8">
        <w:t>.</w:t>
      </w:r>
      <w:r w:rsidR="00500E62" w:rsidRPr="000B68C8">
        <w:t xml:space="preserve"> </w:t>
      </w:r>
      <w:r w:rsidR="00501E6B" w:rsidRPr="000B68C8">
        <w:t>L</w:t>
      </w:r>
      <w:r w:rsidR="00A2331F" w:rsidRPr="000B68C8">
        <w:t xml:space="preserve">imited information </w:t>
      </w:r>
      <w:r w:rsidR="00501E6B" w:rsidRPr="000B68C8">
        <w:t xml:space="preserve">is found </w:t>
      </w:r>
      <w:r w:rsidR="00F76722" w:rsidRPr="000B68C8">
        <w:t xml:space="preserve">on </w:t>
      </w:r>
      <w:r w:rsidR="00A2331F" w:rsidRPr="000B68C8">
        <w:t xml:space="preserve">fire barriers, safe areas, and smoke </w:t>
      </w:r>
      <w:r w:rsidR="00703303" w:rsidRPr="000B68C8">
        <w:t>extractors</w:t>
      </w:r>
      <w:r w:rsidR="00A2331F" w:rsidRPr="000B68C8">
        <w:t xml:space="preserve">. </w:t>
      </w:r>
    </w:p>
    <w:p w14:paraId="4166FFEF" w14:textId="617465E5" w:rsidR="00A2331F" w:rsidRPr="000B68C8" w:rsidRDefault="00553EE2" w:rsidP="006362F9">
      <w:pPr>
        <w:spacing w:before="0" w:after="0"/>
      </w:pPr>
      <w:r w:rsidRPr="000B68C8">
        <w:t xml:space="preserve">The </w:t>
      </w:r>
      <w:r w:rsidRPr="000B68C8">
        <w:rPr>
          <w:b/>
        </w:rPr>
        <w:t>fire response</w:t>
      </w:r>
      <w:r w:rsidRPr="000B68C8">
        <w:t xml:space="preserve"> can be </w:t>
      </w:r>
      <w:r w:rsidR="00501E6B" w:rsidRPr="000B68C8">
        <w:t xml:space="preserve">generally </w:t>
      </w:r>
      <w:r w:rsidRPr="000B68C8">
        <w:t>subdivided into the</w:t>
      </w:r>
      <w:r w:rsidR="00A2331F" w:rsidRPr="000B68C8">
        <w:t xml:space="preserve"> “occupant response” and “fire service response”.</w:t>
      </w:r>
      <w:r w:rsidR="00501E6B" w:rsidRPr="000B68C8">
        <w:t xml:space="preserve"> </w:t>
      </w:r>
      <w:r w:rsidRPr="000B68C8">
        <w:t>Usually</w:t>
      </w:r>
      <w:r w:rsidR="005A530C" w:rsidRPr="000B68C8">
        <w:t>,</w:t>
      </w:r>
      <w:r w:rsidRPr="000B68C8">
        <w:t xml:space="preserve"> </w:t>
      </w:r>
      <w:r w:rsidR="005B65EB" w:rsidRPr="000B68C8">
        <w:t xml:space="preserve">fire service response includes </w:t>
      </w:r>
      <w:r w:rsidRPr="000B68C8">
        <w:t>s</w:t>
      </w:r>
      <w:r w:rsidR="00A2331F" w:rsidRPr="000B68C8">
        <w:t>everal time</w:t>
      </w:r>
      <w:r w:rsidR="005B65EB" w:rsidRPr="000B68C8">
        <w:t xml:space="preserve"> designations, such as </w:t>
      </w:r>
      <w:r w:rsidR="00A2331F" w:rsidRPr="000B68C8">
        <w:t>alarm time, departure, arrival, and departure time</w:t>
      </w:r>
      <w:r w:rsidR="00501E6B" w:rsidRPr="000B68C8">
        <w:t>. In this case, t</w:t>
      </w:r>
      <w:r w:rsidRPr="000B68C8">
        <w:t xml:space="preserve">he </w:t>
      </w:r>
      <w:r w:rsidR="00A2331F" w:rsidRPr="000B68C8">
        <w:t>ISO</w:t>
      </w:r>
      <w:r w:rsidR="00DD1958" w:rsidRPr="000B68C8">
        <w:t>/</w:t>
      </w:r>
      <w:r w:rsidR="00A2331F" w:rsidRPr="000B68C8">
        <w:t xml:space="preserve">TS 17755-2 </w:t>
      </w:r>
      <w:r w:rsidRPr="000B68C8">
        <w:t xml:space="preserve">definition </w:t>
      </w:r>
      <w:r w:rsidR="00501E6B" w:rsidRPr="000B68C8">
        <w:t>is</w:t>
      </w:r>
      <w:r w:rsidRPr="000B68C8">
        <w:t xml:space="preserve"> similar to </w:t>
      </w:r>
      <w:r w:rsidR="00455E37" w:rsidRPr="000B68C8">
        <w:t xml:space="preserve">the ones </w:t>
      </w:r>
      <w:r w:rsidRPr="000B68C8">
        <w:t>provided by several countries</w:t>
      </w:r>
      <w:r w:rsidR="00872BD0" w:rsidRPr="000B68C8">
        <w:t>,</w:t>
      </w:r>
      <w:r w:rsidRPr="000B68C8">
        <w:t xml:space="preserve"> </w:t>
      </w:r>
      <w:r w:rsidR="00A2331F" w:rsidRPr="000B68C8">
        <w:t>while in other</w:t>
      </w:r>
      <w:r w:rsidRPr="000B68C8">
        <w:t xml:space="preserve"> fire statistics</w:t>
      </w:r>
      <w:r w:rsidR="00A2331F" w:rsidRPr="000B68C8">
        <w:t xml:space="preserve">, the fire service response time </w:t>
      </w:r>
      <w:r w:rsidRPr="000B68C8">
        <w:t>is</w:t>
      </w:r>
      <w:r w:rsidR="00A2331F" w:rsidRPr="000B68C8">
        <w:t xml:space="preserve"> calculated based on the different entries provided. </w:t>
      </w:r>
      <w:r w:rsidR="00501E6B" w:rsidRPr="000B68C8">
        <w:t>It is also important to highlight that r</w:t>
      </w:r>
      <w:r w:rsidR="008C6A80" w:rsidRPr="000B68C8">
        <w:t xml:space="preserve">elevant fire authorities appear to have </w:t>
      </w:r>
      <w:r w:rsidR="00501E6B" w:rsidRPr="000B68C8">
        <w:t xml:space="preserve">difficulties in </w:t>
      </w:r>
      <w:r w:rsidR="008C6A80" w:rsidRPr="000B68C8">
        <w:t>understanding information sought by the</w:t>
      </w:r>
      <w:r w:rsidR="00A2331F" w:rsidRPr="000B68C8">
        <w:t xml:space="preserve"> term “occupant fire response”. </w:t>
      </w:r>
      <w:r w:rsidRPr="000B68C8">
        <w:t xml:space="preserve">In the </w:t>
      </w:r>
      <w:r w:rsidR="00A2331F" w:rsidRPr="000B68C8">
        <w:t>UK</w:t>
      </w:r>
      <w:r w:rsidRPr="000B68C8">
        <w:t xml:space="preserve">, this is referred to </w:t>
      </w:r>
      <w:r w:rsidR="00703303" w:rsidRPr="000B68C8">
        <w:t xml:space="preserve">as </w:t>
      </w:r>
      <w:r w:rsidR="00A2331F" w:rsidRPr="000B68C8">
        <w:t>the time between ignition to discovery and discovery to call</w:t>
      </w:r>
      <w:r w:rsidR="008C6A80" w:rsidRPr="000B68C8">
        <w:t>,</w:t>
      </w:r>
      <w:r w:rsidR="00A2331F" w:rsidRPr="000B68C8">
        <w:t xml:space="preserve"> while </w:t>
      </w:r>
      <w:r w:rsidRPr="000B68C8">
        <w:t xml:space="preserve">in </w:t>
      </w:r>
      <w:r w:rsidR="00A2331F" w:rsidRPr="000B68C8">
        <w:t xml:space="preserve">other countries </w:t>
      </w:r>
      <w:r w:rsidRPr="000B68C8">
        <w:t>the definition is relate</w:t>
      </w:r>
      <w:r w:rsidR="00E250A0" w:rsidRPr="000B68C8">
        <w:t>d</w:t>
      </w:r>
      <w:r w:rsidRPr="000B68C8">
        <w:t xml:space="preserve"> to</w:t>
      </w:r>
      <w:r w:rsidR="00A2331F" w:rsidRPr="000B68C8">
        <w:t xml:space="preserve"> the actions that the occupants take to control the fire. </w:t>
      </w:r>
    </w:p>
    <w:p w14:paraId="7FAC4B20" w14:textId="0D964A22" w:rsidR="00A2331F" w:rsidRPr="000B68C8" w:rsidRDefault="00A2331F" w:rsidP="006362F9">
      <w:r w:rsidRPr="000B68C8">
        <w:rPr>
          <w:b/>
        </w:rPr>
        <w:t>Fire financial cost</w:t>
      </w:r>
      <w:r w:rsidR="00501E6B" w:rsidRPr="000B68C8">
        <w:rPr>
          <w:b/>
        </w:rPr>
        <w:t>s</w:t>
      </w:r>
      <w:r w:rsidR="00501E6B" w:rsidRPr="000B68C8">
        <w:t xml:space="preserve"> are defined </w:t>
      </w:r>
      <w:r w:rsidRPr="000B68C8">
        <w:t>for damage, direct losses specifying property damage and indirect losses</w:t>
      </w:r>
      <w:r w:rsidR="00212200" w:rsidRPr="000B68C8">
        <w:t xml:space="preserve"> </w:t>
      </w:r>
      <w:r w:rsidR="00296C2A" w:rsidRPr="000B68C8">
        <w:t>by</w:t>
      </w:r>
      <w:r w:rsidR="00212200" w:rsidRPr="000B68C8">
        <w:t xml:space="preserve"> the ISO</w:t>
      </w:r>
      <w:r w:rsidR="00DD1958" w:rsidRPr="000B68C8">
        <w:t>/</w:t>
      </w:r>
      <w:r w:rsidR="00212200" w:rsidRPr="000B68C8">
        <w:t>TS 17755-2</w:t>
      </w:r>
      <w:r w:rsidR="00EE484F" w:rsidRPr="000B68C8">
        <w:t>.</w:t>
      </w:r>
      <w:r w:rsidR="00296C2A" w:rsidRPr="000B68C8">
        <w:t xml:space="preserve"> While d</w:t>
      </w:r>
      <w:r w:rsidRPr="000B68C8">
        <w:t xml:space="preserve">irect and indirect financial costs of fire incidents </w:t>
      </w:r>
      <w:r w:rsidR="00212200" w:rsidRPr="000B68C8">
        <w:t>appear to be rarely</w:t>
      </w:r>
      <w:r w:rsidRPr="000B68C8">
        <w:t xml:space="preserve"> evaluated in </w:t>
      </w:r>
      <w:r w:rsidR="001C22EC" w:rsidRPr="000B68C8">
        <w:t xml:space="preserve">the </w:t>
      </w:r>
      <w:r w:rsidRPr="000B68C8">
        <w:t>EU</w:t>
      </w:r>
      <w:r w:rsidR="00511566" w:rsidRPr="000B68C8">
        <w:t xml:space="preserve"> Member States and the </w:t>
      </w:r>
      <w:r w:rsidR="00E250A0" w:rsidRPr="000B68C8">
        <w:t>o</w:t>
      </w:r>
      <w:r w:rsidRPr="000B68C8">
        <w:t xml:space="preserve">ther </w:t>
      </w:r>
      <w:r w:rsidR="00511566" w:rsidRPr="000B68C8">
        <w:t>investigated</w:t>
      </w:r>
      <w:r w:rsidRPr="000B68C8">
        <w:t xml:space="preserve"> countries</w:t>
      </w:r>
      <w:r w:rsidR="00296C2A" w:rsidRPr="000B68C8">
        <w:t>, t</w:t>
      </w:r>
      <w:r w:rsidR="00212200" w:rsidRPr="000B68C8">
        <w:t xml:space="preserve">he </w:t>
      </w:r>
      <w:r w:rsidR="001545A8" w:rsidRPr="000B68C8">
        <w:t xml:space="preserve">fire </w:t>
      </w:r>
      <w:r w:rsidR="00212200" w:rsidRPr="000B68C8">
        <w:t>d</w:t>
      </w:r>
      <w:r w:rsidRPr="000B68C8">
        <w:t>amage to property includ</w:t>
      </w:r>
      <w:r w:rsidR="001545A8" w:rsidRPr="000B68C8">
        <w:t>ing</w:t>
      </w:r>
      <w:r w:rsidRPr="000B68C8">
        <w:t xml:space="preserve"> contents</w:t>
      </w:r>
      <w:r w:rsidR="00212200" w:rsidRPr="000B68C8">
        <w:t xml:space="preserve"> is </w:t>
      </w:r>
      <w:r w:rsidR="00296C2A" w:rsidRPr="000B68C8">
        <w:t xml:space="preserve">usually </w:t>
      </w:r>
      <w:r w:rsidR="00212200" w:rsidRPr="000B68C8">
        <w:t>covered by the direct financial costs</w:t>
      </w:r>
      <w:r w:rsidR="00EE484F" w:rsidRPr="000B68C8">
        <w:t>.</w:t>
      </w:r>
      <w:r w:rsidR="00296C2A" w:rsidRPr="000B68C8">
        <w:t xml:space="preserve"> </w:t>
      </w:r>
      <w:r w:rsidR="00212200" w:rsidRPr="000B68C8">
        <w:t xml:space="preserve">In Russia, there is a definition for the </w:t>
      </w:r>
      <w:r w:rsidRPr="000B68C8">
        <w:t>indirect financial costs of fire</w:t>
      </w:r>
      <w:r w:rsidR="00212200" w:rsidRPr="000B68C8">
        <w:t xml:space="preserve"> referred </w:t>
      </w:r>
      <w:r w:rsidRPr="000B68C8">
        <w:t xml:space="preserve">to </w:t>
      </w:r>
      <w:r w:rsidR="00220A14" w:rsidRPr="000B68C8">
        <w:t xml:space="preserve">as </w:t>
      </w:r>
      <w:r w:rsidRPr="000B68C8">
        <w:t xml:space="preserve">material losses </w:t>
      </w:r>
      <w:r w:rsidR="00992A5B" w:rsidRPr="000B68C8">
        <w:t xml:space="preserve">from </w:t>
      </w:r>
      <w:r w:rsidR="001A0154" w:rsidRPr="000B68C8">
        <w:t xml:space="preserve">impeding </w:t>
      </w:r>
      <w:r w:rsidRPr="000B68C8">
        <w:t>economic plans in the economy (e.g. a decline in production, a decline in trade and banking operations, decrease in income, losses due to delays in the transport of goods)</w:t>
      </w:r>
      <w:r w:rsidR="00296C2A" w:rsidRPr="000B68C8">
        <w:t xml:space="preserve"> while i</w:t>
      </w:r>
      <w:r w:rsidR="00212200" w:rsidRPr="000B68C8">
        <w:t xml:space="preserve">n </w:t>
      </w:r>
      <w:r w:rsidRPr="000B68C8">
        <w:t xml:space="preserve">Slovenia, </w:t>
      </w:r>
      <w:r w:rsidR="00212200" w:rsidRPr="000B68C8">
        <w:t xml:space="preserve">indirect financial costs </w:t>
      </w:r>
      <w:r w:rsidRPr="000B68C8">
        <w:t xml:space="preserve">are related to the cost of the firefighting operations. </w:t>
      </w:r>
      <w:r w:rsidR="00296C2A" w:rsidRPr="000B68C8">
        <w:t>Another source of collection of indirect financial costs is represented by i</w:t>
      </w:r>
      <w:r w:rsidR="001A0154" w:rsidRPr="000B68C8">
        <w:t>nsurance companies</w:t>
      </w:r>
      <w:r w:rsidR="00296C2A" w:rsidRPr="000B68C8">
        <w:t xml:space="preserve">. However, their estimates are rarely publicly available.  </w:t>
      </w:r>
    </w:p>
    <w:p w14:paraId="088A178B" w14:textId="3922D311" w:rsidR="00A2331F" w:rsidRPr="000B68C8" w:rsidRDefault="0013546F" w:rsidP="006362F9">
      <w:r w:rsidRPr="000B68C8">
        <w:t xml:space="preserve">Finally, for the </w:t>
      </w:r>
      <w:r w:rsidRPr="000B68C8">
        <w:rPr>
          <w:b/>
        </w:rPr>
        <w:t>f</w:t>
      </w:r>
      <w:r w:rsidR="00A2331F" w:rsidRPr="000B68C8">
        <w:rPr>
          <w:b/>
        </w:rPr>
        <w:t>atalities and casualties</w:t>
      </w:r>
      <w:r w:rsidRPr="000B68C8">
        <w:t>, i</w:t>
      </w:r>
      <w:r w:rsidR="00261F33" w:rsidRPr="000B68C8">
        <w:t xml:space="preserve">n </w:t>
      </w:r>
      <w:r w:rsidR="00A2331F" w:rsidRPr="000B68C8">
        <w:t>the ISO</w:t>
      </w:r>
      <w:r w:rsidR="00DD1958" w:rsidRPr="000B68C8">
        <w:t xml:space="preserve">/TS </w:t>
      </w:r>
      <w:r w:rsidR="00A2331F" w:rsidRPr="000B68C8">
        <w:t>17755-2</w:t>
      </w:r>
      <w:r w:rsidR="00261F33" w:rsidRPr="000B68C8">
        <w:t>, t</w:t>
      </w:r>
      <w:r w:rsidR="00A2331F" w:rsidRPr="000B68C8">
        <w:t xml:space="preserve">he terms casualty or victims are equally used and </w:t>
      </w:r>
      <w:r w:rsidR="00703303" w:rsidRPr="000B68C8">
        <w:t>refer</w:t>
      </w:r>
      <w:r w:rsidR="00A2331F" w:rsidRPr="000B68C8">
        <w:t xml:space="preserve"> to a person killed or injured</w:t>
      </w:r>
      <w:r w:rsidR="001A0154" w:rsidRPr="000B68C8">
        <w:t>.  This ambiguity</w:t>
      </w:r>
      <w:r w:rsidR="00261F33" w:rsidRPr="000B68C8">
        <w:t xml:space="preserve"> could potentially cause</w:t>
      </w:r>
      <w:r w:rsidR="00A2331F" w:rsidRPr="000B68C8">
        <w:t xml:space="preserve"> misunderstandings</w:t>
      </w:r>
      <w:r w:rsidR="00261F33" w:rsidRPr="000B68C8">
        <w:t>.</w:t>
      </w:r>
      <w:r w:rsidR="009D4A35" w:rsidRPr="000B68C8">
        <w:t xml:space="preserve"> When existing fire statistics are investigated, u</w:t>
      </w:r>
      <w:r w:rsidR="00261F33" w:rsidRPr="000B68C8">
        <w:t>sually</w:t>
      </w:r>
      <w:r w:rsidR="005A530C" w:rsidRPr="000B68C8">
        <w:t>,</w:t>
      </w:r>
      <w:r w:rsidR="00261F33" w:rsidRPr="000B68C8">
        <w:t xml:space="preserve"> </w:t>
      </w:r>
      <w:r w:rsidR="002B0E23" w:rsidRPr="000B68C8">
        <w:t xml:space="preserve">the number of </w:t>
      </w:r>
      <w:r w:rsidR="00261F33" w:rsidRPr="000B68C8">
        <w:t>v</w:t>
      </w:r>
      <w:r w:rsidR="00A2331F" w:rsidRPr="000B68C8">
        <w:t xml:space="preserve">ictims and type of fatality are </w:t>
      </w:r>
      <w:r w:rsidR="002B0E23" w:rsidRPr="000B68C8">
        <w:t>record</w:t>
      </w:r>
      <w:r w:rsidR="00A2331F" w:rsidRPr="000B68C8">
        <w:t>ed</w:t>
      </w:r>
      <w:r w:rsidR="00261F33" w:rsidRPr="000B68C8">
        <w:t xml:space="preserve"> in fire </w:t>
      </w:r>
      <w:r w:rsidR="002B0E23" w:rsidRPr="000B68C8">
        <w:t>data collection systems</w:t>
      </w:r>
      <w:r w:rsidR="00A2331F" w:rsidRPr="000B68C8">
        <w:t xml:space="preserve">. </w:t>
      </w:r>
      <w:r w:rsidR="00261F33" w:rsidRPr="000B68C8">
        <w:t>However, a</w:t>
      </w:r>
      <w:r w:rsidR="00A2331F" w:rsidRPr="000B68C8">
        <w:t xml:space="preserve"> clear distinction between fatalities and casualties is not </w:t>
      </w:r>
      <w:r w:rsidR="00261F33" w:rsidRPr="000B68C8">
        <w:t xml:space="preserve">always </w:t>
      </w:r>
      <w:r w:rsidR="00A2331F" w:rsidRPr="000B68C8">
        <w:t xml:space="preserve">available and the two terms </w:t>
      </w:r>
      <w:r w:rsidR="00261F33" w:rsidRPr="000B68C8">
        <w:t>are</w:t>
      </w:r>
      <w:r w:rsidR="009D4A35" w:rsidRPr="000B68C8">
        <w:t xml:space="preserve"> </w:t>
      </w:r>
      <w:r w:rsidR="00261F33" w:rsidRPr="000B68C8">
        <w:t>grouped</w:t>
      </w:r>
      <w:r w:rsidR="00A2331F" w:rsidRPr="000B68C8">
        <w:t>.</w:t>
      </w:r>
      <w:r w:rsidR="001545A8" w:rsidRPr="000B68C8">
        <w:t xml:space="preserve"> I</w:t>
      </w:r>
      <w:r w:rsidR="00A2331F" w:rsidRPr="000B68C8">
        <w:t xml:space="preserve">n some countries, the term fatality </w:t>
      </w:r>
      <w:r w:rsidR="00261F33" w:rsidRPr="000B68C8">
        <w:t>could be associated only</w:t>
      </w:r>
      <w:r w:rsidR="00A2331F" w:rsidRPr="000B68C8">
        <w:t xml:space="preserve"> </w:t>
      </w:r>
      <w:r w:rsidR="00703303" w:rsidRPr="000B68C8">
        <w:t>with</w:t>
      </w:r>
      <w:r w:rsidR="00A2331F" w:rsidRPr="000B68C8">
        <w:t xml:space="preserve"> occupants </w:t>
      </w:r>
      <w:r w:rsidR="00261F33" w:rsidRPr="000B68C8">
        <w:t xml:space="preserve">or </w:t>
      </w:r>
      <w:r w:rsidR="00A2331F" w:rsidRPr="000B68C8">
        <w:t xml:space="preserve">fire brigades. </w:t>
      </w:r>
      <w:r w:rsidR="005A530C" w:rsidRPr="000B68C8">
        <w:t>Most</w:t>
      </w:r>
      <w:r w:rsidR="00A2331F" w:rsidRPr="000B68C8">
        <w:t xml:space="preserve"> countries have definitions </w:t>
      </w:r>
      <w:r w:rsidR="00703303" w:rsidRPr="000B68C8">
        <w:t>referring</w:t>
      </w:r>
      <w:r w:rsidR="00A2331F" w:rsidRPr="000B68C8">
        <w:t xml:space="preserve"> to the victims killed </w:t>
      </w:r>
      <w:r w:rsidR="00E250A0" w:rsidRPr="000B68C8">
        <w:t>due to</w:t>
      </w:r>
      <w:r w:rsidR="00A2331F" w:rsidRPr="000B68C8">
        <w:t xml:space="preserve"> the fire. </w:t>
      </w:r>
      <w:r w:rsidR="00261F33" w:rsidRPr="000B68C8">
        <w:t>Generally</w:t>
      </w:r>
      <w:r w:rsidR="005A530C" w:rsidRPr="000B68C8">
        <w:t>,</w:t>
      </w:r>
      <w:r w:rsidR="00261F33" w:rsidRPr="000B68C8">
        <w:t xml:space="preserve"> </w:t>
      </w:r>
      <w:r w:rsidR="00F1088B" w:rsidRPr="000B68C8">
        <w:t>victims are recorded at the fire scene</w:t>
      </w:r>
      <w:r w:rsidR="002B0E23" w:rsidRPr="000B68C8">
        <w:t>,</w:t>
      </w:r>
      <w:r w:rsidR="00F1088B" w:rsidRPr="000B68C8">
        <w:t xml:space="preserve"> such as in France, Hungary</w:t>
      </w:r>
      <w:r w:rsidR="00455E37" w:rsidRPr="000B68C8">
        <w:t>,</w:t>
      </w:r>
      <w:r w:rsidR="00F1088B" w:rsidRPr="000B68C8">
        <w:t xml:space="preserve"> and Italy, or within a specific time from the fire incident</w:t>
      </w:r>
      <w:r w:rsidR="002B0E23" w:rsidRPr="000B68C8">
        <w:t>,</w:t>
      </w:r>
      <w:r w:rsidR="00F1088B" w:rsidRPr="000B68C8">
        <w:t xml:space="preserve"> as </w:t>
      </w:r>
      <w:r w:rsidR="002B0E23" w:rsidRPr="000B68C8">
        <w:t>is the case in</w:t>
      </w:r>
      <w:r w:rsidR="00541A97" w:rsidRPr="000B68C8">
        <w:t xml:space="preserve"> Estonia, Finland, </w:t>
      </w:r>
      <w:r w:rsidR="00F1088B" w:rsidRPr="000B68C8">
        <w:t>Slovakia and Sweden</w:t>
      </w:r>
      <w:r w:rsidR="009D4A35" w:rsidRPr="000B68C8">
        <w:t xml:space="preserve"> while i</w:t>
      </w:r>
      <w:r w:rsidR="00A2331F" w:rsidRPr="000B68C8">
        <w:t>n the ISO</w:t>
      </w:r>
      <w:r w:rsidR="00DD1958" w:rsidRPr="000B68C8">
        <w:t>/</w:t>
      </w:r>
      <w:r w:rsidR="00A2331F" w:rsidRPr="000B68C8">
        <w:t>TS 17755-2</w:t>
      </w:r>
      <w:r w:rsidR="009D4A35" w:rsidRPr="000B68C8">
        <w:t>,</w:t>
      </w:r>
      <w:r w:rsidR="00261F33" w:rsidRPr="000B68C8">
        <w:t xml:space="preserve"> </w:t>
      </w:r>
      <w:r w:rsidR="00A2331F" w:rsidRPr="000B68C8">
        <w:t>“a fire victim is a person killed or injured as a direct effect of a fire without any limit of time”.</w:t>
      </w:r>
      <w:r w:rsidR="009D4A35" w:rsidRPr="000B68C8">
        <w:t xml:space="preserve"> </w:t>
      </w:r>
      <w:r w:rsidR="00261F33" w:rsidRPr="000B68C8">
        <w:t xml:space="preserve">A </w:t>
      </w:r>
      <w:r w:rsidR="00A2331F" w:rsidRPr="000B68C8">
        <w:t>distinction between civilian and fire service victims is present</w:t>
      </w:r>
      <w:r w:rsidR="00261F33" w:rsidRPr="000B68C8">
        <w:t xml:space="preserve"> in </w:t>
      </w:r>
      <w:r w:rsidR="009D4A35" w:rsidRPr="000B68C8">
        <w:t xml:space="preserve">Germany, Austria, Switzerland, </w:t>
      </w:r>
      <w:r w:rsidR="00261F33" w:rsidRPr="000B68C8">
        <w:t>Canada</w:t>
      </w:r>
      <w:r w:rsidR="00455E37" w:rsidRPr="000B68C8">
        <w:t>,</w:t>
      </w:r>
      <w:r w:rsidR="00261F33" w:rsidRPr="000B68C8">
        <w:t xml:space="preserve"> and the USA</w:t>
      </w:r>
      <w:r w:rsidR="009D4A35" w:rsidRPr="000B68C8">
        <w:t>. Moreover, t</w:t>
      </w:r>
      <w:r w:rsidR="00A2331F" w:rsidRPr="000B68C8">
        <w:t xml:space="preserve">he </w:t>
      </w:r>
      <w:r w:rsidR="00541A97" w:rsidRPr="000B68C8">
        <w:t>cause of death</w:t>
      </w:r>
      <w:r w:rsidR="00A2331F" w:rsidRPr="000B68C8">
        <w:t xml:space="preserve"> </w:t>
      </w:r>
      <w:r w:rsidR="00261F33" w:rsidRPr="000B68C8">
        <w:t>could be deduced</w:t>
      </w:r>
      <w:r w:rsidR="00A2331F" w:rsidRPr="000B68C8">
        <w:t xml:space="preserve"> only in the Netherlands, Romania</w:t>
      </w:r>
      <w:r w:rsidR="00455E37" w:rsidRPr="000B68C8">
        <w:t>,</w:t>
      </w:r>
      <w:r w:rsidR="00A2331F" w:rsidRPr="000B68C8">
        <w:t xml:space="preserve"> and the UK.</w:t>
      </w:r>
    </w:p>
    <w:p w14:paraId="75FFF7EE" w14:textId="6167C221" w:rsidR="00070752" w:rsidRPr="000B68C8" w:rsidRDefault="00703303" w:rsidP="00342407">
      <w:pPr>
        <w:rPr>
          <w:rFonts w:cs="Times New Roman"/>
          <w:lang w:val="en-US"/>
        </w:rPr>
      </w:pPr>
      <w:r w:rsidRPr="000B68C8">
        <w:t>Unfortunately,</w:t>
      </w:r>
      <w:r w:rsidR="002B0E23" w:rsidRPr="000B68C8">
        <w:t xml:space="preserve"> </w:t>
      </w:r>
      <w:r w:rsidR="0066452B" w:rsidRPr="000B68C8">
        <w:t>usually</w:t>
      </w:r>
      <w:r w:rsidR="001C22EC" w:rsidRPr="000B68C8">
        <w:t>,</w:t>
      </w:r>
      <w:r w:rsidR="0066452B" w:rsidRPr="000B68C8">
        <w:t xml:space="preserve"> </w:t>
      </w:r>
      <w:r w:rsidR="00A2331F" w:rsidRPr="000B68C8">
        <w:t xml:space="preserve">countries </w:t>
      </w:r>
      <w:r w:rsidR="002B0E23" w:rsidRPr="000B68C8">
        <w:t>use different criteria for defining fire fatalities and injuries. H</w:t>
      </w:r>
      <w:r w:rsidR="00F86F6B" w:rsidRPr="000B68C8">
        <w:t xml:space="preserve">owever, understanding the terminology is an essential requirement to develop a correct comparison </w:t>
      </w:r>
      <w:r w:rsidR="002B0E23" w:rsidRPr="000B68C8">
        <w:t>between</w:t>
      </w:r>
      <w:r w:rsidR="00F86F6B" w:rsidRPr="000B68C8">
        <w:t xml:space="preserve"> countries</w:t>
      </w:r>
      <w:r w:rsidR="00A2331F" w:rsidRPr="000B68C8">
        <w:t xml:space="preserve">. </w:t>
      </w:r>
      <w:r w:rsidR="00F86F6B" w:rsidRPr="000B68C8">
        <w:t xml:space="preserve">From the developed analysis, it is possible to affirm that the </w:t>
      </w:r>
      <w:r w:rsidR="00A2331F" w:rsidRPr="000B68C8">
        <w:t xml:space="preserve">accuracy of the definitions available for specific fields of fire statistics </w:t>
      </w:r>
      <w:r w:rsidR="00F86F6B" w:rsidRPr="000B68C8">
        <w:t>is strictly linked to the</w:t>
      </w:r>
      <w:r w:rsidR="00A2331F" w:rsidRPr="000B68C8">
        <w:t xml:space="preserve"> high number of countries collecting those </w:t>
      </w:r>
      <w:r w:rsidR="00F86F6B" w:rsidRPr="000B68C8">
        <w:t>fields</w:t>
      </w:r>
      <w:r w:rsidR="00A2331F" w:rsidRPr="000B68C8">
        <w:t xml:space="preserve">. </w:t>
      </w:r>
      <w:r w:rsidR="00F86F6B" w:rsidRPr="000B68C8">
        <w:t>Therefore, the more accurate definitions have been found when they are collected by</w:t>
      </w:r>
      <w:r w:rsidR="00E250A0" w:rsidRPr="000B68C8">
        <w:t xml:space="preserve"> the</w:t>
      </w:r>
      <w:r w:rsidR="00F86F6B" w:rsidRPr="000B68C8">
        <w:t xml:space="preserve"> </w:t>
      </w:r>
      <w:r w:rsidR="00E250A0" w:rsidRPr="000B68C8">
        <w:t xml:space="preserve">fire statistics of </w:t>
      </w:r>
      <w:r w:rsidR="00455E37" w:rsidRPr="000B68C8">
        <w:t>most</w:t>
      </w:r>
      <w:r w:rsidR="00E250A0" w:rsidRPr="000B68C8">
        <w:t xml:space="preserve"> of the </w:t>
      </w:r>
      <w:r w:rsidR="00F86F6B" w:rsidRPr="000B68C8">
        <w:t xml:space="preserve">investigated countries. This is supported by </w:t>
      </w:r>
      <w:r w:rsidR="00A2331F" w:rsidRPr="000B68C8">
        <w:t xml:space="preserve">the precision of the definitions provided </w:t>
      </w:r>
      <w:r w:rsidR="00F86F6B" w:rsidRPr="000B68C8">
        <w:t xml:space="preserve">for fire incidents and the </w:t>
      </w:r>
      <w:r w:rsidR="002B0E23" w:rsidRPr="000B68C8">
        <w:t>in</w:t>
      </w:r>
      <w:r w:rsidR="00F86F6B" w:rsidRPr="000B68C8">
        <w:t xml:space="preserve">consistency of those referred to </w:t>
      </w:r>
      <w:r w:rsidRPr="000B68C8">
        <w:t xml:space="preserve">as </w:t>
      </w:r>
      <w:r w:rsidR="00F86F6B" w:rsidRPr="000B68C8">
        <w:t xml:space="preserve">fire safety </w:t>
      </w:r>
      <w:r w:rsidRPr="000B68C8">
        <w:t>measures</w:t>
      </w:r>
      <w:r w:rsidR="00F86F6B" w:rsidRPr="000B68C8">
        <w:t xml:space="preserve">. </w:t>
      </w:r>
      <w:r w:rsidR="00A2331F" w:rsidRPr="000B68C8">
        <w:t xml:space="preserve">It is, therefore, important to understand the meaning of the variables collected in the fire statistics </w:t>
      </w:r>
      <w:r w:rsidR="00F86F6B" w:rsidRPr="000B68C8">
        <w:t xml:space="preserve">and </w:t>
      </w:r>
      <w:r w:rsidR="00212200" w:rsidRPr="000B68C8">
        <w:t>relate</w:t>
      </w:r>
      <w:r w:rsidR="00F86F6B" w:rsidRPr="000B68C8">
        <w:t xml:space="preserve"> them to their data</w:t>
      </w:r>
      <w:r w:rsidR="00212200" w:rsidRPr="000B68C8">
        <w:t xml:space="preserve"> source</w:t>
      </w:r>
      <w:r w:rsidR="00F86F6B" w:rsidRPr="000B68C8">
        <w:t>.</w:t>
      </w:r>
      <w:r w:rsidR="00E23F48" w:rsidRPr="000B68C8">
        <w:t xml:space="preserve"> Moreover, the analysis developed in this section will support the proposed terminologies for fire statistical variables described in </w:t>
      </w:r>
      <w:r w:rsidR="0008620E" w:rsidRPr="000B68C8">
        <w:t>S</w:t>
      </w:r>
      <w:r w:rsidR="00E23F48" w:rsidRPr="000B68C8">
        <w:t xml:space="preserve">ection </w:t>
      </w:r>
      <w:r w:rsidR="00E23F48" w:rsidRPr="000B68C8">
        <w:fldChar w:fldCharType="begin"/>
      </w:r>
      <w:r w:rsidR="00E23F48" w:rsidRPr="000B68C8">
        <w:instrText xml:space="preserve"> REF _Ref126944464 \r \h </w:instrText>
      </w:r>
      <w:r w:rsidR="000E6921" w:rsidRPr="000B68C8">
        <w:instrText xml:space="preserve"> \* MERGEFORMAT </w:instrText>
      </w:r>
      <w:r w:rsidR="00E23F48" w:rsidRPr="000B68C8">
        <w:fldChar w:fldCharType="separate"/>
      </w:r>
      <w:r w:rsidR="00527272" w:rsidRPr="000B68C8">
        <w:t>5</w:t>
      </w:r>
      <w:r w:rsidR="00E23F48" w:rsidRPr="000B68C8">
        <w:fldChar w:fldCharType="end"/>
      </w:r>
      <w:r w:rsidR="00E23F48" w:rsidRPr="000B68C8">
        <w:t xml:space="preserve">. </w:t>
      </w:r>
      <w:r w:rsidR="00674B23" w:rsidRPr="000B68C8">
        <w:t xml:space="preserve">In the following </w:t>
      </w:r>
      <w:r w:rsidR="00230C22" w:rsidRPr="000B68C8">
        <w:t>s</w:t>
      </w:r>
      <w:r w:rsidR="00674B23" w:rsidRPr="000B68C8">
        <w:t xml:space="preserve">ection, </w:t>
      </w:r>
      <w:r w:rsidR="0084780A" w:rsidRPr="000B68C8">
        <w:t>the essential variables to be collected</w:t>
      </w:r>
      <w:r w:rsidR="00A13EB3" w:rsidRPr="000B68C8">
        <w:t xml:space="preserve"> </w:t>
      </w:r>
      <w:r w:rsidRPr="000B68C8">
        <w:t>are</w:t>
      </w:r>
      <w:r w:rsidR="0005659D" w:rsidRPr="000B68C8">
        <w:t xml:space="preserve"> presented</w:t>
      </w:r>
      <w:r w:rsidR="00E250A0" w:rsidRPr="000B68C8">
        <w:t xml:space="preserve"> based on the opinion of relevant stakeholders and consortium partners</w:t>
      </w:r>
      <w:r w:rsidR="00674B23" w:rsidRPr="000B68C8">
        <w:t>.</w:t>
      </w:r>
    </w:p>
    <w:p w14:paraId="7D283C0A" w14:textId="3B9076D9" w:rsidR="009455D0" w:rsidRPr="000B68C8" w:rsidRDefault="006E4E7F">
      <w:pPr>
        <w:pStyle w:val="Heading1"/>
      </w:pPr>
      <w:bookmarkStart w:id="34" w:name="_Ref104887238"/>
      <w:r w:rsidRPr="000B68C8">
        <w:t>Selection of the</w:t>
      </w:r>
      <w:r w:rsidR="0096454C" w:rsidRPr="000B68C8">
        <w:t xml:space="preserve"> d</w:t>
      </w:r>
      <w:r w:rsidR="009455D0" w:rsidRPr="000B68C8">
        <w:t>ata needed for decision making</w:t>
      </w:r>
      <w:bookmarkEnd w:id="34"/>
    </w:p>
    <w:p w14:paraId="125B56CC" w14:textId="0134FABD" w:rsidR="000F1F8C" w:rsidRPr="000B68C8" w:rsidRDefault="00C17F53">
      <w:r w:rsidRPr="000B68C8">
        <w:t xml:space="preserve">A questionnaire </w:t>
      </w:r>
      <w:r w:rsidR="002B0E23" w:rsidRPr="000B68C8">
        <w:t>was</w:t>
      </w:r>
      <w:r w:rsidRPr="000B68C8">
        <w:t xml:space="preserve"> created</w:t>
      </w:r>
      <w:r w:rsidR="00013DE6" w:rsidRPr="000B68C8">
        <w:t xml:space="preserve"> based on t</w:t>
      </w:r>
      <w:r w:rsidR="0096454C" w:rsidRPr="000B68C8">
        <w:t xml:space="preserve">he analysis </w:t>
      </w:r>
      <w:r w:rsidR="003160E9" w:rsidRPr="000B68C8">
        <w:t xml:space="preserve">presented in Section </w:t>
      </w:r>
      <w:r w:rsidR="003160E9" w:rsidRPr="000B68C8">
        <w:rPr>
          <w:rFonts w:eastAsiaTheme="majorEastAsia" w:cstheme="majorBidi"/>
        </w:rPr>
        <w:fldChar w:fldCharType="begin"/>
      </w:r>
      <w:r w:rsidR="003160E9" w:rsidRPr="000B68C8">
        <w:instrText xml:space="preserve"> REF _Ref88849836 \r \h </w:instrText>
      </w:r>
      <w:r w:rsidR="000B68C8">
        <w:rPr>
          <w:rFonts w:eastAsiaTheme="majorEastAsia" w:cstheme="majorBidi"/>
        </w:rPr>
        <w:instrText xml:space="preserve"> \* MERGEFORMAT </w:instrText>
      </w:r>
      <w:r w:rsidR="003160E9" w:rsidRPr="000B68C8">
        <w:rPr>
          <w:rFonts w:eastAsiaTheme="majorEastAsia" w:cstheme="majorBidi"/>
        </w:rPr>
      </w:r>
      <w:r w:rsidR="003160E9" w:rsidRPr="000B68C8">
        <w:rPr>
          <w:rFonts w:eastAsiaTheme="majorEastAsia" w:cstheme="majorBidi"/>
        </w:rPr>
        <w:fldChar w:fldCharType="separate"/>
      </w:r>
      <w:r w:rsidR="00527272" w:rsidRPr="000B68C8">
        <w:t>3</w:t>
      </w:r>
      <w:r w:rsidR="003160E9" w:rsidRPr="000B68C8">
        <w:rPr>
          <w:rFonts w:eastAsiaTheme="majorEastAsia" w:cstheme="majorBidi"/>
        </w:rPr>
        <w:fldChar w:fldCharType="end"/>
      </w:r>
      <w:r w:rsidR="003160E9" w:rsidRPr="000B68C8">
        <w:t xml:space="preserve"> and shared with a group of stakeholders in the EU Member States as defined in Section</w:t>
      </w:r>
      <w:r w:rsidR="00D63376" w:rsidRPr="000B68C8">
        <w:t xml:space="preserve"> </w:t>
      </w:r>
      <w:r w:rsidR="00D63376" w:rsidRPr="000B68C8">
        <w:fldChar w:fldCharType="begin"/>
      </w:r>
      <w:r w:rsidR="00D63376" w:rsidRPr="000B68C8">
        <w:instrText xml:space="preserve"> REF _Ref96438552 \r \h </w:instrText>
      </w:r>
      <w:r w:rsidR="000B68C8">
        <w:instrText xml:space="preserve"> \* MERGEFORMAT </w:instrText>
      </w:r>
      <w:r w:rsidR="00D63376" w:rsidRPr="000B68C8">
        <w:fldChar w:fldCharType="separate"/>
      </w:r>
      <w:r w:rsidR="00527272" w:rsidRPr="000B68C8">
        <w:t>2.2</w:t>
      </w:r>
      <w:r w:rsidR="00D63376" w:rsidRPr="000B68C8">
        <w:fldChar w:fldCharType="end"/>
      </w:r>
      <w:r w:rsidR="003160E9" w:rsidRPr="000B68C8">
        <w:t xml:space="preserve"> for a total of 65 respondents from all 27 EU Member States. </w:t>
      </w:r>
      <w:r w:rsidR="00A14700" w:rsidRPr="000B68C8">
        <w:t xml:space="preserve">In </w:t>
      </w:r>
      <w:r w:rsidR="00B22A46" w:rsidRPr="000B68C8">
        <w:t xml:space="preserve">some </w:t>
      </w:r>
      <w:r w:rsidR="00A14700" w:rsidRPr="000B68C8">
        <w:t xml:space="preserve">cases, several respondents from the same organization and the same country completed the questionnaire. </w:t>
      </w:r>
      <w:r w:rsidR="00310EC1" w:rsidRPr="000B68C8">
        <w:t xml:space="preserve">To avoid a </w:t>
      </w:r>
      <w:r w:rsidR="00703303" w:rsidRPr="000B68C8">
        <w:t>potentially</w:t>
      </w:r>
      <w:r w:rsidR="00A14700" w:rsidRPr="000B68C8">
        <w:t xml:space="preserve"> skewed picture</w:t>
      </w:r>
      <w:r w:rsidR="00310EC1" w:rsidRPr="000B68C8">
        <w:t xml:space="preserve">, </w:t>
      </w:r>
      <w:r w:rsidR="00A14700" w:rsidRPr="000B68C8">
        <w:t>the individual responses</w:t>
      </w:r>
      <w:r w:rsidR="009B03CD" w:rsidRPr="000B68C8">
        <w:t xml:space="preserve"> </w:t>
      </w:r>
      <w:r w:rsidR="002B0E23" w:rsidRPr="000B68C8">
        <w:t>were</w:t>
      </w:r>
      <w:r w:rsidR="009B03CD" w:rsidRPr="000B68C8">
        <w:t xml:space="preserve"> aggregated</w:t>
      </w:r>
      <w:r w:rsidR="00A14700" w:rsidRPr="000B68C8">
        <w:t xml:space="preserve"> to one average response per country per type of organization.</w:t>
      </w:r>
      <w:r w:rsidR="00A14700" w:rsidRPr="000B68C8">
        <w:rPr>
          <w:rFonts w:cs="Arial"/>
        </w:rPr>
        <w:t xml:space="preserve"> </w:t>
      </w:r>
      <w:r w:rsidR="009B03CD" w:rsidRPr="000B68C8">
        <w:rPr>
          <w:rFonts w:cs="Arial"/>
        </w:rPr>
        <w:t xml:space="preserve">The </w:t>
      </w:r>
      <w:r w:rsidR="00A14700" w:rsidRPr="000B68C8">
        <w:t xml:space="preserve">65 responses </w:t>
      </w:r>
      <w:r w:rsidR="009B03CD" w:rsidRPr="000B68C8">
        <w:t>are</w:t>
      </w:r>
      <w:r w:rsidR="00A14700" w:rsidRPr="000B68C8">
        <w:t xml:space="preserve"> merged into 27 responses, one response per country</w:t>
      </w:r>
      <w:r w:rsidR="003913E2" w:rsidRPr="000B68C8">
        <w:t xml:space="preserve"> </w:t>
      </w:r>
      <w:r w:rsidR="003C5BF4" w:rsidRPr="000B68C8">
        <w:t>(</w:t>
      </w:r>
      <w:r w:rsidR="003C5BF4" w:rsidRPr="000B68C8">
        <w:fldChar w:fldCharType="begin"/>
      </w:r>
      <w:r w:rsidR="003C5BF4" w:rsidRPr="000B68C8">
        <w:instrText xml:space="preserve"> REF _Ref87440470 \h </w:instrText>
      </w:r>
      <w:r w:rsidR="000B68C8">
        <w:instrText xml:space="preserve"> \* MERGEFORMAT </w:instrText>
      </w:r>
      <w:r w:rsidR="003C5BF4" w:rsidRPr="000B68C8">
        <w:fldChar w:fldCharType="separate"/>
      </w:r>
      <w:r w:rsidR="00527272" w:rsidRPr="000B68C8">
        <w:t xml:space="preserve">Figure </w:t>
      </w:r>
      <w:r w:rsidR="00527272" w:rsidRPr="000B68C8">
        <w:rPr>
          <w:noProof/>
        </w:rPr>
        <w:t>2</w:t>
      </w:r>
      <w:r w:rsidR="003C5BF4" w:rsidRPr="000B68C8">
        <w:fldChar w:fldCharType="end"/>
      </w:r>
      <w:r w:rsidR="003C5BF4" w:rsidRPr="000B68C8">
        <w:t>)</w:t>
      </w:r>
      <w:r w:rsidR="0066452B" w:rsidRPr="000B68C8">
        <w:t xml:space="preserve"> and</w:t>
      </w:r>
      <w:r w:rsidR="003C5BF4" w:rsidRPr="000B68C8">
        <w:t xml:space="preserve"> </w:t>
      </w:r>
      <w:r w:rsidR="009B03CD" w:rsidRPr="000B68C8">
        <w:rPr>
          <w:rFonts w:cs="Arial"/>
        </w:rPr>
        <w:t xml:space="preserve">compared to the answers of the consortium (average of 9 responses, 1 per organisation) and the data already collected by the EU Member States. </w:t>
      </w:r>
    </w:p>
    <w:p w14:paraId="3DD39CA4" w14:textId="77777777" w:rsidR="000F1F8C" w:rsidRPr="000B68C8" w:rsidRDefault="000F1F8C" w:rsidP="000F1F8C">
      <w:pPr>
        <w:pStyle w:val="NoSpacing"/>
        <w:jc w:val="both"/>
      </w:pPr>
      <w:r w:rsidRPr="000B68C8">
        <w:rPr>
          <w:noProof/>
        </w:rPr>
        <w:drawing>
          <wp:inline distT="0" distB="0" distL="0" distR="0" wp14:anchorId="7A2D22B4" wp14:editId="67C1687E">
            <wp:extent cx="5736771" cy="1250950"/>
            <wp:effectExtent l="0" t="0" r="0" b="6350"/>
            <wp:docPr id="4" name="Chart 4">
              <a:extLst xmlns:a="http://schemas.openxmlformats.org/drawingml/2006/main">
                <a:ext uri="{FF2B5EF4-FFF2-40B4-BE49-F238E27FC236}">
                  <a16:creationId xmlns:a16="http://schemas.microsoft.com/office/drawing/2014/main" id="{08BE4738-38F0-4556-B281-C6B2BF58F4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A69410" w14:textId="08335658" w:rsidR="00B22A46" w:rsidRPr="000B68C8" w:rsidRDefault="00B22A46" w:rsidP="00342407">
      <w:pPr>
        <w:pStyle w:val="Caption"/>
      </w:pPr>
      <w:bookmarkStart w:id="35" w:name="_Ref87440470"/>
      <w:bookmarkStart w:id="36" w:name="_Hlk109482731"/>
      <w:r w:rsidRPr="000B68C8">
        <w:t xml:space="preserve">Figure </w:t>
      </w:r>
      <w:fldSimple w:instr=" SEQ Figure \* ARABIC ">
        <w:r w:rsidR="00527272" w:rsidRPr="000B68C8">
          <w:rPr>
            <w:noProof/>
          </w:rPr>
          <w:t>2</w:t>
        </w:r>
      </w:fldSimple>
      <w:bookmarkEnd w:id="35"/>
      <w:r w:rsidRPr="000B68C8">
        <w:t>: Percentages of type of respondents</w:t>
      </w:r>
      <w:r w:rsidR="00AF44A2" w:rsidRPr="000B68C8">
        <w:t xml:space="preserve"> participating in the questionnaire of the EU Member States</w:t>
      </w:r>
    </w:p>
    <w:bookmarkEnd w:id="36"/>
    <w:p w14:paraId="58FB9D83" w14:textId="7365D8DC" w:rsidR="0066452B" w:rsidRPr="000B68C8" w:rsidRDefault="007502D5" w:rsidP="0066452B">
      <w:r w:rsidRPr="000B68C8">
        <w:t>A</w:t>
      </w:r>
      <w:r w:rsidR="000E6921" w:rsidRPr="000B68C8">
        <w:t>s</w:t>
      </w:r>
      <w:r w:rsidRPr="000B68C8">
        <w:t xml:space="preserve"> already introduced in Section </w:t>
      </w:r>
      <w:r w:rsidR="00771DCF" w:rsidRPr="000B68C8">
        <w:fldChar w:fldCharType="begin"/>
      </w:r>
      <w:r w:rsidR="00771DCF" w:rsidRPr="000B68C8">
        <w:instrText xml:space="preserve"> REF _Ref96438552 \r \h </w:instrText>
      </w:r>
      <w:r w:rsidR="000E6921" w:rsidRPr="000B68C8">
        <w:instrText xml:space="preserve"> \* MERGEFORMAT </w:instrText>
      </w:r>
      <w:r w:rsidR="00771DCF" w:rsidRPr="000B68C8">
        <w:fldChar w:fldCharType="separate"/>
      </w:r>
      <w:r w:rsidR="00527272" w:rsidRPr="000B68C8">
        <w:t>2.2</w:t>
      </w:r>
      <w:r w:rsidR="00771DCF" w:rsidRPr="000B68C8">
        <w:fldChar w:fldCharType="end"/>
      </w:r>
      <w:r w:rsidR="00771DCF" w:rsidRPr="000B68C8">
        <w:t>, t</w:t>
      </w:r>
      <w:r w:rsidR="0066452B" w:rsidRPr="000B68C8">
        <w:t xml:space="preserve">he criteria used within the process for the selection of the data needed for fire statistics </w:t>
      </w:r>
      <w:r w:rsidR="00FE2D35" w:rsidRPr="000B68C8">
        <w:t>are</w:t>
      </w:r>
      <w:r w:rsidR="0066452B" w:rsidRPr="000B68C8">
        <w:t>:</w:t>
      </w:r>
    </w:p>
    <w:p w14:paraId="47D695D0" w14:textId="77777777" w:rsidR="0066452B" w:rsidRPr="000B68C8" w:rsidRDefault="0066452B" w:rsidP="0018358F">
      <w:pPr>
        <w:pStyle w:val="ListParagraph"/>
        <w:numPr>
          <w:ilvl w:val="0"/>
          <w:numId w:val="54"/>
        </w:numPr>
        <w:spacing w:before="0" w:after="0" w:line="240" w:lineRule="auto"/>
      </w:pPr>
      <w:r w:rsidRPr="000B68C8">
        <w:rPr>
          <w:rFonts w:cs="Arial"/>
        </w:rPr>
        <w:t xml:space="preserve">Variables with </w:t>
      </w:r>
      <w:r w:rsidRPr="000B68C8">
        <w:t>a majority of votes (</w:t>
      </w:r>
      <w:r w:rsidRPr="000B68C8">
        <w:rPr>
          <w:rFonts w:cs="Arial"/>
        </w:rPr>
        <w:t xml:space="preserve">≥ </w:t>
      </w:r>
      <w:r w:rsidRPr="000B68C8">
        <w:t xml:space="preserve">50%) </w:t>
      </w:r>
    </w:p>
    <w:p w14:paraId="0E3E23A2" w14:textId="47FF2095" w:rsidR="0066452B" w:rsidRPr="000B68C8" w:rsidRDefault="0066452B" w:rsidP="0018358F">
      <w:pPr>
        <w:pStyle w:val="ListParagraph"/>
        <w:numPr>
          <w:ilvl w:val="0"/>
          <w:numId w:val="54"/>
        </w:numPr>
        <w:spacing w:before="0" w:after="0" w:line="240" w:lineRule="auto"/>
      </w:pPr>
      <w:r w:rsidRPr="000B68C8">
        <w:rPr>
          <w:rFonts w:cs="Arial"/>
        </w:rPr>
        <w:t xml:space="preserve">Variables that have at least more than 40% </w:t>
      </w:r>
      <w:r w:rsidR="0063057E" w:rsidRPr="000B68C8">
        <w:rPr>
          <w:rFonts w:cs="Arial"/>
        </w:rPr>
        <w:t>of</w:t>
      </w:r>
      <w:r w:rsidR="00F20F20" w:rsidRPr="000B68C8">
        <w:rPr>
          <w:rFonts w:cs="Arial"/>
        </w:rPr>
        <w:t xml:space="preserve"> </w:t>
      </w:r>
      <w:r w:rsidR="00303C88" w:rsidRPr="000B68C8">
        <w:rPr>
          <w:rFonts w:cs="Arial"/>
        </w:rPr>
        <w:t>the votes of</w:t>
      </w:r>
      <w:r w:rsidRPr="000B68C8">
        <w:rPr>
          <w:rFonts w:cs="Arial"/>
        </w:rPr>
        <w:t xml:space="preserve"> the respondents. Including a margin of error of ± 10 points, allows for a larger coverage of opinions, such as a near majority</w:t>
      </w:r>
      <w:r w:rsidR="0095216D" w:rsidRPr="000B68C8">
        <w:rPr>
          <w:rFonts w:cs="Arial"/>
        </w:rPr>
        <w:t>, considering</w:t>
      </w:r>
      <w:r w:rsidRPr="000B68C8">
        <w:rPr>
          <w:rFonts w:cs="Arial"/>
        </w:rPr>
        <w:t xml:space="preserve"> more variables in the selection process </w:t>
      </w:r>
    </w:p>
    <w:p w14:paraId="00E9B3E1" w14:textId="0088ECB5" w:rsidR="0066452B" w:rsidRPr="000B68C8" w:rsidRDefault="0066452B" w:rsidP="0018358F">
      <w:pPr>
        <w:pStyle w:val="ListParagraph"/>
        <w:numPr>
          <w:ilvl w:val="0"/>
          <w:numId w:val="54"/>
        </w:numPr>
        <w:spacing w:before="0" w:after="0" w:line="240" w:lineRule="auto"/>
        <w:rPr>
          <w:lang w:val="en-US"/>
        </w:rPr>
      </w:pPr>
      <w:r w:rsidRPr="000B68C8">
        <w:t>Variable already being collected by the majority of the 27 EU Member States</w:t>
      </w:r>
      <w:r w:rsidR="00281ACF" w:rsidRPr="000B68C8">
        <w:t xml:space="preserve"> (EU-27)</w:t>
      </w:r>
      <w:r w:rsidRPr="000B68C8">
        <w:t xml:space="preserve"> with more relevance than a variable not yet being collected, even if not currently harmonised. </w:t>
      </w:r>
    </w:p>
    <w:p w14:paraId="24B2EC18" w14:textId="5C964DC9" w:rsidR="00F17EBB" w:rsidRPr="000B68C8" w:rsidRDefault="0066452B" w:rsidP="00913DC6">
      <w:r w:rsidRPr="000B68C8">
        <w:t>The results</w:t>
      </w:r>
      <w:r w:rsidR="00F63C2A" w:rsidRPr="000B68C8">
        <w:t xml:space="preserve"> presented in</w:t>
      </w:r>
      <w:r w:rsidRPr="000B68C8">
        <w:t xml:space="preserve"> </w:t>
      </w:r>
      <w:r w:rsidRPr="000B68C8">
        <w:fldChar w:fldCharType="begin"/>
      </w:r>
      <w:r w:rsidRPr="000B68C8">
        <w:instrText xml:space="preserve"> REF _Ref87526071 \h </w:instrText>
      </w:r>
      <w:r w:rsidR="00933896" w:rsidRPr="000B68C8">
        <w:instrText xml:space="preserve"> \* MERGEFORMAT </w:instrText>
      </w:r>
      <w:r w:rsidRPr="000B68C8">
        <w:fldChar w:fldCharType="separate"/>
      </w:r>
      <w:r w:rsidR="00527272" w:rsidRPr="000B68C8">
        <w:t xml:space="preserve">Table </w:t>
      </w:r>
      <w:r w:rsidR="00527272" w:rsidRPr="000B68C8">
        <w:rPr>
          <w:noProof/>
        </w:rPr>
        <w:t>3</w:t>
      </w:r>
      <w:r w:rsidRPr="000B68C8">
        <w:fldChar w:fldCharType="end"/>
      </w:r>
      <w:r w:rsidRPr="000B68C8">
        <w:t xml:space="preserve"> are subdivided into variables selected by the majority of the stakeholders, the majority of the consortium members, and the variables already collected by the majority of the EU Member States. </w:t>
      </w:r>
      <w:r w:rsidR="00F63C2A" w:rsidRPr="000B68C8">
        <w:t xml:space="preserve">In particular, </w:t>
      </w:r>
      <w:r w:rsidRPr="000B68C8">
        <w:fldChar w:fldCharType="begin"/>
      </w:r>
      <w:r w:rsidRPr="000B68C8">
        <w:instrText xml:space="preserve"> REF _Ref87526878 \h </w:instrText>
      </w:r>
      <w:r w:rsidR="00933896" w:rsidRPr="000B68C8">
        <w:instrText xml:space="preserve"> \* MERGEFORMAT </w:instrText>
      </w:r>
      <w:r w:rsidRPr="000B68C8">
        <w:fldChar w:fldCharType="separate"/>
      </w:r>
      <w:r w:rsidR="00527272" w:rsidRPr="000B68C8">
        <w:t xml:space="preserve">Figure </w:t>
      </w:r>
      <w:r w:rsidR="00527272" w:rsidRPr="000B68C8">
        <w:rPr>
          <w:noProof/>
        </w:rPr>
        <w:t>3</w:t>
      </w:r>
      <w:r w:rsidRPr="000B68C8">
        <w:fldChar w:fldCharType="end"/>
      </w:r>
      <w:r w:rsidRPr="000B68C8">
        <w:t xml:space="preserve"> </w:t>
      </w:r>
      <w:r w:rsidR="00F63C2A" w:rsidRPr="000B68C8">
        <w:t>shows the quantification of the overlapping of variables chosen by the stakeholders, consortium members and</w:t>
      </w:r>
      <w:r w:rsidR="00F17EBB" w:rsidRPr="000B68C8">
        <w:t xml:space="preserve"> current</w:t>
      </w:r>
      <w:r w:rsidR="00F63C2A" w:rsidRPr="000B68C8">
        <w:t xml:space="preserve"> fire statistics </w:t>
      </w:r>
      <w:r w:rsidR="00F17EBB" w:rsidRPr="000B68C8">
        <w:t xml:space="preserve">in the EU Member States </w:t>
      </w:r>
      <w:r w:rsidR="00F63C2A" w:rsidRPr="000B68C8">
        <w:t>based on a Ven</w:t>
      </w:r>
      <w:r w:rsidR="00CC7486" w:rsidRPr="000B68C8">
        <w:t>n</w:t>
      </w:r>
      <w:r w:rsidR="00F63C2A" w:rsidRPr="000B68C8">
        <w:t xml:space="preserve"> diagram</w:t>
      </w:r>
      <w:r w:rsidR="00F17EBB" w:rsidRPr="000B68C8">
        <w:t>.</w:t>
      </w:r>
    </w:p>
    <w:p w14:paraId="3AAA5B66" w14:textId="2AFB457D" w:rsidR="00AF44A2" w:rsidRPr="000B68C8" w:rsidRDefault="00F17EBB" w:rsidP="00913DC6">
      <w:r w:rsidRPr="000B68C8">
        <w:t>T</w:t>
      </w:r>
      <w:r w:rsidR="00F63C2A" w:rsidRPr="000B68C8">
        <w:t xml:space="preserve">he list of variables per section of the Venn diagram </w:t>
      </w:r>
      <w:r w:rsidR="00624475" w:rsidRPr="000B68C8">
        <w:t>is</w:t>
      </w:r>
      <w:r w:rsidRPr="000B68C8">
        <w:t xml:space="preserve"> </w:t>
      </w:r>
      <w:r w:rsidR="00F63C2A" w:rsidRPr="000B68C8">
        <w:t>classified according to</w:t>
      </w:r>
      <w:r w:rsidRPr="000B68C8">
        <w:t xml:space="preserve"> three tiers:</w:t>
      </w:r>
      <w:r w:rsidR="00F63C2A" w:rsidRPr="000B68C8">
        <w:t xml:space="preserve"> Tier 1,</w:t>
      </w:r>
      <w:r w:rsidR="00727B33" w:rsidRPr="000B68C8">
        <w:t xml:space="preserve"> </w:t>
      </w:r>
      <w:r w:rsidR="00F63C2A" w:rsidRPr="000B68C8">
        <w:t>2 and 3</w:t>
      </w:r>
      <w:r w:rsidRPr="000B68C8">
        <w:t xml:space="preserve"> (</w:t>
      </w:r>
      <w:r w:rsidRPr="000B68C8">
        <w:fldChar w:fldCharType="begin"/>
      </w:r>
      <w:r w:rsidRPr="000B68C8">
        <w:instrText xml:space="preserve"> REF _Ref87527866 \h </w:instrText>
      </w:r>
      <w:r w:rsidR="00933896" w:rsidRPr="000B68C8">
        <w:instrText xml:space="preserve"> \* MERGEFORMAT </w:instrText>
      </w:r>
      <w:r w:rsidRPr="000B68C8">
        <w:fldChar w:fldCharType="separate"/>
      </w:r>
      <w:r w:rsidR="00527272" w:rsidRPr="000B68C8">
        <w:t xml:space="preserve">Table </w:t>
      </w:r>
      <w:r w:rsidR="00527272" w:rsidRPr="000B68C8">
        <w:rPr>
          <w:noProof/>
        </w:rPr>
        <w:t>4</w:t>
      </w:r>
      <w:r w:rsidRPr="000B68C8">
        <w:fldChar w:fldCharType="end"/>
      </w:r>
      <w:r w:rsidRPr="000B68C8">
        <w:t>)</w:t>
      </w:r>
      <w:r w:rsidR="00AF44A2" w:rsidRPr="000B68C8">
        <w:t xml:space="preserve"> and are described as follows:</w:t>
      </w:r>
    </w:p>
    <w:p w14:paraId="6D73F115" w14:textId="2191BC4A" w:rsidR="00AF44A2" w:rsidRPr="000B68C8" w:rsidRDefault="00F17EBB" w:rsidP="00AD1817">
      <w:pPr>
        <w:pStyle w:val="ListParagraph"/>
        <w:numPr>
          <w:ilvl w:val="0"/>
          <w:numId w:val="53"/>
        </w:numPr>
      </w:pPr>
      <w:r w:rsidRPr="000B68C8">
        <w:rPr>
          <w:rFonts w:cs="Arial"/>
        </w:rPr>
        <w:t>Tier 1 includes the variables that are already collected by the majority of the EU Member States and also covered by the sets of variables selected by the majority of the stakeholders and the consortium (four variables), or by the set of the stakeholders only (</w:t>
      </w:r>
      <w:r w:rsidR="00686FB5" w:rsidRPr="000B68C8">
        <w:rPr>
          <w:rFonts w:cs="Arial"/>
        </w:rPr>
        <w:t xml:space="preserve">five </w:t>
      </w:r>
      <w:r w:rsidRPr="000B68C8">
        <w:rPr>
          <w:rFonts w:cs="Arial"/>
        </w:rPr>
        <w:t>variables)</w:t>
      </w:r>
    </w:p>
    <w:p w14:paraId="2A3BCCA2" w14:textId="6EF121AC" w:rsidR="00AF44A2" w:rsidRPr="000B68C8" w:rsidRDefault="00F17EBB" w:rsidP="00AD1817">
      <w:pPr>
        <w:pStyle w:val="ListParagraph"/>
        <w:numPr>
          <w:ilvl w:val="0"/>
          <w:numId w:val="53"/>
        </w:numPr>
      </w:pPr>
      <w:r w:rsidRPr="000B68C8">
        <w:rPr>
          <w:rFonts w:cs="Arial"/>
        </w:rPr>
        <w:t>The variables in Tier 2 are selected by the majority of stakeholders and the consortium and are not collected by the majority of countries (</w:t>
      </w:r>
      <w:r w:rsidR="009802FF" w:rsidRPr="000B68C8">
        <w:rPr>
          <w:rFonts w:cs="Arial"/>
        </w:rPr>
        <w:t xml:space="preserve">four </w:t>
      </w:r>
      <w:r w:rsidRPr="000B68C8">
        <w:rPr>
          <w:rFonts w:cs="Arial"/>
        </w:rPr>
        <w:t>variables)</w:t>
      </w:r>
    </w:p>
    <w:p w14:paraId="5B94D664" w14:textId="24C8AEE7" w:rsidR="00ED3558" w:rsidRPr="000B68C8" w:rsidRDefault="00F17EBB" w:rsidP="009A6CC7">
      <w:pPr>
        <w:pStyle w:val="ListParagraph"/>
        <w:numPr>
          <w:ilvl w:val="0"/>
          <w:numId w:val="53"/>
        </w:numPr>
      </w:pPr>
      <w:r w:rsidRPr="000B68C8">
        <w:rPr>
          <w:rFonts w:cs="Arial"/>
        </w:rPr>
        <w:t>The variables in Tier 3 are only selected by the stakeholders, the consortium or are already collected by the 27 EU Member States excluding those in Tier 1 and 2.</w:t>
      </w:r>
      <w:r w:rsidR="00BE0CDC" w:rsidRPr="000B68C8" w:rsidDel="00BE0CDC">
        <w:rPr>
          <w:rFonts w:cs="Arial"/>
        </w:rPr>
        <w:t xml:space="preserve"> </w:t>
      </w:r>
    </w:p>
    <w:p w14:paraId="41EA9BB3" w14:textId="367324DC" w:rsidR="00DC4920" w:rsidRPr="000B68C8" w:rsidRDefault="00DC4920" w:rsidP="00DC4920"/>
    <w:p w14:paraId="7A59D220" w14:textId="190DFB49" w:rsidR="00DC4920" w:rsidRPr="000B68C8" w:rsidRDefault="00DC4920" w:rsidP="00DC4920"/>
    <w:p w14:paraId="486DED38" w14:textId="6BAC398C" w:rsidR="00DC4920" w:rsidRPr="000B68C8" w:rsidRDefault="00DC4920" w:rsidP="00DC4920"/>
    <w:p w14:paraId="49289D2E" w14:textId="19DCA2B5" w:rsidR="00DC4920" w:rsidRPr="000B68C8" w:rsidRDefault="00DC4920" w:rsidP="00DC4920"/>
    <w:p w14:paraId="405ACB0D" w14:textId="1B8E6688" w:rsidR="00DC4920" w:rsidRPr="000B68C8" w:rsidRDefault="00DC4920" w:rsidP="00DC4920"/>
    <w:p w14:paraId="41002D99" w14:textId="66554702" w:rsidR="00DC4920" w:rsidRPr="000B68C8" w:rsidRDefault="00DC4920" w:rsidP="00DC4920"/>
    <w:p w14:paraId="709204F9" w14:textId="08E95C63" w:rsidR="00DC4920" w:rsidRPr="000B68C8" w:rsidRDefault="00DC4920" w:rsidP="00DC4920"/>
    <w:p w14:paraId="7B89EFE5" w14:textId="2BB31FE1" w:rsidR="00DC4920" w:rsidRPr="000B68C8" w:rsidRDefault="00DC4920" w:rsidP="00DC4920"/>
    <w:p w14:paraId="11DAC585" w14:textId="77777777" w:rsidR="00DC4920" w:rsidRPr="000B68C8" w:rsidRDefault="00DC4920" w:rsidP="00DC4920"/>
    <w:p w14:paraId="3DBCC73B" w14:textId="0E8A8DEF" w:rsidR="005E7118" w:rsidRPr="000B68C8" w:rsidRDefault="005E7118" w:rsidP="00913DC6">
      <w:pPr>
        <w:pStyle w:val="Caption"/>
        <w:keepNext/>
        <w:jc w:val="both"/>
      </w:pPr>
      <w:bookmarkStart w:id="37" w:name="_Ref87526071"/>
      <w:r w:rsidRPr="000B68C8">
        <w:t xml:space="preserve">Table </w:t>
      </w:r>
      <w:fldSimple w:instr=" SEQ Table \* ARABIC ">
        <w:r w:rsidR="00527272" w:rsidRPr="000B68C8">
          <w:rPr>
            <w:noProof/>
          </w:rPr>
          <w:t>3</w:t>
        </w:r>
      </w:fldSimple>
      <w:bookmarkEnd w:id="37"/>
      <w:r w:rsidRPr="000B68C8">
        <w:t xml:space="preserve">: Responses </w:t>
      </w:r>
      <w:r w:rsidR="009B03CD" w:rsidRPr="000B68C8">
        <w:t>of</w:t>
      </w:r>
      <w:r w:rsidRPr="000B68C8">
        <w:t xml:space="preserve"> stakeholders and consortium partners compared to current fire statistics in the EU Member States</w:t>
      </w:r>
      <w:r w:rsidR="00992D85" w:rsidRPr="000B68C8">
        <w:t xml:space="preserve"> </w:t>
      </w:r>
      <w:r w:rsidR="00992D85" w:rsidRPr="000B68C8">
        <w:rPr>
          <w:rFonts w:cs="Arial"/>
        </w:rPr>
        <w:fldChar w:fldCharType="begin" w:fldLock="1"/>
      </w:r>
      <w:r w:rsidR="007359B2" w:rsidRPr="000B68C8">
        <w:rPr>
          <w:rFonts w:cs="Arial"/>
        </w:rPr>
        <w:instrText>ADDIN CSL_CITATION {"citationItems":[{"id":"ITEM-1","itemData":{"author":[{"dropping-particle":"","family":"EU FireStat","given":"","non-dropping-particle":"","parse-names":false,"suffix":""}],"id":"ITEM-1","issued":{"date-parts":[["2021"]]},"title":"EU FireStat - Closing data gaps and paving the way for pan-European Fire Safety Efforts. Report Task 2 - Data needed for decision making","type":"report"},"uris":["http://www.mendeley.com/documents/?uuid=fb9f2687-b490-447c-a1e7-643e1290adfd"]}],"mendeley":{"formattedCitation":"[24]","plainTextFormattedCitation":"[24]","previouslyFormattedCitation":"[24]"},"properties":{"noteIndex":0},"schema":"https://github.com/citation-style-language/schema/raw/master/csl-citation.json"}</w:instrText>
      </w:r>
      <w:r w:rsidR="00992D85" w:rsidRPr="000B68C8">
        <w:rPr>
          <w:rFonts w:cs="Arial"/>
        </w:rPr>
        <w:fldChar w:fldCharType="separate"/>
      </w:r>
      <w:r w:rsidR="00BC2D97" w:rsidRPr="000B68C8">
        <w:rPr>
          <w:rFonts w:cs="Arial"/>
          <w:i w:val="0"/>
          <w:noProof/>
        </w:rPr>
        <w:t>[24]</w:t>
      </w:r>
      <w:r w:rsidR="00992D85" w:rsidRPr="000B68C8">
        <w:rPr>
          <w:rFonts w:cs="Arial"/>
        </w:rPr>
        <w:fldChar w:fldCharType="end"/>
      </w:r>
    </w:p>
    <w:tbl>
      <w:tblPr>
        <w:tblStyle w:val="Grilledutableau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5"/>
        <w:gridCol w:w="3195"/>
        <w:gridCol w:w="1388"/>
        <w:gridCol w:w="1251"/>
        <w:gridCol w:w="1107"/>
      </w:tblGrid>
      <w:tr w:rsidR="005E7118" w:rsidRPr="000B68C8" w14:paraId="7D62DE27" w14:textId="77777777" w:rsidTr="002A70D3">
        <w:trPr>
          <w:cantSplit/>
          <w:trHeight w:val="20"/>
        </w:trPr>
        <w:tc>
          <w:tcPr>
            <w:tcW w:w="1155" w:type="pct"/>
            <w:tcBorders>
              <w:top w:val="single" w:sz="4" w:space="0" w:color="auto"/>
              <w:bottom w:val="single" w:sz="4" w:space="0" w:color="auto"/>
            </w:tcBorders>
            <w:shd w:val="clear" w:color="auto" w:fill="auto"/>
            <w:vAlign w:val="center"/>
          </w:tcPr>
          <w:p w14:paraId="390AEED5" w14:textId="5AC5E35F" w:rsidR="00E76E08" w:rsidRPr="000B68C8" w:rsidRDefault="001D6CEC" w:rsidP="00342407">
            <w:pPr>
              <w:pStyle w:val="NoSpacing"/>
              <w:jc w:val="center"/>
              <w:rPr>
                <w:rFonts w:cs="Times New Roman"/>
                <w:b/>
                <w:bCs/>
                <w:sz w:val="18"/>
                <w:szCs w:val="18"/>
              </w:rPr>
            </w:pPr>
            <w:r w:rsidRPr="000B68C8">
              <w:rPr>
                <w:rFonts w:cs="Times New Roman"/>
                <w:b/>
                <w:bCs/>
                <w:sz w:val="18"/>
                <w:szCs w:val="18"/>
              </w:rPr>
              <w:t>Category of interest</w:t>
            </w:r>
          </w:p>
        </w:tc>
        <w:tc>
          <w:tcPr>
            <w:tcW w:w="1770" w:type="pct"/>
            <w:tcBorders>
              <w:top w:val="single" w:sz="4" w:space="0" w:color="auto"/>
              <w:bottom w:val="single" w:sz="4" w:space="0" w:color="auto"/>
            </w:tcBorders>
            <w:shd w:val="clear" w:color="auto" w:fill="auto"/>
            <w:vAlign w:val="center"/>
          </w:tcPr>
          <w:p w14:paraId="73793B5D" w14:textId="74B08EFF" w:rsidR="00E76E08" w:rsidRPr="000B68C8" w:rsidRDefault="00E76E08" w:rsidP="00342407">
            <w:pPr>
              <w:pStyle w:val="NoSpacing"/>
              <w:jc w:val="center"/>
              <w:rPr>
                <w:rFonts w:cs="Times New Roman"/>
                <w:b/>
                <w:bCs/>
                <w:sz w:val="18"/>
                <w:szCs w:val="18"/>
              </w:rPr>
            </w:pPr>
            <w:r w:rsidRPr="000B68C8">
              <w:rPr>
                <w:rFonts w:cs="Times New Roman"/>
                <w:b/>
                <w:bCs/>
                <w:sz w:val="18"/>
                <w:szCs w:val="18"/>
              </w:rPr>
              <w:t>Variable</w:t>
            </w:r>
          </w:p>
        </w:tc>
        <w:tc>
          <w:tcPr>
            <w:tcW w:w="769" w:type="pct"/>
            <w:tcBorders>
              <w:top w:val="single" w:sz="4" w:space="0" w:color="auto"/>
              <w:bottom w:val="single" w:sz="4" w:space="0" w:color="auto"/>
            </w:tcBorders>
            <w:shd w:val="clear" w:color="auto" w:fill="auto"/>
            <w:vAlign w:val="center"/>
          </w:tcPr>
          <w:p w14:paraId="0CE764C3" w14:textId="0DCB32D2" w:rsidR="00E76E08" w:rsidRPr="000B68C8" w:rsidRDefault="005E7118" w:rsidP="00342407">
            <w:pPr>
              <w:pStyle w:val="NoSpacing"/>
              <w:jc w:val="center"/>
              <w:rPr>
                <w:rFonts w:cs="Times New Roman"/>
                <w:b/>
                <w:bCs/>
                <w:sz w:val="18"/>
                <w:szCs w:val="18"/>
              </w:rPr>
            </w:pPr>
            <w:r w:rsidRPr="000B68C8">
              <w:rPr>
                <w:rFonts w:cs="Times New Roman"/>
                <w:b/>
                <w:bCs/>
                <w:sz w:val="18"/>
                <w:szCs w:val="18"/>
              </w:rPr>
              <w:t>S</w:t>
            </w:r>
            <w:r w:rsidR="00E76E08" w:rsidRPr="000B68C8">
              <w:rPr>
                <w:rFonts w:cs="Times New Roman"/>
                <w:b/>
                <w:bCs/>
                <w:sz w:val="18"/>
                <w:szCs w:val="18"/>
              </w:rPr>
              <w:t>takeholders</w:t>
            </w:r>
          </w:p>
        </w:tc>
        <w:tc>
          <w:tcPr>
            <w:tcW w:w="693" w:type="pct"/>
            <w:tcBorders>
              <w:top w:val="single" w:sz="4" w:space="0" w:color="auto"/>
              <w:bottom w:val="single" w:sz="4" w:space="0" w:color="auto"/>
            </w:tcBorders>
            <w:shd w:val="clear" w:color="auto" w:fill="auto"/>
            <w:vAlign w:val="center"/>
          </w:tcPr>
          <w:p w14:paraId="241137A0" w14:textId="1C014D37" w:rsidR="00E76E08" w:rsidRPr="000B68C8" w:rsidRDefault="005E7118" w:rsidP="00342407">
            <w:pPr>
              <w:pStyle w:val="NoSpacing"/>
              <w:jc w:val="center"/>
              <w:rPr>
                <w:rFonts w:cs="Times New Roman"/>
                <w:b/>
                <w:bCs/>
                <w:sz w:val="18"/>
                <w:szCs w:val="18"/>
              </w:rPr>
            </w:pPr>
            <w:r w:rsidRPr="000B68C8">
              <w:rPr>
                <w:rFonts w:cs="Times New Roman"/>
                <w:b/>
                <w:bCs/>
                <w:sz w:val="18"/>
                <w:szCs w:val="18"/>
              </w:rPr>
              <w:t>C</w:t>
            </w:r>
            <w:r w:rsidR="00E76E08" w:rsidRPr="000B68C8">
              <w:rPr>
                <w:rFonts w:cs="Times New Roman"/>
                <w:b/>
                <w:bCs/>
                <w:sz w:val="18"/>
                <w:szCs w:val="18"/>
              </w:rPr>
              <w:t>onsortium</w:t>
            </w:r>
          </w:p>
        </w:tc>
        <w:tc>
          <w:tcPr>
            <w:tcW w:w="613" w:type="pct"/>
            <w:tcBorders>
              <w:top w:val="single" w:sz="4" w:space="0" w:color="auto"/>
              <w:bottom w:val="single" w:sz="4" w:space="0" w:color="auto"/>
            </w:tcBorders>
            <w:shd w:val="clear" w:color="auto" w:fill="auto"/>
            <w:vAlign w:val="center"/>
          </w:tcPr>
          <w:p w14:paraId="438FC419" w14:textId="77DF0850" w:rsidR="00E76E08" w:rsidRPr="000B68C8" w:rsidRDefault="00E76E08" w:rsidP="00342407">
            <w:pPr>
              <w:pStyle w:val="NoSpacing"/>
              <w:jc w:val="center"/>
              <w:rPr>
                <w:rFonts w:cs="Times New Roman"/>
                <w:b/>
                <w:bCs/>
                <w:sz w:val="18"/>
                <w:szCs w:val="18"/>
              </w:rPr>
            </w:pPr>
            <w:r w:rsidRPr="000B68C8">
              <w:rPr>
                <w:rFonts w:cs="Times New Roman"/>
                <w:b/>
                <w:bCs/>
                <w:sz w:val="18"/>
                <w:szCs w:val="18"/>
              </w:rPr>
              <w:t xml:space="preserve">EU-27 </w:t>
            </w:r>
          </w:p>
        </w:tc>
      </w:tr>
      <w:tr w:rsidR="00727BC8" w:rsidRPr="000B68C8" w14:paraId="4C396ED1" w14:textId="77777777" w:rsidTr="002A70D3">
        <w:trPr>
          <w:trHeight w:val="20"/>
        </w:trPr>
        <w:tc>
          <w:tcPr>
            <w:tcW w:w="1155" w:type="pct"/>
            <w:vMerge w:val="restart"/>
            <w:tcBorders>
              <w:top w:val="single" w:sz="4" w:space="0" w:color="auto"/>
            </w:tcBorders>
            <w:shd w:val="clear" w:color="auto" w:fill="auto"/>
            <w:vAlign w:val="center"/>
          </w:tcPr>
          <w:p w14:paraId="54F16DA9" w14:textId="77777777" w:rsidR="000948AB" w:rsidRPr="000B68C8" w:rsidRDefault="000948AB" w:rsidP="00342407">
            <w:pPr>
              <w:pStyle w:val="NoSpacing"/>
              <w:rPr>
                <w:rFonts w:cs="Times New Roman"/>
                <w:sz w:val="18"/>
                <w:szCs w:val="18"/>
              </w:rPr>
            </w:pPr>
            <w:r w:rsidRPr="000B68C8">
              <w:rPr>
                <w:rFonts w:cs="Times New Roman"/>
                <w:sz w:val="18"/>
                <w:szCs w:val="18"/>
              </w:rPr>
              <w:t>Human characteristics</w:t>
            </w:r>
          </w:p>
        </w:tc>
        <w:tc>
          <w:tcPr>
            <w:tcW w:w="1770" w:type="pct"/>
            <w:tcBorders>
              <w:top w:val="single" w:sz="4" w:space="0" w:color="auto"/>
            </w:tcBorders>
            <w:shd w:val="clear" w:color="auto" w:fill="auto"/>
            <w:vAlign w:val="center"/>
          </w:tcPr>
          <w:p w14:paraId="4D08D106" w14:textId="0724E242" w:rsidR="000948AB" w:rsidRPr="000B68C8" w:rsidRDefault="000948AB" w:rsidP="00342407">
            <w:pPr>
              <w:pStyle w:val="NoSpacing"/>
              <w:rPr>
                <w:rFonts w:cs="Times New Roman"/>
                <w:sz w:val="18"/>
                <w:szCs w:val="18"/>
              </w:rPr>
            </w:pPr>
            <w:r w:rsidRPr="000B68C8">
              <w:rPr>
                <w:rFonts w:cs="Times New Roman"/>
                <w:sz w:val="18"/>
                <w:szCs w:val="18"/>
              </w:rPr>
              <w:t xml:space="preserve">Number of </w:t>
            </w:r>
            <w:r w:rsidR="00D10423" w:rsidRPr="000B68C8">
              <w:rPr>
                <w:rFonts w:cs="Times New Roman"/>
                <w:sz w:val="18"/>
                <w:szCs w:val="18"/>
              </w:rPr>
              <w:t>fatal</w:t>
            </w:r>
            <w:r w:rsidR="006505AE" w:rsidRPr="000B68C8">
              <w:rPr>
                <w:rFonts w:cs="Times New Roman"/>
                <w:sz w:val="18"/>
                <w:szCs w:val="18"/>
              </w:rPr>
              <w:t>ities</w:t>
            </w:r>
            <w:r w:rsidRPr="000B68C8">
              <w:rPr>
                <w:rFonts w:cs="Times New Roman"/>
                <w:sz w:val="18"/>
                <w:szCs w:val="18"/>
              </w:rPr>
              <w:t xml:space="preserve"> </w:t>
            </w:r>
          </w:p>
        </w:tc>
        <w:tc>
          <w:tcPr>
            <w:tcW w:w="769" w:type="pct"/>
            <w:tcBorders>
              <w:top w:val="single" w:sz="4" w:space="0" w:color="auto"/>
            </w:tcBorders>
            <w:shd w:val="clear" w:color="auto" w:fill="9BBB59"/>
            <w:vAlign w:val="center"/>
          </w:tcPr>
          <w:p w14:paraId="6647AAD8" w14:textId="77777777" w:rsidR="000948AB" w:rsidRPr="000B68C8" w:rsidRDefault="000948AB" w:rsidP="00342407">
            <w:pPr>
              <w:pStyle w:val="NoSpacing"/>
              <w:rPr>
                <w:rFonts w:cs="Times New Roman"/>
                <w:sz w:val="18"/>
                <w:szCs w:val="18"/>
              </w:rPr>
            </w:pPr>
            <w:r w:rsidRPr="000B68C8">
              <w:rPr>
                <w:rFonts w:cs="Times New Roman"/>
                <w:sz w:val="18"/>
                <w:szCs w:val="18"/>
              </w:rPr>
              <w:t>Yes, 89 %</w:t>
            </w:r>
          </w:p>
        </w:tc>
        <w:tc>
          <w:tcPr>
            <w:tcW w:w="693" w:type="pct"/>
            <w:tcBorders>
              <w:top w:val="single" w:sz="4" w:space="0" w:color="auto"/>
            </w:tcBorders>
            <w:shd w:val="clear" w:color="auto" w:fill="9BBB59"/>
            <w:vAlign w:val="center"/>
          </w:tcPr>
          <w:p w14:paraId="66720E3D" w14:textId="77777777" w:rsidR="000948AB" w:rsidRPr="000B68C8" w:rsidRDefault="000948AB" w:rsidP="00342407">
            <w:pPr>
              <w:pStyle w:val="NoSpacing"/>
              <w:rPr>
                <w:rFonts w:cs="Times New Roman"/>
                <w:sz w:val="18"/>
                <w:szCs w:val="18"/>
              </w:rPr>
            </w:pPr>
            <w:r w:rsidRPr="000B68C8">
              <w:rPr>
                <w:rFonts w:cs="Times New Roman"/>
                <w:sz w:val="18"/>
                <w:szCs w:val="18"/>
              </w:rPr>
              <w:t>Yes, 100 %</w:t>
            </w:r>
          </w:p>
        </w:tc>
        <w:tc>
          <w:tcPr>
            <w:tcW w:w="613" w:type="pct"/>
            <w:vMerge w:val="restart"/>
            <w:tcBorders>
              <w:top w:val="single" w:sz="4" w:space="0" w:color="auto"/>
            </w:tcBorders>
            <w:shd w:val="clear" w:color="auto" w:fill="9BBB59"/>
            <w:vAlign w:val="center"/>
          </w:tcPr>
          <w:p w14:paraId="409917F8" w14:textId="77777777" w:rsidR="000948AB" w:rsidRPr="000B68C8" w:rsidRDefault="000948AB" w:rsidP="00342407">
            <w:pPr>
              <w:pStyle w:val="NoSpacing"/>
              <w:rPr>
                <w:rFonts w:cs="Times New Roman"/>
                <w:sz w:val="18"/>
                <w:szCs w:val="18"/>
              </w:rPr>
            </w:pPr>
            <w:r w:rsidRPr="000B68C8">
              <w:rPr>
                <w:rFonts w:cs="Times New Roman"/>
                <w:sz w:val="18"/>
                <w:szCs w:val="18"/>
              </w:rPr>
              <w:t>Yes, 93 % and 52 %*</w:t>
            </w:r>
          </w:p>
        </w:tc>
      </w:tr>
      <w:tr w:rsidR="00727BC8" w:rsidRPr="000B68C8" w14:paraId="6DE99E54" w14:textId="77777777" w:rsidTr="002A70D3">
        <w:trPr>
          <w:trHeight w:val="20"/>
        </w:trPr>
        <w:tc>
          <w:tcPr>
            <w:tcW w:w="1155" w:type="pct"/>
            <w:vMerge/>
            <w:shd w:val="clear" w:color="auto" w:fill="auto"/>
            <w:vAlign w:val="center"/>
          </w:tcPr>
          <w:p w14:paraId="525D2D14"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5B973A58" w14:textId="490976E6" w:rsidR="000948AB" w:rsidRPr="000B68C8" w:rsidRDefault="001D6CEC" w:rsidP="00342407">
            <w:pPr>
              <w:pStyle w:val="NoSpacing"/>
              <w:rPr>
                <w:rFonts w:cs="Times New Roman"/>
                <w:sz w:val="18"/>
                <w:szCs w:val="18"/>
              </w:rPr>
            </w:pPr>
            <w:r w:rsidRPr="000B68C8">
              <w:rPr>
                <w:rFonts w:cs="Times New Roman"/>
                <w:sz w:val="18"/>
                <w:szCs w:val="18"/>
              </w:rPr>
              <w:t>Number of injuries</w:t>
            </w:r>
            <w:r w:rsidR="000948AB" w:rsidRPr="000B68C8">
              <w:rPr>
                <w:rFonts w:cs="Times New Roman"/>
                <w:sz w:val="18"/>
                <w:szCs w:val="18"/>
              </w:rPr>
              <w:t xml:space="preserve"> </w:t>
            </w:r>
          </w:p>
        </w:tc>
        <w:tc>
          <w:tcPr>
            <w:tcW w:w="769" w:type="pct"/>
            <w:shd w:val="clear" w:color="auto" w:fill="9BBB59"/>
            <w:vAlign w:val="center"/>
          </w:tcPr>
          <w:p w14:paraId="53A63941" w14:textId="77777777" w:rsidR="000948AB" w:rsidRPr="000B68C8" w:rsidRDefault="000948AB" w:rsidP="00342407">
            <w:pPr>
              <w:pStyle w:val="NoSpacing"/>
              <w:rPr>
                <w:rFonts w:cs="Times New Roman"/>
                <w:sz w:val="18"/>
                <w:szCs w:val="18"/>
              </w:rPr>
            </w:pPr>
            <w:r w:rsidRPr="000B68C8">
              <w:rPr>
                <w:rFonts w:cs="Times New Roman"/>
                <w:sz w:val="18"/>
                <w:szCs w:val="18"/>
              </w:rPr>
              <w:t>Yes, 93 %</w:t>
            </w:r>
          </w:p>
        </w:tc>
        <w:tc>
          <w:tcPr>
            <w:tcW w:w="693" w:type="pct"/>
            <w:shd w:val="clear" w:color="auto" w:fill="B7312C"/>
            <w:vAlign w:val="center"/>
          </w:tcPr>
          <w:p w14:paraId="2AEF530C"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vMerge/>
            <w:shd w:val="clear" w:color="auto" w:fill="9BBB59"/>
            <w:vAlign w:val="center"/>
          </w:tcPr>
          <w:p w14:paraId="3A51C46F" w14:textId="77777777" w:rsidR="000948AB" w:rsidRPr="000B68C8" w:rsidRDefault="000948AB" w:rsidP="00342407">
            <w:pPr>
              <w:pStyle w:val="NoSpacing"/>
              <w:rPr>
                <w:rFonts w:cs="Times New Roman"/>
                <w:sz w:val="18"/>
                <w:szCs w:val="18"/>
              </w:rPr>
            </w:pPr>
          </w:p>
        </w:tc>
      </w:tr>
      <w:tr w:rsidR="00727BC8" w:rsidRPr="000B68C8" w14:paraId="574EB796" w14:textId="77777777" w:rsidTr="002A70D3">
        <w:trPr>
          <w:trHeight w:val="20"/>
        </w:trPr>
        <w:tc>
          <w:tcPr>
            <w:tcW w:w="1155" w:type="pct"/>
            <w:vMerge/>
            <w:shd w:val="clear" w:color="auto" w:fill="auto"/>
            <w:vAlign w:val="center"/>
          </w:tcPr>
          <w:p w14:paraId="366BEBB6"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653E6DDF" w14:textId="77777777" w:rsidR="000948AB" w:rsidRPr="000B68C8" w:rsidRDefault="000948AB" w:rsidP="00342407">
            <w:pPr>
              <w:pStyle w:val="NoSpacing"/>
              <w:rPr>
                <w:rFonts w:cs="Times New Roman"/>
                <w:sz w:val="18"/>
                <w:szCs w:val="18"/>
              </w:rPr>
            </w:pPr>
            <w:r w:rsidRPr="000B68C8">
              <w:rPr>
                <w:rFonts w:cs="Times New Roman"/>
                <w:sz w:val="18"/>
                <w:szCs w:val="18"/>
              </w:rPr>
              <w:t>Number of occupants in the building</w:t>
            </w:r>
          </w:p>
        </w:tc>
        <w:tc>
          <w:tcPr>
            <w:tcW w:w="769" w:type="pct"/>
            <w:shd w:val="clear" w:color="auto" w:fill="9BBB59"/>
            <w:vAlign w:val="center"/>
          </w:tcPr>
          <w:p w14:paraId="2709EC2A"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c>
          <w:tcPr>
            <w:tcW w:w="693" w:type="pct"/>
            <w:shd w:val="clear" w:color="auto" w:fill="B7312C"/>
            <w:vAlign w:val="center"/>
          </w:tcPr>
          <w:p w14:paraId="42B5CD2B"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shd w:val="clear" w:color="auto" w:fill="B7312C"/>
            <w:vAlign w:val="center"/>
          </w:tcPr>
          <w:p w14:paraId="538CB027" w14:textId="77777777" w:rsidR="000948AB" w:rsidRPr="000B68C8" w:rsidRDefault="000948AB" w:rsidP="00342407">
            <w:pPr>
              <w:pStyle w:val="NoSpacing"/>
              <w:rPr>
                <w:rFonts w:cs="Times New Roman"/>
                <w:sz w:val="18"/>
                <w:szCs w:val="18"/>
              </w:rPr>
            </w:pPr>
            <w:r w:rsidRPr="000B68C8">
              <w:rPr>
                <w:rFonts w:cs="Times New Roman"/>
                <w:sz w:val="18"/>
                <w:szCs w:val="18"/>
              </w:rPr>
              <w:t>No, 19 %</w:t>
            </w:r>
          </w:p>
        </w:tc>
      </w:tr>
      <w:tr w:rsidR="00727BC8" w:rsidRPr="000B68C8" w14:paraId="0EF5A370" w14:textId="77777777" w:rsidTr="002A70D3">
        <w:trPr>
          <w:trHeight w:val="20"/>
        </w:trPr>
        <w:tc>
          <w:tcPr>
            <w:tcW w:w="1155" w:type="pct"/>
            <w:vMerge/>
            <w:shd w:val="clear" w:color="auto" w:fill="auto"/>
            <w:vAlign w:val="center"/>
          </w:tcPr>
          <w:p w14:paraId="01E5D328"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68E25AF4" w14:textId="0DFDE372" w:rsidR="000948AB" w:rsidRPr="000B68C8" w:rsidRDefault="000948AB" w:rsidP="00342407">
            <w:pPr>
              <w:pStyle w:val="NoSpacing"/>
              <w:rPr>
                <w:rFonts w:cs="Times New Roman"/>
                <w:sz w:val="18"/>
                <w:szCs w:val="18"/>
              </w:rPr>
            </w:pPr>
            <w:r w:rsidRPr="000B68C8">
              <w:rPr>
                <w:rFonts w:cs="Times New Roman"/>
                <w:sz w:val="18"/>
                <w:szCs w:val="18"/>
              </w:rPr>
              <w:t>Age</w:t>
            </w:r>
            <w:r w:rsidR="0009689C" w:rsidRPr="000B68C8">
              <w:rPr>
                <w:rFonts w:cs="Times New Roman"/>
                <w:sz w:val="18"/>
                <w:szCs w:val="18"/>
              </w:rPr>
              <w:t xml:space="preserve"> of fatalities</w:t>
            </w:r>
          </w:p>
        </w:tc>
        <w:tc>
          <w:tcPr>
            <w:tcW w:w="769" w:type="pct"/>
            <w:shd w:val="clear" w:color="auto" w:fill="F79646"/>
            <w:vAlign w:val="center"/>
          </w:tcPr>
          <w:p w14:paraId="4EC8300A" w14:textId="77777777" w:rsidR="000948AB" w:rsidRPr="000B68C8" w:rsidRDefault="000948AB" w:rsidP="00342407">
            <w:pPr>
              <w:pStyle w:val="NoSpacing"/>
              <w:rPr>
                <w:rFonts w:cs="Times New Roman"/>
                <w:sz w:val="18"/>
                <w:szCs w:val="18"/>
              </w:rPr>
            </w:pPr>
            <w:r w:rsidRPr="000B68C8">
              <w:rPr>
                <w:rFonts w:cs="Times New Roman"/>
                <w:sz w:val="18"/>
                <w:szCs w:val="18"/>
              </w:rPr>
              <w:t>Yes, 48 %</w:t>
            </w:r>
          </w:p>
        </w:tc>
        <w:tc>
          <w:tcPr>
            <w:tcW w:w="693" w:type="pct"/>
            <w:shd w:val="clear" w:color="auto" w:fill="9BBB59"/>
            <w:vAlign w:val="center"/>
          </w:tcPr>
          <w:p w14:paraId="70E7C19A" w14:textId="77777777" w:rsidR="000948AB" w:rsidRPr="000B68C8" w:rsidRDefault="000948AB" w:rsidP="00342407">
            <w:pPr>
              <w:pStyle w:val="NoSpacing"/>
              <w:rPr>
                <w:rFonts w:cs="Times New Roman"/>
                <w:sz w:val="18"/>
                <w:szCs w:val="18"/>
              </w:rPr>
            </w:pPr>
            <w:r w:rsidRPr="000B68C8">
              <w:rPr>
                <w:rFonts w:cs="Times New Roman"/>
                <w:sz w:val="18"/>
                <w:szCs w:val="18"/>
              </w:rPr>
              <w:t>Yes, 78 %</w:t>
            </w:r>
          </w:p>
        </w:tc>
        <w:tc>
          <w:tcPr>
            <w:tcW w:w="613" w:type="pct"/>
            <w:shd w:val="clear" w:color="auto" w:fill="9BBB59"/>
            <w:vAlign w:val="center"/>
          </w:tcPr>
          <w:p w14:paraId="05FB2636"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r>
      <w:tr w:rsidR="00727BC8" w:rsidRPr="000B68C8" w14:paraId="50128F1F" w14:textId="77777777" w:rsidTr="002A70D3">
        <w:trPr>
          <w:trHeight w:val="20"/>
        </w:trPr>
        <w:tc>
          <w:tcPr>
            <w:tcW w:w="1155" w:type="pct"/>
            <w:vMerge/>
            <w:shd w:val="clear" w:color="auto" w:fill="auto"/>
            <w:vAlign w:val="center"/>
          </w:tcPr>
          <w:p w14:paraId="008BAD8C"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098D8DA2" w14:textId="77777777" w:rsidR="000948AB" w:rsidRPr="000B68C8" w:rsidRDefault="000948AB" w:rsidP="00342407">
            <w:pPr>
              <w:pStyle w:val="NoSpacing"/>
              <w:rPr>
                <w:rFonts w:cs="Times New Roman"/>
                <w:sz w:val="18"/>
                <w:szCs w:val="18"/>
              </w:rPr>
            </w:pPr>
            <w:r w:rsidRPr="000B68C8">
              <w:rPr>
                <w:rFonts w:cs="Times New Roman"/>
                <w:sz w:val="18"/>
                <w:szCs w:val="18"/>
              </w:rPr>
              <w:t>Gender</w:t>
            </w:r>
          </w:p>
        </w:tc>
        <w:tc>
          <w:tcPr>
            <w:tcW w:w="769" w:type="pct"/>
            <w:shd w:val="clear" w:color="auto" w:fill="B7312C"/>
            <w:vAlign w:val="center"/>
          </w:tcPr>
          <w:p w14:paraId="167F350E" w14:textId="77777777" w:rsidR="000948AB" w:rsidRPr="000B68C8" w:rsidRDefault="000948AB" w:rsidP="00342407">
            <w:pPr>
              <w:pStyle w:val="NoSpacing"/>
              <w:rPr>
                <w:rFonts w:cs="Times New Roman"/>
                <w:sz w:val="18"/>
                <w:szCs w:val="18"/>
              </w:rPr>
            </w:pPr>
            <w:r w:rsidRPr="000B68C8">
              <w:rPr>
                <w:rFonts w:cs="Times New Roman"/>
                <w:sz w:val="18"/>
                <w:szCs w:val="18"/>
              </w:rPr>
              <w:t>No, 19 %</w:t>
            </w:r>
          </w:p>
        </w:tc>
        <w:tc>
          <w:tcPr>
            <w:tcW w:w="693" w:type="pct"/>
            <w:shd w:val="clear" w:color="auto" w:fill="9BBB59"/>
            <w:vAlign w:val="center"/>
          </w:tcPr>
          <w:p w14:paraId="292317B7"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c>
          <w:tcPr>
            <w:tcW w:w="613" w:type="pct"/>
            <w:shd w:val="clear" w:color="auto" w:fill="B7312C"/>
            <w:vAlign w:val="center"/>
          </w:tcPr>
          <w:p w14:paraId="42519D76" w14:textId="77777777" w:rsidR="000948AB" w:rsidRPr="000B68C8" w:rsidRDefault="000948AB" w:rsidP="00342407">
            <w:pPr>
              <w:pStyle w:val="NoSpacing"/>
              <w:rPr>
                <w:rFonts w:cs="Times New Roman"/>
                <w:sz w:val="18"/>
                <w:szCs w:val="18"/>
              </w:rPr>
            </w:pPr>
            <w:r w:rsidRPr="000B68C8">
              <w:rPr>
                <w:rFonts w:cs="Times New Roman"/>
                <w:sz w:val="18"/>
                <w:szCs w:val="18"/>
              </w:rPr>
              <w:t>No, 37 %</w:t>
            </w:r>
          </w:p>
        </w:tc>
      </w:tr>
      <w:tr w:rsidR="00727BC8" w:rsidRPr="000B68C8" w14:paraId="1442F641" w14:textId="77777777" w:rsidTr="002A70D3">
        <w:trPr>
          <w:trHeight w:val="20"/>
        </w:trPr>
        <w:tc>
          <w:tcPr>
            <w:tcW w:w="1155" w:type="pct"/>
            <w:vMerge/>
            <w:shd w:val="clear" w:color="auto" w:fill="auto"/>
            <w:vAlign w:val="center"/>
          </w:tcPr>
          <w:p w14:paraId="730972EC"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4C8ABFB2" w14:textId="77777777" w:rsidR="000948AB" w:rsidRPr="000B68C8" w:rsidRDefault="000948AB" w:rsidP="00342407">
            <w:pPr>
              <w:pStyle w:val="NoSpacing"/>
              <w:rPr>
                <w:rFonts w:cs="Times New Roman"/>
                <w:sz w:val="18"/>
                <w:szCs w:val="18"/>
              </w:rPr>
            </w:pPr>
            <w:r w:rsidRPr="000B68C8">
              <w:rPr>
                <w:rFonts w:cs="Times New Roman"/>
                <w:sz w:val="18"/>
                <w:szCs w:val="18"/>
              </w:rPr>
              <w:t>Disability</w:t>
            </w:r>
          </w:p>
        </w:tc>
        <w:tc>
          <w:tcPr>
            <w:tcW w:w="769" w:type="pct"/>
            <w:shd w:val="clear" w:color="auto" w:fill="F79646"/>
            <w:vAlign w:val="center"/>
          </w:tcPr>
          <w:p w14:paraId="01E8E22A" w14:textId="77777777" w:rsidR="000948AB" w:rsidRPr="000B68C8" w:rsidRDefault="000948AB" w:rsidP="00342407">
            <w:pPr>
              <w:pStyle w:val="NoSpacing"/>
              <w:rPr>
                <w:rFonts w:cs="Times New Roman"/>
                <w:sz w:val="18"/>
                <w:szCs w:val="18"/>
              </w:rPr>
            </w:pPr>
            <w:r w:rsidRPr="000B68C8">
              <w:rPr>
                <w:rFonts w:cs="Times New Roman"/>
                <w:sz w:val="18"/>
                <w:szCs w:val="18"/>
              </w:rPr>
              <w:t>Yes, 48 %</w:t>
            </w:r>
          </w:p>
        </w:tc>
        <w:tc>
          <w:tcPr>
            <w:tcW w:w="693" w:type="pct"/>
            <w:shd w:val="clear" w:color="auto" w:fill="B7312C"/>
            <w:vAlign w:val="center"/>
          </w:tcPr>
          <w:p w14:paraId="5E391835" w14:textId="77777777" w:rsidR="000948AB" w:rsidRPr="000B68C8" w:rsidRDefault="000948AB" w:rsidP="00342407">
            <w:pPr>
              <w:pStyle w:val="NoSpacing"/>
              <w:rPr>
                <w:rFonts w:cs="Times New Roman"/>
                <w:sz w:val="18"/>
                <w:szCs w:val="18"/>
              </w:rPr>
            </w:pPr>
            <w:r w:rsidRPr="000B68C8">
              <w:rPr>
                <w:rFonts w:cs="Times New Roman"/>
                <w:sz w:val="18"/>
                <w:szCs w:val="18"/>
              </w:rPr>
              <w:t>No, 22 %</w:t>
            </w:r>
          </w:p>
        </w:tc>
        <w:tc>
          <w:tcPr>
            <w:tcW w:w="613" w:type="pct"/>
            <w:shd w:val="clear" w:color="auto" w:fill="B7312C"/>
            <w:vAlign w:val="center"/>
          </w:tcPr>
          <w:p w14:paraId="4F6296E0" w14:textId="77777777" w:rsidR="000948AB" w:rsidRPr="000B68C8" w:rsidRDefault="000948AB" w:rsidP="00342407">
            <w:pPr>
              <w:pStyle w:val="NoSpacing"/>
              <w:rPr>
                <w:rFonts w:cs="Times New Roman"/>
                <w:sz w:val="18"/>
                <w:szCs w:val="18"/>
              </w:rPr>
            </w:pPr>
            <w:r w:rsidRPr="000B68C8">
              <w:rPr>
                <w:rFonts w:cs="Times New Roman"/>
                <w:sz w:val="18"/>
                <w:szCs w:val="18"/>
              </w:rPr>
              <w:t>No, 26%</w:t>
            </w:r>
          </w:p>
        </w:tc>
      </w:tr>
      <w:tr w:rsidR="005E7118" w:rsidRPr="000B68C8" w14:paraId="2986197F" w14:textId="77777777" w:rsidTr="002A70D3">
        <w:trPr>
          <w:trHeight w:val="20"/>
        </w:trPr>
        <w:tc>
          <w:tcPr>
            <w:tcW w:w="1155" w:type="pct"/>
            <w:vMerge/>
            <w:tcBorders>
              <w:bottom w:val="single" w:sz="4" w:space="0" w:color="auto"/>
            </w:tcBorders>
            <w:shd w:val="clear" w:color="auto" w:fill="auto"/>
            <w:vAlign w:val="center"/>
          </w:tcPr>
          <w:p w14:paraId="67EDDE26" w14:textId="77777777" w:rsidR="000948AB" w:rsidRPr="000B68C8" w:rsidRDefault="000948AB" w:rsidP="00342407">
            <w:pPr>
              <w:pStyle w:val="NoSpacing"/>
              <w:rPr>
                <w:rFonts w:cs="Times New Roman"/>
                <w:sz w:val="18"/>
                <w:szCs w:val="18"/>
              </w:rPr>
            </w:pPr>
          </w:p>
        </w:tc>
        <w:tc>
          <w:tcPr>
            <w:tcW w:w="1770" w:type="pct"/>
            <w:tcBorders>
              <w:bottom w:val="single" w:sz="4" w:space="0" w:color="auto"/>
            </w:tcBorders>
            <w:shd w:val="clear" w:color="auto" w:fill="auto"/>
            <w:vAlign w:val="center"/>
          </w:tcPr>
          <w:p w14:paraId="2B703D09" w14:textId="0B23232F" w:rsidR="000948AB" w:rsidRPr="000B68C8" w:rsidRDefault="000948AB" w:rsidP="00342407">
            <w:pPr>
              <w:pStyle w:val="NoSpacing"/>
              <w:rPr>
                <w:rFonts w:cs="Times New Roman"/>
                <w:sz w:val="18"/>
                <w:szCs w:val="18"/>
              </w:rPr>
            </w:pPr>
            <w:r w:rsidRPr="000B68C8">
              <w:rPr>
                <w:rFonts w:cs="Times New Roman"/>
                <w:sz w:val="18"/>
                <w:szCs w:val="18"/>
              </w:rPr>
              <w:t>Role (</w:t>
            </w:r>
            <w:r w:rsidR="00386ADC" w:rsidRPr="000B68C8">
              <w:rPr>
                <w:rFonts w:cs="Times New Roman"/>
                <w:sz w:val="18"/>
                <w:szCs w:val="18"/>
              </w:rPr>
              <w:t>e.g.,</w:t>
            </w:r>
            <w:r w:rsidRPr="000B68C8">
              <w:rPr>
                <w:rFonts w:cs="Times New Roman"/>
                <w:sz w:val="18"/>
                <w:szCs w:val="18"/>
              </w:rPr>
              <w:t xml:space="preserve"> occupant or firefighter)</w:t>
            </w:r>
          </w:p>
        </w:tc>
        <w:tc>
          <w:tcPr>
            <w:tcW w:w="769" w:type="pct"/>
            <w:tcBorders>
              <w:bottom w:val="single" w:sz="4" w:space="0" w:color="auto"/>
            </w:tcBorders>
            <w:shd w:val="clear" w:color="auto" w:fill="F79646"/>
            <w:vAlign w:val="center"/>
          </w:tcPr>
          <w:p w14:paraId="0BE244F6" w14:textId="77777777" w:rsidR="000948AB" w:rsidRPr="000B68C8" w:rsidRDefault="000948AB" w:rsidP="00342407">
            <w:pPr>
              <w:pStyle w:val="NoSpacing"/>
              <w:rPr>
                <w:rFonts w:cs="Times New Roman"/>
                <w:sz w:val="18"/>
                <w:szCs w:val="18"/>
              </w:rPr>
            </w:pPr>
            <w:r w:rsidRPr="000B68C8">
              <w:rPr>
                <w:rFonts w:cs="Times New Roman"/>
                <w:sz w:val="18"/>
                <w:szCs w:val="18"/>
              </w:rPr>
              <w:t>Yes, 48 %</w:t>
            </w:r>
          </w:p>
        </w:tc>
        <w:tc>
          <w:tcPr>
            <w:tcW w:w="693" w:type="pct"/>
            <w:tcBorders>
              <w:bottom w:val="single" w:sz="4" w:space="0" w:color="auto"/>
            </w:tcBorders>
            <w:shd w:val="clear" w:color="auto" w:fill="B7312C"/>
            <w:vAlign w:val="center"/>
          </w:tcPr>
          <w:p w14:paraId="027C37CF"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tcBorders>
              <w:bottom w:val="single" w:sz="4" w:space="0" w:color="auto"/>
            </w:tcBorders>
            <w:shd w:val="clear" w:color="auto" w:fill="B7312C"/>
            <w:vAlign w:val="center"/>
          </w:tcPr>
          <w:p w14:paraId="7275BAA4" w14:textId="77777777" w:rsidR="000948AB" w:rsidRPr="000B68C8" w:rsidRDefault="000948AB" w:rsidP="00342407">
            <w:pPr>
              <w:pStyle w:val="NoSpacing"/>
              <w:rPr>
                <w:rFonts w:cs="Times New Roman"/>
                <w:sz w:val="18"/>
                <w:szCs w:val="18"/>
              </w:rPr>
            </w:pPr>
            <w:r w:rsidRPr="000B68C8">
              <w:rPr>
                <w:rFonts w:cs="Times New Roman"/>
                <w:sz w:val="18"/>
                <w:szCs w:val="18"/>
              </w:rPr>
              <w:t>No, 37 %</w:t>
            </w:r>
          </w:p>
        </w:tc>
      </w:tr>
      <w:tr w:rsidR="00727BC8" w:rsidRPr="000B68C8" w14:paraId="2124C59E" w14:textId="77777777" w:rsidTr="002A70D3">
        <w:trPr>
          <w:trHeight w:val="20"/>
        </w:trPr>
        <w:tc>
          <w:tcPr>
            <w:tcW w:w="1155" w:type="pct"/>
            <w:vMerge w:val="restart"/>
            <w:tcBorders>
              <w:top w:val="single" w:sz="4" w:space="0" w:color="auto"/>
            </w:tcBorders>
            <w:shd w:val="clear" w:color="auto" w:fill="auto"/>
            <w:vAlign w:val="center"/>
          </w:tcPr>
          <w:p w14:paraId="188CE78B" w14:textId="77777777" w:rsidR="000948AB" w:rsidRPr="000B68C8" w:rsidRDefault="000948AB" w:rsidP="00342407">
            <w:pPr>
              <w:pStyle w:val="NoSpacing"/>
              <w:rPr>
                <w:rFonts w:cs="Times New Roman"/>
                <w:sz w:val="18"/>
                <w:szCs w:val="18"/>
              </w:rPr>
            </w:pPr>
            <w:r w:rsidRPr="000B68C8">
              <w:rPr>
                <w:rFonts w:cs="Times New Roman"/>
                <w:sz w:val="18"/>
                <w:szCs w:val="18"/>
              </w:rPr>
              <w:t>Building characteristics</w:t>
            </w:r>
          </w:p>
        </w:tc>
        <w:tc>
          <w:tcPr>
            <w:tcW w:w="1770" w:type="pct"/>
            <w:tcBorders>
              <w:top w:val="single" w:sz="4" w:space="0" w:color="auto"/>
            </w:tcBorders>
            <w:shd w:val="clear" w:color="auto" w:fill="auto"/>
            <w:vAlign w:val="center"/>
          </w:tcPr>
          <w:p w14:paraId="709B8121" w14:textId="5E097C71" w:rsidR="000948AB" w:rsidRPr="000B68C8" w:rsidRDefault="000948AB" w:rsidP="00342407">
            <w:pPr>
              <w:pStyle w:val="NoSpacing"/>
              <w:rPr>
                <w:rFonts w:cs="Times New Roman"/>
                <w:sz w:val="18"/>
                <w:szCs w:val="18"/>
              </w:rPr>
            </w:pPr>
            <w:r w:rsidRPr="000B68C8">
              <w:rPr>
                <w:rFonts w:cs="Times New Roman"/>
                <w:sz w:val="18"/>
                <w:szCs w:val="18"/>
              </w:rPr>
              <w:t>Type of building (</w:t>
            </w:r>
            <w:r w:rsidR="00386ADC" w:rsidRPr="000B68C8">
              <w:rPr>
                <w:rFonts w:cs="Times New Roman"/>
                <w:sz w:val="18"/>
                <w:szCs w:val="18"/>
              </w:rPr>
              <w:t>e.g.,</w:t>
            </w:r>
            <w:r w:rsidRPr="000B68C8">
              <w:rPr>
                <w:rFonts w:cs="Times New Roman"/>
                <w:sz w:val="18"/>
                <w:szCs w:val="18"/>
              </w:rPr>
              <w:t xml:space="preserve"> residential)</w:t>
            </w:r>
          </w:p>
        </w:tc>
        <w:tc>
          <w:tcPr>
            <w:tcW w:w="769" w:type="pct"/>
            <w:tcBorders>
              <w:top w:val="single" w:sz="4" w:space="0" w:color="auto"/>
            </w:tcBorders>
            <w:shd w:val="clear" w:color="auto" w:fill="9BBB59"/>
            <w:vAlign w:val="center"/>
          </w:tcPr>
          <w:p w14:paraId="18B5D3B0" w14:textId="77777777" w:rsidR="000948AB" w:rsidRPr="000B68C8" w:rsidRDefault="000948AB" w:rsidP="00342407">
            <w:pPr>
              <w:pStyle w:val="NoSpacing"/>
              <w:rPr>
                <w:rFonts w:cs="Times New Roman"/>
                <w:sz w:val="18"/>
                <w:szCs w:val="18"/>
              </w:rPr>
            </w:pPr>
            <w:r w:rsidRPr="000B68C8">
              <w:rPr>
                <w:rFonts w:cs="Times New Roman"/>
                <w:sz w:val="18"/>
                <w:szCs w:val="18"/>
              </w:rPr>
              <w:t>Yes, 93 %</w:t>
            </w:r>
          </w:p>
        </w:tc>
        <w:tc>
          <w:tcPr>
            <w:tcW w:w="693" w:type="pct"/>
            <w:tcBorders>
              <w:top w:val="single" w:sz="4" w:space="0" w:color="auto"/>
            </w:tcBorders>
            <w:shd w:val="clear" w:color="auto" w:fill="B7312C"/>
            <w:vAlign w:val="center"/>
          </w:tcPr>
          <w:p w14:paraId="1286D4CB"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tcBorders>
              <w:top w:val="single" w:sz="4" w:space="0" w:color="auto"/>
            </w:tcBorders>
            <w:shd w:val="clear" w:color="auto" w:fill="9BBB59"/>
            <w:vAlign w:val="center"/>
          </w:tcPr>
          <w:p w14:paraId="599E18A8" w14:textId="77777777" w:rsidR="000948AB" w:rsidRPr="000B68C8" w:rsidRDefault="000948AB" w:rsidP="00342407">
            <w:pPr>
              <w:pStyle w:val="NoSpacing"/>
              <w:rPr>
                <w:rFonts w:cs="Times New Roman"/>
                <w:sz w:val="18"/>
                <w:szCs w:val="18"/>
              </w:rPr>
            </w:pPr>
            <w:r w:rsidRPr="000B68C8">
              <w:rPr>
                <w:rFonts w:cs="Times New Roman"/>
                <w:sz w:val="18"/>
                <w:szCs w:val="18"/>
              </w:rPr>
              <w:t>Yes, 67 %</w:t>
            </w:r>
          </w:p>
        </w:tc>
      </w:tr>
      <w:tr w:rsidR="00727BC8" w:rsidRPr="000B68C8" w14:paraId="66A569EC" w14:textId="77777777" w:rsidTr="002A70D3">
        <w:trPr>
          <w:trHeight w:val="20"/>
        </w:trPr>
        <w:tc>
          <w:tcPr>
            <w:tcW w:w="1155" w:type="pct"/>
            <w:vMerge/>
            <w:shd w:val="clear" w:color="auto" w:fill="auto"/>
            <w:vAlign w:val="center"/>
          </w:tcPr>
          <w:p w14:paraId="1ABDF70C"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04BB4721" w14:textId="3D8BFF86" w:rsidR="000948AB" w:rsidRPr="000B68C8" w:rsidRDefault="000948AB" w:rsidP="00342407">
            <w:pPr>
              <w:pStyle w:val="NoSpacing"/>
              <w:rPr>
                <w:rFonts w:cs="Times New Roman"/>
                <w:sz w:val="18"/>
                <w:szCs w:val="18"/>
              </w:rPr>
            </w:pPr>
            <w:r w:rsidRPr="000B68C8">
              <w:rPr>
                <w:rFonts w:cs="Times New Roman"/>
                <w:sz w:val="18"/>
                <w:szCs w:val="18"/>
              </w:rPr>
              <w:t>Fire safety measures present (alarms</w:t>
            </w:r>
            <w:r w:rsidR="00386ADC" w:rsidRPr="000B68C8">
              <w:rPr>
                <w:rFonts w:cs="Times New Roman"/>
                <w:sz w:val="18"/>
                <w:szCs w:val="18"/>
              </w:rPr>
              <w:t xml:space="preserve"> </w:t>
            </w:r>
            <w:r w:rsidRPr="000B68C8">
              <w:rPr>
                <w:rFonts w:cs="Times New Roman"/>
                <w:sz w:val="18"/>
                <w:szCs w:val="18"/>
              </w:rPr>
              <w:t>&amp; Automatic extinguishing systems)</w:t>
            </w:r>
          </w:p>
        </w:tc>
        <w:tc>
          <w:tcPr>
            <w:tcW w:w="769" w:type="pct"/>
            <w:shd w:val="clear" w:color="auto" w:fill="9BBB59"/>
            <w:vAlign w:val="center"/>
          </w:tcPr>
          <w:p w14:paraId="1FA46035" w14:textId="77777777" w:rsidR="000948AB" w:rsidRPr="000B68C8" w:rsidRDefault="000948AB" w:rsidP="00342407">
            <w:pPr>
              <w:pStyle w:val="NoSpacing"/>
              <w:rPr>
                <w:rFonts w:cs="Times New Roman"/>
                <w:sz w:val="18"/>
                <w:szCs w:val="18"/>
              </w:rPr>
            </w:pPr>
            <w:r w:rsidRPr="000B68C8">
              <w:rPr>
                <w:rFonts w:cs="Times New Roman"/>
                <w:sz w:val="18"/>
                <w:szCs w:val="18"/>
              </w:rPr>
              <w:t>Yes, 81 %</w:t>
            </w:r>
          </w:p>
        </w:tc>
        <w:tc>
          <w:tcPr>
            <w:tcW w:w="693" w:type="pct"/>
            <w:shd w:val="clear" w:color="auto" w:fill="B7312C"/>
            <w:vAlign w:val="center"/>
          </w:tcPr>
          <w:p w14:paraId="000B92F8"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shd w:val="clear" w:color="auto" w:fill="F79646"/>
            <w:vAlign w:val="center"/>
          </w:tcPr>
          <w:p w14:paraId="5711F308" w14:textId="77777777" w:rsidR="000948AB" w:rsidRPr="000B68C8" w:rsidRDefault="000948AB" w:rsidP="00342407">
            <w:pPr>
              <w:pStyle w:val="NoSpacing"/>
              <w:rPr>
                <w:rFonts w:cs="Times New Roman"/>
                <w:sz w:val="18"/>
                <w:szCs w:val="18"/>
              </w:rPr>
            </w:pPr>
            <w:r w:rsidRPr="000B68C8">
              <w:rPr>
                <w:rFonts w:cs="Times New Roman"/>
                <w:sz w:val="18"/>
                <w:szCs w:val="18"/>
              </w:rPr>
              <w:t>Yes, 41 % and 29 %**</w:t>
            </w:r>
          </w:p>
        </w:tc>
      </w:tr>
      <w:tr w:rsidR="00727BC8" w:rsidRPr="000B68C8" w14:paraId="083C74CC" w14:textId="77777777" w:rsidTr="002A70D3">
        <w:trPr>
          <w:trHeight w:val="20"/>
        </w:trPr>
        <w:tc>
          <w:tcPr>
            <w:tcW w:w="1155" w:type="pct"/>
            <w:vMerge/>
            <w:shd w:val="clear" w:color="auto" w:fill="auto"/>
            <w:vAlign w:val="center"/>
          </w:tcPr>
          <w:p w14:paraId="72DD7F6A"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366DE8F0" w14:textId="77777777" w:rsidR="000948AB" w:rsidRPr="000B68C8" w:rsidRDefault="000948AB" w:rsidP="00342407">
            <w:pPr>
              <w:pStyle w:val="NoSpacing"/>
              <w:rPr>
                <w:rFonts w:cs="Times New Roman"/>
                <w:sz w:val="18"/>
                <w:szCs w:val="18"/>
              </w:rPr>
            </w:pPr>
            <w:r w:rsidRPr="000B68C8">
              <w:rPr>
                <w:rFonts w:cs="Times New Roman"/>
                <w:sz w:val="18"/>
                <w:szCs w:val="18"/>
              </w:rPr>
              <w:t>Number of floors</w:t>
            </w:r>
          </w:p>
        </w:tc>
        <w:tc>
          <w:tcPr>
            <w:tcW w:w="769" w:type="pct"/>
            <w:shd w:val="clear" w:color="auto" w:fill="9BBB59"/>
            <w:vAlign w:val="center"/>
          </w:tcPr>
          <w:p w14:paraId="318E1A87" w14:textId="77777777" w:rsidR="000948AB" w:rsidRPr="000B68C8" w:rsidRDefault="000948AB" w:rsidP="00342407">
            <w:pPr>
              <w:pStyle w:val="NoSpacing"/>
              <w:rPr>
                <w:rFonts w:cs="Times New Roman"/>
                <w:sz w:val="18"/>
                <w:szCs w:val="18"/>
              </w:rPr>
            </w:pPr>
            <w:r w:rsidRPr="000B68C8">
              <w:rPr>
                <w:rFonts w:cs="Times New Roman"/>
                <w:sz w:val="18"/>
                <w:szCs w:val="18"/>
              </w:rPr>
              <w:t>Yes, 67 %</w:t>
            </w:r>
          </w:p>
        </w:tc>
        <w:tc>
          <w:tcPr>
            <w:tcW w:w="693" w:type="pct"/>
            <w:shd w:val="clear" w:color="auto" w:fill="F79646"/>
            <w:vAlign w:val="center"/>
          </w:tcPr>
          <w:p w14:paraId="339C70A1" w14:textId="77777777" w:rsidR="000948AB" w:rsidRPr="000B68C8" w:rsidRDefault="000948AB" w:rsidP="00342407">
            <w:pPr>
              <w:pStyle w:val="NoSpacing"/>
              <w:rPr>
                <w:rFonts w:cs="Times New Roman"/>
                <w:sz w:val="18"/>
                <w:szCs w:val="18"/>
              </w:rPr>
            </w:pPr>
            <w:r w:rsidRPr="000B68C8">
              <w:rPr>
                <w:rFonts w:cs="Times New Roman"/>
                <w:sz w:val="18"/>
                <w:szCs w:val="18"/>
              </w:rPr>
              <w:t>Yes, 44 %</w:t>
            </w:r>
          </w:p>
        </w:tc>
        <w:tc>
          <w:tcPr>
            <w:tcW w:w="613" w:type="pct"/>
            <w:shd w:val="clear" w:color="auto" w:fill="B7312C"/>
            <w:vAlign w:val="center"/>
          </w:tcPr>
          <w:p w14:paraId="1399A430" w14:textId="77777777" w:rsidR="000948AB" w:rsidRPr="000B68C8" w:rsidRDefault="000948AB" w:rsidP="00342407">
            <w:pPr>
              <w:pStyle w:val="NoSpacing"/>
              <w:rPr>
                <w:rFonts w:cs="Times New Roman"/>
                <w:sz w:val="18"/>
                <w:szCs w:val="18"/>
              </w:rPr>
            </w:pPr>
            <w:r w:rsidRPr="000B68C8">
              <w:rPr>
                <w:rFonts w:cs="Times New Roman"/>
                <w:sz w:val="18"/>
                <w:szCs w:val="18"/>
              </w:rPr>
              <w:t>No, 30 %</w:t>
            </w:r>
          </w:p>
        </w:tc>
      </w:tr>
      <w:tr w:rsidR="00727BC8" w:rsidRPr="000B68C8" w14:paraId="7415AE99" w14:textId="77777777" w:rsidTr="002A70D3">
        <w:trPr>
          <w:trHeight w:val="20"/>
        </w:trPr>
        <w:tc>
          <w:tcPr>
            <w:tcW w:w="1155" w:type="pct"/>
            <w:vMerge/>
            <w:shd w:val="clear" w:color="auto" w:fill="auto"/>
            <w:vAlign w:val="center"/>
          </w:tcPr>
          <w:p w14:paraId="125961CC"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0A097E9E" w14:textId="3ED68202" w:rsidR="000948AB" w:rsidRPr="000B68C8" w:rsidRDefault="000948AB" w:rsidP="00342407">
            <w:pPr>
              <w:pStyle w:val="NoSpacing"/>
              <w:rPr>
                <w:rFonts w:cs="Times New Roman"/>
                <w:sz w:val="18"/>
                <w:szCs w:val="18"/>
              </w:rPr>
            </w:pPr>
            <w:r w:rsidRPr="000B68C8">
              <w:rPr>
                <w:rFonts w:cs="Times New Roman"/>
                <w:sz w:val="18"/>
                <w:szCs w:val="18"/>
              </w:rPr>
              <w:t>Construction type (</w:t>
            </w:r>
            <w:r w:rsidR="00386ADC" w:rsidRPr="000B68C8">
              <w:rPr>
                <w:rFonts w:cs="Times New Roman"/>
                <w:sz w:val="18"/>
                <w:szCs w:val="18"/>
              </w:rPr>
              <w:t>e.g.,</w:t>
            </w:r>
            <w:r w:rsidRPr="000B68C8">
              <w:rPr>
                <w:rFonts w:cs="Times New Roman"/>
                <w:sz w:val="18"/>
                <w:szCs w:val="18"/>
              </w:rPr>
              <w:t xml:space="preserve"> reinforced concrete, steel)</w:t>
            </w:r>
          </w:p>
        </w:tc>
        <w:tc>
          <w:tcPr>
            <w:tcW w:w="769" w:type="pct"/>
            <w:shd w:val="clear" w:color="auto" w:fill="9BBB59"/>
            <w:vAlign w:val="center"/>
          </w:tcPr>
          <w:p w14:paraId="294B2D05" w14:textId="77777777" w:rsidR="000948AB" w:rsidRPr="000B68C8" w:rsidRDefault="000948AB" w:rsidP="00342407">
            <w:pPr>
              <w:pStyle w:val="NoSpacing"/>
              <w:rPr>
                <w:rFonts w:cs="Times New Roman"/>
                <w:sz w:val="18"/>
                <w:szCs w:val="18"/>
              </w:rPr>
            </w:pPr>
            <w:r w:rsidRPr="000B68C8">
              <w:rPr>
                <w:rFonts w:cs="Times New Roman"/>
                <w:sz w:val="18"/>
                <w:szCs w:val="18"/>
              </w:rPr>
              <w:t>Yes, 70 %</w:t>
            </w:r>
          </w:p>
        </w:tc>
        <w:tc>
          <w:tcPr>
            <w:tcW w:w="693" w:type="pct"/>
            <w:shd w:val="clear" w:color="auto" w:fill="B7312C"/>
            <w:vAlign w:val="center"/>
          </w:tcPr>
          <w:p w14:paraId="440AE671"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shd w:val="clear" w:color="auto" w:fill="B7312C"/>
            <w:vAlign w:val="center"/>
          </w:tcPr>
          <w:p w14:paraId="71375DC8" w14:textId="77777777" w:rsidR="000948AB" w:rsidRPr="000B68C8" w:rsidRDefault="000948AB" w:rsidP="00342407">
            <w:pPr>
              <w:pStyle w:val="NoSpacing"/>
              <w:rPr>
                <w:rFonts w:cs="Times New Roman"/>
                <w:sz w:val="18"/>
                <w:szCs w:val="18"/>
              </w:rPr>
            </w:pPr>
            <w:r w:rsidRPr="000B68C8">
              <w:rPr>
                <w:rFonts w:cs="Times New Roman"/>
                <w:sz w:val="18"/>
                <w:szCs w:val="18"/>
              </w:rPr>
              <w:t>No, 15 %</w:t>
            </w:r>
          </w:p>
        </w:tc>
      </w:tr>
      <w:tr w:rsidR="005E7118" w:rsidRPr="000B68C8" w14:paraId="41A67C6B" w14:textId="77777777" w:rsidTr="002A70D3">
        <w:trPr>
          <w:trHeight w:val="20"/>
        </w:trPr>
        <w:tc>
          <w:tcPr>
            <w:tcW w:w="1155" w:type="pct"/>
            <w:vMerge/>
            <w:tcBorders>
              <w:bottom w:val="single" w:sz="4" w:space="0" w:color="auto"/>
            </w:tcBorders>
            <w:shd w:val="clear" w:color="auto" w:fill="auto"/>
            <w:vAlign w:val="center"/>
          </w:tcPr>
          <w:p w14:paraId="7ED827FA" w14:textId="77777777" w:rsidR="000948AB" w:rsidRPr="000B68C8" w:rsidRDefault="000948AB" w:rsidP="00342407">
            <w:pPr>
              <w:pStyle w:val="NoSpacing"/>
              <w:rPr>
                <w:rFonts w:cs="Times New Roman"/>
                <w:sz w:val="18"/>
                <w:szCs w:val="18"/>
              </w:rPr>
            </w:pPr>
          </w:p>
        </w:tc>
        <w:tc>
          <w:tcPr>
            <w:tcW w:w="1770" w:type="pct"/>
            <w:tcBorders>
              <w:bottom w:val="single" w:sz="4" w:space="0" w:color="auto"/>
            </w:tcBorders>
            <w:shd w:val="clear" w:color="auto" w:fill="auto"/>
            <w:vAlign w:val="center"/>
          </w:tcPr>
          <w:p w14:paraId="4582A086" w14:textId="464667C2" w:rsidR="000948AB" w:rsidRPr="000B68C8" w:rsidRDefault="000948AB" w:rsidP="00342407">
            <w:pPr>
              <w:pStyle w:val="NoSpacing"/>
              <w:rPr>
                <w:rFonts w:cs="Times New Roman"/>
                <w:sz w:val="18"/>
                <w:szCs w:val="18"/>
              </w:rPr>
            </w:pPr>
            <w:r w:rsidRPr="000B68C8">
              <w:rPr>
                <w:rFonts w:cs="Times New Roman"/>
                <w:sz w:val="18"/>
                <w:szCs w:val="18"/>
              </w:rPr>
              <w:t>Construction characteristics (</w:t>
            </w:r>
            <w:r w:rsidR="00386ADC" w:rsidRPr="000B68C8">
              <w:rPr>
                <w:rFonts w:cs="Times New Roman"/>
                <w:sz w:val="18"/>
                <w:szCs w:val="18"/>
              </w:rPr>
              <w:t>e.g.,</w:t>
            </w:r>
            <w:r w:rsidRPr="000B68C8">
              <w:rPr>
                <w:rFonts w:cs="Times New Roman"/>
                <w:sz w:val="18"/>
                <w:szCs w:val="18"/>
              </w:rPr>
              <w:t xml:space="preserve"> façade, claddings)</w:t>
            </w:r>
          </w:p>
        </w:tc>
        <w:tc>
          <w:tcPr>
            <w:tcW w:w="769" w:type="pct"/>
            <w:tcBorders>
              <w:bottom w:val="single" w:sz="4" w:space="0" w:color="auto"/>
            </w:tcBorders>
            <w:shd w:val="clear" w:color="auto" w:fill="F79646"/>
            <w:vAlign w:val="center"/>
          </w:tcPr>
          <w:p w14:paraId="3F551483" w14:textId="77777777" w:rsidR="000948AB" w:rsidRPr="000B68C8" w:rsidRDefault="000948AB" w:rsidP="00342407">
            <w:pPr>
              <w:pStyle w:val="NoSpacing"/>
              <w:rPr>
                <w:rFonts w:cs="Times New Roman"/>
                <w:sz w:val="18"/>
                <w:szCs w:val="18"/>
              </w:rPr>
            </w:pPr>
            <w:r w:rsidRPr="000B68C8">
              <w:rPr>
                <w:rFonts w:cs="Times New Roman"/>
                <w:sz w:val="18"/>
                <w:szCs w:val="18"/>
              </w:rPr>
              <w:t>Yes, 41 %</w:t>
            </w:r>
          </w:p>
        </w:tc>
        <w:tc>
          <w:tcPr>
            <w:tcW w:w="693" w:type="pct"/>
            <w:tcBorders>
              <w:bottom w:val="single" w:sz="4" w:space="0" w:color="auto"/>
            </w:tcBorders>
            <w:shd w:val="clear" w:color="auto" w:fill="B7312C"/>
            <w:vAlign w:val="center"/>
          </w:tcPr>
          <w:p w14:paraId="3E00CBA5"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tcBorders>
              <w:bottom w:val="single" w:sz="4" w:space="0" w:color="auto"/>
            </w:tcBorders>
            <w:shd w:val="clear" w:color="auto" w:fill="B7312C"/>
            <w:vAlign w:val="center"/>
          </w:tcPr>
          <w:p w14:paraId="3F913B8E" w14:textId="77777777" w:rsidR="000948AB" w:rsidRPr="000B68C8" w:rsidRDefault="000948AB" w:rsidP="00342407">
            <w:pPr>
              <w:pStyle w:val="NoSpacing"/>
              <w:rPr>
                <w:rFonts w:cs="Times New Roman"/>
                <w:sz w:val="18"/>
                <w:szCs w:val="18"/>
              </w:rPr>
            </w:pPr>
            <w:r w:rsidRPr="000B68C8">
              <w:rPr>
                <w:rFonts w:cs="Times New Roman"/>
                <w:sz w:val="18"/>
                <w:szCs w:val="18"/>
              </w:rPr>
              <w:t>No</w:t>
            </w:r>
          </w:p>
        </w:tc>
      </w:tr>
      <w:tr w:rsidR="00727BC8" w:rsidRPr="000B68C8" w14:paraId="706C49A6" w14:textId="77777777" w:rsidTr="002A70D3">
        <w:trPr>
          <w:trHeight w:val="20"/>
        </w:trPr>
        <w:tc>
          <w:tcPr>
            <w:tcW w:w="1155" w:type="pct"/>
            <w:vMerge w:val="restart"/>
            <w:tcBorders>
              <w:top w:val="single" w:sz="4" w:space="0" w:color="auto"/>
            </w:tcBorders>
            <w:shd w:val="clear" w:color="auto" w:fill="auto"/>
            <w:vAlign w:val="center"/>
          </w:tcPr>
          <w:p w14:paraId="2AFFF9CD" w14:textId="77777777" w:rsidR="000948AB" w:rsidRPr="000B68C8" w:rsidRDefault="000948AB" w:rsidP="00342407">
            <w:pPr>
              <w:pStyle w:val="NoSpacing"/>
              <w:rPr>
                <w:rFonts w:cs="Times New Roman"/>
                <w:sz w:val="18"/>
                <w:szCs w:val="18"/>
              </w:rPr>
            </w:pPr>
            <w:r w:rsidRPr="000B68C8">
              <w:rPr>
                <w:rFonts w:cs="Times New Roman"/>
                <w:sz w:val="18"/>
                <w:szCs w:val="18"/>
              </w:rPr>
              <w:t>Fire characteristics</w:t>
            </w:r>
          </w:p>
        </w:tc>
        <w:tc>
          <w:tcPr>
            <w:tcW w:w="1770" w:type="pct"/>
            <w:tcBorders>
              <w:top w:val="single" w:sz="4" w:space="0" w:color="auto"/>
            </w:tcBorders>
            <w:shd w:val="clear" w:color="auto" w:fill="auto"/>
            <w:vAlign w:val="center"/>
          </w:tcPr>
          <w:p w14:paraId="391EFAA6" w14:textId="424198AA" w:rsidR="000948AB" w:rsidRPr="000B68C8" w:rsidRDefault="004014A7" w:rsidP="00342407">
            <w:pPr>
              <w:pStyle w:val="NoSpacing"/>
              <w:rPr>
                <w:rFonts w:cs="Times New Roman"/>
                <w:sz w:val="18"/>
                <w:szCs w:val="18"/>
              </w:rPr>
            </w:pPr>
            <w:r w:rsidRPr="000B68C8">
              <w:rPr>
                <w:rFonts w:cs="Times New Roman"/>
                <w:sz w:val="18"/>
                <w:szCs w:val="18"/>
              </w:rPr>
              <w:t>Primary causal factor of f</w:t>
            </w:r>
            <w:r w:rsidR="000948AB" w:rsidRPr="000B68C8">
              <w:rPr>
                <w:rFonts w:cs="Times New Roman"/>
                <w:sz w:val="18"/>
                <w:szCs w:val="18"/>
              </w:rPr>
              <w:t>ire</w:t>
            </w:r>
          </w:p>
        </w:tc>
        <w:tc>
          <w:tcPr>
            <w:tcW w:w="769" w:type="pct"/>
            <w:tcBorders>
              <w:top w:val="single" w:sz="4" w:space="0" w:color="auto"/>
            </w:tcBorders>
            <w:shd w:val="clear" w:color="auto" w:fill="9BBB59"/>
            <w:vAlign w:val="center"/>
          </w:tcPr>
          <w:p w14:paraId="74828F96" w14:textId="77777777" w:rsidR="000948AB" w:rsidRPr="000B68C8" w:rsidRDefault="000948AB" w:rsidP="00342407">
            <w:pPr>
              <w:pStyle w:val="NoSpacing"/>
              <w:rPr>
                <w:rFonts w:cs="Times New Roman"/>
                <w:sz w:val="18"/>
                <w:szCs w:val="18"/>
              </w:rPr>
            </w:pPr>
            <w:r w:rsidRPr="000B68C8">
              <w:rPr>
                <w:rFonts w:cs="Times New Roman"/>
                <w:sz w:val="18"/>
                <w:szCs w:val="18"/>
              </w:rPr>
              <w:t>Yes, 96 %</w:t>
            </w:r>
          </w:p>
        </w:tc>
        <w:tc>
          <w:tcPr>
            <w:tcW w:w="693" w:type="pct"/>
            <w:tcBorders>
              <w:top w:val="single" w:sz="4" w:space="0" w:color="auto"/>
            </w:tcBorders>
            <w:shd w:val="clear" w:color="auto" w:fill="9BBB59"/>
            <w:vAlign w:val="center"/>
          </w:tcPr>
          <w:p w14:paraId="4FCB732A" w14:textId="77777777" w:rsidR="000948AB" w:rsidRPr="000B68C8" w:rsidRDefault="000948AB" w:rsidP="00342407">
            <w:pPr>
              <w:pStyle w:val="NoSpacing"/>
              <w:rPr>
                <w:rFonts w:cs="Times New Roman"/>
                <w:sz w:val="18"/>
                <w:szCs w:val="18"/>
              </w:rPr>
            </w:pPr>
            <w:r w:rsidRPr="000B68C8">
              <w:rPr>
                <w:rFonts w:cs="Times New Roman"/>
                <w:sz w:val="18"/>
                <w:szCs w:val="18"/>
              </w:rPr>
              <w:t>Yes, 78 %</w:t>
            </w:r>
          </w:p>
        </w:tc>
        <w:tc>
          <w:tcPr>
            <w:tcW w:w="613" w:type="pct"/>
            <w:tcBorders>
              <w:top w:val="single" w:sz="4" w:space="0" w:color="auto"/>
            </w:tcBorders>
            <w:shd w:val="clear" w:color="auto" w:fill="9BBB59"/>
            <w:vAlign w:val="center"/>
          </w:tcPr>
          <w:p w14:paraId="4B0DEDE5"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r>
      <w:tr w:rsidR="00727BC8" w:rsidRPr="000B68C8" w14:paraId="6B894FFA" w14:textId="77777777" w:rsidTr="002A70D3">
        <w:trPr>
          <w:trHeight w:val="20"/>
        </w:trPr>
        <w:tc>
          <w:tcPr>
            <w:tcW w:w="1155" w:type="pct"/>
            <w:vMerge/>
            <w:shd w:val="clear" w:color="auto" w:fill="auto"/>
            <w:vAlign w:val="center"/>
          </w:tcPr>
          <w:p w14:paraId="05524EE2"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41A8E508" w14:textId="3F6F118A" w:rsidR="000948AB" w:rsidRPr="000B68C8" w:rsidRDefault="00315E52" w:rsidP="00342407">
            <w:pPr>
              <w:pStyle w:val="NoSpacing"/>
              <w:rPr>
                <w:rFonts w:cs="Times New Roman"/>
                <w:sz w:val="18"/>
                <w:szCs w:val="18"/>
              </w:rPr>
            </w:pPr>
            <w:r w:rsidRPr="000B68C8">
              <w:rPr>
                <w:rFonts w:cs="Times New Roman"/>
                <w:sz w:val="18"/>
                <w:szCs w:val="18"/>
              </w:rPr>
              <w:t>Area</w:t>
            </w:r>
            <w:r w:rsidR="000948AB" w:rsidRPr="000B68C8">
              <w:rPr>
                <w:rFonts w:cs="Times New Roman"/>
                <w:sz w:val="18"/>
                <w:szCs w:val="18"/>
              </w:rPr>
              <w:t xml:space="preserve"> of origin</w:t>
            </w:r>
          </w:p>
        </w:tc>
        <w:tc>
          <w:tcPr>
            <w:tcW w:w="769" w:type="pct"/>
            <w:shd w:val="clear" w:color="auto" w:fill="9BBB59"/>
            <w:vAlign w:val="center"/>
          </w:tcPr>
          <w:p w14:paraId="07672ED7" w14:textId="77777777" w:rsidR="000948AB" w:rsidRPr="000B68C8" w:rsidRDefault="000948AB" w:rsidP="00342407">
            <w:pPr>
              <w:pStyle w:val="NoSpacing"/>
              <w:rPr>
                <w:rFonts w:cs="Times New Roman"/>
                <w:sz w:val="18"/>
                <w:szCs w:val="18"/>
              </w:rPr>
            </w:pPr>
            <w:r w:rsidRPr="000B68C8">
              <w:rPr>
                <w:rFonts w:cs="Times New Roman"/>
                <w:sz w:val="18"/>
                <w:szCs w:val="18"/>
              </w:rPr>
              <w:t>Yes, 74 %</w:t>
            </w:r>
          </w:p>
        </w:tc>
        <w:tc>
          <w:tcPr>
            <w:tcW w:w="693" w:type="pct"/>
            <w:shd w:val="clear" w:color="auto" w:fill="9BBB59"/>
            <w:vAlign w:val="center"/>
          </w:tcPr>
          <w:p w14:paraId="1C7C93CC" w14:textId="77777777" w:rsidR="000948AB" w:rsidRPr="000B68C8" w:rsidRDefault="000948AB" w:rsidP="00342407">
            <w:pPr>
              <w:pStyle w:val="NoSpacing"/>
              <w:rPr>
                <w:rFonts w:cs="Times New Roman"/>
                <w:sz w:val="18"/>
                <w:szCs w:val="18"/>
              </w:rPr>
            </w:pPr>
            <w:r w:rsidRPr="000B68C8">
              <w:rPr>
                <w:rFonts w:cs="Times New Roman"/>
                <w:sz w:val="18"/>
                <w:szCs w:val="18"/>
              </w:rPr>
              <w:t>Yes, 89 %</w:t>
            </w:r>
          </w:p>
        </w:tc>
        <w:tc>
          <w:tcPr>
            <w:tcW w:w="613" w:type="pct"/>
            <w:shd w:val="clear" w:color="auto" w:fill="B7312C"/>
            <w:vAlign w:val="center"/>
          </w:tcPr>
          <w:p w14:paraId="723EBA98"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r>
      <w:tr w:rsidR="00727BC8" w:rsidRPr="000B68C8" w14:paraId="04D10A9C" w14:textId="77777777" w:rsidTr="002A70D3">
        <w:trPr>
          <w:trHeight w:val="20"/>
        </w:trPr>
        <w:tc>
          <w:tcPr>
            <w:tcW w:w="1155" w:type="pct"/>
            <w:vMerge/>
            <w:shd w:val="clear" w:color="auto" w:fill="auto"/>
            <w:vAlign w:val="center"/>
          </w:tcPr>
          <w:p w14:paraId="0DCE2648"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389F4065" w14:textId="045F0FA5" w:rsidR="000948AB" w:rsidRPr="000B68C8" w:rsidRDefault="003264EB" w:rsidP="00342407">
            <w:pPr>
              <w:pStyle w:val="NoSpacing"/>
              <w:rPr>
                <w:rFonts w:cs="Times New Roman"/>
                <w:sz w:val="18"/>
                <w:szCs w:val="18"/>
              </w:rPr>
            </w:pPr>
            <w:r w:rsidRPr="000B68C8">
              <w:rPr>
                <w:rFonts w:cs="Times New Roman"/>
                <w:sz w:val="18"/>
                <w:szCs w:val="18"/>
              </w:rPr>
              <w:t>Heat source</w:t>
            </w:r>
          </w:p>
        </w:tc>
        <w:tc>
          <w:tcPr>
            <w:tcW w:w="769" w:type="pct"/>
            <w:shd w:val="clear" w:color="auto" w:fill="9BBB59"/>
            <w:vAlign w:val="center"/>
          </w:tcPr>
          <w:p w14:paraId="50762AEC" w14:textId="77777777" w:rsidR="000948AB" w:rsidRPr="000B68C8" w:rsidRDefault="000948AB" w:rsidP="00342407">
            <w:pPr>
              <w:pStyle w:val="NoSpacing"/>
              <w:rPr>
                <w:rFonts w:cs="Times New Roman"/>
                <w:sz w:val="18"/>
                <w:szCs w:val="18"/>
              </w:rPr>
            </w:pPr>
            <w:r w:rsidRPr="000B68C8">
              <w:rPr>
                <w:rFonts w:cs="Times New Roman"/>
                <w:sz w:val="18"/>
                <w:szCs w:val="18"/>
              </w:rPr>
              <w:t>Yes, 74 %</w:t>
            </w:r>
          </w:p>
        </w:tc>
        <w:tc>
          <w:tcPr>
            <w:tcW w:w="693" w:type="pct"/>
            <w:shd w:val="clear" w:color="auto" w:fill="9BBB59"/>
            <w:vAlign w:val="center"/>
          </w:tcPr>
          <w:p w14:paraId="60597D78" w14:textId="77777777" w:rsidR="000948AB" w:rsidRPr="000B68C8" w:rsidRDefault="000948AB" w:rsidP="00342407">
            <w:pPr>
              <w:pStyle w:val="NoSpacing"/>
              <w:rPr>
                <w:rFonts w:cs="Times New Roman"/>
                <w:sz w:val="18"/>
                <w:szCs w:val="18"/>
              </w:rPr>
            </w:pPr>
            <w:r w:rsidRPr="000B68C8">
              <w:rPr>
                <w:rFonts w:cs="Times New Roman"/>
                <w:sz w:val="18"/>
                <w:szCs w:val="18"/>
              </w:rPr>
              <w:t>Yes, 67 %</w:t>
            </w:r>
          </w:p>
        </w:tc>
        <w:tc>
          <w:tcPr>
            <w:tcW w:w="613" w:type="pct"/>
            <w:shd w:val="clear" w:color="auto" w:fill="B7312C"/>
            <w:vAlign w:val="center"/>
          </w:tcPr>
          <w:p w14:paraId="642F4759"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r>
      <w:tr w:rsidR="00727BC8" w:rsidRPr="000B68C8" w14:paraId="08E0CF3C" w14:textId="77777777" w:rsidTr="002A70D3">
        <w:trPr>
          <w:trHeight w:val="20"/>
        </w:trPr>
        <w:tc>
          <w:tcPr>
            <w:tcW w:w="1155" w:type="pct"/>
            <w:vMerge/>
            <w:shd w:val="clear" w:color="auto" w:fill="auto"/>
            <w:vAlign w:val="center"/>
          </w:tcPr>
          <w:p w14:paraId="6290BE03"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65D673E5" w14:textId="77777777" w:rsidR="000948AB" w:rsidRPr="000B68C8" w:rsidRDefault="000948AB" w:rsidP="00342407">
            <w:pPr>
              <w:pStyle w:val="NoSpacing"/>
              <w:rPr>
                <w:rFonts w:cs="Times New Roman"/>
                <w:sz w:val="18"/>
                <w:szCs w:val="18"/>
              </w:rPr>
            </w:pPr>
            <w:r w:rsidRPr="000B68C8">
              <w:rPr>
                <w:rFonts w:cs="Times New Roman"/>
                <w:sz w:val="18"/>
                <w:szCs w:val="18"/>
              </w:rPr>
              <w:t>Item first ignited</w:t>
            </w:r>
          </w:p>
        </w:tc>
        <w:tc>
          <w:tcPr>
            <w:tcW w:w="769" w:type="pct"/>
            <w:shd w:val="clear" w:color="auto" w:fill="B7312C"/>
            <w:vAlign w:val="center"/>
          </w:tcPr>
          <w:p w14:paraId="6F290D3A" w14:textId="77777777" w:rsidR="000948AB" w:rsidRPr="000B68C8" w:rsidRDefault="000948AB" w:rsidP="00342407">
            <w:pPr>
              <w:pStyle w:val="NoSpacing"/>
              <w:rPr>
                <w:rFonts w:cs="Times New Roman"/>
                <w:sz w:val="18"/>
                <w:szCs w:val="18"/>
              </w:rPr>
            </w:pPr>
            <w:r w:rsidRPr="000B68C8">
              <w:rPr>
                <w:rFonts w:cs="Times New Roman"/>
                <w:sz w:val="18"/>
                <w:szCs w:val="18"/>
              </w:rPr>
              <w:t>No, 30 %</w:t>
            </w:r>
          </w:p>
        </w:tc>
        <w:tc>
          <w:tcPr>
            <w:tcW w:w="693" w:type="pct"/>
            <w:shd w:val="clear" w:color="auto" w:fill="9BBB59"/>
            <w:vAlign w:val="center"/>
          </w:tcPr>
          <w:p w14:paraId="14ED5FA3" w14:textId="77777777" w:rsidR="000948AB" w:rsidRPr="000B68C8" w:rsidRDefault="000948AB" w:rsidP="00342407">
            <w:pPr>
              <w:pStyle w:val="NoSpacing"/>
              <w:rPr>
                <w:rFonts w:cs="Times New Roman"/>
                <w:sz w:val="18"/>
                <w:szCs w:val="18"/>
              </w:rPr>
            </w:pPr>
            <w:r w:rsidRPr="000B68C8">
              <w:rPr>
                <w:rFonts w:cs="Times New Roman"/>
                <w:sz w:val="18"/>
                <w:szCs w:val="18"/>
              </w:rPr>
              <w:t>Yes, 67 %</w:t>
            </w:r>
          </w:p>
        </w:tc>
        <w:tc>
          <w:tcPr>
            <w:tcW w:w="613" w:type="pct"/>
            <w:shd w:val="clear" w:color="auto" w:fill="B7312C"/>
            <w:vAlign w:val="center"/>
          </w:tcPr>
          <w:p w14:paraId="717AA38A" w14:textId="77777777" w:rsidR="000948AB" w:rsidRPr="000B68C8" w:rsidRDefault="000948AB" w:rsidP="00342407">
            <w:pPr>
              <w:pStyle w:val="NoSpacing"/>
              <w:rPr>
                <w:rFonts w:cs="Times New Roman"/>
                <w:sz w:val="18"/>
                <w:szCs w:val="18"/>
              </w:rPr>
            </w:pPr>
            <w:r w:rsidRPr="000B68C8">
              <w:rPr>
                <w:rFonts w:cs="Times New Roman"/>
                <w:sz w:val="18"/>
                <w:szCs w:val="18"/>
              </w:rPr>
              <w:t>No, 27 %</w:t>
            </w:r>
          </w:p>
        </w:tc>
      </w:tr>
      <w:tr w:rsidR="00727BC8" w:rsidRPr="000B68C8" w14:paraId="1CE3E015" w14:textId="77777777" w:rsidTr="002A70D3">
        <w:trPr>
          <w:trHeight w:val="20"/>
        </w:trPr>
        <w:tc>
          <w:tcPr>
            <w:tcW w:w="1155" w:type="pct"/>
            <w:vMerge/>
            <w:shd w:val="clear" w:color="auto" w:fill="auto"/>
            <w:vAlign w:val="center"/>
          </w:tcPr>
          <w:p w14:paraId="337AEC11"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0DBF15A8" w14:textId="0D39E64F" w:rsidR="000948AB" w:rsidRPr="000B68C8" w:rsidRDefault="001A431E" w:rsidP="00342407">
            <w:pPr>
              <w:pStyle w:val="NoSpacing"/>
              <w:rPr>
                <w:rFonts w:cs="Times New Roman"/>
                <w:sz w:val="18"/>
                <w:szCs w:val="18"/>
              </w:rPr>
            </w:pPr>
            <w:r w:rsidRPr="000B68C8">
              <w:rPr>
                <w:rFonts w:cs="Times New Roman"/>
                <w:sz w:val="18"/>
                <w:szCs w:val="18"/>
              </w:rPr>
              <w:t xml:space="preserve">Article </w:t>
            </w:r>
            <w:r w:rsidR="00DE1A03" w:rsidRPr="000B68C8">
              <w:rPr>
                <w:rFonts w:cs="Times New Roman"/>
                <w:sz w:val="18"/>
                <w:szCs w:val="18"/>
              </w:rPr>
              <w:t>contributing to</w:t>
            </w:r>
            <w:r w:rsidR="000948AB" w:rsidRPr="000B68C8">
              <w:rPr>
                <w:rFonts w:cs="Times New Roman"/>
                <w:sz w:val="18"/>
                <w:szCs w:val="18"/>
              </w:rPr>
              <w:t xml:space="preserve"> fire development</w:t>
            </w:r>
          </w:p>
        </w:tc>
        <w:tc>
          <w:tcPr>
            <w:tcW w:w="769" w:type="pct"/>
            <w:shd w:val="clear" w:color="auto" w:fill="F79646"/>
            <w:vAlign w:val="center"/>
          </w:tcPr>
          <w:p w14:paraId="76AE7A76" w14:textId="77777777" w:rsidR="000948AB" w:rsidRPr="000B68C8" w:rsidRDefault="000948AB" w:rsidP="00342407">
            <w:pPr>
              <w:pStyle w:val="NoSpacing"/>
              <w:rPr>
                <w:rFonts w:cs="Times New Roman"/>
                <w:sz w:val="18"/>
                <w:szCs w:val="18"/>
              </w:rPr>
            </w:pPr>
            <w:r w:rsidRPr="000B68C8">
              <w:rPr>
                <w:rFonts w:cs="Times New Roman"/>
                <w:sz w:val="18"/>
                <w:szCs w:val="18"/>
              </w:rPr>
              <w:t>Yes, 41 %</w:t>
            </w:r>
          </w:p>
        </w:tc>
        <w:tc>
          <w:tcPr>
            <w:tcW w:w="693" w:type="pct"/>
            <w:shd w:val="clear" w:color="auto" w:fill="F79646"/>
            <w:vAlign w:val="center"/>
          </w:tcPr>
          <w:p w14:paraId="1E9CF60F" w14:textId="77777777" w:rsidR="000948AB" w:rsidRPr="000B68C8" w:rsidRDefault="000948AB" w:rsidP="00342407">
            <w:pPr>
              <w:pStyle w:val="NoSpacing"/>
              <w:rPr>
                <w:rFonts w:cs="Times New Roman"/>
                <w:sz w:val="18"/>
                <w:szCs w:val="18"/>
              </w:rPr>
            </w:pPr>
            <w:r w:rsidRPr="000B68C8">
              <w:rPr>
                <w:rFonts w:cs="Times New Roman"/>
                <w:sz w:val="18"/>
                <w:szCs w:val="18"/>
              </w:rPr>
              <w:t>Yes, 44 %</w:t>
            </w:r>
          </w:p>
        </w:tc>
        <w:tc>
          <w:tcPr>
            <w:tcW w:w="613" w:type="pct"/>
            <w:shd w:val="clear" w:color="auto" w:fill="B7312C"/>
            <w:vAlign w:val="center"/>
          </w:tcPr>
          <w:p w14:paraId="0698543A" w14:textId="77777777" w:rsidR="000948AB" w:rsidRPr="000B68C8" w:rsidRDefault="000948AB" w:rsidP="00342407">
            <w:pPr>
              <w:pStyle w:val="NoSpacing"/>
              <w:rPr>
                <w:rFonts w:cs="Times New Roman"/>
                <w:sz w:val="18"/>
                <w:szCs w:val="18"/>
              </w:rPr>
            </w:pPr>
            <w:r w:rsidRPr="000B68C8">
              <w:rPr>
                <w:rFonts w:cs="Times New Roman"/>
                <w:sz w:val="18"/>
                <w:szCs w:val="18"/>
              </w:rPr>
              <w:t>No, 19 %</w:t>
            </w:r>
          </w:p>
        </w:tc>
      </w:tr>
      <w:tr w:rsidR="005E7118" w:rsidRPr="000B68C8" w14:paraId="3799AC8A" w14:textId="77777777" w:rsidTr="002A70D3">
        <w:trPr>
          <w:trHeight w:val="20"/>
        </w:trPr>
        <w:tc>
          <w:tcPr>
            <w:tcW w:w="1155" w:type="pct"/>
            <w:vMerge/>
            <w:tcBorders>
              <w:bottom w:val="single" w:sz="4" w:space="0" w:color="auto"/>
            </w:tcBorders>
            <w:shd w:val="clear" w:color="auto" w:fill="auto"/>
            <w:vAlign w:val="center"/>
          </w:tcPr>
          <w:p w14:paraId="6D184325" w14:textId="77777777" w:rsidR="000948AB" w:rsidRPr="000B68C8" w:rsidRDefault="000948AB" w:rsidP="00342407">
            <w:pPr>
              <w:pStyle w:val="NoSpacing"/>
              <w:rPr>
                <w:rFonts w:cs="Times New Roman"/>
                <w:sz w:val="18"/>
                <w:szCs w:val="18"/>
              </w:rPr>
            </w:pPr>
          </w:p>
        </w:tc>
        <w:tc>
          <w:tcPr>
            <w:tcW w:w="1770" w:type="pct"/>
            <w:tcBorders>
              <w:bottom w:val="single" w:sz="4" w:space="0" w:color="auto"/>
            </w:tcBorders>
            <w:shd w:val="clear" w:color="auto" w:fill="auto"/>
            <w:vAlign w:val="center"/>
          </w:tcPr>
          <w:p w14:paraId="56D4C126" w14:textId="77777777" w:rsidR="000948AB" w:rsidRPr="000B68C8" w:rsidRDefault="000948AB" w:rsidP="00342407">
            <w:pPr>
              <w:pStyle w:val="NoSpacing"/>
              <w:rPr>
                <w:rFonts w:cs="Times New Roman"/>
                <w:sz w:val="18"/>
                <w:szCs w:val="18"/>
              </w:rPr>
            </w:pPr>
            <w:r w:rsidRPr="000B68C8">
              <w:rPr>
                <w:rFonts w:cs="Times New Roman"/>
                <w:sz w:val="18"/>
                <w:szCs w:val="18"/>
              </w:rPr>
              <w:t>Size of smoke spread</w:t>
            </w:r>
          </w:p>
        </w:tc>
        <w:tc>
          <w:tcPr>
            <w:tcW w:w="769" w:type="pct"/>
            <w:tcBorders>
              <w:bottom w:val="single" w:sz="4" w:space="0" w:color="auto"/>
            </w:tcBorders>
            <w:shd w:val="clear" w:color="auto" w:fill="B7312C"/>
            <w:vAlign w:val="center"/>
          </w:tcPr>
          <w:p w14:paraId="3B02BF6C" w14:textId="77777777" w:rsidR="000948AB" w:rsidRPr="000B68C8" w:rsidRDefault="000948AB" w:rsidP="00342407">
            <w:pPr>
              <w:pStyle w:val="NoSpacing"/>
              <w:rPr>
                <w:rFonts w:cs="Times New Roman"/>
                <w:sz w:val="18"/>
                <w:szCs w:val="18"/>
              </w:rPr>
            </w:pPr>
            <w:r w:rsidRPr="000B68C8">
              <w:rPr>
                <w:rFonts w:cs="Times New Roman"/>
                <w:sz w:val="18"/>
                <w:szCs w:val="18"/>
              </w:rPr>
              <w:t>No, 15 %</w:t>
            </w:r>
          </w:p>
        </w:tc>
        <w:tc>
          <w:tcPr>
            <w:tcW w:w="693" w:type="pct"/>
            <w:tcBorders>
              <w:bottom w:val="single" w:sz="4" w:space="0" w:color="auto"/>
            </w:tcBorders>
            <w:shd w:val="clear" w:color="auto" w:fill="F79646"/>
            <w:vAlign w:val="center"/>
          </w:tcPr>
          <w:p w14:paraId="73766C4C" w14:textId="77777777" w:rsidR="000948AB" w:rsidRPr="000B68C8" w:rsidRDefault="000948AB" w:rsidP="00342407">
            <w:pPr>
              <w:pStyle w:val="NoSpacing"/>
              <w:rPr>
                <w:rFonts w:cs="Times New Roman"/>
                <w:sz w:val="18"/>
                <w:szCs w:val="18"/>
              </w:rPr>
            </w:pPr>
            <w:r w:rsidRPr="000B68C8">
              <w:rPr>
                <w:rFonts w:cs="Times New Roman"/>
                <w:sz w:val="18"/>
                <w:szCs w:val="18"/>
              </w:rPr>
              <w:t>Yes, 44 %</w:t>
            </w:r>
          </w:p>
        </w:tc>
        <w:tc>
          <w:tcPr>
            <w:tcW w:w="613" w:type="pct"/>
            <w:tcBorders>
              <w:bottom w:val="single" w:sz="4" w:space="0" w:color="auto"/>
            </w:tcBorders>
            <w:shd w:val="clear" w:color="auto" w:fill="B7312C"/>
            <w:vAlign w:val="center"/>
          </w:tcPr>
          <w:p w14:paraId="21258630" w14:textId="77777777" w:rsidR="000948AB" w:rsidRPr="000B68C8" w:rsidRDefault="000948AB" w:rsidP="00342407">
            <w:pPr>
              <w:pStyle w:val="NoSpacing"/>
              <w:rPr>
                <w:rFonts w:cs="Times New Roman"/>
                <w:sz w:val="18"/>
                <w:szCs w:val="18"/>
              </w:rPr>
            </w:pPr>
            <w:r w:rsidRPr="000B68C8">
              <w:rPr>
                <w:rFonts w:cs="Times New Roman"/>
                <w:sz w:val="18"/>
                <w:szCs w:val="18"/>
              </w:rPr>
              <w:t>No</w:t>
            </w:r>
          </w:p>
        </w:tc>
      </w:tr>
      <w:tr w:rsidR="00727BC8" w:rsidRPr="000B68C8" w14:paraId="1A7B35ED" w14:textId="77777777" w:rsidTr="002A70D3">
        <w:trPr>
          <w:trHeight w:val="20"/>
        </w:trPr>
        <w:tc>
          <w:tcPr>
            <w:tcW w:w="1155" w:type="pct"/>
            <w:vMerge w:val="restart"/>
            <w:tcBorders>
              <w:top w:val="single" w:sz="4" w:space="0" w:color="auto"/>
            </w:tcBorders>
            <w:shd w:val="clear" w:color="auto" w:fill="auto"/>
            <w:vAlign w:val="center"/>
          </w:tcPr>
          <w:p w14:paraId="1D7D0074" w14:textId="77777777" w:rsidR="000948AB" w:rsidRPr="000B68C8" w:rsidRDefault="000948AB" w:rsidP="00342407">
            <w:pPr>
              <w:pStyle w:val="NoSpacing"/>
              <w:rPr>
                <w:rFonts w:cs="Times New Roman"/>
                <w:sz w:val="18"/>
                <w:szCs w:val="18"/>
              </w:rPr>
            </w:pPr>
            <w:r w:rsidRPr="000B68C8">
              <w:rPr>
                <w:rFonts w:cs="Times New Roman"/>
                <w:sz w:val="18"/>
                <w:szCs w:val="18"/>
              </w:rPr>
              <w:t>Consequences</w:t>
            </w:r>
          </w:p>
        </w:tc>
        <w:tc>
          <w:tcPr>
            <w:tcW w:w="1770" w:type="pct"/>
            <w:tcBorders>
              <w:top w:val="single" w:sz="4" w:space="0" w:color="auto"/>
            </w:tcBorders>
            <w:shd w:val="clear" w:color="auto" w:fill="auto"/>
            <w:vAlign w:val="center"/>
          </w:tcPr>
          <w:p w14:paraId="5F871F35" w14:textId="77777777" w:rsidR="000948AB" w:rsidRPr="000B68C8" w:rsidRDefault="000948AB" w:rsidP="00342407">
            <w:pPr>
              <w:pStyle w:val="NoSpacing"/>
              <w:rPr>
                <w:rFonts w:cs="Times New Roman"/>
                <w:sz w:val="18"/>
                <w:szCs w:val="18"/>
              </w:rPr>
            </w:pPr>
            <w:r w:rsidRPr="000B68C8">
              <w:rPr>
                <w:rFonts w:cs="Times New Roman"/>
                <w:sz w:val="18"/>
                <w:szCs w:val="18"/>
              </w:rPr>
              <w:t>Effectiveness of fire safety measures in reducing the fire</w:t>
            </w:r>
          </w:p>
        </w:tc>
        <w:tc>
          <w:tcPr>
            <w:tcW w:w="769" w:type="pct"/>
            <w:tcBorders>
              <w:top w:val="single" w:sz="4" w:space="0" w:color="auto"/>
            </w:tcBorders>
            <w:shd w:val="clear" w:color="auto" w:fill="9BBB59"/>
            <w:vAlign w:val="center"/>
          </w:tcPr>
          <w:p w14:paraId="5DC50F84" w14:textId="77777777" w:rsidR="000948AB" w:rsidRPr="000B68C8" w:rsidRDefault="000948AB" w:rsidP="00342407">
            <w:pPr>
              <w:pStyle w:val="NoSpacing"/>
              <w:rPr>
                <w:rFonts w:cs="Times New Roman"/>
                <w:sz w:val="18"/>
                <w:szCs w:val="18"/>
              </w:rPr>
            </w:pPr>
            <w:r w:rsidRPr="000B68C8">
              <w:rPr>
                <w:rFonts w:cs="Times New Roman"/>
                <w:sz w:val="18"/>
                <w:szCs w:val="18"/>
              </w:rPr>
              <w:t>Yes, 78 %</w:t>
            </w:r>
          </w:p>
        </w:tc>
        <w:tc>
          <w:tcPr>
            <w:tcW w:w="693" w:type="pct"/>
            <w:tcBorders>
              <w:top w:val="single" w:sz="4" w:space="0" w:color="auto"/>
            </w:tcBorders>
            <w:shd w:val="clear" w:color="auto" w:fill="B7312C"/>
            <w:vAlign w:val="center"/>
          </w:tcPr>
          <w:p w14:paraId="6BF11DEE"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tcBorders>
              <w:top w:val="single" w:sz="4" w:space="0" w:color="auto"/>
            </w:tcBorders>
            <w:shd w:val="clear" w:color="auto" w:fill="B7312C"/>
            <w:vAlign w:val="center"/>
          </w:tcPr>
          <w:p w14:paraId="1C1631A5" w14:textId="77777777" w:rsidR="000948AB" w:rsidRPr="000B68C8" w:rsidRDefault="000948AB" w:rsidP="00342407">
            <w:pPr>
              <w:pStyle w:val="NoSpacing"/>
              <w:rPr>
                <w:rFonts w:cs="Times New Roman"/>
                <w:sz w:val="18"/>
                <w:szCs w:val="18"/>
              </w:rPr>
            </w:pPr>
            <w:r w:rsidRPr="000B68C8">
              <w:rPr>
                <w:rFonts w:cs="Times New Roman"/>
                <w:sz w:val="18"/>
                <w:szCs w:val="18"/>
              </w:rPr>
              <w:t>No, 22 %</w:t>
            </w:r>
          </w:p>
        </w:tc>
      </w:tr>
      <w:tr w:rsidR="00727BC8" w:rsidRPr="000B68C8" w14:paraId="260CA36E" w14:textId="77777777" w:rsidTr="002A70D3">
        <w:trPr>
          <w:trHeight w:val="20"/>
        </w:trPr>
        <w:tc>
          <w:tcPr>
            <w:tcW w:w="1155" w:type="pct"/>
            <w:vMerge/>
            <w:shd w:val="clear" w:color="auto" w:fill="auto"/>
            <w:vAlign w:val="center"/>
          </w:tcPr>
          <w:p w14:paraId="03D0744E"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6F0A9871" w14:textId="77777777" w:rsidR="000948AB" w:rsidRPr="000B68C8" w:rsidRDefault="000948AB" w:rsidP="00342407">
            <w:pPr>
              <w:pStyle w:val="NoSpacing"/>
              <w:rPr>
                <w:rFonts w:cs="Times New Roman"/>
                <w:sz w:val="18"/>
                <w:szCs w:val="18"/>
              </w:rPr>
            </w:pPr>
            <w:r w:rsidRPr="000B68C8">
              <w:rPr>
                <w:rFonts w:cs="Times New Roman"/>
                <w:sz w:val="18"/>
                <w:szCs w:val="18"/>
              </w:rPr>
              <w:t>Quantification of property damage</w:t>
            </w:r>
          </w:p>
        </w:tc>
        <w:tc>
          <w:tcPr>
            <w:tcW w:w="769" w:type="pct"/>
            <w:shd w:val="clear" w:color="auto" w:fill="9BBB59"/>
            <w:vAlign w:val="center"/>
          </w:tcPr>
          <w:p w14:paraId="04872B87" w14:textId="77777777" w:rsidR="000948AB" w:rsidRPr="000B68C8" w:rsidRDefault="000948AB" w:rsidP="00342407">
            <w:pPr>
              <w:pStyle w:val="NoSpacing"/>
              <w:rPr>
                <w:rFonts w:cs="Times New Roman"/>
                <w:sz w:val="18"/>
                <w:szCs w:val="18"/>
              </w:rPr>
            </w:pPr>
            <w:r w:rsidRPr="000B68C8">
              <w:rPr>
                <w:rFonts w:cs="Times New Roman"/>
                <w:sz w:val="18"/>
                <w:szCs w:val="18"/>
              </w:rPr>
              <w:t>Yes, 59 %</w:t>
            </w:r>
          </w:p>
        </w:tc>
        <w:tc>
          <w:tcPr>
            <w:tcW w:w="693" w:type="pct"/>
            <w:shd w:val="clear" w:color="auto" w:fill="B7312C"/>
            <w:vAlign w:val="center"/>
          </w:tcPr>
          <w:p w14:paraId="509D92EA"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shd w:val="clear" w:color="auto" w:fill="B7312C"/>
            <w:vAlign w:val="center"/>
          </w:tcPr>
          <w:p w14:paraId="4819EFAD" w14:textId="77777777" w:rsidR="000948AB" w:rsidRPr="000B68C8" w:rsidRDefault="000948AB" w:rsidP="00342407">
            <w:pPr>
              <w:pStyle w:val="NoSpacing"/>
              <w:rPr>
                <w:rFonts w:cs="Times New Roman"/>
                <w:sz w:val="18"/>
                <w:szCs w:val="18"/>
              </w:rPr>
            </w:pPr>
            <w:r w:rsidRPr="000B68C8">
              <w:rPr>
                <w:rFonts w:cs="Times New Roman"/>
                <w:sz w:val="18"/>
                <w:szCs w:val="18"/>
              </w:rPr>
              <w:t>No, 19 %</w:t>
            </w:r>
          </w:p>
        </w:tc>
      </w:tr>
      <w:tr w:rsidR="00727BC8" w:rsidRPr="000B68C8" w14:paraId="38E69E83" w14:textId="77777777" w:rsidTr="002A70D3">
        <w:trPr>
          <w:trHeight w:val="20"/>
        </w:trPr>
        <w:tc>
          <w:tcPr>
            <w:tcW w:w="1155" w:type="pct"/>
            <w:vMerge/>
            <w:shd w:val="clear" w:color="auto" w:fill="auto"/>
            <w:vAlign w:val="center"/>
          </w:tcPr>
          <w:p w14:paraId="4DE675CC"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1D41EDDA" w14:textId="77777777" w:rsidR="000948AB" w:rsidRPr="000B68C8" w:rsidRDefault="000948AB" w:rsidP="00342407">
            <w:pPr>
              <w:pStyle w:val="NoSpacing"/>
              <w:rPr>
                <w:rFonts w:cs="Times New Roman"/>
                <w:sz w:val="18"/>
                <w:szCs w:val="18"/>
              </w:rPr>
            </w:pPr>
            <w:r w:rsidRPr="000B68C8">
              <w:rPr>
                <w:rFonts w:cs="Times New Roman"/>
                <w:sz w:val="18"/>
                <w:szCs w:val="18"/>
              </w:rPr>
              <w:t xml:space="preserve">Reason for failure of fire safety measures </w:t>
            </w:r>
          </w:p>
        </w:tc>
        <w:tc>
          <w:tcPr>
            <w:tcW w:w="769" w:type="pct"/>
            <w:shd w:val="clear" w:color="auto" w:fill="9BBB59"/>
            <w:vAlign w:val="center"/>
          </w:tcPr>
          <w:p w14:paraId="054E7667"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c>
          <w:tcPr>
            <w:tcW w:w="693" w:type="pct"/>
            <w:shd w:val="clear" w:color="auto" w:fill="B7312C"/>
            <w:vAlign w:val="center"/>
          </w:tcPr>
          <w:p w14:paraId="2E20F55B"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shd w:val="clear" w:color="auto" w:fill="B7312C"/>
            <w:vAlign w:val="center"/>
          </w:tcPr>
          <w:p w14:paraId="417176C8" w14:textId="77777777" w:rsidR="000948AB" w:rsidRPr="000B68C8" w:rsidRDefault="000948AB" w:rsidP="00342407">
            <w:pPr>
              <w:pStyle w:val="NoSpacing"/>
              <w:rPr>
                <w:rFonts w:cs="Times New Roman"/>
                <w:sz w:val="18"/>
                <w:szCs w:val="18"/>
              </w:rPr>
            </w:pPr>
            <w:r w:rsidRPr="000B68C8">
              <w:rPr>
                <w:rFonts w:cs="Times New Roman"/>
                <w:sz w:val="18"/>
                <w:szCs w:val="18"/>
              </w:rPr>
              <w:t>No</w:t>
            </w:r>
          </w:p>
        </w:tc>
      </w:tr>
      <w:tr w:rsidR="00727BC8" w:rsidRPr="000B68C8" w14:paraId="6AB96303" w14:textId="77777777" w:rsidTr="002A70D3">
        <w:trPr>
          <w:trHeight w:val="20"/>
        </w:trPr>
        <w:tc>
          <w:tcPr>
            <w:tcW w:w="1155" w:type="pct"/>
            <w:vMerge/>
            <w:shd w:val="clear" w:color="auto" w:fill="auto"/>
            <w:vAlign w:val="center"/>
          </w:tcPr>
          <w:p w14:paraId="025BE8DA"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1B009DD5" w14:textId="77777777" w:rsidR="000948AB" w:rsidRPr="000B68C8" w:rsidRDefault="000948AB" w:rsidP="00342407">
            <w:pPr>
              <w:pStyle w:val="NoSpacing"/>
              <w:rPr>
                <w:rFonts w:cs="Times New Roman"/>
                <w:sz w:val="18"/>
                <w:szCs w:val="18"/>
              </w:rPr>
            </w:pPr>
            <w:r w:rsidRPr="000B68C8">
              <w:rPr>
                <w:rFonts w:cs="Times New Roman"/>
                <w:sz w:val="18"/>
                <w:szCs w:val="18"/>
              </w:rPr>
              <w:t xml:space="preserve">Type of property damage </w:t>
            </w:r>
          </w:p>
        </w:tc>
        <w:tc>
          <w:tcPr>
            <w:tcW w:w="769" w:type="pct"/>
            <w:shd w:val="clear" w:color="auto" w:fill="9BBB59"/>
            <w:vAlign w:val="center"/>
          </w:tcPr>
          <w:p w14:paraId="01B3B56C"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c>
          <w:tcPr>
            <w:tcW w:w="693" w:type="pct"/>
            <w:shd w:val="clear" w:color="auto" w:fill="B7312C"/>
            <w:vAlign w:val="center"/>
          </w:tcPr>
          <w:p w14:paraId="6643ADD3"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shd w:val="clear" w:color="auto" w:fill="B7312C"/>
            <w:vAlign w:val="center"/>
          </w:tcPr>
          <w:p w14:paraId="4D705D55" w14:textId="77777777" w:rsidR="000948AB" w:rsidRPr="000B68C8" w:rsidRDefault="000948AB" w:rsidP="00342407">
            <w:pPr>
              <w:pStyle w:val="NoSpacing"/>
              <w:rPr>
                <w:rFonts w:cs="Times New Roman"/>
                <w:sz w:val="18"/>
                <w:szCs w:val="18"/>
              </w:rPr>
            </w:pPr>
            <w:r w:rsidRPr="000B68C8">
              <w:rPr>
                <w:rFonts w:cs="Times New Roman"/>
                <w:sz w:val="18"/>
                <w:szCs w:val="18"/>
              </w:rPr>
              <w:t>No, 15 %</w:t>
            </w:r>
          </w:p>
        </w:tc>
      </w:tr>
      <w:tr w:rsidR="00727BC8" w:rsidRPr="000B68C8" w14:paraId="37DBE803" w14:textId="77777777" w:rsidTr="002A70D3">
        <w:trPr>
          <w:trHeight w:val="20"/>
        </w:trPr>
        <w:tc>
          <w:tcPr>
            <w:tcW w:w="1155" w:type="pct"/>
            <w:vMerge/>
            <w:shd w:val="clear" w:color="auto" w:fill="auto"/>
            <w:vAlign w:val="center"/>
          </w:tcPr>
          <w:p w14:paraId="651861D3"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736DBF87" w14:textId="77777777" w:rsidR="000948AB" w:rsidRPr="000B68C8" w:rsidRDefault="000948AB" w:rsidP="00342407">
            <w:pPr>
              <w:pStyle w:val="NoSpacing"/>
              <w:rPr>
                <w:rFonts w:cs="Times New Roman"/>
                <w:sz w:val="18"/>
                <w:szCs w:val="18"/>
              </w:rPr>
            </w:pPr>
            <w:r w:rsidRPr="000B68C8">
              <w:rPr>
                <w:rFonts w:cs="Times New Roman"/>
                <w:sz w:val="18"/>
                <w:szCs w:val="18"/>
              </w:rPr>
              <w:t>Direct fire costs</w:t>
            </w:r>
          </w:p>
        </w:tc>
        <w:tc>
          <w:tcPr>
            <w:tcW w:w="769" w:type="pct"/>
            <w:shd w:val="clear" w:color="auto" w:fill="9BBB59"/>
            <w:vAlign w:val="center"/>
          </w:tcPr>
          <w:p w14:paraId="5459A31D"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c>
          <w:tcPr>
            <w:tcW w:w="693" w:type="pct"/>
            <w:shd w:val="clear" w:color="auto" w:fill="B7312C"/>
            <w:vAlign w:val="center"/>
          </w:tcPr>
          <w:p w14:paraId="0DD38028"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shd w:val="clear" w:color="auto" w:fill="B7312C"/>
            <w:vAlign w:val="center"/>
          </w:tcPr>
          <w:p w14:paraId="05E8323C"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r>
      <w:tr w:rsidR="00727BC8" w:rsidRPr="000B68C8" w14:paraId="3199EC57" w14:textId="77777777" w:rsidTr="002A70D3">
        <w:trPr>
          <w:trHeight w:val="20"/>
        </w:trPr>
        <w:tc>
          <w:tcPr>
            <w:tcW w:w="1155" w:type="pct"/>
            <w:vMerge/>
            <w:shd w:val="clear" w:color="auto" w:fill="auto"/>
            <w:vAlign w:val="center"/>
          </w:tcPr>
          <w:p w14:paraId="0A60881F"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3452B640" w14:textId="77777777" w:rsidR="000948AB" w:rsidRPr="000B68C8" w:rsidRDefault="000948AB" w:rsidP="00342407">
            <w:pPr>
              <w:pStyle w:val="NoSpacing"/>
              <w:rPr>
                <w:rFonts w:cs="Times New Roman"/>
                <w:sz w:val="18"/>
                <w:szCs w:val="18"/>
              </w:rPr>
            </w:pPr>
            <w:bookmarkStart w:id="38" w:name="_Hlk68203735"/>
            <w:r w:rsidRPr="000B68C8">
              <w:rPr>
                <w:rFonts w:cs="Times New Roman"/>
                <w:sz w:val="18"/>
                <w:szCs w:val="18"/>
              </w:rPr>
              <w:t xml:space="preserve">Fire spread at final situation </w:t>
            </w:r>
            <w:bookmarkEnd w:id="38"/>
          </w:p>
        </w:tc>
        <w:tc>
          <w:tcPr>
            <w:tcW w:w="769" w:type="pct"/>
            <w:shd w:val="clear" w:color="auto" w:fill="B7312C"/>
            <w:vAlign w:val="center"/>
          </w:tcPr>
          <w:p w14:paraId="64267670" w14:textId="77777777" w:rsidR="000948AB" w:rsidRPr="000B68C8" w:rsidRDefault="000948AB" w:rsidP="00342407">
            <w:pPr>
              <w:pStyle w:val="NoSpacing"/>
              <w:rPr>
                <w:rFonts w:cs="Times New Roman"/>
                <w:sz w:val="18"/>
                <w:szCs w:val="18"/>
              </w:rPr>
            </w:pPr>
            <w:r w:rsidRPr="000B68C8">
              <w:rPr>
                <w:rFonts w:cs="Times New Roman"/>
                <w:sz w:val="18"/>
                <w:szCs w:val="18"/>
              </w:rPr>
              <w:t>No, 30 %</w:t>
            </w:r>
          </w:p>
        </w:tc>
        <w:tc>
          <w:tcPr>
            <w:tcW w:w="693" w:type="pct"/>
            <w:shd w:val="clear" w:color="auto" w:fill="9BBB59"/>
            <w:vAlign w:val="center"/>
          </w:tcPr>
          <w:p w14:paraId="329A8194" w14:textId="77777777" w:rsidR="000948AB" w:rsidRPr="000B68C8" w:rsidRDefault="000948AB" w:rsidP="00342407">
            <w:pPr>
              <w:pStyle w:val="NoSpacing"/>
              <w:rPr>
                <w:rFonts w:cs="Times New Roman"/>
                <w:sz w:val="18"/>
                <w:szCs w:val="18"/>
              </w:rPr>
            </w:pPr>
            <w:r w:rsidRPr="000B68C8">
              <w:rPr>
                <w:rFonts w:cs="Times New Roman"/>
                <w:sz w:val="18"/>
                <w:szCs w:val="18"/>
              </w:rPr>
              <w:t>Yes, 67 %</w:t>
            </w:r>
          </w:p>
        </w:tc>
        <w:tc>
          <w:tcPr>
            <w:tcW w:w="613" w:type="pct"/>
            <w:shd w:val="clear" w:color="auto" w:fill="B7312C"/>
            <w:vAlign w:val="center"/>
          </w:tcPr>
          <w:p w14:paraId="6C69CAE7" w14:textId="77777777" w:rsidR="000948AB" w:rsidRPr="000B68C8" w:rsidRDefault="000948AB" w:rsidP="00342407">
            <w:pPr>
              <w:pStyle w:val="NoSpacing"/>
              <w:rPr>
                <w:rFonts w:cs="Times New Roman"/>
                <w:sz w:val="18"/>
                <w:szCs w:val="18"/>
              </w:rPr>
            </w:pPr>
            <w:r w:rsidRPr="000B68C8">
              <w:rPr>
                <w:rFonts w:cs="Times New Roman"/>
                <w:sz w:val="18"/>
                <w:szCs w:val="18"/>
              </w:rPr>
              <w:t>No</w:t>
            </w:r>
          </w:p>
        </w:tc>
      </w:tr>
      <w:tr w:rsidR="005E7118" w:rsidRPr="000B68C8" w14:paraId="37F05FB3" w14:textId="77777777" w:rsidTr="002A70D3">
        <w:trPr>
          <w:trHeight w:val="20"/>
        </w:trPr>
        <w:tc>
          <w:tcPr>
            <w:tcW w:w="1155" w:type="pct"/>
            <w:vMerge/>
            <w:tcBorders>
              <w:bottom w:val="single" w:sz="4" w:space="0" w:color="auto"/>
            </w:tcBorders>
            <w:shd w:val="clear" w:color="auto" w:fill="auto"/>
            <w:vAlign w:val="center"/>
          </w:tcPr>
          <w:p w14:paraId="790C9926" w14:textId="77777777" w:rsidR="000948AB" w:rsidRPr="000B68C8" w:rsidRDefault="000948AB" w:rsidP="00342407">
            <w:pPr>
              <w:pStyle w:val="NoSpacing"/>
              <w:rPr>
                <w:rFonts w:cs="Times New Roman"/>
                <w:sz w:val="18"/>
                <w:szCs w:val="18"/>
              </w:rPr>
            </w:pPr>
          </w:p>
        </w:tc>
        <w:tc>
          <w:tcPr>
            <w:tcW w:w="1770" w:type="pct"/>
            <w:tcBorders>
              <w:bottom w:val="single" w:sz="4" w:space="0" w:color="auto"/>
            </w:tcBorders>
            <w:shd w:val="clear" w:color="auto" w:fill="auto"/>
            <w:vAlign w:val="center"/>
          </w:tcPr>
          <w:p w14:paraId="735C34F2" w14:textId="77777777" w:rsidR="000948AB" w:rsidRPr="000B68C8" w:rsidRDefault="000948AB" w:rsidP="00342407">
            <w:pPr>
              <w:pStyle w:val="NoSpacing"/>
              <w:rPr>
                <w:rFonts w:cs="Times New Roman"/>
                <w:sz w:val="18"/>
                <w:szCs w:val="18"/>
              </w:rPr>
            </w:pPr>
            <w:r w:rsidRPr="000B68C8">
              <w:rPr>
                <w:rFonts w:cs="Times New Roman"/>
                <w:sz w:val="18"/>
                <w:szCs w:val="18"/>
              </w:rPr>
              <w:t xml:space="preserve">Fire spread at fire brigade arrival </w:t>
            </w:r>
          </w:p>
        </w:tc>
        <w:tc>
          <w:tcPr>
            <w:tcW w:w="769" w:type="pct"/>
            <w:tcBorders>
              <w:bottom w:val="single" w:sz="4" w:space="0" w:color="auto"/>
            </w:tcBorders>
            <w:shd w:val="clear" w:color="auto" w:fill="B7312C"/>
            <w:vAlign w:val="center"/>
          </w:tcPr>
          <w:p w14:paraId="336828B8" w14:textId="77777777" w:rsidR="000948AB" w:rsidRPr="000B68C8" w:rsidRDefault="000948AB" w:rsidP="00342407">
            <w:pPr>
              <w:pStyle w:val="NoSpacing"/>
              <w:rPr>
                <w:rFonts w:cs="Times New Roman"/>
                <w:sz w:val="18"/>
                <w:szCs w:val="18"/>
              </w:rPr>
            </w:pPr>
            <w:r w:rsidRPr="000B68C8">
              <w:rPr>
                <w:rFonts w:cs="Times New Roman"/>
                <w:sz w:val="18"/>
                <w:szCs w:val="18"/>
              </w:rPr>
              <w:t>No, 19 %</w:t>
            </w:r>
          </w:p>
        </w:tc>
        <w:tc>
          <w:tcPr>
            <w:tcW w:w="693" w:type="pct"/>
            <w:tcBorders>
              <w:bottom w:val="single" w:sz="4" w:space="0" w:color="auto"/>
            </w:tcBorders>
            <w:shd w:val="clear" w:color="auto" w:fill="F79646"/>
            <w:vAlign w:val="center"/>
          </w:tcPr>
          <w:p w14:paraId="3DEED79C" w14:textId="77777777" w:rsidR="000948AB" w:rsidRPr="000B68C8" w:rsidRDefault="000948AB" w:rsidP="00342407">
            <w:pPr>
              <w:pStyle w:val="NoSpacing"/>
              <w:rPr>
                <w:rFonts w:cs="Times New Roman"/>
                <w:sz w:val="18"/>
                <w:szCs w:val="18"/>
              </w:rPr>
            </w:pPr>
            <w:r w:rsidRPr="000B68C8">
              <w:rPr>
                <w:rFonts w:cs="Times New Roman"/>
                <w:sz w:val="18"/>
                <w:szCs w:val="18"/>
              </w:rPr>
              <w:t>Yes, 44 %</w:t>
            </w:r>
          </w:p>
        </w:tc>
        <w:tc>
          <w:tcPr>
            <w:tcW w:w="613" w:type="pct"/>
            <w:tcBorders>
              <w:bottom w:val="single" w:sz="4" w:space="0" w:color="auto"/>
            </w:tcBorders>
            <w:shd w:val="clear" w:color="auto" w:fill="B7312C"/>
            <w:vAlign w:val="center"/>
          </w:tcPr>
          <w:p w14:paraId="0ED2616E" w14:textId="77777777" w:rsidR="000948AB" w:rsidRPr="000B68C8" w:rsidRDefault="000948AB" w:rsidP="00342407">
            <w:pPr>
              <w:pStyle w:val="NoSpacing"/>
              <w:rPr>
                <w:rFonts w:cs="Times New Roman"/>
                <w:sz w:val="18"/>
                <w:szCs w:val="18"/>
              </w:rPr>
            </w:pPr>
            <w:r w:rsidRPr="000B68C8">
              <w:rPr>
                <w:rFonts w:cs="Times New Roman"/>
                <w:sz w:val="18"/>
                <w:szCs w:val="18"/>
              </w:rPr>
              <w:t>No, 15 %</w:t>
            </w:r>
          </w:p>
        </w:tc>
      </w:tr>
      <w:tr w:rsidR="00727BC8" w:rsidRPr="000B68C8" w14:paraId="54D104ED" w14:textId="77777777" w:rsidTr="002A70D3">
        <w:trPr>
          <w:trHeight w:val="20"/>
        </w:trPr>
        <w:tc>
          <w:tcPr>
            <w:tcW w:w="1155" w:type="pct"/>
            <w:vMerge w:val="restart"/>
            <w:tcBorders>
              <w:top w:val="single" w:sz="4" w:space="0" w:color="auto"/>
            </w:tcBorders>
            <w:shd w:val="clear" w:color="auto" w:fill="auto"/>
            <w:vAlign w:val="center"/>
          </w:tcPr>
          <w:p w14:paraId="1B942C59" w14:textId="2449A1FB" w:rsidR="000948AB" w:rsidRPr="000B68C8" w:rsidRDefault="00F1088B" w:rsidP="00342407">
            <w:pPr>
              <w:pStyle w:val="NoSpacing"/>
              <w:rPr>
                <w:rFonts w:cs="Times New Roman"/>
                <w:sz w:val="18"/>
                <w:szCs w:val="18"/>
              </w:rPr>
            </w:pPr>
            <w:r w:rsidRPr="000B68C8">
              <w:rPr>
                <w:rFonts w:cs="Times New Roman"/>
                <w:sz w:val="18"/>
                <w:szCs w:val="18"/>
              </w:rPr>
              <w:t xml:space="preserve">Incident </w:t>
            </w:r>
            <w:r w:rsidR="000948AB" w:rsidRPr="000B68C8">
              <w:rPr>
                <w:rFonts w:cs="Times New Roman"/>
                <w:sz w:val="18"/>
                <w:szCs w:val="18"/>
              </w:rPr>
              <w:t>characteristics</w:t>
            </w:r>
          </w:p>
        </w:tc>
        <w:tc>
          <w:tcPr>
            <w:tcW w:w="1770" w:type="pct"/>
            <w:tcBorders>
              <w:top w:val="single" w:sz="4" w:space="0" w:color="auto"/>
            </w:tcBorders>
            <w:shd w:val="clear" w:color="auto" w:fill="auto"/>
            <w:vAlign w:val="center"/>
          </w:tcPr>
          <w:p w14:paraId="1E760F67" w14:textId="77777777" w:rsidR="000948AB" w:rsidRPr="000B68C8" w:rsidRDefault="000948AB" w:rsidP="00342407">
            <w:pPr>
              <w:pStyle w:val="NoSpacing"/>
              <w:rPr>
                <w:rFonts w:cs="Times New Roman"/>
                <w:sz w:val="18"/>
                <w:szCs w:val="18"/>
              </w:rPr>
            </w:pPr>
            <w:r w:rsidRPr="000B68C8">
              <w:rPr>
                <w:rFonts w:cs="Times New Roman"/>
                <w:sz w:val="18"/>
                <w:szCs w:val="18"/>
              </w:rPr>
              <w:t>Incident location</w:t>
            </w:r>
          </w:p>
        </w:tc>
        <w:tc>
          <w:tcPr>
            <w:tcW w:w="769" w:type="pct"/>
            <w:tcBorders>
              <w:top w:val="single" w:sz="4" w:space="0" w:color="auto"/>
            </w:tcBorders>
            <w:shd w:val="clear" w:color="auto" w:fill="9BBB59"/>
            <w:vAlign w:val="center"/>
          </w:tcPr>
          <w:p w14:paraId="32399752" w14:textId="77777777" w:rsidR="000948AB" w:rsidRPr="000B68C8" w:rsidRDefault="000948AB" w:rsidP="00342407">
            <w:pPr>
              <w:pStyle w:val="NoSpacing"/>
              <w:rPr>
                <w:rFonts w:cs="Times New Roman"/>
                <w:sz w:val="18"/>
                <w:szCs w:val="18"/>
              </w:rPr>
            </w:pPr>
            <w:r w:rsidRPr="000B68C8">
              <w:rPr>
                <w:rFonts w:cs="Times New Roman"/>
                <w:sz w:val="18"/>
                <w:szCs w:val="18"/>
              </w:rPr>
              <w:t>Yes, 70 %</w:t>
            </w:r>
          </w:p>
        </w:tc>
        <w:tc>
          <w:tcPr>
            <w:tcW w:w="693" w:type="pct"/>
            <w:tcBorders>
              <w:top w:val="single" w:sz="4" w:space="0" w:color="auto"/>
            </w:tcBorders>
            <w:shd w:val="clear" w:color="auto" w:fill="B7312C"/>
            <w:vAlign w:val="center"/>
          </w:tcPr>
          <w:p w14:paraId="666EE167"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c>
          <w:tcPr>
            <w:tcW w:w="613" w:type="pct"/>
            <w:tcBorders>
              <w:top w:val="single" w:sz="4" w:space="0" w:color="auto"/>
            </w:tcBorders>
            <w:shd w:val="clear" w:color="auto" w:fill="9BBB59"/>
            <w:vAlign w:val="center"/>
          </w:tcPr>
          <w:p w14:paraId="46CA2A99"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r>
      <w:tr w:rsidR="00727BC8" w:rsidRPr="000B68C8" w14:paraId="6B6FFACD" w14:textId="77777777" w:rsidTr="006362F9">
        <w:trPr>
          <w:trHeight w:val="414"/>
        </w:trPr>
        <w:tc>
          <w:tcPr>
            <w:tcW w:w="1155" w:type="pct"/>
            <w:vMerge/>
            <w:shd w:val="clear" w:color="auto" w:fill="auto"/>
            <w:vAlign w:val="center"/>
          </w:tcPr>
          <w:p w14:paraId="71B6CDAA"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0CFCDD3C" w14:textId="77777777" w:rsidR="000948AB" w:rsidRPr="000B68C8" w:rsidRDefault="000948AB" w:rsidP="00342407">
            <w:pPr>
              <w:pStyle w:val="NoSpacing"/>
              <w:rPr>
                <w:rFonts w:cs="Times New Roman"/>
                <w:sz w:val="18"/>
                <w:szCs w:val="18"/>
              </w:rPr>
            </w:pPr>
            <w:r w:rsidRPr="000B68C8">
              <w:rPr>
                <w:rFonts w:cs="Times New Roman"/>
                <w:sz w:val="18"/>
                <w:szCs w:val="18"/>
              </w:rPr>
              <w:t>Incident date</w:t>
            </w:r>
          </w:p>
        </w:tc>
        <w:tc>
          <w:tcPr>
            <w:tcW w:w="769" w:type="pct"/>
            <w:shd w:val="clear" w:color="auto" w:fill="9BBB59"/>
            <w:vAlign w:val="center"/>
          </w:tcPr>
          <w:p w14:paraId="5BBFFE9E"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c>
          <w:tcPr>
            <w:tcW w:w="693" w:type="pct"/>
            <w:shd w:val="clear" w:color="auto" w:fill="9BBB59"/>
            <w:vAlign w:val="center"/>
          </w:tcPr>
          <w:p w14:paraId="6F97D999"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c>
          <w:tcPr>
            <w:tcW w:w="613" w:type="pct"/>
            <w:shd w:val="clear" w:color="auto" w:fill="9BBB59"/>
            <w:vAlign w:val="center"/>
          </w:tcPr>
          <w:p w14:paraId="2F83B97F" w14:textId="77777777" w:rsidR="000948AB" w:rsidRPr="000B68C8" w:rsidRDefault="000948AB" w:rsidP="00342407">
            <w:pPr>
              <w:pStyle w:val="NoSpacing"/>
              <w:rPr>
                <w:rFonts w:cs="Times New Roman"/>
                <w:sz w:val="18"/>
                <w:szCs w:val="18"/>
              </w:rPr>
            </w:pPr>
            <w:r w:rsidRPr="000B68C8">
              <w:rPr>
                <w:rFonts w:cs="Times New Roman"/>
                <w:sz w:val="18"/>
                <w:szCs w:val="18"/>
              </w:rPr>
              <w:t xml:space="preserve">Yes, 85 % (*) and 78 %*** </w:t>
            </w:r>
          </w:p>
        </w:tc>
      </w:tr>
      <w:tr w:rsidR="00727BC8" w:rsidRPr="000B68C8" w14:paraId="2CD1A789" w14:textId="77777777" w:rsidTr="002A70D3">
        <w:trPr>
          <w:trHeight w:val="20"/>
        </w:trPr>
        <w:tc>
          <w:tcPr>
            <w:tcW w:w="1155" w:type="pct"/>
            <w:vMerge/>
            <w:shd w:val="clear" w:color="auto" w:fill="auto"/>
            <w:vAlign w:val="center"/>
          </w:tcPr>
          <w:p w14:paraId="41F5771E" w14:textId="77777777" w:rsidR="000948AB" w:rsidRPr="000B68C8" w:rsidRDefault="000948AB" w:rsidP="00342407">
            <w:pPr>
              <w:pStyle w:val="NoSpacing"/>
              <w:rPr>
                <w:rFonts w:cs="Times New Roman"/>
                <w:sz w:val="18"/>
                <w:szCs w:val="18"/>
              </w:rPr>
            </w:pPr>
          </w:p>
        </w:tc>
        <w:tc>
          <w:tcPr>
            <w:tcW w:w="1770" w:type="pct"/>
            <w:shd w:val="clear" w:color="auto" w:fill="auto"/>
            <w:vAlign w:val="center"/>
          </w:tcPr>
          <w:p w14:paraId="00E7A26D" w14:textId="77777777" w:rsidR="000948AB" w:rsidRPr="000B68C8" w:rsidRDefault="000948AB" w:rsidP="00342407">
            <w:pPr>
              <w:pStyle w:val="NoSpacing"/>
              <w:rPr>
                <w:rFonts w:cs="Times New Roman"/>
                <w:sz w:val="18"/>
                <w:szCs w:val="18"/>
              </w:rPr>
            </w:pPr>
            <w:r w:rsidRPr="000B68C8">
              <w:rPr>
                <w:rFonts w:cs="Times New Roman"/>
                <w:sz w:val="18"/>
                <w:szCs w:val="18"/>
              </w:rPr>
              <w:t>Incident time</w:t>
            </w:r>
          </w:p>
        </w:tc>
        <w:tc>
          <w:tcPr>
            <w:tcW w:w="769" w:type="pct"/>
            <w:shd w:val="clear" w:color="auto" w:fill="9BBB59"/>
            <w:vAlign w:val="center"/>
          </w:tcPr>
          <w:p w14:paraId="514EF1FC"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c>
          <w:tcPr>
            <w:tcW w:w="693" w:type="pct"/>
            <w:shd w:val="clear" w:color="auto" w:fill="B7312C"/>
            <w:vAlign w:val="center"/>
          </w:tcPr>
          <w:p w14:paraId="5CA627D7"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c>
          <w:tcPr>
            <w:tcW w:w="613" w:type="pct"/>
            <w:shd w:val="clear" w:color="auto" w:fill="9BBB59"/>
            <w:vAlign w:val="center"/>
          </w:tcPr>
          <w:p w14:paraId="6D53397F" w14:textId="77777777" w:rsidR="000948AB" w:rsidRPr="000B68C8" w:rsidRDefault="000948AB" w:rsidP="00342407">
            <w:pPr>
              <w:pStyle w:val="NoSpacing"/>
              <w:rPr>
                <w:rFonts w:cs="Times New Roman"/>
                <w:sz w:val="18"/>
                <w:szCs w:val="18"/>
              </w:rPr>
            </w:pPr>
            <w:r w:rsidRPr="000B68C8">
              <w:rPr>
                <w:rFonts w:cs="Times New Roman"/>
                <w:sz w:val="18"/>
                <w:szCs w:val="18"/>
              </w:rPr>
              <w:t>Yes, 59 %</w:t>
            </w:r>
          </w:p>
        </w:tc>
      </w:tr>
      <w:tr w:rsidR="00727BC8" w:rsidRPr="000B68C8" w14:paraId="7E35A518" w14:textId="77777777" w:rsidTr="002A70D3">
        <w:trPr>
          <w:trHeight w:val="20"/>
        </w:trPr>
        <w:tc>
          <w:tcPr>
            <w:tcW w:w="1155" w:type="pct"/>
            <w:vMerge/>
            <w:shd w:val="clear" w:color="auto" w:fill="auto"/>
            <w:vAlign w:val="center"/>
          </w:tcPr>
          <w:p w14:paraId="021509EA"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7C2A12FF" w14:textId="77777777" w:rsidR="000948AB" w:rsidRPr="000B68C8" w:rsidRDefault="000948AB" w:rsidP="00342407">
            <w:pPr>
              <w:pStyle w:val="NoSpacing"/>
              <w:rPr>
                <w:rFonts w:cs="Times New Roman"/>
                <w:sz w:val="18"/>
                <w:szCs w:val="18"/>
              </w:rPr>
            </w:pPr>
            <w:r w:rsidRPr="000B68C8">
              <w:rPr>
                <w:rFonts w:cs="Times New Roman"/>
                <w:sz w:val="18"/>
                <w:szCs w:val="18"/>
              </w:rPr>
              <w:t>Fire detection time</w:t>
            </w:r>
          </w:p>
        </w:tc>
        <w:tc>
          <w:tcPr>
            <w:tcW w:w="769" w:type="pct"/>
            <w:shd w:val="clear" w:color="auto" w:fill="9BBB59"/>
            <w:vAlign w:val="center"/>
          </w:tcPr>
          <w:p w14:paraId="7527BB4B" w14:textId="77777777" w:rsidR="000948AB" w:rsidRPr="000B68C8" w:rsidRDefault="000948AB" w:rsidP="00342407">
            <w:pPr>
              <w:pStyle w:val="NoSpacing"/>
              <w:rPr>
                <w:rFonts w:cs="Times New Roman"/>
                <w:sz w:val="18"/>
                <w:szCs w:val="18"/>
              </w:rPr>
            </w:pPr>
            <w:r w:rsidRPr="000B68C8">
              <w:rPr>
                <w:rFonts w:cs="Times New Roman"/>
                <w:sz w:val="18"/>
                <w:szCs w:val="18"/>
              </w:rPr>
              <w:t>Yes, 52 %</w:t>
            </w:r>
          </w:p>
        </w:tc>
        <w:tc>
          <w:tcPr>
            <w:tcW w:w="693" w:type="pct"/>
            <w:shd w:val="clear" w:color="auto" w:fill="B7312C"/>
            <w:vAlign w:val="center"/>
          </w:tcPr>
          <w:p w14:paraId="10492A5B"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shd w:val="clear" w:color="auto" w:fill="B7312C"/>
            <w:vAlign w:val="center"/>
          </w:tcPr>
          <w:p w14:paraId="61EA8D25" w14:textId="77777777" w:rsidR="000948AB" w:rsidRPr="000B68C8" w:rsidRDefault="000948AB" w:rsidP="00342407">
            <w:pPr>
              <w:pStyle w:val="NoSpacing"/>
              <w:rPr>
                <w:rFonts w:cs="Times New Roman"/>
                <w:sz w:val="18"/>
                <w:szCs w:val="18"/>
              </w:rPr>
            </w:pPr>
            <w:r w:rsidRPr="000B68C8">
              <w:rPr>
                <w:rFonts w:cs="Times New Roman"/>
                <w:sz w:val="18"/>
                <w:szCs w:val="18"/>
              </w:rPr>
              <w:t>No</w:t>
            </w:r>
          </w:p>
        </w:tc>
      </w:tr>
      <w:tr w:rsidR="00727BC8" w:rsidRPr="000B68C8" w14:paraId="755F72E7" w14:textId="77777777" w:rsidTr="002A70D3">
        <w:trPr>
          <w:trHeight w:val="20"/>
        </w:trPr>
        <w:tc>
          <w:tcPr>
            <w:tcW w:w="1155" w:type="pct"/>
            <w:vMerge/>
            <w:shd w:val="clear" w:color="auto" w:fill="auto"/>
            <w:vAlign w:val="center"/>
          </w:tcPr>
          <w:p w14:paraId="6B0B960F"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36889F88" w14:textId="77777777" w:rsidR="000948AB" w:rsidRPr="000B68C8" w:rsidRDefault="000948AB" w:rsidP="00342407">
            <w:pPr>
              <w:pStyle w:val="NoSpacing"/>
              <w:rPr>
                <w:rFonts w:cs="Times New Roman"/>
                <w:sz w:val="18"/>
                <w:szCs w:val="18"/>
              </w:rPr>
            </w:pPr>
            <w:r w:rsidRPr="000B68C8">
              <w:rPr>
                <w:rFonts w:cs="Times New Roman"/>
                <w:sz w:val="18"/>
                <w:szCs w:val="18"/>
              </w:rPr>
              <w:t>Fire brigade response time</w:t>
            </w:r>
          </w:p>
        </w:tc>
        <w:tc>
          <w:tcPr>
            <w:tcW w:w="769" w:type="pct"/>
            <w:shd w:val="clear" w:color="auto" w:fill="9BBB59"/>
            <w:vAlign w:val="center"/>
          </w:tcPr>
          <w:p w14:paraId="325CF568" w14:textId="77777777" w:rsidR="000948AB" w:rsidRPr="000B68C8" w:rsidRDefault="000948AB" w:rsidP="00342407">
            <w:pPr>
              <w:pStyle w:val="NoSpacing"/>
              <w:rPr>
                <w:rFonts w:cs="Times New Roman"/>
                <w:sz w:val="18"/>
                <w:szCs w:val="18"/>
              </w:rPr>
            </w:pPr>
            <w:r w:rsidRPr="000B68C8">
              <w:rPr>
                <w:rFonts w:cs="Times New Roman"/>
                <w:sz w:val="18"/>
                <w:szCs w:val="18"/>
              </w:rPr>
              <w:t>Yes, 56 %</w:t>
            </w:r>
          </w:p>
        </w:tc>
        <w:tc>
          <w:tcPr>
            <w:tcW w:w="693" w:type="pct"/>
            <w:shd w:val="clear" w:color="auto" w:fill="B7312C"/>
            <w:vAlign w:val="center"/>
          </w:tcPr>
          <w:p w14:paraId="333F57D2" w14:textId="77777777" w:rsidR="000948AB" w:rsidRPr="000B68C8" w:rsidRDefault="000948AB" w:rsidP="00342407">
            <w:pPr>
              <w:pStyle w:val="NoSpacing"/>
              <w:rPr>
                <w:rFonts w:cs="Times New Roman"/>
                <w:sz w:val="18"/>
                <w:szCs w:val="18"/>
              </w:rPr>
            </w:pPr>
            <w:r w:rsidRPr="000B68C8">
              <w:rPr>
                <w:rFonts w:cs="Times New Roman"/>
                <w:sz w:val="18"/>
                <w:szCs w:val="18"/>
              </w:rPr>
              <w:t>No, 11 %</w:t>
            </w:r>
          </w:p>
        </w:tc>
        <w:tc>
          <w:tcPr>
            <w:tcW w:w="613" w:type="pct"/>
            <w:shd w:val="clear" w:color="auto" w:fill="B7312C"/>
            <w:vAlign w:val="center"/>
          </w:tcPr>
          <w:p w14:paraId="2018E03E" w14:textId="77777777" w:rsidR="000948AB" w:rsidRPr="000B68C8" w:rsidRDefault="000948AB" w:rsidP="00342407">
            <w:pPr>
              <w:pStyle w:val="NoSpacing"/>
              <w:rPr>
                <w:rFonts w:cs="Times New Roman"/>
                <w:sz w:val="18"/>
                <w:szCs w:val="18"/>
              </w:rPr>
            </w:pPr>
            <w:r w:rsidRPr="000B68C8">
              <w:rPr>
                <w:rFonts w:cs="Times New Roman"/>
                <w:sz w:val="18"/>
                <w:szCs w:val="18"/>
              </w:rPr>
              <w:t>No, 33 %</w:t>
            </w:r>
          </w:p>
        </w:tc>
      </w:tr>
      <w:tr w:rsidR="00727BC8" w:rsidRPr="000B68C8" w14:paraId="1EC178B6" w14:textId="77777777" w:rsidTr="002A70D3">
        <w:trPr>
          <w:trHeight w:val="20"/>
        </w:trPr>
        <w:tc>
          <w:tcPr>
            <w:tcW w:w="1155" w:type="pct"/>
            <w:vMerge/>
            <w:shd w:val="clear" w:color="auto" w:fill="auto"/>
            <w:vAlign w:val="center"/>
          </w:tcPr>
          <w:p w14:paraId="69C7F396" w14:textId="77777777" w:rsidR="000948AB" w:rsidRPr="000B68C8" w:rsidDel="005E3019" w:rsidRDefault="000948AB" w:rsidP="00342407">
            <w:pPr>
              <w:pStyle w:val="NoSpacing"/>
              <w:rPr>
                <w:rFonts w:cs="Times New Roman"/>
                <w:sz w:val="18"/>
                <w:szCs w:val="18"/>
              </w:rPr>
            </w:pPr>
          </w:p>
        </w:tc>
        <w:tc>
          <w:tcPr>
            <w:tcW w:w="1770" w:type="pct"/>
            <w:shd w:val="clear" w:color="auto" w:fill="auto"/>
            <w:vAlign w:val="center"/>
          </w:tcPr>
          <w:p w14:paraId="36D8C272" w14:textId="77777777" w:rsidR="000948AB" w:rsidRPr="000B68C8" w:rsidRDefault="000948AB" w:rsidP="00342407">
            <w:pPr>
              <w:pStyle w:val="NoSpacing"/>
              <w:rPr>
                <w:rFonts w:cs="Times New Roman"/>
                <w:sz w:val="18"/>
                <w:szCs w:val="18"/>
              </w:rPr>
            </w:pPr>
            <w:r w:rsidRPr="000B68C8">
              <w:rPr>
                <w:rFonts w:cs="Times New Roman"/>
                <w:sz w:val="18"/>
                <w:szCs w:val="18"/>
              </w:rPr>
              <w:t>Time between fire brigade arrival and withdrawal</w:t>
            </w:r>
          </w:p>
        </w:tc>
        <w:tc>
          <w:tcPr>
            <w:tcW w:w="769" w:type="pct"/>
            <w:shd w:val="clear" w:color="auto" w:fill="B7312C"/>
            <w:vAlign w:val="center"/>
          </w:tcPr>
          <w:p w14:paraId="34A85A0B" w14:textId="77777777" w:rsidR="000948AB" w:rsidRPr="000B68C8" w:rsidRDefault="000948AB" w:rsidP="00342407">
            <w:pPr>
              <w:pStyle w:val="NoSpacing"/>
              <w:rPr>
                <w:rFonts w:cs="Times New Roman"/>
                <w:sz w:val="18"/>
                <w:szCs w:val="18"/>
              </w:rPr>
            </w:pPr>
            <w:r w:rsidRPr="000B68C8">
              <w:rPr>
                <w:rFonts w:cs="Times New Roman"/>
                <w:sz w:val="18"/>
                <w:szCs w:val="18"/>
              </w:rPr>
              <w:t>No, 7 %</w:t>
            </w:r>
          </w:p>
        </w:tc>
        <w:tc>
          <w:tcPr>
            <w:tcW w:w="693" w:type="pct"/>
            <w:shd w:val="clear" w:color="auto" w:fill="B7312C"/>
            <w:vAlign w:val="center"/>
          </w:tcPr>
          <w:p w14:paraId="39932E8A"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shd w:val="clear" w:color="auto" w:fill="9BBB59"/>
            <w:vAlign w:val="center"/>
          </w:tcPr>
          <w:p w14:paraId="5E6D361A" w14:textId="6FD94B90" w:rsidR="000948AB" w:rsidRPr="000B68C8" w:rsidRDefault="000948AB" w:rsidP="00342407">
            <w:pPr>
              <w:pStyle w:val="NoSpacing"/>
              <w:rPr>
                <w:rFonts w:cs="Times New Roman"/>
                <w:sz w:val="18"/>
                <w:szCs w:val="18"/>
              </w:rPr>
            </w:pPr>
            <w:r w:rsidRPr="000B68C8">
              <w:rPr>
                <w:rFonts w:cs="Times New Roman"/>
                <w:sz w:val="18"/>
                <w:szCs w:val="18"/>
              </w:rPr>
              <w:t>Yes, 67 %</w:t>
            </w:r>
            <w:r w:rsidR="0073485F" w:rsidRPr="000B68C8">
              <w:rPr>
                <w:rFonts w:cs="Times New Roman"/>
                <w:sz w:val="18"/>
                <w:szCs w:val="18"/>
              </w:rPr>
              <w:t xml:space="preserve"> </w:t>
            </w:r>
            <w:r w:rsidRPr="000B68C8">
              <w:rPr>
                <w:rFonts w:cs="Times New Roman"/>
                <w:sz w:val="18"/>
                <w:szCs w:val="18"/>
              </w:rPr>
              <w:t>(*)</w:t>
            </w:r>
          </w:p>
        </w:tc>
      </w:tr>
      <w:tr w:rsidR="00727BC8" w:rsidRPr="000B68C8" w14:paraId="54AAE700" w14:textId="77777777" w:rsidTr="002A70D3">
        <w:trPr>
          <w:trHeight w:val="20"/>
        </w:trPr>
        <w:tc>
          <w:tcPr>
            <w:tcW w:w="1155" w:type="pct"/>
            <w:vMerge/>
            <w:tcBorders>
              <w:bottom w:val="single" w:sz="4" w:space="0" w:color="auto"/>
            </w:tcBorders>
            <w:shd w:val="clear" w:color="auto" w:fill="auto"/>
            <w:vAlign w:val="center"/>
          </w:tcPr>
          <w:p w14:paraId="7F409BDB" w14:textId="77777777" w:rsidR="000948AB" w:rsidRPr="000B68C8" w:rsidDel="005E3019" w:rsidRDefault="000948AB" w:rsidP="00342407">
            <w:pPr>
              <w:pStyle w:val="NoSpacing"/>
              <w:rPr>
                <w:rFonts w:cs="Times New Roman"/>
                <w:sz w:val="18"/>
                <w:szCs w:val="18"/>
              </w:rPr>
            </w:pPr>
          </w:p>
        </w:tc>
        <w:tc>
          <w:tcPr>
            <w:tcW w:w="1770" w:type="pct"/>
            <w:tcBorders>
              <w:bottom w:val="single" w:sz="4" w:space="0" w:color="auto"/>
            </w:tcBorders>
            <w:shd w:val="clear" w:color="auto" w:fill="auto"/>
            <w:vAlign w:val="center"/>
          </w:tcPr>
          <w:p w14:paraId="6CA8142C" w14:textId="77777777" w:rsidR="000948AB" w:rsidRPr="000B68C8" w:rsidRDefault="000948AB" w:rsidP="00342407">
            <w:pPr>
              <w:pStyle w:val="NoSpacing"/>
              <w:rPr>
                <w:rFonts w:cs="Times New Roman"/>
                <w:sz w:val="18"/>
                <w:szCs w:val="18"/>
              </w:rPr>
            </w:pPr>
            <w:r w:rsidRPr="000B68C8">
              <w:rPr>
                <w:rFonts w:cs="Times New Roman"/>
                <w:sz w:val="18"/>
                <w:szCs w:val="18"/>
              </w:rPr>
              <w:t>Operation of fire safety measures</w:t>
            </w:r>
          </w:p>
        </w:tc>
        <w:tc>
          <w:tcPr>
            <w:tcW w:w="769" w:type="pct"/>
            <w:tcBorders>
              <w:bottom w:val="single" w:sz="4" w:space="0" w:color="auto"/>
            </w:tcBorders>
            <w:shd w:val="clear" w:color="auto" w:fill="F79646"/>
            <w:vAlign w:val="center"/>
          </w:tcPr>
          <w:p w14:paraId="071AC051" w14:textId="77777777" w:rsidR="000948AB" w:rsidRPr="000B68C8" w:rsidRDefault="000948AB" w:rsidP="00342407">
            <w:pPr>
              <w:pStyle w:val="NoSpacing"/>
              <w:rPr>
                <w:rFonts w:cs="Times New Roman"/>
                <w:sz w:val="18"/>
                <w:szCs w:val="18"/>
              </w:rPr>
            </w:pPr>
            <w:r w:rsidRPr="000B68C8">
              <w:rPr>
                <w:rFonts w:cs="Times New Roman"/>
                <w:sz w:val="18"/>
                <w:szCs w:val="18"/>
              </w:rPr>
              <w:t>Yes, 44 %</w:t>
            </w:r>
          </w:p>
        </w:tc>
        <w:tc>
          <w:tcPr>
            <w:tcW w:w="693" w:type="pct"/>
            <w:tcBorders>
              <w:bottom w:val="single" w:sz="4" w:space="0" w:color="auto"/>
            </w:tcBorders>
            <w:shd w:val="clear" w:color="auto" w:fill="B7312C"/>
            <w:vAlign w:val="center"/>
          </w:tcPr>
          <w:p w14:paraId="28509F4C" w14:textId="77777777" w:rsidR="000948AB" w:rsidRPr="000B68C8" w:rsidRDefault="000948AB" w:rsidP="00342407">
            <w:pPr>
              <w:pStyle w:val="NoSpacing"/>
              <w:rPr>
                <w:rFonts w:cs="Times New Roman"/>
                <w:sz w:val="18"/>
                <w:szCs w:val="18"/>
              </w:rPr>
            </w:pPr>
            <w:r w:rsidRPr="000B68C8">
              <w:rPr>
                <w:rFonts w:cs="Times New Roman"/>
                <w:sz w:val="18"/>
                <w:szCs w:val="18"/>
              </w:rPr>
              <w:t>No, 0 %</w:t>
            </w:r>
          </w:p>
        </w:tc>
        <w:tc>
          <w:tcPr>
            <w:tcW w:w="613" w:type="pct"/>
            <w:tcBorders>
              <w:bottom w:val="single" w:sz="4" w:space="0" w:color="auto"/>
            </w:tcBorders>
            <w:shd w:val="clear" w:color="auto" w:fill="B7312C"/>
            <w:vAlign w:val="center"/>
          </w:tcPr>
          <w:p w14:paraId="37FBDF1B" w14:textId="77777777" w:rsidR="000948AB" w:rsidRPr="000B68C8" w:rsidRDefault="000948AB" w:rsidP="00342407">
            <w:pPr>
              <w:pStyle w:val="NoSpacing"/>
              <w:rPr>
                <w:rFonts w:cs="Times New Roman"/>
                <w:sz w:val="18"/>
                <w:szCs w:val="18"/>
              </w:rPr>
            </w:pPr>
            <w:r w:rsidRPr="000B68C8">
              <w:rPr>
                <w:rFonts w:cs="Times New Roman"/>
                <w:sz w:val="18"/>
                <w:szCs w:val="18"/>
              </w:rPr>
              <w:t>No, 33%</w:t>
            </w:r>
          </w:p>
        </w:tc>
      </w:tr>
      <w:tr w:rsidR="005E7118" w:rsidRPr="000B68C8" w14:paraId="586BC614" w14:textId="77777777" w:rsidTr="002A70D3">
        <w:trPr>
          <w:trHeight w:val="20"/>
        </w:trPr>
        <w:tc>
          <w:tcPr>
            <w:tcW w:w="5000" w:type="pct"/>
            <w:gridSpan w:val="5"/>
            <w:tcBorders>
              <w:top w:val="single" w:sz="4" w:space="0" w:color="auto"/>
              <w:bottom w:val="single" w:sz="4" w:space="0" w:color="auto"/>
            </w:tcBorders>
            <w:shd w:val="clear" w:color="auto" w:fill="auto"/>
            <w:vAlign w:val="center"/>
          </w:tcPr>
          <w:p w14:paraId="6370C04F" w14:textId="77777777" w:rsidR="005E7118" w:rsidRPr="000B68C8" w:rsidDel="00941449" w:rsidRDefault="005E7118" w:rsidP="002A70D3">
            <w:pPr>
              <w:pStyle w:val="NoSpacing"/>
              <w:rPr>
                <w:rFonts w:cs="Times New Roman"/>
                <w:sz w:val="18"/>
                <w:szCs w:val="18"/>
              </w:rPr>
            </w:pPr>
            <w:r w:rsidRPr="000B68C8">
              <w:rPr>
                <w:rFonts w:cs="Times New Roman"/>
                <w:sz w:val="18"/>
                <w:szCs w:val="18"/>
              </w:rPr>
              <w:t xml:space="preserve">Note: Green = selected by 50 % or more, orange = selected by 40-49 %, red = selected by less than 40 %. </w:t>
            </w:r>
          </w:p>
          <w:p w14:paraId="778E72EF" w14:textId="77777777" w:rsidR="005E7118" w:rsidRPr="000B68C8" w:rsidRDefault="005E7118" w:rsidP="002A70D3">
            <w:pPr>
              <w:pStyle w:val="NoSpacing"/>
              <w:rPr>
                <w:rFonts w:cs="Times New Roman"/>
                <w:sz w:val="18"/>
                <w:szCs w:val="18"/>
              </w:rPr>
            </w:pPr>
            <w:r w:rsidRPr="000B68C8">
              <w:rPr>
                <w:rFonts w:cs="Times New Roman"/>
                <w:sz w:val="18"/>
                <w:szCs w:val="18"/>
              </w:rPr>
              <w:t>* 93 % number of fatalities, and 52 % number of injuries.</w:t>
            </w:r>
          </w:p>
          <w:p w14:paraId="2EDC2BAB" w14:textId="77777777" w:rsidR="005E7118" w:rsidRPr="000B68C8" w:rsidRDefault="005E7118" w:rsidP="002A70D3">
            <w:pPr>
              <w:pStyle w:val="NoSpacing"/>
              <w:rPr>
                <w:rFonts w:cs="Times New Roman"/>
                <w:sz w:val="18"/>
                <w:szCs w:val="18"/>
              </w:rPr>
            </w:pPr>
            <w:r w:rsidRPr="000B68C8">
              <w:rPr>
                <w:rFonts w:cs="Times New Roman"/>
                <w:sz w:val="18"/>
                <w:szCs w:val="18"/>
              </w:rPr>
              <w:t>** 41 % smoke alarm system, and 29 % fire extinguishing system.</w:t>
            </w:r>
          </w:p>
          <w:p w14:paraId="4F8407E0" w14:textId="77777777" w:rsidR="005E7118" w:rsidRPr="000B68C8" w:rsidRDefault="005E7118" w:rsidP="002A70D3">
            <w:pPr>
              <w:pStyle w:val="NoSpacing"/>
              <w:rPr>
                <w:rFonts w:cs="Times New Roman"/>
                <w:sz w:val="18"/>
                <w:szCs w:val="18"/>
              </w:rPr>
            </w:pPr>
            <w:r w:rsidRPr="000B68C8">
              <w:rPr>
                <w:rFonts w:cs="Times New Roman"/>
                <w:sz w:val="18"/>
                <w:szCs w:val="18"/>
              </w:rPr>
              <w:t>*** 85 % day, and 78 % month</w:t>
            </w:r>
          </w:p>
          <w:p w14:paraId="5DE5EAC1" w14:textId="0950F4AD" w:rsidR="005E7118" w:rsidRPr="000B68C8" w:rsidRDefault="005E7118" w:rsidP="002A70D3">
            <w:pPr>
              <w:pStyle w:val="NoSpacing"/>
              <w:rPr>
                <w:rFonts w:cs="Times New Roman"/>
                <w:sz w:val="18"/>
                <w:szCs w:val="18"/>
              </w:rPr>
            </w:pPr>
            <w:r w:rsidRPr="000B68C8">
              <w:rPr>
                <w:rFonts w:cs="Times New Roman"/>
                <w:sz w:val="18"/>
                <w:szCs w:val="18"/>
              </w:rPr>
              <w:t>(*) data extracted from Task 0</w:t>
            </w:r>
            <w:r w:rsidR="00A15BE6" w:rsidRPr="000B68C8">
              <w:rPr>
                <w:rFonts w:cs="Times New Roman"/>
                <w:sz w:val="18"/>
                <w:szCs w:val="18"/>
              </w:rPr>
              <w:t xml:space="preserve"> </w:t>
            </w:r>
            <w:r w:rsidR="00A22558" w:rsidRPr="000B68C8">
              <w:rPr>
                <w:rFonts w:cs="Times New Roman"/>
                <w:sz w:val="18"/>
                <w:szCs w:val="18"/>
              </w:rPr>
              <w:fldChar w:fldCharType="begin" w:fldLock="1"/>
            </w:r>
            <w:r w:rsidR="00C040BC" w:rsidRPr="000B68C8">
              <w:rPr>
                <w:rFonts w:cs="Times New Roman"/>
                <w:sz w:val="18"/>
                <w:szCs w:val="18"/>
              </w:rPr>
              <w:instrText>ADDIN CSL_CITATION {"citationItems":[{"id":"ITEM-1","itemData":{"author":[{"dropping-particle":"","family":"EU FireStat","given":"","non-dropping-particle":"","parse-names":false,"suffix":""}],"id":"ITEM-1","issued":{"date-parts":[["2021"]]},"title":"EU FireStat - Closing data gaps and paving the way for pan-European Fire Safety Efforts. Report Task 0 - Diagnostic","type":"report"},"uris":["http://www.mendeley.com/documents/?uuid=5e79237c-dd3a-44cf-b821-b1328ff5dd16"]}],"mendeley":{"formattedCitation":"[22]","plainTextFormattedCitation":"[22]","previouslyFormattedCitation":"[22]"},"properties":{"noteIndex":0},"schema":"https://github.com/citation-style-language/schema/raw/master/csl-citation.json"}</w:instrText>
            </w:r>
            <w:r w:rsidR="00A22558" w:rsidRPr="000B68C8">
              <w:rPr>
                <w:rFonts w:cs="Times New Roman"/>
                <w:sz w:val="18"/>
                <w:szCs w:val="18"/>
              </w:rPr>
              <w:fldChar w:fldCharType="separate"/>
            </w:r>
            <w:r w:rsidR="00A22558" w:rsidRPr="000B68C8">
              <w:rPr>
                <w:rFonts w:cs="Times New Roman"/>
                <w:noProof/>
                <w:sz w:val="18"/>
                <w:szCs w:val="18"/>
              </w:rPr>
              <w:t>[22]</w:t>
            </w:r>
            <w:r w:rsidR="00A22558" w:rsidRPr="000B68C8">
              <w:rPr>
                <w:rFonts w:cs="Times New Roman"/>
                <w:sz w:val="18"/>
                <w:szCs w:val="18"/>
              </w:rPr>
              <w:fldChar w:fldCharType="end"/>
            </w:r>
          </w:p>
        </w:tc>
      </w:tr>
    </w:tbl>
    <w:p w14:paraId="792F2E16" w14:textId="45F15ABC" w:rsidR="000948AB" w:rsidRPr="000B68C8" w:rsidRDefault="00EA07E8">
      <w:pPr>
        <w:keepNext/>
        <w:jc w:val="center"/>
        <w:rPr>
          <w:lang w:val="en-US"/>
        </w:rPr>
      </w:pPr>
      <w:r>
        <w:rPr>
          <w:noProof/>
          <w:lang w:val="en-US"/>
        </w:rPr>
        <w:drawing>
          <wp:inline distT="0" distB="0" distL="0" distR="0" wp14:anchorId="63214434" wp14:editId="770CED1D">
            <wp:extent cx="1993265" cy="215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2158365"/>
                    </a:xfrm>
                    <a:prstGeom prst="rect">
                      <a:avLst/>
                    </a:prstGeom>
                    <a:noFill/>
                  </pic:spPr>
                </pic:pic>
              </a:graphicData>
            </a:graphic>
          </wp:inline>
        </w:drawing>
      </w:r>
    </w:p>
    <w:p w14:paraId="62CC798A" w14:textId="0612F352" w:rsidR="00772492" w:rsidRPr="000B68C8" w:rsidRDefault="006C54FA">
      <w:pPr>
        <w:pStyle w:val="Caption"/>
      </w:pPr>
      <w:bookmarkStart w:id="39" w:name="_Ref87526878"/>
      <w:bookmarkStart w:id="40" w:name="_Hlk109482811"/>
      <w:r w:rsidRPr="000B68C8">
        <w:t xml:space="preserve">Figure </w:t>
      </w:r>
      <w:r w:rsidR="00743239" w:rsidRPr="000B68C8">
        <w:rPr>
          <w:i w:val="0"/>
          <w:iCs w:val="0"/>
        </w:rPr>
        <w:fldChar w:fldCharType="begin"/>
      </w:r>
      <w:r w:rsidR="00743239" w:rsidRPr="000B68C8">
        <w:rPr>
          <w:i w:val="0"/>
          <w:iCs w:val="0"/>
        </w:rPr>
        <w:instrText xml:space="preserve"> SEQ Figure \* ARABIC </w:instrText>
      </w:r>
      <w:r w:rsidR="00743239" w:rsidRPr="000B68C8">
        <w:rPr>
          <w:i w:val="0"/>
          <w:iCs w:val="0"/>
        </w:rPr>
        <w:fldChar w:fldCharType="separate"/>
      </w:r>
      <w:r w:rsidR="00527272" w:rsidRPr="000B68C8">
        <w:rPr>
          <w:i w:val="0"/>
          <w:iCs w:val="0"/>
          <w:noProof/>
        </w:rPr>
        <w:t>3</w:t>
      </w:r>
      <w:r w:rsidR="00743239" w:rsidRPr="000B68C8">
        <w:rPr>
          <w:i w:val="0"/>
          <w:iCs w:val="0"/>
          <w:noProof/>
          <w:sz w:val="22"/>
          <w:szCs w:val="22"/>
        </w:rPr>
        <w:fldChar w:fldCharType="end"/>
      </w:r>
      <w:bookmarkEnd w:id="39"/>
      <w:r w:rsidRPr="000B68C8">
        <w:t xml:space="preserve">: Data confirmed by stakeholders, the consortium, and </w:t>
      </w:r>
      <w:r w:rsidR="00F17EBB" w:rsidRPr="000B68C8">
        <w:t>available in the fire statistics of the EU Member States</w:t>
      </w:r>
    </w:p>
    <w:p w14:paraId="6BC4AB4A" w14:textId="6883D822" w:rsidR="000948AB" w:rsidRPr="000B68C8" w:rsidRDefault="00E35015" w:rsidP="00342407">
      <w:pPr>
        <w:pStyle w:val="Caption"/>
        <w:keepNext/>
      </w:pPr>
      <w:bookmarkStart w:id="41" w:name="_Ref87527866"/>
      <w:bookmarkStart w:id="42" w:name="_Ref88833397"/>
      <w:bookmarkEnd w:id="40"/>
      <w:r w:rsidRPr="000B68C8">
        <w:t xml:space="preserve">Table </w:t>
      </w:r>
      <w:fldSimple w:instr=" SEQ Table \* ARABIC ">
        <w:r w:rsidR="00527272" w:rsidRPr="000B68C8">
          <w:rPr>
            <w:noProof/>
          </w:rPr>
          <w:t>4</w:t>
        </w:r>
      </w:fldSimple>
      <w:bookmarkEnd w:id="41"/>
      <w:bookmarkEnd w:id="42"/>
      <w:r w:rsidRPr="000B68C8">
        <w:t xml:space="preserve">: Variables per section of the Venn diagram </w:t>
      </w:r>
      <w:r w:rsidR="00F17EBB" w:rsidRPr="000B68C8">
        <w:t xml:space="preserve">shown in </w:t>
      </w:r>
      <w:r w:rsidR="00F17EBB" w:rsidRPr="000B68C8">
        <w:fldChar w:fldCharType="begin"/>
      </w:r>
      <w:r w:rsidR="00F17EBB" w:rsidRPr="000B68C8">
        <w:instrText xml:space="preserve"> REF _Ref87526878 \h </w:instrText>
      </w:r>
      <w:r w:rsidR="000B68C8">
        <w:instrText xml:space="preserve"> \* MERGEFORMAT </w:instrText>
      </w:r>
      <w:r w:rsidR="00F17EBB" w:rsidRPr="000B68C8">
        <w:fldChar w:fldCharType="separate"/>
      </w:r>
      <w:r w:rsidR="00527272" w:rsidRPr="000B68C8">
        <w:t xml:space="preserve">Figure </w:t>
      </w:r>
      <w:r w:rsidR="00527272" w:rsidRPr="000B68C8">
        <w:rPr>
          <w:i w:val="0"/>
          <w:iCs w:val="0"/>
          <w:noProof/>
        </w:rPr>
        <w:t>3</w:t>
      </w:r>
      <w:r w:rsidR="00F17EBB" w:rsidRPr="000B68C8">
        <w:fldChar w:fldCharType="end"/>
      </w:r>
      <w:r w:rsidR="00F17EBB" w:rsidRPr="000B68C8">
        <w:t xml:space="preserve"> </w:t>
      </w:r>
      <w:r w:rsidRPr="000B68C8">
        <w:t>classified according to Tier</w:t>
      </w:r>
      <w:r w:rsidR="0059065C" w:rsidRPr="000B68C8">
        <w:t>s</w:t>
      </w:r>
      <w:r w:rsidRPr="000B68C8">
        <w:t xml:space="preserve"> 1,</w:t>
      </w:r>
      <w:r w:rsidR="0009689C" w:rsidRPr="000B68C8">
        <w:t xml:space="preserve"> </w:t>
      </w:r>
      <w:r w:rsidRPr="000B68C8">
        <w:t>2 and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
        <w:gridCol w:w="3707"/>
        <w:gridCol w:w="850"/>
        <w:gridCol w:w="3923"/>
      </w:tblGrid>
      <w:tr w:rsidR="003C5BF4" w:rsidRPr="000B68C8" w14:paraId="22490588" w14:textId="77777777" w:rsidTr="00342407">
        <w:trPr>
          <w:jc w:val="center"/>
        </w:trPr>
        <w:tc>
          <w:tcPr>
            <w:tcW w:w="546" w:type="dxa"/>
            <w:tcBorders>
              <w:top w:val="single" w:sz="4" w:space="0" w:color="auto"/>
              <w:bottom w:val="single" w:sz="4" w:space="0" w:color="auto"/>
              <w:right w:val="single" w:sz="4" w:space="0" w:color="auto"/>
            </w:tcBorders>
            <w:shd w:val="clear" w:color="auto" w:fill="auto"/>
            <w:vAlign w:val="center"/>
          </w:tcPr>
          <w:p w14:paraId="72EC1FE7" w14:textId="77777777" w:rsidR="000948AB" w:rsidRPr="000B68C8" w:rsidRDefault="000948AB" w:rsidP="00342407">
            <w:pPr>
              <w:pStyle w:val="NoSpacing"/>
              <w:jc w:val="center"/>
              <w:rPr>
                <w:rFonts w:cs="Times New Roman"/>
                <w:b/>
                <w:bCs/>
                <w:sz w:val="18"/>
                <w:szCs w:val="20"/>
                <w:lang w:eastAsia="nl-NL"/>
              </w:rPr>
            </w:pPr>
            <w:r w:rsidRPr="000B68C8">
              <w:rPr>
                <w:rFonts w:cs="Times New Roman"/>
                <w:b/>
                <w:bCs/>
                <w:sz w:val="18"/>
                <w:szCs w:val="20"/>
                <w:lang w:eastAsia="nl-NL"/>
              </w:rPr>
              <w:t>Tier</w:t>
            </w:r>
          </w:p>
        </w:tc>
        <w:tc>
          <w:tcPr>
            <w:tcW w:w="3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E204" w14:textId="10A45BE2" w:rsidR="000948AB" w:rsidRPr="000B68C8" w:rsidRDefault="003C5BF4" w:rsidP="00342407">
            <w:pPr>
              <w:pStyle w:val="NoSpacing"/>
              <w:jc w:val="center"/>
              <w:rPr>
                <w:rFonts w:cs="Times New Roman"/>
                <w:b/>
                <w:bCs/>
                <w:sz w:val="18"/>
                <w:szCs w:val="20"/>
                <w:lang w:eastAsia="nl-NL"/>
              </w:rPr>
            </w:pPr>
            <w:r w:rsidRPr="000B68C8">
              <w:rPr>
                <w:rFonts w:cs="Times New Roman"/>
                <w:b/>
                <w:bCs/>
                <w:sz w:val="18"/>
                <w:szCs w:val="20"/>
                <w:lang w:eastAsia="nl-NL"/>
              </w:rPr>
              <w:t>Intersection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3BB275" w14:textId="77777777" w:rsidR="000948AB" w:rsidRPr="000B68C8" w:rsidRDefault="000948AB" w:rsidP="00342407">
            <w:pPr>
              <w:pStyle w:val="NoSpacing"/>
              <w:jc w:val="center"/>
              <w:rPr>
                <w:rFonts w:cs="Times New Roman"/>
                <w:b/>
                <w:bCs/>
                <w:sz w:val="18"/>
                <w:szCs w:val="20"/>
                <w:lang w:eastAsia="nl-NL"/>
              </w:rPr>
            </w:pPr>
            <w:r w:rsidRPr="000B68C8">
              <w:rPr>
                <w:rFonts w:cs="Times New Roman"/>
                <w:b/>
                <w:bCs/>
                <w:sz w:val="18"/>
                <w:szCs w:val="20"/>
                <w:lang w:eastAsia="nl-NL"/>
              </w:rPr>
              <w:t>Total</w:t>
            </w:r>
          </w:p>
        </w:tc>
        <w:tc>
          <w:tcPr>
            <w:tcW w:w="3923" w:type="dxa"/>
            <w:tcBorders>
              <w:top w:val="single" w:sz="4" w:space="0" w:color="auto"/>
              <w:left w:val="single" w:sz="4" w:space="0" w:color="auto"/>
              <w:bottom w:val="single" w:sz="4" w:space="0" w:color="auto"/>
            </w:tcBorders>
            <w:shd w:val="clear" w:color="auto" w:fill="auto"/>
            <w:hideMark/>
          </w:tcPr>
          <w:p w14:paraId="593A07C5" w14:textId="77777777" w:rsidR="000948AB" w:rsidRPr="000B68C8" w:rsidRDefault="000948AB" w:rsidP="00342407">
            <w:pPr>
              <w:pStyle w:val="NoSpacing"/>
              <w:jc w:val="center"/>
              <w:rPr>
                <w:rFonts w:cs="Times New Roman"/>
                <w:b/>
                <w:bCs/>
                <w:sz w:val="18"/>
                <w:szCs w:val="20"/>
                <w:lang w:eastAsia="nl-NL"/>
              </w:rPr>
            </w:pPr>
            <w:r w:rsidRPr="000B68C8">
              <w:rPr>
                <w:rFonts w:cs="Times New Roman"/>
                <w:b/>
                <w:bCs/>
                <w:sz w:val="18"/>
                <w:szCs w:val="20"/>
                <w:lang w:eastAsia="nl-NL"/>
              </w:rPr>
              <w:t>Variables</w:t>
            </w:r>
          </w:p>
        </w:tc>
      </w:tr>
      <w:tr w:rsidR="003C5BF4" w:rsidRPr="000B68C8" w14:paraId="4251B329" w14:textId="77777777" w:rsidTr="00342407">
        <w:trPr>
          <w:jc w:val="center"/>
        </w:trPr>
        <w:tc>
          <w:tcPr>
            <w:tcW w:w="546" w:type="dxa"/>
            <w:vMerge w:val="restart"/>
            <w:tcBorders>
              <w:top w:val="single" w:sz="4" w:space="0" w:color="auto"/>
              <w:right w:val="single" w:sz="4" w:space="0" w:color="auto"/>
            </w:tcBorders>
            <w:vAlign w:val="center"/>
          </w:tcPr>
          <w:p w14:paraId="6665FAA3" w14:textId="2BE2952A" w:rsidR="006C54FA" w:rsidRPr="000B68C8" w:rsidRDefault="006C54FA" w:rsidP="00342407">
            <w:pPr>
              <w:pStyle w:val="NoSpacing"/>
              <w:jc w:val="center"/>
              <w:rPr>
                <w:rFonts w:cs="Times New Roman"/>
                <w:b/>
                <w:bCs/>
                <w:sz w:val="18"/>
                <w:szCs w:val="20"/>
                <w:lang w:eastAsia="nl-NL"/>
              </w:rPr>
            </w:pPr>
            <w:r w:rsidRPr="000B68C8">
              <w:rPr>
                <w:rFonts w:cs="Times New Roman"/>
                <w:b/>
                <w:bCs/>
                <w:sz w:val="18"/>
                <w:szCs w:val="20"/>
                <w:lang w:eastAsia="nl-NL"/>
              </w:rPr>
              <w:t>1</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14D1CF3" w14:textId="2E8140B4"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Consortium &amp; Data collected &amp; Stakeholders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5C7909" w14:textId="77777777"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4</w:t>
            </w:r>
          </w:p>
        </w:tc>
        <w:tc>
          <w:tcPr>
            <w:tcW w:w="3923" w:type="dxa"/>
            <w:tcBorders>
              <w:top w:val="single" w:sz="4" w:space="0" w:color="auto"/>
              <w:left w:val="single" w:sz="4" w:space="0" w:color="auto"/>
              <w:bottom w:val="single" w:sz="4" w:space="0" w:color="auto"/>
            </w:tcBorders>
            <w:hideMark/>
          </w:tcPr>
          <w:p w14:paraId="44D7FB98" w14:textId="04133434"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 xml:space="preserve">Number of </w:t>
            </w:r>
            <w:r w:rsidR="0009689C" w:rsidRPr="000B68C8">
              <w:rPr>
                <w:rFonts w:cs="Times New Roman"/>
                <w:sz w:val="18"/>
                <w:szCs w:val="20"/>
                <w:lang w:eastAsia="nl-NL"/>
              </w:rPr>
              <w:t>fatalities</w:t>
            </w:r>
          </w:p>
          <w:p w14:paraId="28451F5E" w14:textId="6FC65002"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Age</w:t>
            </w:r>
            <w:r w:rsidR="00E35015" w:rsidRPr="000B68C8">
              <w:rPr>
                <w:rFonts w:cs="Times New Roman"/>
                <w:sz w:val="18"/>
                <w:szCs w:val="20"/>
                <w:lang w:eastAsia="nl-NL"/>
              </w:rPr>
              <w:t xml:space="preserve"> of </w:t>
            </w:r>
            <w:r w:rsidR="0009689C" w:rsidRPr="000B68C8">
              <w:rPr>
                <w:rFonts w:cs="Times New Roman"/>
                <w:sz w:val="18"/>
                <w:szCs w:val="20"/>
                <w:lang w:eastAsia="nl-NL"/>
              </w:rPr>
              <w:t>fatalities</w:t>
            </w:r>
          </w:p>
          <w:p w14:paraId="0810BF87" w14:textId="3FF5D78B" w:rsidR="00E35015" w:rsidRPr="000B68C8" w:rsidRDefault="001E2A4C" w:rsidP="00342407">
            <w:pPr>
              <w:pStyle w:val="NoSpacing"/>
              <w:rPr>
                <w:rFonts w:cs="Times New Roman"/>
                <w:sz w:val="18"/>
                <w:szCs w:val="20"/>
                <w:lang w:eastAsia="nl-NL"/>
              </w:rPr>
            </w:pPr>
            <w:r w:rsidRPr="000B68C8">
              <w:rPr>
                <w:rFonts w:cs="Times New Roman"/>
                <w:sz w:val="18"/>
                <w:szCs w:val="20"/>
                <w:lang w:eastAsia="nl-NL"/>
              </w:rPr>
              <w:t>Primary causal factor of f</w:t>
            </w:r>
            <w:r w:rsidR="006C54FA" w:rsidRPr="000B68C8">
              <w:rPr>
                <w:rFonts w:cs="Times New Roman"/>
                <w:sz w:val="18"/>
                <w:szCs w:val="20"/>
                <w:lang w:eastAsia="nl-NL"/>
              </w:rPr>
              <w:t>ire</w:t>
            </w:r>
            <w:r w:rsidR="004014A7" w:rsidRPr="000B68C8">
              <w:rPr>
                <w:rFonts w:cs="Times New Roman"/>
                <w:sz w:val="18"/>
                <w:szCs w:val="20"/>
                <w:lang w:eastAsia="nl-NL"/>
              </w:rPr>
              <w:t xml:space="preserve"> </w:t>
            </w:r>
          </w:p>
          <w:p w14:paraId="149C1155" w14:textId="788E2590" w:rsidR="006C54FA" w:rsidRPr="000B68C8" w:rsidRDefault="006C54FA" w:rsidP="00342407">
            <w:pPr>
              <w:pStyle w:val="NoSpacing"/>
              <w:rPr>
                <w:rFonts w:cs="Times New Roman"/>
                <w:sz w:val="18"/>
                <w:szCs w:val="20"/>
                <w:lang w:eastAsia="nl-NL"/>
              </w:rPr>
            </w:pPr>
            <w:r w:rsidRPr="000B68C8">
              <w:rPr>
                <w:rFonts w:cs="Times New Roman"/>
                <w:sz w:val="18"/>
                <w:szCs w:val="20"/>
                <w:lang w:eastAsia="nl-NL"/>
              </w:rPr>
              <w:t>Incident date</w:t>
            </w:r>
          </w:p>
        </w:tc>
      </w:tr>
      <w:tr w:rsidR="003C5BF4" w:rsidRPr="000B68C8" w14:paraId="0D918407" w14:textId="77777777" w:rsidTr="00342407">
        <w:trPr>
          <w:jc w:val="center"/>
        </w:trPr>
        <w:tc>
          <w:tcPr>
            <w:tcW w:w="546" w:type="dxa"/>
            <w:vMerge/>
            <w:tcBorders>
              <w:bottom w:val="single" w:sz="4" w:space="0" w:color="auto"/>
              <w:right w:val="single" w:sz="4" w:space="0" w:color="auto"/>
            </w:tcBorders>
            <w:vAlign w:val="center"/>
          </w:tcPr>
          <w:p w14:paraId="5352F819" w14:textId="2F7C2742" w:rsidR="006C54FA" w:rsidRPr="000B68C8" w:rsidRDefault="006C54FA" w:rsidP="00342407">
            <w:pPr>
              <w:pStyle w:val="NoSpacing"/>
              <w:jc w:val="center"/>
              <w:rPr>
                <w:rFonts w:cs="Times New Roman"/>
                <w:b/>
                <w:bCs/>
                <w:sz w:val="18"/>
                <w:szCs w:val="20"/>
                <w:lang w:eastAsia="nl-NL"/>
              </w:rPr>
            </w:pPr>
          </w:p>
        </w:tc>
        <w:tc>
          <w:tcPr>
            <w:tcW w:w="3707" w:type="dxa"/>
            <w:tcBorders>
              <w:top w:val="single" w:sz="4" w:space="0" w:color="auto"/>
              <w:left w:val="single" w:sz="4" w:space="0" w:color="auto"/>
              <w:bottom w:val="single" w:sz="4" w:space="0" w:color="auto"/>
              <w:right w:val="single" w:sz="4" w:space="0" w:color="auto"/>
            </w:tcBorders>
            <w:vAlign w:val="center"/>
          </w:tcPr>
          <w:p w14:paraId="3104A682" w14:textId="00440213"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Data collected &amp; Stakeholders</w:t>
            </w:r>
          </w:p>
        </w:tc>
        <w:tc>
          <w:tcPr>
            <w:tcW w:w="850" w:type="dxa"/>
            <w:tcBorders>
              <w:top w:val="single" w:sz="4" w:space="0" w:color="auto"/>
              <w:left w:val="single" w:sz="4" w:space="0" w:color="auto"/>
              <w:bottom w:val="single" w:sz="4" w:space="0" w:color="auto"/>
              <w:right w:val="single" w:sz="4" w:space="0" w:color="auto"/>
            </w:tcBorders>
            <w:vAlign w:val="center"/>
          </w:tcPr>
          <w:p w14:paraId="1A749163" w14:textId="5BE3916E" w:rsidR="006C54FA" w:rsidRPr="000B68C8" w:rsidRDefault="00DF23E9" w:rsidP="00342407">
            <w:pPr>
              <w:pStyle w:val="NoSpacing"/>
              <w:jc w:val="center"/>
              <w:rPr>
                <w:rFonts w:cs="Times New Roman"/>
                <w:sz w:val="18"/>
                <w:szCs w:val="20"/>
                <w:lang w:eastAsia="nl-NL"/>
              </w:rPr>
            </w:pPr>
            <w:r w:rsidRPr="000B68C8">
              <w:rPr>
                <w:rFonts w:cs="Times New Roman"/>
                <w:sz w:val="18"/>
                <w:szCs w:val="20"/>
                <w:lang w:eastAsia="nl-NL"/>
              </w:rPr>
              <w:t>5</w:t>
            </w:r>
          </w:p>
        </w:tc>
        <w:tc>
          <w:tcPr>
            <w:tcW w:w="3923" w:type="dxa"/>
            <w:tcBorders>
              <w:top w:val="single" w:sz="4" w:space="0" w:color="auto"/>
              <w:left w:val="single" w:sz="4" w:space="0" w:color="auto"/>
              <w:bottom w:val="single" w:sz="4" w:space="0" w:color="auto"/>
            </w:tcBorders>
          </w:tcPr>
          <w:p w14:paraId="18E85148" w14:textId="77777777"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Type of building</w:t>
            </w:r>
          </w:p>
          <w:p w14:paraId="1AEC989B" w14:textId="77777777" w:rsidR="0071013B" w:rsidRPr="000B68C8" w:rsidRDefault="0071013B" w:rsidP="00342407">
            <w:pPr>
              <w:pStyle w:val="NoSpacing"/>
              <w:rPr>
                <w:rFonts w:cs="Times New Roman"/>
                <w:sz w:val="18"/>
                <w:szCs w:val="20"/>
                <w:lang w:eastAsia="nl-NL"/>
              </w:rPr>
            </w:pPr>
            <w:r w:rsidRPr="000B68C8">
              <w:rPr>
                <w:rFonts w:cs="Times New Roman"/>
                <w:sz w:val="18"/>
                <w:szCs w:val="20"/>
                <w:lang w:eastAsia="nl-NL"/>
              </w:rPr>
              <w:t xml:space="preserve">Fire safety measures present </w:t>
            </w:r>
          </w:p>
          <w:p w14:paraId="30ED05A8" w14:textId="0310146F" w:rsidR="00E35015" w:rsidRPr="000B68C8" w:rsidRDefault="001D6CEC" w:rsidP="00342407">
            <w:pPr>
              <w:pStyle w:val="NoSpacing"/>
              <w:rPr>
                <w:rFonts w:cs="Times New Roman"/>
                <w:sz w:val="18"/>
                <w:szCs w:val="20"/>
                <w:lang w:eastAsia="nl-NL"/>
              </w:rPr>
            </w:pPr>
            <w:r w:rsidRPr="000B68C8">
              <w:rPr>
                <w:rFonts w:cs="Times New Roman"/>
                <w:sz w:val="18"/>
                <w:szCs w:val="20"/>
                <w:lang w:eastAsia="nl-NL"/>
              </w:rPr>
              <w:t>Number of injuries</w:t>
            </w:r>
          </w:p>
          <w:p w14:paraId="669639D3" w14:textId="77777777"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Incident time</w:t>
            </w:r>
          </w:p>
          <w:p w14:paraId="04FA335F" w14:textId="1C902D52" w:rsidR="000533C1" w:rsidRPr="000B68C8" w:rsidRDefault="006C54FA" w:rsidP="00342407">
            <w:pPr>
              <w:pStyle w:val="NoSpacing"/>
              <w:rPr>
                <w:rFonts w:cs="Times New Roman"/>
                <w:sz w:val="18"/>
                <w:szCs w:val="20"/>
                <w:lang w:eastAsia="nl-NL"/>
              </w:rPr>
            </w:pPr>
            <w:r w:rsidRPr="000B68C8">
              <w:rPr>
                <w:rFonts w:cs="Times New Roman"/>
                <w:sz w:val="18"/>
                <w:szCs w:val="20"/>
                <w:lang w:eastAsia="nl-NL"/>
              </w:rPr>
              <w:t>Incident location</w:t>
            </w:r>
          </w:p>
        </w:tc>
      </w:tr>
      <w:tr w:rsidR="003C5BF4" w:rsidRPr="000B68C8" w14:paraId="12E06307" w14:textId="77777777" w:rsidTr="00342407">
        <w:trPr>
          <w:jc w:val="center"/>
        </w:trPr>
        <w:tc>
          <w:tcPr>
            <w:tcW w:w="546" w:type="dxa"/>
            <w:tcBorders>
              <w:top w:val="single" w:sz="4" w:space="0" w:color="auto"/>
              <w:bottom w:val="single" w:sz="4" w:space="0" w:color="auto"/>
              <w:right w:val="single" w:sz="4" w:space="0" w:color="auto"/>
            </w:tcBorders>
            <w:vAlign w:val="center"/>
          </w:tcPr>
          <w:p w14:paraId="2282C315" w14:textId="77777777" w:rsidR="000948AB" w:rsidRPr="000B68C8" w:rsidRDefault="000948AB" w:rsidP="00342407">
            <w:pPr>
              <w:pStyle w:val="NoSpacing"/>
              <w:jc w:val="center"/>
              <w:rPr>
                <w:rFonts w:cs="Times New Roman"/>
                <w:b/>
                <w:bCs/>
                <w:sz w:val="18"/>
                <w:szCs w:val="20"/>
                <w:lang w:eastAsia="nl-NL"/>
              </w:rPr>
            </w:pPr>
            <w:r w:rsidRPr="000B68C8">
              <w:rPr>
                <w:rFonts w:cs="Times New Roman"/>
                <w:b/>
                <w:bCs/>
                <w:sz w:val="18"/>
                <w:szCs w:val="20"/>
                <w:lang w:eastAsia="nl-NL"/>
              </w:rPr>
              <w:t>2</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D82BB7F" w14:textId="1B6E2CB4" w:rsidR="000948AB" w:rsidRPr="000B68C8" w:rsidRDefault="000948AB" w:rsidP="00342407">
            <w:pPr>
              <w:pStyle w:val="NoSpacing"/>
              <w:jc w:val="center"/>
              <w:rPr>
                <w:rFonts w:cs="Times New Roman"/>
                <w:sz w:val="18"/>
                <w:szCs w:val="20"/>
                <w:lang w:eastAsia="nl-NL"/>
              </w:rPr>
            </w:pPr>
            <w:r w:rsidRPr="000B68C8">
              <w:rPr>
                <w:rFonts w:cs="Times New Roman"/>
                <w:sz w:val="18"/>
                <w:szCs w:val="20"/>
                <w:lang w:eastAsia="nl-NL"/>
              </w:rPr>
              <w:t>Consortium &amp; Stakeholders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5FB9D2" w14:textId="065DDC29" w:rsidR="000948AB" w:rsidRPr="000B68C8" w:rsidRDefault="00DF23E9" w:rsidP="00342407">
            <w:pPr>
              <w:pStyle w:val="NoSpacing"/>
              <w:jc w:val="center"/>
              <w:rPr>
                <w:rFonts w:cs="Times New Roman"/>
                <w:sz w:val="18"/>
                <w:szCs w:val="20"/>
                <w:lang w:eastAsia="nl-NL"/>
              </w:rPr>
            </w:pPr>
            <w:r w:rsidRPr="000B68C8">
              <w:rPr>
                <w:rFonts w:cs="Times New Roman"/>
                <w:sz w:val="18"/>
                <w:szCs w:val="20"/>
                <w:lang w:eastAsia="nl-NL"/>
              </w:rPr>
              <w:t>4</w:t>
            </w:r>
          </w:p>
        </w:tc>
        <w:tc>
          <w:tcPr>
            <w:tcW w:w="3923" w:type="dxa"/>
            <w:tcBorders>
              <w:top w:val="single" w:sz="4" w:space="0" w:color="auto"/>
              <w:left w:val="single" w:sz="4" w:space="0" w:color="auto"/>
              <w:bottom w:val="single" w:sz="4" w:space="0" w:color="auto"/>
            </w:tcBorders>
            <w:hideMark/>
          </w:tcPr>
          <w:p w14:paraId="7CDD156B" w14:textId="191BF6BF" w:rsidR="00E35015" w:rsidRPr="000B68C8" w:rsidRDefault="00315E52" w:rsidP="00342407">
            <w:pPr>
              <w:pStyle w:val="NoSpacing"/>
              <w:rPr>
                <w:rFonts w:cs="Times New Roman"/>
                <w:sz w:val="18"/>
                <w:szCs w:val="20"/>
                <w:lang w:eastAsia="nl-NL"/>
              </w:rPr>
            </w:pPr>
            <w:r w:rsidRPr="000B68C8">
              <w:rPr>
                <w:rFonts w:cs="Times New Roman"/>
                <w:sz w:val="18"/>
                <w:szCs w:val="20"/>
                <w:lang w:eastAsia="nl-NL"/>
              </w:rPr>
              <w:t>Area</w:t>
            </w:r>
            <w:r w:rsidR="00E35015" w:rsidRPr="000B68C8">
              <w:rPr>
                <w:rFonts w:cs="Times New Roman"/>
                <w:sz w:val="18"/>
                <w:szCs w:val="20"/>
                <w:lang w:eastAsia="nl-NL"/>
              </w:rPr>
              <w:t xml:space="preserve"> of origin</w:t>
            </w:r>
          </w:p>
          <w:p w14:paraId="5BDCED15" w14:textId="4612BE8A"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Number of floors</w:t>
            </w:r>
          </w:p>
          <w:p w14:paraId="7BE8A89D" w14:textId="555AB5A1" w:rsidR="00E35015" w:rsidRPr="000B68C8" w:rsidRDefault="005B2C89" w:rsidP="00342407">
            <w:pPr>
              <w:pStyle w:val="NoSpacing"/>
              <w:rPr>
                <w:rFonts w:cs="Times New Roman"/>
                <w:sz w:val="18"/>
                <w:szCs w:val="20"/>
                <w:lang w:eastAsia="nl-NL"/>
              </w:rPr>
            </w:pPr>
            <w:r w:rsidRPr="000B68C8">
              <w:rPr>
                <w:rFonts w:cs="Times New Roman"/>
                <w:sz w:val="18"/>
                <w:szCs w:val="20"/>
                <w:lang w:eastAsia="nl-NL"/>
              </w:rPr>
              <w:t xml:space="preserve">Heat source </w:t>
            </w:r>
          </w:p>
          <w:p w14:paraId="2D84494D" w14:textId="7B945626" w:rsidR="00E35015" w:rsidRPr="000B68C8" w:rsidRDefault="0097235C" w:rsidP="00342407">
            <w:pPr>
              <w:pStyle w:val="NoSpacing"/>
              <w:rPr>
                <w:rFonts w:cs="Times New Roman"/>
                <w:sz w:val="18"/>
                <w:szCs w:val="20"/>
                <w:lang w:eastAsia="nl-NL"/>
              </w:rPr>
            </w:pPr>
            <w:r w:rsidRPr="000B68C8">
              <w:rPr>
                <w:rFonts w:cs="Times New Roman"/>
                <w:sz w:val="18"/>
                <w:szCs w:val="20"/>
                <w:lang w:eastAsia="nl-NL"/>
              </w:rPr>
              <w:t>Article</w:t>
            </w:r>
            <w:r w:rsidR="00E35015" w:rsidRPr="000B68C8">
              <w:rPr>
                <w:rFonts w:cs="Times New Roman"/>
                <w:sz w:val="18"/>
                <w:szCs w:val="20"/>
                <w:lang w:eastAsia="nl-NL"/>
              </w:rPr>
              <w:t xml:space="preserve"> </w:t>
            </w:r>
            <w:r w:rsidR="00F13503" w:rsidRPr="000B68C8">
              <w:rPr>
                <w:rFonts w:cs="Times New Roman"/>
                <w:sz w:val="18"/>
                <w:szCs w:val="20"/>
                <w:lang w:eastAsia="nl-NL"/>
              </w:rPr>
              <w:t>contributing</w:t>
            </w:r>
            <w:r w:rsidR="00E35015" w:rsidRPr="000B68C8">
              <w:rPr>
                <w:rFonts w:cs="Times New Roman"/>
                <w:sz w:val="18"/>
                <w:szCs w:val="20"/>
                <w:lang w:eastAsia="nl-NL"/>
              </w:rPr>
              <w:t xml:space="preserve"> for fire development</w:t>
            </w:r>
          </w:p>
          <w:p w14:paraId="5268A074" w14:textId="4699BEC8" w:rsidR="000948AB" w:rsidRPr="000B68C8" w:rsidRDefault="000948AB" w:rsidP="00342407">
            <w:pPr>
              <w:pStyle w:val="NoSpacing"/>
              <w:rPr>
                <w:rFonts w:cs="Times New Roman"/>
                <w:sz w:val="18"/>
                <w:szCs w:val="20"/>
                <w:lang w:eastAsia="nl-NL"/>
              </w:rPr>
            </w:pPr>
          </w:p>
        </w:tc>
      </w:tr>
      <w:tr w:rsidR="003C5BF4" w:rsidRPr="000B68C8" w14:paraId="6FC40194" w14:textId="77777777" w:rsidTr="00342407">
        <w:trPr>
          <w:jc w:val="center"/>
        </w:trPr>
        <w:tc>
          <w:tcPr>
            <w:tcW w:w="546" w:type="dxa"/>
            <w:vMerge w:val="restart"/>
            <w:tcBorders>
              <w:top w:val="single" w:sz="4" w:space="0" w:color="auto"/>
              <w:right w:val="single" w:sz="4" w:space="0" w:color="auto"/>
            </w:tcBorders>
            <w:vAlign w:val="center"/>
          </w:tcPr>
          <w:p w14:paraId="4543B1B3" w14:textId="489B454E" w:rsidR="006C54FA" w:rsidRPr="000B68C8" w:rsidRDefault="006C54FA" w:rsidP="00342407">
            <w:pPr>
              <w:pStyle w:val="NoSpacing"/>
              <w:jc w:val="center"/>
              <w:rPr>
                <w:rFonts w:cs="Times New Roman"/>
                <w:b/>
                <w:bCs/>
                <w:sz w:val="18"/>
                <w:szCs w:val="20"/>
                <w:lang w:eastAsia="nl-NL"/>
              </w:rPr>
            </w:pPr>
            <w:r w:rsidRPr="000B68C8">
              <w:rPr>
                <w:rFonts w:cs="Times New Roman"/>
                <w:b/>
                <w:bCs/>
                <w:sz w:val="18"/>
                <w:szCs w:val="20"/>
                <w:lang w:eastAsia="nl-NL"/>
              </w:rPr>
              <w:t>3</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104F5AB" w14:textId="07BE8AEB" w:rsidR="006C54FA" w:rsidRPr="000B68C8" w:rsidRDefault="003C5BF4" w:rsidP="00342407">
            <w:pPr>
              <w:pStyle w:val="NoSpacing"/>
              <w:jc w:val="center"/>
              <w:rPr>
                <w:rFonts w:cs="Times New Roman"/>
                <w:sz w:val="18"/>
                <w:szCs w:val="20"/>
                <w:lang w:eastAsia="nl-NL"/>
              </w:rPr>
            </w:pPr>
            <w:r w:rsidRPr="000B68C8">
              <w:rPr>
                <w:rFonts w:cs="Times New Roman"/>
                <w:sz w:val="18"/>
                <w:szCs w:val="20"/>
                <w:lang w:eastAsia="nl-NL"/>
              </w:rPr>
              <w:t>Only stakeholders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519290" w14:textId="77777777"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13</w:t>
            </w:r>
          </w:p>
        </w:tc>
        <w:tc>
          <w:tcPr>
            <w:tcW w:w="3923" w:type="dxa"/>
            <w:tcBorders>
              <w:top w:val="single" w:sz="4" w:space="0" w:color="auto"/>
              <w:left w:val="single" w:sz="4" w:space="0" w:color="auto"/>
              <w:bottom w:val="single" w:sz="4" w:space="0" w:color="auto"/>
            </w:tcBorders>
            <w:hideMark/>
          </w:tcPr>
          <w:p w14:paraId="13C279F2" w14:textId="1C886F7B"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Construction type</w:t>
            </w:r>
          </w:p>
          <w:p w14:paraId="451B1D12" w14:textId="39298A5D"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Construction characteristics</w:t>
            </w:r>
          </w:p>
          <w:p w14:paraId="11AB0959" w14:textId="09ADF2F9"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Number of occupants in the building</w:t>
            </w:r>
          </w:p>
          <w:p w14:paraId="7B184DDA" w14:textId="7AB9ABE4"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Role of the victim (e.g. firefighter, citizen)</w:t>
            </w:r>
          </w:p>
          <w:p w14:paraId="1F8799BD" w14:textId="3D5223F5"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 xml:space="preserve">Disability of the victim </w:t>
            </w:r>
          </w:p>
          <w:p w14:paraId="5EF51F19" w14:textId="714EDE1F"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Quantification of property damage</w:t>
            </w:r>
          </w:p>
          <w:p w14:paraId="0FF1C32F" w14:textId="1C938C6F"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Type of property damage</w:t>
            </w:r>
          </w:p>
          <w:p w14:paraId="5D492427" w14:textId="10B1CC28"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Operation of fire safety measures</w:t>
            </w:r>
          </w:p>
          <w:p w14:paraId="0882059C" w14:textId="7DEE7D60"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Effectiveness of fire safety measures in reducing the fire</w:t>
            </w:r>
          </w:p>
          <w:p w14:paraId="01978CA5" w14:textId="7D42D8BF"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Reason for failure of fire safety measures</w:t>
            </w:r>
          </w:p>
          <w:p w14:paraId="3E727AF2" w14:textId="06D83BA5"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Fire detection time</w:t>
            </w:r>
          </w:p>
          <w:p w14:paraId="22B104D3" w14:textId="3074E662"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Fire brigade response time</w:t>
            </w:r>
          </w:p>
          <w:p w14:paraId="4270784D" w14:textId="382DA04B" w:rsidR="006C54FA" w:rsidRPr="000B68C8" w:rsidRDefault="006C54FA" w:rsidP="00342407">
            <w:pPr>
              <w:pStyle w:val="NoSpacing"/>
              <w:rPr>
                <w:rFonts w:cs="Times New Roman"/>
                <w:sz w:val="18"/>
                <w:szCs w:val="20"/>
                <w:lang w:eastAsia="nl-NL"/>
              </w:rPr>
            </w:pPr>
            <w:r w:rsidRPr="000B68C8">
              <w:rPr>
                <w:rFonts w:cs="Times New Roman"/>
                <w:sz w:val="18"/>
                <w:szCs w:val="20"/>
                <w:lang w:eastAsia="nl-NL"/>
              </w:rPr>
              <w:t>Direct fire costs</w:t>
            </w:r>
          </w:p>
        </w:tc>
      </w:tr>
      <w:tr w:rsidR="003C5BF4" w:rsidRPr="000B68C8" w14:paraId="042744A5" w14:textId="77777777" w:rsidTr="00342407">
        <w:trPr>
          <w:jc w:val="center"/>
        </w:trPr>
        <w:tc>
          <w:tcPr>
            <w:tcW w:w="546" w:type="dxa"/>
            <w:vMerge/>
            <w:tcBorders>
              <w:right w:val="single" w:sz="4" w:space="0" w:color="auto"/>
            </w:tcBorders>
          </w:tcPr>
          <w:p w14:paraId="4D7D8247" w14:textId="0E74E1AD" w:rsidR="006C54FA" w:rsidRPr="000B68C8" w:rsidRDefault="006C54FA" w:rsidP="00342407">
            <w:pPr>
              <w:pStyle w:val="NoSpacing"/>
              <w:rPr>
                <w:rFonts w:cs="Times New Roman"/>
                <w:sz w:val="18"/>
                <w:szCs w:val="20"/>
                <w:lang w:eastAsia="nl-NL"/>
              </w:rPr>
            </w:pPr>
          </w:p>
        </w:tc>
        <w:tc>
          <w:tcPr>
            <w:tcW w:w="3707" w:type="dxa"/>
            <w:tcBorders>
              <w:top w:val="single" w:sz="4" w:space="0" w:color="auto"/>
              <w:left w:val="single" w:sz="4" w:space="0" w:color="auto"/>
              <w:bottom w:val="single" w:sz="4" w:space="0" w:color="auto"/>
              <w:right w:val="single" w:sz="4" w:space="0" w:color="auto"/>
            </w:tcBorders>
            <w:vAlign w:val="center"/>
            <w:hideMark/>
          </w:tcPr>
          <w:p w14:paraId="62FBACD7" w14:textId="496B39A2" w:rsidR="006C54FA" w:rsidRPr="000B68C8" w:rsidRDefault="003C5BF4" w:rsidP="00342407">
            <w:pPr>
              <w:pStyle w:val="NoSpacing"/>
              <w:jc w:val="center"/>
              <w:rPr>
                <w:rFonts w:cs="Times New Roman"/>
                <w:sz w:val="18"/>
                <w:szCs w:val="20"/>
                <w:lang w:eastAsia="nl-NL"/>
              </w:rPr>
            </w:pPr>
            <w:r w:rsidRPr="000B68C8">
              <w:rPr>
                <w:rFonts w:cs="Times New Roman"/>
                <w:sz w:val="18"/>
                <w:szCs w:val="20"/>
                <w:lang w:eastAsia="nl-NL"/>
              </w:rPr>
              <w:t>Only consortium</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22A625" w14:textId="77777777"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5</w:t>
            </w:r>
          </w:p>
        </w:tc>
        <w:tc>
          <w:tcPr>
            <w:tcW w:w="3923" w:type="dxa"/>
            <w:tcBorders>
              <w:top w:val="single" w:sz="4" w:space="0" w:color="auto"/>
              <w:left w:val="single" w:sz="4" w:space="0" w:color="auto"/>
              <w:bottom w:val="single" w:sz="4" w:space="0" w:color="auto"/>
            </w:tcBorders>
            <w:hideMark/>
          </w:tcPr>
          <w:p w14:paraId="460ADDD7" w14:textId="1322BC35" w:rsidR="00E35015" w:rsidRPr="000B68C8" w:rsidRDefault="006C54FA" w:rsidP="00342407">
            <w:pPr>
              <w:pStyle w:val="NoSpacing"/>
              <w:rPr>
                <w:rFonts w:cs="Times New Roman"/>
                <w:sz w:val="18"/>
                <w:szCs w:val="20"/>
                <w:lang w:eastAsia="nl-NL"/>
              </w:rPr>
            </w:pPr>
            <w:r w:rsidRPr="000B68C8">
              <w:rPr>
                <w:rFonts w:cs="Times New Roman"/>
                <w:sz w:val="18"/>
                <w:szCs w:val="20"/>
                <w:lang w:eastAsia="nl-NL"/>
              </w:rPr>
              <w:t>Item first ignited</w:t>
            </w:r>
          </w:p>
          <w:p w14:paraId="5187FE43" w14:textId="1DEF7E8A" w:rsidR="006C54FA" w:rsidRPr="000B68C8" w:rsidRDefault="006C54FA" w:rsidP="00342407">
            <w:pPr>
              <w:pStyle w:val="NoSpacing"/>
              <w:rPr>
                <w:rFonts w:cs="Times New Roman"/>
                <w:sz w:val="18"/>
                <w:szCs w:val="20"/>
                <w:lang w:eastAsia="nl-NL"/>
              </w:rPr>
            </w:pPr>
            <w:r w:rsidRPr="000B68C8">
              <w:rPr>
                <w:rFonts w:cs="Times New Roman"/>
                <w:sz w:val="18"/>
                <w:szCs w:val="20"/>
                <w:lang w:eastAsia="nl-NL"/>
              </w:rPr>
              <w:t>Gender</w:t>
            </w:r>
            <w:r w:rsidR="00E35015" w:rsidRPr="000B68C8">
              <w:rPr>
                <w:rFonts w:cs="Times New Roman"/>
                <w:sz w:val="18"/>
                <w:szCs w:val="20"/>
                <w:lang w:eastAsia="nl-NL"/>
              </w:rPr>
              <w:t xml:space="preserve"> of the victim</w:t>
            </w:r>
          </w:p>
          <w:p w14:paraId="76608836" w14:textId="77777777"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Fire spread at fire brigade arrival</w:t>
            </w:r>
          </w:p>
          <w:p w14:paraId="705683F0" w14:textId="77777777"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Fire spread at final situation</w:t>
            </w:r>
          </w:p>
          <w:p w14:paraId="084CC4D1" w14:textId="30D87451" w:rsidR="00E35015" w:rsidRPr="000B68C8" w:rsidRDefault="00E35015" w:rsidP="00342407">
            <w:pPr>
              <w:pStyle w:val="NoSpacing"/>
              <w:rPr>
                <w:rFonts w:cs="Times New Roman"/>
                <w:sz w:val="18"/>
                <w:szCs w:val="20"/>
                <w:lang w:eastAsia="nl-NL"/>
              </w:rPr>
            </w:pPr>
            <w:r w:rsidRPr="000B68C8">
              <w:rPr>
                <w:rFonts w:cs="Times New Roman"/>
                <w:sz w:val="18"/>
                <w:szCs w:val="20"/>
                <w:lang w:eastAsia="nl-NL"/>
              </w:rPr>
              <w:t>Size of smoke spread</w:t>
            </w:r>
          </w:p>
        </w:tc>
      </w:tr>
      <w:tr w:rsidR="003C5BF4" w:rsidRPr="000B68C8" w14:paraId="09077239" w14:textId="77777777" w:rsidTr="00342407">
        <w:trPr>
          <w:jc w:val="center"/>
        </w:trPr>
        <w:tc>
          <w:tcPr>
            <w:tcW w:w="546" w:type="dxa"/>
            <w:vMerge/>
            <w:tcBorders>
              <w:bottom w:val="single" w:sz="4" w:space="0" w:color="auto"/>
              <w:right w:val="single" w:sz="4" w:space="0" w:color="auto"/>
            </w:tcBorders>
          </w:tcPr>
          <w:p w14:paraId="718122B0" w14:textId="0945C219" w:rsidR="006C54FA" w:rsidRPr="000B68C8" w:rsidRDefault="006C54FA" w:rsidP="00342407">
            <w:pPr>
              <w:pStyle w:val="NoSpacing"/>
              <w:rPr>
                <w:rFonts w:cs="Times New Roman"/>
                <w:sz w:val="18"/>
                <w:szCs w:val="20"/>
                <w:lang w:eastAsia="nl-NL"/>
              </w:rPr>
            </w:pPr>
          </w:p>
        </w:tc>
        <w:tc>
          <w:tcPr>
            <w:tcW w:w="3707" w:type="dxa"/>
            <w:tcBorders>
              <w:top w:val="single" w:sz="4" w:space="0" w:color="auto"/>
              <w:left w:val="single" w:sz="4" w:space="0" w:color="auto"/>
              <w:bottom w:val="single" w:sz="4" w:space="0" w:color="auto"/>
              <w:right w:val="single" w:sz="4" w:space="0" w:color="auto"/>
            </w:tcBorders>
            <w:vAlign w:val="center"/>
            <w:hideMark/>
          </w:tcPr>
          <w:p w14:paraId="021CB559" w14:textId="1338E7A2" w:rsidR="006C54FA" w:rsidRPr="000B68C8" w:rsidRDefault="00581520" w:rsidP="00342407">
            <w:pPr>
              <w:pStyle w:val="NoSpacing"/>
              <w:jc w:val="center"/>
              <w:rPr>
                <w:rFonts w:cs="Times New Roman"/>
                <w:sz w:val="18"/>
                <w:szCs w:val="20"/>
                <w:lang w:eastAsia="nl-NL"/>
              </w:rPr>
            </w:pPr>
            <w:r w:rsidRPr="000B68C8">
              <w:rPr>
                <w:rFonts w:cs="Times New Roman"/>
                <w:sz w:val="18"/>
                <w:szCs w:val="20"/>
                <w:lang w:eastAsia="nl-NL"/>
              </w:rPr>
              <w:t>Only d</w:t>
            </w:r>
            <w:r w:rsidR="006C54FA" w:rsidRPr="000B68C8">
              <w:rPr>
                <w:rFonts w:cs="Times New Roman"/>
                <w:sz w:val="18"/>
                <w:szCs w:val="20"/>
                <w:lang w:eastAsia="nl-NL"/>
              </w:rPr>
              <w:t>ata collected</w:t>
            </w:r>
            <w:r w:rsidR="003C5BF4" w:rsidRPr="000B68C8">
              <w:rPr>
                <w:rFonts w:cs="Times New Roman"/>
                <w:sz w:val="18"/>
                <w:szCs w:val="20"/>
                <w:lang w:eastAsia="nl-NL"/>
              </w:rPr>
              <w:t xml:space="preserve"> in fire statistics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65D11B" w14:textId="77777777" w:rsidR="006C54FA" w:rsidRPr="000B68C8" w:rsidRDefault="006C54FA" w:rsidP="00342407">
            <w:pPr>
              <w:pStyle w:val="NoSpacing"/>
              <w:jc w:val="center"/>
              <w:rPr>
                <w:rFonts w:cs="Times New Roman"/>
                <w:sz w:val="18"/>
                <w:szCs w:val="20"/>
                <w:lang w:eastAsia="nl-NL"/>
              </w:rPr>
            </w:pPr>
            <w:r w:rsidRPr="000B68C8">
              <w:rPr>
                <w:rFonts w:cs="Times New Roman"/>
                <w:sz w:val="18"/>
                <w:szCs w:val="20"/>
                <w:lang w:eastAsia="nl-NL"/>
              </w:rPr>
              <w:t>1</w:t>
            </w:r>
          </w:p>
        </w:tc>
        <w:tc>
          <w:tcPr>
            <w:tcW w:w="3923" w:type="dxa"/>
            <w:tcBorders>
              <w:top w:val="single" w:sz="4" w:space="0" w:color="auto"/>
              <w:left w:val="single" w:sz="4" w:space="0" w:color="auto"/>
              <w:bottom w:val="single" w:sz="4" w:space="0" w:color="auto"/>
            </w:tcBorders>
            <w:hideMark/>
          </w:tcPr>
          <w:p w14:paraId="3713AE03" w14:textId="3F584AB9" w:rsidR="006C54FA" w:rsidRPr="000B68C8" w:rsidRDefault="006C54FA" w:rsidP="00342407">
            <w:pPr>
              <w:pStyle w:val="NoSpacing"/>
              <w:rPr>
                <w:rFonts w:cs="Times New Roman"/>
                <w:sz w:val="18"/>
                <w:szCs w:val="20"/>
                <w:lang w:eastAsia="nl-NL"/>
              </w:rPr>
            </w:pPr>
            <w:r w:rsidRPr="000B68C8">
              <w:rPr>
                <w:rFonts w:cs="Times New Roman"/>
                <w:sz w:val="18"/>
                <w:szCs w:val="20"/>
                <w:lang w:eastAsia="nl-NL"/>
              </w:rPr>
              <w:t>Time between fire brigade arrival and withdrawa</w:t>
            </w:r>
            <w:r w:rsidR="00E35015" w:rsidRPr="000B68C8">
              <w:rPr>
                <w:rFonts w:cs="Times New Roman"/>
                <w:sz w:val="18"/>
                <w:szCs w:val="20"/>
                <w:lang w:eastAsia="nl-NL"/>
              </w:rPr>
              <w:t>l</w:t>
            </w:r>
          </w:p>
        </w:tc>
      </w:tr>
    </w:tbl>
    <w:p w14:paraId="339F0A41" w14:textId="091AF7B0" w:rsidR="00F17EBB" w:rsidRPr="000B68C8" w:rsidRDefault="00F17EBB" w:rsidP="00D218F4">
      <w:r w:rsidRPr="000B68C8">
        <w:t xml:space="preserve">In the following </w:t>
      </w:r>
      <w:r w:rsidR="00230C22" w:rsidRPr="000B68C8">
        <w:t>s</w:t>
      </w:r>
      <w:r w:rsidRPr="000B68C8">
        <w:t xml:space="preserve">ections, the variables included in the three tiers will be extensively described. </w:t>
      </w:r>
    </w:p>
    <w:p w14:paraId="71A1F9BC" w14:textId="6A9CD980" w:rsidR="001D422F" w:rsidRPr="000B68C8" w:rsidRDefault="00737EB9" w:rsidP="00342407">
      <w:pPr>
        <w:pStyle w:val="Heading2"/>
      </w:pPr>
      <w:r w:rsidRPr="000B68C8">
        <w:t xml:space="preserve">Tier 1 </w:t>
      </w:r>
      <w:r w:rsidR="0059065C" w:rsidRPr="000B68C8">
        <w:t>(</w:t>
      </w:r>
      <w:r w:rsidR="005D60C3" w:rsidRPr="000B68C8">
        <w:t>9</w:t>
      </w:r>
      <w:r w:rsidRPr="000B68C8">
        <w:t xml:space="preserve"> variables</w:t>
      </w:r>
      <w:r w:rsidR="0059065C" w:rsidRPr="000B68C8">
        <w:t>)</w:t>
      </w:r>
    </w:p>
    <w:p w14:paraId="130FD542" w14:textId="232217EC" w:rsidR="002B0E23" w:rsidRPr="000B68C8" w:rsidRDefault="00DF6D37" w:rsidP="00744B78">
      <w:pPr>
        <w:rPr>
          <w:rFonts w:cs="Arial"/>
        </w:rPr>
      </w:pPr>
      <w:r w:rsidRPr="000B68C8">
        <w:rPr>
          <w:rFonts w:cs="Arial"/>
        </w:rPr>
        <w:t xml:space="preserve">The </w:t>
      </w:r>
      <w:r w:rsidR="00020428" w:rsidRPr="000B68C8">
        <w:rPr>
          <w:rFonts w:cs="Arial"/>
        </w:rPr>
        <w:t>nine</w:t>
      </w:r>
      <w:r w:rsidRPr="000B68C8">
        <w:rPr>
          <w:rFonts w:cs="Arial"/>
        </w:rPr>
        <w:t xml:space="preserve"> v</w:t>
      </w:r>
      <w:r w:rsidR="000948AB" w:rsidRPr="000B68C8">
        <w:rPr>
          <w:rFonts w:cs="Arial"/>
        </w:rPr>
        <w:t xml:space="preserve">ariables in </w:t>
      </w:r>
      <w:r w:rsidRPr="000B68C8">
        <w:rPr>
          <w:rFonts w:cs="Arial"/>
        </w:rPr>
        <w:t>T</w:t>
      </w:r>
      <w:r w:rsidR="000948AB" w:rsidRPr="000B68C8">
        <w:rPr>
          <w:rFonts w:cs="Arial"/>
        </w:rPr>
        <w:t>ier 1 are considered essential</w:t>
      </w:r>
      <w:r w:rsidR="00F25EC8" w:rsidRPr="000B68C8">
        <w:rPr>
          <w:rFonts w:cs="Arial"/>
        </w:rPr>
        <w:t>,</w:t>
      </w:r>
      <w:r w:rsidR="000948AB" w:rsidRPr="000B68C8">
        <w:rPr>
          <w:rFonts w:cs="Arial"/>
        </w:rPr>
        <w:t xml:space="preserve"> </w:t>
      </w:r>
      <w:r w:rsidR="000456CA" w:rsidRPr="000B68C8">
        <w:rPr>
          <w:rFonts w:cs="Arial"/>
        </w:rPr>
        <w:t>being already collected by the majority of the EU Member States and also covered by the sets of variables selected by the majority of the stakeholders and the consortium, or by the set of the stakeholders only</w:t>
      </w:r>
      <w:r w:rsidR="00623386" w:rsidRPr="000B68C8">
        <w:rPr>
          <w:rFonts w:cs="Arial"/>
        </w:rPr>
        <w:t>. They</w:t>
      </w:r>
      <w:r w:rsidR="00B648E8" w:rsidRPr="000B68C8">
        <w:rPr>
          <w:rFonts w:cs="Arial"/>
        </w:rPr>
        <w:t xml:space="preserve"> includ</w:t>
      </w:r>
      <w:r w:rsidR="0092149E" w:rsidRPr="000B68C8">
        <w:rPr>
          <w:rFonts w:cs="Arial"/>
        </w:rPr>
        <w:t>e</w:t>
      </w:r>
      <w:r w:rsidRPr="000B68C8">
        <w:rPr>
          <w:rFonts w:cs="Arial"/>
        </w:rPr>
        <w:t xml:space="preserve"> </w:t>
      </w:r>
      <w:r w:rsidR="0093024E" w:rsidRPr="000B68C8">
        <w:rPr>
          <w:rFonts w:cs="Arial"/>
        </w:rPr>
        <w:t xml:space="preserve">the </w:t>
      </w:r>
      <w:r w:rsidR="000948AB" w:rsidRPr="000B68C8">
        <w:rPr>
          <w:rFonts w:cs="Arial"/>
          <w:i/>
          <w:iCs/>
        </w:rPr>
        <w:t xml:space="preserve">Number of </w:t>
      </w:r>
      <w:r w:rsidR="00F25EC8" w:rsidRPr="000B68C8">
        <w:rPr>
          <w:rFonts w:cs="Arial"/>
          <w:i/>
          <w:iCs/>
        </w:rPr>
        <w:t>fatalities</w:t>
      </w:r>
      <w:r w:rsidRPr="000B68C8">
        <w:rPr>
          <w:rFonts w:cs="Arial"/>
          <w:i/>
          <w:iCs/>
        </w:rPr>
        <w:t xml:space="preserve">, </w:t>
      </w:r>
      <w:r w:rsidR="000948AB" w:rsidRPr="000B68C8">
        <w:rPr>
          <w:rFonts w:cs="Arial"/>
          <w:i/>
          <w:iCs/>
        </w:rPr>
        <w:t xml:space="preserve">Age of </w:t>
      </w:r>
      <w:r w:rsidR="00F25EC8" w:rsidRPr="000B68C8">
        <w:rPr>
          <w:rFonts w:cs="Arial"/>
          <w:i/>
          <w:iCs/>
        </w:rPr>
        <w:t>fatalities</w:t>
      </w:r>
      <w:r w:rsidRPr="000B68C8">
        <w:rPr>
          <w:rFonts w:cs="Arial"/>
          <w:i/>
          <w:iCs/>
        </w:rPr>
        <w:t xml:space="preserve">, </w:t>
      </w:r>
      <w:r w:rsidR="001D6CEC" w:rsidRPr="000B68C8">
        <w:rPr>
          <w:rFonts w:cs="Arial"/>
          <w:i/>
          <w:iCs/>
        </w:rPr>
        <w:t>Number of injuries</w:t>
      </w:r>
      <w:r w:rsidRPr="000B68C8">
        <w:rPr>
          <w:rFonts w:cs="Arial"/>
          <w:i/>
          <w:iCs/>
        </w:rPr>
        <w:t xml:space="preserve">, </w:t>
      </w:r>
      <w:r w:rsidR="000948AB" w:rsidRPr="000B68C8">
        <w:rPr>
          <w:rFonts w:cs="Arial"/>
          <w:i/>
          <w:iCs/>
        </w:rPr>
        <w:t>Type of building</w:t>
      </w:r>
      <w:r w:rsidRPr="000B68C8">
        <w:rPr>
          <w:rFonts w:cs="Arial"/>
          <w:i/>
          <w:iCs/>
        </w:rPr>
        <w:t>,</w:t>
      </w:r>
      <w:r w:rsidR="001766F6" w:rsidRPr="000B68C8">
        <w:rPr>
          <w:rFonts w:cs="Arial"/>
          <w:i/>
          <w:iCs/>
        </w:rPr>
        <w:t xml:space="preserve"> Fire safety measures present, </w:t>
      </w:r>
      <w:r w:rsidR="00D63DF4" w:rsidRPr="000B68C8">
        <w:rPr>
          <w:rFonts w:cs="Times New Roman"/>
          <w:i/>
          <w:iCs/>
          <w:lang w:eastAsia="nl-NL"/>
        </w:rPr>
        <w:t>Primary causal factor of fire</w:t>
      </w:r>
      <w:r w:rsidRPr="000B68C8">
        <w:rPr>
          <w:rFonts w:cs="Arial"/>
          <w:i/>
          <w:iCs/>
        </w:rPr>
        <w:t xml:space="preserve">, </w:t>
      </w:r>
      <w:r w:rsidR="000948AB" w:rsidRPr="000B68C8">
        <w:rPr>
          <w:rFonts w:cs="Arial"/>
          <w:i/>
          <w:iCs/>
        </w:rPr>
        <w:t>Incident date</w:t>
      </w:r>
      <w:r w:rsidRPr="000B68C8">
        <w:rPr>
          <w:rFonts w:cs="Arial"/>
          <w:i/>
          <w:iCs/>
        </w:rPr>
        <w:t xml:space="preserve">, </w:t>
      </w:r>
      <w:r w:rsidR="000948AB" w:rsidRPr="000B68C8">
        <w:rPr>
          <w:rFonts w:cs="Arial"/>
          <w:i/>
          <w:iCs/>
        </w:rPr>
        <w:t>Incident time</w:t>
      </w:r>
      <w:r w:rsidRPr="000B68C8">
        <w:rPr>
          <w:rFonts w:cs="Arial"/>
          <w:i/>
          <w:iCs/>
        </w:rPr>
        <w:t xml:space="preserve"> and </w:t>
      </w:r>
      <w:r w:rsidR="000948AB" w:rsidRPr="000B68C8">
        <w:rPr>
          <w:rFonts w:cs="Arial"/>
          <w:i/>
          <w:iCs/>
        </w:rPr>
        <w:t>Incident location</w:t>
      </w:r>
      <w:r w:rsidRPr="000B68C8">
        <w:rPr>
          <w:rFonts w:cs="Arial"/>
          <w:i/>
          <w:iCs/>
        </w:rPr>
        <w:t>.</w:t>
      </w:r>
      <w:r w:rsidR="003831C0" w:rsidRPr="000B68C8">
        <w:rPr>
          <w:rFonts w:cs="Arial"/>
        </w:rPr>
        <w:t xml:space="preserve"> </w:t>
      </w:r>
    </w:p>
    <w:p w14:paraId="15FA87A1" w14:textId="35E84A34" w:rsidR="000948AB" w:rsidRPr="000B68C8" w:rsidRDefault="000948AB" w:rsidP="000948AB">
      <w:pPr>
        <w:rPr>
          <w:rFonts w:cs="Arial"/>
        </w:rPr>
      </w:pPr>
      <w:r w:rsidRPr="000B68C8">
        <w:rPr>
          <w:rFonts w:cs="Arial"/>
        </w:rPr>
        <w:t xml:space="preserve">The most frequently selected variables regarding human characteristics are the </w:t>
      </w:r>
      <w:r w:rsidRPr="000B68C8">
        <w:rPr>
          <w:rFonts w:cs="Arial"/>
          <w:i/>
          <w:iCs/>
        </w:rPr>
        <w:t xml:space="preserve">number of </w:t>
      </w:r>
      <w:r w:rsidR="00744B78" w:rsidRPr="000B68C8">
        <w:rPr>
          <w:rFonts w:cs="Arial"/>
          <w:i/>
          <w:iCs/>
        </w:rPr>
        <w:t>fatalities</w:t>
      </w:r>
      <w:r w:rsidR="00744B78" w:rsidRPr="000B68C8">
        <w:rPr>
          <w:rFonts w:cs="Arial"/>
        </w:rPr>
        <w:t xml:space="preserve"> </w:t>
      </w:r>
      <w:r w:rsidRPr="000B68C8">
        <w:rPr>
          <w:rFonts w:cs="Arial"/>
        </w:rPr>
        <w:t xml:space="preserve">and the </w:t>
      </w:r>
      <w:r w:rsidR="001D6CEC" w:rsidRPr="000B68C8">
        <w:rPr>
          <w:rFonts w:cs="Arial"/>
          <w:i/>
          <w:iCs/>
        </w:rPr>
        <w:t>number of injuries</w:t>
      </w:r>
      <w:r w:rsidRPr="000B68C8">
        <w:rPr>
          <w:rFonts w:cs="Arial"/>
        </w:rPr>
        <w:t xml:space="preserve">. Currently, the majority of EU Member States already collect data about the </w:t>
      </w:r>
      <w:r w:rsidRPr="000B68C8">
        <w:rPr>
          <w:rFonts w:cs="Arial"/>
          <w:bCs/>
          <w:i/>
          <w:iCs/>
        </w:rPr>
        <w:t>number of fatalities</w:t>
      </w:r>
      <w:r w:rsidRPr="000B68C8">
        <w:rPr>
          <w:rFonts w:cs="Arial"/>
        </w:rPr>
        <w:t xml:space="preserve"> and the </w:t>
      </w:r>
      <w:r w:rsidRPr="000B68C8">
        <w:rPr>
          <w:rFonts w:cs="Arial"/>
          <w:bCs/>
          <w:i/>
          <w:iCs/>
        </w:rPr>
        <w:t>number of injuries</w:t>
      </w:r>
      <w:r w:rsidRPr="000B68C8">
        <w:rPr>
          <w:rFonts w:cs="Arial"/>
        </w:rPr>
        <w:t xml:space="preserve">. </w:t>
      </w:r>
      <w:r w:rsidR="00DF6D37" w:rsidRPr="000B68C8">
        <w:rPr>
          <w:rFonts w:cs="Arial"/>
          <w:i/>
        </w:rPr>
        <w:t>N</w:t>
      </w:r>
      <w:r w:rsidRPr="000B68C8">
        <w:rPr>
          <w:rFonts w:cs="Arial"/>
          <w:i/>
        </w:rPr>
        <w:t>umber of fatalities</w:t>
      </w:r>
      <w:r w:rsidRPr="000B68C8">
        <w:rPr>
          <w:rFonts w:cs="Arial"/>
          <w:b/>
        </w:rPr>
        <w:t xml:space="preserve"> </w:t>
      </w:r>
      <w:r w:rsidRPr="000B68C8">
        <w:rPr>
          <w:rFonts w:cs="Arial"/>
        </w:rPr>
        <w:t>and</w:t>
      </w:r>
      <w:r w:rsidRPr="000B68C8">
        <w:rPr>
          <w:rFonts w:cs="Arial"/>
          <w:b/>
        </w:rPr>
        <w:t xml:space="preserve"> </w:t>
      </w:r>
      <w:r w:rsidRPr="000B68C8">
        <w:rPr>
          <w:rFonts w:cs="Arial"/>
          <w:i/>
        </w:rPr>
        <w:t>number of injuries</w:t>
      </w:r>
      <w:r w:rsidR="00DF6D37" w:rsidRPr="000B68C8">
        <w:rPr>
          <w:rFonts w:cs="Arial"/>
        </w:rPr>
        <w:t xml:space="preserve"> are important </w:t>
      </w:r>
      <w:r w:rsidRPr="000B68C8">
        <w:rPr>
          <w:rFonts w:cs="Arial"/>
        </w:rPr>
        <w:t xml:space="preserve">variables </w:t>
      </w:r>
      <w:r w:rsidR="003648F3" w:rsidRPr="000B68C8">
        <w:rPr>
          <w:rFonts w:cs="Arial"/>
        </w:rPr>
        <w:t>able to</w:t>
      </w:r>
      <w:r w:rsidR="0092149E" w:rsidRPr="000B68C8">
        <w:rPr>
          <w:rFonts w:cs="Arial"/>
        </w:rPr>
        <w:t xml:space="preserve"> </w:t>
      </w:r>
      <w:r w:rsidRPr="000B68C8">
        <w:rPr>
          <w:rFonts w:cs="Arial"/>
        </w:rPr>
        <w:t>distinguish between</w:t>
      </w:r>
      <w:r w:rsidR="0092149E" w:rsidRPr="000B68C8">
        <w:rPr>
          <w:rFonts w:cs="Arial"/>
        </w:rPr>
        <w:t xml:space="preserve"> </w:t>
      </w:r>
      <w:r w:rsidRPr="000B68C8">
        <w:rPr>
          <w:rFonts w:cs="Arial"/>
        </w:rPr>
        <w:t xml:space="preserve">fatal and non-fatal fires. </w:t>
      </w:r>
      <w:r w:rsidRPr="000B68C8">
        <w:rPr>
          <w:rStyle w:val="Emphasis"/>
          <w:rFonts w:cs="Arial"/>
          <w:i w:val="0"/>
        </w:rPr>
        <w:t>A</w:t>
      </w:r>
      <w:r w:rsidRPr="000B68C8">
        <w:rPr>
          <w:rStyle w:val="Emphasis"/>
          <w:rFonts w:cs="Arial"/>
        </w:rPr>
        <w:t xml:space="preserve"> </w:t>
      </w:r>
      <w:r w:rsidRPr="000B68C8">
        <w:rPr>
          <w:rFonts w:cs="Arial"/>
        </w:rPr>
        <w:t>research study into fatal residential fires in Europe</w:t>
      </w:r>
      <w:r w:rsidR="00342407" w:rsidRPr="000B68C8">
        <w:rPr>
          <w:rFonts w:cs="Arial"/>
        </w:rPr>
        <w:t xml:space="preserve"> </w:t>
      </w:r>
      <w:r w:rsidR="00342407" w:rsidRPr="000B68C8">
        <w:rPr>
          <w:rFonts w:cs="Arial"/>
        </w:rPr>
        <w:fldChar w:fldCharType="begin" w:fldLock="1"/>
      </w:r>
      <w:r w:rsidR="007359B2" w:rsidRPr="000B68C8">
        <w:rPr>
          <w:rFonts w:cs="Arial"/>
        </w:rPr>
        <w:instrText>ADDIN CSL_CITATION {"citationItems":[{"id":"ITEM-1","itemData":{"author":[{"dropping-particle":"","family":"Fire Service Academy","given":"","non-dropping-particle":"","parse-names":false,"suffix":""}],"id":"ITEM-1","issued":{"date-parts":[["2018"]]},"title":"Fatal residential fires in Europe. A preliminary assessment of risk profiles in nine European countries. Arnhem: Institute for Safety.","type":"report"},"uris":["http://www.mendeley.com/documents/?uuid=128c14a4-556d-42ca-8239-9e384503f230"]}],"mendeley":{"formattedCitation":"[27]","plainTextFormattedCitation":"[27]","previouslyFormattedCitation":"[27]"},"properties":{"noteIndex":0},"schema":"https://github.com/citation-style-language/schema/raw/master/csl-citation.json"}</w:instrText>
      </w:r>
      <w:r w:rsidR="00342407" w:rsidRPr="000B68C8">
        <w:rPr>
          <w:rFonts w:cs="Arial"/>
        </w:rPr>
        <w:fldChar w:fldCharType="separate"/>
      </w:r>
      <w:r w:rsidR="00BC2D97" w:rsidRPr="000B68C8">
        <w:rPr>
          <w:rFonts w:cs="Arial"/>
          <w:noProof/>
        </w:rPr>
        <w:t>[27]</w:t>
      </w:r>
      <w:r w:rsidR="00342407" w:rsidRPr="000B68C8">
        <w:rPr>
          <w:rFonts w:cs="Arial"/>
        </w:rPr>
        <w:fldChar w:fldCharType="end"/>
      </w:r>
      <w:r w:rsidR="00DF6D37" w:rsidRPr="000B68C8">
        <w:rPr>
          <w:rFonts w:cs="Arial"/>
        </w:rPr>
        <w:t xml:space="preserve"> </w:t>
      </w:r>
      <w:r w:rsidRPr="000B68C8">
        <w:rPr>
          <w:rFonts w:cs="Arial"/>
        </w:rPr>
        <w:t xml:space="preserve">reveals that several fire risks can be identified by comparing the characteristics of fatal fires to those of non-fatal fires. </w:t>
      </w:r>
      <w:r w:rsidR="00FA02E7" w:rsidRPr="000B68C8">
        <w:rPr>
          <w:rFonts w:cs="Arial"/>
        </w:rPr>
        <w:t>I</w:t>
      </w:r>
      <w:r w:rsidRPr="000B68C8">
        <w:rPr>
          <w:rFonts w:cs="Arial"/>
        </w:rPr>
        <w:t>nsight into the fire risks</w:t>
      </w:r>
      <w:r w:rsidR="00FA02E7" w:rsidRPr="000B68C8">
        <w:rPr>
          <w:rFonts w:cs="Arial"/>
        </w:rPr>
        <w:t xml:space="preserve"> </w:t>
      </w:r>
      <w:r w:rsidR="00703303" w:rsidRPr="000B68C8">
        <w:rPr>
          <w:rFonts w:cs="Arial"/>
        </w:rPr>
        <w:t>is</w:t>
      </w:r>
      <w:r w:rsidRPr="000B68C8">
        <w:rPr>
          <w:rFonts w:cs="Arial"/>
        </w:rPr>
        <w:t xml:space="preserve"> important </w:t>
      </w:r>
      <w:r w:rsidR="00FA02E7" w:rsidRPr="000B68C8">
        <w:rPr>
          <w:rFonts w:cs="Arial"/>
        </w:rPr>
        <w:t xml:space="preserve">to </w:t>
      </w:r>
      <w:r w:rsidRPr="000B68C8">
        <w:rPr>
          <w:rFonts w:cs="Arial"/>
        </w:rPr>
        <w:t>evaluat</w:t>
      </w:r>
      <w:r w:rsidR="00FA02E7" w:rsidRPr="000B68C8">
        <w:rPr>
          <w:rFonts w:cs="Arial"/>
        </w:rPr>
        <w:t>e</w:t>
      </w:r>
      <w:r w:rsidRPr="000B68C8">
        <w:rPr>
          <w:rFonts w:cs="Arial"/>
        </w:rPr>
        <w:t xml:space="preserve"> existing policy and </w:t>
      </w:r>
      <w:r w:rsidR="00703303" w:rsidRPr="000B68C8">
        <w:rPr>
          <w:rFonts w:cs="Arial"/>
        </w:rPr>
        <w:t>determine</w:t>
      </w:r>
      <w:r w:rsidRPr="000B68C8">
        <w:rPr>
          <w:rFonts w:cs="Arial"/>
        </w:rPr>
        <w:t xml:space="preserve"> the focus of citizens’ education and information on fire safety. </w:t>
      </w:r>
    </w:p>
    <w:p w14:paraId="4731E64F" w14:textId="4AB4E84E" w:rsidR="000948AB" w:rsidRPr="000B68C8" w:rsidRDefault="000948AB" w:rsidP="000948AB">
      <w:pPr>
        <w:rPr>
          <w:rFonts w:cs="Arial"/>
        </w:rPr>
      </w:pPr>
      <w:r w:rsidRPr="000B68C8">
        <w:rPr>
          <w:rFonts w:cs="Arial"/>
        </w:rPr>
        <w:t xml:space="preserve">Data about the </w:t>
      </w:r>
      <w:r w:rsidRPr="000B68C8">
        <w:rPr>
          <w:rFonts w:cs="Arial"/>
          <w:i/>
        </w:rPr>
        <w:t xml:space="preserve">age of </w:t>
      </w:r>
      <w:r w:rsidR="008953E4" w:rsidRPr="000B68C8">
        <w:rPr>
          <w:rFonts w:cs="Arial"/>
          <w:i/>
        </w:rPr>
        <w:t>fatalities</w:t>
      </w:r>
      <w:r w:rsidR="008953E4" w:rsidRPr="000B68C8">
        <w:rPr>
          <w:rFonts w:cs="Arial"/>
        </w:rPr>
        <w:t xml:space="preserve"> </w:t>
      </w:r>
      <w:r w:rsidR="00FA02E7" w:rsidRPr="000B68C8">
        <w:rPr>
          <w:rFonts w:cs="Arial"/>
        </w:rPr>
        <w:t>are</w:t>
      </w:r>
      <w:r w:rsidRPr="000B68C8">
        <w:rPr>
          <w:rFonts w:cs="Arial"/>
        </w:rPr>
        <w:t xml:space="preserve"> collected by the majority of the EU Member States (52%). </w:t>
      </w:r>
      <w:r w:rsidR="001C22EC" w:rsidRPr="000B68C8">
        <w:rPr>
          <w:rFonts w:cs="Arial"/>
        </w:rPr>
        <w:t>The inclusion</w:t>
      </w:r>
      <w:r w:rsidR="0092149E" w:rsidRPr="000B68C8">
        <w:rPr>
          <w:rFonts w:cs="Arial"/>
        </w:rPr>
        <w:t xml:space="preserve"> of t</w:t>
      </w:r>
      <w:r w:rsidRPr="000B68C8">
        <w:rPr>
          <w:rFonts w:cs="Arial"/>
        </w:rPr>
        <w:t>h</w:t>
      </w:r>
      <w:r w:rsidR="00FA02E7" w:rsidRPr="000B68C8">
        <w:rPr>
          <w:rFonts w:cs="Arial"/>
        </w:rPr>
        <w:t>is</w:t>
      </w:r>
      <w:r w:rsidRPr="000B68C8">
        <w:rPr>
          <w:rFonts w:cs="Arial"/>
        </w:rPr>
        <w:t xml:space="preserve"> </w:t>
      </w:r>
      <w:r w:rsidR="0092149E" w:rsidRPr="000B68C8">
        <w:rPr>
          <w:rFonts w:cs="Arial"/>
        </w:rPr>
        <w:t>variable</w:t>
      </w:r>
      <w:r w:rsidRPr="000B68C8">
        <w:rPr>
          <w:rFonts w:cs="Arial"/>
        </w:rPr>
        <w:t xml:space="preserve"> is supported by the </w:t>
      </w:r>
      <w:r w:rsidR="003648F3" w:rsidRPr="000B68C8">
        <w:rPr>
          <w:rFonts w:cs="Arial"/>
        </w:rPr>
        <w:t xml:space="preserve">choice of </w:t>
      </w:r>
      <w:r w:rsidRPr="000B68C8">
        <w:rPr>
          <w:rFonts w:cs="Arial"/>
        </w:rPr>
        <w:t>stakeholders and the consortium, a</w:t>
      </w:r>
      <w:r w:rsidR="0092149E" w:rsidRPr="000B68C8">
        <w:rPr>
          <w:rFonts w:cs="Arial"/>
        </w:rPr>
        <w:t>s well as</w:t>
      </w:r>
      <w:r w:rsidRPr="000B68C8">
        <w:rPr>
          <w:rFonts w:cs="Arial"/>
        </w:rPr>
        <w:t xml:space="preserve"> findings from </w:t>
      </w:r>
      <w:r w:rsidR="001C22EC" w:rsidRPr="000B68C8">
        <w:rPr>
          <w:rFonts w:cs="Arial"/>
        </w:rPr>
        <w:t xml:space="preserve">the </w:t>
      </w:r>
      <w:r w:rsidRPr="000B68C8">
        <w:rPr>
          <w:rFonts w:cs="Arial"/>
        </w:rPr>
        <w:t xml:space="preserve">literature. </w:t>
      </w:r>
      <w:r w:rsidRPr="000B68C8">
        <w:rPr>
          <w:rStyle w:val="Emphasis"/>
          <w:rFonts w:cs="Arial"/>
          <w:i w:val="0"/>
        </w:rPr>
        <w:t xml:space="preserve">Indeed, a </w:t>
      </w:r>
      <w:r w:rsidRPr="000B68C8">
        <w:rPr>
          <w:rFonts w:cs="Arial"/>
        </w:rPr>
        <w:t>research study into fatal residential fires in Europe</w:t>
      </w:r>
      <w:r w:rsidR="00342407" w:rsidRPr="000B68C8">
        <w:rPr>
          <w:rFonts w:cs="Arial"/>
        </w:rPr>
        <w:t xml:space="preserve"> </w:t>
      </w:r>
      <w:r w:rsidR="00342407" w:rsidRPr="000B68C8">
        <w:rPr>
          <w:rFonts w:cs="Arial"/>
        </w:rPr>
        <w:fldChar w:fldCharType="begin" w:fldLock="1"/>
      </w:r>
      <w:r w:rsidR="007359B2" w:rsidRPr="000B68C8">
        <w:rPr>
          <w:rFonts w:cs="Arial"/>
        </w:rPr>
        <w:instrText>ADDIN CSL_CITATION {"citationItems":[{"id":"ITEM-1","itemData":{"author":[{"dropping-particle":"","family":"Fire Service Academy","given":"","non-dropping-particle":"","parse-names":false,"suffix":""}],"id":"ITEM-1","issued":{"date-parts":[["2018"]]},"title":"Fatal residential fires in Europe. A preliminary assessment of risk profiles in nine European countries. Arnhem: Institute for Safety.","type":"report"},"uris":["http://www.mendeley.com/documents/?uuid=128c14a4-556d-42ca-8239-9e384503f230"]}],"mendeley":{"formattedCitation":"[27]","plainTextFormattedCitation":"[27]","previouslyFormattedCitation":"[27]"},"properties":{"noteIndex":0},"schema":"https://github.com/citation-style-language/schema/raw/master/csl-citation.json"}</w:instrText>
      </w:r>
      <w:r w:rsidR="00342407" w:rsidRPr="000B68C8">
        <w:rPr>
          <w:rFonts w:cs="Arial"/>
        </w:rPr>
        <w:fldChar w:fldCharType="separate"/>
      </w:r>
      <w:r w:rsidR="00BC2D97" w:rsidRPr="000B68C8">
        <w:rPr>
          <w:rFonts w:cs="Arial"/>
          <w:noProof/>
        </w:rPr>
        <w:t>[27]</w:t>
      </w:r>
      <w:r w:rsidR="00342407" w:rsidRPr="000B68C8">
        <w:rPr>
          <w:rFonts w:cs="Arial"/>
        </w:rPr>
        <w:fldChar w:fldCharType="end"/>
      </w:r>
      <w:r w:rsidR="00DF6D37" w:rsidRPr="000B68C8">
        <w:rPr>
          <w:rFonts w:cs="Arial"/>
        </w:rPr>
        <w:t xml:space="preserve"> </w:t>
      </w:r>
      <w:r w:rsidR="00FA02E7" w:rsidRPr="000B68C8">
        <w:rPr>
          <w:rFonts w:cs="Arial"/>
        </w:rPr>
        <w:t>shows that</w:t>
      </w:r>
      <w:r w:rsidRPr="000B68C8">
        <w:rPr>
          <w:rFonts w:cs="Arial"/>
        </w:rPr>
        <w:t xml:space="preserve"> age</w:t>
      </w:r>
      <w:r w:rsidRPr="000B68C8">
        <w:rPr>
          <w:rFonts w:cs="Arial"/>
          <w:b/>
          <w:bCs/>
        </w:rPr>
        <w:t xml:space="preserve"> </w:t>
      </w:r>
      <w:r w:rsidRPr="000B68C8">
        <w:rPr>
          <w:rFonts w:cs="Arial"/>
        </w:rPr>
        <w:t xml:space="preserve">is relevant to </w:t>
      </w:r>
      <w:r w:rsidR="0093024E" w:rsidRPr="000B68C8">
        <w:rPr>
          <w:rFonts w:cs="Arial"/>
        </w:rPr>
        <w:t xml:space="preserve">the collection </w:t>
      </w:r>
      <w:r w:rsidRPr="000B68C8">
        <w:rPr>
          <w:rFonts w:cs="Arial"/>
        </w:rPr>
        <w:t xml:space="preserve">in several countries. For example, in the Netherlands and the USA, </w:t>
      </w:r>
      <w:r w:rsidR="00703303" w:rsidRPr="000B68C8">
        <w:rPr>
          <w:rFonts w:cs="Arial"/>
        </w:rPr>
        <w:t xml:space="preserve">the </w:t>
      </w:r>
      <w:r w:rsidRPr="000B68C8">
        <w:rPr>
          <w:rFonts w:cs="Arial"/>
        </w:rPr>
        <w:t xml:space="preserve">elderly (age 61 and older or in some literature 65 and older) are </w:t>
      </w:r>
      <w:r w:rsidR="00703303" w:rsidRPr="000B68C8">
        <w:rPr>
          <w:rFonts w:cs="Arial"/>
        </w:rPr>
        <w:t>overrepresented</w:t>
      </w:r>
      <w:r w:rsidRPr="000B68C8">
        <w:rPr>
          <w:rFonts w:cs="Arial"/>
        </w:rPr>
        <w:t xml:space="preserve"> among victims of fatal residential fires</w:t>
      </w:r>
      <w:r w:rsidR="00FA02E7" w:rsidRPr="000B68C8">
        <w:rPr>
          <w:rFonts w:cs="Arial"/>
        </w:rPr>
        <w:t xml:space="preserve"> due to physical and cognitive limitations</w:t>
      </w:r>
      <w:r w:rsidRPr="000B68C8">
        <w:rPr>
          <w:rFonts w:cs="Arial"/>
        </w:rPr>
        <w:t xml:space="preserve"> and are a risk group for serious injuries from fire</w:t>
      </w:r>
      <w:r w:rsidR="003648F3" w:rsidRPr="000B68C8">
        <w:rPr>
          <w:rFonts w:cs="Arial"/>
        </w:rPr>
        <w:t xml:space="preserve"> </w:t>
      </w:r>
      <w:r w:rsidR="00342407" w:rsidRPr="000B68C8">
        <w:rPr>
          <w:rFonts w:cs="Arial"/>
        </w:rPr>
        <w:fldChar w:fldCharType="begin" w:fldLock="1"/>
      </w:r>
      <w:r w:rsidR="007359B2" w:rsidRPr="000B68C8">
        <w:rPr>
          <w:rFonts w:cs="Arial"/>
        </w:rPr>
        <w:instrText>ADDIN CSL_CITATION {"citationItems":[{"id":"ITEM-1","itemData":{"abstract":"In 2018, 64 firefighters died while on duty in the US, continuing a five-year trend of fewer than 70 deaths per year. Another firefighter died in the US Virgin Islands as a result of a cardiac event while operating at a structure fire. The annual average number of deaths over the past decade is 70. Figure 1 shows on-duty firefighter deaths for the years 1977 through 2018, excluding the 340 firefighter deaths at the World Trade Center on 9/11, and the cancer-related deaths of responding firefighters that have occurred since 2001. 1 Of the 64 firefighters who died in the US while on duty in 2018, 34 were volunteer firefighters, 25 were career firefighters, and one each was a state contractor, a federal contractor, an employee of a state land management agency, an employee of a federal land management agency and a member of an inmate fire brigade. 2 There were four multiple-fatality incidents in 2018: two wildland fires, where two firefighters died in each fire; one structure fire, where two firefighters died when the floor collapsed; and an apparatus crash, where two firefighters died while responding to a motor vehicle crash. Analyses in this report examine the types of duty associated with firefighter deaths, the cause and nature of fatal injuries to firefighters, and the ages of the firefighters who died. They highlight deaths on the fire ground and in motor vehicle-related incidents. 3 Finally, the study presents summaries of individual incidents that illustrate important concerns in firefighter safety. This annual study includes only on-duty firefighter fatalities that occurred in the 50 states and the District of Columbia.","author":[{"dropping-particle":"","family":"Fahy","given":"R.","non-dropping-particle":"","parse-names":false,"suffix":""},{"dropping-particle":"","family":"Petrolli","given":"J.","non-dropping-particle":"","parse-names":false,"suffix":""},{"dropping-particle":"","family":"Molis","given":"J.","non-dropping-particle":"","parse-names":false,"suffix":""}],"container-title":"NFPA Research Report","id":"ITEM-1","issued":{"date-parts":[["2019"]]},"page":"1-26","title":"NFPA: Firefighter Fatalities in the US-2019","type":"article-journal"},"uris":["http://www.mendeley.com/documents/?uuid=3494cf75-1ee3-4617-9ee1-f57de064d690"]}],"mendeley":{"formattedCitation":"[28]","plainTextFormattedCitation":"[28]","previouslyFormattedCitation":"[28]"},"properties":{"noteIndex":0},"schema":"https://github.com/citation-style-language/schema/raw/master/csl-citation.json"}</w:instrText>
      </w:r>
      <w:r w:rsidR="00342407" w:rsidRPr="000B68C8">
        <w:rPr>
          <w:rFonts w:cs="Arial"/>
        </w:rPr>
        <w:fldChar w:fldCharType="separate"/>
      </w:r>
      <w:r w:rsidR="00BC2D97" w:rsidRPr="000B68C8">
        <w:rPr>
          <w:rFonts w:cs="Arial"/>
          <w:noProof/>
        </w:rPr>
        <w:t>[28]</w:t>
      </w:r>
      <w:r w:rsidR="00342407" w:rsidRPr="000B68C8">
        <w:rPr>
          <w:rFonts w:cs="Arial"/>
        </w:rPr>
        <w:fldChar w:fldCharType="end"/>
      </w:r>
      <w:r w:rsidR="004D2546" w:rsidRPr="000B68C8">
        <w:rPr>
          <w:rFonts w:cs="Arial"/>
        </w:rPr>
        <w:t>,</w:t>
      </w:r>
      <w:r w:rsidR="00342407" w:rsidRPr="000B68C8">
        <w:rPr>
          <w:rFonts w:cs="Arial"/>
        </w:rPr>
        <w:fldChar w:fldCharType="begin" w:fldLock="1"/>
      </w:r>
      <w:r w:rsidR="007359B2" w:rsidRPr="000B68C8">
        <w:rPr>
          <w:rFonts w:cs="Arial"/>
        </w:rPr>
        <w:instrText>ADDIN CSL_CITATION {"citationItems":[{"id":"ITEM-1","itemData":{"author":[{"dropping-particle":"","family":"Fire Service Academy","given":"","non-dropping-particle":"","parse-names":false,"suffix":""}],"id":"ITEM-1","issued":{"date-parts":[["2020"]]},"title":"Risicogroepen: verantwoordelijkheidsverdeling en handelingsperspectief. Arnhem: Institute for Safety.","type":"report"},"uris":["http://www.mendeley.com/documents/?uuid=d19dfff0-f270-4b08-a0db-79a9e8f88bc1"]}],"mendeley":{"formattedCitation":"[29]","plainTextFormattedCitation":"[29]","previouslyFormattedCitation":"[29]"},"properties":{"noteIndex":0},"schema":"https://github.com/citation-style-language/schema/raw/master/csl-citation.json"}</w:instrText>
      </w:r>
      <w:r w:rsidR="00342407" w:rsidRPr="000B68C8">
        <w:rPr>
          <w:rFonts w:cs="Arial"/>
        </w:rPr>
        <w:fldChar w:fldCharType="separate"/>
      </w:r>
      <w:r w:rsidR="00BC2D97" w:rsidRPr="000B68C8">
        <w:rPr>
          <w:rFonts w:cs="Arial"/>
          <w:noProof/>
        </w:rPr>
        <w:t>[29]</w:t>
      </w:r>
      <w:r w:rsidR="00342407" w:rsidRPr="000B68C8">
        <w:rPr>
          <w:rFonts w:cs="Arial"/>
        </w:rPr>
        <w:fldChar w:fldCharType="end"/>
      </w:r>
      <w:r w:rsidR="00AC58CD" w:rsidRPr="000B68C8">
        <w:rPr>
          <w:rFonts w:cs="Arial"/>
        </w:rPr>
        <w:t>.</w:t>
      </w:r>
      <w:r w:rsidRPr="000B68C8">
        <w:rPr>
          <w:rFonts w:cs="Arial"/>
        </w:rPr>
        <w:t xml:space="preserve"> </w:t>
      </w:r>
    </w:p>
    <w:p w14:paraId="71D68117" w14:textId="763BFDB2" w:rsidR="000948AB" w:rsidRPr="000B68C8" w:rsidRDefault="000948AB" w:rsidP="000948AB">
      <w:pPr>
        <w:rPr>
          <w:rFonts w:cs="Arial"/>
          <w:bCs/>
        </w:rPr>
      </w:pPr>
      <w:r w:rsidRPr="000B68C8">
        <w:rPr>
          <w:rFonts w:cs="Arial"/>
        </w:rPr>
        <w:t xml:space="preserve">The </w:t>
      </w:r>
      <w:r w:rsidRPr="000B68C8">
        <w:rPr>
          <w:rFonts w:cs="Arial"/>
          <w:bCs/>
        </w:rPr>
        <w:t>variable</w:t>
      </w:r>
      <w:r w:rsidRPr="000B68C8">
        <w:rPr>
          <w:rFonts w:cs="Arial"/>
        </w:rPr>
        <w:t xml:space="preserve"> </w:t>
      </w:r>
      <w:r w:rsidRPr="000B68C8">
        <w:rPr>
          <w:rFonts w:cs="Arial"/>
          <w:i/>
        </w:rPr>
        <w:t>type of building</w:t>
      </w:r>
      <w:r w:rsidRPr="000B68C8">
        <w:rPr>
          <w:rFonts w:cs="Arial"/>
          <w:bCs/>
        </w:rPr>
        <w:t xml:space="preserve"> is frequently </w:t>
      </w:r>
      <w:r w:rsidRPr="000B68C8">
        <w:rPr>
          <w:rFonts w:cs="Arial"/>
        </w:rPr>
        <w:t xml:space="preserve">mentioned by the stakeholders and is currently already collected by </w:t>
      </w:r>
      <w:r w:rsidR="00252100" w:rsidRPr="000B68C8">
        <w:rPr>
          <w:rFonts w:cs="Arial"/>
        </w:rPr>
        <w:t>the majority</w:t>
      </w:r>
      <w:r w:rsidR="00455E37" w:rsidRPr="000B68C8">
        <w:rPr>
          <w:rFonts w:cs="Arial"/>
        </w:rPr>
        <w:t xml:space="preserve"> of</w:t>
      </w:r>
      <w:r w:rsidRPr="000B68C8">
        <w:rPr>
          <w:rFonts w:cs="Arial"/>
        </w:rPr>
        <w:t xml:space="preserve"> the EU Member States</w:t>
      </w:r>
      <w:r w:rsidR="00FA02E7" w:rsidRPr="000B68C8">
        <w:rPr>
          <w:rFonts w:cs="Arial"/>
        </w:rPr>
        <w:t xml:space="preserve"> enabling the</w:t>
      </w:r>
      <w:r w:rsidRPr="000B68C8">
        <w:rPr>
          <w:rFonts w:cs="Arial"/>
          <w:bCs/>
        </w:rPr>
        <w:t xml:space="preserve"> distinction between the fire risk of different types of buildings. This distinction is important</w:t>
      </w:r>
      <w:r w:rsidRPr="000B68C8">
        <w:rPr>
          <w:rFonts w:cs="Arial"/>
        </w:rPr>
        <w:t xml:space="preserve"> as</w:t>
      </w:r>
      <w:r w:rsidR="003831C0" w:rsidRPr="000B68C8">
        <w:rPr>
          <w:rFonts w:cs="Arial"/>
        </w:rPr>
        <w:t xml:space="preserve"> </w:t>
      </w:r>
      <w:r w:rsidRPr="000B68C8">
        <w:rPr>
          <w:rFonts w:cs="Arial"/>
          <w:bCs/>
        </w:rPr>
        <w:t xml:space="preserve">most of the </w:t>
      </w:r>
      <w:r w:rsidRPr="000B68C8">
        <w:rPr>
          <w:rFonts w:cs="Arial"/>
        </w:rPr>
        <w:t xml:space="preserve">fire-related fatalities </w:t>
      </w:r>
      <w:r w:rsidR="003831C0" w:rsidRPr="000B68C8">
        <w:rPr>
          <w:rFonts w:cs="Arial"/>
        </w:rPr>
        <w:t>are attributable to</w:t>
      </w:r>
      <w:r w:rsidRPr="000B68C8">
        <w:rPr>
          <w:rFonts w:cs="Arial"/>
        </w:rPr>
        <w:t xml:space="preserve"> dwelling fires</w:t>
      </w:r>
      <w:r w:rsidR="003831C0" w:rsidRPr="000B68C8">
        <w:rPr>
          <w:rFonts w:cs="Arial"/>
        </w:rPr>
        <w:t xml:space="preserve"> in England</w:t>
      </w:r>
      <w:r w:rsidR="003648F3" w:rsidRPr="000B68C8">
        <w:rPr>
          <w:rFonts w:cs="Arial"/>
        </w:rPr>
        <w:t xml:space="preserve"> </w:t>
      </w:r>
      <w:r w:rsidR="00342407" w:rsidRPr="000B68C8">
        <w:rPr>
          <w:rFonts w:cs="Arial"/>
        </w:rPr>
        <w:fldChar w:fldCharType="begin" w:fldLock="1"/>
      </w:r>
      <w:r w:rsidR="007359B2" w:rsidRPr="000B68C8">
        <w:rPr>
          <w:rFonts w:cs="Arial"/>
        </w:rPr>
        <w:instrText>ADDIN CSL_CITATION {"citationItems":[{"id":"ITEM-1","itemData":{"ISBN":"978-1-78655-886-2","abstract":"The fire-related fatality rate per million is higher for men and older people. For men aged 65 to 79 the fatality rate was 9.6 per million population while the equivalent rate for women was 6.2 per million. For those aged 80 and over, the rate for men was 20.6 per million and for women was 14.5 per million.","author":[{"dropping-particle":"","family":"Home Office","given":"","non-dropping-particle":"","parse-names":false,"suffix":""}],"id":"ITEM-1","issued":{"date-parts":[["2020"]]},"title":"Detailed analysis of fires attended by fire and rescue services. England, April 2018 to March 2019","type":"report"},"uris":["http://www.mendeley.com/documents/?uuid=71b6aa04-1c40-415d-9c4c-35af290b34bd"]}],"mendeley":{"formattedCitation":"[30]","plainTextFormattedCitation":"[30]","previouslyFormattedCitation":"[30]"},"properties":{"noteIndex":0},"schema":"https://github.com/citation-style-language/schema/raw/master/csl-citation.json"}</w:instrText>
      </w:r>
      <w:r w:rsidR="00342407" w:rsidRPr="000B68C8">
        <w:rPr>
          <w:rFonts w:cs="Arial"/>
        </w:rPr>
        <w:fldChar w:fldCharType="separate"/>
      </w:r>
      <w:r w:rsidR="00BC2D97" w:rsidRPr="000B68C8">
        <w:rPr>
          <w:rFonts w:cs="Arial"/>
          <w:noProof/>
        </w:rPr>
        <w:t>[30]</w:t>
      </w:r>
      <w:r w:rsidR="00342407" w:rsidRPr="000B68C8">
        <w:rPr>
          <w:rFonts w:cs="Arial"/>
        </w:rPr>
        <w:fldChar w:fldCharType="end"/>
      </w:r>
      <w:r w:rsidR="003831C0" w:rsidRPr="000B68C8">
        <w:rPr>
          <w:rFonts w:cs="Arial"/>
          <w:bCs/>
        </w:rPr>
        <w:t>.</w:t>
      </w:r>
    </w:p>
    <w:p w14:paraId="425ACDEA" w14:textId="0A74A091" w:rsidR="009A2917" w:rsidRPr="000B68C8" w:rsidRDefault="009A2917" w:rsidP="000948AB">
      <w:pPr>
        <w:rPr>
          <w:rFonts w:cs="Arial"/>
        </w:rPr>
      </w:pPr>
      <w:r w:rsidRPr="000B68C8">
        <w:rPr>
          <w:rFonts w:cs="Arial"/>
          <w:bCs/>
        </w:rPr>
        <w:t xml:space="preserve">The variable </w:t>
      </w:r>
      <w:r w:rsidRPr="000B68C8">
        <w:rPr>
          <w:rFonts w:cs="Arial"/>
          <w:bCs/>
          <w:i/>
          <w:iCs/>
        </w:rPr>
        <w:t>fire safety measures present</w:t>
      </w:r>
      <w:r w:rsidRPr="000B68C8">
        <w:rPr>
          <w:rFonts w:cs="Arial"/>
          <w:bCs/>
        </w:rPr>
        <w:t xml:space="preserve"> </w:t>
      </w:r>
      <w:r w:rsidR="00C24C51" w:rsidRPr="000B68C8">
        <w:rPr>
          <w:rFonts w:cs="Arial"/>
          <w:bCs/>
        </w:rPr>
        <w:t xml:space="preserve">is </w:t>
      </w:r>
      <w:r w:rsidR="00E8305E" w:rsidRPr="000B68C8">
        <w:rPr>
          <w:rFonts w:cs="Arial"/>
          <w:bCs/>
        </w:rPr>
        <w:t xml:space="preserve">mentioned by the stakeholders and is currently collected </w:t>
      </w:r>
      <w:r w:rsidR="00E821D6" w:rsidRPr="000B68C8">
        <w:rPr>
          <w:rFonts w:cs="Arial"/>
          <w:bCs/>
        </w:rPr>
        <w:t xml:space="preserve">by the majority </w:t>
      </w:r>
      <w:r w:rsidR="00E8305E" w:rsidRPr="000B68C8">
        <w:rPr>
          <w:rFonts w:cs="Arial"/>
          <w:bCs/>
        </w:rPr>
        <w:t xml:space="preserve">of </w:t>
      </w:r>
      <w:r w:rsidR="00334E3C" w:rsidRPr="000B68C8">
        <w:rPr>
          <w:rFonts w:cs="Arial"/>
          <w:bCs/>
        </w:rPr>
        <w:t>the EU Member States</w:t>
      </w:r>
      <w:r w:rsidR="00126823" w:rsidRPr="000B68C8">
        <w:rPr>
          <w:rFonts w:cs="Arial"/>
          <w:bCs/>
        </w:rPr>
        <w:t xml:space="preserve"> </w:t>
      </w:r>
      <w:r w:rsidR="00972959" w:rsidRPr="000B68C8">
        <w:rPr>
          <w:rFonts w:cs="Arial"/>
          <w:bCs/>
        </w:rPr>
        <w:t xml:space="preserve">in terms of the smoke alarm systems </w:t>
      </w:r>
      <w:r w:rsidR="00126823" w:rsidRPr="000B68C8">
        <w:rPr>
          <w:rFonts w:cs="Arial"/>
          <w:bCs/>
        </w:rPr>
        <w:t>(</w:t>
      </w:r>
      <w:r w:rsidR="00334E3C" w:rsidRPr="000B68C8">
        <w:rPr>
          <w:rFonts w:cs="Times New Roman"/>
        </w:rPr>
        <w:t>41%</w:t>
      </w:r>
      <w:r w:rsidR="00972959" w:rsidRPr="000B68C8">
        <w:rPr>
          <w:rFonts w:cs="Times New Roman"/>
        </w:rPr>
        <w:t>) and by some countries in terms of the fire extinguishing system (</w:t>
      </w:r>
      <w:r w:rsidR="00334E3C" w:rsidRPr="000B68C8">
        <w:rPr>
          <w:rFonts w:cs="Times New Roman"/>
        </w:rPr>
        <w:t>29%</w:t>
      </w:r>
      <w:r w:rsidR="00972959" w:rsidRPr="000B68C8">
        <w:rPr>
          <w:rFonts w:cs="Times New Roman"/>
        </w:rPr>
        <w:t>)</w:t>
      </w:r>
      <w:r w:rsidR="00126823" w:rsidRPr="000B68C8">
        <w:rPr>
          <w:rFonts w:cs="Times New Roman"/>
        </w:rPr>
        <w:t>.</w:t>
      </w:r>
      <w:r w:rsidR="00E8305E" w:rsidRPr="000B68C8">
        <w:rPr>
          <w:rFonts w:cs="Arial"/>
          <w:bCs/>
        </w:rPr>
        <w:t xml:space="preserve"> </w:t>
      </w:r>
    </w:p>
    <w:p w14:paraId="5CB329A9" w14:textId="558D64B5" w:rsidR="000948AB" w:rsidRPr="000B68C8" w:rsidRDefault="000948AB" w:rsidP="000948AB">
      <w:pPr>
        <w:rPr>
          <w:rFonts w:cs="Arial"/>
        </w:rPr>
      </w:pPr>
      <w:r w:rsidRPr="000B68C8">
        <w:rPr>
          <w:rFonts w:cs="Arial"/>
        </w:rPr>
        <w:t xml:space="preserve">Both the stakeholders and the consortium </w:t>
      </w:r>
      <w:r w:rsidR="0092149E" w:rsidRPr="000B68C8">
        <w:rPr>
          <w:rFonts w:cs="Arial"/>
        </w:rPr>
        <w:t>identified</w:t>
      </w:r>
      <w:r w:rsidRPr="000B68C8">
        <w:rPr>
          <w:rFonts w:cs="Arial"/>
        </w:rPr>
        <w:t xml:space="preserve"> </w:t>
      </w:r>
      <w:r w:rsidR="00624475" w:rsidRPr="000B68C8">
        <w:rPr>
          <w:rFonts w:cs="Arial"/>
        </w:rPr>
        <w:t xml:space="preserve">the </w:t>
      </w:r>
      <w:r w:rsidR="003108E0" w:rsidRPr="000B68C8">
        <w:rPr>
          <w:rFonts w:cs="Arial"/>
          <w:i/>
          <w:iCs/>
        </w:rPr>
        <w:t>p</w:t>
      </w:r>
      <w:r w:rsidR="009C1DDB" w:rsidRPr="000B68C8">
        <w:rPr>
          <w:rFonts w:cs="Arial"/>
          <w:i/>
          <w:iCs/>
        </w:rPr>
        <w:t xml:space="preserve">rimary </w:t>
      </w:r>
      <w:r w:rsidR="003108E0" w:rsidRPr="000B68C8">
        <w:rPr>
          <w:rFonts w:cs="Arial"/>
          <w:i/>
          <w:iCs/>
        </w:rPr>
        <w:t>causal factor</w:t>
      </w:r>
      <w:r w:rsidR="003108E0" w:rsidRPr="000B68C8">
        <w:rPr>
          <w:rFonts w:cs="Arial"/>
        </w:rPr>
        <w:t xml:space="preserve"> </w:t>
      </w:r>
      <w:r w:rsidR="004D35ED" w:rsidRPr="000B68C8">
        <w:rPr>
          <w:rFonts w:cs="Arial"/>
          <w:i/>
          <w:iCs/>
        </w:rPr>
        <w:t>of</w:t>
      </w:r>
      <w:r w:rsidR="004D35ED" w:rsidRPr="000B68C8">
        <w:rPr>
          <w:rFonts w:cs="Arial"/>
        </w:rPr>
        <w:t xml:space="preserve"> </w:t>
      </w:r>
      <w:r w:rsidRPr="000B68C8">
        <w:rPr>
          <w:rFonts w:cs="Arial"/>
          <w:i/>
        </w:rPr>
        <w:t>fir</w:t>
      </w:r>
      <w:r w:rsidR="003108E0" w:rsidRPr="000B68C8">
        <w:rPr>
          <w:rFonts w:cs="Arial"/>
          <w:i/>
        </w:rPr>
        <w:t>e</w:t>
      </w:r>
      <w:r w:rsidRPr="000B68C8">
        <w:rPr>
          <w:rFonts w:cs="Arial"/>
        </w:rPr>
        <w:t xml:space="preserve"> as an important variable </w:t>
      </w:r>
      <w:r w:rsidR="003F1644" w:rsidRPr="000B68C8">
        <w:rPr>
          <w:rFonts w:cs="Arial"/>
        </w:rPr>
        <w:t>for information relating to</w:t>
      </w:r>
      <w:r w:rsidRPr="000B68C8">
        <w:rPr>
          <w:rFonts w:cs="Arial"/>
        </w:rPr>
        <w:t xml:space="preserve"> fire characteristics</w:t>
      </w:r>
      <w:r w:rsidR="00904559" w:rsidRPr="000B68C8">
        <w:rPr>
          <w:rFonts w:cs="Arial"/>
        </w:rPr>
        <w:t xml:space="preserve">. Information on </w:t>
      </w:r>
      <w:r w:rsidR="00624475" w:rsidRPr="000B68C8">
        <w:rPr>
          <w:rFonts w:cs="Arial"/>
        </w:rPr>
        <w:t xml:space="preserve">the </w:t>
      </w:r>
      <w:r w:rsidR="004D35ED" w:rsidRPr="000B68C8">
        <w:rPr>
          <w:rFonts w:cs="Arial"/>
        </w:rPr>
        <w:t>primary causal factor of fire</w:t>
      </w:r>
      <w:r w:rsidR="00904559" w:rsidRPr="000B68C8">
        <w:rPr>
          <w:rFonts w:cs="Arial"/>
        </w:rPr>
        <w:t xml:space="preserve"> </w:t>
      </w:r>
      <w:r w:rsidR="003831C0" w:rsidRPr="000B68C8">
        <w:rPr>
          <w:rFonts w:cs="Arial"/>
        </w:rPr>
        <w:t>is currently collected by the EU Member States</w:t>
      </w:r>
      <w:r w:rsidRPr="000B68C8">
        <w:rPr>
          <w:rFonts w:cs="Arial"/>
        </w:rPr>
        <w:t xml:space="preserve">. Examples of values for this variable are human </w:t>
      </w:r>
      <w:r w:rsidR="0093024E" w:rsidRPr="000B68C8">
        <w:rPr>
          <w:rFonts w:cs="Arial"/>
        </w:rPr>
        <w:t>acts</w:t>
      </w:r>
      <w:r w:rsidRPr="000B68C8">
        <w:rPr>
          <w:rFonts w:cs="Arial"/>
        </w:rPr>
        <w:t>, equipment failure</w:t>
      </w:r>
      <w:r w:rsidR="003648F3" w:rsidRPr="000B68C8">
        <w:rPr>
          <w:rFonts w:cs="Arial"/>
        </w:rPr>
        <w:t xml:space="preserve"> and </w:t>
      </w:r>
      <w:r w:rsidRPr="000B68C8">
        <w:rPr>
          <w:rFonts w:cs="Arial"/>
        </w:rPr>
        <w:t xml:space="preserve">natural </w:t>
      </w:r>
      <w:r w:rsidR="0093024E" w:rsidRPr="000B68C8">
        <w:rPr>
          <w:rFonts w:cs="Arial"/>
        </w:rPr>
        <w:t>phenomena</w:t>
      </w:r>
      <w:r w:rsidR="003648F3" w:rsidRPr="000B68C8">
        <w:rPr>
          <w:rFonts w:cs="Arial"/>
        </w:rPr>
        <w:t>.</w:t>
      </w:r>
      <w:r w:rsidR="00F17EBB" w:rsidRPr="000B68C8">
        <w:rPr>
          <w:rFonts w:cs="Arial"/>
        </w:rPr>
        <w:t xml:space="preserve"> It is also important to </w:t>
      </w:r>
      <w:r w:rsidR="00AB6F54" w:rsidRPr="000B68C8">
        <w:rPr>
          <w:rFonts w:cs="Arial"/>
        </w:rPr>
        <w:t xml:space="preserve">better specify to what primary causal factor of fire is referred. Considering a real fire incident, </w:t>
      </w:r>
      <w:r w:rsidR="00F17EBB" w:rsidRPr="000B68C8">
        <w:rPr>
          <w:rFonts w:cs="Arial"/>
        </w:rPr>
        <w:t>a cigarette (heat source) igniting paper (item first ignited) due to an unintentional human act (primary causal factor) and then spreading via curtains (</w:t>
      </w:r>
      <w:r w:rsidR="00073E21" w:rsidRPr="000B68C8">
        <w:rPr>
          <w:rFonts w:cs="Arial"/>
        </w:rPr>
        <w:t>articles</w:t>
      </w:r>
      <w:r w:rsidR="00F17EBB" w:rsidRPr="000B68C8">
        <w:rPr>
          <w:rFonts w:cs="Arial"/>
        </w:rPr>
        <w:t xml:space="preserve"> contributing to fire development)</w:t>
      </w:r>
    </w:p>
    <w:p w14:paraId="2EFAA4CE" w14:textId="50E147BF" w:rsidR="001D422F" w:rsidRPr="000B68C8" w:rsidRDefault="000948AB" w:rsidP="000948AB">
      <w:pPr>
        <w:rPr>
          <w:rFonts w:cs="Arial"/>
        </w:rPr>
      </w:pPr>
      <w:r w:rsidRPr="000B68C8">
        <w:rPr>
          <w:rFonts w:cs="Arial"/>
        </w:rPr>
        <w:t xml:space="preserve">The variables regarding fire </w:t>
      </w:r>
      <w:r w:rsidR="00F1088B" w:rsidRPr="000B68C8">
        <w:rPr>
          <w:rFonts w:cs="Arial"/>
        </w:rPr>
        <w:t xml:space="preserve">incident </w:t>
      </w:r>
      <w:r w:rsidRPr="000B68C8">
        <w:rPr>
          <w:rFonts w:cs="Arial"/>
        </w:rPr>
        <w:t xml:space="preserve">characteristics </w:t>
      </w:r>
      <w:r w:rsidR="001C22EC" w:rsidRPr="000B68C8">
        <w:rPr>
          <w:rFonts w:cs="Arial"/>
        </w:rPr>
        <w:t xml:space="preserve">that </w:t>
      </w:r>
      <w:r w:rsidRPr="000B68C8">
        <w:rPr>
          <w:rFonts w:cs="Arial"/>
        </w:rPr>
        <w:t xml:space="preserve">are frequently mentioned by the stakeholders and are also currently collected by </w:t>
      </w:r>
      <w:r w:rsidR="00455E37" w:rsidRPr="000B68C8">
        <w:rPr>
          <w:rFonts w:cs="Arial"/>
        </w:rPr>
        <w:t>most of</w:t>
      </w:r>
      <w:r w:rsidRPr="000B68C8">
        <w:rPr>
          <w:rFonts w:cs="Arial"/>
        </w:rPr>
        <w:t xml:space="preserve"> the EU Member States include </w:t>
      </w:r>
      <w:r w:rsidRPr="000B68C8">
        <w:rPr>
          <w:rFonts w:cs="Arial"/>
          <w:bCs/>
          <w:i/>
        </w:rPr>
        <w:t xml:space="preserve">incident location, incident date </w:t>
      </w:r>
      <w:r w:rsidRPr="000B68C8">
        <w:rPr>
          <w:rFonts w:cs="Arial"/>
        </w:rPr>
        <w:t>and</w:t>
      </w:r>
      <w:r w:rsidRPr="000B68C8">
        <w:rPr>
          <w:rFonts w:cs="Arial"/>
          <w:bCs/>
          <w:i/>
        </w:rPr>
        <w:t xml:space="preserve"> incident time</w:t>
      </w:r>
      <w:r w:rsidRPr="000B68C8">
        <w:rPr>
          <w:rFonts w:cs="Arial"/>
        </w:rPr>
        <w:t xml:space="preserve">. </w:t>
      </w:r>
      <w:r w:rsidR="00904559" w:rsidRPr="000B68C8">
        <w:rPr>
          <w:rFonts w:cs="Arial"/>
        </w:rPr>
        <w:t>Different v</w:t>
      </w:r>
      <w:r w:rsidRPr="000B68C8">
        <w:rPr>
          <w:rFonts w:cs="Arial"/>
        </w:rPr>
        <w:t xml:space="preserve">alues </w:t>
      </w:r>
      <w:r w:rsidR="00904559" w:rsidRPr="000B68C8">
        <w:rPr>
          <w:rFonts w:cs="Arial"/>
        </w:rPr>
        <w:t>may be used in ass</w:t>
      </w:r>
      <w:r w:rsidR="003648F3" w:rsidRPr="000B68C8">
        <w:rPr>
          <w:rFonts w:cs="Arial"/>
        </w:rPr>
        <w:t>essing</w:t>
      </w:r>
      <w:r w:rsidR="00904559" w:rsidRPr="000B68C8">
        <w:rPr>
          <w:rFonts w:cs="Arial"/>
        </w:rPr>
        <w:t xml:space="preserve"> </w:t>
      </w:r>
      <w:r w:rsidR="001C22EC" w:rsidRPr="000B68C8">
        <w:rPr>
          <w:rFonts w:cs="Arial"/>
        </w:rPr>
        <w:t xml:space="preserve">the </w:t>
      </w:r>
      <w:r w:rsidRPr="000B68C8">
        <w:rPr>
          <w:rFonts w:cs="Arial"/>
        </w:rPr>
        <w:t>incident location</w:t>
      </w:r>
      <w:r w:rsidR="00904559" w:rsidRPr="000B68C8">
        <w:rPr>
          <w:rFonts w:cs="Arial"/>
        </w:rPr>
        <w:t xml:space="preserve">, such as </w:t>
      </w:r>
      <w:r w:rsidRPr="000B68C8">
        <w:rPr>
          <w:rFonts w:cs="Arial"/>
        </w:rPr>
        <w:t>geographical coordinates</w:t>
      </w:r>
      <w:r w:rsidR="00904559" w:rsidRPr="000B68C8">
        <w:rPr>
          <w:rFonts w:cs="Arial"/>
        </w:rPr>
        <w:t xml:space="preserve"> or</w:t>
      </w:r>
      <w:r w:rsidRPr="000B68C8">
        <w:rPr>
          <w:rFonts w:cs="Arial"/>
        </w:rPr>
        <w:t xml:space="preserve"> building address.</w:t>
      </w:r>
    </w:p>
    <w:p w14:paraId="25A8A7B0" w14:textId="6D4B4C86" w:rsidR="000948AB" w:rsidRPr="000B68C8" w:rsidRDefault="000948AB" w:rsidP="00342407">
      <w:pPr>
        <w:pStyle w:val="Heading2"/>
      </w:pPr>
      <w:r w:rsidRPr="000B68C8">
        <w:t xml:space="preserve">Tier 2 </w:t>
      </w:r>
      <w:r w:rsidR="0059065C" w:rsidRPr="000B68C8">
        <w:t>(</w:t>
      </w:r>
      <w:r w:rsidR="005D60C3" w:rsidRPr="000B68C8">
        <w:t xml:space="preserve">4 </w:t>
      </w:r>
      <w:r w:rsidRPr="000B68C8">
        <w:t>variables</w:t>
      </w:r>
      <w:r w:rsidR="0059065C" w:rsidRPr="000B68C8">
        <w:t>)</w:t>
      </w:r>
    </w:p>
    <w:p w14:paraId="4A9B4AAD" w14:textId="3DD51809" w:rsidR="00844AD9" w:rsidRPr="000B68C8" w:rsidRDefault="007116B0" w:rsidP="00D638B9">
      <w:pPr>
        <w:rPr>
          <w:rFonts w:cs="Arial"/>
        </w:rPr>
      </w:pPr>
      <w:r w:rsidRPr="000B68C8">
        <w:rPr>
          <w:rFonts w:cs="Arial"/>
        </w:rPr>
        <w:t xml:space="preserve">Four </w:t>
      </w:r>
      <w:r w:rsidR="000948AB" w:rsidRPr="000B68C8">
        <w:rPr>
          <w:rFonts w:cs="Arial"/>
        </w:rPr>
        <w:t xml:space="preserve">other variables </w:t>
      </w:r>
      <w:r w:rsidR="001D422F" w:rsidRPr="000B68C8">
        <w:rPr>
          <w:rFonts w:cs="Arial"/>
        </w:rPr>
        <w:t>voted</w:t>
      </w:r>
      <w:r w:rsidR="000948AB" w:rsidRPr="000B68C8">
        <w:rPr>
          <w:rFonts w:cs="Arial"/>
        </w:rPr>
        <w:t xml:space="preserve"> by the stakeholders </w:t>
      </w:r>
      <w:r w:rsidR="00D638B9" w:rsidRPr="000B68C8">
        <w:rPr>
          <w:rFonts w:cs="Arial"/>
        </w:rPr>
        <w:t>and</w:t>
      </w:r>
      <w:r w:rsidR="000948AB" w:rsidRPr="000B68C8">
        <w:rPr>
          <w:rFonts w:cs="Arial"/>
        </w:rPr>
        <w:t xml:space="preserve"> the consortium are not currently collected by </w:t>
      </w:r>
      <w:r w:rsidR="00455E37" w:rsidRPr="000B68C8">
        <w:rPr>
          <w:rFonts w:cs="Arial"/>
        </w:rPr>
        <w:t>most of</w:t>
      </w:r>
      <w:r w:rsidR="000948AB" w:rsidRPr="000B68C8">
        <w:rPr>
          <w:rFonts w:cs="Arial"/>
        </w:rPr>
        <w:t xml:space="preserve"> the countries</w:t>
      </w:r>
      <w:r w:rsidR="00D638B9" w:rsidRPr="000B68C8">
        <w:rPr>
          <w:rFonts w:cs="Arial"/>
        </w:rPr>
        <w:t xml:space="preserve"> included in Tier </w:t>
      </w:r>
      <w:r w:rsidR="004F3382" w:rsidRPr="000B68C8">
        <w:rPr>
          <w:rFonts w:cs="Arial"/>
        </w:rPr>
        <w:t>2</w:t>
      </w:r>
      <w:r w:rsidR="00D638B9" w:rsidRPr="000B68C8">
        <w:rPr>
          <w:rFonts w:cs="Arial"/>
        </w:rPr>
        <w:t xml:space="preserve"> which are: </w:t>
      </w:r>
    </w:p>
    <w:p w14:paraId="6C668D42" w14:textId="53828F72" w:rsidR="00844AD9" w:rsidRPr="000B68C8" w:rsidRDefault="00315E52" w:rsidP="00D638B9">
      <w:pPr>
        <w:rPr>
          <w:rFonts w:cs="Arial"/>
          <w:i/>
          <w:iCs/>
        </w:rPr>
      </w:pPr>
      <w:r w:rsidRPr="000B68C8">
        <w:rPr>
          <w:rFonts w:cs="Arial"/>
          <w:i/>
          <w:iCs/>
        </w:rPr>
        <w:t>Area</w:t>
      </w:r>
      <w:r w:rsidR="00D638B9" w:rsidRPr="000B68C8">
        <w:rPr>
          <w:rFonts w:cs="Arial"/>
          <w:i/>
          <w:iCs/>
        </w:rPr>
        <w:t xml:space="preserve"> of origin, </w:t>
      </w:r>
      <w:r w:rsidR="00514798" w:rsidRPr="000B68C8">
        <w:rPr>
          <w:rFonts w:cs="Arial"/>
          <w:i/>
          <w:iCs/>
        </w:rPr>
        <w:t>Heat s</w:t>
      </w:r>
      <w:r w:rsidR="00D638B9" w:rsidRPr="000B68C8">
        <w:rPr>
          <w:rFonts w:cs="Arial"/>
          <w:i/>
          <w:iCs/>
        </w:rPr>
        <w:t>ource, Number of floors</w:t>
      </w:r>
      <w:r w:rsidR="007116B0" w:rsidRPr="000B68C8">
        <w:rPr>
          <w:rFonts w:cs="Arial"/>
          <w:i/>
          <w:iCs/>
        </w:rPr>
        <w:t xml:space="preserve"> and</w:t>
      </w:r>
      <w:r w:rsidR="00D638B9" w:rsidRPr="000B68C8">
        <w:rPr>
          <w:rFonts w:cs="Arial"/>
          <w:i/>
          <w:iCs/>
        </w:rPr>
        <w:t xml:space="preserve"> </w:t>
      </w:r>
      <w:r w:rsidR="00EC05B9" w:rsidRPr="000B68C8">
        <w:rPr>
          <w:rFonts w:cs="Arial"/>
          <w:i/>
          <w:iCs/>
        </w:rPr>
        <w:t>Article</w:t>
      </w:r>
      <w:r w:rsidR="00D638B9" w:rsidRPr="000B68C8">
        <w:rPr>
          <w:rFonts w:cs="Arial"/>
          <w:i/>
          <w:iCs/>
        </w:rPr>
        <w:t xml:space="preserve"> </w:t>
      </w:r>
      <w:r w:rsidR="00241B00" w:rsidRPr="000B68C8">
        <w:rPr>
          <w:rFonts w:cs="Arial"/>
          <w:i/>
          <w:iCs/>
        </w:rPr>
        <w:t xml:space="preserve">contributing to </w:t>
      </w:r>
      <w:r w:rsidR="00D638B9" w:rsidRPr="000B68C8">
        <w:rPr>
          <w:rFonts w:cs="Arial"/>
          <w:i/>
          <w:iCs/>
        </w:rPr>
        <w:t xml:space="preserve">fire development. </w:t>
      </w:r>
    </w:p>
    <w:p w14:paraId="224D4658" w14:textId="7994D8DE" w:rsidR="00D638B9" w:rsidRPr="000B68C8" w:rsidRDefault="00CE18F5" w:rsidP="000948AB">
      <w:pPr>
        <w:rPr>
          <w:rFonts w:cs="Arial"/>
        </w:rPr>
      </w:pPr>
      <w:bookmarkStart w:id="43" w:name="_Hlk127091851"/>
      <w:r w:rsidRPr="000B68C8">
        <w:rPr>
          <w:rFonts w:cs="Arial"/>
        </w:rPr>
        <w:t>At</w:t>
      </w:r>
      <w:r w:rsidR="00D638B9" w:rsidRPr="000B68C8">
        <w:rPr>
          <w:rFonts w:cs="Arial"/>
        </w:rPr>
        <w:t xml:space="preserve"> least 3</w:t>
      </w:r>
      <w:r w:rsidR="00AC1CA5" w:rsidRPr="000B68C8">
        <w:rPr>
          <w:rFonts w:cs="Arial"/>
        </w:rPr>
        <w:t>3</w:t>
      </w:r>
      <w:r w:rsidR="00D638B9" w:rsidRPr="000B68C8">
        <w:rPr>
          <w:rFonts w:cs="Arial"/>
        </w:rPr>
        <w:t xml:space="preserve">% of EU countries collect </w:t>
      </w:r>
      <w:r w:rsidR="00904559" w:rsidRPr="000B68C8">
        <w:rPr>
          <w:rFonts w:cs="Arial"/>
        </w:rPr>
        <w:t xml:space="preserve">information on </w:t>
      </w:r>
      <w:r w:rsidR="001C22EC" w:rsidRPr="000B68C8">
        <w:rPr>
          <w:rFonts w:cs="Arial"/>
        </w:rPr>
        <w:t xml:space="preserve">the </w:t>
      </w:r>
      <w:r w:rsidRPr="000B68C8">
        <w:rPr>
          <w:rFonts w:cs="Arial"/>
          <w:i/>
          <w:iCs/>
        </w:rPr>
        <w:t>heat source</w:t>
      </w:r>
      <w:r w:rsidRPr="000B68C8">
        <w:rPr>
          <w:rFonts w:cs="Arial"/>
        </w:rPr>
        <w:t xml:space="preserve"> </w:t>
      </w:r>
      <w:r w:rsidRPr="000B68C8">
        <w:rPr>
          <w:rFonts w:cs="Arial"/>
          <w:i/>
          <w:iCs/>
        </w:rPr>
        <w:t xml:space="preserve">and </w:t>
      </w:r>
      <w:r w:rsidR="00904559" w:rsidRPr="000B68C8">
        <w:rPr>
          <w:rFonts w:cs="Arial"/>
          <w:i/>
          <w:iCs/>
        </w:rPr>
        <w:t>area of fire origin</w:t>
      </w:r>
      <w:r w:rsidR="00D638B9" w:rsidRPr="000B68C8">
        <w:rPr>
          <w:rFonts w:cs="Arial"/>
        </w:rPr>
        <w:t xml:space="preserve">. </w:t>
      </w:r>
    </w:p>
    <w:bookmarkEnd w:id="43"/>
    <w:p w14:paraId="6C24E118" w14:textId="367FFE53" w:rsidR="000948AB" w:rsidRPr="000B68C8" w:rsidRDefault="00904559" w:rsidP="000948AB">
      <w:pPr>
        <w:rPr>
          <w:rFonts w:cs="Arial"/>
        </w:rPr>
      </w:pPr>
      <w:r w:rsidRPr="000B68C8">
        <w:rPr>
          <w:rFonts w:cs="Arial"/>
        </w:rPr>
        <w:t>I</w:t>
      </w:r>
      <w:r w:rsidR="000948AB" w:rsidRPr="000B68C8">
        <w:rPr>
          <w:rFonts w:cs="Arial"/>
        </w:rPr>
        <w:t xml:space="preserve">nformation about </w:t>
      </w:r>
      <w:r w:rsidR="000948AB" w:rsidRPr="000B68C8">
        <w:rPr>
          <w:rFonts w:cs="Arial"/>
          <w:i/>
        </w:rPr>
        <w:t xml:space="preserve">the </w:t>
      </w:r>
      <w:r w:rsidR="000948AB" w:rsidRPr="000B68C8">
        <w:rPr>
          <w:rFonts w:cs="Arial"/>
          <w:bCs/>
          <w:i/>
        </w:rPr>
        <w:t>number of floors</w:t>
      </w:r>
      <w:r w:rsidR="000948AB" w:rsidRPr="000B68C8">
        <w:rPr>
          <w:rFonts w:cs="Arial"/>
        </w:rPr>
        <w:t xml:space="preserve"> </w:t>
      </w:r>
      <w:r w:rsidRPr="000B68C8">
        <w:rPr>
          <w:rFonts w:cs="Arial"/>
        </w:rPr>
        <w:t>may be</w:t>
      </w:r>
      <w:r w:rsidR="000948AB" w:rsidRPr="000B68C8">
        <w:rPr>
          <w:rFonts w:cs="Arial"/>
        </w:rPr>
        <w:t xml:space="preserve"> </w:t>
      </w:r>
      <w:r w:rsidR="00904891" w:rsidRPr="000B68C8">
        <w:rPr>
          <w:rFonts w:cs="Arial"/>
        </w:rPr>
        <w:t xml:space="preserve">considered </w:t>
      </w:r>
      <w:r w:rsidR="000948AB" w:rsidRPr="000B68C8">
        <w:rPr>
          <w:rFonts w:cs="Arial"/>
        </w:rPr>
        <w:t>relevant</w:t>
      </w:r>
      <w:r w:rsidRPr="000B68C8">
        <w:rPr>
          <w:rFonts w:cs="Arial"/>
        </w:rPr>
        <w:t xml:space="preserve"> in the case of fires in high rise buildings</w:t>
      </w:r>
      <w:r w:rsidR="000948AB" w:rsidRPr="000B68C8">
        <w:rPr>
          <w:rFonts w:cs="Arial"/>
        </w:rPr>
        <w:t xml:space="preserve">. Data about the </w:t>
      </w:r>
      <w:r w:rsidR="000948AB" w:rsidRPr="000B68C8">
        <w:rPr>
          <w:rFonts w:cs="Arial"/>
          <w:i/>
          <w:iCs/>
        </w:rPr>
        <w:t>number of floors</w:t>
      </w:r>
      <w:r w:rsidR="000948AB" w:rsidRPr="000B68C8">
        <w:rPr>
          <w:rFonts w:cs="Arial"/>
        </w:rPr>
        <w:t xml:space="preserve"> can </w:t>
      </w:r>
      <w:r w:rsidR="00580E03" w:rsidRPr="000B68C8">
        <w:rPr>
          <w:rFonts w:cs="Arial"/>
        </w:rPr>
        <w:t xml:space="preserve">provide </w:t>
      </w:r>
      <w:r w:rsidR="000948AB" w:rsidRPr="000B68C8">
        <w:rPr>
          <w:rFonts w:cs="Arial"/>
        </w:rPr>
        <w:t>a substantial amount of information about the efficiency of fire safety and any evacuation measures that have been adopted (</w:t>
      </w:r>
      <w:r w:rsidR="00636194" w:rsidRPr="000B68C8">
        <w:rPr>
          <w:rFonts w:cs="Arial"/>
        </w:rPr>
        <w:t>e.g.</w:t>
      </w:r>
      <w:r w:rsidR="000948AB" w:rsidRPr="000B68C8">
        <w:rPr>
          <w:rFonts w:cs="Arial"/>
        </w:rPr>
        <w:t xml:space="preserve"> the evacuation strategy of a high-rise building is usually different than for single floor buildings). This can also be a strong indicator when comparing data between different countries. </w:t>
      </w:r>
    </w:p>
    <w:p w14:paraId="5DDC4583" w14:textId="1BBA3DAA" w:rsidR="000948AB" w:rsidRPr="000B68C8" w:rsidRDefault="000948AB" w:rsidP="00342407">
      <w:pPr>
        <w:pStyle w:val="Heading2"/>
      </w:pPr>
      <w:r w:rsidRPr="000B68C8">
        <w:t xml:space="preserve">Tier 3 </w:t>
      </w:r>
      <w:r w:rsidR="0059065C" w:rsidRPr="000B68C8">
        <w:t>(</w:t>
      </w:r>
      <w:r w:rsidR="001D422F" w:rsidRPr="000B68C8">
        <w:t>19 v</w:t>
      </w:r>
      <w:r w:rsidRPr="000B68C8">
        <w:t>ariables</w:t>
      </w:r>
      <w:r w:rsidR="0059065C" w:rsidRPr="000B68C8">
        <w:t>)</w:t>
      </w:r>
    </w:p>
    <w:p w14:paraId="658AC4A2" w14:textId="47079CF5" w:rsidR="00844AD9" w:rsidRPr="000B68C8" w:rsidRDefault="000948AB" w:rsidP="000948AB">
      <w:pPr>
        <w:rPr>
          <w:rFonts w:cs="Arial"/>
        </w:rPr>
      </w:pPr>
      <w:r w:rsidRPr="000B68C8">
        <w:rPr>
          <w:rFonts w:cs="Arial"/>
        </w:rPr>
        <w:t>Other variables are only covered by the set of the stakeholders (13), the consortium (</w:t>
      </w:r>
      <w:r w:rsidR="00AB6F54" w:rsidRPr="000B68C8">
        <w:rPr>
          <w:rFonts w:cs="Arial"/>
        </w:rPr>
        <w:t>five</w:t>
      </w:r>
      <w:r w:rsidRPr="000B68C8">
        <w:rPr>
          <w:rFonts w:cs="Arial"/>
        </w:rPr>
        <w:t>), or existing data collection (</w:t>
      </w:r>
      <w:r w:rsidR="00AB6F54" w:rsidRPr="000B68C8">
        <w:rPr>
          <w:rFonts w:cs="Arial"/>
        </w:rPr>
        <w:t>one</w:t>
      </w:r>
      <w:r w:rsidRPr="000B68C8">
        <w:rPr>
          <w:rFonts w:cs="Arial"/>
        </w:rPr>
        <w:t xml:space="preserve">). Those variables are not </w:t>
      </w:r>
      <w:r w:rsidR="00D638B9" w:rsidRPr="000B68C8">
        <w:rPr>
          <w:rFonts w:cs="Arial"/>
        </w:rPr>
        <w:t xml:space="preserve">considered to be </w:t>
      </w:r>
      <w:r w:rsidR="00844AD9" w:rsidRPr="000B68C8">
        <w:rPr>
          <w:rFonts w:cs="Arial"/>
        </w:rPr>
        <w:t xml:space="preserve">essential aspects to be covered by fire statistics and will not be </w:t>
      </w:r>
      <w:r w:rsidR="00904891" w:rsidRPr="000B68C8">
        <w:rPr>
          <w:rFonts w:cs="Arial"/>
        </w:rPr>
        <w:t xml:space="preserve">included </w:t>
      </w:r>
      <w:r w:rsidR="00FE2D35" w:rsidRPr="000B68C8">
        <w:rPr>
          <w:rFonts w:cs="Arial"/>
        </w:rPr>
        <w:t xml:space="preserve">in </w:t>
      </w:r>
      <w:r w:rsidR="00844AD9" w:rsidRPr="000B68C8">
        <w:rPr>
          <w:rFonts w:cs="Arial"/>
        </w:rPr>
        <w:t>the proposed terminology</w:t>
      </w:r>
      <w:r w:rsidR="0094545E" w:rsidRPr="000B68C8">
        <w:rPr>
          <w:rFonts w:cs="Arial"/>
        </w:rPr>
        <w:t xml:space="preserve">, </w:t>
      </w:r>
      <w:r w:rsidR="00FE2D35" w:rsidRPr="000B68C8">
        <w:rPr>
          <w:rFonts w:cs="Arial"/>
        </w:rPr>
        <w:t>except</w:t>
      </w:r>
      <w:r w:rsidR="001C22EC" w:rsidRPr="000B68C8">
        <w:rPr>
          <w:rFonts w:cs="Arial"/>
        </w:rPr>
        <w:t xml:space="preserve"> </w:t>
      </w:r>
      <w:r w:rsidR="00FE2D35" w:rsidRPr="000B68C8">
        <w:rPr>
          <w:rFonts w:cs="Arial"/>
        </w:rPr>
        <w:t xml:space="preserve">for </w:t>
      </w:r>
      <w:r w:rsidR="00624475" w:rsidRPr="000B68C8">
        <w:rPr>
          <w:rFonts w:cs="Arial"/>
        </w:rPr>
        <w:t xml:space="preserve">the </w:t>
      </w:r>
      <w:r w:rsidR="00721790" w:rsidRPr="000B68C8">
        <w:rPr>
          <w:rFonts w:cs="Arial"/>
          <w:bCs/>
          <w:i/>
        </w:rPr>
        <w:t>item first ignited</w:t>
      </w:r>
      <w:r w:rsidR="00844AD9" w:rsidRPr="000B68C8">
        <w:rPr>
          <w:rFonts w:cs="Arial"/>
        </w:rPr>
        <w:t xml:space="preserve">. </w:t>
      </w:r>
      <w:r w:rsidRPr="000B68C8">
        <w:rPr>
          <w:rFonts w:cs="Arial"/>
        </w:rPr>
        <w:t xml:space="preserve">The variables </w:t>
      </w:r>
      <w:r w:rsidR="00844AD9" w:rsidRPr="000B68C8">
        <w:rPr>
          <w:rFonts w:cs="Arial"/>
        </w:rPr>
        <w:t xml:space="preserve">defined in Tier 3 </w:t>
      </w:r>
      <w:r w:rsidRPr="000B68C8">
        <w:rPr>
          <w:rFonts w:cs="Arial"/>
        </w:rPr>
        <w:t xml:space="preserve">are </w:t>
      </w:r>
      <w:r w:rsidR="00844AD9" w:rsidRPr="000B68C8">
        <w:rPr>
          <w:rFonts w:cs="Arial"/>
        </w:rPr>
        <w:t>the following</w:t>
      </w:r>
      <w:r w:rsidR="00904891" w:rsidRPr="000B68C8">
        <w:rPr>
          <w:rFonts w:cs="Arial"/>
        </w:rPr>
        <w:t xml:space="preserve"> and may be of interest for the future development of data collection</w:t>
      </w:r>
      <w:r w:rsidR="00844AD9" w:rsidRPr="000B68C8">
        <w:rPr>
          <w:rFonts w:cs="Arial"/>
        </w:rPr>
        <w:t xml:space="preserve">: </w:t>
      </w:r>
    </w:p>
    <w:p w14:paraId="6E8B4331" w14:textId="54F571B7" w:rsidR="000948AB" w:rsidRPr="000B68C8" w:rsidRDefault="000948AB" w:rsidP="00342407">
      <w:pPr>
        <w:rPr>
          <w:rFonts w:cs="Arial"/>
          <w:i/>
          <w:iCs/>
        </w:rPr>
      </w:pPr>
      <w:r w:rsidRPr="000B68C8">
        <w:rPr>
          <w:i/>
          <w:iCs/>
        </w:rPr>
        <w:t>Construction type</w:t>
      </w:r>
      <w:r w:rsidR="00844AD9" w:rsidRPr="000B68C8">
        <w:rPr>
          <w:rFonts w:cs="Arial"/>
          <w:i/>
          <w:iCs/>
        </w:rPr>
        <w:t xml:space="preserve">, </w:t>
      </w:r>
      <w:r w:rsidRPr="000B68C8">
        <w:rPr>
          <w:rFonts w:cs="Arial"/>
          <w:i/>
          <w:iCs/>
        </w:rPr>
        <w:t>Item first ignited</w:t>
      </w:r>
      <w:r w:rsidR="00844AD9" w:rsidRPr="000B68C8">
        <w:rPr>
          <w:rFonts w:cs="Arial"/>
          <w:i/>
          <w:iCs/>
        </w:rPr>
        <w:t xml:space="preserve">, </w:t>
      </w:r>
      <w:r w:rsidRPr="000B68C8">
        <w:rPr>
          <w:rFonts w:cs="Arial"/>
          <w:i/>
          <w:iCs/>
        </w:rPr>
        <w:t xml:space="preserve">Fire spread at </w:t>
      </w:r>
      <w:r w:rsidR="00703303" w:rsidRPr="000B68C8">
        <w:rPr>
          <w:rFonts w:cs="Arial"/>
          <w:i/>
          <w:iCs/>
        </w:rPr>
        <w:t xml:space="preserve">the </w:t>
      </w:r>
      <w:r w:rsidRPr="000B68C8">
        <w:rPr>
          <w:rFonts w:cs="Arial"/>
          <w:i/>
          <w:iCs/>
        </w:rPr>
        <w:t>final situation</w:t>
      </w:r>
      <w:r w:rsidR="00844AD9" w:rsidRPr="000B68C8">
        <w:rPr>
          <w:rFonts w:cs="Arial"/>
          <w:i/>
          <w:iCs/>
        </w:rPr>
        <w:t xml:space="preserve">, </w:t>
      </w:r>
      <w:r w:rsidRPr="000B68C8">
        <w:rPr>
          <w:rFonts w:cs="Arial"/>
          <w:i/>
          <w:iCs/>
        </w:rPr>
        <w:t>Time between fire brigade arrival and withdrawal</w:t>
      </w:r>
      <w:r w:rsidR="00844AD9" w:rsidRPr="000B68C8">
        <w:rPr>
          <w:rFonts w:cs="Arial"/>
          <w:i/>
          <w:iCs/>
        </w:rPr>
        <w:t xml:space="preserve">, </w:t>
      </w:r>
      <w:r w:rsidRPr="000B68C8">
        <w:rPr>
          <w:rFonts w:cs="Arial"/>
          <w:i/>
          <w:iCs/>
        </w:rPr>
        <w:t>Quantification of property damage</w:t>
      </w:r>
      <w:r w:rsidR="00844AD9" w:rsidRPr="000B68C8">
        <w:rPr>
          <w:rFonts w:cs="Arial"/>
          <w:i/>
          <w:iCs/>
        </w:rPr>
        <w:t>,</w:t>
      </w:r>
      <w:r w:rsidRPr="000B68C8">
        <w:rPr>
          <w:rFonts w:cs="Arial"/>
          <w:i/>
          <w:iCs/>
        </w:rPr>
        <w:t xml:space="preserve"> Gender of </w:t>
      </w:r>
      <w:r w:rsidR="00703303" w:rsidRPr="000B68C8">
        <w:rPr>
          <w:rFonts w:cs="Arial"/>
          <w:i/>
          <w:iCs/>
        </w:rPr>
        <w:t xml:space="preserve">the </w:t>
      </w:r>
      <w:r w:rsidRPr="000B68C8">
        <w:rPr>
          <w:rFonts w:cs="Arial"/>
          <w:i/>
          <w:iCs/>
        </w:rPr>
        <w:t>victim</w:t>
      </w:r>
      <w:r w:rsidR="00844AD9" w:rsidRPr="000B68C8">
        <w:rPr>
          <w:rFonts w:cs="Arial"/>
          <w:i/>
          <w:iCs/>
        </w:rPr>
        <w:t xml:space="preserve">, </w:t>
      </w:r>
      <w:r w:rsidRPr="000B68C8">
        <w:rPr>
          <w:rFonts w:cs="Arial"/>
          <w:i/>
          <w:iCs/>
        </w:rPr>
        <w:t>Reason for failure of fire safety measures</w:t>
      </w:r>
      <w:r w:rsidR="00844AD9" w:rsidRPr="000B68C8">
        <w:rPr>
          <w:rFonts w:cs="Arial"/>
          <w:i/>
          <w:iCs/>
        </w:rPr>
        <w:t xml:space="preserve">, </w:t>
      </w:r>
      <w:r w:rsidRPr="000B68C8">
        <w:rPr>
          <w:rFonts w:cs="Arial"/>
          <w:i/>
          <w:iCs/>
        </w:rPr>
        <w:t>Fire brigade response time</w:t>
      </w:r>
      <w:r w:rsidR="00844AD9" w:rsidRPr="000B68C8">
        <w:rPr>
          <w:rFonts w:cs="Arial"/>
          <w:i/>
          <w:iCs/>
        </w:rPr>
        <w:t xml:space="preserve">, </w:t>
      </w:r>
      <w:r w:rsidRPr="000B68C8">
        <w:rPr>
          <w:rFonts w:cs="Arial"/>
          <w:i/>
          <w:iCs/>
        </w:rPr>
        <w:t>Type of property damage</w:t>
      </w:r>
      <w:r w:rsidR="00844AD9" w:rsidRPr="000B68C8">
        <w:rPr>
          <w:rFonts w:cs="Arial"/>
          <w:i/>
          <w:iCs/>
        </w:rPr>
        <w:t xml:space="preserve">, </w:t>
      </w:r>
      <w:r w:rsidRPr="000B68C8">
        <w:rPr>
          <w:rFonts w:cs="Arial"/>
          <w:i/>
          <w:iCs/>
        </w:rPr>
        <w:t>Number of occupants in the building</w:t>
      </w:r>
      <w:r w:rsidR="00844AD9" w:rsidRPr="000B68C8">
        <w:rPr>
          <w:rFonts w:cs="Arial"/>
          <w:i/>
          <w:iCs/>
        </w:rPr>
        <w:t xml:space="preserve">, </w:t>
      </w:r>
      <w:r w:rsidRPr="000B68C8">
        <w:rPr>
          <w:rFonts w:cs="Arial"/>
          <w:i/>
          <w:iCs/>
        </w:rPr>
        <w:t>Fire detection time</w:t>
      </w:r>
      <w:r w:rsidR="00844AD9" w:rsidRPr="000B68C8">
        <w:rPr>
          <w:rFonts w:cs="Arial"/>
          <w:i/>
          <w:iCs/>
        </w:rPr>
        <w:t xml:space="preserve">, </w:t>
      </w:r>
      <w:r w:rsidRPr="000B68C8">
        <w:rPr>
          <w:rFonts w:cs="Arial"/>
          <w:i/>
          <w:iCs/>
        </w:rPr>
        <w:t>Direct fire costs</w:t>
      </w:r>
      <w:r w:rsidR="00844AD9" w:rsidRPr="000B68C8">
        <w:rPr>
          <w:rFonts w:cs="Arial"/>
          <w:i/>
          <w:iCs/>
        </w:rPr>
        <w:t xml:space="preserve">, </w:t>
      </w:r>
      <w:r w:rsidRPr="000B68C8">
        <w:rPr>
          <w:rFonts w:cs="Arial"/>
          <w:i/>
          <w:iCs/>
        </w:rPr>
        <w:t>Disability of victim</w:t>
      </w:r>
      <w:r w:rsidR="00844AD9" w:rsidRPr="000B68C8">
        <w:rPr>
          <w:rFonts w:cs="Arial"/>
          <w:i/>
          <w:iCs/>
        </w:rPr>
        <w:t xml:space="preserve">, </w:t>
      </w:r>
      <w:r w:rsidRPr="000B68C8">
        <w:rPr>
          <w:rFonts w:cs="Arial"/>
          <w:i/>
          <w:iCs/>
        </w:rPr>
        <w:t xml:space="preserve">Role of </w:t>
      </w:r>
      <w:r w:rsidR="00703303" w:rsidRPr="000B68C8">
        <w:rPr>
          <w:rFonts w:cs="Arial"/>
          <w:i/>
          <w:iCs/>
        </w:rPr>
        <w:t xml:space="preserve">the </w:t>
      </w:r>
      <w:r w:rsidRPr="000B68C8">
        <w:rPr>
          <w:rFonts w:cs="Arial"/>
          <w:i/>
          <w:iCs/>
        </w:rPr>
        <w:t>victim (e.g.</w:t>
      </w:r>
      <w:r w:rsidR="00C41B88" w:rsidRPr="000B68C8">
        <w:rPr>
          <w:rFonts w:cs="Arial"/>
          <w:i/>
          <w:iCs/>
        </w:rPr>
        <w:t>,</w:t>
      </w:r>
      <w:r w:rsidRPr="000B68C8">
        <w:rPr>
          <w:rFonts w:cs="Arial"/>
          <w:i/>
          <w:iCs/>
        </w:rPr>
        <w:t xml:space="preserve"> firefighter or citizen)</w:t>
      </w:r>
      <w:r w:rsidR="00844AD9" w:rsidRPr="000B68C8">
        <w:rPr>
          <w:rFonts w:cs="Arial"/>
          <w:i/>
          <w:iCs/>
        </w:rPr>
        <w:t xml:space="preserve">, </w:t>
      </w:r>
      <w:r w:rsidRPr="000B68C8">
        <w:rPr>
          <w:rFonts w:cs="Arial"/>
          <w:i/>
          <w:iCs/>
        </w:rPr>
        <w:t>Operation of fire safety measure</w:t>
      </w:r>
      <w:r w:rsidR="00844AD9" w:rsidRPr="000B68C8">
        <w:rPr>
          <w:rFonts w:cs="Arial"/>
          <w:i/>
          <w:iCs/>
        </w:rPr>
        <w:t xml:space="preserve">, </w:t>
      </w:r>
      <w:r w:rsidRPr="000B68C8">
        <w:rPr>
          <w:rFonts w:cs="Arial"/>
          <w:i/>
          <w:iCs/>
        </w:rPr>
        <w:t>Fire spread at fire brigade arrival</w:t>
      </w:r>
      <w:r w:rsidR="00844AD9" w:rsidRPr="000B68C8">
        <w:rPr>
          <w:rFonts w:cs="Arial"/>
          <w:i/>
          <w:iCs/>
        </w:rPr>
        <w:t xml:space="preserve">, </w:t>
      </w:r>
      <w:r w:rsidRPr="000B68C8">
        <w:rPr>
          <w:rFonts w:cs="Arial"/>
          <w:i/>
          <w:iCs/>
        </w:rPr>
        <w:t xml:space="preserve">Size of smoke </w:t>
      </w:r>
      <w:r w:rsidR="00CA0F88" w:rsidRPr="000B68C8">
        <w:rPr>
          <w:rFonts w:cs="Arial"/>
          <w:i/>
          <w:iCs/>
        </w:rPr>
        <w:t>spread and</w:t>
      </w:r>
      <w:r w:rsidR="00844AD9" w:rsidRPr="000B68C8">
        <w:rPr>
          <w:rFonts w:cs="Arial"/>
          <w:i/>
          <w:iCs/>
        </w:rPr>
        <w:t xml:space="preserve"> </w:t>
      </w:r>
      <w:r w:rsidRPr="000B68C8">
        <w:rPr>
          <w:rFonts w:cs="Arial"/>
          <w:i/>
          <w:iCs/>
        </w:rPr>
        <w:t>Construction characteristics</w:t>
      </w:r>
      <w:r w:rsidR="00CA0F88" w:rsidRPr="000B68C8">
        <w:rPr>
          <w:rFonts w:cs="Arial"/>
          <w:i/>
          <w:iCs/>
        </w:rPr>
        <w:t>.</w:t>
      </w:r>
    </w:p>
    <w:p w14:paraId="21F3D589" w14:textId="0A1D3DF8" w:rsidR="00694226" w:rsidRPr="000B68C8" w:rsidRDefault="00694226" w:rsidP="00342407">
      <w:pPr>
        <w:rPr>
          <w:lang w:val="en-US"/>
        </w:rPr>
      </w:pPr>
      <w:r w:rsidRPr="000B68C8">
        <w:rPr>
          <w:rFonts w:cs="Arial"/>
        </w:rPr>
        <w:t>Based on detailed discussions amongst consortium members, the item first ignited was considered an important variable that should be collected to assess the origin of the fire and the initial fuel load. Therefore, for the item first ignited, a unified definition was created.</w:t>
      </w:r>
    </w:p>
    <w:p w14:paraId="19592B11" w14:textId="69708084" w:rsidR="00070752" w:rsidRPr="000B68C8" w:rsidRDefault="0094545E" w:rsidP="00342407">
      <w:r w:rsidRPr="000B68C8">
        <w:rPr>
          <w:lang w:val="en-US"/>
        </w:rPr>
        <w:t>It is important to note that excluding</w:t>
      </w:r>
      <w:r w:rsidR="00D13F6C" w:rsidRPr="000B68C8">
        <w:rPr>
          <w:lang w:val="en-US"/>
        </w:rPr>
        <w:t xml:space="preserve"> </w:t>
      </w:r>
      <w:r w:rsidR="00FF6869" w:rsidRPr="000B68C8">
        <w:rPr>
          <w:lang w:val="en-US"/>
        </w:rPr>
        <w:t xml:space="preserve">these variables </w:t>
      </w:r>
      <w:r w:rsidRPr="000B68C8">
        <w:rPr>
          <w:lang w:val="en-US"/>
        </w:rPr>
        <w:t>from a</w:t>
      </w:r>
      <w:r w:rsidR="00FF6869" w:rsidRPr="000B68C8">
        <w:rPr>
          <w:lang w:val="en-US"/>
        </w:rPr>
        <w:t xml:space="preserve"> harmonized European fire statistics</w:t>
      </w:r>
      <w:r w:rsidRPr="000B68C8">
        <w:rPr>
          <w:lang w:val="en-US"/>
        </w:rPr>
        <w:t xml:space="preserve"> system</w:t>
      </w:r>
      <w:r w:rsidR="00FF6869" w:rsidRPr="000B68C8">
        <w:rPr>
          <w:lang w:val="en-US"/>
        </w:rPr>
        <w:t xml:space="preserve"> should not prevent the European countries </w:t>
      </w:r>
      <w:r w:rsidR="007F7358" w:rsidRPr="000B68C8">
        <w:rPr>
          <w:lang w:val="en-US"/>
        </w:rPr>
        <w:t>from continuing</w:t>
      </w:r>
      <w:r w:rsidR="00FF6869" w:rsidRPr="000B68C8">
        <w:rPr>
          <w:lang w:val="en-US"/>
        </w:rPr>
        <w:t xml:space="preserve"> collecting other variables in parallel. </w:t>
      </w:r>
      <w:r w:rsidR="00904891" w:rsidRPr="000B68C8">
        <w:rPr>
          <w:lang w:val="en-US"/>
        </w:rPr>
        <w:t xml:space="preserve">In the following </w:t>
      </w:r>
      <w:r w:rsidR="00230C22" w:rsidRPr="000B68C8">
        <w:rPr>
          <w:lang w:val="en-US"/>
        </w:rPr>
        <w:t>s</w:t>
      </w:r>
      <w:r w:rsidR="00904891" w:rsidRPr="000B68C8">
        <w:rPr>
          <w:lang w:val="en-US"/>
        </w:rPr>
        <w:t xml:space="preserve">ection, </w:t>
      </w:r>
      <w:r w:rsidR="00106F5E" w:rsidRPr="000B68C8">
        <w:rPr>
          <w:lang w:val="en-US"/>
        </w:rPr>
        <w:t>a unified terminology for the variables of Tier 1 and 2</w:t>
      </w:r>
      <w:r w:rsidR="00904891" w:rsidRPr="000B68C8">
        <w:rPr>
          <w:lang w:val="en-US"/>
        </w:rPr>
        <w:t xml:space="preserve"> is proposed</w:t>
      </w:r>
      <w:r w:rsidR="00106F5E" w:rsidRPr="000B68C8">
        <w:rPr>
          <w:lang w:val="en-US"/>
        </w:rPr>
        <w:t>.</w:t>
      </w:r>
    </w:p>
    <w:p w14:paraId="0B94458B" w14:textId="3B612866" w:rsidR="009455D0" w:rsidRPr="000B68C8" w:rsidRDefault="009455D0">
      <w:pPr>
        <w:pStyle w:val="Heading1"/>
      </w:pPr>
      <w:bookmarkStart w:id="44" w:name="_Ref126944464"/>
      <w:bookmarkStart w:id="45" w:name="_Ref87531297"/>
      <w:r w:rsidRPr="000B68C8">
        <w:t>Proposed terminology</w:t>
      </w:r>
      <w:r w:rsidR="006E1411" w:rsidRPr="000B68C8">
        <w:t xml:space="preserve"> for the variables defined in Tier 1 and Tier 2</w:t>
      </w:r>
      <w:bookmarkEnd w:id="44"/>
      <w:r w:rsidR="006E1411" w:rsidRPr="000B68C8">
        <w:t xml:space="preserve"> </w:t>
      </w:r>
      <w:bookmarkEnd w:id="45"/>
    </w:p>
    <w:p w14:paraId="085A6F9B" w14:textId="2A66A1B1" w:rsidR="007137D7" w:rsidRPr="000B68C8" w:rsidRDefault="0078281E" w:rsidP="002B1619">
      <w:pPr>
        <w:rPr>
          <w:rFonts w:cs="Times New Roman"/>
          <w:lang w:val="en-US"/>
        </w:rPr>
      </w:pPr>
      <w:r w:rsidRPr="000B68C8">
        <w:rPr>
          <w:rFonts w:cs="Times New Roman"/>
          <w:lang w:val="en-US"/>
        </w:rPr>
        <w:t>The variables obtained in the questionnaire and defined in Tier 1 and Tier 2</w:t>
      </w:r>
      <w:r w:rsidR="00AB6F54" w:rsidRPr="000B68C8">
        <w:rPr>
          <w:rFonts w:cs="Times New Roman"/>
          <w:lang w:val="en-US"/>
        </w:rPr>
        <w:t xml:space="preserve"> plus the item first ignited</w:t>
      </w:r>
      <w:r w:rsidR="000A41C9" w:rsidRPr="000B68C8">
        <w:rPr>
          <w:rFonts w:cs="Times New Roman"/>
          <w:lang w:val="en-US"/>
        </w:rPr>
        <w:t>,</w:t>
      </w:r>
      <w:r w:rsidRPr="000B68C8">
        <w:rPr>
          <w:rFonts w:cs="Times New Roman"/>
          <w:lang w:val="en-US"/>
        </w:rPr>
        <w:t xml:space="preserve"> </w:t>
      </w:r>
      <w:r w:rsidR="00F853B6" w:rsidRPr="000B68C8">
        <w:rPr>
          <w:rFonts w:cs="Times New Roman"/>
          <w:lang w:val="en-US"/>
        </w:rPr>
        <w:t>are</w:t>
      </w:r>
      <w:r w:rsidRPr="000B68C8">
        <w:rPr>
          <w:rFonts w:cs="Times New Roman"/>
          <w:lang w:val="en-US"/>
        </w:rPr>
        <w:t xml:space="preserve"> considered the core of the essential information that should be gathered in a fire incident. Therefore, </w:t>
      </w:r>
      <w:r w:rsidR="00703303" w:rsidRPr="000B68C8">
        <w:rPr>
          <w:rFonts w:cs="Times New Roman"/>
          <w:lang w:val="en-US"/>
        </w:rPr>
        <w:t>to</w:t>
      </w:r>
      <w:r w:rsidRPr="000B68C8">
        <w:rPr>
          <w:rFonts w:cs="Times New Roman"/>
          <w:lang w:val="en-US"/>
        </w:rPr>
        <w:t xml:space="preserve"> </w:t>
      </w:r>
      <w:r w:rsidR="00AF5EBE" w:rsidRPr="000B68C8">
        <w:rPr>
          <w:rFonts w:cs="Times New Roman"/>
          <w:lang w:val="en-US"/>
        </w:rPr>
        <w:t xml:space="preserve">achieve the aim to move </w:t>
      </w:r>
      <w:r w:rsidR="00FE2D35" w:rsidRPr="000B68C8">
        <w:rPr>
          <w:rFonts w:cs="Times New Roman"/>
          <w:lang w:val="en-US"/>
        </w:rPr>
        <w:t xml:space="preserve">toward </w:t>
      </w:r>
      <w:r w:rsidR="00074190" w:rsidRPr="000B68C8">
        <w:rPr>
          <w:rFonts w:cs="Times New Roman"/>
          <w:lang w:val="en-US"/>
        </w:rPr>
        <w:t>harmonized fire statistic</w:t>
      </w:r>
      <w:r w:rsidR="00FC7D8D" w:rsidRPr="000B68C8">
        <w:rPr>
          <w:rFonts w:cs="Times New Roman"/>
          <w:lang w:val="en-US"/>
        </w:rPr>
        <w:t>s</w:t>
      </w:r>
      <w:r w:rsidR="00AF5EBE" w:rsidRPr="000B68C8">
        <w:rPr>
          <w:rFonts w:cs="Times New Roman"/>
          <w:lang w:val="en-US"/>
        </w:rPr>
        <w:t xml:space="preserve">, </w:t>
      </w:r>
      <w:r w:rsidR="0094545E" w:rsidRPr="000B68C8">
        <w:rPr>
          <w:rFonts w:cs="Times New Roman"/>
          <w:lang w:val="en-US"/>
        </w:rPr>
        <w:t>it is necessary</w:t>
      </w:r>
      <w:r w:rsidR="00AF5EBE" w:rsidRPr="000B68C8">
        <w:rPr>
          <w:rFonts w:cs="Times New Roman"/>
          <w:lang w:val="en-US"/>
        </w:rPr>
        <w:t xml:space="preserve"> to have common terminology for the </w:t>
      </w:r>
      <w:r w:rsidR="00703303" w:rsidRPr="000B68C8">
        <w:rPr>
          <w:rFonts w:cs="Times New Roman"/>
          <w:lang w:val="en-US"/>
        </w:rPr>
        <w:t>fundamental</w:t>
      </w:r>
      <w:r w:rsidR="00AF5EBE" w:rsidRPr="000B68C8">
        <w:rPr>
          <w:rFonts w:cs="Times New Roman"/>
          <w:lang w:val="en-US"/>
        </w:rPr>
        <w:t xml:space="preserve"> fire statistical variables. </w:t>
      </w:r>
    </w:p>
    <w:p w14:paraId="4302F4C0" w14:textId="2D0822D2" w:rsidR="00044B34" w:rsidRPr="000B68C8" w:rsidRDefault="00545203">
      <w:r w:rsidRPr="000B68C8">
        <w:t xml:space="preserve">As introduced in Section </w:t>
      </w:r>
      <w:r w:rsidRPr="000B68C8">
        <w:fldChar w:fldCharType="begin"/>
      </w:r>
      <w:r w:rsidRPr="000B68C8">
        <w:instrText xml:space="preserve"> REF _Ref127092018 \r \h </w:instrText>
      </w:r>
      <w:r w:rsidR="000E6921" w:rsidRPr="000B68C8">
        <w:instrText xml:space="preserve"> \* MERGEFORMAT </w:instrText>
      </w:r>
      <w:r w:rsidRPr="000B68C8">
        <w:fldChar w:fldCharType="separate"/>
      </w:r>
      <w:r w:rsidR="00527272" w:rsidRPr="000B68C8">
        <w:t>2.1</w:t>
      </w:r>
      <w:r w:rsidRPr="000B68C8">
        <w:fldChar w:fldCharType="end"/>
      </w:r>
      <w:r w:rsidRPr="000B68C8">
        <w:t>, for the 35 selected countries, no response was received from Luxembourg, Malta and Portugal, and only limited information from Lithuania and Spain. In addition to those five, seven EU Member States (Belgium, Bulgaria, Croatia, Cyprus, Greece, Latvia, and Poland) affirmed their lack of appropriate definitions for the fire statistical variables</w:t>
      </w:r>
      <w:r w:rsidR="005430F7" w:rsidRPr="000B68C8">
        <w:t xml:space="preserve"> (</w:t>
      </w:r>
      <w:r w:rsidR="00AB71DA" w:rsidRPr="000B68C8">
        <w:fldChar w:fldCharType="begin"/>
      </w:r>
      <w:r w:rsidR="00AB71DA" w:rsidRPr="000B68C8">
        <w:instrText xml:space="preserve"> REF _Ref128206867 \h  \* MERGEFORMAT </w:instrText>
      </w:r>
      <w:r w:rsidR="00AB71DA" w:rsidRPr="000B68C8">
        <w:fldChar w:fldCharType="separate"/>
      </w:r>
      <w:r w:rsidR="00AB71DA" w:rsidRPr="000B68C8">
        <w:t xml:space="preserve">Table </w:t>
      </w:r>
      <w:r w:rsidR="00AB71DA" w:rsidRPr="000B68C8">
        <w:rPr>
          <w:noProof/>
        </w:rPr>
        <w:t>2</w:t>
      </w:r>
      <w:r w:rsidR="00AB71DA" w:rsidRPr="000B68C8">
        <w:fldChar w:fldCharType="end"/>
      </w:r>
      <w:r w:rsidR="00AB71DA" w:rsidRPr="000B68C8">
        <w:t>)</w:t>
      </w:r>
      <w:r w:rsidRPr="000B68C8">
        <w:t xml:space="preserve">. Therefore, </w:t>
      </w:r>
      <w:r w:rsidR="005430F7" w:rsidRPr="000B68C8">
        <w:t xml:space="preserve">the </w:t>
      </w:r>
      <w:r w:rsidR="002B1619" w:rsidRPr="000B68C8">
        <w:rPr>
          <w:rFonts w:cs="Times New Roman"/>
          <w:lang w:val="en-US"/>
        </w:rPr>
        <w:t>proposed definition</w:t>
      </w:r>
      <w:r w:rsidR="00BA53D1" w:rsidRPr="000B68C8">
        <w:rPr>
          <w:rFonts w:cs="Times New Roman"/>
          <w:lang w:val="en-US"/>
        </w:rPr>
        <w:t>s</w:t>
      </w:r>
      <w:r w:rsidR="002B1619" w:rsidRPr="000B68C8">
        <w:rPr>
          <w:rFonts w:cs="Times New Roman"/>
          <w:lang w:val="en-US"/>
        </w:rPr>
        <w:t xml:space="preserve"> and values</w:t>
      </w:r>
      <w:r w:rsidR="00BA53D1" w:rsidRPr="000B68C8">
        <w:rPr>
          <w:rFonts w:cs="Times New Roman"/>
          <w:lang w:val="en-US"/>
        </w:rPr>
        <w:t xml:space="preserve"> for the variables </w:t>
      </w:r>
      <w:r w:rsidR="0094545E" w:rsidRPr="000B68C8">
        <w:rPr>
          <w:rFonts w:cs="Times New Roman"/>
          <w:lang w:val="en-US"/>
        </w:rPr>
        <w:t>a</w:t>
      </w:r>
      <w:r w:rsidR="002B1619" w:rsidRPr="000B68C8">
        <w:rPr>
          <w:rFonts w:cs="Times New Roman"/>
          <w:lang w:val="en-US"/>
        </w:rPr>
        <w:t xml:space="preserve">re based on a deep analysis of the fire statistics of </w:t>
      </w:r>
      <w:r w:rsidR="002627DF" w:rsidRPr="000B68C8">
        <w:rPr>
          <w:rFonts w:cs="Times New Roman"/>
          <w:lang w:val="en-US"/>
        </w:rPr>
        <w:t xml:space="preserve">the 23 countries (15 EU Member States and eight other countries) investigated in Section </w:t>
      </w:r>
      <w:r w:rsidR="002627DF" w:rsidRPr="000B68C8">
        <w:rPr>
          <w:rFonts w:cs="Times New Roman"/>
          <w:lang w:val="en-US"/>
        </w:rPr>
        <w:fldChar w:fldCharType="begin"/>
      </w:r>
      <w:r w:rsidR="002627DF" w:rsidRPr="000B68C8">
        <w:rPr>
          <w:rFonts w:cs="Times New Roman"/>
          <w:lang w:val="en-US"/>
        </w:rPr>
        <w:instrText xml:space="preserve"> REF _Ref88849836 \r \h </w:instrText>
      </w:r>
      <w:r w:rsidR="000B68C8">
        <w:rPr>
          <w:rFonts w:cs="Times New Roman"/>
          <w:lang w:val="en-US"/>
        </w:rPr>
        <w:instrText xml:space="preserve"> \* MERGEFORMAT </w:instrText>
      </w:r>
      <w:r w:rsidR="002627DF" w:rsidRPr="000B68C8">
        <w:rPr>
          <w:rFonts w:cs="Times New Roman"/>
          <w:lang w:val="en-US"/>
        </w:rPr>
      </w:r>
      <w:r w:rsidR="002627DF" w:rsidRPr="000B68C8">
        <w:rPr>
          <w:rFonts w:cs="Times New Roman"/>
          <w:lang w:val="en-US"/>
        </w:rPr>
        <w:fldChar w:fldCharType="separate"/>
      </w:r>
      <w:r w:rsidR="00527272" w:rsidRPr="000B68C8">
        <w:rPr>
          <w:rFonts w:cs="Times New Roman"/>
          <w:lang w:val="en-US"/>
        </w:rPr>
        <w:t>3</w:t>
      </w:r>
      <w:r w:rsidR="002627DF" w:rsidRPr="000B68C8">
        <w:rPr>
          <w:rFonts w:cs="Times New Roman"/>
          <w:lang w:val="en-US"/>
        </w:rPr>
        <w:fldChar w:fldCharType="end"/>
      </w:r>
      <w:r w:rsidR="002627DF" w:rsidRPr="000B68C8">
        <w:rPr>
          <w:rFonts w:cs="Times New Roman"/>
          <w:lang w:val="en-US"/>
        </w:rPr>
        <w:t>.</w:t>
      </w:r>
      <w:r w:rsidR="00044B34" w:rsidRPr="000B68C8">
        <w:rPr>
          <w:rFonts w:cs="Times New Roman"/>
          <w:lang w:val="en-US"/>
        </w:rPr>
        <w:t xml:space="preserve"> Some examples are the definitions for the fire statistical variables available in the fire incident form of the Incident Recording System </w:t>
      </w:r>
      <w:r w:rsidR="00044B34" w:rsidRPr="000B68C8">
        <w:rPr>
          <w:rFonts w:cs="Times New Roman"/>
          <w:lang w:val="en-US"/>
        </w:rPr>
        <w:fldChar w:fldCharType="begin" w:fldLock="1"/>
      </w:r>
      <w:r w:rsidR="007359B2" w:rsidRPr="000B68C8">
        <w:rPr>
          <w:rFonts w:cs="Times New Roman"/>
          <w:lang w:val="en-US"/>
        </w:rPr>
        <w:instrText>ADDIN CSL_CITATION {"citationItems":[{"id":"ITEM-1","itemData":{"ISBN":"9781409835899","author":[{"dropping-particle":"","family":"Department for Communities &amp; Local Government","given":"","non-dropping-particle":"","parse-names":false,"suffix":""}],"id":"ITEM-1","issued":{"date-parts":[["2012"]]},"title":"Incident Recording System - Questions and lists Version 1.6","type":"book"},"uris":["http://www.mendeley.com/documents/?uuid=dfa6fee9-d321-4657-ae3e-b80770c7c307"]}],"mendeley":{"formattedCitation":"[11]","plainTextFormattedCitation":"[11]","previouslyFormattedCitation":"[11]"},"properties":{"noteIndex":0},"schema":"https://github.com/citation-style-language/schema/raw/master/csl-citation.json"}</w:instrText>
      </w:r>
      <w:r w:rsidR="00044B34" w:rsidRPr="000B68C8">
        <w:rPr>
          <w:rFonts w:cs="Times New Roman"/>
          <w:lang w:val="en-US"/>
        </w:rPr>
        <w:fldChar w:fldCharType="separate"/>
      </w:r>
      <w:r w:rsidR="00BC2D97" w:rsidRPr="000B68C8">
        <w:rPr>
          <w:rFonts w:cs="Times New Roman"/>
          <w:noProof/>
          <w:lang w:val="en-US"/>
        </w:rPr>
        <w:t>[11]</w:t>
      </w:r>
      <w:r w:rsidR="00044B34" w:rsidRPr="000B68C8">
        <w:rPr>
          <w:rFonts w:cs="Times New Roman"/>
          <w:lang w:val="en-US"/>
        </w:rPr>
        <w:fldChar w:fldCharType="end"/>
      </w:r>
      <w:r w:rsidR="00044B34" w:rsidRPr="000B68C8">
        <w:rPr>
          <w:rFonts w:cs="Times New Roman"/>
          <w:lang w:val="en-US"/>
        </w:rPr>
        <w:t xml:space="preserve"> in England, the US National Fire Incident Reporting System </w:t>
      </w:r>
      <w:r w:rsidR="00044B34"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{"citationItems":[{"id":"ITEM-1","itemData":{"author":[{"dropping-particle":"","family":"U.S. Fire Administration","given":"","non-dropping-particle":"","parse-names":false,"suffix":""}],"id":"ITEM-1","issued":{"date-parts":[["2015"]]},"title":"National Fire Incident Reporting System","type":"report"},"uris":["http://www.mendeley.com/documents/?uuid=6f230c7b-c235-4d06-86cd-975398980aea"]}],"mendeley":{"formattedCitation":"[10]","plainTextFormattedCitation":"[10]","previouslyFormattedCitation":"[10]"},"properties":{"noteIndex":0},"schema":"https://github.com/citation-style-language/schema/raw/master/csl-citation.json"}</w:instrText>
      </w:r>
      <w:r w:rsidR="00044B34" w:rsidRPr="000B68C8">
        <w:rPr>
          <w:rFonts w:cs="Times New Roman"/>
          <w:lang w:val="en-US"/>
        </w:rPr>
        <w:fldChar w:fldCharType="separate"/>
      </w:r>
      <w:r w:rsidR="00BC2D97" w:rsidRPr="000B68C8">
        <w:rPr>
          <w:rFonts w:cs="Times New Roman"/>
          <w:noProof/>
          <w:lang w:val="en-US"/>
        </w:rPr>
        <w:t>[10]</w:t>
      </w:r>
      <w:r w:rsidR="00044B34" w:rsidRPr="000B68C8">
        <w:rPr>
          <w:rFonts w:cs="Times New Roman"/>
          <w:lang w:val="en-US"/>
        </w:rPr>
        <w:fldChar w:fldCharType="end"/>
      </w:r>
      <w:r w:rsidR="00044B34" w:rsidRPr="000B68C8">
        <w:rPr>
          <w:rFonts w:cs="Times New Roman"/>
          <w:lang w:val="en-US"/>
        </w:rPr>
        <w:t xml:space="preserve">, </w:t>
      </w:r>
      <w:r w:rsidR="00D175F4" w:rsidRPr="000B68C8">
        <w:rPr>
          <w:rFonts w:cs="Times New Roman"/>
          <w:lang w:val="en-US"/>
        </w:rPr>
        <w:t xml:space="preserve">and the </w:t>
      </w:r>
      <w:r w:rsidR="00044B34" w:rsidRPr="000B68C8">
        <w:rPr>
          <w:rFonts w:cs="Times New Roman"/>
          <w:lang w:val="en-US"/>
        </w:rPr>
        <w:t xml:space="preserve">Australian Incident Reporting System </w:t>
      </w:r>
      <w:r w:rsidR="00044B34"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{"citationItems":[{"id":"ITEM-1","itemData":{"author":[{"dropping-particle":"","family":"State Records Authority of New South Wales","given":"","non-dropping-particle":"","parse-names":false,"suffix":""}],"id":"ITEM-1","issued":{"date-parts":[["1998"]]},"title":"Australian Incident Reporting System reference manual [AIRS Reference Manual]","type":"report"},"uris":["http://www.mendeley.com/documents/?uuid=f85c89e6-938e-42db-af83-7fdac18b7254"]}],"mendeley":{"formattedCitation":"[9]","plainTextFormattedCitation":"[9]","previouslyFormattedCitation":"[9]"},"properties":{"noteIndex":0},"schema":"https://github.com/citation-style-language/schema/raw/master/csl-citation.json"}</w:instrText>
      </w:r>
      <w:r w:rsidR="00044B34" w:rsidRPr="000B68C8">
        <w:rPr>
          <w:rFonts w:cs="Times New Roman"/>
          <w:lang w:val="en-US"/>
        </w:rPr>
        <w:fldChar w:fldCharType="separate"/>
      </w:r>
      <w:r w:rsidR="00BC2D97" w:rsidRPr="000B68C8">
        <w:rPr>
          <w:rFonts w:cs="Times New Roman"/>
          <w:noProof/>
          <w:lang w:val="en-US"/>
        </w:rPr>
        <w:t>[9]</w:t>
      </w:r>
      <w:r w:rsidR="00044B34" w:rsidRPr="000B68C8">
        <w:rPr>
          <w:rFonts w:cs="Times New Roman"/>
          <w:lang w:val="en-US"/>
        </w:rPr>
        <w:fldChar w:fldCharType="end"/>
      </w:r>
      <w:r w:rsidR="00044B34" w:rsidRPr="000B68C8">
        <w:rPr>
          <w:rFonts w:cs="Times New Roman"/>
          <w:lang w:val="en-US"/>
        </w:rPr>
        <w:t xml:space="preserve">. </w:t>
      </w:r>
      <w:r w:rsidR="002627DF" w:rsidRPr="000B68C8">
        <w:rPr>
          <w:rFonts w:cs="Times New Roman"/>
          <w:lang w:val="en-US"/>
        </w:rPr>
        <w:t xml:space="preserve">Moreover, the analyses also included the information produced by </w:t>
      </w:r>
      <w:r w:rsidR="0034062E" w:rsidRPr="000B68C8">
        <w:rPr>
          <w:rFonts w:cs="Times New Roman"/>
          <w:lang w:val="en-US"/>
        </w:rPr>
        <w:t xml:space="preserve">specialized </w:t>
      </w:r>
      <w:r w:rsidR="0071525E" w:rsidRPr="000B68C8">
        <w:rPr>
          <w:rFonts w:cs="Times New Roman"/>
          <w:lang w:val="en-US"/>
        </w:rPr>
        <w:t>documents</w:t>
      </w:r>
      <w:r w:rsidR="00842ED0" w:rsidRPr="000B68C8">
        <w:rPr>
          <w:rFonts w:cs="Times New Roman"/>
          <w:lang w:val="en-US"/>
        </w:rPr>
        <w:t>,</w:t>
      </w:r>
      <w:r w:rsidR="00AF5EBE" w:rsidRPr="000B68C8">
        <w:rPr>
          <w:rFonts w:cs="Times New Roman"/>
          <w:lang w:val="en-US"/>
        </w:rPr>
        <w:t xml:space="preserve"> such as the </w:t>
      </w:r>
      <w:r w:rsidR="00874FC6" w:rsidRPr="000B68C8">
        <w:rPr>
          <w:rFonts w:cs="Times New Roman"/>
          <w:lang w:val="en-US"/>
        </w:rPr>
        <w:t>ISO</w:t>
      </w:r>
      <w:r w:rsidR="00064C2A" w:rsidRPr="000B68C8">
        <w:rPr>
          <w:rFonts w:cs="Times New Roman"/>
          <w:lang w:val="en-US"/>
        </w:rPr>
        <w:t>/</w:t>
      </w:r>
      <w:r w:rsidR="00874FC6" w:rsidRPr="000B68C8">
        <w:rPr>
          <w:rFonts w:cs="Times New Roman"/>
          <w:lang w:val="en-US"/>
        </w:rPr>
        <w:t>TS 17755-2</w:t>
      </w:r>
      <w:r w:rsidR="00064C2A" w:rsidRPr="000B68C8">
        <w:rPr>
          <w:rFonts w:cs="Times New Roman"/>
          <w:lang w:val="en-US"/>
        </w:rPr>
        <w:t>:2020(E)</w:t>
      </w:r>
      <w:r w:rsidR="00E81D06" w:rsidRPr="000B68C8">
        <w:rPr>
          <w:rFonts w:cs="Times New Roman"/>
          <w:lang w:val="en-US"/>
        </w:rPr>
        <w:t xml:space="preserve"> </w:t>
      </w:r>
      <w:r w:rsidR="00342407"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00342407" w:rsidRPr="000B68C8">
        <w:rPr>
          <w:rFonts w:cs="Times New Roman"/>
          <w:lang w:val="en-US"/>
        </w:rPr>
        <w:fldChar w:fldCharType="separate"/>
      </w:r>
      <w:r w:rsidR="00BC2D97" w:rsidRPr="000B68C8">
        <w:rPr>
          <w:rFonts w:cs="Times New Roman"/>
          <w:noProof/>
          <w:lang w:val="en-US"/>
        </w:rPr>
        <w:t>[20]</w:t>
      </w:r>
      <w:r w:rsidR="00342407" w:rsidRPr="000B68C8">
        <w:rPr>
          <w:rFonts w:cs="Times New Roman"/>
          <w:lang w:val="en-US"/>
        </w:rPr>
        <w:fldChar w:fldCharType="end"/>
      </w:r>
      <w:r w:rsidR="00044B34" w:rsidRPr="000B68C8">
        <w:rPr>
          <w:rFonts w:cs="Times New Roman"/>
          <w:lang w:val="en-US"/>
        </w:rPr>
        <w:t xml:space="preserve"> and</w:t>
      </w:r>
      <w:r w:rsidR="00874FC6" w:rsidRPr="000B68C8">
        <w:rPr>
          <w:rFonts w:cs="Times New Roman"/>
          <w:lang w:val="en-US"/>
        </w:rPr>
        <w:t xml:space="preserve"> </w:t>
      </w:r>
      <w:r w:rsidR="002B1619" w:rsidRPr="000B68C8">
        <w:rPr>
          <w:rFonts w:cs="Times New Roman"/>
          <w:lang w:val="en-US"/>
        </w:rPr>
        <w:t>ISO</w:t>
      </w:r>
      <w:r w:rsidR="00064C2A" w:rsidRPr="000B68C8">
        <w:rPr>
          <w:rFonts w:cs="Times New Roman"/>
          <w:lang w:val="en-US"/>
        </w:rPr>
        <w:t>/</w:t>
      </w:r>
      <w:r w:rsidR="002B1619" w:rsidRPr="000B68C8">
        <w:rPr>
          <w:rFonts w:cs="Times New Roman"/>
          <w:lang w:val="en-US"/>
        </w:rPr>
        <w:t>TR 17755</w:t>
      </w:r>
      <w:r w:rsidR="00064C2A" w:rsidRPr="000B68C8">
        <w:rPr>
          <w:rFonts w:cs="Times New Roman"/>
          <w:lang w:val="en-US"/>
        </w:rPr>
        <w:t>:2014</w:t>
      </w:r>
      <w:r w:rsidR="00E81D06" w:rsidRPr="000B68C8">
        <w:rPr>
          <w:rFonts w:cs="Times New Roman"/>
          <w:lang w:val="en-US"/>
        </w:rPr>
        <w:t xml:space="preserve"> </w:t>
      </w:r>
      <w:r w:rsidR="00342407"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{"citationItems":[{"id":"ITEM-1","itemData":{"author":[{"dropping-particle":"","family":"PD ISO/TR 17755:2014","given":"","non-dropping-particle":"","parse-names":false,"suffix":""}],"id":"ITEM-1","issued":{"date-parts":[["2014"]]},"title":"Fire safety — Overview of national fire statistics practices","type":"report"},"uris":["http://www.mendeley.com/documents/?uuid=96b3e786-9566-493e-b87e-49d51b361e74"]}],"mendeley":{"formattedCitation":"[19]","plainTextFormattedCitation":"[19]","previouslyFormattedCitation":"[19]"},"properties":{"noteIndex":0},"schema":"https://github.com/citation-style-language/schema/raw/master/csl-citation.json"}</w:instrText>
      </w:r>
      <w:r w:rsidR="00342407" w:rsidRPr="000B68C8">
        <w:rPr>
          <w:rFonts w:cs="Times New Roman"/>
          <w:lang w:val="en-US"/>
        </w:rPr>
        <w:fldChar w:fldCharType="separate"/>
      </w:r>
      <w:r w:rsidR="00BC2D97" w:rsidRPr="000B68C8">
        <w:rPr>
          <w:rFonts w:cs="Times New Roman"/>
          <w:noProof/>
          <w:lang w:val="en-US"/>
        </w:rPr>
        <w:t>[19]</w:t>
      </w:r>
      <w:r w:rsidR="00342407" w:rsidRPr="000B68C8">
        <w:rPr>
          <w:rFonts w:cs="Times New Roman"/>
          <w:lang w:val="en-US"/>
        </w:rPr>
        <w:fldChar w:fldCharType="end"/>
      </w:r>
      <w:r w:rsidR="00044B34" w:rsidRPr="000B68C8">
        <w:rPr>
          <w:rFonts w:cs="Times New Roman"/>
          <w:lang w:val="en-US"/>
        </w:rPr>
        <w:t xml:space="preserve"> already described in Section </w:t>
      </w:r>
      <w:r w:rsidR="00044B34" w:rsidRPr="000B68C8">
        <w:rPr>
          <w:rFonts w:cs="Times New Roman"/>
          <w:lang w:val="en-US"/>
        </w:rPr>
        <w:fldChar w:fldCharType="begin"/>
      </w:r>
      <w:r w:rsidR="00044B34" w:rsidRPr="000B68C8">
        <w:rPr>
          <w:rFonts w:cs="Times New Roman"/>
          <w:lang w:val="en-US"/>
        </w:rPr>
        <w:instrText xml:space="preserve"> REF _Ref104886386 \r \h </w:instrText>
      </w:r>
      <w:r w:rsidR="000B68C8">
        <w:rPr>
          <w:rFonts w:cs="Times New Roman"/>
          <w:lang w:val="en-US"/>
        </w:rPr>
        <w:instrText xml:space="preserve"> \* MERGEFORMAT </w:instrText>
      </w:r>
      <w:r w:rsidR="00044B34" w:rsidRPr="000B68C8">
        <w:rPr>
          <w:rFonts w:cs="Times New Roman"/>
          <w:lang w:val="en-US"/>
        </w:rPr>
      </w:r>
      <w:r w:rsidR="00044B34" w:rsidRPr="000B68C8">
        <w:rPr>
          <w:rFonts w:cs="Times New Roman"/>
          <w:lang w:val="en-US"/>
        </w:rPr>
        <w:fldChar w:fldCharType="separate"/>
      </w:r>
      <w:r w:rsidR="00527272" w:rsidRPr="000B68C8">
        <w:rPr>
          <w:rFonts w:cs="Times New Roman"/>
          <w:lang w:val="en-US"/>
        </w:rPr>
        <w:t>1</w:t>
      </w:r>
      <w:r w:rsidR="00044B34" w:rsidRPr="000B68C8">
        <w:rPr>
          <w:rFonts w:cs="Times New Roman"/>
          <w:lang w:val="en-US"/>
        </w:rPr>
        <w:fldChar w:fldCharType="end"/>
      </w:r>
      <w:r w:rsidR="00044B34" w:rsidRPr="000B68C8">
        <w:rPr>
          <w:rFonts w:cs="Times New Roman"/>
          <w:lang w:val="en-US"/>
        </w:rPr>
        <w:t xml:space="preserve"> as well as the</w:t>
      </w:r>
      <w:r w:rsidR="00874FC6" w:rsidRPr="000B68C8">
        <w:rPr>
          <w:rFonts w:cs="Times New Roman"/>
          <w:lang w:val="en-US"/>
        </w:rPr>
        <w:t xml:space="preserve"> </w:t>
      </w:r>
      <w:r w:rsidR="00E81D06" w:rsidRPr="000B68C8">
        <w:rPr>
          <w:rFonts w:cs="Times New Roman"/>
          <w:lang w:val="en-US"/>
        </w:rPr>
        <w:t xml:space="preserve">definitions established by </w:t>
      </w:r>
      <w:r w:rsidR="00874FC6" w:rsidRPr="000B68C8">
        <w:rPr>
          <w:rFonts w:cs="Times New Roman"/>
          <w:lang w:val="en-US"/>
        </w:rPr>
        <w:t>Eurostat</w:t>
      </w:r>
      <w:r w:rsidR="00E81D06" w:rsidRPr="000B68C8">
        <w:rPr>
          <w:rFonts w:cs="Times New Roman"/>
          <w:lang w:val="en-US"/>
        </w:rPr>
        <w:t xml:space="preserve"> </w:t>
      </w:r>
      <w:r w:rsidR="00342407" w:rsidRPr="000B68C8">
        <w:rPr>
          <w:rFonts w:cs="Times New Roman"/>
          <w:lang w:val="en-US"/>
        </w:rPr>
        <w:fldChar w:fldCharType="begin" w:fldLock="1"/>
      </w:r>
      <w:r w:rsidR="000672DB" w:rsidRPr="000B68C8">
        <w:rPr>
          <w:rFonts w:cs="Times New Roman"/>
          <w:lang w:val="en-US"/>
        </w:rPr>
        <w:instrText>ADDIN CSL_CITATION {"citationItems":[{"id":"ITEM-1","itemData":{"URL":"https://ec.europa.eu/eurostat/statistics-explained/index.php?title=Glossary:Classification_of_types_of_construction_(CC)","accessed":{"date-parts":[["2023","2","25"]]},"author":[{"dropping-particle":"","family":"Eurostat","given":"","non-dropping-particle":"","parse-names":false,"suffix":""}],"id":"ITEM-1","issued":{"date-parts":[["0"]]},"title":"Glossary: Classification of types of construction (CC)","type":"webpage"},"uris":["http://www.mendeley.com/documents/?uuid=8321f865-643e-4fe3-87bf-e722a9d66432"]}],"mendeley":{"formattedCitation":"[31]","plainTextFormattedCitation":"[31]","previouslyFormattedCitation":"[31]"},"properties":{"noteIndex":0},"schema":"https://github.com/citation-style-language/schema/raw/master/csl-citation.json"}</w:instrText>
      </w:r>
      <w:r w:rsidR="00342407" w:rsidRPr="000B68C8">
        <w:rPr>
          <w:rFonts w:cs="Times New Roman"/>
          <w:lang w:val="en-US"/>
        </w:rPr>
        <w:fldChar w:fldCharType="separate"/>
      </w:r>
      <w:r w:rsidR="00BC2D97" w:rsidRPr="000B68C8">
        <w:rPr>
          <w:rFonts w:cs="Times New Roman"/>
          <w:noProof/>
          <w:lang w:val="en-US"/>
        </w:rPr>
        <w:t>[31]</w:t>
      </w:r>
      <w:r w:rsidR="00342407" w:rsidRPr="000B68C8">
        <w:rPr>
          <w:rFonts w:cs="Times New Roman"/>
          <w:lang w:val="en-US"/>
        </w:rPr>
        <w:fldChar w:fldCharType="end"/>
      </w:r>
      <w:r w:rsidR="00874FC6" w:rsidRPr="000B68C8">
        <w:rPr>
          <w:rFonts w:cs="Times New Roman"/>
          <w:lang w:val="en-US"/>
        </w:rPr>
        <w:t>,</w:t>
      </w:r>
      <w:r w:rsidR="00E81D06" w:rsidRPr="000B68C8">
        <w:rPr>
          <w:rFonts w:cs="Times New Roman"/>
          <w:lang w:val="en-US"/>
        </w:rPr>
        <w:t xml:space="preserve"> </w:t>
      </w:r>
      <w:r w:rsidR="00874FC6" w:rsidRPr="000B68C8">
        <w:rPr>
          <w:rFonts w:cs="Times New Roman"/>
          <w:lang w:val="en-US"/>
        </w:rPr>
        <w:t xml:space="preserve"> </w:t>
      </w:r>
      <w:r w:rsidR="00E56AD0" w:rsidRPr="000B68C8">
        <w:rPr>
          <w:rFonts w:cs="Times New Roman"/>
          <w:lang w:val="en-US"/>
        </w:rPr>
        <w:t>NFPA</w:t>
      </w:r>
      <w:r w:rsidR="00E74CD2" w:rsidRPr="000B68C8">
        <w:rPr>
          <w:rFonts w:cs="Times New Roman"/>
          <w:lang w:val="en-US"/>
        </w:rPr>
        <w:t xml:space="preserve"> Guide</w:t>
      </w:r>
      <w:r w:rsidR="007723FE" w:rsidRPr="000B68C8">
        <w:rPr>
          <w:rFonts w:cs="Times New Roman"/>
          <w:lang w:val="en-US"/>
        </w:rPr>
        <w:t xml:space="preserve"> for </w:t>
      </w:r>
      <w:r w:rsidR="00D13ECC" w:rsidRPr="000B68C8">
        <w:rPr>
          <w:rFonts w:cs="Times New Roman"/>
          <w:lang w:val="en-US"/>
        </w:rPr>
        <w:t>Fire and Explosion Investigations</w:t>
      </w:r>
      <w:r w:rsidR="00F1088B" w:rsidRPr="000B68C8">
        <w:rPr>
          <w:rFonts w:cs="Times New Roman"/>
          <w:lang w:val="en-US"/>
        </w:rPr>
        <w:t xml:space="preserve"> </w:t>
      </w:r>
      <w:r w:rsidR="00415AF2" w:rsidRPr="000B68C8">
        <w:rPr>
          <w:rFonts w:cs="Times New Roman"/>
          <w:lang w:val="en-US"/>
        </w:rPr>
        <w:fldChar w:fldCharType="begin" w:fldLock="1"/>
      </w:r>
      <w:r w:rsidR="007359B2" w:rsidRPr="000B68C8">
        <w:rPr>
          <w:rFonts w:cs="Times New Roman"/>
          <w:lang w:val="en-US"/>
        </w:rPr>
        <w:instrText>ADDIN CSL_CITATION {"citationItems":[{"id":"ITEM-1","itemData":{"author":[{"dropping-particle":"","family":"NFPA 921","given":"","non-dropping-particle":"","parse-names":false,"suffix":""}],"id":"ITEM-1","issued":{"date-parts":[["2014"]]},"title":"Guide for Fire and Explosion Investigations","type":"report"},"uris":["http://www.mendeley.com/documents/?uuid=227803ea-778f-4e8c-8ac3-d164935d3dc5"]}],"mendeley":{"formattedCitation":"[32]","plainTextFormattedCitation":"[32]","previouslyFormattedCitation":"[32]"},"properties":{"noteIndex":0},"schema":"https://github.com/citation-style-language/schema/raw/master/csl-citation.json"}</w:instrText>
      </w:r>
      <w:r w:rsidR="00415AF2" w:rsidRPr="000B68C8">
        <w:rPr>
          <w:rFonts w:cs="Times New Roman"/>
          <w:lang w:val="en-US"/>
        </w:rPr>
        <w:fldChar w:fldCharType="separate"/>
      </w:r>
      <w:r w:rsidR="00BC2D97" w:rsidRPr="000B68C8">
        <w:rPr>
          <w:rFonts w:cs="Times New Roman"/>
          <w:noProof/>
          <w:lang w:val="en-US"/>
        </w:rPr>
        <w:t>[32]</w:t>
      </w:r>
      <w:r w:rsidR="00415AF2" w:rsidRPr="000B68C8">
        <w:rPr>
          <w:rFonts w:cs="Times New Roman"/>
          <w:lang w:val="en-US"/>
        </w:rPr>
        <w:fldChar w:fldCharType="end"/>
      </w:r>
      <w:r w:rsidR="00E74CD2" w:rsidRPr="000B68C8">
        <w:rPr>
          <w:rFonts w:cs="Times New Roman"/>
          <w:lang w:val="en-US"/>
        </w:rPr>
        <w:t xml:space="preserve">, </w:t>
      </w:r>
      <w:r w:rsidR="00F1088B" w:rsidRPr="000B68C8">
        <w:rPr>
          <w:rFonts w:cs="Times New Roman"/>
        </w:rPr>
        <w:t xml:space="preserve">European Network of Forensic Science Institutes </w:t>
      </w:r>
      <w:r w:rsidR="00E74CD2" w:rsidRPr="000B68C8">
        <w:rPr>
          <w:rFonts w:cs="Times New Roman"/>
        </w:rPr>
        <w:t>B</w:t>
      </w:r>
      <w:r w:rsidR="00E50E28" w:rsidRPr="000B68C8">
        <w:rPr>
          <w:rFonts w:cs="Times New Roman"/>
        </w:rPr>
        <w:t xml:space="preserve">est Practice Manual for the Investigation of Fires and Explosions </w:t>
      </w:r>
      <w:r w:rsidR="00415AF2" w:rsidRPr="000B68C8">
        <w:rPr>
          <w:rFonts w:cs="Times New Roman"/>
        </w:rPr>
        <w:fldChar w:fldCharType="begin" w:fldLock="1"/>
      </w:r>
      <w:r w:rsidR="007359B2" w:rsidRPr="000B68C8">
        <w:rPr>
          <w:rFonts w:cs="Times New Roman"/>
        </w:rPr>
        <w:instrText>ADDIN CSL_CITATION {"citationItems":[{"id":"ITEM-1","itemData":{"author":[{"dropping-particle":"","family":"ENFSI-BPM-FEI-01 Version 04","given":"","non-dropping-particle":"","parse-names":false,"suffix":""}],"id":"ITEM-1","issued":{"date-parts":[["2021"]]},"title":"Best Practice Manual for the Investigation of Fires and Explosions","type":"report"},"uris":["http://www.mendeley.com/documents/?uuid=7b730f40-fe4a-4884-b3e4-e806f5b3be0a"]}],"mendeley":{"formattedCitation":"[33]","plainTextFormattedCitation":"[33]","previouslyFormattedCitation":"[33]"},"properties":{"noteIndex":0},"schema":"https://github.com/citation-style-language/schema/raw/master/csl-citation.json"}</w:instrText>
      </w:r>
      <w:r w:rsidR="00415AF2" w:rsidRPr="000B68C8">
        <w:rPr>
          <w:rFonts w:cs="Times New Roman"/>
        </w:rPr>
        <w:fldChar w:fldCharType="separate"/>
      </w:r>
      <w:r w:rsidR="00BC2D97" w:rsidRPr="000B68C8">
        <w:rPr>
          <w:rFonts w:cs="Times New Roman"/>
          <w:noProof/>
        </w:rPr>
        <w:t>[33]</w:t>
      </w:r>
      <w:r w:rsidR="00415AF2" w:rsidRPr="000B68C8">
        <w:rPr>
          <w:rFonts w:cs="Times New Roman"/>
        </w:rPr>
        <w:fldChar w:fldCharType="end"/>
      </w:r>
      <w:r w:rsidR="00044B34" w:rsidRPr="000B68C8">
        <w:rPr>
          <w:iCs/>
        </w:rPr>
        <w:t xml:space="preserve">. </w:t>
      </w:r>
    </w:p>
    <w:p w14:paraId="3B1E9636" w14:textId="270DB634" w:rsidR="00B95797" w:rsidRPr="000B68C8" w:rsidRDefault="00044B34" w:rsidP="002B1619">
      <w:pPr>
        <w:rPr>
          <w:iCs/>
        </w:rPr>
      </w:pPr>
      <w:r w:rsidRPr="000B68C8">
        <w:rPr>
          <w:iCs/>
        </w:rPr>
        <w:t xml:space="preserve">All the gathered information supported </w:t>
      </w:r>
      <w:r w:rsidR="0093024E" w:rsidRPr="000B68C8">
        <w:rPr>
          <w:iCs/>
        </w:rPr>
        <w:t xml:space="preserve">a </w:t>
      </w:r>
      <w:r w:rsidRPr="000B68C8">
        <w:rPr>
          <w:iCs/>
        </w:rPr>
        <w:t>detailed analysis of current fire statistical practice</w:t>
      </w:r>
      <w:r w:rsidR="007137D7" w:rsidRPr="000B68C8">
        <w:rPr>
          <w:iCs/>
        </w:rPr>
        <w:t xml:space="preserve">. Extended </w:t>
      </w:r>
      <w:r w:rsidRPr="000B68C8">
        <w:rPr>
          <w:iCs/>
        </w:rPr>
        <w:t xml:space="preserve">discussions </w:t>
      </w:r>
      <w:r w:rsidR="007137D7" w:rsidRPr="000B68C8">
        <w:rPr>
          <w:iCs/>
        </w:rPr>
        <w:t>amongst the consortium members of the EU FireStat project were organized to identify</w:t>
      </w:r>
      <w:r w:rsidRPr="000B68C8">
        <w:rPr>
          <w:iCs/>
        </w:rPr>
        <w:t xml:space="preserve"> potential improvements and optimizations to be able to provide </w:t>
      </w:r>
      <w:r w:rsidR="0093024E" w:rsidRPr="000B68C8">
        <w:rPr>
          <w:iCs/>
        </w:rPr>
        <w:t xml:space="preserve">a </w:t>
      </w:r>
      <w:r w:rsidRPr="000B68C8">
        <w:rPr>
          <w:iCs/>
        </w:rPr>
        <w:t>better description of fire statistical variables and reduce potential uncertainties faced by the fire brigades or responsible authorities in filling in the form in the aftermath of a fire event. Limiting</w:t>
      </w:r>
      <w:r w:rsidR="00C4166E" w:rsidRPr="000B68C8">
        <w:rPr>
          <w:iCs/>
        </w:rPr>
        <w:t xml:space="preserve"> possible errors </w:t>
      </w:r>
      <w:r w:rsidR="00D175F4" w:rsidRPr="000B68C8">
        <w:rPr>
          <w:iCs/>
        </w:rPr>
        <w:t xml:space="preserve">in the input data of </w:t>
      </w:r>
      <w:r w:rsidR="00C4166E" w:rsidRPr="000B68C8">
        <w:rPr>
          <w:iCs/>
        </w:rPr>
        <w:t xml:space="preserve">the datasets will </w:t>
      </w:r>
      <w:r w:rsidR="0059065C" w:rsidRPr="000B68C8">
        <w:rPr>
          <w:iCs/>
        </w:rPr>
        <w:t>enable</w:t>
      </w:r>
      <w:r w:rsidR="00C4166E" w:rsidRPr="000B68C8">
        <w:rPr>
          <w:iCs/>
        </w:rPr>
        <w:t xml:space="preserve"> more accurate analysis and enhance data quality and data reliability that represent essential steps in the assessment of fire causes and consequences. </w:t>
      </w:r>
    </w:p>
    <w:p w14:paraId="6C9AC6B5" w14:textId="555CF73B" w:rsidR="00694226" w:rsidRPr="000B68C8" w:rsidRDefault="00694226" w:rsidP="002B1619">
      <w:r w:rsidRPr="000B68C8">
        <w:t>The created definitions</w:t>
      </w:r>
      <w:r w:rsidR="007137D7" w:rsidRPr="000B68C8">
        <w:t xml:space="preserve"> represent the outcomes of a detailed analysis based on current fire statistical practice, previous studies and discussion</w:t>
      </w:r>
      <w:r w:rsidR="00D175F4" w:rsidRPr="000B68C8">
        <w:t>s</w:t>
      </w:r>
      <w:r w:rsidR="007137D7" w:rsidRPr="000B68C8">
        <w:t xml:space="preserve"> with experts</w:t>
      </w:r>
      <w:r w:rsidR="00D175F4" w:rsidRPr="000B68C8">
        <w:t>,</w:t>
      </w:r>
      <w:r w:rsidR="007137D7" w:rsidRPr="000B68C8">
        <w:t xml:space="preserve"> and</w:t>
      </w:r>
      <w:r w:rsidRPr="000B68C8">
        <w:t xml:space="preserve"> need to be considered as proposals to harmonise fire statistics based on common understandings, current practice in the existing fire statistics and valuable aspects necessary to support future optimization and improvements in data collection and analysis of real fire incidents in buildings.</w:t>
      </w:r>
    </w:p>
    <w:p w14:paraId="4A4FC81A" w14:textId="2C2C9880" w:rsidR="004375F1" w:rsidRPr="000B68C8" w:rsidRDefault="00C30845" w:rsidP="002B1619">
      <w:r w:rsidRPr="000B68C8">
        <w:t xml:space="preserve">The fire statistical variables obtained in Tier 1 and 2 plus the item first ignited (Section </w:t>
      </w:r>
      <w:r w:rsidRPr="000B68C8">
        <w:fldChar w:fldCharType="begin"/>
      </w:r>
      <w:r w:rsidRPr="000B68C8">
        <w:instrText xml:space="preserve"> REF _Ref104887238 \r \h </w:instrText>
      </w:r>
      <w:r w:rsidR="000B68C8">
        <w:instrText xml:space="preserve"> \* MERGEFORMAT </w:instrText>
      </w:r>
      <w:r w:rsidRPr="000B68C8">
        <w:fldChar w:fldCharType="separate"/>
      </w:r>
      <w:r w:rsidR="00527272" w:rsidRPr="000B68C8">
        <w:t>4</w:t>
      </w:r>
      <w:r w:rsidRPr="000B68C8">
        <w:fldChar w:fldCharType="end"/>
      </w:r>
      <w:r w:rsidRPr="000B68C8">
        <w:t xml:space="preserve">) were subdivided into </w:t>
      </w:r>
      <w:r w:rsidR="00D175F4" w:rsidRPr="000B68C8">
        <w:t xml:space="preserve">four </w:t>
      </w:r>
      <w:r w:rsidRPr="000B68C8">
        <w:t xml:space="preserve">groups: fire incidents, human characteristics, building characteristics and fire characteristics. For each fire statistical </w:t>
      </w:r>
      <w:r w:rsidR="0093024E" w:rsidRPr="000B68C8">
        <w:t>variable</w:t>
      </w:r>
      <w:r w:rsidRPr="000B68C8">
        <w:t xml:space="preserve">, </w:t>
      </w:r>
      <w:r w:rsidR="007137D7" w:rsidRPr="000B68C8">
        <w:t>detailed definitions and the related values that should be inserted in the fire incident reports</w:t>
      </w:r>
      <w:r w:rsidR="00D175F4" w:rsidRPr="000B68C8">
        <w:t xml:space="preserve"> are provided</w:t>
      </w:r>
      <w:r w:rsidR="007137D7" w:rsidRPr="000B68C8">
        <w:t xml:space="preserve">. The values could be represented by numerical values, approximated numerical values, or specific classifications adopted to record the information of each fire statistical variable. Moreover, it is also specified where multiple choices are allowed. For those variables that need accurate explanations, appropriate notes are also added due to potential difficulties in the interpretation. </w:t>
      </w:r>
    </w:p>
    <w:p w14:paraId="2F3CF8FA" w14:textId="0802B06F" w:rsidR="00B96562" w:rsidRPr="000B68C8" w:rsidRDefault="003A1D62" w:rsidP="00342407">
      <w:pPr>
        <w:rPr>
          <w:lang w:val="en-US"/>
        </w:rPr>
      </w:pPr>
      <w:r w:rsidRPr="000B68C8">
        <w:fldChar w:fldCharType="begin"/>
      </w:r>
      <w:r w:rsidRPr="000B68C8">
        <w:instrText xml:space="preserve"> REF _Ref83887331 \h </w:instrText>
      </w:r>
      <w:r w:rsidR="0023356F" w:rsidRPr="000B68C8">
        <w:instrText xml:space="preserve"> \* MERGEFORMAT </w:instrText>
      </w:r>
      <w:r w:rsidRPr="000B68C8">
        <w:fldChar w:fldCharType="separate"/>
      </w:r>
      <w:r w:rsidR="00527272" w:rsidRPr="000B68C8">
        <w:t xml:space="preserve">Table </w:t>
      </w:r>
      <w:r w:rsidR="00527272" w:rsidRPr="000B68C8">
        <w:rPr>
          <w:noProof/>
        </w:rPr>
        <w:t>5</w:t>
      </w:r>
      <w:r w:rsidRPr="000B68C8">
        <w:fldChar w:fldCharType="end"/>
      </w:r>
      <w:r w:rsidR="001C1BE5" w:rsidRPr="000B68C8">
        <w:t xml:space="preserve"> </w:t>
      </w:r>
      <w:r w:rsidR="00FE2D35" w:rsidRPr="000B68C8">
        <w:t>presents</w:t>
      </w:r>
      <w:r w:rsidR="00E76A0C" w:rsidRPr="000B68C8">
        <w:t xml:space="preserve"> the definitions</w:t>
      </w:r>
      <w:r w:rsidR="00301DC6" w:rsidRPr="000B68C8">
        <w:t xml:space="preserve">, </w:t>
      </w:r>
      <w:r w:rsidR="00BB380D" w:rsidRPr="000B68C8">
        <w:t>notes</w:t>
      </w:r>
      <w:r w:rsidR="00455E37" w:rsidRPr="000B68C8">
        <w:t>,</w:t>
      </w:r>
      <w:r w:rsidR="00301DC6" w:rsidRPr="000B68C8">
        <w:t xml:space="preserve"> and values</w:t>
      </w:r>
      <w:r w:rsidR="00BB380D" w:rsidRPr="000B68C8">
        <w:t xml:space="preserve"> for the </w:t>
      </w:r>
      <w:r w:rsidR="00F1088B" w:rsidRPr="000B68C8">
        <w:t xml:space="preserve">incident </w:t>
      </w:r>
      <w:r w:rsidR="00BB380D" w:rsidRPr="000B68C8">
        <w:t>characteristics</w:t>
      </w:r>
      <w:r w:rsidR="007B6E69" w:rsidRPr="000B68C8">
        <w:rPr>
          <w:lang w:val="en-US"/>
        </w:rPr>
        <w:t>.</w:t>
      </w:r>
      <w:r w:rsidR="00E35F2F" w:rsidRPr="000B68C8">
        <w:rPr>
          <w:lang w:val="en-US"/>
        </w:rPr>
        <w:t xml:space="preserve"> The </w:t>
      </w:r>
      <w:r w:rsidR="004E0B6F" w:rsidRPr="000B68C8">
        <w:rPr>
          <w:i/>
          <w:iCs/>
          <w:lang w:val="en-US"/>
        </w:rPr>
        <w:t>incident time</w:t>
      </w:r>
      <w:r w:rsidR="004E0B6F" w:rsidRPr="000B68C8">
        <w:rPr>
          <w:lang w:val="en-US"/>
        </w:rPr>
        <w:t xml:space="preserve">, </w:t>
      </w:r>
      <w:r w:rsidR="004E0B6F" w:rsidRPr="000B68C8">
        <w:rPr>
          <w:i/>
          <w:iCs/>
          <w:lang w:val="en-US"/>
        </w:rPr>
        <w:t>incident date</w:t>
      </w:r>
      <w:r w:rsidR="004E0B6F" w:rsidRPr="000B68C8">
        <w:rPr>
          <w:lang w:val="en-US"/>
        </w:rPr>
        <w:t xml:space="preserve"> and </w:t>
      </w:r>
      <w:r w:rsidR="004E0B6F" w:rsidRPr="000B68C8">
        <w:rPr>
          <w:i/>
          <w:iCs/>
          <w:lang w:val="en-US"/>
        </w:rPr>
        <w:t>incident location</w:t>
      </w:r>
      <w:r w:rsidR="004E0B6F" w:rsidRPr="000B68C8">
        <w:rPr>
          <w:lang w:val="en-US"/>
        </w:rPr>
        <w:t xml:space="preserve"> are already collected in more than half of the EU </w:t>
      </w:r>
      <w:r w:rsidR="000F5570" w:rsidRPr="000B68C8">
        <w:rPr>
          <w:lang w:val="en-US"/>
        </w:rPr>
        <w:t xml:space="preserve">countries, nevertheless, some effort is expected </w:t>
      </w:r>
      <w:r w:rsidR="007076DC" w:rsidRPr="000B68C8">
        <w:rPr>
          <w:lang w:val="en-US"/>
        </w:rPr>
        <w:t xml:space="preserve">for these countries to </w:t>
      </w:r>
      <w:r w:rsidR="00646022" w:rsidRPr="000B68C8">
        <w:rPr>
          <w:lang w:val="en-US"/>
        </w:rPr>
        <w:t xml:space="preserve">harmonize </w:t>
      </w:r>
      <w:r w:rsidR="007076DC" w:rsidRPr="000B68C8">
        <w:rPr>
          <w:lang w:val="en-US"/>
        </w:rPr>
        <w:t>the existing definitions with the proposed ones</w:t>
      </w:r>
      <w:r w:rsidR="00997F69" w:rsidRPr="000B68C8">
        <w:rPr>
          <w:lang w:val="en-US"/>
        </w:rPr>
        <w:t xml:space="preserve"> and obtain harmonized data.</w:t>
      </w:r>
      <w:r w:rsidR="00F92A8B" w:rsidRPr="000B68C8">
        <w:rPr>
          <w:lang w:val="en-US"/>
        </w:rPr>
        <w:t xml:space="preserve"> </w:t>
      </w:r>
      <w:r w:rsidR="006A395B" w:rsidRPr="000B68C8">
        <w:rPr>
          <w:lang w:val="en-US"/>
        </w:rPr>
        <w:t xml:space="preserve">In particular, the </w:t>
      </w:r>
      <w:r w:rsidR="00FF77AC" w:rsidRPr="000B68C8">
        <w:rPr>
          <w:i/>
          <w:lang w:val="en-US"/>
        </w:rPr>
        <w:t>i</w:t>
      </w:r>
      <w:r w:rsidR="006A395B" w:rsidRPr="000B68C8">
        <w:rPr>
          <w:i/>
          <w:lang w:val="en-US"/>
        </w:rPr>
        <w:t>ncident location</w:t>
      </w:r>
      <w:r w:rsidR="006A395B" w:rsidRPr="000B68C8">
        <w:rPr>
          <w:lang w:val="en-US"/>
        </w:rPr>
        <w:t xml:space="preserve"> is referred to </w:t>
      </w:r>
      <w:r w:rsidR="00FE2D35" w:rsidRPr="000B68C8">
        <w:rPr>
          <w:lang w:val="en-US"/>
        </w:rPr>
        <w:t xml:space="preserve">as </w:t>
      </w:r>
      <w:r w:rsidR="006A395B" w:rsidRPr="000B68C8">
        <w:rPr>
          <w:lang w:val="en-US"/>
        </w:rPr>
        <w:t>the most precise place where a fire event occurred, registered in (by availability) coordinates, name of the country, region, town, postal code and/or street name and number.</w:t>
      </w:r>
      <w:r w:rsidR="00EC1BDE" w:rsidRPr="000B68C8">
        <w:rPr>
          <w:lang w:val="en-US"/>
        </w:rPr>
        <w:t xml:space="preserve"> Devices for automatically record</w:t>
      </w:r>
      <w:r w:rsidR="00FE2D35" w:rsidRPr="000B68C8">
        <w:rPr>
          <w:lang w:val="en-US"/>
        </w:rPr>
        <w:t>ing</w:t>
      </w:r>
      <w:r w:rsidR="00EC1BDE" w:rsidRPr="000B68C8">
        <w:rPr>
          <w:lang w:val="en-US"/>
        </w:rPr>
        <w:t xml:space="preserve"> the </w:t>
      </w:r>
      <w:r w:rsidR="007F40E6" w:rsidRPr="000B68C8">
        <w:rPr>
          <w:lang w:val="en-US"/>
        </w:rPr>
        <w:t xml:space="preserve">incident </w:t>
      </w:r>
      <w:r w:rsidR="00EC1BDE" w:rsidRPr="000B68C8">
        <w:rPr>
          <w:lang w:val="en-US"/>
        </w:rPr>
        <w:t xml:space="preserve">location could be added to the fire vehicle enabling the recording of the exact location and allowing further studies related to the evaluation of the fire frequency according to specific urban and rural areas. </w:t>
      </w:r>
    </w:p>
    <w:p w14:paraId="6909ECB1" w14:textId="4F108614" w:rsidR="003F134D" w:rsidRPr="000B68C8" w:rsidRDefault="003F134D" w:rsidP="00553184">
      <w:pPr>
        <w:pStyle w:val="Caption"/>
        <w:keepNext/>
      </w:pPr>
      <w:bookmarkStart w:id="46" w:name="_Ref83887331"/>
      <w:r w:rsidRPr="000B68C8">
        <w:t xml:space="preserve">Table </w:t>
      </w:r>
      <w:fldSimple w:instr=" SEQ Table \* ARABIC ">
        <w:r w:rsidR="00527272" w:rsidRPr="000B68C8">
          <w:rPr>
            <w:noProof/>
          </w:rPr>
          <w:t>5</w:t>
        </w:r>
      </w:fldSimple>
      <w:bookmarkEnd w:id="46"/>
      <w:r w:rsidRPr="000B68C8">
        <w:t xml:space="preserve">: </w:t>
      </w:r>
      <w:r w:rsidR="002770F3" w:rsidRPr="000B68C8">
        <w:t xml:space="preserve">Proposed new </w:t>
      </w:r>
      <w:r w:rsidR="00A82F87" w:rsidRPr="000B68C8">
        <w:t>definition</w:t>
      </w:r>
      <w:r w:rsidR="00BB2211" w:rsidRPr="000B68C8">
        <w:t>s</w:t>
      </w:r>
      <w:r w:rsidR="00822537" w:rsidRPr="000B68C8">
        <w:t xml:space="preserve"> </w:t>
      </w:r>
      <w:r w:rsidR="00BB2211" w:rsidRPr="000B68C8">
        <w:t>and values of</w:t>
      </w:r>
      <w:r w:rsidR="00AF5EBE" w:rsidRPr="000B68C8">
        <w:t xml:space="preserve"> </w:t>
      </w:r>
      <w:r w:rsidR="00F1088B" w:rsidRPr="000B68C8">
        <w:t xml:space="preserve">incident </w:t>
      </w:r>
      <w:r w:rsidR="008E7482" w:rsidRPr="000B68C8">
        <w:t>characteristics</w:t>
      </w:r>
    </w:p>
    <w:tbl>
      <w:tblPr>
        <w:tblW w:w="5000" w:type="pct"/>
        <w:jc w:val="center"/>
        <w:tblBorders>
          <w:top w:val="single" w:sz="4" w:space="0" w:color="auto"/>
          <w:bottom w:val="single" w:sz="4" w:space="0" w:color="auto"/>
        </w:tblBorders>
        <w:tblLook w:val="04A0" w:firstRow="1" w:lastRow="0" w:firstColumn="1" w:lastColumn="0" w:noHBand="0" w:noVBand="1"/>
      </w:tblPr>
      <w:tblGrid>
        <w:gridCol w:w="988"/>
        <w:gridCol w:w="4399"/>
        <w:gridCol w:w="3639"/>
      </w:tblGrid>
      <w:tr w:rsidR="007B6E69" w:rsidRPr="000B68C8" w14:paraId="4EFAAA0A" w14:textId="77777777" w:rsidTr="004933E8">
        <w:trPr>
          <w:jc w:val="center"/>
        </w:trPr>
        <w:tc>
          <w:tcPr>
            <w:tcW w:w="0" w:type="auto"/>
            <w:gridSpan w:val="3"/>
            <w:tcBorders>
              <w:top w:val="single" w:sz="4" w:space="0" w:color="auto"/>
              <w:bottom w:val="single" w:sz="4" w:space="0" w:color="auto"/>
            </w:tcBorders>
          </w:tcPr>
          <w:p w14:paraId="4B4C7393" w14:textId="3F274E4A" w:rsidR="007B6E69" w:rsidRPr="000B68C8" w:rsidRDefault="007B6E69" w:rsidP="008E7482">
            <w:pPr>
              <w:pStyle w:val="NoSpacing"/>
              <w:jc w:val="center"/>
              <w:rPr>
                <w:rFonts w:cs="Times New Roman"/>
                <w:b/>
                <w:bCs/>
                <w:sz w:val="18"/>
                <w:szCs w:val="18"/>
              </w:rPr>
            </w:pPr>
            <w:r w:rsidRPr="000B68C8">
              <w:rPr>
                <w:rFonts w:cs="Times New Roman"/>
                <w:b/>
                <w:bCs/>
                <w:sz w:val="18"/>
                <w:szCs w:val="18"/>
              </w:rPr>
              <w:t>IN</w:t>
            </w:r>
            <w:r w:rsidR="00F1088B" w:rsidRPr="000B68C8">
              <w:rPr>
                <w:rFonts w:cs="Times New Roman"/>
                <w:b/>
                <w:bCs/>
                <w:sz w:val="18"/>
                <w:szCs w:val="18"/>
              </w:rPr>
              <w:t>CIDENT</w:t>
            </w:r>
            <w:r w:rsidRPr="000B68C8">
              <w:rPr>
                <w:rFonts w:cs="Times New Roman"/>
                <w:b/>
                <w:bCs/>
                <w:sz w:val="18"/>
                <w:szCs w:val="18"/>
              </w:rPr>
              <w:t xml:space="preserve"> CHARACTERISTICS</w:t>
            </w:r>
          </w:p>
        </w:tc>
      </w:tr>
      <w:tr w:rsidR="008E7482" w:rsidRPr="000B68C8" w14:paraId="1FF0F970" w14:textId="2DF62E63" w:rsidTr="002A70D3">
        <w:trPr>
          <w:jc w:val="center"/>
        </w:trPr>
        <w:tc>
          <w:tcPr>
            <w:tcW w:w="0" w:type="auto"/>
            <w:tcBorders>
              <w:top w:val="single" w:sz="4" w:space="0" w:color="auto"/>
              <w:bottom w:val="single" w:sz="4" w:space="0" w:color="auto"/>
            </w:tcBorders>
          </w:tcPr>
          <w:p w14:paraId="22DE1B66" w14:textId="208F1B8D" w:rsidR="008E7482" w:rsidRPr="000B68C8" w:rsidRDefault="008E7482" w:rsidP="00342407">
            <w:pPr>
              <w:pStyle w:val="NoSpacing"/>
              <w:jc w:val="center"/>
              <w:rPr>
                <w:rFonts w:cs="Times New Roman"/>
                <w:b/>
                <w:bCs/>
                <w:sz w:val="18"/>
                <w:szCs w:val="18"/>
              </w:rPr>
            </w:pPr>
            <w:r w:rsidRPr="000B68C8">
              <w:rPr>
                <w:rFonts w:cs="Times New Roman"/>
                <w:b/>
                <w:bCs/>
                <w:sz w:val="18"/>
                <w:szCs w:val="18"/>
              </w:rPr>
              <w:t>Variable</w:t>
            </w:r>
          </w:p>
        </w:tc>
        <w:tc>
          <w:tcPr>
            <w:tcW w:w="2437" w:type="pct"/>
            <w:tcBorders>
              <w:top w:val="single" w:sz="4" w:space="0" w:color="auto"/>
              <w:bottom w:val="single" w:sz="4" w:space="0" w:color="auto"/>
            </w:tcBorders>
          </w:tcPr>
          <w:p w14:paraId="3DCDEC59" w14:textId="22718D49" w:rsidR="008E7482" w:rsidRPr="000B68C8" w:rsidRDefault="008E7482" w:rsidP="00342407">
            <w:pPr>
              <w:pStyle w:val="NoSpacing"/>
              <w:jc w:val="center"/>
              <w:rPr>
                <w:rFonts w:cs="Times New Roman"/>
                <w:b/>
                <w:bCs/>
                <w:sz w:val="18"/>
                <w:szCs w:val="18"/>
              </w:rPr>
            </w:pPr>
            <w:r w:rsidRPr="000B68C8">
              <w:rPr>
                <w:rFonts w:cs="Times New Roman"/>
                <w:b/>
                <w:bCs/>
                <w:sz w:val="18"/>
                <w:szCs w:val="18"/>
              </w:rPr>
              <w:t>Definition</w:t>
            </w:r>
          </w:p>
        </w:tc>
        <w:tc>
          <w:tcPr>
            <w:tcW w:w="2016" w:type="pct"/>
            <w:tcBorders>
              <w:top w:val="single" w:sz="4" w:space="0" w:color="auto"/>
              <w:bottom w:val="single" w:sz="4" w:space="0" w:color="auto"/>
            </w:tcBorders>
          </w:tcPr>
          <w:p w14:paraId="585E5611" w14:textId="61F35196" w:rsidR="008E7482" w:rsidRPr="000B68C8" w:rsidRDefault="00BB0DCF" w:rsidP="008E7482">
            <w:pPr>
              <w:pStyle w:val="NoSpacing"/>
              <w:jc w:val="center"/>
              <w:rPr>
                <w:rFonts w:cs="Times New Roman"/>
                <w:b/>
                <w:bCs/>
                <w:sz w:val="18"/>
                <w:szCs w:val="18"/>
              </w:rPr>
            </w:pPr>
            <w:r w:rsidRPr="000B68C8">
              <w:rPr>
                <w:rFonts w:cs="Times New Roman"/>
                <w:b/>
                <w:bCs/>
                <w:sz w:val="18"/>
                <w:szCs w:val="18"/>
              </w:rPr>
              <w:t>Values</w:t>
            </w:r>
          </w:p>
        </w:tc>
      </w:tr>
      <w:tr w:rsidR="008E7482" w:rsidRPr="000B68C8" w14:paraId="3641CAA9" w14:textId="2BBE5E0B" w:rsidTr="002A70D3">
        <w:trPr>
          <w:jc w:val="center"/>
        </w:trPr>
        <w:tc>
          <w:tcPr>
            <w:tcW w:w="0" w:type="auto"/>
            <w:tcBorders>
              <w:top w:val="single" w:sz="4" w:space="0" w:color="auto"/>
              <w:bottom w:val="single" w:sz="4" w:space="0" w:color="auto"/>
            </w:tcBorders>
            <w:vAlign w:val="center"/>
          </w:tcPr>
          <w:p w14:paraId="1E3A0547" w14:textId="310D1B24" w:rsidR="008E7482" w:rsidRPr="000B68C8" w:rsidRDefault="008E7482" w:rsidP="006362F9">
            <w:pPr>
              <w:pStyle w:val="NoSpacing"/>
              <w:jc w:val="center"/>
              <w:rPr>
                <w:rFonts w:cs="Times New Roman"/>
                <w:sz w:val="18"/>
                <w:szCs w:val="18"/>
              </w:rPr>
            </w:pPr>
            <w:r w:rsidRPr="000B68C8">
              <w:rPr>
                <w:rFonts w:cs="Times New Roman"/>
                <w:sz w:val="18"/>
                <w:szCs w:val="18"/>
              </w:rPr>
              <w:t>Incident date</w:t>
            </w:r>
          </w:p>
        </w:tc>
        <w:tc>
          <w:tcPr>
            <w:tcW w:w="2437" w:type="pct"/>
            <w:tcBorders>
              <w:top w:val="single" w:sz="4" w:space="0" w:color="auto"/>
              <w:bottom w:val="single" w:sz="4" w:space="0" w:color="auto"/>
            </w:tcBorders>
          </w:tcPr>
          <w:p w14:paraId="32E92BCB" w14:textId="21A93233" w:rsidR="008E7482" w:rsidRPr="000B68C8" w:rsidRDefault="008E7482" w:rsidP="006362F9">
            <w:pPr>
              <w:pStyle w:val="NoSpacing"/>
              <w:jc w:val="both"/>
              <w:rPr>
                <w:rFonts w:cs="Times New Roman"/>
                <w:sz w:val="18"/>
                <w:szCs w:val="18"/>
              </w:rPr>
            </w:pPr>
            <w:r w:rsidRPr="000B68C8">
              <w:rPr>
                <w:rFonts w:cs="Times New Roman"/>
                <w:sz w:val="18"/>
                <w:szCs w:val="18"/>
              </w:rPr>
              <w:t xml:space="preserve">The earliest available moment </w:t>
            </w:r>
            <w:r w:rsidR="00FE2D35" w:rsidRPr="000B68C8">
              <w:rPr>
                <w:rFonts w:cs="Times New Roman"/>
                <w:sz w:val="18"/>
                <w:szCs w:val="18"/>
              </w:rPr>
              <w:t xml:space="preserve">at </w:t>
            </w:r>
            <w:r w:rsidRPr="000B68C8">
              <w:rPr>
                <w:rFonts w:cs="Times New Roman"/>
                <w:sz w:val="18"/>
                <w:szCs w:val="18"/>
              </w:rPr>
              <w:t xml:space="preserve">which a fire event occurred, registered in the day, month and year at </w:t>
            </w:r>
            <w:r w:rsidR="00FE2D35" w:rsidRPr="000B68C8">
              <w:rPr>
                <w:rFonts w:cs="Times New Roman"/>
                <w:sz w:val="18"/>
                <w:szCs w:val="18"/>
              </w:rPr>
              <w:t xml:space="preserve">the </w:t>
            </w:r>
            <w:r w:rsidRPr="000B68C8">
              <w:rPr>
                <w:rFonts w:cs="Times New Roman"/>
                <w:sz w:val="18"/>
                <w:szCs w:val="18"/>
              </w:rPr>
              <w:t xml:space="preserve">local date and time. </w:t>
            </w:r>
          </w:p>
        </w:tc>
        <w:tc>
          <w:tcPr>
            <w:tcW w:w="2016" w:type="pct"/>
            <w:tcBorders>
              <w:top w:val="single" w:sz="4" w:space="0" w:color="auto"/>
              <w:bottom w:val="single" w:sz="4" w:space="0" w:color="auto"/>
            </w:tcBorders>
          </w:tcPr>
          <w:p w14:paraId="1105C3FE" w14:textId="733A118E" w:rsidR="00457475" w:rsidRPr="000B68C8" w:rsidRDefault="00457475" w:rsidP="00457475">
            <w:pPr>
              <w:pStyle w:val="NoSpacing"/>
              <w:jc w:val="both"/>
              <w:rPr>
                <w:rFonts w:cs="Times New Roman"/>
                <w:sz w:val="18"/>
                <w:szCs w:val="18"/>
              </w:rPr>
            </w:pPr>
            <w:r w:rsidRPr="000B68C8">
              <w:rPr>
                <w:rFonts w:cs="Times New Roman"/>
                <w:sz w:val="18"/>
                <w:szCs w:val="18"/>
              </w:rPr>
              <w:t>dd/mm/</w:t>
            </w:r>
            <w:proofErr w:type="spellStart"/>
            <w:r w:rsidRPr="000B68C8">
              <w:rPr>
                <w:rFonts w:cs="Times New Roman"/>
                <w:sz w:val="18"/>
                <w:szCs w:val="18"/>
              </w:rPr>
              <w:t>yyyy</w:t>
            </w:r>
            <w:proofErr w:type="spellEnd"/>
            <w:r w:rsidRPr="000B68C8">
              <w:rPr>
                <w:rFonts w:cs="Times New Roman"/>
                <w:sz w:val="18"/>
                <w:szCs w:val="18"/>
              </w:rPr>
              <w:t xml:space="preserve"> </w:t>
            </w:r>
          </w:p>
          <w:p w14:paraId="412AA28A" w14:textId="253C9AD4" w:rsidR="00457475" w:rsidRPr="000B68C8" w:rsidRDefault="00457475" w:rsidP="00457475">
            <w:pPr>
              <w:pStyle w:val="NoSpacing"/>
              <w:jc w:val="both"/>
              <w:rPr>
                <w:rFonts w:cs="Times New Roman"/>
                <w:sz w:val="18"/>
                <w:szCs w:val="18"/>
              </w:rPr>
            </w:pPr>
            <w:r w:rsidRPr="000B68C8">
              <w:rPr>
                <w:rFonts w:cs="Times New Roman"/>
                <w:sz w:val="18"/>
                <w:szCs w:val="18"/>
              </w:rPr>
              <w:t>(European notation)</w:t>
            </w:r>
          </w:p>
        </w:tc>
      </w:tr>
      <w:tr w:rsidR="008E7482" w:rsidRPr="000B68C8" w14:paraId="3C0A0C05" w14:textId="1BAA5A1B" w:rsidTr="002A70D3">
        <w:trPr>
          <w:jc w:val="center"/>
        </w:trPr>
        <w:tc>
          <w:tcPr>
            <w:tcW w:w="0" w:type="auto"/>
            <w:tcBorders>
              <w:top w:val="single" w:sz="4" w:space="0" w:color="auto"/>
              <w:bottom w:val="single" w:sz="4" w:space="0" w:color="auto"/>
            </w:tcBorders>
            <w:vAlign w:val="center"/>
          </w:tcPr>
          <w:p w14:paraId="1EA3F4A7" w14:textId="788EE6CF" w:rsidR="008E7482" w:rsidRPr="000B68C8" w:rsidRDefault="008E7482" w:rsidP="006362F9">
            <w:pPr>
              <w:pStyle w:val="NoSpacing"/>
              <w:jc w:val="center"/>
              <w:rPr>
                <w:rFonts w:cs="Times New Roman"/>
                <w:sz w:val="18"/>
                <w:szCs w:val="18"/>
              </w:rPr>
            </w:pPr>
            <w:r w:rsidRPr="000B68C8">
              <w:rPr>
                <w:rFonts w:cs="Times New Roman"/>
                <w:sz w:val="18"/>
                <w:szCs w:val="18"/>
              </w:rPr>
              <w:t>Incident time</w:t>
            </w:r>
          </w:p>
        </w:tc>
        <w:tc>
          <w:tcPr>
            <w:tcW w:w="2437" w:type="pct"/>
            <w:tcBorders>
              <w:top w:val="single" w:sz="4" w:space="0" w:color="auto"/>
              <w:bottom w:val="single" w:sz="4" w:space="0" w:color="auto"/>
            </w:tcBorders>
          </w:tcPr>
          <w:p w14:paraId="12ED7E11" w14:textId="72F7811A" w:rsidR="008E7482" w:rsidRPr="000B68C8" w:rsidRDefault="008E7482" w:rsidP="006362F9">
            <w:pPr>
              <w:pStyle w:val="NoSpacing"/>
              <w:jc w:val="both"/>
              <w:rPr>
                <w:rFonts w:cs="Times New Roman"/>
                <w:sz w:val="18"/>
                <w:szCs w:val="18"/>
              </w:rPr>
            </w:pPr>
            <w:r w:rsidRPr="000B68C8">
              <w:rPr>
                <w:rFonts w:cs="Times New Roman"/>
                <w:sz w:val="18"/>
                <w:szCs w:val="18"/>
              </w:rPr>
              <w:t xml:space="preserve">The earliest available moment </w:t>
            </w:r>
            <w:r w:rsidR="00FE2D35" w:rsidRPr="000B68C8">
              <w:rPr>
                <w:rFonts w:cs="Times New Roman"/>
                <w:sz w:val="18"/>
                <w:szCs w:val="18"/>
              </w:rPr>
              <w:t xml:space="preserve">at </w:t>
            </w:r>
            <w:r w:rsidRPr="000B68C8">
              <w:rPr>
                <w:rFonts w:cs="Times New Roman"/>
                <w:sz w:val="18"/>
                <w:szCs w:val="18"/>
              </w:rPr>
              <w:t xml:space="preserve">which a fire event occurred, registered in hours (24H) and minutes at local time. </w:t>
            </w:r>
          </w:p>
        </w:tc>
        <w:tc>
          <w:tcPr>
            <w:tcW w:w="2016" w:type="pct"/>
            <w:tcBorders>
              <w:top w:val="single" w:sz="4" w:space="0" w:color="auto"/>
              <w:bottom w:val="single" w:sz="4" w:space="0" w:color="auto"/>
            </w:tcBorders>
          </w:tcPr>
          <w:p w14:paraId="10AEE3B8" w14:textId="77777777" w:rsidR="00457475" w:rsidRPr="000B68C8" w:rsidRDefault="00457475" w:rsidP="00457475">
            <w:pPr>
              <w:pStyle w:val="NoSpacing"/>
              <w:jc w:val="both"/>
              <w:rPr>
                <w:rFonts w:cs="Times New Roman"/>
                <w:sz w:val="18"/>
                <w:szCs w:val="18"/>
              </w:rPr>
            </w:pPr>
            <w:proofErr w:type="spellStart"/>
            <w:r w:rsidRPr="000B68C8">
              <w:rPr>
                <w:rFonts w:cs="Times New Roman"/>
                <w:sz w:val="18"/>
                <w:szCs w:val="18"/>
              </w:rPr>
              <w:t>hh</w:t>
            </w:r>
            <w:proofErr w:type="spellEnd"/>
            <w:r w:rsidRPr="000B68C8">
              <w:rPr>
                <w:rFonts w:cs="Times New Roman"/>
                <w:sz w:val="18"/>
                <w:szCs w:val="18"/>
              </w:rPr>
              <w:t xml:space="preserve">/mm (24H) or undetermined + local time </w:t>
            </w:r>
          </w:p>
          <w:p w14:paraId="714F8CB5" w14:textId="7803F8C3" w:rsidR="008E7482" w:rsidRPr="000B68C8" w:rsidRDefault="00457475" w:rsidP="006362F9">
            <w:pPr>
              <w:pStyle w:val="NoSpacing"/>
              <w:jc w:val="both"/>
              <w:rPr>
                <w:rFonts w:cs="Times New Roman"/>
                <w:sz w:val="18"/>
                <w:szCs w:val="18"/>
              </w:rPr>
            </w:pPr>
            <w:r w:rsidRPr="000B68C8">
              <w:rPr>
                <w:rFonts w:cs="Times New Roman"/>
                <w:sz w:val="18"/>
                <w:szCs w:val="18"/>
              </w:rPr>
              <w:t>(example: UTC + 01:00)</w:t>
            </w:r>
          </w:p>
        </w:tc>
      </w:tr>
      <w:tr w:rsidR="008E7482" w:rsidRPr="000B68C8" w14:paraId="3F8CB5B8" w14:textId="13D5DFDC" w:rsidTr="002A70D3">
        <w:trPr>
          <w:jc w:val="center"/>
        </w:trPr>
        <w:tc>
          <w:tcPr>
            <w:tcW w:w="0" w:type="auto"/>
            <w:tcBorders>
              <w:top w:val="single" w:sz="4" w:space="0" w:color="auto"/>
              <w:bottom w:val="single" w:sz="4" w:space="0" w:color="auto"/>
            </w:tcBorders>
            <w:vAlign w:val="center"/>
          </w:tcPr>
          <w:p w14:paraId="45E966CD" w14:textId="20AD05C1" w:rsidR="008E7482" w:rsidRPr="000B68C8" w:rsidRDefault="008E7482" w:rsidP="006362F9">
            <w:pPr>
              <w:pStyle w:val="NoSpacing"/>
              <w:jc w:val="center"/>
              <w:rPr>
                <w:rFonts w:cs="Times New Roman"/>
                <w:sz w:val="18"/>
                <w:szCs w:val="18"/>
              </w:rPr>
            </w:pPr>
            <w:r w:rsidRPr="000B68C8">
              <w:rPr>
                <w:rFonts w:cs="Times New Roman"/>
                <w:sz w:val="18"/>
                <w:szCs w:val="18"/>
              </w:rPr>
              <w:t>Incident location</w:t>
            </w:r>
          </w:p>
        </w:tc>
        <w:tc>
          <w:tcPr>
            <w:tcW w:w="2437" w:type="pct"/>
            <w:tcBorders>
              <w:top w:val="single" w:sz="4" w:space="0" w:color="auto"/>
              <w:bottom w:val="single" w:sz="4" w:space="0" w:color="auto"/>
            </w:tcBorders>
          </w:tcPr>
          <w:p w14:paraId="26199C44" w14:textId="2E090931" w:rsidR="008E7482" w:rsidRPr="000B68C8" w:rsidRDefault="008E7482" w:rsidP="006362F9">
            <w:pPr>
              <w:pStyle w:val="NoSpacing"/>
              <w:jc w:val="both"/>
              <w:rPr>
                <w:rFonts w:cs="Times New Roman"/>
                <w:sz w:val="18"/>
                <w:szCs w:val="18"/>
              </w:rPr>
            </w:pPr>
            <w:r w:rsidRPr="000B68C8">
              <w:rPr>
                <w:rFonts w:cs="Times New Roman"/>
                <w:sz w:val="18"/>
                <w:szCs w:val="18"/>
              </w:rPr>
              <w:t>The most precise place where a fire event occurred, registered in (by availability) coordinates, name of the country, region, town, postal code and/or street name and number.</w:t>
            </w:r>
          </w:p>
        </w:tc>
        <w:tc>
          <w:tcPr>
            <w:tcW w:w="2016" w:type="pct"/>
            <w:tcBorders>
              <w:top w:val="single" w:sz="4" w:space="0" w:color="auto"/>
              <w:bottom w:val="single" w:sz="4" w:space="0" w:color="auto"/>
            </w:tcBorders>
          </w:tcPr>
          <w:p w14:paraId="0EF9C82D" w14:textId="72C78C48" w:rsidR="008E7482" w:rsidRPr="000B68C8" w:rsidRDefault="00BB0DCF" w:rsidP="006362F9">
            <w:pPr>
              <w:pStyle w:val="NoSpacing"/>
              <w:jc w:val="both"/>
              <w:rPr>
                <w:rFonts w:cs="Times New Roman"/>
                <w:sz w:val="18"/>
                <w:szCs w:val="18"/>
              </w:rPr>
            </w:pPr>
            <w:r w:rsidRPr="000B68C8">
              <w:rPr>
                <w:rFonts w:cs="Times New Roman"/>
                <w:sz w:val="18"/>
                <w:szCs w:val="18"/>
              </w:rPr>
              <w:t>If available: coordinates (latitude and longitude), country, region, town, postal code and/or street name and number where the fire occurred or unknown (then: only country)</w:t>
            </w:r>
          </w:p>
        </w:tc>
      </w:tr>
    </w:tbl>
    <w:p w14:paraId="7ACB6C56" w14:textId="21F407C6" w:rsidR="00BB0DCF" w:rsidRPr="000B68C8" w:rsidRDefault="00BB0DCF" w:rsidP="002A70D3">
      <w:pPr>
        <w:pBdr>
          <w:bottom w:val="single" w:sz="4" w:space="1" w:color="auto"/>
        </w:pBdr>
      </w:pPr>
      <w:bookmarkStart w:id="47" w:name="_Ref87536910"/>
      <w:r w:rsidRPr="000B68C8">
        <w:rPr>
          <w:rFonts w:cs="Times New Roman"/>
          <w:sz w:val="18"/>
          <w:szCs w:val="18"/>
        </w:rPr>
        <w:t>Note: The earliest available moment refers to the earliest moment that the fire is reported to an official authority/system (for example</w:t>
      </w:r>
      <w:r w:rsidR="007F79E3" w:rsidRPr="000B68C8">
        <w:rPr>
          <w:rFonts w:cs="Times New Roman"/>
          <w:sz w:val="18"/>
          <w:szCs w:val="18"/>
        </w:rPr>
        <w:t>,</w:t>
      </w:r>
      <w:r w:rsidRPr="000B68C8">
        <w:rPr>
          <w:rFonts w:cs="Times New Roman"/>
          <w:sz w:val="18"/>
          <w:szCs w:val="18"/>
        </w:rPr>
        <w:t xml:space="preserve"> the detection time by an automatic detection system linked to the control room or calling the emergency number).</w:t>
      </w:r>
    </w:p>
    <w:p w14:paraId="2F7BB18F" w14:textId="45E3218B" w:rsidR="00B731A8" w:rsidRPr="000B68C8" w:rsidRDefault="005A743B">
      <w:r w:rsidRPr="000B68C8">
        <w:fldChar w:fldCharType="begin"/>
      </w:r>
      <w:r w:rsidRPr="000B68C8">
        <w:instrText xml:space="preserve"> REF _Ref96419956 \h  \* MERGEFORMAT </w:instrText>
      </w:r>
      <w:r w:rsidRPr="000B68C8">
        <w:fldChar w:fldCharType="separate"/>
      </w:r>
      <w:r w:rsidR="00527272" w:rsidRPr="000B68C8">
        <w:t xml:space="preserve">Table </w:t>
      </w:r>
      <w:r w:rsidR="00527272" w:rsidRPr="000B68C8">
        <w:rPr>
          <w:noProof/>
        </w:rPr>
        <w:t>6</w:t>
      </w:r>
      <w:r w:rsidRPr="000B68C8">
        <w:fldChar w:fldCharType="end"/>
      </w:r>
      <w:r w:rsidR="00D93C9D" w:rsidRPr="000B68C8">
        <w:t xml:space="preserve"> </w:t>
      </w:r>
      <w:r w:rsidR="00FE2D35" w:rsidRPr="000B68C8">
        <w:t>presents</w:t>
      </w:r>
      <w:r w:rsidR="00D93C9D" w:rsidRPr="000B68C8">
        <w:t xml:space="preserve"> the definitions, notes</w:t>
      </w:r>
      <w:r w:rsidR="00455E37" w:rsidRPr="000B68C8">
        <w:t>,</w:t>
      </w:r>
      <w:r w:rsidR="00D93C9D" w:rsidRPr="000B68C8">
        <w:t xml:space="preserve"> and values for the human characteristics which are also </w:t>
      </w:r>
      <w:r w:rsidR="00D93C9D" w:rsidRPr="000B68C8">
        <w:rPr>
          <w:lang w:val="en-US"/>
        </w:rPr>
        <w:t xml:space="preserve">already collected in </w:t>
      </w:r>
      <w:r w:rsidR="00455E37" w:rsidRPr="000B68C8">
        <w:rPr>
          <w:lang w:val="en-US"/>
        </w:rPr>
        <w:t>most</w:t>
      </w:r>
      <w:r w:rsidR="00D93C9D" w:rsidRPr="000B68C8">
        <w:rPr>
          <w:lang w:val="en-US"/>
        </w:rPr>
        <w:t xml:space="preserve"> EU countries</w:t>
      </w:r>
      <w:r w:rsidR="002B00F2" w:rsidRPr="000B68C8">
        <w:rPr>
          <w:lang w:val="en-US"/>
        </w:rPr>
        <w:t xml:space="preserve"> as stated in the results of the questionnaire (Section </w:t>
      </w:r>
      <w:r w:rsidR="002B00F2" w:rsidRPr="000B68C8">
        <w:rPr>
          <w:lang w:val="en-US"/>
        </w:rPr>
        <w:fldChar w:fldCharType="begin"/>
      </w:r>
      <w:r w:rsidR="002B00F2" w:rsidRPr="000B68C8">
        <w:rPr>
          <w:lang w:val="en-US"/>
        </w:rPr>
        <w:instrText xml:space="preserve"> REF _Ref104887238 \r \h </w:instrText>
      </w:r>
      <w:r w:rsidR="000B68C8">
        <w:rPr>
          <w:lang w:val="en-US"/>
        </w:rPr>
        <w:instrText xml:space="preserve"> \* MERGEFORMAT </w:instrText>
      </w:r>
      <w:r w:rsidR="002B00F2" w:rsidRPr="000B68C8">
        <w:rPr>
          <w:lang w:val="en-US"/>
        </w:rPr>
      </w:r>
      <w:r w:rsidR="002B00F2" w:rsidRPr="000B68C8">
        <w:rPr>
          <w:lang w:val="en-US"/>
        </w:rPr>
        <w:fldChar w:fldCharType="separate"/>
      </w:r>
      <w:r w:rsidR="00527272" w:rsidRPr="000B68C8">
        <w:rPr>
          <w:lang w:val="en-US"/>
        </w:rPr>
        <w:t>4</w:t>
      </w:r>
      <w:r w:rsidR="002B00F2" w:rsidRPr="000B68C8">
        <w:rPr>
          <w:lang w:val="en-US"/>
        </w:rPr>
        <w:fldChar w:fldCharType="end"/>
      </w:r>
      <w:r w:rsidR="002B00F2" w:rsidRPr="000B68C8">
        <w:rPr>
          <w:lang w:val="en-US"/>
        </w:rPr>
        <w:t>)</w:t>
      </w:r>
      <w:r w:rsidR="00D93C9D" w:rsidRPr="000B68C8">
        <w:rPr>
          <w:lang w:val="en-US"/>
        </w:rPr>
        <w:t>.</w:t>
      </w:r>
      <w:r w:rsidR="00646022" w:rsidRPr="000B68C8">
        <w:t xml:space="preserve"> </w:t>
      </w:r>
      <w:r w:rsidR="00981576" w:rsidRPr="000B68C8">
        <w:t xml:space="preserve">In the definition of </w:t>
      </w:r>
      <w:r w:rsidR="00FE2D35" w:rsidRPr="000B68C8">
        <w:t xml:space="preserve">the </w:t>
      </w:r>
      <w:r w:rsidR="0002077F" w:rsidRPr="000B68C8">
        <w:rPr>
          <w:i/>
        </w:rPr>
        <w:t>n</w:t>
      </w:r>
      <w:r w:rsidR="007F40E6" w:rsidRPr="000B68C8">
        <w:rPr>
          <w:i/>
        </w:rPr>
        <w:t>umber of</w:t>
      </w:r>
      <w:r w:rsidR="00981576" w:rsidRPr="000B68C8">
        <w:rPr>
          <w:i/>
        </w:rPr>
        <w:t xml:space="preserve"> fatalities</w:t>
      </w:r>
      <w:r w:rsidR="00981576" w:rsidRPr="000B68C8">
        <w:t xml:space="preserve">, all people discovered or declared dead </w:t>
      </w:r>
      <w:r w:rsidR="00FE2D35" w:rsidRPr="000B68C8">
        <w:t>at</w:t>
      </w:r>
      <w:r w:rsidR="00981576" w:rsidRPr="000B68C8">
        <w:t xml:space="preserve"> the location of the fire, during their transportation to the hospital or after their admission </w:t>
      </w:r>
      <w:r w:rsidR="00FE2D35" w:rsidRPr="000B68C8">
        <w:t>to</w:t>
      </w:r>
      <w:r w:rsidR="00981576" w:rsidRPr="000B68C8">
        <w:t xml:space="preserve"> the hospital</w:t>
      </w:r>
      <w:r w:rsidR="007F40E6" w:rsidRPr="000B68C8">
        <w:t xml:space="preserve"> are included</w:t>
      </w:r>
      <w:r w:rsidR="00981576" w:rsidRPr="000B68C8">
        <w:t xml:space="preserve">. This </w:t>
      </w:r>
      <w:r w:rsidR="00FE2D35" w:rsidRPr="000B68C8">
        <w:t>represents</w:t>
      </w:r>
      <w:r w:rsidR="00981576" w:rsidRPr="000B68C8">
        <w:t xml:space="preserve"> a major difference </w:t>
      </w:r>
      <w:r w:rsidR="0093024E" w:rsidRPr="000B68C8">
        <w:t xml:space="preserve">from </w:t>
      </w:r>
      <w:r w:rsidR="00455E37" w:rsidRPr="000B68C8">
        <w:t>most of</w:t>
      </w:r>
      <w:r w:rsidR="00981576" w:rsidRPr="000B68C8">
        <w:t xml:space="preserve"> the </w:t>
      </w:r>
      <w:r w:rsidR="007F40E6" w:rsidRPr="000B68C8">
        <w:t xml:space="preserve">fire statistics in the </w:t>
      </w:r>
      <w:r w:rsidR="00981576" w:rsidRPr="000B68C8">
        <w:t xml:space="preserve">examined countries where fire fatalities are only recorded at the fire scene. In the proposed definitions, the </w:t>
      </w:r>
      <w:r w:rsidR="0002077F" w:rsidRPr="000B68C8">
        <w:rPr>
          <w:i/>
        </w:rPr>
        <w:t>n</w:t>
      </w:r>
      <w:r w:rsidR="00FE2D35" w:rsidRPr="000B68C8">
        <w:rPr>
          <w:i/>
        </w:rPr>
        <w:t>umber</w:t>
      </w:r>
      <w:r w:rsidR="00981576" w:rsidRPr="000B68C8">
        <w:rPr>
          <w:i/>
        </w:rPr>
        <w:t xml:space="preserve"> of fatalities and injuries</w:t>
      </w:r>
      <w:r w:rsidR="00981576" w:rsidRPr="000B68C8">
        <w:t xml:space="preserve"> are recorded within a year and a follow up appears to be necessary after the fire incident. </w:t>
      </w:r>
      <w:r w:rsidR="001F7B6C" w:rsidRPr="000B68C8">
        <w:t xml:space="preserve">For the implementation of such </w:t>
      </w:r>
      <w:r w:rsidR="007F40E6" w:rsidRPr="000B68C8">
        <w:t xml:space="preserve">variables, </w:t>
      </w:r>
      <w:r w:rsidR="001F7B6C" w:rsidRPr="000B68C8">
        <w:t>it is expected that the process will be difficult, especially for th</w:t>
      </w:r>
      <w:r w:rsidR="007F40E6" w:rsidRPr="000B68C8">
        <w:t>ose</w:t>
      </w:r>
      <w:r w:rsidR="001F7B6C" w:rsidRPr="000B68C8">
        <w:t xml:space="preserve"> countries </w:t>
      </w:r>
      <w:r w:rsidR="007F40E6" w:rsidRPr="000B68C8">
        <w:t>that</w:t>
      </w:r>
      <w:r w:rsidR="001F7B6C" w:rsidRPr="000B68C8">
        <w:t xml:space="preserve"> are currently reporting them only at the fire scene</w:t>
      </w:r>
      <w:r w:rsidR="00646022" w:rsidRPr="000B68C8">
        <w:t xml:space="preserve"> without a follow up from the hospitals or Legal Medicine Institutes</w:t>
      </w:r>
      <w:r w:rsidR="001F7B6C" w:rsidRPr="000B68C8">
        <w:t>. In countries already updat</w:t>
      </w:r>
      <w:r w:rsidR="00646022" w:rsidRPr="000B68C8">
        <w:t>ing the</w:t>
      </w:r>
      <w:r w:rsidR="001F7B6C" w:rsidRPr="000B68C8">
        <w:t xml:space="preserve"> victim information by </w:t>
      </w:r>
      <w:r w:rsidR="00FE2D35" w:rsidRPr="000B68C8">
        <w:t>cross-checking</w:t>
      </w:r>
      <w:r w:rsidR="001F7B6C" w:rsidRPr="000B68C8">
        <w:t xml:space="preserve"> with data from the medical records, it is estimated that there should be no difficulties in adapting </w:t>
      </w:r>
      <w:r w:rsidR="00646022" w:rsidRPr="000B68C8">
        <w:t xml:space="preserve">their terminology </w:t>
      </w:r>
      <w:r w:rsidR="001F7B6C" w:rsidRPr="000B68C8">
        <w:t xml:space="preserve">to the harmonized </w:t>
      </w:r>
      <w:r w:rsidR="00646022" w:rsidRPr="000B68C8">
        <w:t>one</w:t>
      </w:r>
      <w:r w:rsidR="001F7B6C" w:rsidRPr="000B68C8">
        <w:t>.</w:t>
      </w:r>
    </w:p>
    <w:p w14:paraId="35C8BCFF" w14:textId="71074D1D" w:rsidR="00B731A8" w:rsidRPr="000B68C8" w:rsidRDefault="00B731A8"/>
    <w:p w14:paraId="40264081" w14:textId="16856F28" w:rsidR="00B731A8" w:rsidRPr="000B68C8" w:rsidRDefault="00B731A8"/>
    <w:p w14:paraId="1806004A" w14:textId="3945D78C" w:rsidR="00B731A8" w:rsidRPr="000B68C8" w:rsidRDefault="00B731A8"/>
    <w:p w14:paraId="476AE655" w14:textId="6B1327DD" w:rsidR="00B731A8" w:rsidRPr="000B68C8" w:rsidRDefault="00B731A8"/>
    <w:p w14:paraId="58ED3315" w14:textId="1ECD98C1" w:rsidR="00B731A8" w:rsidRPr="000B68C8" w:rsidRDefault="00B731A8"/>
    <w:p w14:paraId="5069DBB6" w14:textId="081EA66B" w:rsidR="00B731A8" w:rsidRPr="000B68C8" w:rsidRDefault="00B731A8"/>
    <w:p w14:paraId="4EBBEEE3" w14:textId="620AD6DD" w:rsidR="002B00F2" w:rsidRPr="000B68C8" w:rsidRDefault="002B00F2"/>
    <w:p w14:paraId="54E1CBC7" w14:textId="77777777" w:rsidR="000A4D38" w:rsidRPr="000B68C8" w:rsidRDefault="000A4D38"/>
    <w:p w14:paraId="700677F8" w14:textId="0EB73C27" w:rsidR="00165050" w:rsidRPr="000B68C8" w:rsidRDefault="007B6E69">
      <w:pPr>
        <w:jc w:val="center"/>
        <w:rPr>
          <w:i/>
          <w:iCs/>
          <w:sz w:val="18"/>
          <w:szCs w:val="18"/>
        </w:rPr>
      </w:pPr>
      <w:bookmarkStart w:id="48" w:name="_Ref96419956"/>
      <w:r w:rsidRPr="000B68C8">
        <w:rPr>
          <w:i/>
          <w:iCs/>
          <w:sz w:val="18"/>
          <w:szCs w:val="18"/>
        </w:rPr>
        <w:t xml:space="preserve">Table </w:t>
      </w:r>
      <w:r w:rsidRPr="000B68C8">
        <w:rPr>
          <w:i/>
          <w:iCs/>
          <w:sz w:val="18"/>
          <w:szCs w:val="18"/>
        </w:rPr>
        <w:fldChar w:fldCharType="begin"/>
      </w:r>
      <w:r w:rsidRPr="000B68C8">
        <w:rPr>
          <w:i/>
          <w:iCs/>
          <w:sz w:val="18"/>
          <w:szCs w:val="18"/>
        </w:rPr>
        <w:instrText xml:space="preserve"> SEQ Table \* ARABIC </w:instrText>
      </w:r>
      <w:r w:rsidRPr="000B68C8">
        <w:rPr>
          <w:i/>
          <w:iCs/>
          <w:sz w:val="18"/>
          <w:szCs w:val="18"/>
        </w:rPr>
        <w:fldChar w:fldCharType="separate"/>
      </w:r>
      <w:r w:rsidR="00527272" w:rsidRPr="000B68C8">
        <w:rPr>
          <w:i/>
          <w:iCs/>
          <w:noProof/>
          <w:sz w:val="18"/>
          <w:szCs w:val="18"/>
        </w:rPr>
        <w:t>6</w:t>
      </w:r>
      <w:r w:rsidRPr="000B68C8">
        <w:rPr>
          <w:i/>
          <w:iCs/>
          <w:noProof/>
          <w:sz w:val="18"/>
          <w:szCs w:val="18"/>
        </w:rPr>
        <w:fldChar w:fldCharType="end"/>
      </w:r>
      <w:bookmarkEnd w:id="48"/>
      <w:r w:rsidRPr="000B68C8">
        <w:rPr>
          <w:i/>
          <w:iCs/>
          <w:sz w:val="18"/>
          <w:szCs w:val="18"/>
        </w:rPr>
        <w:t>: Proposed new definitions</w:t>
      </w:r>
      <w:r w:rsidR="00BB2211" w:rsidRPr="000B68C8">
        <w:rPr>
          <w:i/>
          <w:iCs/>
          <w:sz w:val="18"/>
          <w:szCs w:val="18"/>
        </w:rPr>
        <w:t xml:space="preserve">, </w:t>
      </w:r>
      <w:r w:rsidRPr="000B68C8">
        <w:rPr>
          <w:i/>
          <w:iCs/>
          <w:sz w:val="18"/>
          <w:szCs w:val="18"/>
        </w:rPr>
        <w:t xml:space="preserve">notes </w:t>
      </w:r>
      <w:r w:rsidR="00BB2211" w:rsidRPr="000B68C8">
        <w:rPr>
          <w:i/>
          <w:iCs/>
          <w:sz w:val="18"/>
          <w:szCs w:val="18"/>
        </w:rPr>
        <w:t>and values of</w:t>
      </w:r>
      <w:r w:rsidRPr="000B68C8">
        <w:rPr>
          <w:i/>
          <w:iCs/>
          <w:sz w:val="18"/>
          <w:szCs w:val="18"/>
        </w:rPr>
        <w:t xml:space="preserve"> human characteristics</w:t>
      </w:r>
    </w:p>
    <w:tbl>
      <w:tblPr>
        <w:tblW w:w="9356" w:type="dxa"/>
        <w:jc w:val="center"/>
        <w:tblBorders>
          <w:top w:val="single" w:sz="4" w:space="0" w:color="auto"/>
          <w:bottom w:val="single" w:sz="4" w:space="0" w:color="auto"/>
        </w:tblBorders>
        <w:tblLayout w:type="fixed"/>
        <w:tblLook w:val="04A0" w:firstRow="1" w:lastRow="0" w:firstColumn="1" w:lastColumn="0" w:noHBand="0" w:noVBand="1"/>
      </w:tblPr>
      <w:tblGrid>
        <w:gridCol w:w="990"/>
        <w:gridCol w:w="1704"/>
        <w:gridCol w:w="5239"/>
        <w:gridCol w:w="1423"/>
      </w:tblGrid>
      <w:tr w:rsidR="00822537" w:rsidRPr="000B68C8" w14:paraId="0413CA7A" w14:textId="1B2AC074" w:rsidTr="002A70D3">
        <w:trPr>
          <w:jc w:val="center"/>
        </w:trPr>
        <w:tc>
          <w:tcPr>
            <w:tcW w:w="9356" w:type="dxa"/>
            <w:gridSpan w:val="4"/>
            <w:tcBorders>
              <w:top w:val="single" w:sz="4" w:space="0" w:color="auto"/>
              <w:bottom w:val="single" w:sz="4" w:space="0" w:color="auto"/>
            </w:tcBorders>
            <w:vAlign w:val="center"/>
          </w:tcPr>
          <w:p w14:paraId="5225DC36" w14:textId="57D65A8E" w:rsidR="00822537" w:rsidRPr="000B68C8" w:rsidRDefault="00822537" w:rsidP="00680F02">
            <w:pPr>
              <w:pStyle w:val="NoSpacing"/>
              <w:jc w:val="center"/>
              <w:rPr>
                <w:rFonts w:cs="Times New Roman"/>
                <w:b/>
                <w:bCs/>
                <w:sz w:val="18"/>
                <w:szCs w:val="18"/>
              </w:rPr>
            </w:pPr>
            <w:r w:rsidRPr="000B68C8">
              <w:rPr>
                <w:rFonts w:cs="Times New Roman"/>
                <w:b/>
                <w:bCs/>
                <w:sz w:val="18"/>
                <w:szCs w:val="18"/>
              </w:rPr>
              <w:t>HUMAN CHARACTERISTICS</w:t>
            </w:r>
          </w:p>
        </w:tc>
      </w:tr>
      <w:tr w:rsidR="00BB0DCF" w:rsidRPr="000B68C8" w14:paraId="2B4AFE53" w14:textId="117DD4B1" w:rsidTr="002A70D3">
        <w:trPr>
          <w:jc w:val="center"/>
        </w:trPr>
        <w:tc>
          <w:tcPr>
            <w:tcW w:w="990" w:type="dxa"/>
            <w:tcBorders>
              <w:top w:val="single" w:sz="4" w:space="0" w:color="auto"/>
              <w:bottom w:val="single" w:sz="4" w:space="0" w:color="auto"/>
            </w:tcBorders>
            <w:vAlign w:val="center"/>
          </w:tcPr>
          <w:p w14:paraId="058F0F02" w14:textId="77777777" w:rsidR="00BB0DCF" w:rsidRPr="000B68C8" w:rsidRDefault="00BB0DCF" w:rsidP="00680F02">
            <w:pPr>
              <w:pStyle w:val="NoSpacing"/>
              <w:jc w:val="center"/>
              <w:rPr>
                <w:rFonts w:cs="Times New Roman"/>
                <w:b/>
                <w:bCs/>
                <w:sz w:val="18"/>
                <w:szCs w:val="18"/>
              </w:rPr>
            </w:pPr>
            <w:r w:rsidRPr="000B68C8">
              <w:rPr>
                <w:rFonts w:cs="Times New Roman"/>
                <w:b/>
                <w:bCs/>
                <w:sz w:val="18"/>
                <w:szCs w:val="18"/>
              </w:rPr>
              <w:t>Variable</w:t>
            </w:r>
          </w:p>
        </w:tc>
        <w:tc>
          <w:tcPr>
            <w:tcW w:w="1704" w:type="dxa"/>
            <w:tcBorders>
              <w:top w:val="single" w:sz="4" w:space="0" w:color="auto"/>
              <w:bottom w:val="single" w:sz="4" w:space="0" w:color="auto"/>
            </w:tcBorders>
            <w:vAlign w:val="center"/>
          </w:tcPr>
          <w:p w14:paraId="5C3F6C9B" w14:textId="77777777" w:rsidR="00BB0DCF" w:rsidRPr="000B68C8" w:rsidRDefault="00BB0DCF" w:rsidP="0001541E">
            <w:pPr>
              <w:pStyle w:val="NoSpacing"/>
              <w:jc w:val="center"/>
              <w:rPr>
                <w:rFonts w:cs="Times New Roman"/>
                <w:b/>
                <w:bCs/>
                <w:sz w:val="18"/>
                <w:szCs w:val="18"/>
              </w:rPr>
            </w:pPr>
            <w:r w:rsidRPr="000B68C8">
              <w:rPr>
                <w:rFonts w:cs="Times New Roman"/>
                <w:b/>
                <w:bCs/>
                <w:sz w:val="18"/>
                <w:szCs w:val="18"/>
              </w:rPr>
              <w:t>Definition</w:t>
            </w:r>
          </w:p>
        </w:tc>
        <w:tc>
          <w:tcPr>
            <w:tcW w:w="5239" w:type="dxa"/>
            <w:tcBorders>
              <w:top w:val="single" w:sz="4" w:space="0" w:color="auto"/>
              <w:bottom w:val="single" w:sz="4" w:space="0" w:color="auto"/>
            </w:tcBorders>
            <w:vAlign w:val="center"/>
          </w:tcPr>
          <w:p w14:paraId="08366EF2" w14:textId="77777777" w:rsidR="00BB0DCF" w:rsidRPr="000B68C8" w:rsidRDefault="00BB0DCF" w:rsidP="00B164BD">
            <w:pPr>
              <w:pStyle w:val="NoSpacing"/>
              <w:jc w:val="center"/>
              <w:rPr>
                <w:rFonts w:cs="Times New Roman"/>
                <w:b/>
                <w:bCs/>
                <w:sz w:val="18"/>
                <w:szCs w:val="18"/>
              </w:rPr>
            </w:pPr>
            <w:r w:rsidRPr="000B68C8">
              <w:rPr>
                <w:rFonts w:cs="Times New Roman"/>
                <w:b/>
                <w:bCs/>
                <w:sz w:val="18"/>
                <w:szCs w:val="18"/>
              </w:rPr>
              <w:t>Notes</w:t>
            </w:r>
          </w:p>
        </w:tc>
        <w:tc>
          <w:tcPr>
            <w:tcW w:w="1423" w:type="dxa"/>
            <w:tcBorders>
              <w:top w:val="single" w:sz="4" w:space="0" w:color="auto"/>
              <w:bottom w:val="single" w:sz="4" w:space="0" w:color="auto"/>
            </w:tcBorders>
            <w:vAlign w:val="center"/>
          </w:tcPr>
          <w:p w14:paraId="2355524F" w14:textId="0DFEB5BF" w:rsidR="00BB0DCF" w:rsidRPr="000B68C8" w:rsidRDefault="00822537">
            <w:pPr>
              <w:pStyle w:val="NoSpacing"/>
              <w:jc w:val="center"/>
              <w:rPr>
                <w:rFonts w:cs="Times New Roman"/>
                <w:b/>
                <w:bCs/>
                <w:sz w:val="18"/>
                <w:szCs w:val="18"/>
              </w:rPr>
            </w:pPr>
            <w:r w:rsidRPr="000B68C8">
              <w:rPr>
                <w:rFonts w:cs="Times New Roman"/>
                <w:b/>
                <w:bCs/>
                <w:sz w:val="18"/>
                <w:szCs w:val="18"/>
              </w:rPr>
              <w:t>Values</w:t>
            </w:r>
          </w:p>
        </w:tc>
      </w:tr>
      <w:tr w:rsidR="00BB0DCF" w:rsidRPr="000B68C8" w14:paraId="170C4ED2" w14:textId="1B436988" w:rsidTr="002A70D3">
        <w:trPr>
          <w:jc w:val="center"/>
        </w:trPr>
        <w:tc>
          <w:tcPr>
            <w:tcW w:w="990" w:type="dxa"/>
            <w:tcBorders>
              <w:top w:val="single" w:sz="4" w:space="0" w:color="auto"/>
              <w:bottom w:val="single" w:sz="4" w:space="0" w:color="auto"/>
            </w:tcBorders>
            <w:vAlign w:val="center"/>
          </w:tcPr>
          <w:p w14:paraId="36845A9A" w14:textId="241099E7" w:rsidR="00BB0DCF" w:rsidRPr="000B68C8" w:rsidRDefault="00BB0DCF" w:rsidP="002A70D3">
            <w:pPr>
              <w:pStyle w:val="NoSpacing"/>
              <w:jc w:val="center"/>
              <w:rPr>
                <w:rFonts w:cs="Times New Roman"/>
                <w:sz w:val="18"/>
                <w:szCs w:val="18"/>
              </w:rPr>
            </w:pPr>
            <w:r w:rsidRPr="000B68C8">
              <w:rPr>
                <w:rFonts w:cs="Times New Roman"/>
                <w:sz w:val="18"/>
                <w:szCs w:val="18"/>
              </w:rPr>
              <w:t xml:space="preserve">Number of </w:t>
            </w:r>
            <w:r w:rsidR="00D03434" w:rsidRPr="000B68C8">
              <w:rPr>
                <w:rFonts w:cs="Times New Roman"/>
                <w:sz w:val="18"/>
                <w:szCs w:val="18"/>
              </w:rPr>
              <w:t>fatalities</w:t>
            </w:r>
          </w:p>
        </w:tc>
        <w:tc>
          <w:tcPr>
            <w:tcW w:w="1704" w:type="dxa"/>
            <w:tcBorders>
              <w:top w:val="single" w:sz="4" w:space="0" w:color="auto"/>
              <w:bottom w:val="single" w:sz="4" w:space="0" w:color="auto"/>
            </w:tcBorders>
            <w:vAlign w:val="center"/>
          </w:tcPr>
          <w:p w14:paraId="0E94A57B" w14:textId="77777777" w:rsidR="00BB0DCF" w:rsidRPr="000B68C8" w:rsidRDefault="00BB0DCF" w:rsidP="006362F9">
            <w:pPr>
              <w:pStyle w:val="NoSpacing"/>
              <w:jc w:val="both"/>
              <w:rPr>
                <w:rFonts w:cs="Times New Roman"/>
                <w:color w:val="000000"/>
                <w:sz w:val="18"/>
                <w:szCs w:val="18"/>
              </w:rPr>
            </w:pPr>
            <w:r w:rsidRPr="000B68C8">
              <w:rPr>
                <w:rFonts w:cs="Times New Roman"/>
                <w:sz w:val="18"/>
                <w:szCs w:val="18"/>
              </w:rPr>
              <w:t xml:space="preserve">The number of </w:t>
            </w:r>
            <w:r w:rsidRPr="000B68C8">
              <w:rPr>
                <w:rFonts w:cs="Times New Roman"/>
                <w:color w:val="000000"/>
                <w:sz w:val="18"/>
                <w:szCs w:val="18"/>
              </w:rPr>
              <w:t>person(s) who died as a result of injuries sustained during a fire incident.</w:t>
            </w:r>
          </w:p>
        </w:tc>
        <w:tc>
          <w:tcPr>
            <w:tcW w:w="5239" w:type="dxa"/>
            <w:tcBorders>
              <w:top w:val="single" w:sz="4" w:space="0" w:color="auto"/>
              <w:bottom w:val="single" w:sz="4" w:space="0" w:color="auto"/>
            </w:tcBorders>
            <w:vAlign w:val="center"/>
          </w:tcPr>
          <w:p w14:paraId="564C60EC" w14:textId="77777777" w:rsidR="00C105D1" w:rsidRPr="000B68C8" w:rsidRDefault="00C105D1" w:rsidP="006362F9">
            <w:pPr>
              <w:spacing w:before="0" w:after="0"/>
              <w:rPr>
                <w:rFonts w:cs="Arial"/>
                <w:color w:val="000000"/>
                <w:sz w:val="18"/>
                <w:szCs w:val="18"/>
                <w:lang w:val="en-US"/>
              </w:rPr>
            </w:pPr>
            <w:r w:rsidRPr="000B68C8">
              <w:rPr>
                <w:rFonts w:cs="Arial"/>
                <w:color w:val="000000"/>
                <w:sz w:val="18"/>
                <w:szCs w:val="18"/>
                <w:lang w:val="en-US"/>
              </w:rPr>
              <w:t>Note 1: Fire-related fatalities are those that would not have occurred had there not been a fire.</w:t>
            </w:r>
          </w:p>
          <w:p w14:paraId="4B2F1EFE" w14:textId="77777777" w:rsidR="00C105D1" w:rsidRPr="000B68C8" w:rsidRDefault="00C105D1" w:rsidP="006362F9">
            <w:pPr>
              <w:spacing w:before="0" w:after="0"/>
              <w:rPr>
                <w:rFonts w:cs="Arial"/>
                <w:color w:val="000000"/>
                <w:sz w:val="18"/>
                <w:szCs w:val="18"/>
                <w:lang w:val="en-US"/>
              </w:rPr>
            </w:pPr>
            <w:r w:rsidRPr="000B68C8">
              <w:rPr>
                <w:rFonts w:cs="Arial"/>
                <w:color w:val="000000"/>
                <w:sz w:val="18"/>
                <w:szCs w:val="18"/>
                <w:lang w:val="en-US"/>
              </w:rPr>
              <w:t>Note 2: Fire fatalities include people who die within 1 year because of injuries sustained from the incident. A shorter time period is accepted, but not shorter than three months. Fire fatalities also include fatality from natural or accidental causes sustained whilst involved in the activities of fire control, attempting rescue or escaping from the dangers of the fire, including blast and defenestration.</w:t>
            </w:r>
          </w:p>
          <w:p w14:paraId="69C4C745" w14:textId="77777777" w:rsidR="00C105D1" w:rsidRPr="000B68C8" w:rsidRDefault="00C105D1" w:rsidP="006362F9">
            <w:pPr>
              <w:spacing w:before="0" w:after="0"/>
              <w:rPr>
                <w:rFonts w:cs="Arial"/>
                <w:color w:val="000000"/>
                <w:sz w:val="18"/>
                <w:szCs w:val="18"/>
                <w:lang w:val="en-US"/>
              </w:rPr>
            </w:pPr>
            <w:r w:rsidRPr="000B68C8">
              <w:rPr>
                <w:rFonts w:cs="Arial"/>
                <w:color w:val="000000"/>
                <w:sz w:val="18"/>
                <w:szCs w:val="18"/>
                <w:lang w:val="en-US"/>
              </w:rPr>
              <w:t>Note 3: Fire fatalities are composed of all persons discovered or declared dead on the location of the fire, during their transportation to the hospital or after their admission at the hospital.</w:t>
            </w:r>
          </w:p>
          <w:p w14:paraId="3D1D8978" w14:textId="77777777" w:rsidR="00C105D1" w:rsidRPr="000B68C8" w:rsidRDefault="00C105D1" w:rsidP="006362F9">
            <w:pPr>
              <w:spacing w:before="0" w:after="0"/>
              <w:rPr>
                <w:rFonts w:cs="Arial"/>
                <w:color w:val="000000"/>
                <w:sz w:val="18"/>
                <w:szCs w:val="18"/>
                <w:lang w:val="en-US"/>
              </w:rPr>
            </w:pPr>
            <w:r w:rsidRPr="000B68C8">
              <w:rPr>
                <w:rFonts w:cs="Arial"/>
                <w:color w:val="000000"/>
                <w:sz w:val="18"/>
                <w:szCs w:val="18"/>
                <w:lang w:val="en-US"/>
              </w:rPr>
              <w:t>Note 4: The number of the variable should include self-intended fires / suicidal fires but they should be marked as such</w:t>
            </w:r>
          </w:p>
          <w:p w14:paraId="128BC4DF" w14:textId="1E21CEDB" w:rsidR="00BB0DCF" w:rsidRPr="000B68C8" w:rsidRDefault="00C105D1" w:rsidP="00B164BD">
            <w:pPr>
              <w:pStyle w:val="NoSpacing"/>
              <w:rPr>
                <w:rFonts w:cs="Times New Roman"/>
                <w:sz w:val="18"/>
                <w:szCs w:val="18"/>
              </w:rPr>
            </w:pPr>
            <w:r w:rsidRPr="000B68C8">
              <w:rPr>
                <w:rFonts w:cs="Arial"/>
                <w:color w:val="000000"/>
                <w:sz w:val="18"/>
                <w:szCs w:val="18"/>
              </w:rPr>
              <w:t>Note 5: People who died before a fire started (natural death, victims of a violent crime) are to be excluded from the statistics as soon as a forensic medical report is available.</w:t>
            </w:r>
          </w:p>
        </w:tc>
        <w:tc>
          <w:tcPr>
            <w:tcW w:w="1423" w:type="dxa"/>
            <w:tcBorders>
              <w:top w:val="single" w:sz="4" w:space="0" w:color="auto"/>
              <w:bottom w:val="single" w:sz="4" w:space="0" w:color="auto"/>
            </w:tcBorders>
            <w:vAlign w:val="center"/>
          </w:tcPr>
          <w:p w14:paraId="04344F2A" w14:textId="2CF6734E" w:rsidR="00BB0DCF" w:rsidRPr="000B68C8" w:rsidRDefault="00BB0DCF" w:rsidP="002A70D3">
            <w:pPr>
              <w:pStyle w:val="NoSpacing"/>
              <w:jc w:val="center"/>
              <w:rPr>
                <w:rFonts w:cs="Times New Roman"/>
                <w:color w:val="000000"/>
                <w:sz w:val="18"/>
                <w:szCs w:val="18"/>
              </w:rPr>
            </w:pPr>
            <w:r w:rsidRPr="000B68C8">
              <w:rPr>
                <w:rFonts w:cs="Times New Roman"/>
                <w:sz w:val="18"/>
                <w:szCs w:val="18"/>
              </w:rPr>
              <w:t>Numerical value</w:t>
            </w:r>
            <w:r w:rsidR="00CF54FA" w:rsidRPr="000B68C8">
              <w:rPr>
                <w:rFonts w:cs="Times New Roman"/>
                <w:sz w:val="18"/>
                <w:szCs w:val="18"/>
              </w:rPr>
              <w:t>*</w:t>
            </w:r>
          </w:p>
        </w:tc>
      </w:tr>
      <w:tr w:rsidR="00BB0DCF" w:rsidRPr="000B68C8" w14:paraId="3A883787" w14:textId="65CDC00B" w:rsidTr="002A70D3">
        <w:trPr>
          <w:jc w:val="center"/>
        </w:trPr>
        <w:tc>
          <w:tcPr>
            <w:tcW w:w="990" w:type="dxa"/>
            <w:tcBorders>
              <w:top w:val="single" w:sz="4" w:space="0" w:color="auto"/>
              <w:bottom w:val="single" w:sz="4" w:space="0" w:color="auto"/>
            </w:tcBorders>
            <w:vAlign w:val="center"/>
          </w:tcPr>
          <w:p w14:paraId="4E3888EB" w14:textId="77777777" w:rsidR="00BB0DCF" w:rsidRPr="000B68C8" w:rsidRDefault="00BB0DCF" w:rsidP="002A70D3">
            <w:pPr>
              <w:pStyle w:val="NoSpacing"/>
              <w:jc w:val="center"/>
              <w:rPr>
                <w:rFonts w:cs="Times New Roman"/>
                <w:sz w:val="18"/>
                <w:szCs w:val="18"/>
              </w:rPr>
            </w:pPr>
            <w:r w:rsidRPr="000B68C8">
              <w:rPr>
                <w:rFonts w:cs="Times New Roman"/>
                <w:sz w:val="18"/>
                <w:szCs w:val="18"/>
              </w:rPr>
              <w:t>Number of injuries</w:t>
            </w:r>
          </w:p>
        </w:tc>
        <w:tc>
          <w:tcPr>
            <w:tcW w:w="1704" w:type="dxa"/>
            <w:tcBorders>
              <w:top w:val="single" w:sz="4" w:space="0" w:color="auto"/>
              <w:bottom w:val="single" w:sz="4" w:space="0" w:color="auto"/>
            </w:tcBorders>
            <w:vAlign w:val="center"/>
          </w:tcPr>
          <w:p w14:paraId="69E99186" w14:textId="51311D2A" w:rsidR="00BB0DCF" w:rsidRPr="000B68C8" w:rsidRDefault="007A305F" w:rsidP="006362F9">
            <w:pPr>
              <w:pStyle w:val="Pa14"/>
              <w:spacing w:after="180" w:line="240" w:lineRule="auto"/>
              <w:rPr>
                <w:rFonts w:ascii="Times New Roman" w:hAnsi="Times New Roman"/>
                <w:color w:val="000000"/>
                <w:sz w:val="18"/>
                <w:szCs w:val="18"/>
                <w:lang w:val="en-US"/>
              </w:rPr>
            </w:pPr>
            <w:r w:rsidRPr="000B68C8">
              <w:rPr>
                <w:rFonts w:ascii="Times New Roman" w:hAnsi="Times New Roman"/>
                <w:color w:val="000000"/>
                <w:sz w:val="18"/>
                <w:szCs w:val="18"/>
                <w:lang w:val="en-US"/>
              </w:rPr>
              <w:t>T</w:t>
            </w:r>
            <w:r w:rsidR="00BB0DCF" w:rsidRPr="000B68C8">
              <w:rPr>
                <w:rFonts w:ascii="Times New Roman" w:hAnsi="Times New Roman"/>
                <w:color w:val="000000"/>
                <w:sz w:val="18"/>
                <w:szCs w:val="18"/>
                <w:lang w:val="en-US"/>
              </w:rPr>
              <w:t>he number of persons who are injured</w:t>
            </w:r>
            <w:r w:rsidR="00B56E8D" w:rsidRPr="000B68C8">
              <w:rPr>
                <w:rFonts w:ascii="Times New Roman" w:hAnsi="Times New Roman"/>
                <w:color w:val="000000"/>
                <w:sz w:val="18"/>
                <w:szCs w:val="18"/>
                <w:lang w:val="en-US"/>
              </w:rPr>
              <w:t xml:space="preserve"> </w:t>
            </w:r>
            <w:r w:rsidR="00ED4DCF" w:rsidRPr="000B68C8">
              <w:rPr>
                <w:rFonts w:ascii="Times New Roman" w:hAnsi="Times New Roman"/>
                <w:color w:val="000000"/>
                <w:sz w:val="18"/>
                <w:szCs w:val="18"/>
                <w:lang w:val="en-US"/>
              </w:rPr>
              <w:t>and</w:t>
            </w:r>
            <w:r w:rsidR="00B56E8D" w:rsidRPr="000B68C8">
              <w:rPr>
                <w:rFonts w:ascii="Times New Roman" w:hAnsi="Times New Roman"/>
                <w:color w:val="000000"/>
                <w:sz w:val="18"/>
                <w:szCs w:val="18"/>
                <w:lang w:val="en-US"/>
              </w:rPr>
              <w:t>/</w:t>
            </w:r>
            <w:r w:rsidR="00ED4DCF" w:rsidRPr="000B68C8">
              <w:rPr>
                <w:rFonts w:ascii="Times New Roman" w:hAnsi="Times New Roman"/>
                <w:color w:val="000000"/>
                <w:sz w:val="18"/>
                <w:szCs w:val="18"/>
                <w:lang w:val="en-US"/>
              </w:rPr>
              <w:t>or ill</w:t>
            </w:r>
            <w:r w:rsidR="00BB0DCF" w:rsidRPr="000B68C8">
              <w:rPr>
                <w:rFonts w:ascii="Times New Roman" w:hAnsi="Times New Roman"/>
                <w:color w:val="000000"/>
                <w:sz w:val="18"/>
                <w:szCs w:val="18"/>
                <w:lang w:val="en-US"/>
              </w:rPr>
              <w:t xml:space="preserve"> (but not accounted for as deaths) as a result of a fire incident.</w:t>
            </w:r>
          </w:p>
          <w:p w14:paraId="4080A449" w14:textId="77777777" w:rsidR="00BB0DCF" w:rsidRPr="000B68C8" w:rsidRDefault="00BB0DCF" w:rsidP="006362F9">
            <w:pPr>
              <w:pStyle w:val="NoSpacing"/>
              <w:jc w:val="both"/>
              <w:rPr>
                <w:rFonts w:eastAsia="Times New Roman" w:cs="Times New Roman"/>
                <w:color w:val="000000"/>
                <w:sz w:val="18"/>
                <w:szCs w:val="18"/>
                <w:lang w:eastAsia="fr-FR"/>
              </w:rPr>
            </w:pPr>
          </w:p>
        </w:tc>
        <w:tc>
          <w:tcPr>
            <w:tcW w:w="5239" w:type="dxa"/>
            <w:tcBorders>
              <w:top w:val="single" w:sz="4" w:space="0" w:color="auto"/>
              <w:bottom w:val="single" w:sz="4" w:space="0" w:color="auto"/>
            </w:tcBorders>
            <w:vAlign w:val="center"/>
          </w:tcPr>
          <w:p w14:paraId="3AA5FBF4" w14:textId="77777777" w:rsidR="00EE790F" w:rsidRPr="000B68C8" w:rsidRDefault="00EE790F" w:rsidP="006362F9">
            <w:pPr>
              <w:spacing w:before="0" w:after="0"/>
              <w:rPr>
                <w:rFonts w:cs="Arial"/>
                <w:color w:val="000000"/>
                <w:sz w:val="18"/>
                <w:szCs w:val="18"/>
                <w:lang w:val="en-US"/>
              </w:rPr>
            </w:pPr>
            <w:r w:rsidRPr="000B68C8">
              <w:rPr>
                <w:rFonts w:cs="Arial"/>
                <w:color w:val="000000"/>
                <w:sz w:val="18"/>
                <w:szCs w:val="18"/>
                <w:lang w:val="en-US"/>
              </w:rPr>
              <w:t>Note 1: Fire-related injuries are those that would not have occurred had there not been a fire.</w:t>
            </w:r>
          </w:p>
          <w:p w14:paraId="0CBF98E2" w14:textId="42C70284" w:rsidR="00EE790F" w:rsidRPr="000B68C8" w:rsidRDefault="00EE790F" w:rsidP="006362F9">
            <w:pPr>
              <w:spacing w:before="0" w:after="0"/>
              <w:rPr>
                <w:rFonts w:cs="Arial"/>
                <w:color w:val="000000"/>
                <w:sz w:val="18"/>
                <w:szCs w:val="18"/>
                <w:lang w:val="en-US"/>
              </w:rPr>
            </w:pPr>
            <w:r w:rsidRPr="000B68C8">
              <w:rPr>
                <w:rFonts w:cs="Arial"/>
                <w:color w:val="000000"/>
                <w:sz w:val="18"/>
                <w:szCs w:val="18"/>
                <w:lang w:val="en-US"/>
              </w:rPr>
              <w:t>Note 2: Fire injuries include people who are injured within 1 year. A shorter time period is accepted, but not shorter than three months.</w:t>
            </w:r>
          </w:p>
          <w:p w14:paraId="67B862C2" w14:textId="4387C16C" w:rsidR="00DB4715" w:rsidRPr="000B68C8" w:rsidRDefault="00DB4715" w:rsidP="006362F9">
            <w:pPr>
              <w:spacing w:before="0" w:after="0"/>
              <w:rPr>
                <w:rFonts w:cs="Arial"/>
                <w:color w:val="000000"/>
                <w:sz w:val="18"/>
                <w:szCs w:val="18"/>
                <w:lang w:val="en-US"/>
              </w:rPr>
            </w:pPr>
            <w:r w:rsidRPr="000B68C8">
              <w:rPr>
                <w:rFonts w:cs="Arial"/>
                <w:color w:val="000000"/>
                <w:sz w:val="18"/>
                <w:szCs w:val="18"/>
                <w:lang w:val="en-US"/>
              </w:rPr>
              <w:t xml:space="preserve">Note 3: Fire injuries are those </w:t>
            </w:r>
            <w:r w:rsidRPr="000B68C8">
              <w:rPr>
                <w:rFonts w:cs="Arial"/>
                <w:sz w:val="18"/>
                <w:szCs w:val="18"/>
              </w:rPr>
              <w:t>treated at the scene or taken to the hospital.</w:t>
            </w:r>
          </w:p>
          <w:p w14:paraId="7EAFD4EB" w14:textId="506B6322" w:rsidR="00BB0DCF" w:rsidRPr="000B68C8" w:rsidRDefault="00EE790F" w:rsidP="00DB4715">
            <w:pPr>
              <w:spacing w:before="0" w:after="0"/>
              <w:rPr>
                <w:rFonts w:cs="Arial"/>
                <w:color w:val="000000"/>
                <w:sz w:val="18"/>
                <w:szCs w:val="18"/>
                <w:lang w:val="en-US"/>
              </w:rPr>
            </w:pPr>
            <w:r w:rsidRPr="000B68C8">
              <w:rPr>
                <w:rFonts w:cs="Arial"/>
                <w:color w:val="000000"/>
                <w:sz w:val="18"/>
                <w:szCs w:val="18"/>
                <w:lang w:val="en-US"/>
              </w:rPr>
              <w:t>Note 4: Fire injuries also include injuries from natural or accidental causes sustained whilst involved in the activities of fire control, attempting rescue or escaping from the dangers of the fire, including blast and defenestration.</w:t>
            </w:r>
          </w:p>
        </w:tc>
        <w:tc>
          <w:tcPr>
            <w:tcW w:w="1423" w:type="dxa"/>
            <w:tcBorders>
              <w:top w:val="single" w:sz="4" w:space="0" w:color="auto"/>
              <w:bottom w:val="single" w:sz="4" w:space="0" w:color="auto"/>
            </w:tcBorders>
            <w:vAlign w:val="center"/>
          </w:tcPr>
          <w:p w14:paraId="214D5245" w14:textId="21807421" w:rsidR="00BB0DCF" w:rsidRPr="000B68C8" w:rsidRDefault="00822537" w:rsidP="002A70D3">
            <w:pPr>
              <w:pStyle w:val="NoSpacing"/>
              <w:jc w:val="center"/>
              <w:rPr>
                <w:rFonts w:cs="Times New Roman"/>
                <w:color w:val="000000"/>
                <w:sz w:val="18"/>
                <w:szCs w:val="18"/>
              </w:rPr>
            </w:pPr>
            <w:r w:rsidRPr="000B68C8">
              <w:rPr>
                <w:rFonts w:cs="Times New Roman"/>
                <w:sz w:val="18"/>
                <w:szCs w:val="18"/>
              </w:rPr>
              <w:t>Numerical value</w:t>
            </w:r>
            <w:r w:rsidR="00CF54FA" w:rsidRPr="000B68C8">
              <w:rPr>
                <w:rFonts w:cs="Times New Roman"/>
                <w:sz w:val="18"/>
                <w:szCs w:val="18"/>
              </w:rPr>
              <w:t>*</w:t>
            </w:r>
          </w:p>
        </w:tc>
      </w:tr>
      <w:tr w:rsidR="00BB0DCF" w:rsidRPr="000B68C8" w14:paraId="5AC3F90F" w14:textId="2E59E69A" w:rsidTr="006362F9">
        <w:trPr>
          <w:jc w:val="center"/>
        </w:trPr>
        <w:tc>
          <w:tcPr>
            <w:tcW w:w="990" w:type="dxa"/>
            <w:tcBorders>
              <w:top w:val="single" w:sz="4" w:space="0" w:color="auto"/>
              <w:bottom w:val="single" w:sz="4" w:space="0" w:color="auto"/>
            </w:tcBorders>
            <w:vAlign w:val="center"/>
          </w:tcPr>
          <w:p w14:paraId="16C70F23" w14:textId="306E501B" w:rsidR="00BB0DCF" w:rsidRPr="000B68C8" w:rsidRDefault="00BB0DCF" w:rsidP="002A70D3">
            <w:pPr>
              <w:pStyle w:val="NoSpacing"/>
              <w:jc w:val="center"/>
              <w:rPr>
                <w:rFonts w:cs="Times New Roman"/>
                <w:sz w:val="18"/>
                <w:szCs w:val="18"/>
              </w:rPr>
            </w:pPr>
            <w:r w:rsidRPr="000B68C8">
              <w:rPr>
                <w:rFonts w:cs="Times New Roman"/>
                <w:sz w:val="18"/>
                <w:szCs w:val="18"/>
              </w:rPr>
              <w:t xml:space="preserve">Age of </w:t>
            </w:r>
            <w:r w:rsidR="00093EE3" w:rsidRPr="000B68C8">
              <w:rPr>
                <w:rFonts w:cs="Times New Roman"/>
                <w:sz w:val="18"/>
                <w:szCs w:val="18"/>
              </w:rPr>
              <w:t>fatalities</w:t>
            </w:r>
          </w:p>
        </w:tc>
        <w:tc>
          <w:tcPr>
            <w:tcW w:w="1704" w:type="dxa"/>
            <w:tcBorders>
              <w:top w:val="single" w:sz="4" w:space="0" w:color="auto"/>
              <w:bottom w:val="single" w:sz="4" w:space="0" w:color="auto"/>
            </w:tcBorders>
            <w:vAlign w:val="center"/>
          </w:tcPr>
          <w:p w14:paraId="6D9C6410" w14:textId="1303E2D8" w:rsidR="00BB0DCF" w:rsidRPr="000B68C8" w:rsidRDefault="00BB0DCF" w:rsidP="006362F9">
            <w:pPr>
              <w:pStyle w:val="NoSpacing"/>
              <w:jc w:val="both"/>
              <w:rPr>
                <w:rFonts w:cs="Times New Roman"/>
                <w:sz w:val="18"/>
                <w:szCs w:val="18"/>
              </w:rPr>
            </w:pPr>
            <w:r w:rsidRPr="000B68C8">
              <w:rPr>
                <w:rFonts w:cs="Times New Roman"/>
                <w:sz w:val="18"/>
                <w:szCs w:val="18"/>
              </w:rPr>
              <w:t xml:space="preserve">Numerical value of age of </w:t>
            </w:r>
            <w:r w:rsidR="008430EE" w:rsidRPr="000B68C8">
              <w:rPr>
                <w:rFonts w:cs="Times New Roman"/>
                <w:sz w:val="18"/>
                <w:szCs w:val="18"/>
              </w:rPr>
              <w:t xml:space="preserve">fatality </w:t>
            </w:r>
            <w:r w:rsidRPr="000B68C8">
              <w:rPr>
                <w:rFonts w:cs="Times New Roman"/>
                <w:sz w:val="18"/>
                <w:szCs w:val="18"/>
              </w:rPr>
              <w:t>at time of the fire.</w:t>
            </w:r>
          </w:p>
        </w:tc>
        <w:tc>
          <w:tcPr>
            <w:tcW w:w="5239" w:type="dxa"/>
            <w:tcBorders>
              <w:top w:val="single" w:sz="4" w:space="0" w:color="auto"/>
              <w:bottom w:val="single" w:sz="4" w:space="0" w:color="auto"/>
            </w:tcBorders>
            <w:vAlign w:val="center"/>
          </w:tcPr>
          <w:p w14:paraId="23B7BC6A" w14:textId="77777777" w:rsidR="00BB0DCF" w:rsidRPr="000B68C8" w:rsidRDefault="00BB0DCF" w:rsidP="006362F9">
            <w:pPr>
              <w:pStyle w:val="NoSpacing"/>
              <w:jc w:val="both"/>
              <w:rPr>
                <w:rFonts w:cs="Times New Roman"/>
                <w:sz w:val="18"/>
                <w:szCs w:val="18"/>
              </w:rPr>
            </w:pPr>
            <w:r w:rsidRPr="000B68C8">
              <w:rPr>
                <w:rFonts w:cs="Times New Roman"/>
                <w:sz w:val="18"/>
                <w:szCs w:val="18"/>
              </w:rPr>
              <w:t>If actual age is not known, it should be estimated with the closest possible estimate.  Particular care should be used in estimating the age for young adults aged 15 – 25 and older adults aged 60 – 70 as the threshold between youth and adult is often set at 18 years and between adult and senior at 65 years. For children less than 12 months old the age should be estimated to be one year.</w:t>
            </w:r>
          </w:p>
        </w:tc>
        <w:tc>
          <w:tcPr>
            <w:tcW w:w="1423" w:type="dxa"/>
            <w:tcBorders>
              <w:top w:val="single" w:sz="4" w:space="0" w:color="auto"/>
              <w:bottom w:val="single" w:sz="4" w:space="0" w:color="auto"/>
            </w:tcBorders>
            <w:vAlign w:val="center"/>
          </w:tcPr>
          <w:p w14:paraId="49F06B00" w14:textId="2FBE6F01" w:rsidR="00BB0DCF" w:rsidRPr="000B68C8" w:rsidRDefault="00822537" w:rsidP="002A70D3">
            <w:pPr>
              <w:pStyle w:val="NoSpacing"/>
              <w:jc w:val="center"/>
              <w:rPr>
                <w:rFonts w:cs="Times New Roman"/>
                <w:sz w:val="18"/>
                <w:szCs w:val="18"/>
              </w:rPr>
            </w:pPr>
            <w:r w:rsidRPr="000B68C8">
              <w:rPr>
                <w:rFonts w:cs="Times New Roman"/>
                <w:sz w:val="18"/>
                <w:szCs w:val="18"/>
              </w:rPr>
              <w:t>Numerical value</w:t>
            </w:r>
            <w:r w:rsidR="00CF54FA" w:rsidRPr="000B68C8">
              <w:rPr>
                <w:rFonts w:cs="Times New Roman"/>
                <w:sz w:val="18"/>
                <w:szCs w:val="18"/>
              </w:rPr>
              <w:t>*</w:t>
            </w:r>
          </w:p>
        </w:tc>
      </w:tr>
      <w:tr w:rsidR="00CF54FA" w:rsidRPr="000B68C8" w14:paraId="27368B18" w14:textId="77777777" w:rsidTr="0029297C">
        <w:trPr>
          <w:jc w:val="center"/>
        </w:trPr>
        <w:tc>
          <w:tcPr>
            <w:tcW w:w="9356" w:type="dxa"/>
            <w:gridSpan w:val="4"/>
            <w:tcBorders>
              <w:top w:val="single" w:sz="4" w:space="0" w:color="auto"/>
            </w:tcBorders>
            <w:vAlign w:val="center"/>
          </w:tcPr>
          <w:p w14:paraId="7264FC78" w14:textId="29BEA22F" w:rsidR="00CF54FA" w:rsidRPr="000B68C8" w:rsidRDefault="00CF54FA" w:rsidP="006362F9">
            <w:pPr>
              <w:pStyle w:val="NoSpacing"/>
              <w:rPr>
                <w:rFonts w:cs="Times New Roman"/>
                <w:sz w:val="18"/>
                <w:szCs w:val="18"/>
              </w:rPr>
            </w:pPr>
            <w:r w:rsidRPr="000B68C8">
              <w:rPr>
                <w:rFonts w:cs="Times New Roman"/>
                <w:sz w:val="18"/>
                <w:szCs w:val="18"/>
              </w:rPr>
              <w:t>*To be approximated when unknown.</w:t>
            </w:r>
          </w:p>
        </w:tc>
      </w:tr>
    </w:tbl>
    <w:p w14:paraId="6C011F4B" w14:textId="358AB06E" w:rsidR="00DF386B" w:rsidRPr="000B68C8" w:rsidRDefault="00703303" w:rsidP="00342407">
      <w:pPr>
        <w:rPr>
          <w:lang w:val="en-US"/>
        </w:rPr>
      </w:pPr>
      <w:r w:rsidRPr="000B68C8">
        <w:fldChar w:fldCharType="begin"/>
      </w:r>
      <w:r w:rsidRPr="000B68C8">
        <w:instrText xml:space="preserve"> REF _Ref88849323 \h </w:instrText>
      </w:r>
      <w:r w:rsidR="000B68C8">
        <w:instrText xml:space="preserve"> \* MERGEFORMAT </w:instrText>
      </w:r>
      <w:r w:rsidRPr="000B68C8">
        <w:fldChar w:fldCharType="separate"/>
      </w:r>
      <w:r w:rsidR="00527272" w:rsidRPr="000B68C8">
        <w:t xml:space="preserve">Table </w:t>
      </w:r>
      <w:r w:rsidR="00527272" w:rsidRPr="000B68C8">
        <w:rPr>
          <w:noProof/>
        </w:rPr>
        <w:t>7</w:t>
      </w:r>
      <w:r w:rsidRPr="000B68C8">
        <w:fldChar w:fldCharType="end"/>
      </w:r>
      <w:r w:rsidR="007B6E69" w:rsidRPr="000B68C8">
        <w:t xml:space="preserve"> present</w:t>
      </w:r>
      <w:r w:rsidR="00F50091" w:rsidRPr="000B68C8">
        <w:t>s</w:t>
      </w:r>
      <w:r w:rsidR="007B6E69" w:rsidRPr="000B68C8">
        <w:t xml:space="preserve"> the definitions, notes and values for variables</w:t>
      </w:r>
      <w:r w:rsidR="00BB2211" w:rsidRPr="000B68C8">
        <w:t xml:space="preserve"> </w:t>
      </w:r>
      <w:r w:rsidR="00F50091" w:rsidRPr="000B68C8">
        <w:t>relat</w:t>
      </w:r>
      <w:r w:rsidR="000A41C9" w:rsidRPr="000B68C8">
        <w:t>ed</w:t>
      </w:r>
      <w:r w:rsidR="00F50091" w:rsidRPr="000B68C8">
        <w:t xml:space="preserve"> to</w:t>
      </w:r>
      <w:r w:rsidR="00BB2211" w:rsidRPr="000B68C8">
        <w:t xml:space="preserve"> building characteristics</w:t>
      </w:r>
      <w:r w:rsidR="007B6E69" w:rsidRPr="000B68C8">
        <w:t>.</w:t>
      </w:r>
      <w:r w:rsidR="0034498A" w:rsidRPr="000B68C8">
        <w:t xml:space="preserve"> </w:t>
      </w:r>
      <w:r w:rsidR="007B6E69" w:rsidRPr="000B68C8">
        <w:rPr>
          <w:lang w:val="en-US"/>
        </w:rPr>
        <w:t xml:space="preserve">While </w:t>
      </w:r>
      <w:r w:rsidR="00F50091" w:rsidRPr="000B68C8">
        <w:rPr>
          <w:lang w:val="en-US"/>
        </w:rPr>
        <w:t xml:space="preserve">information about </w:t>
      </w:r>
      <w:r w:rsidR="007B6E69" w:rsidRPr="000B68C8">
        <w:rPr>
          <w:lang w:val="en-US"/>
        </w:rPr>
        <w:t xml:space="preserve">the </w:t>
      </w:r>
      <w:r w:rsidR="007B6E69" w:rsidRPr="000B68C8">
        <w:rPr>
          <w:i/>
          <w:iCs/>
          <w:lang w:val="en-US"/>
        </w:rPr>
        <w:t>type of building</w:t>
      </w:r>
      <w:r w:rsidR="007B6E69" w:rsidRPr="000B68C8">
        <w:rPr>
          <w:lang w:val="en-US"/>
        </w:rPr>
        <w:t xml:space="preserve"> is already collected in at least 1</w:t>
      </w:r>
      <w:r w:rsidR="00F76A47" w:rsidRPr="000B68C8">
        <w:rPr>
          <w:lang w:val="en-US"/>
        </w:rPr>
        <w:t>8</w:t>
      </w:r>
      <w:r w:rsidR="007B6E69" w:rsidRPr="000B68C8">
        <w:rPr>
          <w:lang w:val="en-US"/>
        </w:rPr>
        <w:t xml:space="preserve"> EU countries, the </w:t>
      </w:r>
      <w:r w:rsidR="007B6E69" w:rsidRPr="000B68C8">
        <w:rPr>
          <w:i/>
          <w:iCs/>
          <w:lang w:val="en-US"/>
        </w:rPr>
        <w:t>number of floors</w:t>
      </w:r>
      <w:r w:rsidR="007B6E69" w:rsidRPr="000B68C8">
        <w:rPr>
          <w:lang w:val="en-US"/>
        </w:rPr>
        <w:t xml:space="preserve"> is only </w:t>
      </w:r>
      <w:r w:rsidR="005B4A17" w:rsidRPr="000B68C8">
        <w:rPr>
          <w:lang w:val="en-US"/>
        </w:rPr>
        <w:t xml:space="preserve">recorded </w:t>
      </w:r>
      <w:r w:rsidR="007B6E69" w:rsidRPr="000B68C8">
        <w:rPr>
          <w:lang w:val="en-US"/>
        </w:rPr>
        <w:t xml:space="preserve">in at least </w:t>
      </w:r>
      <w:r w:rsidR="001F0203" w:rsidRPr="000B68C8">
        <w:rPr>
          <w:lang w:val="en-US"/>
        </w:rPr>
        <w:t xml:space="preserve">eight </w:t>
      </w:r>
      <w:r w:rsidR="007B6E69" w:rsidRPr="000B68C8">
        <w:rPr>
          <w:lang w:val="en-US"/>
        </w:rPr>
        <w:t>EU countries and f</w:t>
      </w:r>
      <w:r w:rsidR="007B6E69" w:rsidRPr="000B68C8">
        <w:rPr>
          <w:rFonts w:eastAsiaTheme="minorEastAsia" w:cs="Times New Roman"/>
          <w:lang w:val="en-US"/>
        </w:rPr>
        <w:t>ire safety measures</w:t>
      </w:r>
      <w:r w:rsidR="00BB2211" w:rsidRPr="000B68C8">
        <w:rPr>
          <w:rFonts w:eastAsiaTheme="minorEastAsia" w:cs="Times New Roman"/>
          <w:lang w:val="en-US"/>
        </w:rPr>
        <w:t xml:space="preserve"> </w:t>
      </w:r>
      <w:r w:rsidR="00F50091" w:rsidRPr="000B68C8">
        <w:rPr>
          <w:rFonts w:eastAsiaTheme="minorEastAsia" w:cs="Times New Roman"/>
          <w:lang w:val="en-US"/>
        </w:rPr>
        <w:t xml:space="preserve">are </w:t>
      </w:r>
      <w:r w:rsidR="00BB2211" w:rsidRPr="000B68C8">
        <w:rPr>
          <w:rFonts w:eastAsiaTheme="minorEastAsia" w:cs="Times New Roman"/>
          <w:lang w:val="en-US"/>
        </w:rPr>
        <w:t>available</w:t>
      </w:r>
      <w:r w:rsidR="007B6E69" w:rsidRPr="000B68C8">
        <w:rPr>
          <w:rFonts w:eastAsiaTheme="minorEastAsia" w:cs="Times New Roman"/>
          <w:lang w:val="en-US"/>
        </w:rPr>
        <w:t xml:space="preserve"> in </w:t>
      </w:r>
      <w:r w:rsidR="007B6E69" w:rsidRPr="000B68C8">
        <w:rPr>
          <w:lang w:val="en-US"/>
        </w:rPr>
        <w:t xml:space="preserve">at least </w:t>
      </w:r>
      <w:r w:rsidR="00F76A47" w:rsidRPr="000B68C8">
        <w:rPr>
          <w:lang w:val="en-US"/>
        </w:rPr>
        <w:t>11</w:t>
      </w:r>
      <w:r w:rsidR="001F0203" w:rsidRPr="000B68C8">
        <w:rPr>
          <w:lang w:val="en-US"/>
        </w:rPr>
        <w:t xml:space="preserve"> </w:t>
      </w:r>
      <w:r w:rsidR="007B6E69" w:rsidRPr="000B68C8">
        <w:rPr>
          <w:lang w:val="en-US"/>
        </w:rPr>
        <w:t>EU countries</w:t>
      </w:r>
      <w:r w:rsidR="00F76A47" w:rsidRPr="000B68C8">
        <w:rPr>
          <w:lang w:val="en-US"/>
        </w:rPr>
        <w:t xml:space="preserve"> for smoke alarms and seven EU countries for automatic extinguishing systems</w:t>
      </w:r>
      <w:r w:rsidR="007B6E69" w:rsidRPr="000B68C8">
        <w:rPr>
          <w:lang w:val="en-US"/>
        </w:rPr>
        <w:t xml:space="preserve">. </w:t>
      </w:r>
      <w:r w:rsidR="007D4077" w:rsidRPr="000B68C8">
        <w:rPr>
          <w:lang w:val="en-US"/>
        </w:rPr>
        <w:t xml:space="preserve">In detail, the floor is defined as the distance from the pavement to the ceiling of one floor where the ground level is referred to </w:t>
      </w:r>
      <w:r w:rsidR="00FE2D35" w:rsidRPr="000B68C8">
        <w:rPr>
          <w:lang w:val="en-US"/>
        </w:rPr>
        <w:t xml:space="preserve">as </w:t>
      </w:r>
      <w:r w:rsidR="007D4077" w:rsidRPr="000B68C8">
        <w:rPr>
          <w:lang w:val="en-US"/>
        </w:rPr>
        <w:t xml:space="preserve">the level of the main entrance of the building. </w:t>
      </w:r>
      <w:r w:rsidR="00FE2D35" w:rsidRPr="000B68C8">
        <w:rPr>
          <w:lang w:val="en-US"/>
        </w:rPr>
        <w:t>T</w:t>
      </w:r>
      <w:r w:rsidR="007D4077" w:rsidRPr="000B68C8">
        <w:rPr>
          <w:lang w:val="en-US"/>
        </w:rPr>
        <w:t xml:space="preserve">he </w:t>
      </w:r>
      <w:r w:rsidR="007D4077" w:rsidRPr="000B68C8">
        <w:rPr>
          <w:i/>
          <w:iCs/>
          <w:lang w:val="en-US"/>
        </w:rPr>
        <w:t>presence of fire safety measures</w:t>
      </w:r>
      <w:r w:rsidR="007D4077" w:rsidRPr="000B68C8">
        <w:rPr>
          <w:lang w:val="en-US"/>
        </w:rPr>
        <w:t xml:space="preserve"> is referred to </w:t>
      </w:r>
      <w:r w:rsidR="00FE2D35" w:rsidRPr="000B68C8">
        <w:rPr>
          <w:lang w:val="en-US"/>
        </w:rPr>
        <w:t xml:space="preserve">as </w:t>
      </w:r>
      <w:r w:rsidR="007D4077" w:rsidRPr="000B68C8">
        <w:rPr>
          <w:lang w:val="en-US"/>
        </w:rPr>
        <w:t>detection, alarm, extinguishing system</w:t>
      </w:r>
      <w:r w:rsidR="00376A39" w:rsidRPr="000B68C8">
        <w:rPr>
          <w:lang w:val="en-US"/>
        </w:rPr>
        <w:t>, p</w:t>
      </w:r>
      <w:r w:rsidR="007D4077" w:rsidRPr="000B68C8">
        <w:rPr>
          <w:lang w:val="en-US"/>
        </w:rPr>
        <w:t>assive fire protection (</w:t>
      </w:r>
      <w:r w:rsidR="00376A39" w:rsidRPr="000B68C8">
        <w:rPr>
          <w:lang w:val="en-US"/>
        </w:rPr>
        <w:t>e.g. f</w:t>
      </w:r>
      <w:r w:rsidR="007D4077" w:rsidRPr="000B68C8">
        <w:rPr>
          <w:lang w:val="en-US"/>
        </w:rPr>
        <w:t>ire doors</w:t>
      </w:r>
      <w:r w:rsidR="00376A39" w:rsidRPr="000B68C8">
        <w:rPr>
          <w:lang w:val="en-US"/>
        </w:rPr>
        <w:t xml:space="preserve">, </w:t>
      </w:r>
      <w:r w:rsidR="007D4077" w:rsidRPr="000B68C8">
        <w:rPr>
          <w:lang w:val="en-US"/>
        </w:rPr>
        <w:t>other compartmentation means)</w:t>
      </w:r>
      <w:r w:rsidR="00376A39" w:rsidRPr="000B68C8">
        <w:rPr>
          <w:lang w:val="en-US"/>
        </w:rPr>
        <w:t>, and s</w:t>
      </w:r>
      <w:r w:rsidR="007D4077" w:rsidRPr="000B68C8">
        <w:rPr>
          <w:lang w:val="en-US"/>
        </w:rPr>
        <w:t>moke control systems</w:t>
      </w:r>
      <w:r w:rsidR="00376A39" w:rsidRPr="000B68C8">
        <w:rPr>
          <w:lang w:val="en-US"/>
        </w:rPr>
        <w:t>.</w:t>
      </w:r>
      <w:r w:rsidR="007D4077" w:rsidRPr="000B68C8">
        <w:rPr>
          <w:lang w:val="en-US"/>
        </w:rPr>
        <w:t xml:space="preserve"> </w:t>
      </w:r>
      <w:r w:rsidR="007F40E6" w:rsidRPr="000B68C8">
        <w:rPr>
          <w:i/>
          <w:lang w:val="en-US"/>
        </w:rPr>
        <w:t>Type of buildings</w:t>
      </w:r>
      <w:r w:rsidR="007F40E6" w:rsidRPr="000B68C8">
        <w:rPr>
          <w:lang w:val="en-US"/>
        </w:rPr>
        <w:t xml:space="preserve"> </w:t>
      </w:r>
      <w:r w:rsidR="00FE2D35" w:rsidRPr="000B68C8">
        <w:rPr>
          <w:lang w:val="en-US"/>
        </w:rPr>
        <w:t>is</w:t>
      </w:r>
      <w:r w:rsidR="007F40E6" w:rsidRPr="000B68C8">
        <w:rPr>
          <w:lang w:val="en-US"/>
        </w:rPr>
        <w:t xml:space="preserve"> classified according to Residential buildings, Non-residential buildings and </w:t>
      </w:r>
      <w:r w:rsidR="00597C2C" w:rsidRPr="000B68C8">
        <w:rPr>
          <w:lang w:val="en-US"/>
        </w:rPr>
        <w:t>m</w:t>
      </w:r>
      <w:r w:rsidR="007F40E6" w:rsidRPr="000B68C8">
        <w:rPr>
          <w:lang w:val="en-US"/>
        </w:rPr>
        <w:t xml:space="preserve">ixed-use buildings where the latter is referred to </w:t>
      </w:r>
      <w:r w:rsidR="0093024E" w:rsidRPr="000B68C8">
        <w:rPr>
          <w:lang w:val="en-US"/>
        </w:rPr>
        <w:t xml:space="preserve">as </w:t>
      </w:r>
      <w:r w:rsidR="00582053" w:rsidRPr="000B68C8">
        <w:rPr>
          <w:lang w:val="en-US"/>
        </w:rPr>
        <w:t>constructions which are used for both residential and non-residential purpose</w:t>
      </w:r>
      <w:r w:rsidR="00FE2D35" w:rsidRPr="000B68C8">
        <w:rPr>
          <w:lang w:val="en-US"/>
        </w:rPr>
        <w:t>s</w:t>
      </w:r>
      <w:r w:rsidR="000B38D8" w:rsidRPr="000B68C8">
        <w:rPr>
          <w:lang w:val="en-US"/>
        </w:rPr>
        <w:t xml:space="preserve"> based on the main apparent use, with the addition of the flag “m” following their initial classification. The “m” flag is adopted to attribute a primary use (residential/non</w:t>
      </w:r>
      <w:r w:rsidR="00AD1817" w:rsidRPr="000B68C8">
        <w:rPr>
          <w:lang w:val="en-US"/>
        </w:rPr>
        <w:t>-</w:t>
      </w:r>
      <w:r w:rsidR="000B38D8" w:rsidRPr="000B68C8">
        <w:rPr>
          <w:lang w:val="en-US"/>
        </w:rPr>
        <w:t>residential types) and to create a third class of buildings for which there is apparent mixed use as perceived by compilers. Moreover, there is a specific class for building under construction</w:t>
      </w:r>
      <w:r w:rsidR="0093024E" w:rsidRPr="000B68C8">
        <w:rPr>
          <w:lang w:val="en-US"/>
        </w:rPr>
        <w:t>,</w:t>
      </w:r>
      <w:r w:rsidR="000B38D8" w:rsidRPr="000B68C8">
        <w:rPr>
          <w:lang w:val="en-US"/>
        </w:rPr>
        <w:t xml:space="preserve"> not including buildings under maintenance or renovations. </w:t>
      </w:r>
      <w:r w:rsidR="007D4077" w:rsidRPr="000B68C8">
        <w:rPr>
          <w:lang w:val="en-US"/>
        </w:rPr>
        <w:t>Due to the variety of classifications for building types in the available fire statistics, i</w:t>
      </w:r>
      <w:r w:rsidR="007B6E69" w:rsidRPr="000B68C8">
        <w:rPr>
          <w:lang w:val="en-US"/>
        </w:rPr>
        <w:t xml:space="preserve">t is expected that adding these data to the fire statistics will require a higher effort for </w:t>
      </w:r>
      <w:r w:rsidR="004179B4" w:rsidRPr="000B68C8">
        <w:rPr>
          <w:lang w:val="en-US"/>
        </w:rPr>
        <w:t>implementation.</w:t>
      </w:r>
    </w:p>
    <w:p w14:paraId="4D1146A3" w14:textId="77777777" w:rsidR="004179B4" w:rsidRPr="000B68C8" w:rsidRDefault="004179B4" w:rsidP="00342407">
      <w:pPr>
        <w:rPr>
          <w:lang w:val="en-US"/>
        </w:rPr>
      </w:pPr>
    </w:p>
    <w:p w14:paraId="1BAA5C59" w14:textId="77777777" w:rsidR="00DF386B" w:rsidRPr="000B68C8" w:rsidRDefault="00DF386B" w:rsidP="00342407">
      <w:pPr>
        <w:rPr>
          <w:lang w:val="en-US"/>
        </w:rPr>
      </w:pPr>
    </w:p>
    <w:p w14:paraId="27CB068F" w14:textId="569023A5" w:rsidR="008E7482" w:rsidRPr="000B68C8" w:rsidRDefault="007B6E69" w:rsidP="00342407">
      <w:pPr>
        <w:pStyle w:val="Caption"/>
      </w:pPr>
      <w:bookmarkStart w:id="49" w:name="_Ref88849323"/>
      <w:bookmarkEnd w:id="47"/>
      <w:r w:rsidRPr="000B68C8">
        <w:t xml:space="preserve">Table </w:t>
      </w:r>
      <w:fldSimple w:instr=" SEQ Table \* ARABIC ">
        <w:r w:rsidR="00527272" w:rsidRPr="000B68C8">
          <w:rPr>
            <w:noProof/>
          </w:rPr>
          <w:t>7</w:t>
        </w:r>
      </w:fldSimple>
      <w:bookmarkEnd w:id="49"/>
      <w:r w:rsidRPr="000B68C8">
        <w:t>: Proposed new definitions</w:t>
      </w:r>
      <w:r w:rsidR="00BB2211" w:rsidRPr="000B68C8">
        <w:t xml:space="preserve">, </w:t>
      </w:r>
      <w:r w:rsidRPr="000B68C8">
        <w:t xml:space="preserve">notes </w:t>
      </w:r>
      <w:r w:rsidR="00BB2211" w:rsidRPr="000B68C8">
        <w:t>and values of</w:t>
      </w:r>
      <w:r w:rsidRPr="000B68C8">
        <w:t xml:space="preserve"> building characteristics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06"/>
        <w:gridCol w:w="2834"/>
        <w:gridCol w:w="2587"/>
        <w:gridCol w:w="2399"/>
      </w:tblGrid>
      <w:tr w:rsidR="00C317A5" w:rsidRPr="000B68C8" w14:paraId="59D15760" w14:textId="377072CC" w:rsidTr="00C317A5">
        <w:trPr>
          <w:jc w:val="center"/>
        </w:trPr>
        <w:tc>
          <w:tcPr>
            <w:tcW w:w="5000" w:type="pct"/>
            <w:gridSpan w:val="4"/>
            <w:tcBorders>
              <w:top w:val="single" w:sz="4" w:space="0" w:color="auto"/>
              <w:bottom w:val="single" w:sz="4" w:space="0" w:color="auto"/>
            </w:tcBorders>
            <w:vAlign w:val="center"/>
          </w:tcPr>
          <w:p w14:paraId="6FF0CEAE" w14:textId="2877F69F" w:rsidR="00C317A5" w:rsidRPr="000B68C8" w:rsidRDefault="00C317A5" w:rsidP="00342407">
            <w:pPr>
              <w:pStyle w:val="NoSpacing"/>
              <w:jc w:val="center"/>
              <w:rPr>
                <w:rFonts w:cs="Times New Roman"/>
                <w:b/>
                <w:sz w:val="18"/>
                <w:szCs w:val="18"/>
              </w:rPr>
            </w:pPr>
            <w:r w:rsidRPr="000B68C8">
              <w:rPr>
                <w:rFonts w:cs="Times New Roman"/>
                <w:b/>
                <w:sz w:val="18"/>
                <w:szCs w:val="18"/>
              </w:rPr>
              <w:t>BUILDING CHARACTERISTICS</w:t>
            </w:r>
          </w:p>
        </w:tc>
      </w:tr>
      <w:tr w:rsidR="00C317A5" w:rsidRPr="000B68C8" w14:paraId="7C527E56" w14:textId="0435C97F" w:rsidTr="00A62170">
        <w:trPr>
          <w:jc w:val="center"/>
        </w:trPr>
        <w:tc>
          <w:tcPr>
            <w:tcW w:w="668" w:type="pct"/>
            <w:tcBorders>
              <w:top w:val="single" w:sz="4" w:space="0" w:color="auto"/>
              <w:left w:val="nil"/>
              <w:bottom w:val="single" w:sz="4" w:space="0" w:color="auto"/>
              <w:right w:val="nil"/>
            </w:tcBorders>
            <w:vAlign w:val="center"/>
          </w:tcPr>
          <w:p w14:paraId="287729B8" w14:textId="425A02A5" w:rsidR="00822537" w:rsidRPr="000B68C8" w:rsidRDefault="00822537" w:rsidP="002A70D3">
            <w:pPr>
              <w:pStyle w:val="NoSpacing"/>
              <w:jc w:val="center"/>
              <w:rPr>
                <w:rFonts w:cs="Times New Roman"/>
                <w:sz w:val="18"/>
                <w:szCs w:val="18"/>
              </w:rPr>
            </w:pPr>
            <w:r w:rsidRPr="000B68C8">
              <w:rPr>
                <w:rFonts w:cs="Times New Roman"/>
                <w:b/>
                <w:bCs/>
                <w:sz w:val="18"/>
                <w:szCs w:val="18"/>
              </w:rPr>
              <w:t>Variable</w:t>
            </w:r>
          </w:p>
        </w:tc>
        <w:tc>
          <w:tcPr>
            <w:tcW w:w="1570" w:type="pct"/>
            <w:tcBorders>
              <w:top w:val="single" w:sz="4" w:space="0" w:color="auto"/>
              <w:left w:val="nil"/>
              <w:bottom w:val="single" w:sz="4" w:space="0" w:color="auto"/>
              <w:right w:val="nil"/>
            </w:tcBorders>
            <w:vAlign w:val="center"/>
          </w:tcPr>
          <w:p w14:paraId="7E884E03" w14:textId="4C639760" w:rsidR="00822537" w:rsidRPr="000B68C8" w:rsidRDefault="00822537" w:rsidP="002A70D3">
            <w:pPr>
              <w:pStyle w:val="NoSpacing"/>
              <w:jc w:val="center"/>
              <w:rPr>
                <w:rFonts w:cs="Times New Roman"/>
                <w:sz w:val="18"/>
                <w:szCs w:val="18"/>
              </w:rPr>
            </w:pPr>
            <w:r w:rsidRPr="000B68C8">
              <w:rPr>
                <w:rFonts w:cs="Times New Roman"/>
                <w:b/>
                <w:bCs/>
                <w:sz w:val="18"/>
                <w:szCs w:val="18"/>
              </w:rPr>
              <w:t>Definition</w:t>
            </w:r>
          </w:p>
        </w:tc>
        <w:tc>
          <w:tcPr>
            <w:tcW w:w="1433" w:type="pct"/>
            <w:tcBorders>
              <w:top w:val="single" w:sz="4" w:space="0" w:color="auto"/>
              <w:left w:val="nil"/>
              <w:bottom w:val="single" w:sz="4" w:space="0" w:color="auto"/>
            </w:tcBorders>
            <w:vAlign w:val="center"/>
          </w:tcPr>
          <w:p w14:paraId="25263ECA" w14:textId="041B0420" w:rsidR="00822537" w:rsidRPr="000B68C8" w:rsidRDefault="00822537" w:rsidP="002A70D3">
            <w:pPr>
              <w:pStyle w:val="NoSpacing"/>
              <w:jc w:val="center"/>
              <w:rPr>
                <w:rFonts w:cs="Times New Roman"/>
                <w:sz w:val="18"/>
                <w:szCs w:val="18"/>
              </w:rPr>
            </w:pPr>
            <w:r w:rsidRPr="000B68C8">
              <w:rPr>
                <w:rFonts w:cs="Times New Roman"/>
                <w:b/>
                <w:bCs/>
                <w:sz w:val="18"/>
                <w:szCs w:val="18"/>
              </w:rPr>
              <w:t>Notes</w:t>
            </w:r>
          </w:p>
        </w:tc>
        <w:tc>
          <w:tcPr>
            <w:tcW w:w="1329" w:type="pct"/>
            <w:tcBorders>
              <w:top w:val="single" w:sz="4" w:space="0" w:color="auto"/>
              <w:left w:val="nil"/>
              <w:bottom w:val="single" w:sz="4" w:space="0" w:color="auto"/>
            </w:tcBorders>
            <w:vAlign w:val="center"/>
          </w:tcPr>
          <w:p w14:paraId="1E7FD05A" w14:textId="50A47995" w:rsidR="00822537" w:rsidRPr="000B68C8" w:rsidRDefault="00C317A5" w:rsidP="002A70D3">
            <w:pPr>
              <w:pStyle w:val="NoSpacing"/>
              <w:jc w:val="center"/>
              <w:rPr>
                <w:rFonts w:cs="Times New Roman"/>
                <w:b/>
                <w:bCs/>
                <w:sz w:val="18"/>
                <w:szCs w:val="18"/>
              </w:rPr>
            </w:pPr>
            <w:r w:rsidRPr="000B68C8">
              <w:rPr>
                <w:rFonts w:cs="Times New Roman"/>
                <w:b/>
                <w:bCs/>
                <w:sz w:val="18"/>
                <w:szCs w:val="18"/>
              </w:rPr>
              <w:t>Values</w:t>
            </w:r>
          </w:p>
        </w:tc>
      </w:tr>
      <w:tr w:rsidR="00C317A5" w:rsidRPr="000B68C8" w14:paraId="6C1A9436" w14:textId="2868BD8D" w:rsidTr="00A62170">
        <w:trPr>
          <w:jc w:val="center"/>
        </w:trPr>
        <w:tc>
          <w:tcPr>
            <w:tcW w:w="668" w:type="pct"/>
            <w:tcBorders>
              <w:top w:val="single" w:sz="4" w:space="0" w:color="auto"/>
              <w:bottom w:val="single" w:sz="4" w:space="0" w:color="auto"/>
            </w:tcBorders>
            <w:vAlign w:val="center"/>
          </w:tcPr>
          <w:p w14:paraId="4B500349" w14:textId="27710756" w:rsidR="00822537" w:rsidRPr="000B68C8" w:rsidRDefault="00822537" w:rsidP="006362F9">
            <w:pPr>
              <w:pStyle w:val="NoSpacing"/>
              <w:jc w:val="center"/>
              <w:rPr>
                <w:rFonts w:cs="Times New Roman"/>
                <w:sz w:val="18"/>
                <w:szCs w:val="18"/>
              </w:rPr>
            </w:pPr>
            <w:r w:rsidRPr="000B68C8">
              <w:rPr>
                <w:rFonts w:cs="Times New Roman"/>
                <w:sz w:val="18"/>
                <w:szCs w:val="18"/>
              </w:rPr>
              <w:t>Type of buildings</w:t>
            </w:r>
          </w:p>
        </w:tc>
        <w:tc>
          <w:tcPr>
            <w:tcW w:w="1570" w:type="pct"/>
            <w:tcBorders>
              <w:top w:val="single" w:sz="4" w:space="0" w:color="auto"/>
              <w:bottom w:val="single" w:sz="4" w:space="0" w:color="auto"/>
            </w:tcBorders>
          </w:tcPr>
          <w:p w14:paraId="03A9F0A9" w14:textId="1791CEC5" w:rsidR="00822537" w:rsidRPr="000B68C8" w:rsidRDefault="00822537" w:rsidP="006362F9">
            <w:pPr>
              <w:pStyle w:val="NoSpacing"/>
              <w:jc w:val="both"/>
              <w:rPr>
                <w:rFonts w:cs="Times New Roman"/>
                <w:sz w:val="18"/>
                <w:szCs w:val="18"/>
              </w:rPr>
            </w:pPr>
            <w:r w:rsidRPr="000B68C8">
              <w:rPr>
                <w:rFonts w:cs="Times New Roman"/>
                <w:i/>
                <w:iCs/>
                <w:sz w:val="18"/>
                <w:szCs w:val="18"/>
              </w:rPr>
              <w:t>Buildings</w:t>
            </w:r>
            <w:r w:rsidRPr="000B68C8">
              <w:rPr>
                <w:rFonts w:cs="Times New Roman"/>
                <w:sz w:val="18"/>
                <w:szCs w:val="18"/>
              </w:rPr>
              <w:t xml:space="preserve"> are roofed constructions which can be used separately, have been built for permanent (or semi-permanent) purposes, can be entered by persons and are suitable or intended for protecting persons, animals or objects. </w:t>
            </w:r>
          </w:p>
          <w:p w14:paraId="7F75785B" w14:textId="6F8A6548" w:rsidR="00822537" w:rsidRPr="000B68C8" w:rsidRDefault="00822537" w:rsidP="006362F9">
            <w:pPr>
              <w:pStyle w:val="NoSpacing"/>
              <w:jc w:val="both"/>
              <w:rPr>
                <w:rFonts w:cs="Times New Roman"/>
                <w:sz w:val="18"/>
                <w:szCs w:val="18"/>
              </w:rPr>
            </w:pPr>
            <w:r w:rsidRPr="000B68C8">
              <w:rPr>
                <w:rFonts w:cs="Times New Roman"/>
                <w:sz w:val="18"/>
                <w:szCs w:val="18"/>
              </w:rPr>
              <w:t>Buildings are subdivided into residential, non-residential and mixed-use buildings</w:t>
            </w:r>
            <w:r w:rsidRPr="000B68C8">
              <w:rPr>
                <w:rFonts w:cs="Times New Roman"/>
                <w:i/>
                <w:iCs/>
                <w:sz w:val="18"/>
                <w:szCs w:val="18"/>
              </w:rPr>
              <w:t>:</w:t>
            </w:r>
          </w:p>
          <w:p w14:paraId="79D12915" w14:textId="2629A238" w:rsidR="00822537" w:rsidRPr="000B68C8" w:rsidRDefault="00822537" w:rsidP="006362F9">
            <w:pPr>
              <w:pStyle w:val="NoSpacing"/>
              <w:jc w:val="both"/>
              <w:rPr>
                <w:rFonts w:cs="Times New Roman"/>
                <w:sz w:val="18"/>
                <w:szCs w:val="18"/>
              </w:rPr>
            </w:pPr>
            <w:r w:rsidRPr="000B68C8">
              <w:rPr>
                <w:rFonts w:cs="Times New Roman"/>
                <w:i/>
                <w:iCs/>
                <w:sz w:val="18"/>
                <w:szCs w:val="18"/>
              </w:rPr>
              <w:t>Residential buildings</w:t>
            </w:r>
            <w:r w:rsidRPr="000B68C8">
              <w:rPr>
                <w:rFonts w:cs="Times New Roman"/>
                <w:sz w:val="18"/>
                <w:szCs w:val="18"/>
              </w:rPr>
              <w:t xml:space="preserve"> are constructions that are exclusively used for residential purposes.</w:t>
            </w:r>
          </w:p>
          <w:p w14:paraId="682202A9" w14:textId="46F8C031" w:rsidR="00822537" w:rsidRPr="000B68C8" w:rsidRDefault="00822537" w:rsidP="006362F9">
            <w:pPr>
              <w:pStyle w:val="NoSpacing"/>
              <w:jc w:val="both"/>
              <w:rPr>
                <w:rFonts w:cs="Times New Roman"/>
                <w:sz w:val="18"/>
                <w:szCs w:val="18"/>
              </w:rPr>
            </w:pPr>
            <w:r w:rsidRPr="000B68C8">
              <w:rPr>
                <w:rFonts w:cs="Times New Roman"/>
                <w:i/>
                <w:iCs/>
                <w:sz w:val="18"/>
                <w:szCs w:val="18"/>
              </w:rPr>
              <w:t>Non-residential buildings</w:t>
            </w:r>
            <w:r w:rsidRPr="000B68C8">
              <w:rPr>
                <w:rFonts w:cs="Times New Roman"/>
                <w:sz w:val="18"/>
                <w:szCs w:val="18"/>
              </w:rPr>
              <w:t xml:space="preserve"> are constructions that are exclusively used for non-residential purposes.</w:t>
            </w:r>
          </w:p>
          <w:p w14:paraId="579AE39B" w14:textId="1D063E8E" w:rsidR="00822537" w:rsidRPr="000B68C8" w:rsidRDefault="00822537" w:rsidP="006362F9">
            <w:pPr>
              <w:pStyle w:val="NoSpacing"/>
              <w:jc w:val="both"/>
              <w:rPr>
                <w:rFonts w:cs="Times New Roman"/>
                <w:sz w:val="18"/>
                <w:szCs w:val="18"/>
              </w:rPr>
            </w:pPr>
            <w:r w:rsidRPr="000B68C8">
              <w:rPr>
                <w:rFonts w:cs="Times New Roman"/>
                <w:i/>
                <w:sz w:val="18"/>
                <w:szCs w:val="18"/>
              </w:rPr>
              <w:t>Mixed-use buildings</w:t>
            </w:r>
            <w:r w:rsidRPr="000B68C8">
              <w:rPr>
                <w:rFonts w:cs="Times New Roman"/>
                <w:sz w:val="18"/>
                <w:szCs w:val="18"/>
              </w:rPr>
              <w:t xml:space="preserve"> are constructions which are used for both residential and non-residential </w:t>
            </w:r>
            <w:r w:rsidR="00FE2D35" w:rsidRPr="000B68C8">
              <w:rPr>
                <w:rFonts w:cs="Times New Roman"/>
                <w:sz w:val="18"/>
                <w:szCs w:val="18"/>
              </w:rPr>
              <w:t>purposes</w:t>
            </w:r>
            <w:r w:rsidRPr="000B68C8">
              <w:rPr>
                <w:rFonts w:cs="Times New Roman"/>
                <w:sz w:val="18"/>
                <w:szCs w:val="18"/>
              </w:rPr>
              <w:t>.</w:t>
            </w:r>
          </w:p>
        </w:tc>
        <w:tc>
          <w:tcPr>
            <w:tcW w:w="1433" w:type="pct"/>
            <w:tcBorders>
              <w:top w:val="single" w:sz="4" w:space="0" w:color="auto"/>
              <w:bottom w:val="single" w:sz="4" w:space="0" w:color="auto"/>
            </w:tcBorders>
          </w:tcPr>
          <w:p w14:paraId="0377CED2" w14:textId="1D5536CD" w:rsidR="00822537" w:rsidRPr="000B68C8" w:rsidRDefault="00822537" w:rsidP="006362F9">
            <w:pPr>
              <w:pStyle w:val="NoSpacing"/>
              <w:jc w:val="both"/>
              <w:rPr>
                <w:rFonts w:cs="Times New Roman"/>
                <w:i/>
                <w:iCs/>
                <w:sz w:val="18"/>
                <w:szCs w:val="18"/>
              </w:rPr>
            </w:pPr>
            <w:r w:rsidRPr="000B68C8">
              <w:rPr>
                <w:rFonts w:cs="Times New Roman"/>
                <w:sz w:val="18"/>
                <w:szCs w:val="18"/>
              </w:rPr>
              <w:t>The definitions and classifications are extracted from the classification of types of constructions</w:t>
            </w:r>
            <w:r w:rsidR="0014193C" w:rsidRPr="000B68C8">
              <w:rPr>
                <w:rFonts w:cs="Times New Roman"/>
                <w:sz w:val="18"/>
                <w:szCs w:val="18"/>
              </w:rPr>
              <w:t xml:space="preserve"> </w:t>
            </w:r>
            <w:r w:rsidRPr="000B68C8">
              <w:rPr>
                <w:rFonts w:cs="Times New Roman"/>
                <w:sz w:val="18"/>
                <w:szCs w:val="18"/>
              </w:rPr>
              <w:fldChar w:fldCharType="begin" w:fldLock="1"/>
            </w:r>
            <w:r w:rsidR="000672DB" w:rsidRPr="000B68C8">
              <w:rPr>
                <w:rFonts w:cs="Times New Roman"/>
                <w:sz w:val="18"/>
                <w:szCs w:val="18"/>
              </w:rPr>
              <w:instrText>ADDIN CSL_CITATION {"citationItems":[{"id":"ITEM-1","itemData":{"URL":"https://ec.europa.eu/eurostat/ramon/nomenclatures/index.cfm?TargetUrl=LST_NOM_DTL_LINEAR&amp;StrNom=CC_1998&amp;StrLanguageCode=EN","accessed":{"date-parts":[["2023","2","25"]]},"author":[{"dropping-particle":"","family":"Eurostat","given":"","non-dropping-particle":"","parse-names":false,"suffix":""}],"id":"ITEM-1","issued":{"date-parts":[["1998"]]},"title":"RAMON – Reference and Management of Nomenclatures. Metadata - Classification of types of construction","type":"webpage"},"uris":["http://www.mendeley.com/documents/?uuid=c9a50c3a-e1be-4ea6-b879-34c035e97e47"]}],"mendeley":{"formattedCitation":"[34]","plainTextFormattedCitation":"[34]","previouslyFormattedCitation":"[34]"},"properties":{"noteIndex":0},"schema":"https://github.com/citation-style-language/schema/raw/master/csl-citation.json"}</w:instrText>
            </w:r>
            <w:r w:rsidRPr="000B68C8">
              <w:rPr>
                <w:rFonts w:cs="Times New Roman"/>
                <w:sz w:val="18"/>
                <w:szCs w:val="18"/>
              </w:rPr>
              <w:fldChar w:fldCharType="separate"/>
            </w:r>
            <w:r w:rsidR="00BC2D97" w:rsidRPr="000B68C8">
              <w:rPr>
                <w:rFonts w:cs="Times New Roman"/>
                <w:noProof/>
                <w:sz w:val="18"/>
                <w:szCs w:val="18"/>
              </w:rPr>
              <w:t>[34]</w:t>
            </w:r>
            <w:r w:rsidRPr="000B68C8">
              <w:rPr>
                <w:rFonts w:cs="Times New Roman"/>
                <w:sz w:val="18"/>
                <w:szCs w:val="18"/>
              </w:rPr>
              <w:fldChar w:fldCharType="end"/>
            </w:r>
            <w:r w:rsidRPr="000B68C8">
              <w:rPr>
                <w:rFonts w:cs="Times New Roman"/>
                <w:sz w:val="18"/>
                <w:szCs w:val="18"/>
              </w:rPr>
              <w:t xml:space="preserve"> and adapted to the scope of the current project. This classification system is used by Eurostat for European statistical purposes, such as providing indicators on the development of granted building permits</w:t>
            </w:r>
            <w:r w:rsidR="00092412" w:rsidRPr="000B68C8">
              <w:rPr>
                <w:rFonts w:cs="Times New Roman"/>
                <w:sz w:val="18"/>
                <w:szCs w:val="18"/>
              </w:rPr>
              <w:t xml:space="preserve"> </w:t>
            </w:r>
            <w:r w:rsidRPr="000B68C8">
              <w:rPr>
                <w:rFonts w:cs="Times New Roman"/>
                <w:sz w:val="18"/>
                <w:szCs w:val="18"/>
              </w:rPr>
              <w:fldChar w:fldCharType="begin" w:fldLock="1"/>
            </w:r>
            <w:r w:rsidR="00C70715" w:rsidRPr="000B68C8">
              <w:rPr>
                <w:rFonts w:cs="Times New Roman"/>
                <w:sz w:val="18"/>
                <w:szCs w:val="18"/>
              </w:rPr>
              <w:instrText>ADDIN CSL_CITATION {"citationItems":[{"id":"ITEM-1","itemData":{"URL":"https://ec.europa.eu/eurostat/statistics-explained/index.php?title=Building_permit_index_overview","accessed":{"date-parts":[["2023","2","25"]]},"author":[{"dropping-particle":"","family":"Eurostat","given":"","non-dropping-particle":"","parse-names":false,"suffix":""}],"id":"ITEM-1","issued":{"date-parts":[["0"]]},"title":"Statistics Explained – Construction permit index overview.","type":"webpage"},"uris":["http://www.mendeley.com/documents/?uuid=df6fb445-456d-4f17-9167-18ee1844bd0f"]}],"mendeley":{"formattedCitation":"[35]","plainTextFormattedCitation":"[35]","previouslyFormattedCitation":"[35]"},"properties":{"noteIndex":0},"schema":"https://github.com/citation-style-language/schema/raw/master/csl-citation.json"}</w:instrText>
            </w:r>
            <w:r w:rsidRPr="000B68C8">
              <w:rPr>
                <w:rFonts w:cs="Times New Roman"/>
                <w:sz w:val="18"/>
                <w:szCs w:val="18"/>
              </w:rPr>
              <w:fldChar w:fldCharType="separate"/>
            </w:r>
            <w:r w:rsidR="00BC2D97" w:rsidRPr="000B68C8">
              <w:rPr>
                <w:rFonts w:cs="Times New Roman"/>
                <w:noProof/>
                <w:sz w:val="18"/>
                <w:szCs w:val="18"/>
              </w:rPr>
              <w:t>[35]</w:t>
            </w:r>
            <w:r w:rsidRPr="000B68C8">
              <w:rPr>
                <w:rFonts w:cs="Times New Roman"/>
                <w:sz w:val="18"/>
                <w:szCs w:val="18"/>
              </w:rPr>
              <w:fldChar w:fldCharType="end"/>
            </w:r>
            <w:r w:rsidRPr="000B68C8">
              <w:rPr>
                <w:rFonts w:cs="Times New Roman"/>
                <w:sz w:val="18"/>
                <w:szCs w:val="18"/>
              </w:rPr>
              <w:t xml:space="preserve"> in the European Union (EU). The classification mainly differentiates the use of buildings, according to the main use (e.g., residential, non-residential and mixed-use) as well as their respective sub-divisions.</w:t>
            </w:r>
          </w:p>
        </w:tc>
        <w:tc>
          <w:tcPr>
            <w:tcW w:w="1329" w:type="pct"/>
            <w:tcBorders>
              <w:top w:val="single" w:sz="4" w:space="0" w:color="auto"/>
              <w:bottom w:val="single" w:sz="4" w:space="0" w:color="auto"/>
            </w:tcBorders>
          </w:tcPr>
          <w:p w14:paraId="1ADBACB5" w14:textId="77777777" w:rsidR="00822537" w:rsidRPr="000B68C8" w:rsidRDefault="00822537" w:rsidP="006362F9">
            <w:pPr>
              <w:pStyle w:val="NoSpacing"/>
              <w:jc w:val="both"/>
              <w:rPr>
                <w:rFonts w:cs="Times New Roman"/>
                <w:sz w:val="18"/>
                <w:szCs w:val="18"/>
                <w:u w:val="single"/>
              </w:rPr>
            </w:pPr>
            <w:r w:rsidRPr="000B68C8">
              <w:rPr>
                <w:rFonts w:cs="Times New Roman"/>
                <w:sz w:val="18"/>
                <w:szCs w:val="18"/>
                <w:u w:val="single"/>
              </w:rPr>
              <w:t>Buildings</w:t>
            </w:r>
          </w:p>
          <w:p w14:paraId="787D49FB" w14:textId="77777777" w:rsidR="00822537" w:rsidRPr="000B68C8" w:rsidRDefault="00822537" w:rsidP="006362F9">
            <w:pPr>
              <w:pStyle w:val="NoSpacing"/>
              <w:jc w:val="both"/>
              <w:rPr>
                <w:rFonts w:cs="Times New Roman"/>
                <w:sz w:val="18"/>
                <w:szCs w:val="18"/>
              </w:rPr>
            </w:pPr>
            <w:r w:rsidRPr="000B68C8">
              <w:rPr>
                <w:rFonts w:cs="Times New Roman"/>
                <w:i/>
                <w:iCs/>
                <w:sz w:val="18"/>
                <w:szCs w:val="18"/>
              </w:rPr>
              <w:t>Residential buildings</w:t>
            </w:r>
            <w:r w:rsidRPr="000B68C8">
              <w:rPr>
                <w:rFonts w:cs="Times New Roman"/>
                <w:sz w:val="18"/>
                <w:szCs w:val="18"/>
              </w:rPr>
              <w:t>: unknown, one-dwelling building, two-and more dwelling buildings, residences for communities</w:t>
            </w:r>
          </w:p>
          <w:p w14:paraId="62C6A817" w14:textId="6344CBE4" w:rsidR="00822537" w:rsidRPr="000B68C8" w:rsidRDefault="00822537" w:rsidP="006362F9">
            <w:pPr>
              <w:pStyle w:val="NoSpacing"/>
              <w:jc w:val="both"/>
              <w:rPr>
                <w:rFonts w:cs="Times New Roman"/>
                <w:sz w:val="18"/>
                <w:szCs w:val="18"/>
              </w:rPr>
            </w:pPr>
            <w:r w:rsidRPr="000B68C8">
              <w:rPr>
                <w:rFonts w:cs="Times New Roman"/>
                <w:i/>
                <w:iCs/>
                <w:sz w:val="18"/>
                <w:szCs w:val="18"/>
              </w:rPr>
              <w:t>Non-residential buildings</w:t>
            </w:r>
            <w:r w:rsidRPr="000B68C8">
              <w:rPr>
                <w:rFonts w:cs="Times New Roman"/>
                <w:sz w:val="18"/>
                <w:szCs w:val="18"/>
              </w:rPr>
              <w:t>: unknown, hotel and similar buildings, office buildings, wholesale and retail trade buildings, traffic and communication buildings, industrial buildings and warehouses, public entertainment, education, hospital or institutional care buildings, other non-residential buildings.</w:t>
            </w:r>
          </w:p>
          <w:p w14:paraId="553C8E2F" w14:textId="56DBB3E6" w:rsidR="001049FD" w:rsidRPr="000B68C8" w:rsidRDefault="001049FD" w:rsidP="006362F9">
            <w:pPr>
              <w:pStyle w:val="NoSpacing"/>
              <w:jc w:val="both"/>
              <w:rPr>
                <w:rFonts w:cs="Times New Roman"/>
                <w:sz w:val="18"/>
                <w:szCs w:val="18"/>
                <w:u w:val="single"/>
              </w:rPr>
            </w:pPr>
            <w:r w:rsidRPr="000B68C8">
              <w:rPr>
                <w:rFonts w:cs="Times New Roman"/>
                <w:sz w:val="18"/>
                <w:szCs w:val="18"/>
                <w:u w:val="single"/>
              </w:rPr>
              <w:t>Buildings under constructions</w:t>
            </w:r>
          </w:p>
        </w:tc>
      </w:tr>
      <w:tr w:rsidR="00C317A5" w:rsidRPr="000B68C8" w14:paraId="659A5ECE" w14:textId="0F277140" w:rsidTr="00A62170">
        <w:trPr>
          <w:jc w:val="center"/>
        </w:trPr>
        <w:tc>
          <w:tcPr>
            <w:tcW w:w="668" w:type="pct"/>
            <w:tcBorders>
              <w:top w:val="single" w:sz="4" w:space="0" w:color="auto"/>
              <w:bottom w:val="single" w:sz="4" w:space="0" w:color="auto"/>
            </w:tcBorders>
            <w:vAlign w:val="center"/>
          </w:tcPr>
          <w:p w14:paraId="36CE6BC0" w14:textId="06798482" w:rsidR="00822537" w:rsidRPr="000B68C8" w:rsidRDefault="00822537" w:rsidP="006362F9">
            <w:pPr>
              <w:pStyle w:val="NoSpacing"/>
              <w:jc w:val="center"/>
              <w:rPr>
                <w:rFonts w:cs="Times New Roman"/>
                <w:sz w:val="18"/>
                <w:szCs w:val="18"/>
              </w:rPr>
            </w:pPr>
            <w:r w:rsidRPr="000B68C8">
              <w:rPr>
                <w:rFonts w:cs="Times New Roman"/>
                <w:sz w:val="18"/>
                <w:szCs w:val="18"/>
              </w:rPr>
              <w:t>Number of floors</w:t>
            </w:r>
          </w:p>
        </w:tc>
        <w:tc>
          <w:tcPr>
            <w:tcW w:w="1570" w:type="pct"/>
            <w:tcBorders>
              <w:top w:val="single" w:sz="4" w:space="0" w:color="auto"/>
              <w:bottom w:val="single" w:sz="4" w:space="0" w:color="auto"/>
            </w:tcBorders>
          </w:tcPr>
          <w:p w14:paraId="05B71FA9" w14:textId="77777777" w:rsidR="00822537" w:rsidRPr="000B68C8" w:rsidRDefault="00822537" w:rsidP="006362F9">
            <w:pPr>
              <w:pStyle w:val="NoSpacing"/>
              <w:jc w:val="both"/>
              <w:rPr>
                <w:rFonts w:cs="Times New Roman"/>
                <w:sz w:val="18"/>
                <w:szCs w:val="18"/>
              </w:rPr>
            </w:pPr>
            <w:r w:rsidRPr="000B68C8">
              <w:rPr>
                <w:rFonts w:cs="Times New Roman"/>
                <w:sz w:val="18"/>
                <w:szCs w:val="18"/>
              </w:rPr>
              <w:t>The number of floors above is the numerical value to capture the number of floors above and including the ground level.</w:t>
            </w:r>
          </w:p>
          <w:p w14:paraId="28086869" w14:textId="23F98C31" w:rsidR="00822537" w:rsidRPr="000B68C8" w:rsidRDefault="00822537" w:rsidP="006362F9">
            <w:pPr>
              <w:pStyle w:val="NoSpacing"/>
              <w:jc w:val="both"/>
              <w:rPr>
                <w:rFonts w:cs="Times New Roman"/>
                <w:sz w:val="18"/>
                <w:szCs w:val="18"/>
              </w:rPr>
            </w:pPr>
            <w:r w:rsidRPr="000B68C8">
              <w:rPr>
                <w:rFonts w:cs="Times New Roman"/>
                <w:sz w:val="18"/>
                <w:szCs w:val="18"/>
              </w:rPr>
              <w:t>The number of floors below is the numerical value to capture the number of floors below and excluding the ground level.</w:t>
            </w:r>
          </w:p>
        </w:tc>
        <w:tc>
          <w:tcPr>
            <w:tcW w:w="1433" w:type="pct"/>
            <w:tcBorders>
              <w:top w:val="single" w:sz="4" w:space="0" w:color="auto"/>
              <w:bottom w:val="single" w:sz="4" w:space="0" w:color="auto"/>
            </w:tcBorders>
          </w:tcPr>
          <w:p w14:paraId="1567DBBD" w14:textId="542FFEC4" w:rsidR="00822537" w:rsidRPr="000B68C8" w:rsidRDefault="00822537" w:rsidP="006362F9">
            <w:pPr>
              <w:pStyle w:val="NoSpacing"/>
              <w:jc w:val="both"/>
              <w:rPr>
                <w:rFonts w:cs="Times New Roman"/>
                <w:sz w:val="18"/>
                <w:szCs w:val="18"/>
              </w:rPr>
            </w:pPr>
            <w:r w:rsidRPr="000B68C8">
              <w:rPr>
                <w:rFonts w:cs="Times New Roman"/>
                <w:sz w:val="18"/>
                <w:szCs w:val="18"/>
              </w:rPr>
              <w:t>The floor is defined as the</w:t>
            </w:r>
            <w:r w:rsidR="00F37C44" w:rsidRPr="000B68C8">
              <w:rPr>
                <w:rFonts w:cs="Times New Roman"/>
                <w:sz w:val="18"/>
                <w:szCs w:val="18"/>
              </w:rPr>
              <w:t xml:space="preserve"> </w:t>
            </w:r>
            <w:r w:rsidRPr="000B68C8">
              <w:rPr>
                <w:rFonts w:cs="Times New Roman"/>
                <w:sz w:val="18"/>
                <w:szCs w:val="18"/>
              </w:rPr>
              <w:t xml:space="preserve">distance </w:t>
            </w:r>
            <w:r w:rsidRPr="000B68C8">
              <w:rPr>
                <w:rFonts w:cs="Times New Roman"/>
                <w:color w:val="202124"/>
                <w:sz w:val="18"/>
                <w:szCs w:val="18"/>
                <w:shd w:val="clear" w:color="auto" w:fill="FFFFFF"/>
              </w:rPr>
              <w:t>from the pavement to the ceiling of one floor.</w:t>
            </w:r>
          </w:p>
          <w:p w14:paraId="68B8771D" w14:textId="5C45A17D" w:rsidR="00822537" w:rsidRPr="000B68C8" w:rsidRDefault="00822537" w:rsidP="006362F9">
            <w:pPr>
              <w:pStyle w:val="NoSpacing"/>
              <w:jc w:val="both"/>
              <w:rPr>
                <w:rFonts w:cs="Times New Roman"/>
                <w:sz w:val="18"/>
                <w:szCs w:val="18"/>
              </w:rPr>
            </w:pPr>
            <w:r w:rsidRPr="000B68C8">
              <w:rPr>
                <w:rFonts w:cs="Times New Roman"/>
                <w:sz w:val="18"/>
                <w:szCs w:val="18"/>
              </w:rPr>
              <w:t>The ground level is referred to the level of the main entrance of the building.</w:t>
            </w:r>
          </w:p>
        </w:tc>
        <w:tc>
          <w:tcPr>
            <w:tcW w:w="1329" w:type="pct"/>
            <w:tcBorders>
              <w:top w:val="single" w:sz="4" w:space="0" w:color="auto"/>
              <w:bottom w:val="single" w:sz="4" w:space="0" w:color="auto"/>
            </w:tcBorders>
          </w:tcPr>
          <w:p w14:paraId="307346F3" w14:textId="130C8898" w:rsidR="00C317A5" w:rsidRPr="000B68C8" w:rsidRDefault="00C317A5" w:rsidP="006362F9">
            <w:pPr>
              <w:pStyle w:val="NoSpacing"/>
              <w:jc w:val="both"/>
              <w:rPr>
                <w:rFonts w:cs="Times New Roman"/>
                <w:sz w:val="18"/>
                <w:szCs w:val="18"/>
              </w:rPr>
            </w:pPr>
            <w:r w:rsidRPr="000B68C8">
              <w:rPr>
                <w:rFonts w:cs="Times New Roman"/>
                <w:sz w:val="18"/>
                <w:szCs w:val="18"/>
              </w:rPr>
              <w:t>Numerical value for floors above</w:t>
            </w:r>
            <w:r w:rsidR="00CF54FA" w:rsidRPr="000B68C8">
              <w:rPr>
                <w:rFonts w:cs="Times New Roman"/>
                <w:sz w:val="18"/>
                <w:szCs w:val="18"/>
              </w:rPr>
              <w:t>*</w:t>
            </w:r>
          </w:p>
          <w:p w14:paraId="7730655C" w14:textId="630E7647" w:rsidR="00822537" w:rsidRPr="000B68C8" w:rsidRDefault="00C317A5" w:rsidP="006362F9">
            <w:pPr>
              <w:pStyle w:val="NoSpacing"/>
              <w:jc w:val="both"/>
              <w:rPr>
                <w:rFonts w:cs="Times New Roman"/>
                <w:sz w:val="18"/>
                <w:szCs w:val="18"/>
              </w:rPr>
            </w:pPr>
            <w:r w:rsidRPr="000B68C8">
              <w:rPr>
                <w:rFonts w:cs="Times New Roman"/>
                <w:sz w:val="18"/>
                <w:szCs w:val="18"/>
              </w:rPr>
              <w:t>Numerical value for floors below</w:t>
            </w:r>
            <w:r w:rsidR="00CF54FA" w:rsidRPr="000B68C8">
              <w:rPr>
                <w:rFonts w:cs="Times New Roman"/>
                <w:sz w:val="18"/>
                <w:szCs w:val="18"/>
              </w:rPr>
              <w:t>*</w:t>
            </w:r>
          </w:p>
        </w:tc>
      </w:tr>
      <w:tr w:rsidR="00C317A5" w:rsidRPr="000B68C8" w14:paraId="43F6E746" w14:textId="16AD74B5" w:rsidTr="00A62170">
        <w:trPr>
          <w:jc w:val="center"/>
        </w:trPr>
        <w:tc>
          <w:tcPr>
            <w:tcW w:w="668" w:type="pct"/>
            <w:tcBorders>
              <w:top w:val="single" w:sz="4" w:space="0" w:color="auto"/>
              <w:bottom w:val="single" w:sz="4" w:space="0" w:color="auto"/>
            </w:tcBorders>
            <w:vAlign w:val="center"/>
          </w:tcPr>
          <w:p w14:paraId="569963C0" w14:textId="00DFA7BA" w:rsidR="00822537" w:rsidRPr="000B68C8" w:rsidRDefault="00822537" w:rsidP="006362F9">
            <w:pPr>
              <w:pStyle w:val="NoSpacing"/>
              <w:jc w:val="center"/>
              <w:rPr>
                <w:rFonts w:cs="Times New Roman"/>
                <w:sz w:val="18"/>
                <w:szCs w:val="18"/>
              </w:rPr>
            </w:pPr>
            <w:r w:rsidRPr="000B68C8">
              <w:rPr>
                <w:rFonts w:cs="Times New Roman"/>
                <w:sz w:val="18"/>
                <w:szCs w:val="18"/>
              </w:rPr>
              <w:t>Fire safety measures present</w:t>
            </w:r>
          </w:p>
        </w:tc>
        <w:tc>
          <w:tcPr>
            <w:tcW w:w="1570" w:type="pct"/>
            <w:tcBorders>
              <w:top w:val="single" w:sz="4" w:space="0" w:color="auto"/>
              <w:bottom w:val="single" w:sz="4" w:space="0" w:color="auto"/>
            </w:tcBorders>
          </w:tcPr>
          <w:p w14:paraId="5594AE7D" w14:textId="670B15E2" w:rsidR="00822537" w:rsidRPr="000B68C8" w:rsidRDefault="004C111F" w:rsidP="006362F9">
            <w:pPr>
              <w:pStyle w:val="NoSpacing"/>
              <w:jc w:val="both"/>
              <w:rPr>
                <w:rFonts w:cs="Times New Roman"/>
                <w:sz w:val="18"/>
                <w:szCs w:val="18"/>
                <w:lang w:val="en-GB"/>
              </w:rPr>
            </w:pPr>
            <w:r w:rsidRPr="000B68C8">
              <w:rPr>
                <w:rFonts w:cs="Times New Roman"/>
                <w:sz w:val="18"/>
                <w:szCs w:val="18"/>
                <w:lang w:val="en-GB"/>
              </w:rPr>
              <w:t>D</w:t>
            </w:r>
            <w:r w:rsidR="00822537" w:rsidRPr="000B68C8">
              <w:rPr>
                <w:rFonts w:cs="Times New Roman"/>
                <w:sz w:val="18"/>
                <w:szCs w:val="18"/>
                <w:lang w:val="en-GB"/>
              </w:rPr>
              <w:t xml:space="preserve">evices and systems that aim at reducing the </w:t>
            </w:r>
            <w:r w:rsidR="004B79B6" w:rsidRPr="000B68C8">
              <w:rPr>
                <w:rFonts w:cs="Times New Roman"/>
                <w:sz w:val="18"/>
                <w:szCs w:val="18"/>
                <w:lang w:val="en-GB"/>
              </w:rPr>
              <w:t xml:space="preserve">impact </w:t>
            </w:r>
            <w:r w:rsidR="00822537" w:rsidRPr="000B68C8">
              <w:rPr>
                <w:rFonts w:cs="Times New Roman"/>
                <w:sz w:val="18"/>
                <w:szCs w:val="18"/>
                <w:lang w:val="en-GB"/>
              </w:rPr>
              <w:t xml:space="preserve"> of a fire. They can be detecting (smoke, fire etc.), alarming (local, central etc.) and/or preventing fire spread (sprinklers, automatic extinguishing equipment, compartmentation etc.) or any combination of those.</w:t>
            </w:r>
          </w:p>
        </w:tc>
        <w:tc>
          <w:tcPr>
            <w:tcW w:w="1433" w:type="pct"/>
            <w:tcBorders>
              <w:top w:val="single" w:sz="4" w:space="0" w:color="auto"/>
              <w:bottom w:val="single" w:sz="4" w:space="0" w:color="auto"/>
            </w:tcBorders>
          </w:tcPr>
          <w:p w14:paraId="2FEF881E" w14:textId="77777777" w:rsidR="00822537" w:rsidRPr="000B68C8" w:rsidRDefault="00822537" w:rsidP="006362F9">
            <w:pPr>
              <w:pStyle w:val="NoSpacing"/>
              <w:jc w:val="both"/>
              <w:rPr>
                <w:rFonts w:cs="Times New Roman"/>
                <w:sz w:val="18"/>
                <w:szCs w:val="18"/>
                <w:lang w:val="en-GB"/>
              </w:rPr>
            </w:pPr>
          </w:p>
        </w:tc>
        <w:tc>
          <w:tcPr>
            <w:tcW w:w="1329" w:type="pct"/>
            <w:tcBorders>
              <w:top w:val="single" w:sz="4" w:space="0" w:color="auto"/>
              <w:bottom w:val="single" w:sz="4" w:space="0" w:color="auto"/>
            </w:tcBorders>
          </w:tcPr>
          <w:p w14:paraId="1A1C53F7" w14:textId="77777777" w:rsidR="00735F94" w:rsidRPr="000B68C8" w:rsidRDefault="00735F94" w:rsidP="00520ABD">
            <w:pPr>
              <w:spacing w:before="0" w:after="0" w:line="252" w:lineRule="auto"/>
              <w:rPr>
                <w:sz w:val="18"/>
                <w:szCs w:val="18"/>
                <w:lang w:val="en-US"/>
              </w:rPr>
            </w:pPr>
            <w:r w:rsidRPr="000B68C8">
              <w:rPr>
                <w:sz w:val="18"/>
                <w:szCs w:val="18"/>
                <w:lang w:val="en-US"/>
              </w:rPr>
              <w:t>Detection</w:t>
            </w:r>
          </w:p>
          <w:p w14:paraId="4BCDDF08" w14:textId="77777777" w:rsidR="00735F94" w:rsidRPr="000B68C8" w:rsidRDefault="00735F94" w:rsidP="00520ABD">
            <w:pPr>
              <w:spacing w:before="0" w:after="0" w:line="252" w:lineRule="auto"/>
              <w:rPr>
                <w:sz w:val="18"/>
                <w:szCs w:val="18"/>
                <w:lang w:val="en-US"/>
              </w:rPr>
            </w:pPr>
            <w:r w:rsidRPr="000B68C8">
              <w:rPr>
                <w:sz w:val="18"/>
                <w:szCs w:val="18"/>
                <w:lang w:val="en-US"/>
              </w:rPr>
              <w:t>Alarm</w:t>
            </w:r>
          </w:p>
          <w:p w14:paraId="33F20781" w14:textId="77777777" w:rsidR="00735F94" w:rsidRPr="000B68C8" w:rsidRDefault="00735F94" w:rsidP="00520ABD">
            <w:pPr>
              <w:spacing w:before="0" w:after="0" w:line="252" w:lineRule="auto"/>
              <w:rPr>
                <w:sz w:val="18"/>
                <w:szCs w:val="18"/>
                <w:lang w:val="en-US"/>
              </w:rPr>
            </w:pPr>
            <w:r w:rsidRPr="000B68C8">
              <w:rPr>
                <w:sz w:val="18"/>
                <w:szCs w:val="18"/>
                <w:lang w:val="en-US"/>
              </w:rPr>
              <w:t>Extinguishing system</w:t>
            </w:r>
          </w:p>
          <w:p w14:paraId="6716B248" w14:textId="477D0143" w:rsidR="00735F94" w:rsidRPr="000B68C8" w:rsidRDefault="00624475" w:rsidP="00520ABD">
            <w:pPr>
              <w:spacing w:before="0" w:after="0" w:line="252" w:lineRule="auto"/>
              <w:rPr>
                <w:sz w:val="18"/>
                <w:szCs w:val="18"/>
                <w:lang w:val="en-US"/>
              </w:rPr>
            </w:pPr>
            <w:r w:rsidRPr="000B68C8">
              <w:rPr>
                <w:sz w:val="18"/>
                <w:szCs w:val="18"/>
                <w:lang w:val="en-US"/>
              </w:rPr>
              <w:t>Passive</w:t>
            </w:r>
            <w:r w:rsidR="00735F94" w:rsidRPr="000B68C8">
              <w:rPr>
                <w:sz w:val="18"/>
                <w:szCs w:val="18"/>
                <w:lang w:val="en-US"/>
              </w:rPr>
              <w:t xml:space="preserve"> fire protection (Fire doors – other compartmentation means)</w:t>
            </w:r>
          </w:p>
          <w:p w14:paraId="6CC26CDD" w14:textId="77777777" w:rsidR="00735F94" w:rsidRPr="000B68C8" w:rsidRDefault="00735F94" w:rsidP="00520ABD">
            <w:pPr>
              <w:spacing w:before="0" w:after="0" w:line="252" w:lineRule="auto"/>
              <w:rPr>
                <w:sz w:val="18"/>
                <w:szCs w:val="18"/>
                <w:lang w:val="de-DE"/>
              </w:rPr>
            </w:pPr>
            <w:r w:rsidRPr="000B68C8">
              <w:rPr>
                <w:sz w:val="18"/>
                <w:szCs w:val="18"/>
                <w:lang w:val="de-DE"/>
              </w:rPr>
              <w:t>Smoke control systems</w:t>
            </w:r>
          </w:p>
          <w:p w14:paraId="17630804" w14:textId="0313A0BF" w:rsidR="00822537" w:rsidRPr="000B68C8" w:rsidRDefault="00822537" w:rsidP="00520ABD">
            <w:pPr>
              <w:pStyle w:val="NoSpacing"/>
              <w:jc w:val="both"/>
              <w:rPr>
                <w:rFonts w:cs="Times New Roman"/>
                <w:sz w:val="18"/>
                <w:szCs w:val="18"/>
                <w:lang w:val="en-GB"/>
              </w:rPr>
            </w:pPr>
          </w:p>
        </w:tc>
      </w:tr>
      <w:tr w:rsidR="00A62170" w:rsidRPr="000B68C8" w14:paraId="6ECCA92C" w14:textId="77777777" w:rsidTr="00A62170">
        <w:trPr>
          <w:jc w:val="center"/>
        </w:trPr>
        <w:tc>
          <w:tcPr>
            <w:tcW w:w="5000" w:type="pct"/>
            <w:gridSpan w:val="4"/>
            <w:tcBorders>
              <w:top w:val="single" w:sz="4" w:space="0" w:color="auto"/>
              <w:bottom w:val="single" w:sz="4" w:space="0" w:color="auto"/>
            </w:tcBorders>
            <w:vAlign w:val="center"/>
          </w:tcPr>
          <w:p w14:paraId="3612156C" w14:textId="503A0B78" w:rsidR="00A62170" w:rsidRPr="000B68C8" w:rsidRDefault="00A62170" w:rsidP="006362F9">
            <w:pPr>
              <w:pStyle w:val="NoSpacing"/>
              <w:rPr>
                <w:sz w:val="18"/>
                <w:szCs w:val="18"/>
              </w:rPr>
            </w:pPr>
            <w:r w:rsidRPr="000B68C8">
              <w:rPr>
                <w:rFonts w:cs="Times New Roman"/>
                <w:sz w:val="18"/>
                <w:szCs w:val="18"/>
              </w:rPr>
              <w:t>*To be approximated when unknown.</w:t>
            </w:r>
          </w:p>
        </w:tc>
      </w:tr>
    </w:tbl>
    <w:p w14:paraId="622E1748" w14:textId="0E11B1F7" w:rsidR="009C6369" w:rsidRPr="000B68C8" w:rsidRDefault="00FE2D35" w:rsidP="009C6369">
      <w:pPr>
        <w:rPr>
          <w:lang w:val="en-US"/>
        </w:rPr>
      </w:pPr>
      <w:r w:rsidRPr="000B68C8">
        <w:t>The</w:t>
      </w:r>
      <w:r w:rsidR="009C6369" w:rsidRPr="000B68C8">
        <w:t xml:space="preserve"> definitions, notes, and a few examples of values for the variables of the fire characteristics are presented in </w:t>
      </w:r>
      <w:r w:rsidR="009C6369" w:rsidRPr="000B68C8">
        <w:fldChar w:fldCharType="begin"/>
      </w:r>
      <w:r w:rsidR="009C6369" w:rsidRPr="000B68C8">
        <w:instrText xml:space="preserve"> REF _Ref88554568 \h </w:instrText>
      </w:r>
      <w:r w:rsidR="000B68C8">
        <w:instrText xml:space="preserve"> \* MERGEFORMAT </w:instrText>
      </w:r>
      <w:r w:rsidR="009C6369" w:rsidRPr="000B68C8">
        <w:fldChar w:fldCharType="separate"/>
      </w:r>
      <w:r w:rsidR="00527272" w:rsidRPr="000B68C8">
        <w:t xml:space="preserve">Table </w:t>
      </w:r>
      <w:r w:rsidR="00527272" w:rsidRPr="000B68C8">
        <w:rPr>
          <w:noProof/>
        </w:rPr>
        <w:t>8</w:t>
      </w:r>
      <w:r w:rsidR="009C6369" w:rsidRPr="000B68C8">
        <w:fldChar w:fldCharType="end"/>
      </w:r>
      <w:r w:rsidR="009C6369" w:rsidRPr="000B68C8">
        <w:t xml:space="preserve"> and </w:t>
      </w:r>
      <w:r w:rsidR="009C6369" w:rsidRPr="000B68C8">
        <w:fldChar w:fldCharType="begin"/>
      </w:r>
      <w:r w:rsidR="009C6369" w:rsidRPr="000B68C8">
        <w:instrText xml:space="preserve"> REF _Ref89704801 \h </w:instrText>
      </w:r>
      <w:r w:rsidR="000B68C8">
        <w:instrText xml:space="preserve"> \* MERGEFORMAT </w:instrText>
      </w:r>
      <w:r w:rsidR="009C6369" w:rsidRPr="000B68C8">
        <w:fldChar w:fldCharType="separate"/>
      </w:r>
      <w:r w:rsidR="00527272" w:rsidRPr="000B68C8">
        <w:t xml:space="preserve">Table </w:t>
      </w:r>
      <w:r w:rsidR="00527272" w:rsidRPr="000B68C8">
        <w:rPr>
          <w:noProof/>
        </w:rPr>
        <w:t>9</w:t>
      </w:r>
      <w:r w:rsidR="009C6369" w:rsidRPr="000B68C8">
        <w:fldChar w:fldCharType="end"/>
      </w:r>
      <w:r w:rsidR="009C6369" w:rsidRPr="000B68C8">
        <w:t xml:space="preserve">, respectively. The </w:t>
      </w:r>
      <w:r w:rsidR="009C6369" w:rsidRPr="000B68C8">
        <w:rPr>
          <w:i/>
          <w:iCs/>
        </w:rPr>
        <w:t>area of origin</w:t>
      </w:r>
      <w:r w:rsidR="009C6369" w:rsidRPr="000B68C8">
        <w:t xml:space="preserve"> is currently collected in at least eight EU countries, the </w:t>
      </w:r>
      <w:r w:rsidR="009C6369" w:rsidRPr="000B68C8">
        <w:rPr>
          <w:i/>
          <w:iCs/>
          <w:lang w:val="en-US"/>
        </w:rPr>
        <w:t>item first ignited</w:t>
      </w:r>
      <w:r w:rsidR="009C6369" w:rsidRPr="000B68C8">
        <w:rPr>
          <w:lang w:val="en-US"/>
        </w:rPr>
        <w:t xml:space="preserve"> in at least seven EU countries, the </w:t>
      </w:r>
      <w:r w:rsidR="009C6369" w:rsidRPr="000B68C8">
        <w:rPr>
          <w:i/>
          <w:iCs/>
          <w:lang w:val="en-US"/>
        </w:rPr>
        <w:t>article contributing to fire development</w:t>
      </w:r>
      <w:r w:rsidR="009C6369" w:rsidRPr="000B68C8">
        <w:rPr>
          <w:lang w:val="en-US"/>
        </w:rPr>
        <w:t xml:space="preserve"> in at least five EU countries and the </w:t>
      </w:r>
      <w:r w:rsidR="009C6369" w:rsidRPr="000B68C8">
        <w:rPr>
          <w:i/>
          <w:iCs/>
          <w:lang w:val="en-US"/>
        </w:rPr>
        <w:t>heat source</w:t>
      </w:r>
      <w:r w:rsidR="009C6369" w:rsidRPr="000B68C8">
        <w:rPr>
          <w:lang w:val="en-US"/>
        </w:rPr>
        <w:t xml:space="preserve"> in at least eight EU countries.</w:t>
      </w:r>
    </w:p>
    <w:p w14:paraId="05F2F72B" w14:textId="6DE41D92" w:rsidR="00582053" w:rsidRPr="000B68C8" w:rsidRDefault="005F2291">
      <w:r w:rsidRPr="000B68C8">
        <w:rPr>
          <w:lang w:val="en-US"/>
        </w:rPr>
        <w:t xml:space="preserve">Considering the </w:t>
      </w:r>
      <w:r w:rsidRPr="000B68C8">
        <w:rPr>
          <w:i/>
          <w:iCs/>
          <w:lang w:val="en-US"/>
        </w:rPr>
        <w:t xml:space="preserve">area of origin, item first ignited, article contributing to fire development </w:t>
      </w:r>
      <w:r w:rsidRPr="000B68C8">
        <w:rPr>
          <w:lang w:val="en-US"/>
        </w:rPr>
        <w:t>and</w:t>
      </w:r>
      <w:r w:rsidRPr="000B68C8">
        <w:rPr>
          <w:i/>
          <w:iCs/>
          <w:lang w:val="en-US"/>
        </w:rPr>
        <w:t xml:space="preserve"> cause of </w:t>
      </w:r>
      <w:r w:rsidR="00FE2D35" w:rsidRPr="000B68C8">
        <w:rPr>
          <w:i/>
          <w:iCs/>
          <w:lang w:val="en-US"/>
        </w:rPr>
        <w:t xml:space="preserve">the </w:t>
      </w:r>
      <w:r w:rsidRPr="000B68C8">
        <w:rPr>
          <w:i/>
          <w:iCs/>
          <w:lang w:val="en-US"/>
        </w:rPr>
        <w:t>fire</w:t>
      </w:r>
      <w:r w:rsidRPr="000B68C8">
        <w:rPr>
          <w:lang w:val="en-US"/>
        </w:rPr>
        <w:t xml:space="preserve">, it was observed that the classifications adopted could be very different in the existing fire statistics of the examined countries. Hence, the proposed definitions harmonize the available definitions based on their similarities. </w:t>
      </w:r>
      <w:r w:rsidR="005B4A17" w:rsidRPr="000B68C8">
        <w:rPr>
          <w:lang w:val="en-US"/>
        </w:rPr>
        <w:t>For the above-mentioned</w:t>
      </w:r>
      <w:r w:rsidR="007076D5" w:rsidRPr="000B68C8">
        <w:rPr>
          <w:lang w:val="en-US"/>
        </w:rPr>
        <w:t xml:space="preserve"> variables, t</w:t>
      </w:r>
      <w:r w:rsidR="00AE2DAC" w:rsidRPr="000B68C8">
        <w:rPr>
          <w:lang w:val="en-US"/>
        </w:rPr>
        <w:t xml:space="preserve">he most </w:t>
      </w:r>
      <w:r w:rsidR="007076D5" w:rsidRPr="000B68C8">
        <w:rPr>
          <w:lang w:val="en-US"/>
        </w:rPr>
        <w:t>challenging</w:t>
      </w:r>
      <w:r w:rsidR="00AE2DAC" w:rsidRPr="000B68C8">
        <w:rPr>
          <w:lang w:val="en-US"/>
        </w:rPr>
        <w:t xml:space="preserve"> </w:t>
      </w:r>
      <w:r w:rsidR="005B4A17" w:rsidRPr="000B68C8">
        <w:rPr>
          <w:lang w:val="en-US"/>
        </w:rPr>
        <w:t xml:space="preserve">aspect </w:t>
      </w:r>
      <w:r w:rsidR="007076D5" w:rsidRPr="000B68C8">
        <w:rPr>
          <w:lang w:val="en-US"/>
        </w:rPr>
        <w:t xml:space="preserve">is expected to be </w:t>
      </w:r>
      <w:r w:rsidR="00BF54EA" w:rsidRPr="000B68C8">
        <w:rPr>
          <w:lang w:val="en-US"/>
        </w:rPr>
        <w:t xml:space="preserve">the adoption of the </w:t>
      </w:r>
      <w:r w:rsidR="007076D5" w:rsidRPr="000B68C8">
        <w:rPr>
          <w:lang w:val="en-US"/>
        </w:rPr>
        <w:t xml:space="preserve">values </w:t>
      </w:r>
      <w:r w:rsidR="00582053" w:rsidRPr="000B68C8">
        <w:rPr>
          <w:lang w:val="en-US"/>
        </w:rPr>
        <w:t xml:space="preserve">proposed </w:t>
      </w:r>
      <w:r w:rsidR="007076D5" w:rsidRPr="000B68C8">
        <w:rPr>
          <w:lang w:val="en-US"/>
        </w:rPr>
        <w:t>for each variable</w:t>
      </w:r>
      <w:r w:rsidR="00A65D3B" w:rsidRPr="000B68C8">
        <w:rPr>
          <w:lang w:val="en-US"/>
        </w:rPr>
        <w:t>.</w:t>
      </w:r>
      <w:r w:rsidR="00002B1A" w:rsidRPr="000B68C8">
        <w:t xml:space="preserve"> Since </w:t>
      </w:r>
      <w:r w:rsidR="00EE289B" w:rsidRPr="000B68C8">
        <w:t>the way</w:t>
      </w:r>
      <w:r w:rsidR="009874D7" w:rsidRPr="000B68C8">
        <w:t xml:space="preserve"> these</w:t>
      </w:r>
      <w:r w:rsidR="00582053" w:rsidRPr="000B68C8">
        <w:t xml:space="preserve"> variables are recorded in</w:t>
      </w:r>
      <w:r w:rsidR="005B4A17" w:rsidRPr="000B68C8">
        <w:t xml:space="preserve"> the examined countries can vary greatly</w:t>
      </w:r>
      <w:r w:rsidR="00002B1A" w:rsidRPr="000B68C8">
        <w:t xml:space="preserve">, there will be a need to adapt </w:t>
      </w:r>
      <w:r w:rsidR="005B4A17" w:rsidRPr="000B68C8">
        <w:t xml:space="preserve">the existing classifications </w:t>
      </w:r>
      <w:r w:rsidR="00002B1A" w:rsidRPr="000B68C8">
        <w:t>to the proposed new structure.</w:t>
      </w:r>
      <w:r w:rsidR="00376A39" w:rsidRPr="000B68C8">
        <w:t xml:space="preserve"> </w:t>
      </w:r>
    </w:p>
    <w:p w14:paraId="37FEC1CF" w14:textId="2F537484" w:rsidR="00376A39" w:rsidRPr="000B68C8" w:rsidRDefault="00376A39">
      <w:r w:rsidRPr="000B68C8">
        <w:t>To better understand the use of the fire statistical variables related to the fire characteristics, the following examples are provided to better specify their use when there is a fire where a coffee ma</w:t>
      </w:r>
      <w:r w:rsidR="00A134C8" w:rsidRPr="000B68C8">
        <w:t>chine</w:t>
      </w:r>
      <w:r w:rsidRPr="000B68C8">
        <w:t xml:space="preserve"> is the item first ignited:</w:t>
      </w:r>
    </w:p>
    <w:p w14:paraId="3A2C745F" w14:textId="38A08AED" w:rsidR="00376A39" w:rsidRPr="000B68C8" w:rsidRDefault="00376A39">
      <w:pPr>
        <w:pStyle w:val="ListParagraph"/>
        <w:numPr>
          <w:ilvl w:val="0"/>
          <w:numId w:val="53"/>
        </w:numPr>
      </w:pPr>
      <w:r w:rsidRPr="000B68C8">
        <w:t>A fault in the coffee m</w:t>
      </w:r>
      <w:r w:rsidR="00A134C8" w:rsidRPr="000B68C8">
        <w:t>achine</w:t>
      </w:r>
      <w:r w:rsidRPr="000B68C8">
        <w:t xml:space="preserve"> ignites the plastic casing, and the coffee </w:t>
      </w:r>
      <w:r w:rsidR="00A134C8" w:rsidRPr="000B68C8">
        <w:t xml:space="preserve">machine </w:t>
      </w:r>
      <w:r w:rsidRPr="000B68C8">
        <w:t>is both the heat source</w:t>
      </w:r>
      <w:r w:rsidR="00065E99" w:rsidRPr="000B68C8">
        <w:t xml:space="preserve"> </w:t>
      </w:r>
      <w:r w:rsidRPr="000B68C8">
        <w:t>and item first ignited</w:t>
      </w:r>
      <w:r w:rsidR="00B44D39" w:rsidRPr="000B68C8">
        <w:t xml:space="preserve"> </w:t>
      </w:r>
    </w:p>
    <w:p w14:paraId="57B3A071" w14:textId="3243C0A0" w:rsidR="008954AF" w:rsidRPr="000B68C8" w:rsidRDefault="00376A39" w:rsidP="00AD1817">
      <w:pPr>
        <w:pStyle w:val="ListParagraph"/>
        <w:numPr>
          <w:ilvl w:val="0"/>
          <w:numId w:val="53"/>
        </w:numPr>
      </w:pPr>
      <w:r w:rsidRPr="000B68C8">
        <w:t xml:space="preserve">Someone carelessly leaves the coffee </w:t>
      </w:r>
      <w:r w:rsidR="007A06D5" w:rsidRPr="000B68C8">
        <w:t>machine</w:t>
      </w:r>
      <w:r w:rsidRPr="000B68C8">
        <w:t xml:space="preserve"> on a hot plate of a freestanding cooker which then gets turned on by accident. In this case</w:t>
      </w:r>
      <w:r w:rsidR="00FE2D35" w:rsidRPr="000B68C8">
        <w:t>,</w:t>
      </w:r>
      <w:r w:rsidRPr="000B68C8">
        <w:t xml:space="preserve"> the coffee </w:t>
      </w:r>
      <w:r w:rsidR="007A06D5" w:rsidRPr="000B68C8">
        <w:t>machine</w:t>
      </w:r>
      <w:r w:rsidRPr="000B68C8">
        <w:t xml:space="preserve"> is the item first ignited</w:t>
      </w:r>
      <w:r w:rsidR="007B04A9" w:rsidRPr="000B68C8">
        <w:t xml:space="preserve"> while</w:t>
      </w:r>
      <w:r w:rsidRPr="000B68C8">
        <w:t xml:space="preserve"> the freestanding cooker is the heat source.</w:t>
      </w:r>
    </w:p>
    <w:p w14:paraId="27DDDEC9" w14:textId="57E51211" w:rsidR="001545A8" w:rsidRPr="000B68C8" w:rsidRDefault="00844BD9">
      <w:pPr>
        <w:rPr>
          <w:lang w:val="en-US"/>
        </w:rPr>
      </w:pPr>
      <w:r w:rsidRPr="000B68C8">
        <w:t xml:space="preserve">For the </w:t>
      </w:r>
      <w:r w:rsidR="006D27DE" w:rsidRPr="000B68C8">
        <w:rPr>
          <w:i/>
        </w:rPr>
        <w:t>a</w:t>
      </w:r>
      <w:r w:rsidRPr="000B68C8">
        <w:rPr>
          <w:i/>
        </w:rPr>
        <w:t>rticle contributing to fire development</w:t>
      </w:r>
      <w:r w:rsidRPr="000B68C8">
        <w:t>, this variable is only relevant if the fire spread from the item first ignited while the</w:t>
      </w:r>
      <w:r w:rsidR="00582053" w:rsidRPr="000B68C8">
        <w:t xml:space="preserve"> fire</w:t>
      </w:r>
      <w:r w:rsidRPr="000B68C8">
        <w:t xml:space="preserve"> cause</w:t>
      </w:r>
      <w:r w:rsidR="00582053" w:rsidRPr="000B68C8">
        <w:t>s</w:t>
      </w:r>
      <w:r w:rsidRPr="000B68C8">
        <w:t xml:space="preserve"> are subdivided into heath source and primary causal factor. The </w:t>
      </w:r>
      <w:r w:rsidR="00721CB3" w:rsidRPr="000B68C8">
        <w:rPr>
          <w:i/>
        </w:rPr>
        <w:t>c</w:t>
      </w:r>
      <w:r w:rsidRPr="000B68C8">
        <w:rPr>
          <w:i/>
        </w:rPr>
        <w:t xml:space="preserve">ause – </w:t>
      </w:r>
      <w:r w:rsidR="00721CB3" w:rsidRPr="000B68C8">
        <w:rPr>
          <w:i/>
        </w:rPr>
        <w:t>h</w:t>
      </w:r>
      <w:r w:rsidRPr="000B68C8">
        <w:rPr>
          <w:i/>
        </w:rPr>
        <w:t>eat source</w:t>
      </w:r>
      <w:r w:rsidRPr="000B68C8">
        <w:t xml:space="preserve"> is referred to the source of energy that initiates combustion in the item first ignited while the </w:t>
      </w:r>
      <w:r w:rsidR="00721CB3" w:rsidRPr="000B68C8">
        <w:rPr>
          <w:i/>
        </w:rPr>
        <w:t>c</w:t>
      </w:r>
      <w:r w:rsidRPr="000B68C8">
        <w:rPr>
          <w:i/>
        </w:rPr>
        <w:t xml:space="preserve">ause – </w:t>
      </w:r>
      <w:r w:rsidR="00721CB3" w:rsidRPr="000B68C8">
        <w:rPr>
          <w:i/>
        </w:rPr>
        <w:t>p</w:t>
      </w:r>
      <w:r w:rsidRPr="000B68C8">
        <w:rPr>
          <w:i/>
        </w:rPr>
        <w:t xml:space="preserve">rimary </w:t>
      </w:r>
      <w:r w:rsidR="00721CB3" w:rsidRPr="000B68C8">
        <w:rPr>
          <w:i/>
        </w:rPr>
        <w:t>c</w:t>
      </w:r>
      <w:r w:rsidRPr="000B68C8">
        <w:rPr>
          <w:i/>
        </w:rPr>
        <w:t xml:space="preserve">ausal </w:t>
      </w:r>
      <w:r w:rsidR="00721CB3" w:rsidRPr="000B68C8">
        <w:rPr>
          <w:i/>
        </w:rPr>
        <w:t>f</w:t>
      </w:r>
      <w:r w:rsidRPr="000B68C8">
        <w:rPr>
          <w:i/>
        </w:rPr>
        <w:t>actor</w:t>
      </w:r>
      <w:r w:rsidRPr="000B68C8">
        <w:t xml:space="preserve"> is the general causal factor that the fire officer assesses to have been the most important in explaining why the item first ignited was exposed to the heat source in a way that led to uncontrolled combustion. </w:t>
      </w:r>
      <w:r w:rsidRPr="000B68C8">
        <w:fldChar w:fldCharType="begin"/>
      </w:r>
      <w:r w:rsidRPr="000B68C8">
        <w:instrText xml:space="preserve"> REF _Ref89704801 \h </w:instrText>
      </w:r>
      <w:r w:rsidR="000B68C8">
        <w:instrText xml:space="preserve"> \* MERGEFORMAT </w:instrText>
      </w:r>
      <w:r w:rsidRPr="000B68C8">
        <w:fldChar w:fldCharType="separate"/>
      </w:r>
      <w:r w:rsidR="00527272" w:rsidRPr="000B68C8">
        <w:t xml:space="preserve">Table </w:t>
      </w:r>
      <w:r w:rsidR="00527272" w:rsidRPr="000B68C8">
        <w:rPr>
          <w:noProof/>
        </w:rPr>
        <w:t>9</w:t>
      </w:r>
      <w:r w:rsidRPr="000B68C8">
        <w:fldChar w:fldCharType="end"/>
      </w:r>
      <w:r w:rsidRPr="000B68C8">
        <w:t xml:space="preserve"> presents some examples of the values attributable to the fire statistical variables related to the fire characteristics. </w:t>
      </w:r>
    </w:p>
    <w:p w14:paraId="62DA1120" w14:textId="5A1935CA" w:rsidR="008E7482" w:rsidRPr="000B68C8" w:rsidRDefault="005070FD" w:rsidP="00342407">
      <w:pPr>
        <w:pStyle w:val="Caption"/>
        <w:keepNext/>
      </w:pPr>
      <w:bookmarkStart w:id="50" w:name="_Ref88554568"/>
      <w:r w:rsidRPr="000B68C8">
        <w:t xml:space="preserve">Table </w:t>
      </w:r>
      <w:fldSimple w:instr=" SEQ Table \* ARABIC ">
        <w:r w:rsidR="00527272" w:rsidRPr="000B68C8">
          <w:rPr>
            <w:noProof/>
          </w:rPr>
          <w:t>8</w:t>
        </w:r>
      </w:fldSimple>
      <w:bookmarkEnd w:id="50"/>
      <w:r w:rsidRPr="000B68C8">
        <w:t>: Proposed new definitions</w:t>
      </w:r>
      <w:r w:rsidR="00BB2211" w:rsidRPr="000B68C8">
        <w:t xml:space="preserve"> and</w:t>
      </w:r>
      <w:r w:rsidRPr="000B68C8">
        <w:t xml:space="preserve"> notes </w:t>
      </w:r>
      <w:r w:rsidR="00BB2211" w:rsidRPr="000B68C8">
        <w:t>of</w:t>
      </w:r>
      <w:r w:rsidRPr="000B68C8">
        <w:t xml:space="preserve"> fire characteristics</w:t>
      </w:r>
    </w:p>
    <w:tbl>
      <w:tblPr>
        <w:tblW w:w="0" w:type="auto"/>
        <w:jc w:val="center"/>
        <w:tblBorders>
          <w:top w:val="single" w:sz="4" w:space="0" w:color="auto"/>
          <w:bottom w:val="single" w:sz="4" w:space="0" w:color="auto"/>
        </w:tblBorders>
        <w:tblLook w:val="04A0" w:firstRow="1" w:lastRow="0" w:firstColumn="1" w:lastColumn="0" w:noHBand="0" w:noVBand="1"/>
      </w:tblPr>
      <w:tblGrid>
        <w:gridCol w:w="1382"/>
        <w:gridCol w:w="2834"/>
        <w:gridCol w:w="4810"/>
      </w:tblGrid>
      <w:tr w:rsidR="00BB2211" w:rsidRPr="000B68C8" w14:paraId="7A43BCBC" w14:textId="1345ACA9" w:rsidTr="00342407">
        <w:trPr>
          <w:jc w:val="center"/>
        </w:trPr>
        <w:tc>
          <w:tcPr>
            <w:tcW w:w="0" w:type="auto"/>
            <w:gridSpan w:val="3"/>
            <w:tcBorders>
              <w:top w:val="single" w:sz="4" w:space="0" w:color="auto"/>
              <w:bottom w:val="single" w:sz="4" w:space="0" w:color="auto"/>
            </w:tcBorders>
            <w:vAlign w:val="center"/>
          </w:tcPr>
          <w:p w14:paraId="72FD86FD" w14:textId="33946686" w:rsidR="00BB2211" w:rsidRPr="000B68C8" w:rsidRDefault="00BB2211" w:rsidP="00342407">
            <w:pPr>
              <w:pStyle w:val="NoSpacing"/>
              <w:jc w:val="center"/>
              <w:rPr>
                <w:rFonts w:cs="Times New Roman"/>
                <w:b/>
                <w:sz w:val="18"/>
                <w:szCs w:val="18"/>
              </w:rPr>
            </w:pPr>
            <w:r w:rsidRPr="000B68C8">
              <w:rPr>
                <w:rFonts w:cs="Times New Roman"/>
                <w:b/>
                <w:sz w:val="18"/>
                <w:szCs w:val="18"/>
              </w:rPr>
              <w:t>FIRE CHARACTERISTICS</w:t>
            </w:r>
          </w:p>
        </w:tc>
      </w:tr>
      <w:tr w:rsidR="00BB2211" w:rsidRPr="000B68C8" w14:paraId="3F6FEE9F" w14:textId="77777777" w:rsidTr="006362F9">
        <w:trPr>
          <w:jc w:val="center"/>
        </w:trPr>
        <w:tc>
          <w:tcPr>
            <w:tcW w:w="0" w:type="auto"/>
            <w:tcBorders>
              <w:top w:val="single" w:sz="4" w:space="0" w:color="auto"/>
              <w:left w:val="nil"/>
              <w:bottom w:val="single" w:sz="4" w:space="0" w:color="auto"/>
              <w:right w:val="nil"/>
            </w:tcBorders>
            <w:vAlign w:val="center"/>
          </w:tcPr>
          <w:p w14:paraId="19B1375C" w14:textId="0E3B166D" w:rsidR="00BB2211" w:rsidRPr="000B68C8" w:rsidRDefault="00BB2211" w:rsidP="006362F9">
            <w:pPr>
              <w:pStyle w:val="NoSpacing"/>
              <w:jc w:val="center"/>
              <w:rPr>
                <w:rFonts w:cs="Times New Roman"/>
                <w:sz w:val="18"/>
                <w:szCs w:val="18"/>
              </w:rPr>
            </w:pPr>
            <w:r w:rsidRPr="000B68C8">
              <w:rPr>
                <w:rFonts w:cs="Times New Roman"/>
                <w:b/>
                <w:bCs/>
                <w:sz w:val="18"/>
                <w:szCs w:val="18"/>
              </w:rPr>
              <w:t>Variable</w:t>
            </w:r>
          </w:p>
        </w:tc>
        <w:tc>
          <w:tcPr>
            <w:tcW w:w="0" w:type="auto"/>
            <w:tcBorders>
              <w:top w:val="single" w:sz="4" w:space="0" w:color="auto"/>
              <w:left w:val="nil"/>
              <w:bottom w:val="single" w:sz="4" w:space="0" w:color="auto"/>
              <w:right w:val="nil"/>
            </w:tcBorders>
            <w:vAlign w:val="center"/>
          </w:tcPr>
          <w:p w14:paraId="3EA58203" w14:textId="0BD812D7" w:rsidR="00BB2211" w:rsidRPr="000B68C8" w:rsidRDefault="00BB2211" w:rsidP="006362F9">
            <w:pPr>
              <w:pStyle w:val="NoSpacing"/>
              <w:jc w:val="center"/>
              <w:rPr>
                <w:rFonts w:cs="Times New Roman"/>
                <w:sz w:val="18"/>
                <w:szCs w:val="18"/>
              </w:rPr>
            </w:pPr>
            <w:r w:rsidRPr="000B68C8">
              <w:rPr>
                <w:rFonts w:cs="Times New Roman"/>
                <w:b/>
                <w:bCs/>
                <w:sz w:val="18"/>
                <w:szCs w:val="18"/>
              </w:rPr>
              <w:t>Definition</w:t>
            </w:r>
          </w:p>
        </w:tc>
        <w:tc>
          <w:tcPr>
            <w:tcW w:w="0" w:type="auto"/>
            <w:tcBorders>
              <w:top w:val="single" w:sz="4" w:space="0" w:color="auto"/>
              <w:left w:val="nil"/>
              <w:bottom w:val="single" w:sz="4" w:space="0" w:color="auto"/>
              <w:right w:val="nil"/>
            </w:tcBorders>
          </w:tcPr>
          <w:p w14:paraId="4A411FDB" w14:textId="7B578144" w:rsidR="00BB2211" w:rsidRPr="000B68C8" w:rsidRDefault="00BB2211" w:rsidP="006362F9">
            <w:pPr>
              <w:pStyle w:val="NoSpacing"/>
              <w:jc w:val="center"/>
              <w:rPr>
                <w:rFonts w:cs="Times New Roman"/>
                <w:sz w:val="18"/>
                <w:szCs w:val="18"/>
              </w:rPr>
            </w:pPr>
            <w:r w:rsidRPr="000B68C8">
              <w:rPr>
                <w:rFonts w:cs="Times New Roman"/>
                <w:b/>
                <w:bCs/>
                <w:sz w:val="18"/>
                <w:szCs w:val="18"/>
              </w:rPr>
              <w:t>Notes</w:t>
            </w:r>
          </w:p>
        </w:tc>
      </w:tr>
      <w:tr w:rsidR="00BB2211" w:rsidRPr="000B68C8" w14:paraId="6978937B" w14:textId="03308F93" w:rsidTr="00342407">
        <w:trPr>
          <w:jc w:val="center"/>
        </w:trPr>
        <w:tc>
          <w:tcPr>
            <w:tcW w:w="0" w:type="auto"/>
            <w:tcBorders>
              <w:top w:val="single" w:sz="4" w:space="0" w:color="auto"/>
              <w:bottom w:val="single" w:sz="4" w:space="0" w:color="auto"/>
            </w:tcBorders>
            <w:vAlign w:val="center"/>
          </w:tcPr>
          <w:p w14:paraId="41E96BD0" w14:textId="3470FC39" w:rsidR="00BB2211" w:rsidRPr="000B68C8" w:rsidRDefault="00BB2211" w:rsidP="006362F9">
            <w:pPr>
              <w:pStyle w:val="NoSpacing"/>
              <w:jc w:val="center"/>
              <w:rPr>
                <w:rFonts w:cs="Times New Roman"/>
                <w:sz w:val="18"/>
                <w:szCs w:val="18"/>
              </w:rPr>
            </w:pPr>
            <w:r w:rsidRPr="000B68C8">
              <w:rPr>
                <w:rFonts w:cs="Times New Roman"/>
                <w:sz w:val="18"/>
                <w:szCs w:val="18"/>
              </w:rPr>
              <w:t>Area of origin</w:t>
            </w:r>
          </w:p>
        </w:tc>
        <w:tc>
          <w:tcPr>
            <w:tcW w:w="0" w:type="auto"/>
            <w:tcBorders>
              <w:top w:val="single" w:sz="4" w:space="0" w:color="auto"/>
              <w:bottom w:val="single" w:sz="4" w:space="0" w:color="auto"/>
            </w:tcBorders>
          </w:tcPr>
          <w:p w14:paraId="32D9D2CB" w14:textId="556CF3F2" w:rsidR="00BB2211" w:rsidRPr="000B68C8" w:rsidRDefault="00BB2211" w:rsidP="006362F9">
            <w:pPr>
              <w:pStyle w:val="NoSpacing"/>
              <w:jc w:val="both"/>
              <w:rPr>
                <w:rFonts w:cs="Times New Roman"/>
                <w:sz w:val="18"/>
                <w:szCs w:val="18"/>
              </w:rPr>
            </w:pPr>
            <w:r w:rsidRPr="000B68C8">
              <w:rPr>
                <w:rFonts w:cs="Times New Roman"/>
                <w:sz w:val="18"/>
                <w:szCs w:val="18"/>
              </w:rPr>
              <w:t>The localized area where the fire started.</w:t>
            </w:r>
          </w:p>
        </w:tc>
        <w:tc>
          <w:tcPr>
            <w:tcW w:w="0" w:type="auto"/>
            <w:tcBorders>
              <w:top w:val="single" w:sz="4" w:space="0" w:color="auto"/>
              <w:bottom w:val="single" w:sz="4" w:space="0" w:color="auto"/>
            </w:tcBorders>
          </w:tcPr>
          <w:p w14:paraId="7900B106" w14:textId="6F1399B6" w:rsidR="00BB2211" w:rsidRPr="000B68C8" w:rsidRDefault="00BB2211" w:rsidP="006362F9">
            <w:pPr>
              <w:pStyle w:val="NoSpacing"/>
              <w:jc w:val="both"/>
              <w:rPr>
                <w:rFonts w:cs="Times New Roman"/>
                <w:sz w:val="18"/>
                <w:szCs w:val="18"/>
              </w:rPr>
            </w:pPr>
          </w:p>
        </w:tc>
      </w:tr>
      <w:tr w:rsidR="00BB2211" w:rsidRPr="000B68C8" w14:paraId="3C1B7388" w14:textId="2A941CFB" w:rsidTr="00342407">
        <w:trPr>
          <w:jc w:val="center"/>
        </w:trPr>
        <w:tc>
          <w:tcPr>
            <w:tcW w:w="0" w:type="auto"/>
            <w:tcBorders>
              <w:top w:val="single" w:sz="4" w:space="0" w:color="auto"/>
              <w:bottom w:val="single" w:sz="4" w:space="0" w:color="auto"/>
            </w:tcBorders>
            <w:vAlign w:val="center"/>
          </w:tcPr>
          <w:p w14:paraId="45525EC9" w14:textId="6D88ED19" w:rsidR="00BB2211" w:rsidRPr="000B68C8" w:rsidRDefault="00BB2211" w:rsidP="006362F9">
            <w:pPr>
              <w:pStyle w:val="NoSpacing"/>
              <w:jc w:val="center"/>
              <w:rPr>
                <w:rFonts w:cs="Times New Roman"/>
                <w:sz w:val="18"/>
                <w:szCs w:val="18"/>
              </w:rPr>
            </w:pPr>
            <w:r w:rsidRPr="000B68C8">
              <w:rPr>
                <w:rFonts w:cs="Times New Roman"/>
                <w:sz w:val="18"/>
                <w:szCs w:val="18"/>
              </w:rPr>
              <w:t>Item first ignited</w:t>
            </w:r>
          </w:p>
        </w:tc>
        <w:tc>
          <w:tcPr>
            <w:tcW w:w="0" w:type="auto"/>
            <w:tcBorders>
              <w:top w:val="single" w:sz="4" w:space="0" w:color="auto"/>
              <w:bottom w:val="single" w:sz="4" w:space="0" w:color="auto"/>
            </w:tcBorders>
          </w:tcPr>
          <w:p w14:paraId="040B2F1F" w14:textId="48DBD62E" w:rsidR="00BB2211" w:rsidRPr="000B68C8" w:rsidRDefault="00BB2211" w:rsidP="006362F9">
            <w:pPr>
              <w:pStyle w:val="NoSpacing"/>
              <w:jc w:val="both"/>
              <w:rPr>
                <w:rFonts w:cs="Times New Roman"/>
                <w:sz w:val="18"/>
                <w:szCs w:val="18"/>
              </w:rPr>
            </w:pPr>
            <w:r w:rsidRPr="000B68C8">
              <w:rPr>
                <w:rFonts w:cs="Times New Roman"/>
                <w:sz w:val="18"/>
                <w:szCs w:val="18"/>
              </w:rPr>
              <w:t>The initial fuel of the fire – the first item that had sufficient volume or heat intensity to extend to uncontrolled and self-supporting combustion.</w:t>
            </w:r>
          </w:p>
        </w:tc>
        <w:tc>
          <w:tcPr>
            <w:tcW w:w="0" w:type="auto"/>
            <w:tcBorders>
              <w:top w:val="single" w:sz="4" w:space="0" w:color="auto"/>
              <w:bottom w:val="single" w:sz="4" w:space="0" w:color="auto"/>
            </w:tcBorders>
          </w:tcPr>
          <w:p w14:paraId="73D8A866" w14:textId="77777777" w:rsidR="00BB2211" w:rsidRPr="000B68C8" w:rsidRDefault="00BB2211" w:rsidP="006362F9">
            <w:pPr>
              <w:pStyle w:val="NoSpacing"/>
              <w:jc w:val="both"/>
              <w:rPr>
                <w:rFonts w:cs="Times New Roman"/>
                <w:sz w:val="18"/>
                <w:szCs w:val="18"/>
              </w:rPr>
            </w:pPr>
            <w:r w:rsidRPr="000B68C8">
              <w:rPr>
                <w:rFonts w:cs="Times New Roman"/>
                <w:sz w:val="18"/>
                <w:szCs w:val="18"/>
              </w:rPr>
              <w:t>The values for this variable must be at a level of detail which a fire officer is able to identify, hence the use of the word “item”. It is sufficient to know the item at a general level without going into more detail about the item’s structure or the material it is made from.</w:t>
            </w:r>
          </w:p>
          <w:p w14:paraId="0F28A606" w14:textId="7C137FFF" w:rsidR="00BB2211" w:rsidRPr="000B68C8" w:rsidRDefault="00BB2211" w:rsidP="006362F9">
            <w:pPr>
              <w:pStyle w:val="NoSpacing"/>
              <w:jc w:val="both"/>
              <w:rPr>
                <w:rFonts w:cs="Times New Roman"/>
                <w:sz w:val="18"/>
                <w:szCs w:val="18"/>
              </w:rPr>
            </w:pPr>
            <w:r w:rsidRPr="000B68C8">
              <w:rPr>
                <w:rFonts w:cs="Times New Roman"/>
                <w:sz w:val="18"/>
                <w:szCs w:val="18"/>
              </w:rPr>
              <w:t xml:space="preserve">In items powered by electricity, an ignition can occur in the casing or heat insulation of the item. The heat for this ignition may be internal, coming from an electrical fault in the equipment itself, or external. We can illustrate this with two examples of fires </w:t>
            </w:r>
            <w:r w:rsidR="00CC7486" w:rsidRPr="000B68C8">
              <w:rPr>
                <w:rFonts w:cs="Times New Roman"/>
                <w:sz w:val="18"/>
                <w:szCs w:val="18"/>
              </w:rPr>
              <w:t>where</w:t>
            </w:r>
            <w:r w:rsidRPr="000B68C8">
              <w:rPr>
                <w:rFonts w:cs="Times New Roman"/>
                <w:sz w:val="18"/>
                <w:szCs w:val="18"/>
              </w:rPr>
              <w:t xml:space="preserve"> a coffee </w:t>
            </w:r>
            <w:r w:rsidR="007A06D5" w:rsidRPr="000B68C8">
              <w:rPr>
                <w:rFonts w:cs="Times New Roman"/>
                <w:sz w:val="18"/>
                <w:szCs w:val="18"/>
              </w:rPr>
              <w:t>machine</w:t>
            </w:r>
            <w:r w:rsidRPr="000B68C8">
              <w:rPr>
                <w:rFonts w:cs="Times New Roman"/>
                <w:sz w:val="18"/>
                <w:szCs w:val="18"/>
              </w:rPr>
              <w:t xml:space="preserve"> is the item first ignited. In the first case a fault in the coffee </w:t>
            </w:r>
            <w:r w:rsidR="007A06D5" w:rsidRPr="000B68C8">
              <w:rPr>
                <w:rFonts w:cs="Times New Roman"/>
                <w:sz w:val="18"/>
                <w:szCs w:val="18"/>
              </w:rPr>
              <w:t>machine</w:t>
            </w:r>
            <w:r w:rsidRPr="000B68C8">
              <w:rPr>
                <w:rFonts w:cs="Times New Roman"/>
                <w:sz w:val="18"/>
                <w:szCs w:val="18"/>
              </w:rPr>
              <w:t xml:space="preserve"> ignites the plastic casing, and the coffee </w:t>
            </w:r>
            <w:r w:rsidR="007A06D5" w:rsidRPr="000B68C8">
              <w:rPr>
                <w:rFonts w:cs="Times New Roman"/>
                <w:sz w:val="18"/>
                <w:szCs w:val="18"/>
              </w:rPr>
              <w:t>machine</w:t>
            </w:r>
            <w:r w:rsidRPr="000B68C8">
              <w:rPr>
                <w:rFonts w:cs="Times New Roman"/>
                <w:sz w:val="18"/>
                <w:szCs w:val="18"/>
              </w:rPr>
              <w:t xml:space="preserve"> is both the heat source and item first ignited. In the second example, someone carelessly leaves the coffee </w:t>
            </w:r>
            <w:r w:rsidR="007A06D5" w:rsidRPr="000B68C8">
              <w:rPr>
                <w:rFonts w:cs="Times New Roman"/>
                <w:sz w:val="18"/>
                <w:szCs w:val="18"/>
              </w:rPr>
              <w:t>machine</w:t>
            </w:r>
            <w:r w:rsidRPr="000B68C8">
              <w:rPr>
                <w:rFonts w:cs="Times New Roman"/>
                <w:sz w:val="18"/>
                <w:szCs w:val="18"/>
              </w:rPr>
              <w:t xml:space="preserve"> on a hot plate of a freestanding cooker which then gets turned on by accident. In this case the coffee </w:t>
            </w:r>
            <w:r w:rsidR="007A06D5" w:rsidRPr="000B68C8">
              <w:rPr>
                <w:rFonts w:cs="Times New Roman"/>
                <w:sz w:val="18"/>
                <w:szCs w:val="18"/>
              </w:rPr>
              <w:t xml:space="preserve">machine </w:t>
            </w:r>
            <w:r w:rsidRPr="000B68C8">
              <w:rPr>
                <w:rFonts w:cs="Times New Roman"/>
                <w:sz w:val="18"/>
                <w:szCs w:val="18"/>
              </w:rPr>
              <w:t xml:space="preserve">is the item first ignited, but the freestanding cooker is the heat source. </w:t>
            </w:r>
          </w:p>
        </w:tc>
      </w:tr>
      <w:tr w:rsidR="00BB2211" w:rsidRPr="000B68C8" w14:paraId="46DEAD52" w14:textId="2575E9AE" w:rsidTr="00342407">
        <w:trPr>
          <w:jc w:val="center"/>
        </w:trPr>
        <w:tc>
          <w:tcPr>
            <w:tcW w:w="0" w:type="auto"/>
            <w:tcBorders>
              <w:top w:val="single" w:sz="4" w:space="0" w:color="auto"/>
              <w:bottom w:val="single" w:sz="4" w:space="0" w:color="auto"/>
            </w:tcBorders>
            <w:vAlign w:val="center"/>
          </w:tcPr>
          <w:p w14:paraId="6EA99360" w14:textId="6CBC5353" w:rsidR="00BB2211" w:rsidRPr="000B68C8" w:rsidRDefault="00725396" w:rsidP="006362F9">
            <w:pPr>
              <w:pStyle w:val="NoSpacing"/>
              <w:jc w:val="center"/>
              <w:rPr>
                <w:rFonts w:cs="Times New Roman"/>
                <w:sz w:val="18"/>
                <w:szCs w:val="18"/>
              </w:rPr>
            </w:pPr>
            <w:r w:rsidRPr="000B68C8">
              <w:rPr>
                <w:rFonts w:cs="Times New Roman"/>
                <w:sz w:val="18"/>
                <w:szCs w:val="18"/>
              </w:rPr>
              <w:t>Article</w:t>
            </w:r>
            <w:r w:rsidR="00BB2211" w:rsidRPr="000B68C8">
              <w:rPr>
                <w:rFonts w:cs="Times New Roman"/>
                <w:sz w:val="18"/>
                <w:szCs w:val="18"/>
              </w:rPr>
              <w:t xml:space="preserve"> contributing to fire development</w:t>
            </w:r>
          </w:p>
        </w:tc>
        <w:tc>
          <w:tcPr>
            <w:tcW w:w="0" w:type="auto"/>
            <w:tcBorders>
              <w:top w:val="single" w:sz="4" w:space="0" w:color="auto"/>
              <w:bottom w:val="single" w:sz="4" w:space="0" w:color="auto"/>
            </w:tcBorders>
          </w:tcPr>
          <w:p w14:paraId="7A87CD5F" w14:textId="0FD59AE1" w:rsidR="00BB2211" w:rsidRPr="000B68C8" w:rsidRDefault="00BB2211" w:rsidP="006362F9">
            <w:pPr>
              <w:pStyle w:val="NoSpacing"/>
              <w:jc w:val="both"/>
              <w:rPr>
                <w:rFonts w:cs="Times New Roman"/>
                <w:sz w:val="18"/>
                <w:szCs w:val="18"/>
              </w:rPr>
            </w:pPr>
            <w:r w:rsidRPr="000B68C8">
              <w:rPr>
                <w:rFonts w:cs="Times New Roman"/>
                <w:sz w:val="18"/>
                <w:szCs w:val="18"/>
              </w:rPr>
              <w:t xml:space="preserve">Any specific </w:t>
            </w:r>
            <w:r w:rsidR="00CF53EF" w:rsidRPr="000B68C8">
              <w:rPr>
                <w:rFonts w:cs="Times New Roman"/>
                <w:sz w:val="18"/>
                <w:szCs w:val="18"/>
              </w:rPr>
              <w:t>article</w:t>
            </w:r>
            <w:r w:rsidRPr="000B68C8">
              <w:rPr>
                <w:rFonts w:cs="Times New Roman"/>
                <w:sz w:val="18"/>
                <w:szCs w:val="18"/>
              </w:rPr>
              <w:t xml:space="preserve"> assessed by the fire officer or fire investigator to have had a significant contribution to the development of the fire beyond the </w:t>
            </w:r>
            <w:r w:rsidRPr="000B68C8">
              <w:rPr>
                <w:rFonts w:cs="Times New Roman"/>
                <w:i/>
                <w:sz w:val="18"/>
                <w:szCs w:val="18"/>
              </w:rPr>
              <w:t>item first ignited</w:t>
            </w:r>
            <w:r w:rsidRPr="000B68C8">
              <w:rPr>
                <w:rFonts w:cs="Times New Roman"/>
                <w:sz w:val="18"/>
                <w:szCs w:val="18"/>
              </w:rPr>
              <w:t>.</w:t>
            </w:r>
          </w:p>
        </w:tc>
        <w:tc>
          <w:tcPr>
            <w:tcW w:w="0" w:type="auto"/>
            <w:tcBorders>
              <w:top w:val="single" w:sz="4" w:space="0" w:color="auto"/>
              <w:bottom w:val="single" w:sz="4" w:space="0" w:color="auto"/>
            </w:tcBorders>
          </w:tcPr>
          <w:p w14:paraId="70D4DFDF" w14:textId="77777777" w:rsidR="00BB2211" w:rsidRPr="000B68C8" w:rsidRDefault="00BB2211" w:rsidP="006362F9">
            <w:pPr>
              <w:pStyle w:val="NoSpacing"/>
              <w:jc w:val="both"/>
              <w:rPr>
                <w:rFonts w:cs="Times New Roman"/>
                <w:sz w:val="18"/>
                <w:szCs w:val="18"/>
              </w:rPr>
            </w:pPr>
            <w:r w:rsidRPr="000B68C8">
              <w:rPr>
                <w:rFonts w:cs="Times New Roman"/>
                <w:sz w:val="18"/>
                <w:szCs w:val="18"/>
              </w:rPr>
              <w:t xml:space="preserve">This variable is only relevant if the fire spread from the </w:t>
            </w:r>
            <w:r w:rsidRPr="000B68C8">
              <w:rPr>
                <w:rFonts w:cs="Times New Roman"/>
                <w:i/>
                <w:sz w:val="18"/>
                <w:szCs w:val="18"/>
              </w:rPr>
              <w:t>item first ignited</w:t>
            </w:r>
            <w:r w:rsidRPr="000B68C8">
              <w:rPr>
                <w:rFonts w:cs="Times New Roman"/>
                <w:sz w:val="18"/>
                <w:szCs w:val="18"/>
              </w:rPr>
              <w:t>.</w:t>
            </w:r>
          </w:p>
          <w:p w14:paraId="37928636" w14:textId="681EC2EC" w:rsidR="00BB2211" w:rsidRPr="000B68C8" w:rsidRDefault="00BB2211" w:rsidP="006362F9">
            <w:pPr>
              <w:pStyle w:val="NoSpacing"/>
              <w:jc w:val="both"/>
              <w:rPr>
                <w:rFonts w:cs="Times New Roman"/>
                <w:sz w:val="18"/>
                <w:szCs w:val="18"/>
              </w:rPr>
            </w:pPr>
          </w:p>
        </w:tc>
      </w:tr>
      <w:tr w:rsidR="00BB2211" w:rsidRPr="000B68C8" w14:paraId="5A422545" w14:textId="0B33A2D5" w:rsidTr="00342407">
        <w:trPr>
          <w:jc w:val="center"/>
        </w:trPr>
        <w:tc>
          <w:tcPr>
            <w:tcW w:w="0" w:type="auto"/>
            <w:tcBorders>
              <w:top w:val="single" w:sz="4" w:space="0" w:color="auto"/>
              <w:bottom w:val="single" w:sz="4" w:space="0" w:color="auto"/>
            </w:tcBorders>
            <w:vAlign w:val="center"/>
          </w:tcPr>
          <w:p w14:paraId="0D36135C" w14:textId="6BB6BE19" w:rsidR="00BB2211" w:rsidRPr="000B68C8" w:rsidRDefault="00BB2211" w:rsidP="006362F9">
            <w:pPr>
              <w:pStyle w:val="NoSpacing"/>
              <w:jc w:val="center"/>
              <w:rPr>
                <w:rFonts w:cs="Times New Roman"/>
                <w:sz w:val="18"/>
                <w:szCs w:val="18"/>
              </w:rPr>
            </w:pPr>
            <w:r w:rsidRPr="000B68C8">
              <w:rPr>
                <w:rFonts w:cs="Times New Roman"/>
                <w:sz w:val="18"/>
                <w:szCs w:val="18"/>
              </w:rPr>
              <w:t>Cause – Heat source</w:t>
            </w:r>
          </w:p>
        </w:tc>
        <w:tc>
          <w:tcPr>
            <w:tcW w:w="0" w:type="auto"/>
            <w:tcBorders>
              <w:top w:val="single" w:sz="4" w:space="0" w:color="auto"/>
              <w:bottom w:val="single" w:sz="4" w:space="0" w:color="auto"/>
            </w:tcBorders>
          </w:tcPr>
          <w:p w14:paraId="6E9160F9" w14:textId="5CA7B03A" w:rsidR="00BB2211" w:rsidRPr="000B68C8" w:rsidRDefault="00BB2211" w:rsidP="006362F9">
            <w:pPr>
              <w:pStyle w:val="NoSpacing"/>
              <w:jc w:val="both"/>
              <w:rPr>
                <w:rFonts w:cs="Times New Roman"/>
                <w:sz w:val="18"/>
                <w:szCs w:val="18"/>
              </w:rPr>
            </w:pPr>
            <w:r w:rsidRPr="000B68C8">
              <w:rPr>
                <w:rFonts w:cs="Times New Roman"/>
                <w:sz w:val="18"/>
                <w:szCs w:val="18"/>
              </w:rPr>
              <w:t xml:space="preserve">The source of </w:t>
            </w:r>
            <w:r w:rsidRPr="000B68C8">
              <w:rPr>
                <w:rFonts w:cs="Times New Roman"/>
                <w:color w:val="000000"/>
                <w:sz w:val="18"/>
                <w:szCs w:val="18"/>
              </w:rPr>
              <w:t>energy that initiates combustion in</w:t>
            </w:r>
            <w:r w:rsidRPr="000B68C8">
              <w:rPr>
                <w:rFonts w:cs="Times New Roman"/>
                <w:sz w:val="18"/>
                <w:szCs w:val="18"/>
              </w:rPr>
              <w:t xml:space="preserve"> the </w:t>
            </w:r>
            <w:r w:rsidRPr="000B68C8">
              <w:rPr>
                <w:rFonts w:cs="Times New Roman"/>
                <w:i/>
                <w:sz w:val="18"/>
                <w:szCs w:val="18"/>
              </w:rPr>
              <w:t>item first ignited</w:t>
            </w:r>
          </w:p>
        </w:tc>
        <w:tc>
          <w:tcPr>
            <w:tcW w:w="0" w:type="auto"/>
            <w:tcBorders>
              <w:top w:val="single" w:sz="4" w:space="0" w:color="auto"/>
              <w:bottom w:val="single" w:sz="4" w:space="0" w:color="auto"/>
            </w:tcBorders>
          </w:tcPr>
          <w:p w14:paraId="56FA775B" w14:textId="4F17BF54" w:rsidR="00BB2211" w:rsidRPr="000B68C8" w:rsidRDefault="00BB2211" w:rsidP="006362F9">
            <w:pPr>
              <w:pStyle w:val="NoSpacing"/>
              <w:jc w:val="both"/>
              <w:rPr>
                <w:rFonts w:cs="Times New Roman"/>
                <w:sz w:val="18"/>
                <w:szCs w:val="18"/>
              </w:rPr>
            </w:pPr>
            <w:r w:rsidRPr="000B68C8">
              <w:rPr>
                <w:rFonts w:cs="Times New Roman"/>
                <w:i/>
                <w:sz w:val="18"/>
                <w:szCs w:val="18"/>
              </w:rPr>
              <w:t>Item first ignited</w:t>
            </w:r>
            <w:r w:rsidRPr="000B68C8">
              <w:rPr>
                <w:rFonts w:cs="Times New Roman"/>
                <w:sz w:val="18"/>
                <w:szCs w:val="18"/>
              </w:rPr>
              <w:t xml:space="preserve"> and </w:t>
            </w:r>
            <w:r w:rsidRPr="000B68C8">
              <w:rPr>
                <w:rFonts w:cs="Times New Roman"/>
                <w:i/>
                <w:sz w:val="18"/>
                <w:szCs w:val="18"/>
              </w:rPr>
              <w:t>heat source</w:t>
            </w:r>
            <w:r w:rsidRPr="000B68C8">
              <w:rPr>
                <w:rFonts w:cs="Times New Roman"/>
                <w:sz w:val="18"/>
                <w:szCs w:val="18"/>
              </w:rPr>
              <w:t xml:space="preserve"> will allow us to understand how ignition occurred, but it is not in itself sufficient for fire prevention purposes – </w:t>
            </w:r>
            <w:r w:rsidR="002F332A" w:rsidRPr="000B68C8">
              <w:rPr>
                <w:rFonts w:cs="Times New Roman"/>
                <w:sz w:val="18"/>
                <w:szCs w:val="18"/>
              </w:rPr>
              <w:t>it is necessary to</w:t>
            </w:r>
            <w:r w:rsidRPr="000B68C8">
              <w:rPr>
                <w:rFonts w:cs="Times New Roman"/>
                <w:sz w:val="18"/>
                <w:szCs w:val="18"/>
              </w:rPr>
              <w:t xml:space="preserve"> know why the item first ignited was exposed to the heat source for long enough for ignition to occur, as described in </w:t>
            </w:r>
            <w:r w:rsidRPr="000B68C8">
              <w:rPr>
                <w:rFonts w:cs="Times New Roman"/>
                <w:i/>
                <w:sz w:val="18"/>
                <w:szCs w:val="18"/>
              </w:rPr>
              <w:t>primary causal factor</w:t>
            </w:r>
            <w:r w:rsidRPr="000B68C8">
              <w:rPr>
                <w:rFonts w:cs="Times New Roman"/>
                <w:sz w:val="18"/>
                <w:szCs w:val="18"/>
              </w:rPr>
              <w:t>.</w:t>
            </w:r>
          </w:p>
        </w:tc>
      </w:tr>
      <w:tr w:rsidR="00BB2211" w:rsidRPr="000B68C8" w14:paraId="5F705EED" w14:textId="61C1BDD1" w:rsidTr="00342407">
        <w:trPr>
          <w:jc w:val="center"/>
        </w:trPr>
        <w:tc>
          <w:tcPr>
            <w:tcW w:w="0" w:type="auto"/>
            <w:tcBorders>
              <w:top w:val="single" w:sz="4" w:space="0" w:color="auto"/>
            </w:tcBorders>
            <w:vAlign w:val="center"/>
          </w:tcPr>
          <w:p w14:paraId="0CE1A242" w14:textId="1776B3D2" w:rsidR="00BB2211" w:rsidRPr="000B68C8" w:rsidRDefault="00BB2211" w:rsidP="006362F9">
            <w:pPr>
              <w:pStyle w:val="NoSpacing"/>
              <w:jc w:val="center"/>
              <w:rPr>
                <w:rFonts w:cs="Times New Roman"/>
                <w:sz w:val="18"/>
                <w:szCs w:val="18"/>
              </w:rPr>
            </w:pPr>
            <w:r w:rsidRPr="000B68C8">
              <w:rPr>
                <w:rFonts w:cs="Times New Roman"/>
                <w:sz w:val="18"/>
                <w:szCs w:val="18"/>
              </w:rPr>
              <w:t>Cause – Primary Causal factor</w:t>
            </w:r>
          </w:p>
        </w:tc>
        <w:tc>
          <w:tcPr>
            <w:tcW w:w="0" w:type="auto"/>
            <w:tcBorders>
              <w:top w:val="single" w:sz="4" w:space="0" w:color="auto"/>
            </w:tcBorders>
          </w:tcPr>
          <w:p w14:paraId="471A8515" w14:textId="79FDB7EF" w:rsidR="00BB2211" w:rsidRPr="000B68C8" w:rsidRDefault="00BB2211" w:rsidP="006362F9">
            <w:pPr>
              <w:pStyle w:val="NoSpacing"/>
              <w:jc w:val="both"/>
              <w:rPr>
                <w:rFonts w:cs="Times New Roman"/>
                <w:sz w:val="18"/>
                <w:szCs w:val="18"/>
              </w:rPr>
            </w:pPr>
            <w:r w:rsidRPr="000B68C8">
              <w:rPr>
                <w:rFonts w:cs="Times New Roman"/>
                <w:sz w:val="18"/>
                <w:szCs w:val="18"/>
              </w:rPr>
              <w:t>The general causal factor that the fire officer assesses to have been the most important in explaining why the</w:t>
            </w:r>
            <w:r w:rsidRPr="000B68C8">
              <w:rPr>
                <w:rFonts w:cs="Times New Roman"/>
                <w:i/>
                <w:sz w:val="18"/>
                <w:szCs w:val="18"/>
              </w:rPr>
              <w:t xml:space="preserve"> item first ignited </w:t>
            </w:r>
            <w:r w:rsidRPr="000B68C8">
              <w:rPr>
                <w:rFonts w:cs="Times New Roman"/>
                <w:sz w:val="18"/>
                <w:szCs w:val="18"/>
              </w:rPr>
              <w:t>was exposed to the</w:t>
            </w:r>
            <w:r w:rsidRPr="000B68C8">
              <w:rPr>
                <w:rFonts w:cs="Times New Roman"/>
                <w:i/>
                <w:sz w:val="18"/>
                <w:szCs w:val="18"/>
              </w:rPr>
              <w:t xml:space="preserve"> heat source</w:t>
            </w:r>
            <w:r w:rsidRPr="000B68C8">
              <w:rPr>
                <w:rFonts w:cs="Times New Roman"/>
                <w:sz w:val="18"/>
                <w:szCs w:val="18"/>
              </w:rPr>
              <w:t xml:space="preserve"> in a way that led to an uncontrolled combustion.</w:t>
            </w:r>
          </w:p>
        </w:tc>
        <w:tc>
          <w:tcPr>
            <w:tcW w:w="0" w:type="auto"/>
            <w:tcBorders>
              <w:top w:val="single" w:sz="4" w:space="0" w:color="auto"/>
            </w:tcBorders>
          </w:tcPr>
          <w:p w14:paraId="6FFE0DFE" w14:textId="77777777" w:rsidR="00BB2211" w:rsidRPr="000B68C8" w:rsidRDefault="00BB2211" w:rsidP="006362F9">
            <w:pPr>
              <w:pStyle w:val="NoSpacing"/>
              <w:jc w:val="both"/>
              <w:rPr>
                <w:rFonts w:cs="Times New Roman"/>
                <w:sz w:val="18"/>
                <w:szCs w:val="18"/>
              </w:rPr>
            </w:pPr>
            <w:r w:rsidRPr="000B68C8">
              <w:rPr>
                <w:rFonts w:cs="Times New Roman"/>
                <w:sz w:val="18"/>
                <w:szCs w:val="18"/>
              </w:rPr>
              <w:t>The term "causal factor" is proposed instead of “fire cause" because the direct fire cause is already clear: the item first ignited has been exposed to the heat source for long enough for ignition to occur.</w:t>
            </w:r>
          </w:p>
          <w:p w14:paraId="609BDA02" w14:textId="586E78FE" w:rsidR="00BB2211" w:rsidRPr="000B68C8" w:rsidRDefault="00BB2211" w:rsidP="006362F9">
            <w:pPr>
              <w:pStyle w:val="NoSpacing"/>
              <w:jc w:val="both"/>
              <w:rPr>
                <w:rFonts w:cs="Times New Roman"/>
                <w:sz w:val="18"/>
                <w:szCs w:val="18"/>
              </w:rPr>
            </w:pPr>
            <w:r w:rsidRPr="000B68C8">
              <w:rPr>
                <w:rFonts w:cs="Times New Roman"/>
                <w:sz w:val="18"/>
                <w:szCs w:val="18"/>
              </w:rPr>
              <w:t>The word “primary” is used to signal that it is the most important factors that should be recorded.</w:t>
            </w:r>
          </w:p>
        </w:tc>
      </w:tr>
    </w:tbl>
    <w:p w14:paraId="77A5D5D5" w14:textId="27DD4018" w:rsidR="00844BD9" w:rsidRPr="000B68C8" w:rsidRDefault="00844BD9" w:rsidP="00D63376">
      <w:bookmarkStart w:id="51" w:name="_Ref88836702"/>
    </w:p>
    <w:p w14:paraId="6DF09C87" w14:textId="42B1CFA5" w:rsidR="007137D7" w:rsidRPr="000B68C8" w:rsidRDefault="007137D7" w:rsidP="00D63376"/>
    <w:p w14:paraId="3A77B64C" w14:textId="6F1370E5" w:rsidR="007137D7" w:rsidRPr="000B68C8" w:rsidRDefault="007137D7" w:rsidP="00D63376"/>
    <w:p w14:paraId="57DEFACD" w14:textId="74E9029E" w:rsidR="007137D7" w:rsidRPr="000B68C8" w:rsidRDefault="007137D7" w:rsidP="00D63376"/>
    <w:p w14:paraId="7CB58BA8" w14:textId="77777777" w:rsidR="007137D7" w:rsidRPr="000B68C8" w:rsidRDefault="007137D7" w:rsidP="00D63376"/>
    <w:p w14:paraId="0BF3A650" w14:textId="622E0A23" w:rsidR="00BB2211" w:rsidRPr="000B68C8" w:rsidRDefault="0001541E" w:rsidP="002A70D3">
      <w:pPr>
        <w:pStyle w:val="Caption"/>
      </w:pPr>
      <w:bookmarkStart w:id="52" w:name="_Ref89704801"/>
      <w:bookmarkEnd w:id="51"/>
      <w:r w:rsidRPr="000B68C8">
        <w:t xml:space="preserve">Table </w:t>
      </w:r>
      <w:fldSimple w:instr=" SEQ Table \* ARABIC ">
        <w:r w:rsidR="00527272" w:rsidRPr="000B68C8">
          <w:rPr>
            <w:noProof/>
          </w:rPr>
          <w:t>9</w:t>
        </w:r>
      </w:fldSimple>
      <w:bookmarkEnd w:id="52"/>
      <w:r w:rsidRPr="000B68C8">
        <w:t xml:space="preserve">: </w:t>
      </w:r>
      <w:r w:rsidR="00455E37" w:rsidRPr="000B68C8">
        <w:t xml:space="preserve">Some </w:t>
      </w:r>
      <w:r w:rsidRPr="000B68C8">
        <w:t>examples of values for the variables of the fire characteristics. The entire list of values can be found in</w:t>
      </w:r>
      <w:r w:rsidR="00B96562" w:rsidRPr="000B68C8">
        <w:t xml:space="preserve"> the Task 4 report of the EU FireStat project</w:t>
      </w:r>
      <w:r w:rsidRPr="000B68C8">
        <w:t xml:space="preserve"> </w:t>
      </w:r>
      <w:r w:rsidRPr="000B68C8">
        <w:fldChar w:fldCharType="begin" w:fldLock="1"/>
      </w:r>
      <w:r w:rsidR="007359B2" w:rsidRPr="000B68C8">
        <w:instrText>ADDIN CSL_CITATION {"citationItems":[{"id":"ITEM-1","itemData":{"author":[{"dropping-particle":"","family":"EU FireStat","given":"","non-dropping-particle":"","parse-names":false,"suffix":""}],"id":"ITEM-1","issued":{"date-parts":[["2021"]]},"title":"EU FireStat - Closing data gaps and paving the way for pan-European Fire Safety Efforts. Report Task 4 - Terminology","type":"report"},"uris":["http://www.mendeley.com/documents/?uuid=470d87f7-f610-4885-a57b-f7cdc2d3cbad"]}],"mendeley":{"formattedCitation":"[25]","plainTextFormattedCitation":"[25]","previouslyFormattedCitation":"[25]"},"properties":{"noteIndex":0},"schema":"https://github.com/citation-style-language/schema/raw/master/csl-citation.json"}</w:instrText>
      </w:r>
      <w:r w:rsidRPr="000B68C8">
        <w:fldChar w:fldCharType="separate"/>
      </w:r>
      <w:r w:rsidR="00BC2D97" w:rsidRPr="000B68C8">
        <w:rPr>
          <w:i w:val="0"/>
          <w:noProof/>
        </w:rPr>
        <w:t>[25]</w:t>
      </w:r>
      <w:r w:rsidRPr="000B68C8">
        <w:fldChar w:fldCharType="end"/>
      </w:r>
    </w:p>
    <w:tbl>
      <w:tblPr>
        <w:tblW w:w="5000" w:type="pct"/>
        <w:jc w:val="center"/>
        <w:tblBorders>
          <w:top w:val="single" w:sz="4" w:space="0" w:color="auto"/>
          <w:bottom w:val="single" w:sz="4" w:space="0" w:color="auto"/>
        </w:tblBorders>
        <w:tblLook w:val="04A0" w:firstRow="1" w:lastRow="0" w:firstColumn="1" w:lastColumn="0" w:noHBand="0" w:noVBand="1"/>
      </w:tblPr>
      <w:tblGrid>
        <w:gridCol w:w="2502"/>
        <w:gridCol w:w="6524"/>
      </w:tblGrid>
      <w:tr w:rsidR="00BB2211" w:rsidRPr="000B68C8" w14:paraId="27B7A71B" w14:textId="77777777" w:rsidTr="00342407">
        <w:trPr>
          <w:jc w:val="center"/>
        </w:trPr>
        <w:tc>
          <w:tcPr>
            <w:tcW w:w="5000" w:type="pct"/>
            <w:gridSpan w:val="2"/>
            <w:tcBorders>
              <w:top w:val="single" w:sz="4" w:space="0" w:color="auto"/>
              <w:bottom w:val="single" w:sz="4" w:space="0" w:color="auto"/>
            </w:tcBorders>
            <w:vAlign w:val="center"/>
          </w:tcPr>
          <w:p w14:paraId="1C9553AC" w14:textId="5113DEEF" w:rsidR="00BB2211" w:rsidRPr="000B68C8" w:rsidRDefault="0072122B" w:rsidP="00BB2211">
            <w:pPr>
              <w:pStyle w:val="NoSpacing"/>
              <w:jc w:val="center"/>
              <w:rPr>
                <w:rFonts w:cs="Times New Roman"/>
                <w:b/>
                <w:bCs/>
                <w:sz w:val="18"/>
                <w:szCs w:val="18"/>
              </w:rPr>
            </w:pPr>
            <w:r w:rsidRPr="000B68C8">
              <w:rPr>
                <w:rFonts w:cs="Times New Roman"/>
                <w:b/>
                <w:sz w:val="18"/>
                <w:szCs w:val="18"/>
              </w:rPr>
              <w:t>FIRE CHARACTERISTICS</w:t>
            </w:r>
          </w:p>
        </w:tc>
      </w:tr>
      <w:tr w:rsidR="00BB2211" w:rsidRPr="000B68C8" w14:paraId="124A3179" w14:textId="77777777" w:rsidTr="00BB2211">
        <w:trPr>
          <w:jc w:val="center"/>
        </w:trPr>
        <w:tc>
          <w:tcPr>
            <w:tcW w:w="1386" w:type="pct"/>
            <w:tcBorders>
              <w:top w:val="nil"/>
              <w:bottom w:val="single" w:sz="4" w:space="0" w:color="auto"/>
            </w:tcBorders>
            <w:vAlign w:val="center"/>
          </w:tcPr>
          <w:p w14:paraId="1A624CA7" w14:textId="10E097E3" w:rsidR="00BB2211" w:rsidRPr="000B68C8" w:rsidRDefault="00BB2211" w:rsidP="00BB2211">
            <w:pPr>
              <w:pStyle w:val="NoSpacing"/>
              <w:jc w:val="center"/>
              <w:rPr>
                <w:rFonts w:cs="Times New Roman"/>
                <w:sz w:val="18"/>
                <w:szCs w:val="18"/>
              </w:rPr>
            </w:pPr>
            <w:r w:rsidRPr="000B68C8">
              <w:rPr>
                <w:rFonts w:cs="Times New Roman"/>
                <w:b/>
                <w:bCs/>
                <w:sz w:val="18"/>
                <w:szCs w:val="18"/>
              </w:rPr>
              <w:t>Variables</w:t>
            </w:r>
          </w:p>
        </w:tc>
        <w:tc>
          <w:tcPr>
            <w:tcW w:w="3614" w:type="pct"/>
            <w:tcBorders>
              <w:top w:val="nil"/>
              <w:bottom w:val="single" w:sz="4" w:space="0" w:color="auto"/>
            </w:tcBorders>
            <w:vAlign w:val="center"/>
          </w:tcPr>
          <w:p w14:paraId="48236E45" w14:textId="6697DEF3" w:rsidR="00BB2211" w:rsidRPr="000B68C8" w:rsidRDefault="00BB2211" w:rsidP="00BB2211">
            <w:pPr>
              <w:pStyle w:val="NoSpacing"/>
              <w:jc w:val="center"/>
              <w:rPr>
                <w:rFonts w:cs="Times New Roman"/>
                <w:i/>
                <w:iCs/>
                <w:sz w:val="18"/>
                <w:szCs w:val="18"/>
              </w:rPr>
            </w:pPr>
            <w:r w:rsidRPr="000B68C8">
              <w:rPr>
                <w:rFonts w:cs="Times New Roman"/>
                <w:b/>
                <w:bCs/>
                <w:sz w:val="18"/>
                <w:szCs w:val="18"/>
              </w:rPr>
              <w:t>Values</w:t>
            </w:r>
          </w:p>
        </w:tc>
      </w:tr>
      <w:tr w:rsidR="00BB2211" w:rsidRPr="000B68C8" w14:paraId="3341E35B" w14:textId="77777777" w:rsidTr="00342407">
        <w:tblPrEx>
          <w:jc w:val="left"/>
        </w:tblPrEx>
        <w:tc>
          <w:tcPr>
            <w:tcW w:w="0" w:type="auto"/>
            <w:tcBorders>
              <w:top w:val="single" w:sz="4" w:space="0" w:color="auto"/>
              <w:bottom w:val="single" w:sz="4" w:space="0" w:color="auto"/>
            </w:tcBorders>
            <w:vAlign w:val="center"/>
          </w:tcPr>
          <w:p w14:paraId="62456AB8" w14:textId="69736363" w:rsidR="00BB2211" w:rsidRPr="000B68C8" w:rsidRDefault="00BB2211" w:rsidP="006362F9">
            <w:pPr>
              <w:pStyle w:val="NoSpacing"/>
              <w:jc w:val="center"/>
              <w:rPr>
                <w:rFonts w:cs="Times New Roman"/>
                <w:sz w:val="18"/>
                <w:szCs w:val="18"/>
              </w:rPr>
            </w:pPr>
            <w:r w:rsidRPr="000B68C8">
              <w:rPr>
                <w:rFonts w:cs="Times New Roman"/>
                <w:sz w:val="18"/>
                <w:szCs w:val="18"/>
              </w:rPr>
              <w:t>Area of origin</w:t>
            </w:r>
          </w:p>
        </w:tc>
        <w:tc>
          <w:tcPr>
            <w:tcW w:w="0" w:type="auto"/>
            <w:tcBorders>
              <w:top w:val="single" w:sz="4" w:space="0" w:color="auto"/>
              <w:bottom w:val="single" w:sz="4" w:space="0" w:color="auto"/>
            </w:tcBorders>
          </w:tcPr>
          <w:p w14:paraId="1C1C0923"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Functional Area</w:t>
            </w:r>
            <w:r w:rsidRPr="000B68C8">
              <w:rPr>
                <w:rFonts w:cs="Times New Roman"/>
                <w:sz w:val="18"/>
                <w:szCs w:val="18"/>
              </w:rPr>
              <w:t>: e.g., Sleeping area, Bathroom/toilet, Kitchen, Living room, Other (write a value) </w:t>
            </w:r>
          </w:p>
          <w:p w14:paraId="7A973397"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Area of Egress</w:t>
            </w:r>
            <w:r w:rsidRPr="000B68C8">
              <w:rPr>
                <w:rFonts w:cs="Times New Roman"/>
                <w:sz w:val="18"/>
                <w:szCs w:val="18"/>
              </w:rPr>
              <w:t>: e.g., Hallway or corridor, Elevator, Other (write a value) </w:t>
            </w:r>
          </w:p>
          <w:p w14:paraId="15A32AAF"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Assembly or Sales Areas</w:t>
            </w:r>
            <w:r w:rsidRPr="000B68C8">
              <w:rPr>
                <w:rFonts w:cs="Times New Roman"/>
                <w:sz w:val="18"/>
                <w:szCs w:val="18"/>
              </w:rPr>
              <w:t>: e.g., Showroom, Lounge area, Other (write a value) </w:t>
            </w:r>
          </w:p>
          <w:p w14:paraId="2FA934BF"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Technical Processing Area</w:t>
            </w:r>
            <w:r w:rsidRPr="000B68C8">
              <w:rPr>
                <w:rFonts w:cs="Times New Roman"/>
                <w:sz w:val="18"/>
                <w:szCs w:val="18"/>
              </w:rPr>
              <w:t>: e.g., Operating area, Stage/Scene, Other (write a value) </w:t>
            </w:r>
          </w:p>
          <w:p w14:paraId="09594D92"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Storage Areas</w:t>
            </w:r>
            <w:r w:rsidRPr="000B68C8">
              <w:rPr>
                <w:rFonts w:cs="Times New Roman"/>
                <w:sz w:val="18"/>
                <w:szCs w:val="18"/>
              </w:rPr>
              <w:t>: e.g., Parking area / garage, Trash, Other (write a value)</w:t>
            </w:r>
          </w:p>
          <w:p w14:paraId="420186C5"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Service/Equipment Area</w:t>
            </w:r>
            <w:r w:rsidRPr="000B68C8">
              <w:rPr>
                <w:rFonts w:cs="Times New Roman"/>
                <w:sz w:val="18"/>
                <w:szCs w:val="18"/>
              </w:rPr>
              <w:t>: e.g., Machinery area, Heating area, Other (write a value) </w:t>
            </w:r>
          </w:p>
          <w:p w14:paraId="4F9C1E43"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Structural Areas</w:t>
            </w:r>
            <w:r w:rsidRPr="000B68C8">
              <w:rPr>
                <w:rFonts w:cs="Times New Roman"/>
                <w:sz w:val="18"/>
                <w:szCs w:val="18"/>
              </w:rPr>
              <w:t>: e.g., Wall assembly, Roof, Façade, Other (write a value)</w:t>
            </w:r>
          </w:p>
        </w:tc>
      </w:tr>
      <w:tr w:rsidR="00BB2211" w:rsidRPr="000B68C8" w14:paraId="38E1F927" w14:textId="77777777" w:rsidTr="00BB2211">
        <w:tblPrEx>
          <w:jc w:val="left"/>
        </w:tblPrEx>
        <w:tc>
          <w:tcPr>
            <w:tcW w:w="0" w:type="auto"/>
            <w:tcBorders>
              <w:top w:val="single" w:sz="4" w:space="0" w:color="auto"/>
              <w:bottom w:val="single" w:sz="4" w:space="0" w:color="auto"/>
            </w:tcBorders>
            <w:vAlign w:val="center"/>
          </w:tcPr>
          <w:p w14:paraId="01BBECEF" w14:textId="0AB8B21F" w:rsidR="00BB2211" w:rsidRPr="000B68C8" w:rsidRDefault="00BB2211" w:rsidP="006362F9">
            <w:pPr>
              <w:pStyle w:val="NoSpacing"/>
              <w:jc w:val="center"/>
              <w:rPr>
                <w:rFonts w:cs="Times New Roman"/>
                <w:sz w:val="18"/>
                <w:szCs w:val="18"/>
              </w:rPr>
            </w:pPr>
            <w:r w:rsidRPr="000B68C8">
              <w:rPr>
                <w:rFonts w:cs="Times New Roman"/>
                <w:sz w:val="18"/>
                <w:szCs w:val="18"/>
              </w:rPr>
              <w:t>Item first ignited</w:t>
            </w:r>
          </w:p>
        </w:tc>
        <w:tc>
          <w:tcPr>
            <w:tcW w:w="0" w:type="auto"/>
            <w:tcBorders>
              <w:top w:val="single" w:sz="4" w:space="0" w:color="auto"/>
              <w:bottom w:val="single" w:sz="4" w:space="0" w:color="auto"/>
            </w:tcBorders>
          </w:tcPr>
          <w:p w14:paraId="217D3C42" w14:textId="2BAA9F9D" w:rsidR="00BB2211" w:rsidRPr="000B68C8" w:rsidRDefault="00BB2211" w:rsidP="00200B84">
            <w:pPr>
              <w:pStyle w:val="NoSpacing"/>
              <w:jc w:val="both"/>
              <w:rPr>
                <w:rFonts w:cs="Times New Roman"/>
                <w:sz w:val="18"/>
                <w:szCs w:val="18"/>
              </w:rPr>
            </w:pPr>
            <w:r w:rsidRPr="000B68C8">
              <w:rPr>
                <w:rFonts w:cs="Times New Roman"/>
                <w:i/>
                <w:iCs/>
                <w:sz w:val="18"/>
                <w:szCs w:val="18"/>
              </w:rPr>
              <w:t>Food-related</w:t>
            </w:r>
            <w:r w:rsidRPr="000B68C8">
              <w:rPr>
                <w:rFonts w:cs="Times New Roman"/>
                <w:sz w:val="18"/>
                <w:szCs w:val="18"/>
              </w:rPr>
              <w:t xml:space="preserve">: </w:t>
            </w:r>
            <w:r w:rsidR="00922E0A" w:rsidRPr="000B68C8">
              <w:rPr>
                <w:rFonts w:cs="Times New Roman"/>
                <w:sz w:val="18"/>
                <w:szCs w:val="18"/>
              </w:rPr>
              <w:t xml:space="preserve">e.g. </w:t>
            </w:r>
            <w:r w:rsidRPr="000B68C8">
              <w:rPr>
                <w:rFonts w:cs="Times New Roman"/>
                <w:sz w:val="18"/>
                <w:szCs w:val="18"/>
              </w:rPr>
              <w:t>Cooking fat or oil, Food</w:t>
            </w:r>
          </w:p>
          <w:p w14:paraId="5C7D62A1"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Furnishing and clothing</w:t>
            </w:r>
            <w:r w:rsidRPr="000B68C8">
              <w:rPr>
                <w:rFonts w:cs="Times New Roman"/>
                <w:sz w:val="18"/>
                <w:szCs w:val="18"/>
              </w:rPr>
              <w:t>: e.g., Sofa, Curtains, Bed, Clothes, Other (write a value) </w:t>
            </w:r>
          </w:p>
          <w:p w14:paraId="513DA33D"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Combustible material in household electric appliance</w:t>
            </w:r>
            <w:r w:rsidRPr="000B68C8">
              <w:rPr>
                <w:rFonts w:cs="Times New Roman"/>
                <w:sz w:val="18"/>
                <w:szCs w:val="18"/>
              </w:rPr>
              <w:t>: e.g., Freestanding cooker, Dishwasher, Heater, Other (write a value) </w:t>
            </w:r>
          </w:p>
          <w:p w14:paraId="44AC3274"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Combustible material in other electric appliance, tool or distribution</w:t>
            </w:r>
            <w:r w:rsidRPr="000B68C8">
              <w:rPr>
                <w:rFonts w:cs="Times New Roman"/>
                <w:sz w:val="18"/>
                <w:szCs w:val="18"/>
              </w:rPr>
              <w:t>: e.g., Battery, Wiring, Photovoltaic panels, Other electrical item (write a value) </w:t>
            </w:r>
          </w:p>
          <w:p w14:paraId="1D185712"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Building element</w:t>
            </w:r>
            <w:r w:rsidRPr="000B68C8">
              <w:rPr>
                <w:rFonts w:cs="Times New Roman"/>
                <w:sz w:val="18"/>
                <w:szCs w:val="18"/>
              </w:rPr>
              <w:t>: e.g., Façade and cladding elements, Windows, Other (write a value) </w:t>
            </w:r>
          </w:p>
          <w:p w14:paraId="49D11997" w14:textId="40C91DC8" w:rsidR="00BB2211" w:rsidRPr="000B68C8" w:rsidRDefault="00BB2211" w:rsidP="00200B84">
            <w:pPr>
              <w:pStyle w:val="NoSpacing"/>
              <w:jc w:val="both"/>
              <w:rPr>
                <w:rFonts w:cs="Times New Roman"/>
                <w:sz w:val="18"/>
                <w:szCs w:val="18"/>
              </w:rPr>
            </w:pPr>
            <w:r w:rsidRPr="000B68C8">
              <w:rPr>
                <w:rFonts w:cs="Times New Roman"/>
                <w:i/>
                <w:iCs/>
                <w:sz w:val="18"/>
                <w:szCs w:val="18"/>
              </w:rPr>
              <w:t>Other</w:t>
            </w:r>
            <w:r w:rsidRPr="000B68C8">
              <w:rPr>
                <w:rFonts w:cs="Times New Roman"/>
                <w:sz w:val="18"/>
                <w:szCs w:val="18"/>
              </w:rPr>
              <w:t xml:space="preserve">: </w:t>
            </w:r>
            <w:r w:rsidR="00922E0A" w:rsidRPr="000B68C8">
              <w:rPr>
                <w:rFonts w:cs="Times New Roman"/>
                <w:sz w:val="18"/>
                <w:szCs w:val="18"/>
              </w:rPr>
              <w:t xml:space="preserve">e.g. </w:t>
            </w:r>
            <w:r w:rsidRPr="000B68C8">
              <w:rPr>
                <w:rFonts w:cs="Times New Roman"/>
                <w:sz w:val="18"/>
                <w:szCs w:val="18"/>
              </w:rPr>
              <w:t>Paper or cardboard, Flammable liquid or gas, Rubbish, Other (write a value) </w:t>
            </w:r>
          </w:p>
          <w:p w14:paraId="75CF9DB4" w14:textId="77777777" w:rsidR="00BB2211" w:rsidRPr="000B68C8" w:rsidRDefault="00BB2211" w:rsidP="00200B84">
            <w:pPr>
              <w:pStyle w:val="NoSpacing"/>
              <w:jc w:val="both"/>
              <w:rPr>
                <w:rFonts w:cs="Times New Roman"/>
                <w:i/>
                <w:iCs/>
                <w:sz w:val="18"/>
                <w:szCs w:val="18"/>
              </w:rPr>
            </w:pPr>
            <w:r w:rsidRPr="000B68C8">
              <w:rPr>
                <w:rFonts w:cs="Times New Roman"/>
                <w:i/>
                <w:iCs/>
                <w:sz w:val="18"/>
                <w:szCs w:val="18"/>
              </w:rPr>
              <w:t>Undetermined</w:t>
            </w:r>
          </w:p>
        </w:tc>
      </w:tr>
      <w:tr w:rsidR="00BB2211" w:rsidRPr="000B68C8" w14:paraId="6893B7EF" w14:textId="77777777" w:rsidTr="00BB2211">
        <w:tblPrEx>
          <w:jc w:val="left"/>
        </w:tblPrEx>
        <w:tc>
          <w:tcPr>
            <w:tcW w:w="0" w:type="auto"/>
            <w:tcBorders>
              <w:top w:val="single" w:sz="4" w:space="0" w:color="auto"/>
              <w:bottom w:val="single" w:sz="4" w:space="0" w:color="auto"/>
            </w:tcBorders>
            <w:vAlign w:val="center"/>
          </w:tcPr>
          <w:p w14:paraId="50202343" w14:textId="00D3AAC7" w:rsidR="00BB2211" w:rsidRPr="000B68C8" w:rsidRDefault="00401D2A" w:rsidP="006362F9">
            <w:pPr>
              <w:pStyle w:val="NoSpacing"/>
              <w:jc w:val="center"/>
              <w:rPr>
                <w:rFonts w:cs="Times New Roman"/>
                <w:sz w:val="18"/>
                <w:szCs w:val="18"/>
              </w:rPr>
            </w:pPr>
            <w:r w:rsidRPr="000B68C8">
              <w:rPr>
                <w:rFonts w:cs="Times New Roman"/>
                <w:sz w:val="18"/>
                <w:szCs w:val="18"/>
              </w:rPr>
              <w:t>Article</w:t>
            </w:r>
            <w:r w:rsidR="00BB2211" w:rsidRPr="000B68C8">
              <w:rPr>
                <w:rFonts w:cs="Times New Roman"/>
                <w:sz w:val="18"/>
                <w:szCs w:val="18"/>
              </w:rPr>
              <w:t xml:space="preserve"> contributing to fire development</w:t>
            </w:r>
            <w:r w:rsidR="002224E1" w:rsidRPr="000B68C8">
              <w:rPr>
                <w:rFonts w:cs="Times New Roman"/>
                <w:sz w:val="18"/>
                <w:szCs w:val="18"/>
                <w:vertAlign w:val="superscript"/>
              </w:rPr>
              <w:t>*</w:t>
            </w:r>
          </w:p>
        </w:tc>
        <w:tc>
          <w:tcPr>
            <w:tcW w:w="0" w:type="auto"/>
            <w:tcBorders>
              <w:top w:val="single" w:sz="4" w:space="0" w:color="auto"/>
              <w:bottom w:val="single" w:sz="4" w:space="0" w:color="auto"/>
            </w:tcBorders>
          </w:tcPr>
          <w:p w14:paraId="7BF58FDD" w14:textId="77777777" w:rsidR="00BB2211" w:rsidRPr="000B68C8" w:rsidRDefault="00BB2211" w:rsidP="00200B84">
            <w:pPr>
              <w:pStyle w:val="NoSpacing"/>
              <w:jc w:val="both"/>
              <w:rPr>
                <w:rFonts w:cs="Times New Roman"/>
                <w:sz w:val="18"/>
                <w:szCs w:val="18"/>
              </w:rPr>
            </w:pPr>
            <w:r w:rsidRPr="000B68C8">
              <w:rPr>
                <w:rFonts w:cs="Times New Roman"/>
                <w:sz w:val="18"/>
                <w:szCs w:val="18"/>
              </w:rPr>
              <w:t xml:space="preserve">Fire did not spread from </w:t>
            </w:r>
            <w:r w:rsidRPr="000B68C8">
              <w:rPr>
                <w:rFonts w:cs="Times New Roman"/>
                <w:i/>
                <w:sz w:val="18"/>
                <w:szCs w:val="18"/>
              </w:rPr>
              <w:t>item first ignited</w:t>
            </w:r>
          </w:p>
          <w:p w14:paraId="169CF8EA" w14:textId="77777777" w:rsidR="00BB2211" w:rsidRPr="000B68C8" w:rsidRDefault="00BB2211" w:rsidP="00200B84">
            <w:pPr>
              <w:pStyle w:val="NoSpacing"/>
              <w:jc w:val="both"/>
              <w:rPr>
                <w:rFonts w:cs="Times New Roman"/>
                <w:sz w:val="18"/>
                <w:szCs w:val="18"/>
              </w:rPr>
            </w:pPr>
            <w:r w:rsidRPr="000B68C8">
              <w:rPr>
                <w:rFonts w:cs="Times New Roman"/>
                <w:sz w:val="18"/>
                <w:szCs w:val="18"/>
              </w:rPr>
              <w:t>Fabric</w:t>
            </w:r>
          </w:p>
          <w:p w14:paraId="1F05E494" w14:textId="77777777" w:rsidR="00BB2211" w:rsidRPr="000B68C8" w:rsidRDefault="00BB2211" w:rsidP="00200B84">
            <w:pPr>
              <w:pStyle w:val="NoSpacing"/>
              <w:jc w:val="both"/>
              <w:rPr>
                <w:rFonts w:cs="Times New Roman"/>
                <w:sz w:val="18"/>
                <w:szCs w:val="18"/>
              </w:rPr>
            </w:pPr>
            <w:r w:rsidRPr="000B68C8">
              <w:rPr>
                <w:rFonts w:cs="Times New Roman"/>
                <w:sz w:val="18"/>
                <w:szCs w:val="18"/>
              </w:rPr>
              <w:t>Upholstered furniture</w:t>
            </w:r>
          </w:p>
          <w:p w14:paraId="401EC4C0" w14:textId="77777777" w:rsidR="00BB2211" w:rsidRPr="000B68C8" w:rsidRDefault="00BB2211" w:rsidP="00200B84">
            <w:pPr>
              <w:pStyle w:val="NoSpacing"/>
              <w:jc w:val="both"/>
              <w:rPr>
                <w:rFonts w:cs="Times New Roman"/>
                <w:sz w:val="18"/>
                <w:szCs w:val="18"/>
              </w:rPr>
            </w:pPr>
            <w:r w:rsidRPr="000B68C8">
              <w:rPr>
                <w:rFonts w:cs="Times New Roman"/>
                <w:sz w:val="18"/>
                <w:szCs w:val="18"/>
              </w:rPr>
              <w:t>Foam mattress</w:t>
            </w:r>
          </w:p>
          <w:p w14:paraId="776EE26C" w14:textId="77777777" w:rsidR="00BB2211" w:rsidRPr="000B68C8" w:rsidRDefault="00BB2211" w:rsidP="00200B84">
            <w:pPr>
              <w:pStyle w:val="NoSpacing"/>
              <w:jc w:val="both"/>
              <w:rPr>
                <w:rFonts w:cs="Times New Roman"/>
                <w:sz w:val="18"/>
                <w:szCs w:val="18"/>
              </w:rPr>
            </w:pPr>
            <w:r w:rsidRPr="000B68C8">
              <w:rPr>
                <w:rFonts w:cs="Times New Roman"/>
                <w:sz w:val="18"/>
                <w:szCs w:val="18"/>
              </w:rPr>
              <w:t>Flammable liquid</w:t>
            </w:r>
          </w:p>
          <w:p w14:paraId="73F13FEB" w14:textId="77777777" w:rsidR="00BB2211" w:rsidRPr="000B68C8" w:rsidRDefault="00BB2211" w:rsidP="00200B84">
            <w:pPr>
              <w:pStyle w:val="NoSpacing"/>
              <w:jc w:val="both"/>
              <w:rPr>
                <w:rFonts w:cs="Times New Roman"/>
                <w:sz w:val="18"/>
                <w:szCs w:val="18"/>
              </w:rPr>
            </w:pPr>
            <w:r w:rsidRPr="000B68C8">
              <w:rPr>
                <w:rFonts w:cs="Times New Roman"/>
                <w:sz w:val="18"/>
                <w:szCs w:val="18"/>
              </w:rPr>
              <w:t>Flammable gas</w:t>
            </w:r>
          </w:p>
          <w:p w14:paraId="092E0FCA" w14:textId="77777777" w:rsidR="00BB2211" w:rsidRPr="000B68C8" w:rsidRDefault="00BB2211" w:rsidP="00200B84">
            <w:pPr>
              <w:pStyle w:val="NoSpacing"/>
              <w:jc w:val="both"/>
              <w:rPr>
                <w:rFonts w:cs="Times New Roman"/>
                <w:sz w:val="18"/>
                <w:szCs w:val="18"/>
              </w:rPr>
            </w:pPr>
            <w:r w:rsidRPr="000B68C8">
              <w:rPr>
                <w:rFonts w:cs="Times New Roman"/>
                <w:sz w:val="18"/>
                <w:szCs w:val="18"/>
              </w:rPr>
              <w:t xml:space="preserve">Paper or cardboard </w:t>
            </w:r>
            <w:r w:rsidRPr="000B68C8">
              <w:rPr>
                <w:rFonts w:cs="Times New Roman"/>
                <w:i/>
                <w:sz w:val="18"/>
                <w:szCs w:val="18"/>
              </w:rPr>
              <w:t>(including books)</w:t>
            </w:r>
          </w:p>
          <w:p w14:paraId="47205DC6" w14:textId="77777777" w:rsidR="00BB2211" w:rsidRPr="000B68C8" w:rsidRDefault="00BB2211" w:rsidP="00200B84">
            <w:pPr>
              <w:pStyle w:val="NoSpacing"/>
              <w:jc w:val="both"/>
              <w:rPr>
                <w:rFonts w:cs="Times New Roman"/>
                <w:sz w:val="18"/>
                <w:szCs w:val="18"/>
              </w:rPr>
            </w:pPr>
            <w:r w:rsidRPr="000B68C8">
              <w:rPr>
                <w:rFonts w:cs="Times New Roman"/>
                <w:sz w:val="18"/>
                <w:szCs w:val="18"/>
              </w:rPr>
              <w:t>Building elements</w:t>
            </w:r>
          </w:p>
          <w:p w14:paraId="3FBA40E8" w14:textId="77777777" w:rsidR="00BB2211" w:rsidRPr="000B68C8" w:rsidRDefault="00BB2211" w:rsidP="00200B84">
            <w:pPr>
              <w:pStyle w:val="NoSpacing"/>
              <w:jc w:val="both"/>
              <w:rPr>
                <w:rFonts w:cs="Times New Roman"/>
                <w:sz w:val="18"/>
                <w:szCs w:val="18"/>
              </w:rPr>
            </w:pPr>
            <w:r w:rsidRPr="000B68C8">
              <w:rPr>
                <w:rFonts w:cs="Times New Roman"/>
                <w:sz w:val="18"/>
                <w:szCs w:val="18"/>
              </w:rPr>
              <w:t>Rubbish</w:t>
            </w:r>
          </w:p>
          <w:p w14:paraId="6758E529" w14:textId="77777777" w:rsidR="00BB2211" w:rsidRPr="000B68C8" w:rsidRDefault="00BB2211" w:rsidP="00200B84">
            <w:pPr>
              <w:pStyle w:val="NoSpacing"/>
              <w:jc w:val="both"/>
              <w:rPr>
                <w:rFonts w:cs="Times New Roman"/>
                <w:sz w:val="18"/>
                <w:szCs w:val="18"/>
              </w:rPr>
            </w:pPr>
            <w:r w:rsidRPr="000B68C8">
              <w:rPr>
                <w:rFonts w:cs="Times New Roman"/>
                <w:sz w:val="18"/>
                <w:szCs w:val="18"/>
              </w:rPr>
              <w:t>R</w:t>
            </w:r>
            <w:r w:rsidRPr="000B68C8">
              <w:rPr>
                <w:rFonts w:cs="Times New Roman"/>
                <w:iCs/>
                <w:sz w:val="18"/>
                <w:szCs w:val="18"/>
              </w:rPr>
              <w:t>enovation or maintenance related items</w:t>
            </w:r>
          </w:p>
          <w:p w14:paraId="585C50C7" w14:textId="77777777" w:rsidR="00BB2211" w:rsidRPr="000B68C8" w:rsidRDefault="00BB2211" w:rsidP="00200B84">
            <w:pPr>
              <w:pStyle w:val="NoSpacing"/>
              <w:jc w:val="both"/>
              <w:rPr>
                <w:rFonts w:cs="Times New Roman"/>
                <w:sz w:val="18"/>
                <w:szCs w:val="18"/>
              </w:rPr>
            </w:pPr>
            <w:r w:rsidRPr="000B68C8">
              <w:rPr>
                <w:rFonts w:cs="Times New Roman"/>
                <w:sz w:val="18"/>
                <w:szCs w:val="18"/>
              </w:rPr>
              <w:t>Other (write a value) </w:t>
            </w:r>
          </w:p>
        </w:tc>
      </w:tr>
      <w:tr w:rsidR="00BB2211" w:rsidRPr="000B68C8" w14:paraId="5ED6A6A7" w14:textId="77777777" w:rsidTr="00BB2211">
        <w:tblPrEx>
          <w:jc w:val="left"/>
        </w:tblPrEx>
        <w:tc>
          <w:tcPr>
            <w:tcW w:w="0" w:type="auto"/>
            <w:tcBorders>
              <w:top w:val="single" w:sz="4" w:space="0" w:color="auto"/>
              <w:bottom w:val="single" w:sz="4" w:space="0" w:color="auto"/>
            </w:tcBorders>
            <w:vAlign w:val="center"/>
          </w:tcPr>
          <w:p w14:paraId="06043D45" w14:textId="77777777" w:rsidR="00BB2211" w:rsidRPr="000B68C8" w:rsidRDefault="00BB2211" w:rsidP="006362F9">
            <w:pPr>
              <w:pStyle w:val="NoSpacing"/>
              <w:jc w:val="center"/>
              <w:rPr>
                <w:rFonts w:cs="Times New Roman"/>
                <w:sz w:val="18"/>
                <w:szCs w:val="18"/>
              </w:rPr>
            </w:pPr>
            <w:r w:rsidRPr="000B68C8">
              <w:rPr>
                <w:rFonts w:cs="Times New Roman"/>
                <w:sz w:val="18"/>
                <w:szCs w:val="18"/>
              </w:rPr>
              <w:t>Cause – Heat source</w:t>
            </w:r>
          </w:p>
        </w:tc>
        <w:tc>
          <w:tcPr>
            <w:tcW w:w="0" w:type="auto"/>
            <w:tcBorders>
              <w:top w:val="single" w:sz="4" w:space="0" w:color="auto"/>
              <w:bottom w:val="single" w:sz="4" w:space="0" w:color="auto"/>
            </w:tcBorders>
          </w:tcPr>
          <w:p w14:paraId="6BAF33B1"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Household electric appliance</w:t>
            </w:r>
            <w:r w:rsidRPr="000B68C8">
              <w:rPr>
                <w:rFonts w:cs="Times New Roman"/>
                <w:sz w:val="18"/>
                <w:szCs w:val="18"/>
              </w:rPr>
              <w:t>: e.g., Freestanding cooker, Dishwasher, Heater, Other (write a value) </w:t>
            </w:r>
          </w:p>
          <w:p w14:paraId="3B5EECE9"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Other electric appliance or tool</w:t>
            </w:r>
            <w:r w:rsidRPr="000B68C8">
              <w:rPr>
                <w:rFonts w:cs="Times New Roman"/>
                <w:sz w:val="18"/>
                <w:szCs w:val="18"/>
              </w:rPr>
              <w:t>: e.g., Battery, Other (write a value) </w:t>
            </w:r>
          </w:p>
          <w:p w14:paraId="43B377CB"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Electric distribution</w:t>
            </w:r>
            <w:r w:rsidRPr="000B68C8">
              <w:rPr>
                <w:rFonts w:cs="Times New Roman"/>
                <w:sz w:val="18"/>
                <w:szCs w:val="18"/>
              </w:rPr>
              <w:t>: e.g., Wiring, socket, Other (write a value) </w:t>
            </w:r>
          </w:p>
          <w:p w14:paraId="570775B8"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Consumer electronics</w:t>
            </w:r>
            <w:r w:rsidRPr="000B68C8">
              <w:rPr>
                <w:rFonts w:cs="Times New Roman"/>
                <w:sz w:val="18"/>
                <w:szCs w:val="18"/>
              </w:rPr>
              <w:t>: e.g., TV; radio; laptop or tablet computer</w:t>
            </w:r>
          </w:p>
          <w:p w14:paraId="543BFEEA"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Fire or flame</w:t>
            </w:r>
            <w:r w:rsidRPr="000B68C8">
              <w:rPr>
                <w:rFonts w:cs="Times New Roman"/>
                <w:sz w:val="18"/>
                <w:szCs w:val="18"/>
              </w:rPr>
              <w:t>: e.g., Cigarette, Candle, Gas cooker, Other (write a value) </w:t>
            </w:r>
          </w:p>
          <w:p w14:paraId="1CAF4681" w14:textId="77777777" w:rsidR="00BB2211" w:rsidRPr="000B68C8" w:rsidRDefault="00BB2211" w:rsidP="00200B84">
            <w:pPr>
              <w:pStyle w:val="NoSpacing"/>
              <w:jc w:val="both"/>
              <w:rPr>
                <w:rFonts w:cs="Times New Roman"/>
                <w:sz w:val="18"/>
                <w:szCs w:val="18"/>
              </w:rPr>
            </w:pPr>
            <w:r w:rsidRPr="000B68C8">
              <w:rPr>
                <w:rFonts w:cs="Times New Roman"/>
                <w:i/>
                <w:iCs/>
                <w:sz w:val="18"/>
                <w:szCs w:val="18"/>
              </w:rPr>
              <w:t>Other</w:t>
            </w:r>
            <w:r w:rsidRPr="000B68C8">
              <w:rPr>
                <w:rFonts w:cs="Times New Roman"/>
                <w:sz w:val="18"/>
                <w:szCs w:val="18"/>
              </w:rPr>
              <w:t>: e.g., Lightning, Explosive substance, Other (write a value) </w:t>
            </w:r>
          </w:p>
          <w:p w14:paraId="0B308122" w14:textId="77777777" w:rsidR="00BB2211" w:rsidRPr="000B68C8" w:rsidRDefault="00BB2211" w:rsidP="00200B84">
            <w:pPr>
              <w:pStyle w:val="NoSpacing"/>
              <w:jc w:val="both"/>
              <w:rPr>
                <w:rFonts w:cs="Times New Roman"/>
                <w:i/>
                <w:iCs/>
                <w:sz w:val="18"/>
                <w:szCs w:val="18"/>
              </w:rPr>
            </w:pPr>
            <w:r w:rsidRPr="000B68C8">
              <w:rPr>
                <w:rFonts w:cs="Times New Roman"/>
                <w:i/>
                <w:iCs/>
                <w:sz w:val="18"/>
                <w:szCs w:val="18"/>
              </w:rPr>
              <w:t>Undetermined</w:t>
            </w:r>
          </w:p>
        </w:tc>
      </w:tr>
      <w:tr w:rsidR="00BB2211" w:rsidRPr="000B68C8" w14:paraId="5DFEB09C" w14:textId="77777777" w:rsidTr="00BB2211">
        <w:tblPrEx>
          <w:jc w:val="left"/>
        </w:tblPrEx>
        <w:tc>
          <w:tcPr>
            <w:tcW w:w="0" w:type="auto"/>
            <w:tcBorders>
              <w:top w:val="single" w:sz="4" w:space="0" w:color="auto"/>
              <w:bottom w:val="single" w:sz="4" w:space="0" w:color="auto"/>
            </w:tcBorders>
            <w:vAlign w:val="center"/>
          </w:tcPr>
          <w:p w14:paraId="6BC44270" w14:textId="77777777" w:rsidR="00BB2211" w:rsidRPr="000B68C8" w:rsidRDefault="00BB2211" w:rsidP="006362F9">
            <w:pPr>
              <w:pStyle w:val="NoSpacing"/>
              <w:jc w:val="center"/>
              <w:rPr>
                <w:rFonts w:cs="Times New Roman"/>
                <w:sz w:val="18"/>
                <w:szCs w:val="18"/>
              </w:rPr>
            </w:pPr>
            <w:r w:rsidRPr="000B68C8">
              <w:rPr>
                <w:rFonts w:cs="Times New Roman"/>
                <w:sz w:val="18"/>
                <w:szCs w:val="18"/>
              </w:rPr>
              <w:t>Cause – Primary causal factor</w:t>
            </w:r>
          </w:p>
        </w:tc>
        <w:tc>
          <w:tcPr>
            <w:tcW w:w="0" w:type="auto"/>
            <w:tcBorders>
              <w:top w:val="single" w:sz="4" w:space="0" w:color="auto"/>
              <w:bottom w:val="single" w:sz="4" w:space="0" w:color="auto"/>
            </w:tcBorders>
          </w:tcPr>
          <w:p w14:paraId="6335A07F" w14:textId="77777777" w:rsidR="00BB2211" w:rsidRPr="000B68C8" w:rsidRDefault="00BB2211" w:rsidP="00200B84">
            <w:pPr>
              <w:pStyle w:val="NoSpacing"/>
              <w:jc w:val="both"/>
              <w:rPr>
                <w:rFonts w:cs="Times New Roman"/>
                <w:i/>
                <w:iCs/>
                <w:sz w:val="18"/>
                <w:szCs w:val="18"/>
              </w:rPr>
            </w:pPr>
            <w:r w:rsidRPr="000B68C8">
              <w:rPr>
                <w:rFonts w:cs="Times New Roman"/>
                <w:i/>
                <w:iCs/>
                <w:sz w:val="18"/>
                <w:szCs w:val="18"/>
              </w:rPr>
              <w:t>Human act or omission</w:t>
            </w:r>
          </w:p>
          <w:p w14:paraId="1B5B11DD" w14:textId="00FB1316" w:rsidR="00BB2211" w:rsidRPr="000B68C8" w:rsidRDefault="00F21BF1" w:rsidP="00200B84">
            <w:pPr>
              <w:pStyle w:val="NoSpacing"/>
              <w:jc w:val="both"/>
              <w:rPr>
                <w:rFonts w:cs="Times New Roman"/>
                <w:iCs/>
                <w:sz w:val="18"/>
                <w:szCs w:val="18"/>
              </w:rPr>
            </w:pPr>
            <w:r w:rsidRPr="000B68C8">
              <w:rPr>
                <w:rFonts w:cs="Times New Roman"/>
                <w:sz w:val="18"/>
                <w:szCs w:val="18"/>
              </w:rPr>
              <w:t xml:space="preserve">    </w:t>
            </w:r>
            <w:r w:rsidR="00BB2211" w:rsidRPr="000B68C8">
              <w:rPr>
                <w:rFonts w:cs="Times New Roman"/>
                <w:sz w:val="18"/>
                <w:szCs w:val="18"/>
              </w:rPr>
              <w:t xml:space="preserve">Intentional </w:t>
            </w:r>
            <w:r w:rsidR="00BB2211" w:rsidRPr="000B68C8">
              <w:rPr>
                <w:rFonts w:cs="Times New Roman"/>
                <w:iCs/>
                <w:sz w:val="18"/>
                <w:szCs w:val="18"/>
              </w:rPr>
              <w:t>(A fire which is intentionally ignited under circumstances in which the</w:t>
            </w:r>
            <w:r w:rsidR="000B6E55" w:rsidRPr="000B68C8">
              <w:rPr>
                <w:rFonts w:cs="Times New Roman"/>
                <w:iCs/>
                <w:sz w:val="18"/>
                <w:szCs w:val="18"/>
              </w:rPr>
              <w:t xml:space="preserve">  </w:t>
            </w:r>
            <w:r w:rsidR="00917644" w:rsidRPr="000B68C8">
              <w:rPr>
                <w:rFonts w:cs="Times New Roman"/>
                <w:iCs/>
                <w:sz w:val="18"/>
                <w:szCs w:val="18"/>
              </w:rPr>
              <w:t xml:space="preserve">    </w:t>
            </w:r>
            <w:r w:rsidR="00BB2211" w:rsidRPr="000B68C8">
              <w:rPr>
                <w:rFonts w:cs="Times New Roman"/>
                <w:iCs/>
                <w:sz w:val="18"/>
                <w:szCs w:val="18"/>
              </w:rPr>
              <w:t>person knows that the fire should not be ignited)</w:t>
            </w:r>
          </w:p>
          <w:p w14:paraId="0FC90A14" w14:textId="4F150114" w:rsidR="00BB2211" w:rsidRPr="000B68C8" w:rsidRDefault="00F21BF1" w:rsidP="00200B84">
            <w:pPr>
              <w:pStyle w:val="NoSpacing"/>
              <w:jc w:val="both"/>
              <w:rPr>
                <w:rFonts w:cs="Times New Roman"/>
                <w:iCs/>
                <w:sz w:val="18"/>
                <w:szCs w:val="18"/>
              </w:rPr>
            </w:pPr>
            <w:r w:rsidRPr="000B68C8">
              <w:rPr>
                <w:rFonts w:cs="Times New Roman"/>
                <w:iCs/>
                <w:sz w:val="18"/>
                <w:szCs w:val="18"/>
              </w:rPr>
              <w:t xml:space="preserve">    </w:t>
            </w:r>
            <w:r w:rsidR="00BB2211" w:rsidRPr="000B68C8">
              <w:rPr>
                <w:rFonts w:cs="Times New Roman"/>
                <w:iCs/>
                <w:sz w:val="18"/>
                <w:szCs w:val="18"/>
              </w:rPr>
              <w:t>Unintentional (the damage caused by the fire was unintentional)</w:t>
            </w:r>
          </w:p>
          <w:p w14:paraId="2E945CFC" w14:textId="41A7FD9E" w:rsidR="00BB2211" w:rsidRPr="000B68C8" w:rsidRDefault="00F21BF1" w:rsidP="00200B84">
            <w:pPr>
              <w:pStyle w:val="NoSpacing"/>
              <w:jc w:val="both"/>
              <w:rPr>
                <w:rFonts w:cs="Times New Roman"/>
                <w:sz w:val="18"/>
                <w:szCs w:val="18"/>
              </w:rPr>
            </w:pPr>
            <w:r w:rsidRPr="000B68C8">
              <w:rPr>
                <w:rFonts w:cs="Times New Roman"/>
                <w:sz w:val="18"/>
                <w:szCs w:val="18"/>
              </w:rPr>
              <w:t xml:space="preserve">    </w:t>
            </w:r>
            <w:r w:rsidR="00BB2211" w:rsidRPr="000B68C8">
              <w:rPr>
                <w:rFonts w:cs="Times New Roman"/>
                <w:sz w:val="18"/>
                <w:szCs w:val="18"/>
              </w:rPr>
              <w:t>Undetermined</w:t>
            </w:r>
            <w:r w:rsidR="00A950AE" w:rsidRPr="000B68C8">
              <w:rPr>
                <w:rFonts w:cs="Times New Roman"/>
                <w:sz w:val="18"/>
                <w:szCs w:val="18"/>
              </w:rPr>
              <w:t xml:space="preserve"> intent</w:t>
            </w:r>
          </w:p>
          <w:p w14:paraId="0CC00079" w14:textId="77777777" w:rsidR="00BB2211" w:rsidRPr="000B68C8" w:rsidRDefault="00BB2211" w:rsidP="00200B84">
            <w:pPr>
              <w:pStyle w:val="NoSpacing"/>
              <w:jc w:val="both"/>
              <w:rPr>
                <w:rFonts w:cs="Times New Roman"/>
                <w:i/>
                <w:iCs/>
                <w:sz w:val="18"/>
                <w:szCs w:val="18"/>
              </w:rPr>
            </w:pPr>
            <w:r w:rsidRPr="000B68C8">
              <w:rPr>
                <w:rFonts w:cs="Times New Roman"/>
                <w:i/>
                <w:iCs/>
                <w:sz w:val="18"/>
                <w:szCs w:val="18"/>
              </w:rPr>
              <w:t>Equipment failure</w:t>
            </w:r>
          </w:p>
          <w:p w14:paraId="3CDEDC07" w14:textId="77777777" w:rsidR="00BB2211" w:rsidRPr="000B68C8" w:rsidRDefault="00BB2211" w:rsidP="00200B84">
            <w:pPr>
              <w:pStyle w:val="NoSpacing"/>
              <w:jc w:val="both"/>
              <w:rPr>
                <w:rFonts w:cs="Times New Roman"/>
                <w:i/>
                <w:iCs/>
                <w:sz w:val="18"/>
                <w:szCs w:val="18"/>
              </w:rPr>
            </w:pPr>
            <w:r w:rsidRPr="000B68C8">
              <w:rPr>
                <w:rFonts w:cs="Times New Roman"/>
                <w:i/>
                <w:iCs/>
                <w:sz w:val="18"/>
                <w:szCs w:val="18"/>
              </w:rPr>
              <w:t>Natural phenomenon</w:t>
            </w:r>
          </w:p>
          <w:p w14:paraId="75627A67" w14:textId="5CFE810E" w:rsidR="00BB2211" w:rsidRPr="000B68C8" w:rsidRDefault="00BB2211" w:rsidP="00200B84">
            <w:pPr>
              <w:pStyle w:val="NoSpacing"/>
              <w:jc w:val="both"/>
              <w:rPr>
                <w:rFonts w:eastAsiaTheme="majorEastAsia" w:cs="Times New Roman"/>
                <w:i/>
                <w:sz w:val="18"/>
                <w:szCs w:val="18"/>
              </w:rPr>
            </w:pPr>
            <w:r w:rsidRPr="000B68C8">
              <w:rPr>
                <w:rFonts w:cs="Times New Roman"/>
                <w:i/>
                <w:iCs/>
                <w:sz w:val="18"/>
                <w:szCs w:val="18"/>
              </w:rPr>
              <w:t>Undetermined</w:t>
            </w:r>
            <w:r w:rsidRPr="000B68C8">
              <w:rPr>
                <w:rFonts w:cs="Times New Roman"/>
                <w:i/>
                <w:sz w:val="18"/>
                <w:szCs w:val="18"/>
              </w:rPr>
              <w:t> </w:t>
            </w:r>
          </w:p>
        </w:tc>
      </w:tr>
      <w:tr w:rsidR="00BB2211" w:rsidRPr="000B68C8" w14:paraId="50CD1DAD" w14:textId="77777777" w:rsidTr="00BB2211">
        <w:tblPrEx>
          <w:jc w:val="left"/>
        </w:tblPrEx>
        <w:tc>
          <w:tcPr>
            <w:tcW w:w="0" w:type="auto"/>
            <w:gridSpan w:val="2"/>
            <w:tcBorders>
              <w:top w:val="single" w:sz="4" w:space="0" w:color="auto"/>
              <w:bottom w:val="single" w:sz="4" w:space="0" w:color="auto"/>
            </w:tcBorders>
            <w:vAlign w:val="center"/>
          </w:tcPr>
          <w:p w14:paraId="7FFE1088" w14:textId="2C681FDC" w:rsidR="00BB2211" w:rsidRPr="000B68C8" w:rsidRDefault="002224E1" w:rsidP="004933E8">
            <w:pPr>
              <w:pStyle w:val="NoSpacing"/>
              <w:rPr>
                <w:rFonts w:cs="Times New Roman"/>
                <w:sz w:val="18"/>
                <w:szCs w:val="18"/>
              </w:rPr>
            </w:pPr>
            <w:r w:rsidRPr="000B68C8">
              <w:rPr>
                <w:rFonts w:cs="Times New Roman"/>
                <w:sz w:val="18"/>
                <w:szCs w:val="18"/>
                <w:vertAlign w:val="superscript"/>
              </w:rPr>
              <w:t>*</w:t>
            </w:r>
            <w:r w:rsidR="00BB2211" w:rsidRPr="000B68C8">
              <w:rPr>
                <w:rFonts w:cs="Times New Roman"/>
                <w:sz w:val="18"/>
                <w:szCs w:val="18"/>
              </w:rPr>
              <w:t>Multiple choices are allowed</w:t>
            </w:r>
          </w:p>
        </w:tc>
      </w:tr>
    </w:tbl>
    <w:p w14:paraId="73A41A25" w14:textId="165DBE50" w:rsidR="00F74A60" w:rsidRPr="000B68C8" w:rsidRDefault="00F74A60" w:rsidP="00F74A60">
      <w:pPr>
        <w:rPr>
          <w:rFonts w:cs="Times New Roman"/>
          <w:lang w:val="en-US"/>
        </w:rPr>
      </w:pPr>
      <w:r w:rsidRPr="000B68C8">
        <w:t>Some comparison</w:t>
      </w:r>
      <w:r w:rsidR="00FE3FB6" w:rsidRPr="000B68C8">
        <w:t>s</w:t>
      </w:r>
      <w:r w:rsidRPr="000B68C8">
        <w:t xml:space="preserve"> between the proposed terminology and the </w:t>
      </w:r>
      <w:r w:rsidRPr="000B68C8">
        <w:rPr>
          <w:rFonts w:cs="Times New Roman"/>
          <w:lang w:val="en-US"/>
        </w:rPr>
        <w:t>ISO/TS 17755-2:2020(E)</w:t>
      </w:r>
      <w:r w:rsidR="00C040BC" w:rsidRPr="000B68C8">
        <w:rPr>
          <w:rFonts w:cs="Times New Roman"/>
          <w:lang w:val="en-US"/>
        </w:rPr>
        <w:t xml:space="preserve"> </w:t>
      </w:r>
      <w:r w:rsidR="00C040BC" w:rsidRPr="000B68C8">
        <w:rPr>
          <w:rFonts w:cs="Times New Roman"/>
          <w:lang w:val="en-US"/>
        </w:rPr>
        <w:fldChar w:fldCharType="begin" w:fldLock="1"/>
      </w:r>
      <w:r w:rsidR="008542D3" w:rsidRPr="000B68C8">
        <w:rPr>
          <w:rFonts w:cs="Times New Roman"/>
          <w:lang w:val="en-US"/>
        </w:rPr>
        <w:instrText>ADDIN CSL_CITATION {"citationItems":[{"id":"ITEM-1","itemData":{"author":[{"dropping-particle":"","family":"ISO/TS 17755-2:2020(E)","given":"","non-dropping-particle":"","parse-names":false,"suffix":""}],"id":"ITEM-1","issued":{"date-parts":[["2020"]]},"title":"Fire safety — Statistical data collection — Part 2: Vocabulary Reference","type":"report"},"uris":["http://www.mendeley.com/documents/?uuid=c20aea03-4af5-43a9-9667-f45352607a4e"]}],"mendeley":{"formattedCitation":"[20]","plainTextFormattedCitation":"[20]","previouslyFormattedCitation":"[20]"},"properties":{"noteIndex":0},"schema":"https://github.com/citation-style-language/schema/raw/master/csl-citation.json"}</w:instrText>
      </w:r>
      <w:r w:rsidR="00C040BC" w:rsidRPr="000B68C8">
        <w:rPr>
          <w:rFonts w:cs="Times New Roman"/>
          <w:lang w:val="en-US"/>
        </w:rPr>
        <w:fldChar w:fldCharType="separate"/>
      </w:r>
      <w:r w:rsidR="00C040BC" w:rsidRPr="000B68C8">
        <w:rPr>
          <w:rFonts w:cs="Times New Roman"/>
          <w:noProof/>
          <w:lang w:val="en-US"/>
        </w:rPr>
        <w:t>[20]</w:t>
      </w:r>
      <w:r w:rsidR="00C040BC" w:rsidRPr="000B68C8">
        <w:rPr>
          <w:rFonts w:cs="Times New Roman"/>
          <w:lang w:val="en-US"/>
        </w:rPr>
        <w:fldChar w:fldCharType="end"/>
      </w:r>
      <w:r w:rsidR="008542D3" w:rsidRPr="000B68C8">
        <w:rPr>
          <w:rFonts w:cs="Times New Roman"/>
          <w:lang w:val="en-US"/>
        </w:rPr>
        <w:t xml:space="preserve"> </w:t>
      </w:r>
      <w:r w:rsidRPr="000B68C8">
        <w:rPr>
          <w:rFonts w:cs="Times New Roman"/>
          <w:lang w:val="en-US"/>
        </w:rPr>
        <w:t xml:space="preserve">and </w:t>
      </w:r>
      <w:r w:rsidR="00A10C6C" w:rsidRPr="000B68C8">
        <w:rPr>
          <w:rFonts w:cs="Times New Roman"/>
          <w:lang w:val="en-US"/>
        </w:rPr>
        <w:t xml:space="preserve">the </w:t>
      </w:r>
      <w:r w:rsidRPr="000B68C8">
        <w:rPr>
          <w:rFonts w:cs="Times New Roman"/>
          <w:lang w:val="en-US"/>
        </w:rPr>
        <w:t xml:space="preserve">ISO/TR 17755:2014 </w:t>
      </w:r>
      <w:r w:rsidR="008542D3" w:rsidRPr="000B68C8">
        <w:rPr>
          <w:rFonts w:cs="Times New Roman"/>
          <w:lang w:val="en-US"/>
        </w:rPr>
        <w:fldChar w:fldCharType="begin" w:fldLock="1"/>
      </w:r>
      <w:r w:rsidR="00C70715" w:rsidRPr="000B68C8">
        <w:rPr>
          <w:rFonts w:cs="Times New Roman"/>
          <w:lang w:val="en-US"/>
        </w:rPr>
        <w:instrText>ADDIN CSL_CITATION {"citationItems":[{"id":"ITEM-1","itemData":{"author":[{"dropping-particle":"","family":"PD ISO/TR 17755:2014","given":"","non-dropping-particle":"","parse-names":false,"suffix":""}],"id":"ITEM-1","issued":{"date-parts":[["2014"]]},"title":"Fire safety — Overview of national fire statistics practices","type":"report"},"uris":["http://www.mendeley.com/documents/?uuid=96b3e786-9566-493e-b87e-49d51b361e74"]}],"mendeley":{"formattedCitation":"[19]","plainTextFormattedCitation":"[19]","previouslyFormattedCitation":"[19]"},"properties":{"noteIndex":0},"schema":"https://github.com/citation-style-language/schema/raw/master/csl-citation.json"}</w:instrText>
      </w:r>
      <w:r w:rsidR="008542D3" w:rsidRPr="000B68C8">
        <w:rPr>
          <w:rFonts w:cs="Times New Roman"/>
          <w:lang w:val="en-US"/>
        </w:rPr>
        <w:fldChar w:fldCharType="separate"/>
      </w:r>
      <w:r w:rsidR="008542D3" w:rsidRPr="000B68C8">
        <w:rPr>
          <w:rFonts w:cs="Times New Roman"/>
          <w:noProof/>
          <w:lang w:val="en-US"/>
        </w:rPr>
        <w:t>[19]</w:t>
      </w:r>
      <w:r w:rsidR="008542D3" w:rsidRPr="000B68C8">
        <w:rPr>
          <w:rFonts w:cs="Times New Roman"/>
          <w:lang w:val="en-US"/>
        </w:rPr>
        <w:fldChar w:fldCharType="end"/>
      </w:r>
      <w:r w:rsidR="008542D3" w:rsidRPr="000B68C8">
        <w:rPr>
          <w:rFonts w:cs="Times New Roman"/>
          <w:lang w:val="en-US"/>
        </w:rPr>
        <w:t xml:space="preserve"> </w:t>
      </w:r>
      <w:r w:rsidR="004B595C" w:rsidRPr="000B68C8">
        <w:rPr>
          <w:rFonts w:cs="Times New Roman"/>
          <w:lang w:val="en-US"/>
        </w:rPr>
        <w:t>are</w:t>
      </w:r>
      <w:r w:rsidRPr="000B68C8">
        <w:rPr>
          <w:rFonts w:cs="Times New Roman"/>
          <w:lang w:val="en-US"/>
        </w:rPr>
        <w:t xml:space="preserve"> presented as an example</w:t>
      </w:r>
      <w:r w:rsidRPr="000B68C8">
        <w:t xml:space="preserve">. The </w:t>
      </w:r>
      <w:r w:rsidRPr="000B68C8">
        <w:rPr>
          <w:i/>
          <w:iCs/>
        </w:rPr>
        <w:t>incident date</w:t>
      </w:r>
      <w:r w:rsidRPr="000B68C8">
        <w:t xml:space="preserve">, </w:t>
      </w:r>
      <w:r w:rsidRPr="000B68C8">
        <w:rPr>
          <w:i/>
          <w:iCs/>
        </w:rPr>
        <w:t>incident time</w:t>
      </w:r>
      <w:r w:rsidRPr="000B68C8">
        <w:t xml:space="preserve">, </w:t>
      </w:r>
      <w:r w:rsidRPr="000B68C8">
        <w:rPr>
          <w:i/>
          <w:iCs/>
        </w:rPr>
        <w:t>incident location</w:t>
      </w:r>
      <w:r w:rsidRPr="000B68C8">
        <w:t xml:space="preserve">, </w:t>
      </w:r>
      <w:r w:rsidRPr="000B68C8">
        <w:rPr>
          <w:i/>
          <w:iCs/>
        </w:rPr>
        <w:t xml:space="preserve">article contributing to fire development </w:t>
      </w:r>
      <w:r w:rsidRPr="000B68C8">
        <w:t>and</w:t>
      </w:r>
      <w:r w:rsidRPr="000B68C8">
        <w:rPr>
          <w:i/>
          <w:iCs/>
        </w:rPr>
        <w:t xml:space="preserve"> fire safety measures</w:t>
      </w:r>
      <w:r w:rsidRPr="000B68C8">
        <w:t xml:space="preserve"> are not defined in </w:t>
      </w:r>
      <w:r w:rsidR="00A10C6C" w:rsidRPr="000B68C8">
        <w:t xml:space="preserve">the </w:t>
      </w:r>
      <w:r w:rsidRPr="000B68C8">
        <w:rPr>
          <w:rFonts w:cs="Times New Roman"/>
          <w:lang w:val="en-US"/>
        </w:rPr>
        <w:t xml:space="preserve">ISO/TS 17755-2:2020(E). Having definitions and collecting these variables could be important for the fire statistics and the resulting mitigation methods. </w:t>
      </w:r>
    </w:p>
    <w:p w14:paraId="0738BB2D" w14:textId="4969C7B3" w:rsidR="00F74A60" w:rsidRPr="000B68C8" w:rsidRDefault="00F63B69" w:rsidP="00F74A60">
      <w:pPr>
        <w:rPr>
          <w:rFonts w:cs="Times New Roman"/>
          <w:lang w:val="en-US"/>
        </w:rPr>
      </w:pPr>
      <w:r w:rsidRPr="000B68C8">
        <w:rPr>
          <w:rFonts w:cs="Times New Roman"/>
          <w:lang w:val="en-US"/>
        </w:rPr>
        <w:t>For</w:t>
      </w:r>
      <w:r w:rsidR="00F74A60" w:rsidRPr="000B68C8">
        <w:rPr>
          <w:rFonts w:cs="Times New Roman"/>
          <w:lang w:val="en-US"/>
        </w:rPr>
        <w:t xml:space="preserve"> the </w:t>
      </w:r>
      <w:r w:rsidR="00F74A60" w:rsidRPr="000B68C8">
        <w:rPr>
          <w:rFonts w:cs="Times New Roman"/>
          <w:i/>
          <w:iCs/>
          <w:lang w:val="en-US"/>
        </w:rPr>
        <w:t>number of fatalities</w:t>
      </w:r>
      <w:r w:rsidR="00F74A60" w:rsidRPr="000B68C8">
        <w:rPr>
          <w:rFonts w:cs="Times New Roman"/>
          <w:lang w:val="en-US"/>
        </w:rPr>
        <w:t xml:space="preserve"> and</w:t>
      </w:r>
      <w:r w:rsidR="00ED79C7" w:rsidRPr="000B68C8">
        <w:rPr>
          <w:rFonts w:cs="Times New Roman"/>
          <w:lang w:val="en-US"/>
        </w:rPr>
        <w:t xml:space="preserve"> the</w:t>
      </w:r>
      <w:r w:rsidR="00F74A60" w:rsidRPr="000B68C8">
        <w:rPr>
          <w:rFonts w:cs="Times New Roman"/>
          <w:lang w:val="en-US"/>
        </w:rPr>
        <w:t xml:space="preserve"> </w:t>
      </w:r>
      <w:r w:rsidR="00F74A60" w:rsidRPr="000B68C8">
        <w:rPr>
          <w:rFonts w:cs="Times New Roman"/>
          <w:i/>
          <w:iCs/>
          <w:lang w:val="en-US"/>
        </w:rPr>
        <w:t>number of injuries</w:t>
      </w:r>
      <w:r w:rsidR="00F74A60" w:rsidRPr="000B68C8">
        <w:rPr>
          <w:rFonts w:cs="Times New Roman"/>
          <w:lang w:val="en-US"/>
        </w:rPr>
        <w:t>, the ISO/TS 17755-2:2020(E) proposes several variables for the same definition and for some cases there are multiple definitions with relatively similar meaning</w:t>
      </w:r>
      <w:r w:rsidR="00DF5EAF" w:rsidRPr="000B68C8">
        <w:rPr>
          <w:rFonts w:cs="Times New Roman"/>
          <w:lang w:val="en-US"/>
        </w:rPr>
        <w:t>s</w:t>
      </w:r>
      <w:r w:rsidR="00F74A60" w:rsidRPr="000B68C8">
        <w:rPr>
          <w:rFonts w:cs="Times New Roman"/>
          <w:lang w:val="en-US"/>
        </w:rPr>
        <w:t xml:space="preserve">. For example, </w:t>
      </w:r>
      <w:r w:rsidR="00F74A60" w:rsidRPr="000B68C8">
        <w:rPr>
          <w:rFonts w:cs="Times New Roman"/>
          <w:i/>
          <w:iCs/>
          <w:lang w:val="en-US"/>
        </w:rPr>
        <w:t>fatal fire casualty</w:t>
      </w:r>
      <w:r w:rsidR="00F74A60" w:rsidRPr="000B68C8">
        <w:rPr>
          <w:rFonts w:cs="Times New Roman"/>
          <w:lang w:val="en-US"/>
        </w:rPr>
        <w:t xml:space="preserve">, </w:t>
      </w:r>
      <w:r w:rsidR="00F74A60" w:rsidRPr="000B68C8">
        <w:rPr>
          <w:rFonts w:cs="Times New Roman"/>
          <w:i/>
          <w:iCs/>
          <w:lang w:val="en-US"/>
        </w:rPr>
        <w:t>fire fatality</w:t>
      </w:r>
      <w:r w:rsidR="00F74A60" w:rsidRPr="000B68C8">
        <w:rPr>
          <w:rFonts w:cs="Times New Roman"/>
          <w:lang w:val="en-US"/>
        </w:rPr>
        <w:t xml:space="preserve">, </w:t>
      </w:r>
      <w:r w:rsidR="00F74A60" w:rsidRPr="000B68C8">
        <w:rPr>
          <w:rFonts w:cs="Times New Roman"/>
          <w:i/>
          <w:iCs/>
          <w:lang w:val="en-US"/>
        </w:rPr>
        <w:t>fatal fire injury</w:t>
      </w:r>
      <w:r w:rsidR="00F74A60" w:rsidRPr="000B68C8">
        <w:rPr>
          <w:rFonts w:cs="Times New Roman"/>
          <w:lang w:val="en-US"/>
        </w:rPr>
        <w:t xml:space="preserve"> and </w:t>
      </w:r>
      <w:r w:rsidR="00F74A60" w:rsidRPr="000B68C8">
        <w:rPr>
          <w:rFonts w:cs="Times New Roman"/>
          <w:i/>
          <w:iCs/>
          <w:lang w:val="en-US"/>
        </w:rPr>
        <w:t>fire death</w:t>
      </w:r>
      <w:r w:rsidR="00F74A60" w:rsidRPr="000B68C8">
        <w:rPr>
          <w:rFonts w:cs="Times New Roman"/>
          <w:lang w:val="en-US"/>
        </w:rPr>
        <w:t xml:space="preserve"> have all the same definition, and it refers to a person who has dies as a result of injuries sustained during a fire incident. </w:t>
      </w:r>
      <w:r w:rsidR="00F74A60" w:rsidRPr="000B68C8">
        <w:rPr>
          <w:rFonts w:cs="Times New Roman"/>
          <w:i/>
          <w:iCs/>
          <w:lang w:val="en-US"/>
        </w:rPr>
        <w:t>Fire casualty</w:t>
      </w:r>
      <w:r w:rsidR="00F74A60" w:rsidRPr="000B68C8">
        <w:rPr>
          <w:rFonts w:cs="Times New Roman"/>
          <w:lang w:val="en-US"/>
        </w:rPr>
        <w:t xml:space="preserve"> and </w:t>
      </w:r>
      <w:r w:rsidR="00F74A60" w:rsidRPr="000B68C8">
        <w:rPr>
          <w:rFonts w:cs="Times New Roman"/>
          <w:i/>
          <w:iCs/>
          <w:lang w:val="en-US"/>
        </w:rPr>
        <w:t>fire victim</w:t>
      </w:r>
      <w:r w:rsidR="00F74A60" w:rsidRPr="000B68C8">
        <w:rPr>
          <w:rFonts w:cs="Times New Roman"/>
          <w:lang w:val="en-US"/>
        </w:rPr>
        <w:t xml:space="preserve"> is defined as a person killed or injured as a direct effect of a fire without any limit of time following the date on which the injury was sustained. </w:t>
      </w:r>
      <w:r w:rsidR="00F74A60" w:rsidRPr="000B68C8">
        <w:rPr>
          <w:rFonts w:cs="Times New Roman"/>
          <w:i/>
          <w:iCs/>
          <w:lang w:val="en-US"/>
        </w:rPr>
        <w:t>Fire injury</w:t>
      </w:r>
      <w:r w:rsidR="00F74A60" w:rsidRPr="000B68C8">
        <w:rPr>
          <w:rFonts w:cs="Times New Roman"/>
          <w:lang w:val="en-US"/>
        </w:rPr>
        <w:t xml:space="preserve"> is defined as a person who is injured (but not fatally) as a result of a fire incident, without any limitations o</w:t>
      </w:r>
      <w:r w:rsidR="006024F3" w:rsidRPr="000B68C8">
        <w:rPr>
          <w:rFonts w:cs="Times New Roman"/>
          <w:lang w:val="en-US"/>
        </w:rPr>
        <w:t>n</w:t>
      </w:r>
      <w:r w:rsidR="00F74A60" w:rsidRPr="000B68C8">
        <w:rPr>
          <w:rFonts w:cs="Times New Roman"/>
          <w:lang w:val="en-US"/>
        </w:rPr>
        <w:t xml:space="preserve"> time after the fire. These definitions proposed in the ISO/TS 17755-2:2020(E) are very similar and several variables have the same meaning, thus might cause confusion when used. The proposals </w:t>
      </w:r>
      <w:r w:rsidR="00A10C6C" w:rsidRPr="000B68C8">
        <w:rPr>
          <w:rFonts w:cs="Times New Roman"/>
          <w:lang w:val="en-US"/>
        </w:rPr>
        <w:t xml:space="preserve">developed </w:t>
      </w:r>
      <w:r w:rsidR="00F74A60" w:rsidRPr="000B68C8">
        <w:rPr>
          <w:rFonts w:cs="Times New Roman"/>
          <w:lang w:val="en-US"/>
        </w:rPr>
        <w:t xml:space="preserve">in this </w:t>
      </w:r>
      <w:r w:rsidR="00A10C6C" w:rsidRPr="000B68C8">
        <w:rPr>
          <w:rFonts w:cs="Times New Roman"/>
          <w:lang w:val="en-US"/>
        </w:rPr>
        <w:t>analysis</w:t>
      </w:r>
      <w:r w:rsidR="00F74A60" w:rsidRPr="000B68C8">
        <w:rPr>
          <w:rFonts w:cs="Times New Roman"/>
          <w:lang w:val="en-US"/>
        </w:rPr>
        <w:t xml:space="preserve"> </w:t>
      </w:r>
      <w:r w:rsidR="00A10C6C" w:rsidRPr="000B68C8">
        <w:rPr>
          <w:rFonts w:cs="Times New Roman"/>
          <w:lang w:val="en-US"/>
        </w:rPr>
        <w:t>suggest</w:t>
      </w:r>
      <w:r w:rsidR="00F74A60" w:rsidRPr="000B68C8">
        <w:rPr>
          <w:rFonts w:cs="Times New Roman"/>
          <w:lang w:val="en-US"/>
        </w:rPr>
        <w:t xml:space="preserve"> </w:t>
      </w:r>
      <w:r w:rsidR="00DE6589" w:rsidRPr="000B68C8">
        <w:rPr>
          <w:rFonts w:cs="Times New Roman"/>
          <w:lang w:val="en-US"/>
        </w:rPr>
        <w:t>using</w:t>
      </w:r>
      <w:r w:rsidR="00F74A60" w:rsidRPr="000B68C8">
        <w:rPr>
          <w:rFonts w:cs="Times New Roman"/>
          <w:lang w:val="en-US"/>
        </w:rPr>
        <w:t xml:space="preserve"> one variable that carries a certain meaning, instead of several. Another difference is that the time span to collect the proposed variables is limited to </w:t>
      </w:r>
      <w:r w:rsidR="00BC2102" w:rsidRPr="000B68C8">
        <w:rPr>
          <w:rFonts w:cs="Times New Roman"/>
          <w:lang w:val="en-US"/>
        </w:rPr>
        <w:t>one</w:t>
      </w:r>
      <w:r w:rsidR="00F74A60" w:rsidRPr="000B68C8">
        <w:rPr>
          <w:rFonts w:cs="Times New Roman"/>
          <w:lang w:val="en-US"/>
        </w:rPr>
        <w:t xml:space="preserve"> year (</w:t>
      </w:r>
      <w:r w:rsidR="00DC4DAD" w:rsidRPr="000B68C8">
        <w:rPr>
          <w:rFonts w:cs="Times New Roman"/>
          <w:lang w:val="en-US"/>
        </w:rPr>
        <w:t xml:space="preserve">a </w:t>
      </w:r>
      <w:r w:rsidR="00F74A60" w:rsidRPr="000B68C8">
        <w:rPr>
          <w:rFonts w:cs="Times New Roman"/>
          <w:lang w:val="en-US"/>
        </w:rPr>
        <w:t xml:space="preserve">minimum of </w:t>
      </w:r>
      <w:r w:rsidR="00BC2102" w:rsidRPr="000B68C8">
        <w:rPr>
          <w:rFonts w:cs="Times New Roman"/>
          <w:lang w:val="en-US"/>
        </w:rPr>
        <w:t>three</w:t>
      </w:r>
      <w:r w:rsidR="00F74A60" w:rsidRPr="000B68C8">
        <w:rPr>
          <w:rFonts w:cs="Times New Roman"/>
          <w:lang w:val="en-US"/>
        </w:rPr>
        <w:t xml:space="preserve"> months is also accepted), compared to no time limit mentioned in the ISO/TS 17755-2:2020(E). It is more difficult to assess if the fatalities or injuries were triggered by a fire incident when the time span is longer than a year.</w:t>
      </w:r>
      <w:r w:rsidR="00BC2102" w:rsidRPr="000B68C8">
        <w:rPr>
          <w:rFonts w:cs="Times New Roman"/>
          <w:lang w:val="en-US"/>
        </w:rPr>
        <w:t xml:space="preserve"> </w:t>
      </w:r>
      <w:r w:rsidR="00F74A60" w:rsidRPr="000B68C8">
        <w:rPr>
          <w:rFonts w:cs="Times New Roman"/>
          <w:lang w:val="en-US"/>
        </w:rPr>
        <w:t xml:space="preserve">For the variable </w:t>
      </w:r>
      <w:r w:rsidR="00F74A60" w:rsidRPr="000B68C8">
        <w:rPr>
          <w:rFonts w:cs="Times New Roman"/>
          <w:i/>
          <w:iCs/>
          <w:lang w:val="en-US"/>
        </w:rPr>
        <w:t>age of fatalities</w:t>
      </w:r>
      <w:r w:rsidR="00F74A60" w:rsidRPr="000B68C8">
        <w:rPr>
          <w:rFonts w:cs="Times New Roman"/>
          <w:lang w:val="en-US"/>
        </w:rPr>
        <w:t xml:space="preserve">, the </w:t>
      </w:r>
      <w:r w:rsidR="00631D83" w:rsidRPr="000B68C8">
        <w:rPr>
          <w:rFonts w:cs="Times New Roman"/>
          <w:lang w:val="en-US"/>
        </w:rPr>
        <w:t xml:space="preserve">developed </w:t>
      </w:r>
      <w:r w:rsidR="00A10C6C" w:rsidRPr="000B68C8">
        <w:rPr>
          <w:rFonts w:cs="Times New Roman"/>
          <w:lang w:val="en-US"/>
        </w:rPr>
        <w:t>research</w:t>
      </w:r>
      <w:r w:rsidR="00F74A60" w:rsidRPr="000B68C8">
        <w:rPr>
          <w:rFonts w:cs="Times New Roman"/>
          <w:lang w:val="en-US"/>
        </w:rPr>
        <w:t xml:space="preserve"> does not propose any categories compared to the ISO/TS 17755-2:2020(E), nevertheless offers some suggestions for some age groups. </w:t>
      </w:r>
    </w:p>
    <w:p w14:paraId="74672751" w14:textId="53A80750" w:rsidR="00631D83" w:rsidRPr="000B68C8" w:rsidRDefault="00F74A60" w:rsidP="00F74A60">
      <w:pPr>
        <w:rPr>
          <w:rFonts w:cs="Times New Roman"/>
          <w:lang w:val="en-US"/>
        </w:rPr>
      </w:pPr>
      <w:r w:rsidRPr="000B68C8">
        <w:rPr>
          <w:rFonts w:cs="Times New Roman"/>
          <w:lang w:val="en-US"/>
        </w:rPr>
        <w:t xml:space="preserve">Regarding the </w:t>
      </w:r>
      <w:r w:rsidRPr="000B68C8">
        <w:rPr>
          <w:rFonts w:cs="Times New Roman"/>
          <w:i/>
          <w:iCs/>
          <w:lang w:val="en-US"/>
        </w:rPr>
        <w:t>type of building</w:t>
      </w:r>
      <w:r w:rsidRPr="000B68C8">
        <w:rPr>
          <w:rFonts w:cs="Times New Roman"/>
          <w:lang w:val="en-US"/>
        </w:rPr>
        <w:t xml:space="preserve"> variable, the current </w:t>
      </w:r>
      <w:r w:rsidR="00A10C6C" w:rsidRPr="000B68C8">
        <w:rPr>
          <w:rFonts w:cs="Times New Roman"/>
          <w:lang w:val="en-US"/>
        </w:rPr>
        <w:t xml:space="preserve">research </w:t>
      </w:r>
      <w:r w:rsidRPr="000B68C8">
        <w:rPr>
          <w:rFonts w:cs="Times New Roman"/>
          <w:lang w:val="en-US"/>
        </w:rPr>
        <w:t xml:space="preserve">classifies the buildings as residential, non-residential and mixed-use buildings, and values are presented for each category. In </w:t>
      </w:r>
      <w:r w:rsidR="00BC2102" w:rsidRPr="000B68C8">
        <w:rPr>
          <w:rFonts w:cs="Times New Roman"/>
          <w:lang w:val="en-US"/>
        </w:rPr>
        <w:t xml:space="preserve">the </w:t>
      </w:r>
      <w:r w:rsidRPr="000B68C8">
        <w:rPr>
          <w:rFonts w:cs="Times New Roman"/>
          <w:lang w:val="en-US"/>
        </w:rPr>
        <w:t>ISO/TS 17755-2:2020(E)</w:t>
      </w:r>
      <w:r w:rsidR="00A10C6C" w:rsidRPr="000B68C8">
        <w:rPr>
          <w:rFonts w:cs="Times New Roman"/>
          <w:lang w:val="en-US"/>
        </w:rPr>
        <w:t>,</w:t>
      </w:r>
      <w:r w:rsidRPr="000B68C8">
        <w:rPr>
          <w:rFonts w:cs="Times New Roman"/>
          <w:lang w:val="en-US"/>
        </w:rPr>
        <w:t xml:space="preserve"> there is no clear classification of the buildings, nevertheless</w:t>
      </w:r>
      <w:r w:rsidR="006359D0" w:rsidRPr="000B68C8">
        <w:rPr>
          <w:rFonts w:cs="Times New Roman"/>
          <w:lang w:val="en-US"/>
        </w:rPr>
        <w:t>,</w:t>
      </w:r>
      <w:r w:rsidRPr="000B68C8">
        <w:rPr>
          <w:rFonts w:cs="Times New Roman"/>
          <w:lang w:val="en-US"/>
        </w:rPr>
        <w:t xml:space="preserve"> the residential, commercial, industr</w:t>
      </w:r>
      <w:r w:rsidR="006359D0" w:rsidRPr="000B68C8">
        <w:rPr>
          <w:rFonts w:cs="Times New Roman"/>
          <w:lang w:val="en-US"/>
        </w:rPr>
        <w:t>ial</w:t>
      </w:r>
      <w:r w:rsidRPr="000B68C8">
        <w:rPr>
          <w:rFonts w:cs="Times New Roman"/>
          <w:lang w:val="en-US"/>
        </w:rPr>
        <w:t xml:space="preserve"> and public buildings are mentioned.</w:t>
      </w:r>
      <w:r w:rsidR="00BC2102" w:rsidRPr="000B68C8">
        <w:rPr>
          <w:rFonts w:cs="Times New Roman"/>
          <w:lang w:val="en-US"/>
        </w:rPr>
        <w:t xml:space="preserve"> </w:t>
      </w:r>
      <w:r w:rsidRPr="000B68C8">
        <w:rPr>
          <w:rFonts w:cs="Times New Roman"/>
          <w:lang w:val="en-US"/>
        </w:rPr>
        <w:t xml:space="preserve">The current </w:t>
      </w:r>
      <w:r w:rsidR="00BC2102" w:rsidRPr="000B68C8">
        <w:rPr>
          <w:rFonts w:cs="Times New Roman"/>
          <w:lang w:val="en-US"/>
        </w:rPr>
        <w:t>research</w:t>
      </w:r>
      <w:r w:rsidRPr="000B68C8">
        <w:rPr>
          <w:rFonts w:cs="Times New Roman"/>
          <w:lang w:val="en-US"/>
        </w:rPr>
        <w:t xml:space="preserve"> proposes a definition for the </w:t>
      </w:r>
      <w:r w:rsidRPr="000B68C8">
        <w:rPr>
          <w:rFonts w:cs="Times New Roman"/>
          <w:i/>
          <w:iCs/>
          <w:lang w:val="en-US"/>
        </w:rPr>
        <w:t>number of floors</w:t>
      </w:r>
      <w:r w:rsidRPr="000B68C8">
        <w:rPr>
          <w:rFonts w:cs="Times New Roman"/>
          <w:lang w:val="en-US"/>
        </w:rPr>
        <w:t>, while</w:t>
      </w:r>
      <w:r w:rsidR="002465BD" w:rsidRPr="000B68C8">
        <w:rPr>
          <w:rFonts w:cs="Times New Roman"/>
          <w:lang w:val="en-US"/>
        </w:rPr>
        <w:t xml:space="preserve"> the</w:t>
      </w:r>
      <w:r w:rsidRPr="000B68C8">
        <w:rPr>
          <w:rFonts w:cs="Times New Roman"/>
          <w:lang w:val="en-US"/>
        </w:rPr>
        <w:t xml:space="preserve"> ISO/TS 17755-2:2020(E) defines the </w:t>
      </w:r>
      <w:r w:rsidRPr="000B68C8">
        <w:rPr>
          <w:rFonts w:cs="Times New Roman"/>
          <w:i/>
          <w:iCs/>
          <w:lang w:val="en-US"/>
        </w:rPr>
        <w:t>height of the building</w:t>
      </w:r>
      <w:r w:rsidRPr="000B68C8">
        <w:rPr>
          <w:rFonts w:cs="Times New Roman"/>
          <w:lang w:val="en-US"/>
        </w:rPr>
        <w:t>. The height of the building is more difficult to estimate compared to the number of floors.</w:t>
      </w:r>
      <w:r w:rsidR="00BC2102" w:rsidRPr="000B68C8">
        <w:rPr>
          <w:rFonts w:cs="Times New Roman"/>
          <w:lang w:val="en-US"/>
        </w:rPr>
        <w:t xml:space="preserve"> </w:t>
      </w:r>
    </w:p>
    <w:p w14:paraId="6E5182D8" w14:textId="695C1490" w:rsidR="00F74A60" w:rsidRPr="000B68C8" w:rsidRDefault="00F74A60" w:rsidP="0015038C">
      <w:r w:rsidRPr="000B68C8">
        <w:rPr>
          <w:rFonts w:cs="Times New Roman"/>
          <w:lang w:val="en-US"/>
        </w:rPr>
        <w:t xml:space="preserve">The </w:t>
      </w:r>
      <w:r w:rsidRPr="000B68C8">
        <w:rPr>
          <w:rFonts w:cs="Times New Roman"/>
          <w:i/>
          <w:iCs/>
          <w:lang w:val="en-US"/>
        </w:rPr>
        <w:t>area of origin</w:t>
      </w:r>
      <w:r w:rsidRPr="000B68C8">
        <w:rPr>
          <w:rFonts w:cs="Times New Roman"/>
          <w:lang w:val="en-US"/>
        </w:rPr>
        <w:t xml:space="preserve"> is defined in the current </w:t>
      </w:r>
      <w:r w:rsidR="00BC2102" w:rsidRPr="000B68C8">
        <w:rPr>
          <w:rFonts w:cs="Times New Roman"/>
          <w:lang w:val="en-US"/>
        </w:rPr>
        <w:t>analysis</w:t>
      </w:r>
      <w:r w:rsidRPr="000B68C8">
        <w:rPr>
          <w:rFonts w:cs="Times New Roman"/>
          <w:lang w:val="en-US"/>
        </w:rPr>
        <w:t xml:space="preserve"> and a list of values is </w:t>
      </w:r>
      <w:r w:rsidR="00BC2102" w:rsidRPr="000B68C8">
        <w:rPr>
          <w:rFonts w:cs="Times New Roman"/>
          <w:lang w:val="en-US"/>
        </w:rPr>
        <w:t>introduced</w:t>
      </w:r>
      <w:r w:rsidRPr="000B68C8">
        <w:rPr>
          <w:rFonts w:cs="Times New Roman"/>
          <w:lang w:val="en-US"/>
        </w:rPr>
        <w:t>. No values are presented for</w:t>
      </w:r>
      <w:r w:rsidR="007906F0" w:rsidRPr="000B68C8">
        <w:rPr>
          <w:rFonts w:cs="Times New Roman"/>
          <w:lang w:val="en-US"/>
        </w:rPr>
        <w:t xml:space="preserve"> the</w:t>
      </w:r>
      <w:r w:rsidRPr="000B68C8">
        <w:rPr>
          <w:rFonts w:cs="Times New Roman"/>
          <w:lang w:val="en-US"/>
        </w:rPr>
        <w:t xml:space="preserve"> </w:t>
      </w:r>
      <w:r w:rsidRPr="000B68C8">
        <w:rPr>
          <w:rFonts w:cs="Times New Roman"/>
          <w:i/>
          <w:iCs/>
          <w:lang w:val="en-US"/>
        </w:rPr>
        <w:t>area of origin</w:t>
      </w:r>
      <w:r w:rsidRPr="000B68C8">
        <w:rPr>
          <w:rFonts w:cs="Times New Roman"/>
          <w:lang w:val="en-US"/>
        </w:rPr>
        <w:t xml:space="preserve"> in </w:t>
      </w:r>
      <w:r w:rsidR="00A10C6C" w:rsidRPr="000B68C8">
        <w:rPr>
          <w:rFonts w:cs="Times New Roman"/>
          <w:lang w:val="en-US"/>
        </w:rPr>
        <w:t xml:space="preserve">the </w:t>
      </w:r>
      <w:r w:rsidRPr="000B68C8">
        <w:rPr>
          <w:rFonts w:cs="Times New Roman"/>
          <w:lang w:val="en-US"/>
        </w:rPr>
        <w:t>ISO/TS 17755-2:2020(E)</w:t>
      </w:r>
      <w:r w:rsidR="00631D83" w:rsidRPr="000B68C8">
        <w:rPr>
          <w:rFonts w:cs="Times New Roman"/>
          <w:lang w:val="en-US"/>
        </w:rPr>
        <w:t>; however,</w:t>
      </w:r>
      <w:r w:rsidRPr="000B68C8">
        <w:rPr>
          <w:rFonts w:cs="Times New Roman"/>
          <w:lang w:val="en-US"/>
        </w:rPr>
        <w:t xml:space="preserve"> additional definitions are available for the variables</w:t>
      </w:r>
      <w:r w:rsidRPr="000B68C8">
        <w:rPr>
          <w:rFonts w:cs="Times New Roman"/>
          <w:i/>
          <w:iCs/>
          <w:lang w:val="en-US"/>
        </w:rPr>
        <w:t xml:space="preserve"> location of fire</w:t>
      </w:r>
      <w:r w:rsidRPr="000B68C8">
        <w:rPr>
          <w:rFonts w:cs="Times New Roman"/>
          <w:lang w:val="en-US"/>
        </w:rPr>
        <w:t xml:space="preserve"> and </w:t>
      </w:r>
      <w:r w:rsidRPr="000B68C8">
        <w:rPr>
          <w:rFonts w:cs="Times New Roman"/>
          <w:i/>
          <w:iCs/>
          <w:lang w:val="en-US"/>
        </w:rPr>
        <w:t xml:space="preserve">point of origin of </w:t>
      </w:r>
      <w:r w:rsidR="00BF0DCB" w:rsidRPr="000B68C8">
        <w:rPr>
          <w:rFonts w:cs="Times New Roman"/>
          <w:i/>
          <w:iCs/>
          <w:lang w:val="en-US"/>
        </w:rPr>
        <w:t xml:space="preserve">the </w:t>
      </w:r>
      <w:r w:rsidRPr="000B68C8">
        <w:rPr>
          <w:rFonts w:cs="Times New Roman"/>
          <w:i/>
          <w:iCs/>
          <w:lang w:val="en-US"/>
        </w:rPr>
        <w:t>fire</w:t>
      </w:r>
      <w:r w:rsidRPr="000B68C8">
        <w:rPr>
          <w:rFonts w:cs="Times New Roman"/>
          <w:lang w:val="en-US"/>
        </w:rPr>
        <w:t>.</w:t>
      </w:r>
      <w:r w:rsidR="00631D83" w:rsidRPr="000B68C8">
        <w:rPr>
          <w:rFonts w:cs="Times New Roman"/>
          <w:lang w:val="en-US"/>
        </w:rPr>
        <w:t xml:space="preserve"> </w:t>
      </w:r>
      <w:r w:rsidRPr="000B68C8">
        <w:rPr>
          <w:rFonts w:cs="Times New Roman"/>
          <w:lang w:val="en-US"/>
        </w:rPr>
        <w:t xml:space="preserve">The </w:t>
      </w:r>
      <w:r w:rsidRPr="000B68C8">
        <w:rPr>
          <w:rFonts w:cs="Times New Roman"/>
          <w:i/>
          <w:iCs/>
          <w:lang w:val="en-US"/>
        </w:rPr>
        <w:t>item first ignited</w:t>
      </w:r>
      <w:r w:rsidRPr="000B68C8">
        <w:rPr>
          <w:rFonts w:cs="Times New Roman"/>
          <w:lang w:val="en-US"/>
        </w:rPr>
        <w:t xml:space="preserve"> is defined in this </w:t>
      </w:r>
      <w:r w:rsidR="00CA608E" w:rsidRPr="000B68C8">
        <w:rPr>
          <w:rFonts w:cs="Times New Roman"/>
          <w:lang w:val="en-US"/>
        </w:rPr>
        <w:t>research</w:t>
      </w:r>
      <w:r w:rsidRPr="000B68C8">
        <w:rPr>
          <w:rFonts w:cs="Times New Roman"/>
          <w:lang w:val="en-US"/>
        </w:rPr>
        <w:t xml:space="preserve">, with a list of values, as opposed to the </w:t>
      </w:r>
      <w:r w:rsidRPr="000B68C8">
        <w:rPr>
          <w:rFonts w:cs="Times New Roman"/>
          <w:i/>
          <w:iCs/>
          <w:lang w:val="en-US"/>
        </w:rPr>
        <w:t>material first ignited</w:t>
      </w:r>
      <w:r w:rsidRPr="000B68C8">
        <w:rPr>
          <w:rFonts w:cs="Times New Roman"/>
          <w:lang w:val="en-US"/>
        </w:rPr>
        <w:t xml:space="preserve">, with no values in the ISO/TS 17755-2:2020(E). The </w:t>
      </w:r>
      <w:r w:rsidRPr="000B68C8">
        <w:rPr>
          <w:rFonts w:cs="Times New Roman"/>
          <w:i/>
          <w:iCs/>
          <w:lang w:val="en-US"/>
        </w:rPr>
        <w:t>cause-heat source</w:t>
      </w:r>
      <w:r w:rsidRPr="000B68C8">
        <w:rPr>
          <w:rFonts w:cs="Times New Roman"/>
          <w:lang w:val="en-US"/>
        </w:rPr>
        <w:t xml:space="preserve"> and </w:t>
      </w:r>
      <w:r w:rsidRPr="000B68C8">
        <w:rPr>
          <w:rFonts w:cs="Times New Roman"/>
          <w:i/>
          <w:iCs/>
          <w:lang w:val="en-US"/>
        </w:rPr>
        <w:t>cause-primary causal factor</w:t>
      </w:r>
      <w:r w:rsidRPr="000B68C8">
        <w:rPr>
          <w:rFonts w:cs="Times New Roman"/>
          <w:lang w:val="en-US"/>
        </w:rPr>
        <w:t xml:space="preserve"> are defined in this </w:t>
      </w:r>
      <w:r w:rsidR="001C0026" w:rsidRPr="000B68C8">
        <w:rPr>
          <w:rFonts w:cs="Times New Roman"/>
          <w:lang w:val="en-US"/>
        </w:rPr>
        <w:t>analysis</w:t>
      </w:r>
      <w:r w:rsidRPr="000B68C8">
        <w:rPr>
          <w:rFonts w:cs="Times New Roman"/>
          <w:lang w:val="en-US"/>
        </w:rPr>
        <w:t xml:space="preserve">, with a list of values for each one of them. </w:t>
      </w:r>
      <w:r w:rsidR="00631D83" w:rsidRPr="000B68C8">
        <w:rPr>
          <w:rFonts w:cs="Times New Roman"/>
          <w:lang w:val="en-US"/>
        </w:rPr>
        <w:t xml:space="preserve">The </w:t>
      </w:r>
      <w:r w:rsidRPr="000B68C8">
        <w:rPr>
          <w:rFonts w:cs="Times New Roman"/>
          <w:lang w:val="en-US"/>
        </w:rPr>
        <w:t xml:space="preserve">ISO/TS 17755-2:2020(E) presents definitions for </w:t>
      </w:r>
      <w:r w:rsidRPr="000B68C8">
        <w:rPr>
          <w:rFonts w:cs="Times New Roman"/>
          <w:i/>
          <w:iCs/>
          <w:lang w:val="en-US"/>
        </w:rPr>
        <w:t>cause of a fire</w:t>
      </w:r>
      <w:r w:rsidRPr="000B68C8">
        <w:rPr>
          <w:rFonts w:cs="Times New Roman"/>
          <w:lang w:val="en-US"/>
        </w:rPr>
        <w:t xml:space="preserve">, </w:t>
      </w:r>
      <w:r w:rsidRPr="000B68C8">
        <w:rPr>
          <w:rFonts w:cs="Times New Roman"/>
          <w:i/>
          <w:iCs/>
          <w:lang w:val="en-US"/>
        </w:rPr>
        <w:t>source of the fire</w:t>
      </w:r>
      <w:r w:rsidRPr="000B68C8">
        <w:rPr>
          <w:rFonts w:cs="Times New Roman"/>
          <w:lang w:val="en-US"/>
        </w:rPr>
        <w:t xml:space="preserve">, </w:t>
      </w:r>
      <w:r w:rsidRPr="000B68C8">
        <w:rPr>
          <w:rFonts w:cs="Times New Roman"/>
          <w:i/>
          <w:iCs/>
          <w:lang w:val="en-US"/>
        </w:rPr>
        <w:t>classification of the primary cause of a fire</w:t>
      </w:r>
      <w:r w:rsidRPr="000B68C8">
        <w:rPr>
          <w:rFonts w:cs="Times New Roman"/>
          <w:lang w:val="en-US"/>
        </w:rPr>
        <w:t xml:space="preserve"> and </w:t>
      </w:r>
      <w:r w:rsidRPr="000B68C8">
        <w:rPr>
          <w:rFonts w:cs="Times New Roman"/>
          <w:i/>
          <w:iCs/>
          <w:lang w:val="en-US"/>
        </w:rPr>
        <w:t>circumstances of the fire</w:t>
      </w:r>
      <w:r w:rsidRPr="000B68C8">
        <w:rPr>
          <w:rFonts w:cs="Times New Roman"/>
          <w:lang w:val="en-US"/>
        </w:rPr>
        <w:t xml:space="preserve">. The two variables proposed in this </w:t>
      </w:r>
      <w:r w:rsidR="00A10C6C" w:rsidRPr="000B68C8">
        <w:rPr>
          <w:rFonts w:cs="Times New Roman"/>
          <w:lang w:val="en-US"/>
        </w:rPr>
        <w:t>research</w:t>
      </w:r>
      <w:r w:rsidRPr="000B68C8">
        <w:rPr>
          <w:rFonts w:cs="Times New Roman"/>
          <w:lang w:val="en-US"/>
        </w:rPr>
        <w:t xml:space="preserve"> capture the essence of the four variables defined in </w:t>
      </w:r>
      <w:r w:rsidR="00631D83" w:rsidRPr="000B68C8">
        <w:rPr>
          <w:rFonts w:cs="Times New Roman"/>
          <w:lang w:val="en-US"/>
        </w:rPr>
        <w:t xml:space="preserve">the </w:t>
      </w:r>
      <w:r w:rsidRPr="000B68C8">
        <w:rPr>
          <w:rFonts w:cs="Times New Roman"/>
          <w:lang w:val="en-US"/>
        </w:rPr>
        <w:t>ISO/TS 17755-2:2020(E).</w:t>
      </w:r>
    </w:p>
    <w:p w14:paraId="237EEFFD" w14:textId="090456A6" w:rsidR="00D5399E" w:rsidRPr="000B68C8" w:rsidRDefault="005B4A17" w:rsidP="0015038C">
      <w:r w:rsidRPr="000B68C8">
        <w:t>The results obtained from the analysis of existing fire statistical definitions show that</w:t>
      </w:r>
      <w:r w:rsidR="001B1EA9" w:rsidRPr="000B68C8">
        <w:t xml:space="preserve"> the majority of variables currently collected appear to lack a proper </w:t>
      </w:r>
      <w:r w:rsidR="00F13529" w:rsidRPr="000B68C8">
        <w:t>definition</w:t>
      </w:r>
      <w:r w:rsidR="001B1EA9" w:rsidRPr="000B68C8">
        <w:t xml:space="preserve"> </w:t>
      </w:r>
      <w:r w:rsidR="0015038C" w:rsidRPr="000B68C8">
        <w:t xml:space="preserve">in </w:t>
      </w:r>
      <w:r w:rsidR="00315E52" w:rsidRPr="000B68C8">
        <w:t>the majority of the</w:t>
      </w:r>
      <w:r w:rsidR="0015038C" w:rsidRPr="000B68C8">
        <w:t xml:space="preserve"> examined countries. </w:t>
      </w:r>
      <w:r w:rsidR="0079369E" w:rsidRPr="000B68C8">
        <w:t>For t</w:t>
      </w:r>
      <w:r w:rsidR="0015038C" w:rsidRPr="000B68C8">
        <w:t>h</w:t>
      </w:r>
      <w:r w:rsidR="001B1EA9" w:rsidRPr="000B68C8">
        <w:t>ose</w:t>
      </w:r>
      <w:r w:rsidR="0015038C" w:rsidRPr="000B68C8">
        <w:t xml:space="preserve"> variables </w:t>
      </w:r>
      <w:r w:rsidRPr="000B68C8">
        <w:t xml:space="preserve">recorded </w:t>
      </w:r>
      <w:r w:rsidR="0015038C" w:rsidRPr="000B68C8">
        <w:t>in more than half of the surveyed countries</w:t>
      </w:r>
      <w:r w:rsidR="004C1C41" w:rsidRPr="000B68C8">
        <w:t>,</w:t>
      </w:r>
      <w:r w:rsidR="0015038C" w:rsidRPr="000B68C8">
        <w:t xml:space="preserve"> s</w:t>
      </w:r>
      <w:r w:rsidR="004C1C41" w:rsidRPr="000B68C8">
        <w:t xml:space="preserve">ignificant </w:t>
      </w:r>
      <w:r w:rsidR="0015038C" w:rsidRPr="000B68C8">
        <w:t xml:space="preserve">effort will be required </w:t>
      </w:r>
      <w:r w:rsidR="00D71402" w:rsidRPr="000B68C8">
        <w:t>to align them</w:t>
      </w:r>
      <w:r w:rsidR="0015038C" w:rsidRPr="000B68C8">
        <w:t xml:space="preserve"> with the proposed definition</w:t>
      </w:r>
      <w:r w:rsidR="00D71402" w:rsidRPr="000B68C8">
        <w:t>s</w:t>
      </w:r>
      <w:r w:rsidR="0015038C" w:rsidRPr="000B68C8">
        <w:t xml:space="preserve"> and obtain harmonized data.</w:t>
      </w:r>
      <w:r w:rsidR="004C1C41" w:rsidRPr="000B68C8">
        <w:t xml:space="preserve"> </w:t>
      </w:r>
      <w:r w:rsidR="00F13529" w:rsidRPr="000B68C8">
        <w:t>Moreover, i</w:t>
      </w:r>
      <w:r w:rsidR="0015038C" w:rsidRPr="000B68C8">
        <w:t>t is expected that adding the</w:t>
      </w:r>
      <w:r w:rsidR="001B1EA9" w:rsidRPr="000B68C8">
        <w:t xml:space="preserve"> variables collected in fewer than half of the EU countries</w:t>
      </w:r>
      <w:r w:rsidR="0015038C" w:rsidRPr="000B68C8">
        <w:t xml:space="preserve"> to </w:t>
      </w:r>
      <w:r w:rsidR="001B1EA9" w:rsidRPr="000B68C8">
        <w:t xml:space="preserve">a harmonized </w:t>
      </w:r>
      <w:r w:rsidR="0015038C" w:rsidRPr="000B68C8">
        <w:t>fire statistics</w:t>
      </w:r>
      <w:r w:rsidR="001B1EA9" w:rsidRPr="000B68C8">
        <w:t xml:space="preserve"> system </w:t>
      </w:r>
      <w:r w:rsidR="0015038C" w:rsidRPr="000B68C8">
        <w:t xml:space="preserve">will require a </w:t>
      </w:r>
      <w:r w:rsidR="001B1EA9" w:rsidRPr="000B68C8">
        <w:t>substantial</w:t>
      </w:r>
      <w:r w:rsidR="0015038C" w:rsidRPr="000B68C8">
        <w:t xml:space="preserve"> effort. Depending on the nature of the data, some variable will require more effort to </w:t>
      </w:r>
      <w:r w:rsidR="00315E52" w:rsidRPr="000B68C8">
        <w:t xml:space="preserve">be </w:t>
      </w:r>
      <w:r w:rsidR="0015038C" w:rsidRPr="000B68C8">
        <w:t>harmonize</w:t>
      </w:r>
      <w:r w:rsidR="00315E52" w:rsidRPr="000B68C8">
        <w:t>d in</w:t>
      </w:r>
      <w:r w:rsidR="0015038C" w:rsidRPr="000B68C8">
        <w:t xml:space="preserve"> </w:t>
      </w:r>
      <w:r w:rsidR="00FE2D35" w:rsidRPr="000B68C8">
        <w:t xml:space="preserve">practice </w:t>
      </w:r>
      <w:r w:rsidR="0015038C" w:rsidRPr="000B68C8">
        <w:t xml:space="preserve">than others. </w:t>
      </w:r>
    </w:p>
    <w:p w14:paraId="31E10F80" w14:textId="2488B240" w:rsidR="002444A8" w:rsidRPr="000B68C8" w:rsidRDefault="00D5399E" w:rsidP="0015038C">
      <w:r w:rsidRPr="000B68C8">
        <w:t xml:space="preserve">Further variables could be introduced in the collection and uniquely defined in future implementations. For example, </w:t>
      </w:r>
      <w:r w:rsidRPr="000B68C8">
        <w:rPr>
          <w:rFonts w:cs="Times New Roman"/>
          <w:lang w:val="en-US"/>
        </w:rPr>
        <w:t xml:space="preserve">the collection of variables such as </w:t>
      </w:r>
      <w:r w:rsidRPr="000B68C8">
        <w:rPr>
          <w:rFonts w:cs="Times New Roman"/>
          <w:i/>
          <w:iCs/>
          <w:lang w:val="en-US"/>
        </w:rPr>
        <w:t>effectiveness of fire safety measures in reducing the fire</w:t>
      </w:r>
      <w:r w:rsidRPr="000B68C8">
        <w:rPr>
          <w:rFonts w:cs="Times New Roman"/>
          <w:lang w:val="en-US"/>
        </w:rPr>
        <w:t xml:space="preserve">, </w:t>
      </w:r>
      <w:r w:rsidRPr="000B68C8">
        <w:rPr>
          <w:rFonts w:cs="Times New Roman"/>
          <w:i/>
          <w:iCs/>
          <w:lang w:val="en-US"/>
        </w:rPr>
        <w:t>reason for failure of fire safety measures</w:t>
      </w:r>
      <w:r w:rsidRPr="000B68C8">
        <w:rPr>
          <w:rFonts w:cs="Times New Roman"/>
          <w:lang w:val="en-US"/>
        </w:rPr>
        <w:t xml:space="preserve"> and </w:t>
      </w:r>
      <w:r w:rsidRPr="000B68C8">
        <w:rPr>
          <w:rFonts w:cs="Times New Roman"/>
          <w:i/>
          <w:iCs/>
          <w:lang w:val="en-US"/>
        </w:rPr>
        <w:t>operation for fire safety measures</w:t>
      </w:r>
      <w:r w:rsidRPr="000B68C8">
        <w:rPr>
          <w:rFonts w:cs="Times New Roman"/>
          <w:lang w:val="en-US"/>
        </w:rPr>
        <w:t xml:space="preserve"> could provide outputs for the fire safety measures producers and potentially improve the inspection methodologies. Having a better overview of the </w:t>
      </w:r>
      <w:r w:rsidRPr="000B68C8">
        <w:rPr>
          <w:rFonts w:cs="Times New Roman"/>
          <w:i/>
          <w:iCs/>
          <w:lang w:val="en-US"/>
        </w:rPr>
        <w:t>number of occupants in the building</w:t>
      </w:r>
      <w:r w:rsidRPr="000B68C8">
        <w:rPr>
          <w:rFonts w:cs="Times New Roman"/>
          <w:lang w:val="en-US"/>
        </w:rPr>
        <w:t xml:space="preserve">, along with the </w:t>
      </w:r>
      <w:r w:rsidRPr="000B68C8">
        <w:rPr>
          <w:rFonts w:cs="Times New Roman"/>
          <w:i/>
          <w:iCs/>
          <w:lang w:val="en-US"/>
        </w:rPr>
        <w:t>disabilities</w:t>
      </w:r>
      <w:r w:rsidRPr="000B68C8">
        <w:rPr>
          <w:rFonts w:cs="Times New Roman"/>
          <w:lang w:val="en-US"/>
        </w:rPr>
        <w:t xml:space="preserve"> of the people, could be important in creating and/or validating evacuation models. The fire detection time and fire brigade response could underline the effects of distance on the fire damage</w:t>
      </w:r>
    </w:p>
    <w:p w14:paraId="523CAD5A" w14:textId="06927606" w:rsidR="009455D0" w:rsidRPr="000B68C8" w:rsidRDefault="009455D0">
      <w:pPr>
        <w:pStyle w:val="Heading1"/>
      </w:pPr>
      <w:bookmarkStart w:id="53" w:name="_Ref127887487"/>
      <w:r w:rsidRPr="000B68C8">
        <w:t>Conclusions</w:t>
      </w:r>
      <w:bookmarkEnd w:id="53"/>
    </w:p>
    <w:p w14:paraId="6ECF688B" w14:textId="651B071F" w:rsidR="002444A8" w:rsidRPr="000B68C8" w:rsidRDefault="002444A8" w:rsidP="00031715">
      <w:pPr>
        <w:rPr>
          <w:rFonts w:cs="Arial"/>
          <w:szCs w:val="20"/>
          <w:lang w:val="en-US"/>
        </w:rPr>
      </w:pPr>
      <w:r w:rsidRPr="000B68C8">
        <w:rPr>
          <w:rFonts w:cs="Arial"/>
          <w:szCs w:val="20"/>
          <w:lang w:val="en-US"/>
        </w:rPr>
        <w:t xml:space="preserve">The need to </w:t>
      </w:r>
      <w:r w:rsidR="00F018E5" w:rsidRPr="000B68C8">
        <w:rPr>
          <w:rFonts w:cs="Arial"/>
          <w:szCs w:val="20"/>
          <w:lang w:val="en-US"/>
        </w:rPr>
        <w:t xml:space="preserve">determine </w:t>
      </w:r>
      <w:r w:rsidRPr="000B68C8">
        <w:rPr>
          <w:rFonts w:cs="Arial"/>
          <w:szCs w:val="20"/>
          <w:lang w:val="en-US"/>
        </w:rPr>
        <w:t xml:space="preserve">a more comprehensive evaluation of fire scenarios in buildings as well as the evaluation of existing data related to fire incidents and </w:t>
      </w:r>
      <w:r w:rsidR="001E4E72" w:rsidRPr="000B68C8">
        <w:rPr>
          <w:rFonts w:cs="Arial"/>
          <w:szCs w:val="20"/>
          <w:lang w:val="en-US"/>
        </w:rPr>
        <w:t xml:space="preserve">identification of </w:t>
      </w:r>
      <w:r w:rsidRPr="000B68C8">
        <w:rPr>
          <w:rFonts w:cs="Arial"/>
          <w:szCs w:val="20"/>
          <w:lang w:val="en-US"/>
        </w:rPr>
        <w:t xml:space="preserve">current fire statistical </w:t>
      </w:r>
      <w:r w:rsidR="0093024E" w:rsidRPr="000B68C8">
        <w:rPr>
          <w:rFonts w:cs="Arial"/>
          <w:szCs w:val="20"/>
          <w:lang w:val="en-US"/>
        </w:rPr>
        <w:t>practices</w:t>
      </w:r>
      <w:r w:rsidRPr="000B68C8">
        <w:rPr>
          <w:rFonts w:cs="Arial"/>
          <w:szCs w:val="20"/>
          <w:lang w:val="en-US"/>
        </w:rPr>
        <w:t xml:space="preserve"> </w:t>
      </w:r>
      <w:r w:rsidR="001E4E72" w:rsidRPr="000B68C8">
        <w:rPr>
          <w:rFonts w:cs="Arial"/>
          <w:szCs w:val="20"/>
          <w:lang w:val="en-US"/>
        </w:rPr>
        <w:t xml:space="preserve">supported the investigation of fire statistics in the EU Member States and other countries. Such analysis highlighted the differences in the definitions for the fire statistical variables even when </w:t>
      </w:r>
      <w:r w:rsidR="00F018E5" w:rsidRPr="000B68C8">
        <w:rPr>
          <w:rFonts w:cs="Arial"/>
          <w:szCs w:val="20"/>
          <w:lang w:val="en-US"/>
        </w:rPr>
        <w:t xml:space="preserve">a </w:t>
      </w:r>
      <w:r w:rsidR="001E4E72" w:rsidRPr="000B68C8">
        <w:rPr>
          <w:rFonts w:cs="Arial"/>
          <w:szCs w:val="20"/>
          <w:lang w:val="en-US"/>
        </w:rPr>
        <w:t xml:space="preserve">similar terminology is adopted. </w:t>
      </w:r>
    </w:p>
    <w:p w14:paraId="6CF463A4" w14:textId="32B0F73E" w:rsidR="00270767" w:rsidRPr="000B68C8" w:rsidRDefault="001E4E72" w:rsidP="00031715">
      <w:pPr>
        <w:rPr>
          <w:rFonts w:cs="Arial"/>
          <w:szCs w:val="20"/>
          <w:lang w:val="en-US"/>
        </w:rPr>
      </w:pPr>
      <w:r w:rsidRPr="000B68C8">
        <w:rPr>
          <w:rFonts w:cs="Arial"/>
          <w:szCs w:val="20"/>
          <w:lang w:val="en-US"/>
        </w:rPr>
        <w:t>Therefore, d</w:t>
      </w:r>
      <w:r w:rsidR="00F13529" w:rsidRPr="000B68C8">
        <w:rPr>
          <w:rFonts w:cs="Arial"/>
          <w:szCs w:val="20"/>
          <w:lang w:val="en-US"/>
        </w:rPr>
        <w:t>ue to the lack of common terminologies or variables with a similar nomenclature covering different aspects, it is</w:t>
      </w:r>
      <w:r w:rsidR="00270767" w:rsidRPr="000B68C8">
        <w:rPr>
          <w:rFonts w:cs="Arial"/>
          <w:szCs w:val="20"/>
          <w:lang w:val="en-US"/>
        </w:rPr>
        <w:t xml:space="preserve"> not</w:t>
      </w:r>
      <w:r w:rsidR="00F13529" w:rsidRPr="000B68C8">
        <w:rPr>
          <w:rFonts w:cs="Arial"/>
          <w:szCs w:val="20"/>
          <w:lang w:val="en-US"/>
        </w:rPr>
        <w:t xml:space="preserve"> possible to compare fire incident data between countries.</w:t>
      </w:r>
      <w:r w:rsidR="00455E37" w:rsidRPr="000B68C8">
        <w:rPr>
          <w:rFonts w:cs="Arial"/>
          <w:szCs w:val="20"/>
          <w:lang w:val="en-US"/>
        </w:rPr>
        <w:t xml:space="preserve"> </w:t>
      </w:r>
      <w:r w:rsidR="001C22EC" w:rsidRPr="000B68C8">
        <w:rPr>
          <w:rFonts w:cs="Arial"/>
          <w:szCs w:val="20"/>
          <w:lang w:val="en-US"/>
        </w:rPr>
        <w:t>To</w:t>
      </w:r>
      <w:r w:rsidR="00F13529" w:rsidRPr="000B68C8">
        <w:rPr>
          <w:rFonts w:cs="Arial"/>
          <w:szCs w:val="20"/>
          <w:lang w:val="en-US"/>
        </w:rPr>
        <w:t xml:space="preserve"> develop a comprehensive evaluation, the research developed in this paper examined current fire statistics in the 27 EU Member States and </w:t>
      </w:r>
      <w:r w:rsidR="0087063E" w:rsidRPr="000B68C8">
        <w:rPr>
          <w:rFonts w:cs="Arial"/>
          <w:szCs w:val="20"/>
          <w:lang w:val="en-US"/>
        </w:rPr>
        <w:t>eight</w:t>
      </w:r>
      <w:r w:rsidR="00F13529" w:rsidRPr="000B68C8">
        <w:rPr>
          <w:rFonts w:cs="Arial"/>
          <w:szCs w:val="20"/>
          <w:lang w:val="en-US"/>
        </w:rPr>
        <w:t xml:space="preserve"> other countries to determine the adopted terminology in current practice. </w:t>
      </w:r>
      <w:r w:rsidR="00270767" w:rsidRPr="000B68C8">
        <w:rPr>
          <w:rFonts w:cs="Arial"/>
          <w:szCs w:val="20"/>
          <w:lang w:val="en-US"/>
        </w:rPr>
        <w:t xml:space="preserve">The analysis of current fire statistics showed the differences in the </w:t>
      </w:r>
      <w:r w:rsidR="00197D3C" w:rsidRPr="000B68C8">
        <w:rPr>
          <w:rFonts w:cs="Arial"/>
          <w:szCs w:val="20"/>
          <w:lang w:val="en-US"/>
        </w:rPr>
        <w:t xml:space="preserve">existing </w:t>
      </w:r>
      <w:r w:rsidR="00270767" w:rsidRPr="000B68C8">
        <w:rPr>
          <w:rFonts w:cs="Arial"/>
          <w:szCs w:val="20"/>
          <w:lang w:val="en-US"/>
        </w:rPr>
        <w:t>terminology and, where a similar nomenclature is</w:t>
      </w:r>
      <w:r w:rsidR="005B4A17" w:rsidRPr="000B68C8">
        <w:rPr>
          <w:rFonts w:cs="Arial"/>
          <w:szCs w:val="20"/>
          <w:lang w:val="en-US"/>
        </w:rPr>
        <w:t xml:space="preserve"> available</w:t>
      </w:r>
      <w:r w:rsidR="00270767" w:rsidRPr="000B68C8">
        <w:rPr>
          <w:rFonts w:cs="Arial"/>
          <w:szCs w:val="20"/>
          <w:lang w:val="en-US"/>
        </w:rPr>
        <w:t xml:space="preserve">, this could be referred to include different aspects. The fields recorded by </w:t>
      </w:r>
      <w:r w:rsidR="00C92D1E" w:rsidRPr="000B68C8">
        <w:rPr>
          <w:rFonts w:cs="Arial"/>
          <w:szCs w:val="20"/>
          <w:lang w:val="en-US"/>
        </w:rPr>
        <w:t>most of</w:t>
      </w:r>
      <w:r w:rsidR="00270767" w:rsidRPr="000B68C8">
        <w:rPr>
          <w:rFonts w:cs="Arial"/>
          <w:szCs w:val="20"/>
          <w:lang w:val="en-US"/>
        </w:rPr>
        <w:t xml:space="preserve"> the examined countries appear to present more detailed and accurate definitions compared to those rarely recorded. From the analysis of the existing definitions, the necessity of a common terminology arose based on a prioritization of the most relevant variables able to </w:t>
      </w:r>
      <w:r w:rsidR="00C57508" w:rsidRPr="000B68C8">
        <w:rPr>
          <w:rFonts w:cs="Arial"/>
          <w:szCs w:val="20"/>
          <w:lang w:val="en-US"/>
        </w:rPr>
        <w:t xml:space="preserve">comprehensively assess fire incidents. </w:t>
      </w:r>
    </w:p>
    <w:p w14:paraId="3FA3172B" w14:textId="5883B6E3" w:rsidR="00C57508" w:rsidRPr="000B68C8" w:rsidRDefault="00C57508" w:rsidP="00C57508">
      <w:pPr>
        <w:rPr>
          <w:rFonts w:cs="Arial"/>
        </w:rPr>
      </w:pPr>
      <w:r w:rsidRPr="000B68C8">
        <w:rPr>
          <w:rFonts w:cs="Arial"/>
          <w:szCs w:val="20"/>
          <w:lang w:val="en-US"/>
        </w:rPr>
        <w:t>A</w:t>
      </w:r>
      <w:r w:rsidR="00F13529" w:rsidRPr="000B68C8">
        <w:rPr>
          <w:rFonts w:cs="Arial"/>
          <w:szCs w:val="20"/>
          <w:lang w:val="en-US"/>
        </w:rPr>
        <w:t xml:space="preserve"> questionnaire was created to identify the essential </w:t>
      </w:r>
      <w:r w:rsidR="005B4A17" w:rsidRPr="000B68C8">
        <w:rPr>
          <w:rFonts w:cs="Arial"/>
          <w:szCs w:val="20"/>
          <w:lang w:val="en-US"/>
        </w:rPr>
        <w:t xml:space="preserve">fire statistical </w:t>
      </w:r>
      <w:r w:rsidR="00F13529" w:rsidRPr="000B68C8">
        <w:rPr>
          <w:rFonts w:cs="Arial"/>
          <w:szCs w:val="20"/>
          <w:lang w:val="en-US"/>
        </w:rPr>
        <w:t xml:space="preserve">variables that should be recorded in fire statistics </w:t>
      </w:r>
      <w:r w:rsidR="005B4A17" w:rsidRPr="000B68C8">
        <w:rPr>
          <w:rFonts w:cs="Arial"/>
          <w:szCs w:val="20"/>
          <w:lang w:val="en-US"/>
        </w:rPr>
        <w:t xml:space="preserve">to comprehensively describe the fire incidents. Such questionnaire was shared with </w:t>
      </w:r>
      <w:r w:rsidR="00F13529" w:rsidRPr="000B68C8">
        <w:rPr>
          <w:rFonts w:cs="Arial"/>
          <w:szCs w:val="20"/>
          <w:lang w:val="en-US"/>
        </w:rPr>
        <w:t xml:space="preserve">relevant stakeholders </w:t>
      </w:r>
      <w:r w:rsidR="005B4A17" w:rsidRPr="000B68C8">
        <w:rPr>
          <w:rFonts w:cs="Arial"/>
          <w:szCs w:val="20"/>
          <w:lang w:val="en-US"/>
        </w:rPr>
        <w:t xml:space="preserve">responsible for the fire statistics in the examined countries, </w:t>
      </w:r>
      <w:r w:rsidR="00F13529" w:rsidRPr="000B68C8">
        <w:rPr>
          <w:rFonts w:cs="Arial"/>
          <w:szCs w:val="20"/>
          <w:lang w:val="en-US"/>
        </w:rPr>
        <w:t xml:space="preserve">and </w:t>
      </w:r>
      <w:r w:rsidR="00DE3DD8" w:rsidRPr="000B68C8">
        <w:rPr>
          <w:rFonts w:cs="Arial"/>
          <w:szCs w:val="20"/>
          <w:lang w:val="en-US"/>
        </w:rPr>
        <w:t xml:space="preserve">EU FireStat </w:t>
      </w:r>
      <w:r w:rsidR="00F13529" w:rsidRPr="000B68C8">
        <w:rPr>
          <w:rFonts w:cs="Arial"/>
          <w:szCs w:val="20"/>
          <w:lang w:val="en-US"/>
        </w:rPr>
        <w:t>consortium partner</w:t>
      </w:r>
      <w:r w:rsidR="005B4A17" w:rsidRPr="000B68C8">
        <w:rPr>
          <w:rFonts w:cs="Arial"/>
          <w:szCs w:val="20"/>
          <w:lang w:val="en-US"/>
        </w:rPr>
        <w:t>s.</w:t>
      </w:r>
      <w:r w:rsidR="00DE3DD8" w:rsidRPr="000B68C8">
        <w:rPr>
          <w:rFonts w:cs="Arial"/>
          <w:szCs w:val="20"/>
          <w:lang w:val="en-US"/>
        </w:rPr>
        <w:t xml:space="preserve"> The obtained</w:t>
      </w:r>
      <w:r w:rsidR="005B4A17" w:rsidRPr="000B68C8">
        <w:rPr>
          <w:rFonts w:cs="Arial"/>
          <w:szCs w:val="20"/>
          <w:lang w:val="en-US"/>
        </w:rPr>
        <w:t xml:space="preserve"> response</w:t>
      </w:r>
      <w:r w:rsidR="00DE3DD8" w:rsidRPr="000B68C8">
        <w:rPr>
          <w:rFonts w:cs="Arial"/>
          <w:szCs w:val="20"/>
          <w:lang w:val="en-US"/>
        </w:rPr>
        <w:t>s were then</w:t>
      </w:r>
      <w:r w:rsidR="005B4A17" w:rsidRPr="000B68C8">
        <w:rPr>
          <w:rFonts w:cs="Arial"/>
          <w:szCs w:val="20"/>
          <w:lang w:val="en-US"/>
        </w:rPr>
        <w:t xml:space="preserve"> </w:t>
      </w:r>
      <w:r w:rsidR="00F13529" w:rsidRPr="000B68C8">
        <w:rPr>
          <w:rFonts w:cs="Arial"/>
          <w:szCs w:val="20"/>
          <w:lang w:val="en-US"/>
        </w:rPr>
        <w:t xml:space="preserve">compared to existing </w:t>
      </w:r>
      <w:r w:rsidRPr="000B68C8">
        <w:rPr>
          <w:rFonts w:cs="Arial"/>
          <w:szCs w:val="20"/>
          <w:lang w:val="en-US"/>
        </w:rPr>
        <w:t xml:space="preserve">EU </w:t>
      </w:r>
      <w:r w:rsidR="00F13529" w:rsidRPr="000B68C8">
        <w:rPr>
          <w:rFonts w:cs="Arial"/>
          <w:szCs w:val="20"/>
          <w:lang w:val="en-US"/>
        </w:rPr>
        <w:t>fire statistics</w:t>
      </w:r>
      <w:r w:rsidR="00DE3DD8" w:rsidRPr="000B68C8">
        <w:rPr>
          <w:rFonts w:cs="Arial"/>
          <w:szCs w:val="20"/>
          <w:lang w:val="en-US"/>
        </w:rPr>
        <w:t xml:space="preserve"> to select the essential fire statistical variables necessary for </w:t>
      </w:r>
      <w:r w:rsidR="00FE2D35" w:rsidRPr="000B68C8">
        <w:rPr>
          <w:rFonts w:cs="Arial"/>
          <w:szCs w:val="20"/>
          <w:lang w:val="en-US"/>
        </w:rPr>
        <w:t xml:space="preserve">the </w:t>
      </w:r>
      <w:r w:rsidR="00DE3DD8" w:rsidRPr="000B68C8">
        <w:rPr>
          <w:rFonts w:cs="Arial"/>
          <w:szCs w:val="20"/>
          <w:lang w:val="en-US"/>
        </w:rPr>
        <w:t>complete identification of the fire events</w:t>
      </w:r>
      <w:r w:rsidR="00846DF7" w:rsidRPr="000B68C8">
        <w:rPr>
          <w:rFonts w:cs="Arial"/>
          <w:szCs w:val="20"/>
          <w:lang w:val="en-US"/>
        </w:rPr>
        <w:t xml:space="preserve"> in buildings</w:t>
      </w:r>
      <w:r w:rsidR="00F13529" w:rsidRPr="000B68C8">
        <w:rPr>
          <w:rFonts w:cs="Arial"/>
          <w:szCs w:val="20"/>
          <w:lang w:val="en-US"/>
        </w:rPr>
        <w:t xml:space="preserve">. </w:t>
      </w:r>
      <w:r w:rsidRPr="000B68C8">
        <w:rPr>
          <w:rFonts w:cs="Arial"/>
        </w:rPr>
        <w:t xml:space="preserve">The selected variables </w:t>
      </w:r>
      <w:r w:rsidR="00846DF7" w:rsidRPr="000B68C8">
        <w:rPr>
          <w:rFonts w:cs="Arial"/>
        </w:rPr>
        <w:t>were</w:t>
      </w:r>
      <w:r w:rsidRPr="000B68C8">
        <w:rPr>
          <w:rFonts w:cs="Arial"/>
        </w:rPr>
        <w:t xml:space="preserve"> grouped into three tiers</w:t>
      </w:r>
      <w:r w:rsidR="0006544C" w:rsidRPr="000B68C8">
        <w:rPr>
          <w:rFonts w:cs="Arial"/>
        </w:rPr>
        <w:t xml:space="preserve"> where </w:t>
      </w:r>
      <w:r w:rsidR="00846DF7" w:rsidRPr="000B68C8">
        <w:rPr>
          <w:rFonts w:cs="Arial"/>
        </w:rPr>
        <w:t xml:space="preserve">Tier 1 </w:t>
      </w:r>
      <w:r w:rsidR="0006544C" w:rsidRPr="000B68C8">
        <w:rPr>
          <w:rFonts w:cs="Arial"/>
        </w:rPr>
        <w:t>presents the variables</w:t>
      </w:r>
      <w:r w:rsidR="00846DF7" w:rsidRPr="000B68C8">
        <w:rPr>
          <w:rFonts w:cs="Arial"/>
        </w:rPr>
        <w:t xml:space="preserve"> </w:t>
      </w:r>
      <w:r w:rsidRPr="000B68C8">
        <w:rPr>
          <w:rFonts w:cs="Arial"/>
        </w:rPr>
        <w:t xml:space="preserve">collected by the majority of the EU Member States and also selected by the majority of the stakeholders and the consortium or by stakeholders only, </w:t>
      </w:r>
      <w:r w:rsidR="0006544C" w:rsidRPr="000B68C8">
        <w:rPr>
          <w:rFonts w:cs="Arial"/>
        </w:rPr>
        <w:t xml:space="preserve">Tier 2 the variables </w:t>
      </w:r>
      <w:r w:rsidRPr="000B68C8">
        <w:rPr>
          <w:rFonts w:cs="Arial"/>
        </w:rPr>
        <w:t xml:space="preserve">selected by the majority of stakeholders and the consortium and not collected by the majority of </w:t>
      </w:r>
      <w:r w:rsidR="0006544C" w:rsidRPr="000B68C8">
        <w:rPr>
          <w:rFonts w:cs="Arial"/>
        </w:rPr>
        <w:t xml:space="preserve">the examined </w:t>
      </w:r>
      <w:r w:rsidRPr="000B68C8">
        <w:rPr>
          <w:rFonts w:cs="Arial"/>
        </w:rPr>
        <w:t xml:space="preserve">countries and, </w:t>
      </w:r>
      <w:r w:rsidR="0006544C" w:rsidRPr="000B68C8">
        <w:rPr>
          <w:rFonts w:cs="Arial"/>
        </w:rPr>
        <w:t xml:space="preserve">Tier 3 the variables </w:t>
      </w:r>
      <w:r w:rsidRPr="000B68C8">
        <w:rPr>
          <w:rFonts w:cs="Arial"/>
        </w:rPr>
        <w:t>selected by the stakeholders, the consortium or already collected by the 27 EU Member States</w:t>
      </w:r>
      <w:r w:rsidR="0006544C" w:rsidRPr="000B68C8">
        <w:rPr>
          <w:rFonts w:cs="Arial"/>
        </w:rPr>
        <w:t>.</w:t>
      </w:r>
    </w:p>
    <w:p w14:paraId="20269CEE" w14:textId="60E5091C" w:rsidR="00245D61" w:rsidRPr="000B68C8" w:rsidRDefault="00C57508" w:rsidP="00336665">
      <w:pPr>
        <w:rPr>
          <w:rFonts w:cs="Arial"/>
          <w:szCs w:val="20"/>
          <w:lang w:val="en-US"/>
        </w:rPr>
      </w:pPr>
      <w:r w:rsidRPr="000B68C8">
        <w:rPr>
          <w:rFonts w:cs="Arial"/>
          <w:szCs w:val="20"/>
          <w:lang w:val="en-US"/>
        </w:rPr>
        <w:t>The</w:t>
      </w:r>
      <w:r w:rsidR="0006544C" w:rsidRPr="000B68C8">
        <w:rPr>
          <w:rFonts w:cs="Arial"/>
          <w:szCs w:val="20"/>
          <w:lang w:val="en-US"/>
        </w:rPr>
        <w:t xml:space="preserve"> fire statistical</w:t>
      </w:r>
      <w:r w:rsidRPr="000B68C8">
        <w:rPr>
          <w:rFonts w:cs="Arial"/>
          <w:szCs w:val="20"/>
          <w:lang w:val="en-US"/>
        </w:rPr>
        <w:t xml:space="preserve"> variables defined in Tier 1 and Tier 2</w:t>
      </w:r>
      <w:r w:rsidR="00C068AF" w:rsidRPr="000B68C8">
        <w:rPr>
          <w:rFonts w:cs="Arial"/>
          <w:szCs w:val="20"/>
          <w:lang w:val="en-US"/>
        </w:rPr>
        <w:t xml:space="preserve"> plus the item first ignited</w:t>
      </w:r>
      <w:r w:rsidRPr="000B68C8">
        <w:rPr>
          <w:rFonts w:cs="Arial"/>
          <w:szCs w:val="20"/>
          <w:lang w:val="en-US"/>
        </w:rPr>
        <w:t xml:space="preserve">, </w:t>
      </w:r>
      <w:r w:rsidR="0006544C" w:rsidRPr="000B68C8">
        <w:rPr>
          <w:rFonts w:cs="Arial"/>
          <w:szCs w:val="20"/>
          <w:lang w:val="en-US"/>
        </w:rPr>
        <w:t>were</w:t>
      </w:r>
      <w:r w:rsidRPr="000B68C8">
        <w:rPr>
          <w:rFonts w:cs="Arial"/>
          <w:szCs w:val="20"/>
          <w:lang w:val="en-US"/>
        </w:rPr>
        <w:t xml:space="preserve"> considered the core of the essential information that should be gathered in the aftermath of a fire incident</w:t>
      </w:r>
      <w:r w:rsidR="00EE655A" w:rsidRPr="000B68C8">
        <w:rPr>
          <w:rFonts w:cs="Arial"/>
          <w:szCs w:val="20"/>
          <w:lang w:val="en-US"/>
        </w:rPr>
        <w:t xml:space="preserve"> as they were identified as already recorded in the EU Member States and selected by the stakeholders and consortium</w:t>
      </w:r>
      <w:r w:rsidRPr="000B68C8">
        <w:rPr>
          <w:rFonts w:cs="Arial"/>
          <w:szCs w:val="20"/>
          <w:lang w:val="en-US"/>
        </w:rPr>
        <w:t xml:space="preserve">. </w:t>
      </w:r>
      <w:r w:rsidR="006F0429" w:rsidRPr="000B68C8">
        <w:rPr>
          <w:rFonts w:cs="Arial"/>
          <w:szCs w:val="20"/>
          <w:lang w:val="en-US"/>
        </w:rPr>
        <w:t xml:space="preserve">This will support a reasonable implementation in current practices and </w:t>
      </w:r>
      <w:r w:rsidR="006F0429" w:rsidRPr="000B68C8">
        <w:rPr>
          <w:lang w:val="en-US"/>
        </w:rPr>
        <w:t xml:space="preserve">should not prevent the European countries to continue collecting other variables in parallel. </w:t>
      </w:r>
      <w:r w:rsidRPr="000B68C8">
        <w:rPr>
          <w:rFonts w:cs="Arial"/>
          <w:szCs w:val="20"/>
          <w:lang w:val="en-US"/>
        </w:rPr>
        <w:t>T</w:t>
      </w:r>
      <w:r w:rsidR="00F13529" w:rsidRPr="000B68C8">
        <w:rPr>
          <w:rFonts w:cs="Arial"/>
          <w:szCs w:val="20"/>
          <w:lang w:val="en-US"/>
        </w:rPr>
        <w:t>h</w:t>
      </w:r>
      <w:r w:rsidRPr="000B68C8">
        <w:rPr>
          <w:rFonts w:cs="Arial"/>
          <w:szCs w:val="20"/>
          <w:lang w:val="en-US"/>
        </w:rPr>
        <w:t>e obtained</w:t>
      </w:r>
      <w:r w:rsidR="00F13529" w:rsidRPr="000B68C8">
        <w:rPr>
          <w:rFonts w:cs="Arial"/>
          <w:szCs w:val="20"/>
          <w:lang w:val="en-US"/>
        </w:rPr>
        <w:t xml:space="preserve"> information </w:t>
      </w:r>
      <w:r w:rsidR="0006544C" w:rsidRPr="000B68C8">
        <w:rPr>
          <w:rFonts w:cs="Arial"/>
          <w:szCs w:val="20"/>
          <w:lang w:val="en-US"/>
        </w:rPr>
        <w:t>was</w:t>
      </w:r>
      <w:r w:rsidRPr="000B68C8">
        <w:rPr>
          <w:rFonts w:cs="Arial"/>
          <w:szCs w:val="20"/>
          <w:lang w:val="en-US"/>
        </w:rPr>
        <w:t xml:space="preserve"> used </w:t>
      </w:r>
      <w:r w:rsidR="00F13529" w:rsidRPr="000B68C8">
        <w:rPr>
          <w:rFonts w:cs="Arial"/>
          <w:szCs w:val="20"/>
          <w:lang w:val="en-US"/>
        </w:rPr>
        <w:t xml:space="preserve">to propose essential </w:t>
      </w:r>
      <w:r w:rsidRPr="000B68C8">
        <w:rPr>
          <w:rFonts w:cs="Arial"/>
          <w:szCs w:val="20"/>
          <w:lang w:val="en-US"/>
        </w:rPr>
        <w:t xml:space="preserve">fire statistical </w:t>
      </w:r>
      <w:r w:rsidR="00F13529" w:rsidRPr="000B68C8">
        <w:rPr>
          <w:rFonts w:cs="Arial"/>
          <w:szCs w:val="20"/>
          <w:lang w:val="en-US"/>
        </w:rPr>
        <w:t>variables and provide definitions and values for each of them</w:t>
      </w:r>
      <w:r w:rsidRPr="000B68C8">
        <w:rPr>
          <w:rFonts w:cs="Arial"/>
          <w:szCs w:val="20"/>
          <w:lang w:val="en-US"/>
        </w:rPr>
        <w:t xml:space="preserve"> based on a deep analysis of available definitions and values in the fire statistics of various countries</w:t>
      </w:r>
      <w:r w:rsidR="005A50CF" w:rsidRPr="000B68C8">
        <w:rPr>
          <w:rFonts w:cs="Arial"/>
          <w:szCs w:val="20"/>
          <w:lang w:val="en-US"/>
        </w:rPr>
        <w:t>,</w:t>
      </w:r>
      <w:r w:rsidRPr="000B68C8">
        <w:rPr>
          <w:rFonts w:cs="Arial"/>
          <w:szCs w:val="20"/>
          <w:lang w:val="en-US"/>
        </w:rPr>
        <w:t xml:space="preserve"> and a variety of specialized documents. </w:t>
      </w:r>
      <w:r w:rsidR="00F13529" w:rsidRPr="000B68C8">
        <w:rPr>
          <w:rFonts w:cs="Arial"/>
          <w:szCs w:val="20"/>
          <w:lang w:val="en-US"/>
        </w:rPr>
        <w:t xml:space="preserve">The proposed terminology constitutes a minimum dataset for collection at the local level and it does not prevent a fire department or national authority from having a more detailed data collection </w:t>
      </w:r>
      <w:r w:rsidR="00C92D1E" w:rsidRPr="000B68C8">
        <w:rPr>
          <w:rFonts w:cs="Arial"/>
          <w:szCs w:val="20"/>
          <w:lang w:val="en-US"/>
        </w:rPr>
        <w:t>if</w:t>
      </w:r>
      <w:r w:rsidR="00F13529" w:rsidRPr="000B68C8">
        <w:rPr>
          <w:rFonts w:cs="Arial"/>
          <w:szCs w:val="20"/>
          <w:lang w:val="en-US"/>
        </w:rPr>
        <w:t xml:space="preserve"> they can provide simplified data according to the terminology of the pan-European statistics.</w:t>
      </w:r>
    </w:p>
    <w:p w14:paraId="11E60A66" w14:textId="20174DDF" w:rsidR="005D65DE" w:rsidRPr="000B68C8" w:rsidRDefault="003A3521" w:rsidP="00080A56">
      <w:r w:rsidRPr="000B68C8">
        <w:rPr>
          <w:rFonts w:cs="Arial"/>
          <w:szCs w:val="20"/>
          <w:lang w:val="en-US"/>
        </w:rPr>
        <w:t xml:space="preserve">The analysis of </w:t>
      </w:r>
      <w:r w:rsidR="00AE325A" w:rsidRPr="000B68C8">
        <w:rPr>
          <w:rFonts w:cs="Arial"/>
          <w:szCs w:val="20"/>
          <w:lang w:val="en-US"/>
        </w:rPr>
        <w:t xml:space="preserve">the </w:t>
      </w:r>
      <w:r w:rsidRPr="000B68C8">
        <w:rPr>
          <w:rFonts w:cs="Arial"/>
          <w:szCs w:val="20"/>
          <w:lang w:val="en-US"/>
        </w:rPr>
        <w:t xml:space="preserve">fire statistics inevitably implies </w:t>
      </w:r>
      <w:r w:rsidR="00EC784A" w:rsidRPr="000B68C8">
        <w:rPr>
          <w:rFonts w:cs="Arial"/>
          <w:szCs w:val="20"/>
          <w:lang w:val="en-US"/>
        </w:rPr>
        <w:t>a</w:t>
      </w:r>
      <w:r w:rsidRPr="000B68C8">
        <w:rPr>
          <w:rFonts w:cs="Arial"/>
          <w:szCs w:val="20"/>
          <w:lang w:val="en-US"/>
        </w:rPr>
        <w:t xml:space="preserve"> correct </w:t>
      </w:r>
      <w:r w:rsidR="00EC784A" w:rsidRPr="000B68C8">
        <w:rPr>
          <w:rFonts w:cs="Arial"/>
          <w:szCs w:val="20"/>
          <w:lang w:val="en-US"/>
        </w:rPr>
        <w:t xml:space="preserve">and common </w:t>
      </w:r>
      <w:r w:rsidRPr="000B68C8">
        <w:rPr>
          <w:rFonts w:cs="Arial"/>
          <w:szCs w:val="20"/>
          <w:lang w:val="en-US"/>
        </w:rPr>
        <w:t xml:space="preserve">understanding of the recorded variables to enable an appropriate </w:t>
      </w:r>
      <w:r w:rsidR="00AE325A" w:rsidRPr="000B68C8">
        <w:rPr>
          <w:rFonts w:cs="Arial"/>
          <w:szCs w:val="20"/>
          <w:lang w:val="en-US"/>
        </w:rPr>
        <w:t xml:space="preserve">investigation </w:t>
      </w:r>
      <w:r w:rsidRPr="000B68C8">
        <w:rPr>
          <w:rFonts w:cs="Arial"/>
          <w:szCs w:val="20"/>
          <w:lang w:val="en-US"/>
        </w:rPr>
        <w:t xml:space="preserve">of </w:t>
      </w:r>
      <w:r w:rsidR="006D3DB5" w:rsidRPr="000B68C8">
        <w:rPr>
          <w:rFonts w:cs="Arial"/>
          <w:szCs w:val="20"/>
          <w:lang w:val="en-US"/>
        </w:rPr>
        <w:t>details</w:t>
      </w:r>
      <w:r w:rsidRPr="000B68C8">
        <w:rPr>
          <w:rFonts w:cs="Arial"/>
          <w:szCs w:val="20"/>
          <w:lang w:val="en-US"/>
        </w:rPr>
        <w:t xml:space="preserve"> </w:t>
      </w:r>
      <w:r w:rsidR="00AE325A" w:rsidRPr="000B68C8">
        <w:rPr>
          <w:rFonts w:cs="Arial"/>
          <w:szCs w:val="20"/>
          <w:lang w:val="en-US"/>
        </w:rPr>
        <w:t>relat</w:t>
      </w:r>
      <w:r w:rsidR="006D3DB5" w:rsidRPr="000B68C8">
        <w:rPr>
          <w:rFonts w:cs="Arial"/>
          <w:szCs w:val="20"/>
          <w:lang w:val="en-US"/>
        </w:rPr>
        <w:t xml:space="preserve">ing </w:t>
      </w:r>
      <w:r w:rsidR="00AE325A" w:rsidRPr="000B68C8">
        <w:rPr>
          <w:rFonts w:cs="Arial"/>
          <w:szCs w:val="20"/>
          <w:lang w:val="en-US"/>
        </w:rPr>
        <w:t xml:space="preserve">to </w:t>
      </w:r>
      <w:r w:rsidR="006D3DB5" w:rsidRPr="000B68C8">
        <w:rPr>
          <w:rFonts w:cs="Arial"/>
          <w:szCs w:val="20"/>
          <w:lang w:val="en-US"/>
        </w:rPr>
        <w:t xml:space="preserve">the fire </w:t>
      </w:r>
      <w:r w:rsidR="00AE325A" w:rsidRPr="000B68C8">
        <w:rPr>
          <w:rFonts w:cs="Arial"/>
          <w:szCs w:val="20"/>
          <w:lang w:val="en-US"/>
        </w:rPr>
        <w:t>in</w:t>
      </w:r>
      <w:r w:rsidR="00F1088B" w:rsidRPr="000B68C8">
        <w:rPr>
          <w:rFonts w:cs="Arial"/>
          <w:szCs w:val="20"/>
          <w:lang w:val="en-US"/>
        </w:rPr>
        <w:t>cident</w:t>
      </w:r>
      <w:r w:rsidR="00AE325A" w:rsidRPr="000B68C8">
        <w:rPr>
          <w:rFonts w:cs="Arial"/>
          <w:szCs w:val="20"/>
          <w:lang w:val="en-US"/>
        </w:rPr>
        <w:t xml:space="preserve">, </w:t>
      </w:r>
      <w:r w:rsidR="006D3DB5" w:rsidRPr="000B68C8">
        <w:rPr>
          <w:rFonts w:cs="Arial"/>
          <w:szCs w:val="20"/>
          <w:lang w:val="en-US"/>
        </w:rPr>
        <w:t>building occupants</w:t>
      </w:r>
      <w:r w:rsidR="00AE325A" w:rsidRPr="000B68C8">
        <w:rPr>
          <w:rFonts w:cs="Arial"/>
          <w:szCs w:val="20"/>
          <w:lang w:val="en-US"/>
        </w:rPr>
        <w:t xml:space="preserve">, </w:t>
      </w:r>
      <w:r w:rsidR="006D3DB5" w:rsidRPr="000B68C8">
        <w:rPr>
          <w:rFonts w:cs="Arial"/>
          <w:szCs w:val="20"/>
          <w:lang w:val="en-US"/>
        </w:rPr>
        <w:t>the building structure,</w:t>
      </w:r>
      <w:r w:rsidR="00AE325A" w:rsidRPr="000B68C8">
        <w:rPr>
          <w:rFonts w:cs="Arial"/>
          <w:szCs w:val="20"/>
          <w:lang w:val="en-US"/>
        </w:rPr>
        <w:t xml:space="preserve"> and fire characteristics. </w:t>
      </w:r>
      <w:r w:rsidR="00E61EBA" w:rsidRPr="000B68C8">
        <w:rPr>
          <w:rFonts w:cs="Arial"/>
          <w:szCs w:val="20"/>
          <w:lang w:val="en-US"/>
        </w:rPr>
        <w:t>Finally, the outputs generated are intended to increase awareness of current definitions and propose a common terminology that will generate the foundations for harmonized fire statistics at the EU level</w:t>
      </w:r>
      <w:r w:rsidR="00E61EBA" w:rsidRPr="000B68C8">
        <w:t>. The introduction of these fire statistical variables could have applications in the identification of fire scenarios and fire risks, factors influencing fires and evaluation of the performance of building</w:t>
      </w:r>
      <w:r w:rsidR="004B538B" w:rsidRPr="000B68C8">
        <w:t>s</w:t>
      </w:r>
      <w:r w:rsidR="00E61EBA" w:rsidRPr="000B68C8">
        <w:t xml:space="preserve"> and fire safety measures being implemented in fire design, computational models and evacuation strategy. Fire statistics could provide useful information for fire brigades to optimize their organization and authorities to determine investments and create prevention campaigns. </w:t>
      </w:r>
      <w:bookmarkStart w:id="54" w:name="_Hlk121153316"/>
      <w:r w:rsidR="00831BAE" w:rsidRPr="000B68C8">
        <w:t>Future research should be considered in terms of the reasons for the selection of certain data by each country, what policy decisions data can inform, and an analysis of the efficacy of the data in supporting the defined policy decisions.</w:t>
      </w:r>
      <w:bookmarkEnd w:id="54"/>
      <w:r w:rsidR="006D179B" w:rsidRPr="000B68C8">
        <w:t xml:space="preserve"> </w:t>
      </w:r>
      <w:r w:rsidR="003776BF" w:rsidRPr="000B68C8">
        <w:t>F</w:t>
      </w:r>
      <w:r w:rsidR="00CE4A12" w:rsidRPr="000B68C8">
        <w:t xml:space="preserve">uture work should </w:t>
      </w:r>
      <w:r w:rsidR="00D5433A" w:rsidRPr="000B68C8">
        <w:t xml:space="preserve">also </w:t>
      </w:r>
      <w:r w:rsidR="00CE4A12" w:rsidRPr="000B68C8">
        <w:t xml:space="preserve">be performed </w:t>
      </w:r>
      <w:r w:rsidR="00320070" w:rsidRPr="000B68C8">
        <w:t xml:space="preserve">to </w:t>
      </w:r>
      <w:r w:rsidR="00A16752" w:rsidRPr="000B68C8">
        <w:t>understand</w:t>
      </w:r>
      <w:r w:rsidR="00CE4A12" w:rsidRPr="000B68C8">
        <w:t xml:space="preserve"> how the fire investigation </w:t>
      </w:r>
      <w:r w:rsidR="00A16752" w:rsidRPr="000B68C8">
        <w:t>and/or</w:t>
      </w:r>
      <w:r w:rsidR="00CE4A12" w:rsidRPr="000B68C8">
        <w:t xml:space="preserve"> police reports can improve the </w:t>
      </w:r>
      <w:r w:rsidR="004E1B69" w:rsidRPr="000B68C8">
        <w:t xml:space="preserve">quality of </w:t>
      </w:r>
      <w:r w:rsidR="00CE4A12" w:rsidRPr="000B68C8">
        <w:t>fire statistics.</w:t>
      </w:r>
      <w:bookmarkEnd w:id="0"/>
      <w:bookmarkEnd w:id="1"/>
      <w:bookmarkEnd w:id="2"/>
      <w:bookmarkEnd w:id="3"/>
      <w:bookmarkEnd w:id="4"/>
      <w:bookmarkEnd w:id="5"/>
      <w:bookmarkEnd w:id="6"/>
      <w:bookmarkEnd w:id="7"/>
      <w:bookmarkEnd w:id="8"/>
      <w:bookmarkEnd w:id="9"/>
    </w:p>
    <w:p w14:paraId="7AF9FB15" w14:textId="5095E126" w:rsidR="0038508D" w:rsidRPr="000B68C8" w:rsidRDefault="0038508D" w:rsidP="00342407">
      <w:pPr>
        <w:pStyle w:val="Heading1"/>
        <w:numPr>
          <w:ilvl w:val="0"/>
          <w:numId w:val="0"/>
        </w:numPr>
        <w:ind w:left="432" w:hanging="432"/>
      </w:pPr>
      <w:r w:rsidRPr="000B68C8">
        <w:t>References</w:t>
      </w:r>
    </w:p>
    <w:p w14:paraId="68A9C374" w14:textId="0E849745" w:rsidR="000672DB" w:rsidRPr="000B68C8" w:rsidRDefault="00802FE6" w:rsidP="000672DB">
      <w:pPr>
        <w:widowControl w:val="0"/>
        <w:autoSpaceDE w:val="0"/>
        <w:autoSpaceDN w:val="0"/>
        <w:adjustRightInd w:val="0"/>
        <w:spacing w:line="240" w:lineRule="auto"/>
        <w:ind w:left="640" w:hanging="640"/>
        <w:rPr>
          <w:rFonts w:cs="Times New Roman"/>
          <w:noProof/>
          <w:szCs w:val="24"/>
        </w:rPr>
      </w:pPr>
      <w:r w:rsidRPr="000B68C8">
        <w:fldChar w:fldCharType="begin" w:fldLock="1"/>
      </w:r>
      <w:r w:rsidRPr="000B68C8">
        <w:instrText xml:space="preserve">ADDIN Mendeley Bibliography CSL_BIBLIOGRAPHY </w:instrText>
      </w:r>
      <w:r w:rsidRPr="000B68C8">
        <w:fldChar w:fldCharType="separate"/>
      </w:r>
      <w:r w:rsidR="000672DB" w:rsidRPr="000B68C8">
        <w:rPr>
          <w:rFonts w:cs="Times New Roman"/>
          <w:noProof/>
          <w:szCs w:val="24"/>
        </w:rPr>
        <w:t>[1]</w:t>
      </w:r>
      <w:r w:rsidR="000672DB" w:rsidRPr="000B68C8">
        <w:rPr>
          <w:rFonts w:cs="Times New Roman"/>
          <w:noProof/>
          <w:szCs w:val="24"/>
        </w:rPr>
        <w:tab/>
        <w:t>ISO 31000:2018, “Risk management - Principles and guidelines.” 2009.</w:t>
      </w:r>
    </w:p>
    <w:p w14:paraId="53BC2350"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w:t>
      </w:r>
      <w:r w:rsidRPr="000B68C8">
        <w:rPr>
          <w:rFonts w:cs="Times New Roman"/>
          <w:noProof/>
          <w:szCs w:val="24"/>
        </w:rPr>
        <w:tab/>
        <w:t xml:space="preserve">I. Almufti, M. Willford, M. Delucchi, C. Davis, B. Hanson, D. Langdon, D. Friedman, L. Johnson, G. Nielsen, N. O. Riordan, C. Roberts, M. Steiner, A. Wilson, A. Wolski, and T. Mote, “REDi </w:t>
      </w:r>
      <w:r w:rsidRPr="000B68C8">
        <w:rPr>
          <w:rFonts w:cs="Times New Roman"/>
          <w:noProof/>
          <w:szCs w:val="24"/>
          <w:vertAlign w:val="superscript"/>
        </w:rPr>
        <w:t>TM</w:t>
      </w:r>
      <w:r w:rsidRPr="000B68C8">
        <w:rPr>
          <w:rFonts w:cs="Times New Roman"/>
          <w:noProof/>
          <w:szCs w:val="24"/>
        </w:rPr>
        <w:t xml:space="preserve"> Rating System,” 2013.</w:t>
      </w:r>
    </w:p>
    <w:p w14:paraId="73A39CA9"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w:t>
      </w:r>
      <w:r w:rsidRPr="000B68C8">
        <w:rPr>
          <w:rFonts w:cs="Times New Roman"/>
          <w:noProof/>
          <w:szCs w:val="24"/>
        </w:rPr>
        <w:tab/>
        <w:t xml:space="preserve">M. Law and P. Beever, “Magic numbers and golden rules,” </w:t>
      </w:r>
      <w:r w:rsidRPr="000B68C8">
        <w:rPr>
          <w:rFonts w:cs="Times New Roman"/>
          <w:i/>
          <w:iCs/>
          <w:noProof/>
          <w:szCs w:val="24"/>
        </w:rPr>
        <w:t>Fire Technology</w:t>
      </w:r>
      <w:r w:rsidRPr="000B68C8">
        <w:rPr>
          <w:rFonts w:cs="Times New Roman"/>
          <w:noProof/>
          <w:szCs w:val="24"/>
        </w:rPr>
        <w:t>, vol. 31, no. 1, pp. 77–83, 1995.</w:t>
      </w:r>
    </w:p>
    <w:p w14:paraId="66BDEF1C"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[4]</w:t>
      </w:r>
      <w:r w:rsidRPr="000B68C8">
        <w:rPr>
          <w:rFonts w:cs="Times New Roman"/>
          <w:noProof/>
          <w:szCs w:val="24"/>
        </w:rPr>
        <w:tab/>
        <w:t xml:space="preserve">V. M. Brannigan, “Fire scenarios or scenario fires? Can fire safety science provide the critical inputs for performance based fire safety analyses?,” </w:t>
      </w:r>
      <w:r w:rsidRPr="000B68C8">
        <w:rPr>
          <w:rFonts w:cs="Times New Roman"/>
          <w:i/>
          <w:iCs/>
          <w:noProof/>
          <w:szCs w:val="24"/>
        </w:rPr>
        <w:t>Fire Safety Science</w:t>
      </w:r>
      <w:r w:rsidRPr="000B68C8">
        <w:rPr>
          <w:rFonts w:cs="Times New Roman"/>
          <w:noProof/>
          <w:szCs w:val="24"/>
        </w:rPr>
        <w:t>, vol. 6, pp. 207–2018, 2000.</w:t>
      </w:r>
    </w:p>
    <w:p w14:paraId="1F8AFEC8"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[5]</w:t>
      </w:r>
      <w:r w:rsidRPr="000B68C8">
        <w:rPr>
          <w:rFonts w:cs="Times New Roman"/>
          <w:noProof/>
          <w:szCs w:val="24"/>
        </w:rPr>
        <w:tab/>
        <w:t xml:space="preserve">M. Manes, M. El Houssami, R. Campbell, A. Sauca, D. Rush, A. Hofmann, P. Andersson, P. Wagner, S. Sokolov, J. Veeneklaas, M. Kobes, D. Oberhagemann, N. Rupp, G. Jomaas, F. Grone, P. van Hees, and E. Guillaume, “Closing data gaps and paving the way for pan-European Fire Safety Efforts. Part I - overview of current practices for fire statistics,” </w:t>
      </w:r>
      <w:r w:rsidRPr="000B68C8">
        <w:rPr>
          <w:rFonts w:cs="Times New Roman"/>
          <w:i/>
          <w:iCs/>
          <w:noProof/>
          <w:szCs w:val="24"/>
        </w:rPr>
        <w:t>Fire Technology Journal (under review)</w:t>
      </w:r>
      <w:r w:rsidRPr="000B68C8">
        <w:rPr>
          <w:rFonts w:cs="Times New Roman"/>
          <w:noProof/>
          <w:szCs w:val="24"/>
        </w:rPr>
        <w:t>, 2022.</w:t>
      </w:r>
    </w:p>
    <w:p w14:paraId="325D10EE"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[6]</w:t>
      </w:r>
      <w:r w:rsidRPr="000B68C8">
        <w:rPr>
          <w:rFonts w:cs="Times New Roman"/>
          <w:noProof/>
          <w:szCs w:val="24"/>
        </w:rPr>
        <w:tab/>
        <w:t>Fundación Mapfre and APTB, “Víctimas de incendios en España en 2019,” 2020.</w:t>
      </w:r>
    </w:p>
    <w:p w14:paraId="375F3EDF"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[7]</w:t>
      </w:r>
      <w:r w:rsidRPr="000B68C8">
        <w:rPr>
          <w:rFonts w:cs="Times New Roman"/>
          <w:noProof/>
          <w:szCs w:val="24"/>
        </w:rPr>
        <w:tab/>
        <w:t>UNESPA, “¡FUEGO! Los incendios asegurados en 2019-2020,” 2021.</w:t>
      </w:r>
    </w:p>
    <w:p w14:paraId="5BFBC4A1"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[8]</w:t>
      </w:r>
      <w:r w:rsidRPr="000B68C8">
        <w:rPr>
          <w:rFonts w:cs="Times New Roman"/>
          <w:noProof/>
          <w:szCs w:val="24"/>
        </w:rPr>
        <w:tab/>
        <w:t>Ministere de L’Interieur, “Les Statistiques des Services d’Incendie,” 2020.</w:t>
      </w:r>
    </w:p>
    <w:p w14:paraId="64B34999"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[9]</w:t>
      </w:r>
      <w:r w:rsidRPr="000B68C8">
        <w:rPr>
          <w:rFonts w:cs="Times New Roman"/>
          <w:noProof/>
          <w:szCs w:val="24"/>
        </w:rPr>
        <w:tab/>
        <w:t>State Records Authority of New South Wales, “Australian Incident Reporting System reference manual [AIRS Reference Manual],” 1998.</w:t>
      </w:r>
    </w:p>
    <w:p w14:paraId="4D1B6F1D"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[10]</w:t>
      </w:r>
      <w:r w:rsidRPr="000B68C8">
        <w:rPr>
          <w:rFonts w:cs="Times New Roman"/>
          <w:noProof/>
          <w:szCs w:val="24"/>
        </w:rPr>
        <w:tab/>
        <w:t>U.S. Fire Administration, “National Fire Incident Reporting System,” 2015.</w:t>
      </w:r>
    </w:p>
    <w:p w14:paraId="30828108"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[11]</w:t>
      </w:r>
      <w:r w:rsidRPr="000B68C8">
        <w:rPr>
          <w:rFonts w:cs="Times New Roman"/>
          <w:noProof/>
          <w:szCs w:val="24"/>
        </w:rPr>
        <w:tab/>
        <w:t xml:space="preserve">Department for Communities &amp; Local Government, </w:t>
      </w:r>
      <w:r w:rsidRPr="000B68C8">
        <w:rPr>
          <w:rFonts w:cs="Times New Roman"/>
          <w:i/>
          <w:iCs/>
          <w:noProof/>
          <w:szCs w:val="24"/>
        </w:rPr>
        <w:t>Incident Recording System - Questions and lists Version 1.6</w:t>
      </w:r>
      <w:r w:rsidRPr="000B68C8">
        <w:rPr>
          <w:rFonts w:cs="Times New Roman"/>
          <w:noProof/>
          <w:szCs w:val="24"/>
        </w:rPr>
        <w:t>. 2012.</w:t>
      </w:r>
    </w:p>
    <w:p w14:paraId="199CCD0D"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[12]</w:t>
      </w:r>
      <w:r w:rsidRPr="000B68C8">
        <w:rPr>
          <w:rFonts w:cs="Times New Roman"/>
          <w:noProof/>
          <w:szCs w:val="24"/>
        </w:rPr>
        <w:tab/>
        <w:t xml:space="preserve">M. Lundqvist, C. McIntyre, and U. Hedman, </w:t>
      </w:r>
      <w:r w:rsidRPr="000B68C8">
        <w:rPr>
          <w:rFonts w:cs="Times New Roman"/>
          <w:i/>
          <w:iCs/>
          <w:noProof/>
          <w:szCs w:val="24"/>
        </w:rPr>
        <w:t>The Swedish Rescue Services in Figures</w:t>
      </w:r>
      <w:r w:rsidRPr="000B68C8">
        <w:rPr>
          <w:rFonts w:cs="Times New Roman"/>
          <w:noProof/>
          <w:szCs w:val="24"/>
        </w:rPr>
        <w:t>. 2008.</w:t>
      </w:r>
    </w:p>
    <w:p w14:paraId="2F732797"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[13]</w:t>
      </w:r>
      <w:r w:rsidRPr="000B68C8">
        <w:rPr>
          <w:rFonts w:cs="Times New Roman"/>
          <w:noProof/>
          <w:szCs w:val="24"/>
        </w:rPr>
        <w:tab/>
        <w:t>Department of Housing Local Government and Heritage (Ireland), “Fire service statistics,” 2021. http://www.housing.old.gov.ie/community/fire-and-emergency-management/other/statistics (accessed Feb. 25, 2023).</w:t>
      </w:r>
    </w:p>
    <w:p w14:paraId="6FC2AAB6"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[14]</w:t>
      </w:r>
      <w:r w:rsidRPr="000B68C8">
        <w:rPr>
          <w:rFonts w:cs="Times New Roman"/>
          <w:noProof/>
          <w:szCs w:val="24"/>
        </w:rPr>
        <w:tab/>
        <w:t xml:space="preserve">N. Brushlinsky, M. Ahrens, S. Sergei, and P. Wagner, “World Fire Statistics n23,” </w:t>
      </w:r>
      <w:r w:rsidRPr="000B68C8">
        <w:rPr>
          <w:rFonts w:cs="Times New Roman"/>
          <w:i/>
          <w:iCs/>
          <w:noProof/>
          <w:szCs w:val="24"/>
        </w:rPr>
        <w:t>Center of Fire Statistics, International Association of Fire and Rescue Services.</w:t>
      </w:r>
      <w:r w:rsidRPr="000B68C8">
        <w:rPr>
          <w:rFonts w:cs="Times New Roman"/>
          <w:noProof/>
          <w:szCs w:val="24"/>
        </w:rPr>
        <w:t>, 2018.</w:t>
      </w:r>
    </w:p>
    <w:p w14:paraId="1A1C06AC"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[15]</w:t>
      </w:r>
      <w:r w:rsidRPr="000B68C8">
        <w:rPr>
          <w:rFonts w:cs="Times New Roman"/>
          <w:noProof/>
          <w:szCs w:val="24"/>
        </w:rPr>
        <w:tab/>
        <w:t xml:space="preserve">N. Brushlinsky, M. Ahrens, S. Sergei, and P. Wagner, “World fire statistics reports,” </w:t>
      </w:r>
      <w:r w:rsidRPr="000B68C8">
        <w:rPr>
          <w:rFonts w:cs="Times New Roman"/>
          <w:i/>
          <w:iCs/>
          <w:noProof/>
          <w:szCs w:val="24"/>
        </w:rPr>
        <w:t>Center of Fire Statistics, International Association of Fire and Rescue Services.</w:t>
      </w:r>
      <w:r w:rsidRPr="000B68C8">
        <w:rPr>
          <w:rFonts w:cs="Times New Roman"/>
          <w:noProof/>
          <w:szCs w:val="24"/>
        </w:rPr>
        <w:t>, 2018. .</w:t>
      </w:r>
    </w:p>
    <w:p w14:paraId="4038C662"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[16]</w:t>
      </w:r>
      <w:r w:rsidRPr="000B68C8">
        <w:rPr>
          <w:rFonts w:cs="Times New Roman"/>
          <w:noProof/>
          <w:szCs w:val="24"/>
        </w:rPr>
        <w:tab/>
        <w:t xml:space="preserve">J. Hu, X. Shu, S. Xie, S. Tang, J. Wu, and B. Deng, “Socioeconomic determinants of urban fire risk: A city-wide analysis of 283 Chinese cities from 2013 to 2016,” </w:t>
      </w:r>
      <w:r w:rsidRPr="000B68C8">
        <w:rPr>
          <w:rFonts w:cs="Times New Roman"/>
          <w:i/>
          <w:iCs/>
          <w:noProof/>
          <w:szCs w:val="24"/>
        </w:rPr>
        <w:t>Fire Safety Journal</w:t>
      </w:r>
      <w:r w:rsidRPr="000B68C8">
        <w:rPr>
          <w:rFonts w:cs="Times New Roman"/>
          <w:noProof/>
          <w:szCs w:val="24"/>
        </w:rPr>
        <w:t>, vol. 110, 2019.</w:t>
      </w:r>
    </w:p>
    <w:p w14:paraId="5D1F6588"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[17]</w:t>
      </w:r>
      <w:r w:rsidRPr="000B68C8">
        <w:rPr>
          <w:rFonts w:cs="Times New Roman"/>
          <w:noProof/>
          <w:szCs w:val="24"/>
        </w:rPr>
        <w:tab/>
        <w:t xml:space="preserve">S. Bryant and I. Preston, “Focus on trends in fires and fire-related fatalities,” </w:t>
      </w:r>
      <w:r w:rsidRPr="000B68C8">
        <w:rPr>
          <w:rFonts w:cs="Times New Roman"/>
          <w:i/>
          <w:iCs/>
          <w:noProof/>
          <w:szCs w:val="24"/>
        </w:rPr>
        <w:t>Home Office</w:t>
      </w:r>
      <w:r w:rsidRPr="000B68C8">
        <w:rPr>
          <w:rFonts w:cs="Times New Roman"/>
          <w:noProof/>
          <w:szCs w:val="24"/>
        </w:rPr>
        <w:t>, 2017.</w:t>
      </w:r>
    </w:p>
    <w:p w14:paraId="1886FAA2"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[18]</w:t>
      </w:r>
      <w:r w:rsidRPr="000B68C8">
        <w:rPr>
          <w:rFonts w:cs="Times New Roman"/>
          <w:noProof/>
          <w:szCs w:val="24"/>
        </w:rPr>
        <w:tab/>
        <w:t>Home Office, “Publishing Incident Recording System data on the fire and rescue service at an incident level: ‘Other building’ fires dataset guidance,” 2017.</w:t>
      </w:r>
    </w:p>
    <w:p w14:paraId="0D49E5BB"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[19]</w:t>
      </w:r>
      <w:r w:rsidRPr="000B68C8">
        <w:rPr>
          <w:rFonts w:cs="Times New Roman"/>
          <w:noProof/>
          <w:szCs w:val="24"/>
        </w:rPr>
        <w:tab/>
        <w:t>PD ISO/TR 17755:2014, “Fire safety — Overview of national fire statistics practices,” 2014.</w:t>
      </w:r>
    </w:p>
    <w:p w14:paraId="66FEF858"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[20]</w:t>
      </w:r>
      <w:r w:rsidRPr="000B68C8">
        <w:rPr>
          <w:rFonts w:cs="Times New Roman"/>
          <w:noProof/>
          <w:szCs w:val="24"/>
        </w:rPr>
        <w:tab/>
        <w:t>ISO/TS 17755-2:2020(E), “Fire safety — Statistical data collection — Part 2: Vocabulary Reference,” 2020.</w:t>
      </w:r>
    </w:p>
    <w:p w14:paraId="5E8A37C3"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[21]</w:t>
      </w:r>
      <w:r w:rsidRPr="000B68C8">
        <w:rPr>
          <w:rFonts w:cs="Times New Roman"/>
          <w:noProof/>
          <w:szCs w:val="24"/>
        </w:rPr>
        <w:tab/>
        <w:t xml:space="preserve">European Commission Directorate-General for Internal Market Industry Entrepreneurship and SMEs EU Firestat project, </w:t>
      </w:r>
      <w:r w:rsidRPr="000B68C8">
        <w:rPr>
          <w:rFonts w:cs="Times New Roman"/>
          <w:i/>
          <w:iCs/>
          <w:noProof/>
          <w:szCs w:val="24"/>
        </w:rPr>
        <w:t>Closing data gaps and paving the way for pan-European fire safety efforts: final report</w:t>
      </w:r>
      <w:r w:rsidRPr="000B68C8">
        <w:rPr>
          <w:rFonts w:cs="Times New Roman"/>
          <w:noProof/>
          <w:szCs w:val="24"/>
        </w:rPr>
        <w:t>. Publications Office of the European Union, 2022.</w:t>
      </w:r>
    </w:p>
    <w:p w14:paraId="778A0DFA"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[22]</w:t>
      </w:r>
      <w:r w:rsidRPr="000B68C8">
        <w:rPr>
          <w:rFonts w:cs="Times New Roman"/>
          <w:noProof/>
          <w:szCs w:val="24"/>
        </w:rPr>
        <w:tab/>
        <w:t>EU FireStat, “EU FireStat - Closing data gaps and paving the way for pan-European Fire Safety Efforts. Report Task 0 - Diagnostic,” 2021. [Online]. Available: https://eufirestat-efectis.com/.</w:t>
      </w:r>
    </w:p>
    <w:p w14:paraId="06471D5F"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[23]</w:t>
      </w:r>
      <w:r w:rsidRPr="000B68C8">
        <w:rPr>
          <w:rFonts w:cs="Times New Roman"/>
          <w:noProof/>
          <w:szCs w:val="24"/>
        </w:rPr>
        <w:tab/>
        <w:t>EU FireStat, “EU FireStat - Closing data gaps and paving the way for pan-European Fire Safety Efforts. Report Task 1 - Terminology and data collection methodology,” 2021. [Online]. Available: https://eufirestat-efectis.com/.</w:t>
      </w:r>
    </w:p>
    <w:p w14:paraId="713E6833"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[24]</w:t>
      </w:r>
      <w:r w:rsidRPr="000B68C8">
        <w:rPr>
          <w:rFonts w:cs="Times New Roman"/>
          <w:noProof/>
          <w:szCs w:val="24"/>
        </w:rPr>
        <w:tab/>
        <w:t>EU FireStat, “EU FireStat - Closing data gaps and paving the way for pan-European Fire Safety Efforts. Report Task 2 - Data needed for decision making,” 2021. [Online]. Available: https://eufirestat-efectis.com/.</w:t>
      </w:r>
    </w:p>
    <w:p w14:paraId="0230708E"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[25]</w:t>
      </w:r>
      <w:r w:rsidRPr="000B68C8">
        <w:rPr>
          <w:rFonts w:cs="Times New Roman"/>
          <w:noProof/>
          <w:szCs w:val="24"/>
        </w:rPr>
        <w:tab/>
        <w:t>EU FireStat, “EU FireStat - Closing data gaps and paving the way for pan-European Fire Safety Efforts. Report Task 4 - Terminology,” 2021. [Online]. Available: https://eufirestat-efectis.com/.</w:t>
      </w:r>
    </w:p>
    <w:p w14:paraId="175AAD2A"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[26]</w:t>
      </w:r>
      <w:r w:rsidRPr="000B68C8">
        <w:rPr>
          <w:rFonts w:cs="Times New Roman"/>
          <w:noProof/>
          <w:szCs w:val="24"/>
        </w:rPr>
        <w:tab/>
        <w:t xml:space="preserve">M. Kobes, I. Helsloot, B. de Vries, and J. G. Post, “Building safety and human behaviour in fire: A literature review,” </w:t>
      </w:r>
      <w:r w:rsidRPr="000B68C8">
        <w:rPr>
          <w:rFonts w:cs="Times New Roman"/>
          <w:i/>
          <w:iCs/>
          <w:noProof/>
          <w:szCs w:val="24"/>
        </w:rPr>
        <w:t>Fire Safety Journal</w:t>
      </w:r>
      <w:r w:rsidRPr="000B68C8">
        <w:rPr>
          <w:rFonts w:cs="Times New Roman"/>
          <w:noProof/>
          <w:szCs w:val="24"/>
        </w:rPr>
        <w:t>, vol. 45, no. 1, pp. 1–11, 2010.</w:t>
      </w:r>
    </w:p>
    <w:p w14:paraId="0CB1D2DE"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[27]</w:t>
      </w:r>
      <w:r w:rsidRPr="000B68C8">
        <w:rPr>
          <w:rFonts w:cs="Times New Roman"/>
          <w:noProof/>
          <w:szCs w:val="24"/>
        </w:rPr>
        <w:tab/>
        <w:t>Fire Service Academy, “Fatal residential fires in Europe. A preliminary assessment of risk profiles in nine European countries. Arnhem: Institute for Safety.,” 2018.</w:t>
      </w:r>
    </w:p>
    <w:p w14:paraId="1CF35861"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[28]</w:t>
      </w:r>
      <w:r w:rsidRPr="000B68C8">
        <w:rPr>
          <w:rFonts w:cs="Times New Roman"/>
          <w:noProof/>
          <w:szCs w:val="24"/>
        </w:rPr>
        <w:tab/>
        <w:t xml:space="preserve">R. Fahy, J. Petrolli, and J. Molis, “NFPA: Firefighter Fatalities in the US-2019,” </w:t>
      </w:r>
      <w:r w:rsidRPr="000B68C8">
        <w:rPr>
          <w:rFonts w:cs="Times New Roman"/>
          <w:i/>
          <w:iCs/>
          <w:noProof/>
          <w:szCs w:val="24"/>
        </w:rPr>
        <w:t>NFPA Research Report</w:t>
      </w:r>
      <w:r w:rsidRPr="000B68C8">
        <w:rPr>
          <w:rFonts w:cs="Times New Roman"/>
          <w:noProof/>
          <w:szCs w:val="24"/>
        </w:rPr>
        <w:t>, pp. 1–26, 2019.</w:t>
      </w:r>
    </w:p>
    <w:p w14:paraId="3E9250E3"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[29]</w:t>
      </w:r>
      <w:r w:rsidRPr="000B68C8">
        <w:rPr>
          <w:rFonts w:cs="Times New Roman"/>
          <w:noProof/>
          <w:szCs w:val="24"/>
        </w:rPr>
        <w:tab/>
        <w:t>Fire Service Academy, “Risicogroepen: verantwoordelijkheidsverdeling en handelingsperspectief. Arnhem: Institute for Safety.,” 2020.</w:t>
      </w:r>
    </w:p>
    <w:p w14:paraId="0E35F187"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[30]</w:t>
      </w:r>
      <w:r w:rsidRPr="000B68C8">
        <w:rPr>
          <w:rFonts w:cs="Times New Roman"/>
          <w:noProof/>
          <w:szCs w:val="24"/>
        </w:rPr>
        <w:tab/>
        <w:t>Home Office, “Detailed analysis of fires attended by fire and rescue services. England, April 2018 to March 2019,” 2020. [Online]. Available: www.gov.uk/government/collections/fire-statistics.</w:t>
      </w:r>
    </w:p>
    <w:p w14:paraId="467F9272"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[31]</w:t>
      </w:r>
      <w:r w:rsidRPr="000B68C8">
        <w:rPr>
          <w:rFonts w:cs="Times New Roman"/>
          <w:noProof/>
          <w:szCs w:val="24"/>
        </w:rPr>
        <w:tab/>
        <w:t>Eurostat, “Glossary: Classification of types of construction (CC).” https://ec.europa.eu/eurostat/statistics-explained/index.php?title=Glossary:Classification_of_types_of_construction_(CC) (accessed Feb. 25, 2023).</w:t>
      </w:r>
    </w:p>
    <w:p w14:paraId="2722076B"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[32]</w:t>
      </w:r>
      <w:r w:rsidRPr="000B68C8">
        <w:rPr>
          <w:rFonts w:cs="Times New Roman"/>
          <w:noProof/>
          <w:szCs w:val="24"/>
        </w:rPr>
        <w:tab/>
        <w:t>NFPA 921, “Guide for Fire and Explosion Investigations,” 2014.</w:t>
      </w:r>
    </w:p>
    <w:p w14:paraId="5F834BD7"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[33]</w:t>
      </w:r>
      <w:r w:rsidRPr="000B68C8">
        <w:rPr>
          <w:rFonts w:cs="Times New Roman"/>
          <w:noProof/>
          <w:szCs w:val="24"/>
        </w:rPr>
        <w:tab/>
        <w:t>ENFSI-BPM-FEI-01 Version 04, “Best Practice Manual for the Investigation of Fires and Explosions,” 2021.</w:t>
      </w:r>
    </w:p>
    <w:p w14:paraId="4B016B3E" w14:textId="77777777" w:rsidR="000672DB" w:rsidRPr="000B68C8" w:rsidRDefault="000672DB" w:rsidP="000672DB">
      <w:pPr>
        <w:widowControl w:val="0"/>
        <w:autoSpaceDE w:val="0"/>
        <w:autoSpaceDN w:val="0"/>
        <w:adjustRightInd w:val="0"/>
        <w:spacing w:line="240" w:lineRule="auto"/>
        <w:ind w:left="640" w:hanging="640"/>
        <w:rPr>
          <w:rFonts w:cs="Times New Roman"/>
          <w:noProof/>
          <w:szCs w:val="24"/>
        </w:rPr>
      </w:pPr>
      <w:r w:rsidRPr="000B68C8">
        <w:rPr>
          <w:rFonts w:cs="Times New Roman"/>
          <w:noProof/>
          <w:szCs w:val="24"/>
        </w:rPr>
        <w:t>[34]</w:t>
      </w:r>
      <w:r w:rsidRPr="000B68C8">
        <w:rPr>
          <w:rFonts w:cs="Times New Roman"/>
          <w:noProof/>
          <w:szCs w:val="24"/>
        </w:rPr>
        <w:tab/>
        <w:t>Eurostat, “RAMON – Reference and Management of Nomenclatures. Metadata - Classification of types of construction,” 1998. https://ec.europa.eu/eurostat/ramon/nomenclatures/index.cfm?TargetUrl=LST_NOM_DTL_LINEAR&amp;StrNom=CC_1998&amp;StrLanguageCode=EN (accessed Feb. 25, 2023).</w:t>
      </w:r>
    </w:p>
    <w:p w14:paraId="107C1832" w14:textId="77777777" w:rsidR="000672DB" w:rsidRPr="000B68C8" w:rsidRDefault="000672DB" w:rsidP="000672DB">
      <w:pPr>
        <w:widowControl w:val="0"/>
        <w:autoSpaceDE w:val="0"/>
        <w:autoSpaceDN w:val="0"/>
        <w:adjustRightInd w:val="0"/>
        <w:spacing w:line="240" w:lineRule="auto"/>
        <w:ind w:left="640" w:hanging="640"/>
        <w:rPr>
          <w:rFonts w:cs="Times New Roman"/>
          <w:noProof/>
        </w:rPr>
      </w:pPr>
      <w:r w:rsidRPr="000B68C8">
        <w:rPr>
          <w:rFonts w:cs="Times New Roman"/>
          <w:noProof/>
          <w:szCs w:val="24"/>
        </w:rPr>
        <w:t>[35]</w:t>
      </w:r>
      <w:r w:rsidRPr="000B68C8">
        <w:rPr>
          <w:rFonts w:cs="Times New Roman"/>
          <w:noProof/>
          <w:szCs w:val="24"/>
        </w:rPr>
        <w:tab/>
        <w:t>Eurostat, “Statistics Explained – Construction permit index overview.” https://ec.europa.eu/eurostat/statistics-explained/index.php?title=Building_permit_index_overview (accessed Feb. 25, 2023).</w:t>
      </w:r>
    </w:p>
    <w:p w14:paraId="05EC1916" w14:textId="5EF26B5F" w:rsidR="0089186B" w:rsidRPr="0089186B" w:rsidRDefault="00802FE6" w:rsidP="0089186B">
      <w:r w:rsidRPr="000B68C8">
        <w:fldChar w:fldCharType="end"/>
      </w:r>
    </w:p>
    <w:sectPr w:rsidR="0089186B" w:rsidRPr="0089186B" w:rsidSect="00350010">
      <w:headerReference w:type="default" r:id="rId14"/>
      <w:footerReference w:type="defaul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FC94" w14:textId="77777777" w:rsidR="004309D4" w:rsidRDefault="004309D4" w:rsidP="00512462">
      <w:pPr>
        <w:spacing w:after="0" w:line="240" w:lineRule="auto"/>
      </w:pPr>
      <w:r>
        <w:separator/>
      </w:r>
    </w:p>
  </w:endnote>
  <w:endnote w:type="continuationSeparator" w:id="0">
    <w:p w14:paraId="7BE6F064" w14:textId="77777777" w:rsidR="004309D4" w:rsidRDefault="004309D4" w:rsidP="00512462">
      <w:pPr>
        <w:spacing w:after="0" w:line="240" w:lineRule="auto"/>
      </w:pPr>
      <w:r>
        <w:continuationSeparator/>
      </w:r>
    </w:p>
  </w:endnote>
  <w:endnote w:type="continuationNotice" w:id="1">
    <w:p w14:paraId="724A79C1" w14:textId="77777777" w:rsidR="004309D4" w:rsidRDefault="004309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oanna MT Std">
    <w:altName w:val="Cambria"/>
    <w:panose1 w:val="00000000000000000000"/>
    <w:charset w:val="00"/>
    <w:family w:val="roman"/>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94979"/>
      <w:docPartObj>
        <w:docPartGallery w:val="Page Numbers (Bottom of Page)"/>
        <w:docPartUnique/>
      </w:docPartObj>
    </w:sdtPr>
    <w:sdtEndPr>
      <w:rPr>
        <w:noProof/>
      </w:rPr>
    </w:sdtEndPr>
    <w:sdtContent>
      <w:p w14:paraId="25F1414F" w14:textId="00D998E2" w:rsidR="00BC2102" w:rsidRDefault="00BC21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52D1CA" w14:textId="77777777" w:rsidR="00BC2102" w:rsidRDefault="00BC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F4FE" w14:textId="77777777" w:rsidR="004309D4" w:rsidRDefault="004309D4" w:rsidP="00512462">
      <w:pPr>
        <w:spacing w:after="0" w:line="240" w:lineRule="auto"/>
      </w:pPr>
      <w:r>
        <w:separator/>
      </w:r>
    </w:p>
  </w:footnote>
  <w:footnote w:type="continuationSeparator" w:id="0">
    <w:p w14:paraId="39B04D13" w14:textId="77777777" w:rsidR="004309D4" w:rsidRDefault="004309D4" w:rsidP="00512462">
      <w:pPr>
        <w:spacing w:after="0" w:line="240" w:lineRule="auto"/>
      </w:pPr>
      <w:r>
        <w:continuationSeparator/>
      </w:r>
    </w:p>
  </w:footnote>
  <w:footnote w:type="continuationNotice" w:id="1">
    <w:p w14:paraId="2B046FE8" w14:textId="77777777" w:rsidR="004309D4" w:rsidRDefault="004309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613" w14:textId="2D401C01" w:rsidR="00BC2102" w:rsidRPr="0077377C" w:rsidRDefault="00BC2102" w:rsidP="007E65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B57"/>
    <w:multiLevelType w:val="hybridMultilevel"/>
    <w:tmpl w:val="4C90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14021"/>
    <w:multiLevelType w:val="hybridMultilevel"/>
    <w:tmpl w:val="BE64870A"/>
    <w:lvl w:ilvl="0" w:tplc="90C08180">
      <w:start w:val="3"/>
      <w:numFmt w:val="bullet"/>
      <w:lvlText w:val="-"/>
      <w:lvlJc w:val="left"/>
      <w:pPr>
        <w:ind w:left="1080" w:hanging="360"/>
      </w:pPr>
      <w:rPr>
        <w:rFonts w:ascii="Calibri" w:eastAsia="Times New Roman" w:hAnsi="Calibri" w:cs="Calibri" w:hint="default"/>
      </w:rPr>
    </w:lvl>
    <w:lvl w:ilvl="1" w:tplc="90C08180">
      <w:start w:val="3"/>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322B9"/>
    <w:multiLevelType w:val="hybridMultilevel"/>
    <w:tmpl w:val="CB3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7085"/>
    <w:multiLevelType w:val="hybridMultilevel"/>
    <w:tmpl w:val="BB0A01B0"/>
    <w:lvl w:ilvl="0" w:tplc="FFFFFFFF">
      <w:start w:val="1"/>
      <w:numFmt w:val="bullet"/>
      <w:lvlText w:val=""/>
      <w:lvlJc w:val="left"/>
      <w:pPr>
        <w:ind w:left="720" w:hanging="360"/>
      </w:pPr>
      <w:rPr>
        <w:rFonts w:ascii="Symbol" w:hAnsi="Symbol" w:hint="default"/>
      </w:rPr>
    </w:lvl>
    <w:lvl w:ilvl="1" w:tplc="90C08180">
      <w:start w:val="3"/>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826B2B"/>
    <w:multiLevelType w:val="hybridMultilevel"/>
    <w:tmpl w:val="3A845F4C"/>
    <w:lvl w:ilvl="0" w:tplc="20CC7E60">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901D9"/>
    <w:multiLevelType w:val="hybridMultilevel"/>
    <w:tmpl w:val="9F5C2562"/>
    <w:lvl w:ilvl="0" w:tplc="20CC7E60">
      <w:start w:val="3"/>
      <w:numFmt w:val="bullet"/>
      <w:lvlText w:val="-"/>
      <w:lvlJc w:val="left"/>
      <w:pPr>
        <w:ind w:left="530" w:hanging="360"/>
      </w:pPr>
      <w:rPr>
        <w:rFonts w:ascii="Calibri" w:eastAsia="Times New Roman" w:hAnsi="Calibri" w:hint="default"/>
      </w:rPr>
    </w:lvl>
    <w:lvl w:ilvl="1" w:tplc="90C08180">
      <w:start w:val="3"/>
      <w:numFmt w:val="bullet"/>
      <w:lvlText w:val="-"/>
      <w:lvlJc w:val="left"/>
      <w:pPr>
        <w:ind w:left="1800" w:hanging="360"/>
      </w:pPr>
      <w:rPr>
        <w:rFonts w:ascii="Calibri" w:eastAsia="Times New Roman"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C432723"/>
    <w:multiLevelType w:val="hybridMultilevel"/>
    <w:tmpl w:val="65062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E1C0ACE"/>
    <w:multiLevelType w:val="hybridMultilevel"/>
    <w:tmpl w:val="5CB85CEC"/>
    <w:lvl w:ilvl="0" w:tplc="20CC7E60">
      <w:start w:val="3"/>
      <w:numFmt w:val="bullet"/>
      <w:lvlText w:val="-"/>
      <w:lvlJc w:val="left"/>
      <w:pPr>
        <w:ind w:left="53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2C4316"/>
    <w:multiLevelType w:val="hybridMultilevel"/>
    <w:tmpl w:val="D09EB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967D8"/>
    <w:multiLevelType w:val="multilevel"/>
    <w:tmpl w:val="2B9AFA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0001D0"/>
    <w:multiLevelType w:val="hybridMultilevel"/>
    <w:tmpl w:val="7D00D2C6"/>
    <w:lvl w:ilvl="0" w:tplc="FFFFFFFF">
      <w:start w:val="1"/>
      <w:numFmt w:val="bullet"/>
      <w:lvlText w:val=""/>
      <w:lvlJc w:val="left"/>
      <w:pPr>
        <w:ind w:left="720" w:hanging="360"/>
      </w:pPr>
      <w:rPr>
        <w:rFonts w:ascii="Symbol" w:hAnsi="Symbol" w:hint="default"/>
      </w:rPr>
    </w:lvl>
    <w:lvl w:ilvl="1" w:tplc="32462798">
      <w:start w:val="3"/>
      <w:numFmt w:val="bullet"/>
      <w:lvlText w:val="-"/>
      <w:lvlJc w:val="left"/>
      <w:pPr>
        <w:ind w:left="567" w:hanging="397"/>
      </w:pPr>
      <w:rPr>
        <w:rFonts w:ascii="Calibri" w:eastAsia="Times New Roman"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2251E9"/>
    <w:multiLevelType w:val="hybridMultilevel"/>
    <w:tmpl w:val="280A83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E2060A4"/>
    <w:multiLevelType w:val="hybridMultilevel"/>
    <w:tmpl w:val="A1C6BAAE"/>
    <w:lvl w:ilvl="0" w:tplc="FFFFFFFF">
      <w:start w:val="1"/>
      <w:numFmt w:val="bullet"/>
      <w:lvlText w:val=""/>
      <w:lvlJc w:val="left"/>
      <w:pPr>
        <w:ind w:left="720" w:hanging="360"/>
      </w:pPr>
      <w:rPr>
        <w:rFonts w:ascii="Symbol" w:hAnsi="Symbol" w:hint="default"/>
      </w:rPr>
    </w:lvl>
    <w:lvl w:ilvl="1" w:tplc="20CC7E60">
      <w:start w:val="3"/>
      <w:numFmt w:val="bullet"/>
      <w:lvlText w:val="-"/>
      <w:lvlJc w:val="left"/>
      <w:pPr>
        <w:ind w:left="530" w:hanging="360"/>
      </w:pPr>
      <w:rPr>
        <w:rFonts w:ascii="Calibri" w:eastAsia="Times New Roman"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794C12"/>
    <w:multiLevelType w:val="hybridMultilevel"/>
    <w:tmpl w:val="05283486"/>
    <w:lvl w:ilvl="0" w:tplc="71E264E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771F"/>
    <w:multiLevelType w:val="multilevel"/>
    <w:tmpl w:val="210E8238"/>
    <w:styleLink w:val="StandardBulletpoints"/>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
      <w:lvlJc w:val="left"/>
      <w:pPr>
        <w:tabs>
          <w:tab w:val="num" w:pos="709"/>
        </w:tabs>
        <w:ind w:left="709" w:hanging="284"/>
      </w:pPr>
      <w:rPr>
        <w:rFonts w:ascii="Symbol" w:hAnsi="Symbol" w:hint="default"/>
        <w:sz w:val="20"/>
        <w:szCs w:val="20"/>
      </w:rPr>
    </w:lvl>
    <w:lvl w:ilvl="2">
      <w:start w:val="1"/>
      <w:numFmt w:val="bullet"/>
      <w:lvlText w:val=""/>
      <w:lvlJc w:val="left"/>
      <w:pPr>
        <w:tabs>
          <w:tab w:val="num" w:pos="288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40E5942"/>
    <w:multiLevelType w:val="hybridMultilevel"/>
    <w:tmpl w:val="20FCEE6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6792B32"/>
    <w:multiLevelType w:val="hybridMultilevel"/>
    <w:tmpl w:val="C88AD386"/>
    <w:lvl w:ilvl="0" w:tplc="5A08592E">
      <w:start w:val="1"/>
      <w:numFmt w:val="bullet"/>
      <w:lvlText w:val=""/>
      <w:lvlJc w:val="left"/>
      <w:pPr>
        <w:tabs>
          <w:tab w:val="num" w:pos="720"/>
        </w:tabs>
        <w:ind w:left="720" w:hanging="360"/>
      </w:pPr>
      <w:rPr>
        <w:rFonts w:ascii="Symbol" w:hAnsi="Symbol" w:hint="default"/>
      </w:rPr>
    </w:lvl>
    <w:lvl w:ilvl="1" w:tplc="8F16E372" w:tentative="1">
      <w:start w:val="1"/>
      <w:numFmt w:val="bullet"/>
      <w:lvlText w:val=""/>
      <w:lvlJc w:val="left"/>
      <w:pPr>
        <w:tabs>
          <w:tab w:val="num" w:pos="1440"/>
        </w:tabs>
        <w:ind w:left="1440" w:hanging="360"/>
      </w:pPr>
      <w:rPr>
        <w:rFonts w:ascii="Symbol" w:hAnsi="Symbol" w:hint="default"/>
      </w:rPr>
    </w:lvl>
    <w:lvl w:ilvl="2" w:tplc="3CF62664" w:tentative="1">
      <w:start w:val="1"/>
      <w:numFmt w:val="bullet"/>
      <w:lvlText w:val=""/>
      <w:lvlJc w:val="left"/>
      <w:pPr>
        <w:tabs>
          <w:tab w:val="num" w:pos="2160"/>
        </w:tabs>
        <w:ind w:left="2160" w:hanging="360"/>
      </w:pPr>
      <w:rPr>
        <w:rFonts w:ascii="Symbol" w:hAnsi="Symbol" w:hint="default"/>
      </w:rPr>
    </w:lvl>
    <w:lvl w:ilvl="3" w:tplc="4300DC18" w:tentative="1">
      <w:start w:val="1"/>
      <w:numFmt w:val="bullet"/>
      <w:lvlText w:val=""/>
      <w:lvlJc w:val="left"/>
      <w:pPr>
        <w:tabs>
          <w:tab w:val="num" w:pos="2880"/>
        </w:tabs>
        <w:ind w:left="2880" w:hanging="360"/>
      </w:pPr>
      <w:rPr>
        <w:rFonts w:ascii="Symbol" w:hAnsi="Symbol" w:hint="default"/>
      </w:rPr>
    </w:lvl>
    <w:lvl w:ilvl="4" w:tplc="4170B27C" w:tentative="1">
      <w:start w:val="1"/>
      <w:numFmt w:val="bullet"/>
      <w:lvlText w:val=""/>
      <w:lvlJc w:val="left"/>
      <w:pPr>
        <w:tabs>
          <w:tab w:val="num" w:pos="3600"/>
        </w:tabs>
        <w:ind w:left="3600" w:hanging="360"/>
      </w:pPr>
      <w:rPr>
        <w:rFonts w:ascii="Symbol" w:hAnsi="Symbol" w:hint="default"/>
      </w:rPr>
    </w:lvl>
    <w:lvl w:ilvl="5" w:tplc="DCDC7AF0" w:tentative="1">
      <w:start w:val="1"/>
      <w:numFmt w:val="bullet"/>
      <w:lvlText w:val=""/>
      <w:lvlJc w:val="left"/>
      <w:pPr>
        <w:tabs>
          <w:tab w:val="num" w:pos="4320"/>
        </w:tabs>
        <w:ind w:left="4320" w:hanging="360"/>
      </w:pPr>
      <w:rPr>
        <w:rFonts w:ascii="Symbol" w:hAnsi="Symbol" w:hint="default"/>
      </w:rPr>
    </w:lvl>
    <w:lvl w:ilvl="6" w:tplc="F00A7406" w:tentative="1">
      <w:start w:val="1"/>
      <w:numFmt w:val="bullet"/>
      <w:lvlText w:val=""/>
      <w:lvlJc w:val="left"/>
      <w:pPr>
        <w:tabs>
          <w:tab w:val="num" w:pos="5040"/>
        </w:tabs>
        <w:ind w:left="5040" w:hanging="360"/>
      </w:pPr>
      <w:rPr>
        <w:rFonts w:ascii="Symbol" w:hAnsi="Symbol" w:hint="default"/>
      </w:rPr>
    </w:lvl>
    <w:lvl w:ilvl="7" w:tplc="947A924A" w:tentative="1">
      <w:start w:val="1"/>
      <w:numFmt w:val="bullet"/>
      <w:lvlText w:val=""/>
      <w:lvlJc w:val="left"/>
      <w:pPr>
        <w:tabs>
          <w:tab w:val="num" w:pos="5760"/>
        </w:tabs>
        <w:ind w:left="5760" w:hanging="360"/>
      </w:pPr>
      <w:rPr>
        <w:rFonts w:ascii="Symbol" w:hAnsi="Symbol" w:hint="default"/>
      </w:rPr>
    </w:lvl>
    <w:lvl w:ilvl="8" w:tplc="91A4C89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EF24F8"/>
    <w:multiLevelType w:val="hybridMultilevel"/>
    <w:tmpl w:val="E7A40C66"/>
    <w:lvl w:ilvl="0" w:tplc="1706B9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C3D05"/>
    <w:multiLevelType w:val="hybridMultilevel"/>
    <w:tmpl w:val="471EB5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420C5"/>
    <w:multiLevelType w:val="hybridMultilevel"/>
    <w:tmpl w:val="E118E48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0" w15:restartNumberingAfterBreak="0">
    <w:nsid w:val="2EF412DE"/>
    <w:multiLevelType w:val="hybridMultilevel"/>
    <w:tmpl w:val="1CCE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D2D66"/>
    <w:multiLevelType w:val="hybridMultilevel"/>
    <w:tmpl w:val="CCA8C434"/>
    <w:lvl w:ilvl="0" w:tplc="A87AF8C0">
      <w:start w:val="1"/>
      <w:numFmt w:val="bullet"/>
      <w:lvlText w:val=""/>
      <w:lvlJc w:val="left"/>
      <w:pPr>
        <w:tabs>
          <w:tab w:val="num" w:pos="720"/>
        </w:tabs>
        <w:ind w:left="720" w:hanging="360"/>
      </w:pPr>
      <w:rPr>
        <w:rFonts w:ascii="Symbol" w:hAnsi="Symbol" w:hint="default"/>
      </w:rPr>
    </w:lvl>
    <w:lvl w:ilvl="1" w:tplc="60D06196" w:tentative="1">
      <w:start w:val="1"/>
      <w:numFmt w:val="bullet"/>
      <w:lvlText w:val=""/>
      <w:lvlJc w:val="left"/>
      <w:pPr>
        <w:tabs>
          <w:tab w:val="num" w:pos="1440"/>
        </w:tabs>
        <w:ind w:left="1440" w:hanging="360"/>
      </w:pPr>
      <w:rPr>
        <w:rFonts w:ascii="Symbol" w:hAnsi="Symbol" w:hint="default"/>
      </w:rPr>
    </w:lvl>
    <w:lvl w:ilvl="2" w:tplc="132CF656" w:tentative="1">
      <w:start w:val="1"/>
      <w:numFmt w:val="bullet"/>
      <w:lvlText w:val=""/>
      <w:lvlJc w:val="left"/>
      <w:pPr>
        <w:tabs>
          <w:tab w:val="num" w:pos="2160"/>
        </w:tabs>
        <w:ind w:left="2160" w:hanging="360"/>
      </w:pPr>
      <w:rPr>
        <w:rFonts w:ascii="Symbol" w:hAnsi="Symbol" w:hint="default"/>
      </w:rPr>
    </w:lvl>
    <w:lvl w:ilvl="3" w:tplc="D5E41FC2" w:tentative="1">
      <w:start w:val="1"/>
      <w:numFmt w:val="bullet"/>
      <w:lvlText w:val=""/>
      <w:lvlJc w:val="left"/>
      <w:pPr>
        <w:tabs>
          <w:tab w:val="num" w:pos="2880"/>
        </w:tabs>
        <w:ind w:left="2880" w:hanging="360"/>
      </w:pPr>
      <w:rPr>
        <w:rFonts w:ascii="Symbol" w:hAnsi="Symbol" w:hint="default"/>
      </w:rPr>
    </w:lvl>
    <w:lvl w:ilvl="4" w:tplc="A8DEBC52" w:tentative="1">
      <w:start w:val="1"/>
      <w:numFmt w:val="bullet"/>
      <w:lvlText w:val=""/>
      <w:lvlJc w:val="left"/>
      <w:pPr>
        <w:tabs>
          <w:tab w:val="num" w:pos="3600"/>
        </w:tabs>
        <w:ind w:left="3600" w:hanging="360"/>
      </w:pPr>
      <w:rPr>
        <w:rFonts w:ascii="Symbol" w:hAnsi="Symbol" w:hint="default"/>
      </w:rPr>
    </w:lvl>
    <w:lvl w:ilvl="5" w:tplc="1D4EBFBE" w:tentative="1">
      <w:start w:val="1"/>
      <w:numFmt w:val="bullet"/>
      <w:lvlText w:val=""/>
      <w:lvlJc w:val="left"/>
      <w:pPr>
        <w:tabs>
          <w:tab w:val="num" w:pos="4320"/>
        </w:tabs>
        <w:ind w:left="4320" w:hanging="360"/>
      </w:pPr>
      <w:rPr>
        <w:rFonts w:ascii="Symbol" w:hAnsi="Symbol" w:hint="default"/>
      </w:rPr>
    </w:lvl>
    <w:lvl w:ilvl="6" w:tplc="820EF97E" w:tentative="1">
      <w:start w:val="1"/>
      <w:numFmt w:val="bullet"/>
      <w:lvlText w:val=""/>
      <w:lvlJc w:val="left"/>
      <w:pPr>
        <w:tabs>
          <w:tab w:val="num" w:pos="5040"/>
        </w:tabs>
        <w:ind w:left="5040" w:hanging="360"/>
      </w:pPr>
      <w:rPr>
        <w:rFonts w:ascii="Symbol" w:hAnsi="Symbol" w:hint="default"/>
      </w:rPr>
    </w:lvl>
    <w:lvl w:ilvl="7" w:tplc="133EB6D4" w:tentative="1">
      <w:start w:val="1"/>
      <w:numFmt w:val="bullet"/>
      <w:lvlText w:val=""/>
      <w:lvlJc w:val="left"/>
      <w:pPr>
        <w:tabs>
          <w:tab w:val="num" w:pos="5760"/>
        </w:tabs>
        <w:ind w:left="5760" w:hanging="360"/>
      </w:pPr>
      <w:rPr>
        <w:rFonts w:ascii="Symbol" w:hAnsi="Symbol" w:hint="default"/>
      </w:rPr>
    </w:lvl>
    <w:lvl w:ilvl="8" w:tplc="744024E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1456639"/>
    <w:multiLevelType w:val="hybridMultilevel"/>
    <w:tmpl w:val="6E40032C"/>
    <w:lvl w:ilvl="0" w:tplc="0809000F">
      <w:start w:val="1"/>
      <w:numFmt w:val="decimal"/>
      <w:lvlText w:val="%1."/>
      <w:lvlJc w:val="left"/>
      <w:pPr>
        <w:ind w:left="720" w:hanging="360"/>
      </w:pPr>
      <w:rPr>
        <w:rFonts w:hint="default"/>
      </w:rPr>
    </w:lvl>
    <w:lvl w:ilvl="1" w:tplc="11B6E8C0">
      <w:start w:val="3"/>
      <w:numFmt w:val="bullet"/>
      <w:lvlText w:val="-"/>
      <w:lvlJc w:val="left"/>
      <w:pPr>
        <w:ind w:left="1440" w:hanging="360"/>
      </w:pPr>
      <w:rPr>
        <w:rFonts w:ascii="Calibri" w:eastAsia="Times New Roman"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385B08"/>
    <w:multiLevelType w:val="hybridMultilevel"/>
    <w:tmpl w:val="30A4674A"/>
    <w:lvl w:ilvl="0" w:tplc="FFFFFFFF">
      <w:start w:val="1"/>
      <w:numFmt w:val="bullet"/>
      <w:lvlText w:val=""/>
      <w:lvlJc w:val="left"/>
      <w:pPr>
        <w:ind w:left="720" w:hanging="360"/>
      </w:pPr>
      <w:rPr>
        <w:rFonts w:ascii="Symbol" w:hAnsi="Symbol" w:hint="default"/>
      </w:rPr>
    </w:lvl>
    <w:lvl w:ilvl="1" w:tplc="08BEBA38">
      <w:numFmt w:val="bullet"/>
      <w:lvlText w:val="-"/>
      <w:lvlJc w:val="left"/>
      <w:pPr>
        <w:ind w:left="53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885DF9"/>
    <w:multiLevelType w:val="hybridMultilevel"/>
    <w:tmpl w:val="E3D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A53B8"/>
    <w:multiLevelType w:val="hybridMultilevel"/>
    <w:tmpl w:val="10223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C651F23"/>
    <w:multiLevelType w:val="hybridMultilevel"/>
    <w:tmpl w:val="5C6C0160"/>
    <w:lvl w:ilvl="0" w:tplc="457044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B5238"/>
    <w:multiLevelType w:val="hybridMultilevel"/>
    <w:tmpl w:val="DB6C7F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4057101F"/>
    <w:multiLevelType w:val="hybridMultilevel"/>
    <w:tmpl w:val="5CD61278"/>
    <w:lvl w:ilvl="0" w:tplc="FFFFFFFF">
      <w:start w:val="1"/>
      <w:numFmt w:val="bullet"/>
      <w:lvlText w:val=""/>
      <w:lvlJc w:val="left"/>
      <w:pPr>
        <w:ind w:left="720" w:hanging="360"/>
      </w:pPr>
      <w:rPr>
        <w:rFonts w:ascii="Symbol" w:hAnsi="Symbol" w:hint="default"/>
      </w:rPr>
    </w:lvl>
    <w:lvl w:ilvl="1" w:tplc="90C08180">
      <w:start w:val="3"/>
      <w:numFmt w:val="bullet"/>
      <w:lvlText w:val="-"/>
      <w:lvlJc w:val="left"/>
      <w:pPr>
        <w:ind w:left="53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F52C8D"/>
    <w:multiLevelType w:val="multilevel"/>
    <w:tmpl w:val="C472F65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8C03E2"/>
    <w:multiLevelType w:val="hybridMultilevel"/>
    <w:tmpl w:val="4DA8B9CE"/>
    <w:lvl w:ilvl="0" w:tplc="0409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65D27DF"/>
    <w:multiLevelType w:val="hybridMultilevel"/>
    <w:tmpl w:val="ADDC6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6B54F10"/>
    <w:multiLevelType w:val="hybridMultilevel"/>
    <w:tmpl w:val="D91E133C"/>
    <w:lvl w:ilvl="0" w:tplc="4F0A8DA4">
      <w:start w:val="1"/>
      <w:numFmt w:val="bullet"/>
      <w:lvlText w:val=""/>
      <w:lvlJc w:val="left"/>
      <w:pPr>
        <w:tabs>
          <w:tab w:val="num" w:pos="720"/>
        </w:tabs>
        <w:ind w:left="720" w:hanging="360"/>
      </w:pPr>
      <w:rPr>
        <w:rFonts w:ascii="Symbol" w:hAnsi="Symbol" w:hint="default"/>
      </w:rPr>
    </w:lvl>
    <w:lvl w:ilvl="1" w:tplc="74F8D5E4" w:tentative="1">
      <w:start w:val="1"/>
      <w:numFmt w:val="bullet"/>
      <w:lvlText w:val=""/>
      <w:lvlJc w:val="left"/>
      <w:pPr>
        <w:tabs>
          <w:tab w:val="num" w:pos="1440"/>
        </w:tabs>
        <w:ind w:left="1440" w:hanging="360"/>
      </w:pPr>
      <w:rPr>
        <w:rFonts w:ascii="Symbol" w:hAnsi="Symbol" w:hint="default"/>
      </w:rPr>
    </w:lvl>
    <w:lvl w:ilvl="2" w:tplc="0A02556A" w:tentative="1">
      <w:start w:val="1"/>
      <w:numFmt w:val="bullet"/>
      <w:lvlText w:val=""/>
      <w:lvlJc w:val="left"/>
      <w:pPr>
        <w:tabs>
          <w:tab w:val="num" w:pos="2160"/>
        </w:tabs>
        <w:ind w:left="2160" w:hanging="360"/>
      </w:pPr>
      <w:rPr>
        <w:rFonts w:ascii="Symbol" w:hAnsi="Symbol" w:hint="default"/>
      </w:rPr>
    </w:lvl>
    <w:lvl w:ilvl="3" w:tplc="455A0C3A" w:tentative="1">
      <w:start w:val="1"/>
      <w:numFmt w:val="bullet"/>
      <w:lvlText w:val=""/>
      <w:lvlJc w:val="left"/>
      <w:pPr>
        <w:tabs>
          <w:tab w:val="num" w:pos="2880"/>
        </w:tabs>
        <w:ind w:left="2880" w:hanging="360"/>
      </w:pPr>
      <w:rPr>
        <w:rFonts w:ascii="Symbol" w:hAnsi="Symbol" w:hint="default"/>
      </w:rPr>
    </w:lvl>
    <w:lvl w:ilvl="4" w:tplc="499C4350" w:tentative="1">
      <w:start w:val="1"/>
      <w:numFmt w:val="bullet"/>
      <w:lvlText w:val=""/>
      <w:lvlJc w:val="left"/>
      <w:pPr>
        <w:tabs>
          <w:tab w:val="num" w:pos="3600"/>
        </w:tabs>
        <w:ind w:left="3600" w:hanging="360"/>
      </w:pPr>
      <w:rPr>
        <w:rFonts w:ascii="Symbol" w:hAnsi="Symbol" w:hint="default"/>
      </w:rPr>
    </w:lvl>
    <w:lvl w:ilvl="5" w:tplc="CD8876EC" w:tentative="1">
      <w:start w:val="1"/>
      <w:numFmt w:val="bullet"/>
      <w:lvlText w:val=""/>
      <w:lvlJc w:val="left"/>
      <w:pPr>
        <w:tabs>
          <w:tab w:val="num" w:pos="4320"/>
        </w:tabs>
        <w:ind w:left="4320" w:hanging="360"/>
      </w:pPr>
      <w:rPr>
        <w:rFonts w:ascii="Symbol" w:hAnsi="Symbol" w:hint="default"/>
      </w:rPr>
    </w:lvl>
    <w:lvl w:ilvl="6" w:tplc="CC128BAE" w:tentative="1">
      <w:start w:val="1"/>
      <w:numFmt w:val="bullet"/>
      <w:lvlText w:val=""/>
      <w:lvlJc w:val="left"/>
      <w:pPr>
        <w:tabs>
          <w:tab w:val="num" w:pos="5040"/>
        </w:tabs>
        <w:ind w:left="5040" w:hanging="360"/>
      </w:pPr>
      <w:rPr>
        <w:rFonts w:ascii="Symbol" w:hAnsi="Symbol" w:hint="default"/>
      </w:rPr>
    </w:lvl>
    <w:lvl w:ilvl="7" w:tplc="24B0E02C" w:tentative="1">
      <w:start w:val="1"/>
      <w:numFmt w:val="bullet"/>
      <w:lvlText w:val=""/>
      <w:lvlJc w:val="left"/>
      <w:pPr>
        <w:tabs>
          <w:tab w:val="num" w:pos="5760"/>
        </w:tabs>
        <w:ind w:left="5760" w:hanging="360"/>
      </w:pPr>
      <w:rPr>
        <w:rFonts w:ascii="Symbol" w:hAnsi="Symbol" w:hint="default"/>
      </w:rPr>
    </w:lvl>
    <w:lvl w:ilvl="8" w:tplc="BC1E3A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84123AE"/>
    <w:multiLevelType w:val="hybridMultilevel"/>
    <w:tmpl w:val="299A7DD4"/>
    <w:lvl w:ilvl="0" w:tplc="FFFFFFFF">
      <w:start w:val="1"/>
      <w:numFmt w:val="bullet"/>
      <w:lvlText w:val=""/>
      <w:lvlJc w:val="left"/>
      <w:pPr>
        <w:ind w:left="720" w:hanging="360"/>
      </w:pPr>
      <w:rPr>
        <w:rFonts w:ascii="Symbol" w:hAnsi="Symbol" w:hint="default"/>
      </w:rPr>
    </w:lvl>
    <w:lvl w:ilvl="1" w:tplc="08BEBA38">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BA2384C"/>
    <w:multiLevelType w:val="hybridMultilevel"/>
    <w:tmpl w:val="1A4A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D85897"/>
    <w:multiLevelType w:val="hybridMultilevel"/>
    <w:tmpl w:val="5686B4FE"/>
    <w:lvl w:ilvl="0" w:tplc="040C0011">
      <w:start w:val="1"/>
      <w:numFmt w:val="decimal"/>
      <w:lvlText w:val="%1)"/>
      <w:lvlJc w:val="left"/>
      <w:pPr>
        <w:ind w:left="720" w:hanging="360"/>
      </w:pPr>
    </w:lvl>
    <w:lvl w:ilvl="1" w:tplc="08BEBA38">
      <w:numFmt w:val="bullet"/>
      <w:lvlText w:val="-"/>
      <w:lvlJc w:val="left"/>
      <w:pPr>
        <w:ind w:left="1440" w:hanging="360"/>
      </w:pPr>
      <w:rPr>
        <w:rFonts w:ascii="Arial" w:eastAsiaTheme="minorEastAsia"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4DDF3C68"/>
    <w:multiLevelType w:val="hybridMultilevel"/>
    <w:tmpl w:val="E6224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9154D2"/>
    <w:multiLevelType w:val="hybridMultilevel"/>
    <w:tmpl w:val="99AA7B04"/>
    <w:lvl w:ilvl="0" w:tplc="2B547A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800B2"/>
    <w:multiLevelType w:val="hybridMultilevel"/>
    <w:tmpl w:val="B61277B6"/>
    <w:lvl w:ilvl="0" w:tplc="20CC7E60">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504FD8"/>
    <w:multiLevelType w:val="multilevel"/>
    <w:tmpl w:val="D5E6552A"/>
    <w:lvl w:ilvl="0">
      <w:start w:val="1"/>
      <w:numFmt w:val="decimal"/>
      <w:pStyle w:val="TOCHeading"/>
      <w:suff w:val="space"/>
      <w:lvlText w:val="Chapter %1."/>
      <w:lvlJc w:val="left"/>
      <w:pPr>
        <w:ind w:left="0" w:firstLine="0"/>
      </w:pPr>
      <w:rPr>
        <w:rFonts w:ascii="Times New Roman" w:hAnsi="Times New Roman" w:hint="default"/>
        <w:sz w:val="40"/>
      </w:rPr>
    </w:lvl>
    <w:lvl w:ilvl="1">
      <w:start w:val="1"/>
      <w:numFmt w:val="decimal"/>
      <w:suff w:val="space"/>
      <w:lvlText w:val="%1.%2."/>
      <w:lvlJc w:val="left"/>
      <w:pPr>
        <w:ind w:left="0" w:firstLine="0"/>
      </w:pPr>
      <w:rPr>
        <w:rFonts w:ascii="Times New Roman" w:hAnsi="Times New Roman" w:hint="default"/>
        <w:sz w:val="28"/>
      </w:rPr>
    </w:lvl>
    <w:lvl w:ilvl="2">
      <w:start w:val="1"/>
      <w:numFmt w:val="decimal"/>
      <w:suff w:val="space"/>
      <w:lvlText w:val="%1.%2.%3."/>
      <w:lvlJc w:val="left"/>
      <w:pPr>
        <w:ind w:left="0" w:firstLine="0"/>
      </w:pPr>
      <w:rPr>
        <w:rFonts w:ascii="Times New Roman" w:hAnsi="Times New Roman" w:hint="default"/>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C9B6C75"/>
    <w:multiLevelType w:val="hybridMultilevel"/>
    <w:tmpl w:val="48A2CA60"/>
    <w:lvl w:ilvl="0" w:tplc="4D809648">
      <w:start w:val="1"/>
      <w:numFmt w:val="bullet"/>
      <w:lvlText w:val=""/>
      <w:lvlJc w:val="left"/>
      <w:pPr>
        <w:tabs>
          <w:tab w:val="num" w:pos="720"/>
        </w:tabs>
        <w:ind w:left="720" w:hanging="360"/>
      </w:pPr>
      <w:rPr>
        <w:rFonts w:ascii="Wingdings" w:hAnsi="Wingdings" w:hint="default"/>
      </w:rPr>
    </w:lvl>
    <w:lvl w:ilvl="1" w:tplc="B9A6B92A" w:tentative="1">
      <w:start w:val="1"/>
      <w:numFmt w:val="bullet"/>
      <w:lvlText w:val=""/>
      <w:lvlJc w:val="left"/>
      <w:pPr>
        <w:tabs>
          <w:tab w:val="num" w:pos="1440"/>
        </w:tabs>
        <w:ind w:left="1440" w:hanging="360"/>
      </w:pPr>
      <w:rPr>
        <w:rFonts w:ascii="Wingdings" w:hAnsi="Wingdings" w:hint="default"/>
      </w:rPr>
    </w:lvl>
    <w:lvl w:ilvl="2" w:tplc="03424DD4" w:tentative="1">
      <w:start w:val="1"/>
      <w:numFmt w:val="bullet"/>
      <w:lvlText w:val=""/>
      <w:lvlJc w:val="left"/>
      <w:pPr>
        <w:tabs>
          <w:tab w:val="num" w:pos="2160"/>
        </w:tabs>
        <w:ind w:left="2160" w:hanging="360"/>
      </w:pPr>
      <w:rPr>
        <w:rFonts w:ascii="Wingdings" w:hAnsi="Wingdings" w:hint="default"/>
      </w:rPr>
    </w:lvl>
    <w:lvl w:ilvl="3" w:tplc="239ECAF2" w:tentative="1">
      <w:start w:val="1"/>
      <w:numFmt w:val="bullet"/>
      <w:lvlText w:val=""/>
      <w:lvlJc w:val="left"/>
      <w:pPr>
        <w:tabs>
          <w:tab w:val="num" w:pos="2880"/>
        </w:tabs>
        <w:ind w:left="2880" w:hanging="360"/>
      </w:pPr>
      <w:rPr>
        <w:rFonts w:ascii="Wingdings" w:hAnsi="Wingdings" w:hint="default"/>
      </w:rPr>
    </w:lvl>
    <w:lvl w:ilvl="4" w:tplc="20666B1C" w:tentative="1">
      <w:start w:val="1"/>
      <w:numFmt w:val="bullet"/>
      <w:lvlText w:val=""/>
      <w:lvlJc w:val="left"/>
      <w:pPr>
        <w:tabs>
          <w:tab w:val="num" w:pos="3600"/>
        </w:tabs>
        <w:ind w:left="3600" w:hanging="360"/>
      </w:pPr>
      <w:rPr>
        <w:rFonts w:ascii="Wingdings" w:hAnsi="Wingdings" w:hint="default"/>
      </w:rPr>
    </w:lvl>
    <w:lvl w:ilvl="5" w:tplc="6A2482FA" w:tentative="1">
      <w:start w:val="1"/>
      <w:numFmt w:val="bullet"/>
      <w:lvlText w:val=""/>
      <w:lvlJc w:val="left"/>
      <w:pPr>
        <w:tabs>
          <w:tab w:val="num" w:pos="4320"/>
        </w:tabs>
        <w:ind w:left="4320" w:hanging="360"/>
      </w:pPr>
      <w:rPr>
        <w:rFonts w:ascii="Wingdings" w:hAnsi="Wingdings" w:hint="default"/>
      </w:rPr>
    </w:lvl>
    <w:lvl w:ilvl="6" w:tplc="303E2026" w:tentative="1">
      <w:start w:val="1"/>
      <w:numFmt w:val="bullet"/>
      <w:lvlText w:val=""/>
      <w:lvlJc w:val="left"/>
      <w:pPr>
        <w:tabs>
          <w:tab w:val="num" w:pos="5040"/>
        </w:tabs>
        <w:ind w:left="5040" w:hanging="360"/>
      </w:pPr>
      <w:rPr>
        <w:rFonts w:ascii="Wingdings" w:hAnsi="Wingdings" w:hint="default"/>
      </w:rPr>
    </w:lvl>
    <w:lvl w:ilvl="7" w:tplc="B4387264" w:tentative="1">
      <w:start w:val="1"/>
      <w:numFmt w:val="bullet"/>
      <w:lvlText w:val=""/>
      <w:lvlJc w:val="left"/>
      <w:pPr>
        <w:tabs>
          <w:tab w:val="num" w:pos="5760"/>
        </w:tabs>
        <w:ind w:left="5760" w:hanging="360"/>
      </w:pPr>
      <w:rPr>
        <w:rFonts w:ascii="Wingdings" w:hAnsi="Wingdings" w:hint="default"/>
      </w:rPr>
    </w:lvl>
    <w:lvl w:ilvl="8" w:tplc="0888AA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222B06"/>
    <w:multiLevelType w:val="hybridMultilevel"/>
    <w:tmpl w:val="A4DE7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C924DE"/>
    <w:multiLevelType w:val="hybridMultilevel"/>
    <w:tmpl w:val="450C5BEE"/>
    <w:lvl w:ilvl="0" w:tplc="FFFFFFFF">
      <w:start w:val="1"/>
      <w:numFmt w:val="bullet"/>
      <w:lvlText w:val=""/>
      <w:lvlJc w:val="left"/>
      <w:pPr>
        <w:ind w:left="720" w:hanging="360"/>
      </w:pPr>
      <w:rPr>
        <w:rFonts w:ascii="Symbol" w:hAnsi="Symbol" w:hint="default"/>
      </w:rPr>
    </w:lvl>
    <w:lvl w:ilvl="1" w:tplc="20CC7E60">
      <w:start w:val="3"/>
      <w:numFmt w:val="bullet"/>
      <w:lvlText w:val="-"/>
      <w:lvlJc w:val="left"/>
      <w:pPr>
        <w:ind w:left="284" w:hanging="114"/>
      </w:pPr>
      <w:rPr>
        <w:rFonts w:ascii="Calibri" w:eastAsia="Times New Roman"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0FA3262"/>
    <w:multiLevelType w:val="hybridMultilevel"/>
    <w:tmpl w:val="4BEE4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7F0B1B"/>
    <w:multiLevelType w:val="hybridMultilevel"/>
    <w:tmpl w:val="E6224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7224FDB"/>
    <w:multiLevelType w:val="hybridMultilevel"/>
    <w:tmpl w:val="A81CE574"/>
    <w:lvl w:ilvl="0" w:tplc="FFFFFFFF">
      <w:start w:val="1"/>
      <w:numFmt w:val="bullet"/>
      <w:lvlText w:val=""/>
      <w:lvlJc w:val="left"/>
      <w:pPr>
        <w:ind w:left="720" w:hanging="360"/>
      </w:pPr>
      <w:rPr>
        <w:rFonts w:ascii="Symbol" w:hAnsi="Symbol" w:hint="default"/>
      </w:rPr>
    </w:lvl>
    <w:lvl w:ilvl="1" w:tplc="90C08180">
      <w:start w:val="3"/>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F5903AE"/>
    <w:multiLevelType w:val="hybridMultilevel"/>
    <w:tmpl w:val="7B165F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16200C3"/>
    <w:multiLevelType w:val="hybridMultilevel"/>
    <w:tmpl w:val="B2A618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4831181"/>
    <w:multiLevelType w:val="hybridMultilevel"/>
    <w:tmpl w:val="C996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920B83"/>
    <w:multiLevelType w:val="hybridMultilevel"/>
    <w:tmpl w:val="C9D8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BE229E"/>
    <w:multiLevelType w:val="hybridMultilevel"/>
    <w:tmpl w:val="0220D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D609B7"/>
    <w:multiLevelType w:val="hybridMultilevel"/>
    <w:tmpl w:val="D1D2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02597D"/>
    <w:multiLevelType w:val="hybridMultilevel"/>
    <w:tmpl w:val="B87CF2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3454588">
    <w:abstractNumId w:val="39"/>
  </w:num>
  <w:num w:numId="2" w16cid:durableId="2108193850">
    <w:abstractNumId w:val="14"/>
  </w:num>
  <w:num w:numId="3" w16cid:durableId="814495608">
    <w:abstractNumId w:val="9"/>
  </w:num>
  <w:num w:numId="4" w16cid:durableId="844437474">
    <w:abstractNumId w:val="13"/>
  </w:num>
  <w:num w:numId="5" w16cid:durableId="2086611806">
    <w:abstractNumId w:val="51"/>
  </w:num>
  <w:num w:numId="6" w16cid:durableId="1910770995">
    <w:abstractNumId w:val="27"/>
  </w:num>
  <w:num w:numId="7" w16cid:durableId="362946533">
    <w:abstractNumId w:val="35"/>
  </w:num>
  <w:num w:numId="8" w16cid:durableId="884751592">
    <w:abstractNumId w:val="17"/>
  </w:num>
  <w:num w:numId="9" w16cid:durableId="930430099">
    <w:abstractNumId w:val="30"/>
  </w:num>
  <w:num w:numId="10" w16cid:durableId="771169368">
    <w:abstractNumId w:val="34"/>
  </w:num>
  <w:num w:numId="11" w16cid:durableId="2359804">
    <w:abstractNumId w:val="15"/>
  </w:num>
  <w:num w:numId="12" w16cid:durableId="575013048">
    <w:abstractNumId w:val="24"/>
  </w:num>
  <w:num w:numId="13" w16cid:durableId="1744253656">
    <w:abstractNumId w:val="41"/>
  </w:num>
  <w:num w:numId="14" w16cid:durableId="1235816666">
    <w:abstractNumId w:val="43"/>
  </w:num>
  <w:num w:numId="15" w16cid:durableId="948127225">
    <w:abstractNumId w:val="11"/>
  </w:num>
  <w:num w:numId="16" w16cid:durableId="97995681">
    <w:abstractNumId w:val="8"/>
  </w:num>
  <w:num w:numId="17" w16cid:durableId="1471052558">
    <w:abstractNumId w:val="2"/>
  </w:num>
  <w:num w:numId="18" w16cid:durableId="2027949750">
    <w:abstractNumId w:val="18"/>
  </w:num>
  <w:num w:numId="19" w16cid:durableId="1088841420">
    <w:abstractNumId w:val="6"/>
  </w:num>
  <w:num w:numId="20" w16cid:durableId="310712766">
    <w:abstractNumId w:val="29"/>
  </w:num>
  <w:num w:numId="21" w16cid:durableId="20061151">
    <w:abstractNumId w:val="16"/>
  </w:num>
  <w:num w:numId="22" w16cid:durableId="434667186">
    <w:abstractNumId w:val="32"/>
  </w:num>
  <w:num w:numId="23" w16cid:durableId="329914057">
    <w:abstractNumId w:val="21"/>
  </w:num>
  <w:num w:numId="24" w16cid:durableId="103575053">
    <w:abstractNumId w:val="31"/>
  </w:num>
  <w:num w:numId="25" w16cid:durableId="1919746225">
    <w:abstractNumId w:val="19"/>
  </w:num>
  <w:num w:numId="26" w16cid:durableId="940719909">
    <w:abstractNumId w:val="52"/>
  </w:num>
  <w:num w:numId="27" w16cid:durableId="1358122567">
    <w:abstractNumId w:val="20"/>
  </w:num>
  <w:num w:numId="28" w16cid:durableId="1713186188">
    <w:abstractNumId w:val="22"/>
  </w:num>
  <w:num w:numId="29" w16cid:durableId="252512530">
    <w:abstractNumId w:val="1"/>
  </w:num>
  <w:num w:numId="30" w16cid:durableId="559099776">
    <w:abstractNumId w:val="25"/>
  </w:num>
  <w:num w:numId="31" w16cid:durableId="1402488630">
    <w:abstractNumId w:val="36"/>
  </w:num>
  <w:num w:numId="32" w16cid:durableId="783378311">
    <w:abstractNumId w:val="46"/>
  </w:num>
  <w:num w:numId="33" w16cid:durableId="1010990510">
    <w:abstractNumId w:val="49"/>
  </w:num>
  <w:num w:numId="34" w16cid:durableId="280840085">
    <w:abstractNumId w:val="47"/>
  </w:num>
  <w:num w:numId="35" w16cid:durableId="495190165">
    <w:abstractNumId w:val="40"/>
  </w:num>
  <w:num w:numId="36" w16cid:durableId="2062556327">
    <w:abstractNumId w:val="33"/>
  </w:num>
  <w:num w:numId="37" w16cid:durableId="1458067095">
    <w:abstractNumId w:val="3"/>
  </w:num>
  <w:num w:numId="38" w16cid:durableId="696471743">
    <w:abstractNumId w:val="45"/>
  </w:num>
  <w:num w:numId="39" w16cid:durableId="531110373">
    <w:abstractNumId w:val="42"/>
  </w:num>
  <w:num w:numId="40" w16cid:durableId="1505851618">
    <w:abstractNumId w:val="10"/>
  </w:num>
  <w:num w:numId="41" w16cid:durableId="596445050">
    <w:abstractNumId w:val="9"/>
  </w:num>
  <w:num w:numId="42" w16cid:durableId="1534272321">
    <w:abstractNumId w:val="28"/>
  </w:num>
  <w:num w:numId="43" w16cid:durableId="799348596">
    <w:abstractNumId w:val="23"/>
  </w:num>
  <w:num w:numId="44" w16cid:durableId="84765001">
    <w:abstractNumId w:val="12"/>
  </w:num>
  <w:num w:numId="45" w16cid:durableId="1126041217">
    <w:abstractNumId w:val="7"/>
  </w:num>
  <w:num w:numId="46" w16cid:durableId="252279114">
    <w:abstractNumId w:val="5"/>
  </w:num>
  <w:num w:numId="47" w16cid:durableId="1654918199">
    <w:abstractNumId w:val="26"/>
  </w:num>
  <w:num w:numId="48" w16cid:durableId="1985231741">
    <w:abstractNumId w:val="37"/>
  </w:num>
  <w:num w:numId="49" w16cid:durableId="1082219562">
    <w:abstractNumId w:val="50"/>
  </w:num>
  <w:num w:numId="50" w16cid:durableId="92896549">
    <w:abstractNumId w:val="48"/>
  </w:num>
  <w:num w:numId="51" w16cid:durableId="1756854633">
    <w:abstractNumId w:val="0"/>
  </w:num>
  <w:num w:numId="52" w16cid:durableId="1783497258">
    <w:abstractNumId w:val="38"/>
  </w:num>
  <w:num w:numId="53" w16cid:durableId="1832020120">
    <w:abstractNumId w:val="4"/>
  </w:num>
  <w:num w:numId="54" w16cid:durableId="129980278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fr-FR" w:vendorID="64" w:dllVersion="6" w:nlCheck="1" w:checkStyle="0"/>
  <w:activeWritingStyle w:appName="MSWord" w:lang="nl-NL" w:vendorID="64" w:dllVersion="6" w:nlCheck="1" w:checkStyle="0"/>
  <w:activeWritingStyle w:appName="MSWord" w:lang="de-DE" w:vendorID="64" w:dllVersion="0" w:nlCheck="1" w:checkStyle="0"/>
  <w:activeWritingStyle w:appName="MSWord" w:lang="nl-NL" w:vendorID="64" w:dllVersion="0" w:nlCheck="1" w:checkStyle="0"/>
  <w:activeWritingStyle w:appName="MSWord" w:lang="da-DK" w:vendorID="64" w:dllVersion="0" w:nlCheck="1" w:checkStyle="0"/>
  <w:proofState w:spelling="clean"/>
  <w:defaultTabStop w:val="720"/>
  <w:hyphenationZone w:val="283"/>
  <w:characterSpacingControl w:val="doNotCompress"/>
  <w:savePreviewPicture/>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QIDYyMTEyNLM1NLYyUdpeDU4uLM/DyQAkPLWgCAQZ0NLQAAAA=="/>
  </w:docVars>
  <w:rsids>
    <w:rsidRoot w:val="00415D05"/>
    <w:rsid w:val="00000325"/>
    <w:rsid w:val="000005E4"/>
    <w:rsid w:val="00000E0A"/>
    <w:rsid w:val="00001733"/>
    <w:rsid w:val="000024BB"/>
    <w:rsid w:val="000024EA"/>
    <w:rsid w:val="00002775"/>
    <w:rsid w:val="00002A57"/>
    <w:rsid w:val="00002B1A"/>
    <w:rsid w:val="00003070"/>
    <w:rsid w:val="000031C0"/>
    <w:rsid w:val="000032AA"/>
    <w:rsid w:val="00003461"/>
    <w:rsid w:val="000043CF"/>
    <w:rsid w:val="000050C4"/>
    <w:rsid w:val="000051E6"/>
    <w:rsid w:val="0000627A"/>
    <w:rsid w:val="00006449"/>
    <w:rsid w:val="000065BB"/>
    <w:rsid w:val="000065EE"/>
    <w:rsid w:val="0000697F"/>
    <w:rsid w:val="00006C63"/>
    <w:rsid w:val="00007082"/>
    <w:rsid w:val="00007510"/>
    <w:rsid w:val="00010A1C"/>
    <w:rsid w:val="00011379"/>
    <w:rsid w:val="0001146B"/>
    <w:rsid w:val="00011566"/>
    <w:rsid w:val="00011957"/>
    <w:rsid w:val="00011FA5"/>
    <w:rsid w:val="00013ACA"/>
    <w:rsid w:val="00013DE6"/>
    <w:rsid w:val="00014841"/>
    <w:rsid w:val="00015155"/>
    <w:rsid w:val="00015267"/>
    <w:rsid w:val="0001541E"/>
    <w:rsid w:val="00016E89"/>
    <w:rsid w:val="00017098"/>
    <w:rsid w:val="000178CE"/>
    <w:rsid w:val="00017BE4"/>
    <w:rsid w:val="00017D01"/>
    <w:rsid w:val="00020428"/>
    <w:rsid w:val="0002077F"/>
    <w:rsid w:val="00021FD5"/>
    <w:rsid w:val="000220C3"/>
    <w:rsid w:val="000220F6"/>
    <w:rsid w:val="00022495"/>
    <w:rsid w:val="00022BF7"/>
    <w:rsid w:val="00022F5C"/>
    <w:rsid w:val="00023406"/>
    <w:rsid w:val="00023B38"/>
    <w:rsid w:val="00023DA0"/>
    <w:rsid w:val="00024874"/>
    <w:rsid w:val="00024A1F"/>
    <w:rsid w:val="00024B2F"/>
    <w:rsid w:val="0002555C"/>
    <w:rsid w:val="00025807"/>
    <w:rsid w:val="000258F9"/>
    <w:rsid w:val="00025906"/>
    <w:rsid w:val="000263F6"/>
    <w:rsid w:val="00027713"/>
    <w:rsid w:val="000301A0"/>
    <w:rsid w:val="000308E2"/>
    <w:rsid w:val="00030B47"/>
    <w:rsid w:val="00030D88"/>
    <w:rsid w:val="00031715"/>
    <w:rsid w:val="00031AC6"/>
    <w:rsid w:val="000325E3"/>
    <w:rsid w:val="000327B2"/>
    <w:rsid w:val="00033A77"/>
    <w:rsid w:val="00033DE2"/>
    <w:rsid w:val="00033EEA"/>
    <w:rsid w:val="00034011"/>
    <w:rsid w:val="0003406A"/>
    <w:rsid w:val="0003425E"/>
    <w:rsid w:val="000347BE"/>
    <w:rsid w:val="000349DA"/>
    <w:rsid w:val="00034CE2"/>
    <w:rsid w:val="00034F3E"/>
    <w:rsid w:val="00035A26"/>
    <w:rsid w:val="0003624F"/>
    <w:rsid w:val="000364C4"/>
    <w:rsid w:val="0003734F"/>
    <w:rsid w:val="000374A3"/>
    <w:rsid w:val="00037BF4"/>
    <w:rsid w:val="00037DE8"/>
    <w:rsid w:val="00040DC8"/>
    <w:rsid w:val="00040E7B"/>
    <w:rsid w:val="0004122A"/>
    <w:rsid w:val="00041555"/>
    <w:rsid w:val="00041EF8"/>
    <w:rsid w:val="00042295"/>
    <w:rsid w:val="00042384"/>
    <w:rsid w:val="00043A05"/>
    <w:rsid w:val="00043BED"/>
    <w:rsid w:val="00043EB2"/>
    <w:rsid w:val="000441B1"/>
    <w:rsid w:val="00044B34"/>
    <w:rsid w:val="00044D83"/>
    <w:rsid w:val="00045200"/>
    <w:rsid w:val="0004561A"/>
    <w:rsid w:val="000456CA"/>
    <w:rsid w:val="00045F0B"/>
    <w:rsid w:val="000466ED"/>
    <w:rsid w:val="00047413"/>
    <w:rsid w:val="000479D3"/>
    <w:rsid w:val="00047EE1"/>
    <w:rsid w:val="0005088D"/>
    <w:rsid w:val="00050E86"/>
    <w:rsid w:val="00051002"/>
    <w:rsid w:val="0005169B"/>
    <w:rsid w:val="000533C1"/>
    <w:rsid w:val="0005346E"/>
    <w:rsid w:val="000534B8"/>
    <w:rsid w:val="000536EA"/>
    <w:rsid w:val="00053988"/>
    <w:rsid w:val="000547B9"/>
    <w:rsid w:val="000552CC"/>
    <w:rsid w:val="00055DEF"/>
    <w:rsid w:val="000560D9"/>
    <w:rsid w:val="000561B1"/>
    <w:rsid w:val="0005634D"/>
    <w:rsid w:val="0005659D"/>
    <w:rsid w:val="00056A26"/>
    <w:rsid w:val="00056F7D"/>
    <w:rsid w:val="0005768E"/>
    <w:rsid w:val="000605C3"/>
    <w:rsid w:val="000608E6"/>
    <w:rsid w:val="00060C2D"/>
    <w:rsid w:val="00060D62"/>
    <w:rsid w:val="00060DC2"/>
    <w:rsid w:val="00061158"/>
    <w:rsid w:val="0006133F"/>
    <w:rsid w:val="000614F7"/>
    <w:rsid w:val="00061729"/>
    <w:rsid w:val="000618AC"/>
    <w:rsid w:val="00061AF2"/>
    <w:rsid w:val="0006213F"/>
    <w:rsid w:val="00062BA2"/>
    <w:rsid w:val="00062FED"/>
    <w:rsid w:val="0006379F"/>
    <w:rsid w:val="00063DDF"/>
    <w:rsid w:val="000640DA"/>
    <w:rsid w:val="000641A7"/>
    <w:rsid w:val="0006464F"/>
    <w:rsid w:val="000649A7"/>
    <w:rsid w:val="00064A59"/>
    <w:rsid w:val="00064C2A"/>
    <w:rsid w:val="0006544C"/>
    <w:rsid w:val="00065E99"/>
    <w:rsid w:val="00066751"/>
    <w:rsid w:val="000672C7"/>
    <w:rsid w:val="000672DB"/>
    <w:rsid w:val="00067411"/>
    <w:rsid w:val="00070210"/>
    <w:rsid w:val="00070752"/>
    <w:rsid w:val="00070BC6"/>
    <w:rsid w:val="000716EE"/>
    <w:rsid w:val="000718A6"/>
    <w:rsid w:val="00071B4F"/>
    <w:rsid w:val="00071B91"/>
    <w:rsid w:val="00071D60"/>
    <w:rsid w:val="00072189"/>
    <w:rsid w:val="000724A5"/>
    <w:rsid w:val="000724F0"/>
    <w:rsid w:val="00072536"/>
    <w:rsid w:val="00072A69"/>
    <w:rsid w:val="00072E6F"/>
    <w:rsid w:val="00072F53"/>
    <w:rsid w:val="000730D7"/>
    <w:rsid w:val="00073A05"/>
    <w:rsid w:val="00073E21"/>
    <w:rsid w:val="000740FE"/>
    <w:rsid w:val="00074190"/>
    <w:rsid w:val="000748D8"/>
    <w:rsid w:val="00074D84"/>
    <w:rsid w:val="000751B4"/>
    <w:rsid w:val="00075C00"/>
    <w:rsid w:val="00075DA3"/>
    <w:rsid w:val="00075FE6"/>
    <w:rsid w:val="0007660D"/>
    <w:rsid w:val="0007727C"/>
    <w:rsid w:val="00080247"/>
    <w:rsid w:val="00080864"/>
    <w:rsid w:val="00080A56"/>
    <w:rsid w:val="00080BD5"/>
    <w:rsid w:val="00080D37"/>
    <w:rsid w:val="00080DCE"/>
    <w:rsid w:val="000810DA"/>
    <w:rsid w:val="00081128"/>
    <w:rsid w:val="000811C2"/>
    <w:rsid w:val="00081617"/>
    <w:rsid w:val="0008176F"/>
    <w:rsid w:val="00081AFD"/>
    <w:rsid w:val="0008250D"/>
    <w:rsid w:val="000825BE"/>
    <w:rsid w:val="0008295F"/>
    <w:rsid w:val="00082A6D"/>
    <w:rsid w:val="00082BDE"/>
    <w:rsid w:val="00082D47"/>
    <w:rsid w:val="00082E3E"/>
    <w:rsid w:val="00083395"/>
    <w:rsid w:val="00083414"/>
    <w:rsid w:val="0008387E"/>
    <w:rsid w:val="00083E10"/>
    <w:rsid w:val="00085ED5"/>
    <w:rsid w:val="00086157"/>
    <w:rsid w:val="0008620E"/>
    <w:rsid w:val="000864EA"/>
    <w:rsid w:val="000866F5"/>
    <w:rsid w:val="0008749E"/>
    <w:rsid w:val="00087683"/>
    <w:rsid w:val="00087B9D"/>
    <w:rsid w:val="00090DB3"/>
    <w:rsid w:val="00091427"/>
    <w:rsid w:val="000914CB"/>
    <w:rsid w:val="000921C6"/>
    <w:rsid w:val="00092326"/>
    <w:rsid w:val="000923C0"/>
    <w:rsid w:val="00092412"/>
    <w:rsid w:val="000927F3"/>
    <w:rsid w:val="00093304"/>
    <w:rsid w:val="00093A62"/>
    <w:rsid w:val="00093EE3"/>
    <w:rsid w:val="00093FAF"/>
    <w:rsid w:val="0009489D"/>
    <w:rsid w:val="000948AB"/>
    <w:rsid w:val="00094A22"/>
    <w:rsid w:val="00094F20"/>
    <w:rsid w:val="00095403"/>
    <w:rsid w:val="00096584"/>
    <w:rsid w:val="0009689C"/>
    <w:rsid w:val="0009700F"/>
    <w:rsid w:val="000970BE"/>
    <w:rsid w:val="00097EAC"/>
    <w:rsid w:val="000A0FB1"/>
    <w:rsid w:val="000A1A5A"/>
    <w:rsid w:val="000A2101"/>
    <w:rsid w:val="000A2E46"/>
    <w:rsid w:val="000A3693"/>
    <w:rsid w:val="000A3BC5"/>
    <w:rsid w:val="000A3CA7"/>
    <w:rsid w:val="000A409D"/>
    <w:rsid w:val="000A41C9"/>
    <w:rsid w:val="000A4458"/>
    <w:rsid w:val="000A4D38"/>
    <w:rsid w:val="000A5A81"/>
    <w:rsid w:val="000A5BF1"/>
    <w:rsid w:val="000A622C"/>
    <w:rsid w:val="000A7093"/>
    <w:rsid w:val="000A7DE9"/>
    <w:rsid w:val="000A7EE6"/>
    <w:rsid w:val="000B0221"/>
    <w:rsid w:val="000B0610"/>
    <w:rsid w:val="000B0654"/>
    <w:rsid w:val="000B1A42"/>
    <w:rsid w:val="000B2114"/>
    <w:rsid w:val="000B2C5F"/>
    <w:rsid w:val="000B2DF9"/>
    <w:rsid w:val="000B2E3A"/>
    <w:rsid w:val="000B38D8"/>
    <w:rsid w:val="000B4864"/>
    <w:rsid w:val="000B4AD1"/>
    <w:rsid w:val="000B5215"/>
    <w:rsid w:val="000B5C01"/>
    <w:rsid w:val="000B5C60"/>
    <w:rsid w:val="000B6365"/>
    <w:rsid w:val="000B68C8"/>
    <w:rsid w:val="000B6E55"/>
    <w:rsid w:val="000B7325"/>
    <w:rsid w:val="000B7AAC"/>
    <w:rsid w:val="000C0A31"/>
    <w:rsid w:val="000C0B19"/>
    <w:rsid w:val="000C0BC7"/>
    <w:rsid w:val="000C1AE2"/>
    <w:rsid w:val="000C24B2"/>
    <w:rsid w:val="000C2502"/>
    <w:rsid w:val="000C28F1"/>
    <w:rsid w:val="000C2CEB"/>
    <w:rsid w:val="000C3187"/>
    <w:rsid w:val="000C3669"/>
    <w:rsid w:val="000C3939"/>
    <w:rsid w:val="000C3AFF"/>
    <w:rsid w:val="000C3E07"/>
    <w:rsid w:val="000C4229"/>
    <w:rsid w:val="000C4291"/>
    <w:rsid w:val="000C4939"/>
    <w:rsid w:val="000C500E"/>
    <w:rsid w:val="000C588E"/>
    <w:rsid w:val="000C60EB"/>
    <w:rsid w:val="000C673C"/>
    <w:rsid w:val="000C777D"/>
    <w:rsid w:val="000D07CF"/>
    <w:rsid w:val="000D0DCC"/>
    <w:rsid w:val="000D1122"/>
    <w:rsid w:val="000D14A1"/>
    <w:rsid w:val="000D186D"/>
    <w:rsid w:val="000D1CEA"/>
    <w:rsid w:val="000D2146"/>
    <w:rsid w:val="000D2796"/>
    <w:rsid w:val="000D3362"/>
    <w:rsid w:val="000D3E44"/>
    <w:rsid w:val="000D47F4"/>
    <w:rsid w:val="000D4D34"/>
    <w:rsid w:val="000D52A7"/>
    <w:rsid w:val="000D566E"/>
    <w:rsid w:val="000D5740"/>
    <w:rsid w:val="000D5935"/>
    <w:rsid w:val="000D59AB"/>
    <w:rsid w:val="000D5DFD"/>
    <w:rsid w:val="000D5FAF"/>
    <w:rsid w:val="000D6CF0"/>
    <w:rsid w:val="000D6FE9"/>
    <w:rsid w:val="000D7200"/>
    <w:rsid w:val="000E08B1"/>
    <w:rsid w:val="000E0943"/>
    <w:rsid w:val="000E0EBC"/>
    <w:rsid w:val="000E0EC6"/>
    <w:rsid w:val="000E1227"/>
    <w:rsid w:val="000E1260"/>
    <w:rsid w:val="000E1B2E"/>
    <w:rsid w:val="000E2684"/>
    <w:rsid w:val="000E2A94"/>
    <w:rsid w:val="000E2CA5"/>
    <w:rsid w:val="000E449C"/>
    <w:rsid w:val="000E4782"/>
    <w:rsid w:val="000E4D46"/>
    <w:rsid w:val="000E56F0"/>
    <w:rsid w:val="000E5CC9"/>
    <w:rsid w:val="000E6921"/>
    <w:rsid w:val="000E6E93"/>
    <w:rsid w:val="000E6EB9"/>
    <w:rsid w:val="000E7DB9"/>
    <w:rsid w:val="000F04AF"/>
    <w:rsid w:val="000F10AD"/>
    <w:rsid w:val="000F115E"/>
    <w:rsid w:val="000F12C2"/>
    <w:rsid w:val="000F1610"/>
    <w:rsid w:val="000F1F8C"/>
    <w:rsid w:val="000F1FD8"/>
    <w:rsid w:val="000F210C"/>
    <w:rsid w:val="000F244E"/>
    <w:rsid w:val="000F248E"/>
    <w:rsid w:val="000F3AE9"/>
    <w:rsid w:val="000F3E46"/>
    <w:rsid w:val="000F40DB"/>
    <w:rsid w:val="000F4371"/>
    <w:rsid w:val="000F4451"/>
    <w:rsid w:val="000F4660"/>
    <w:rsid w:val="000F48AB"/>
    <w:rsid w:val="000F5570"/>
    <w:rsid w:val="000F5F0A"/>
    <w:rsid w:val="000F5FB6"/>
    <w:rsid w:val="000F63B0"/>
    <w:rsid w:val="000F63C2"/>
    <w:rsid w:val="000F7717"/>
    <w:rsid w:val="000F7C4B"/>
    <w:rsid w:val="00100256"/>
    <w:rsid w:val="0010055E"/>
    <w:rsid w:val="00100B02"/>
    <w:rsid w:val="00100C7A"/>
    <w:rsid w:val="0010172F"/>
    <w:rsid w:val="00101A1D"/>
    <w:rsid w:val="00101C34"/>
    <w:rsid w:val="00101C8C"/>
    <w:rsid w:val="00102B40"/>
    <w:rsid w:val="00102BF4"/>
    <w:rsid w:val="00102C9D"/>
    <w:rsid w:val="001038C0"/>
    <w:rsid w:val="001038F8"/>
    <w:rsid w:val="00104131"/>
    <w:rsid w:val="001049FD"/>
    <w:rsid w:val="00104F8D"/>
    <w:rsid w:val="00104F9B"/>
    <w:rsid w:val="00105181"/>
    <w:rsid w:val="0010542A"/>
    <w:rsid w:val="00106930"/>
    <w:rsid w:val="00106D3A"/>
    <w:rsid w:val="00106F5E"/>
    <w:rsid w:val="00110146"/>
    <w:rsid w:val="00110181"/>
    <w:rsid w:val="001101AC"/>
    <w:rsid w:val="0011030A"/>
    <w:rsid w:val="00111B3F"/>
    <w:rsid w:val="00111D9E"/>
    <w:rsid w:val="00111EBE"/>
    <w:rsid w:val="00112696"/>
    <w:rsid w:val="0011270C"/>
    <w:rsid w:val="00112EF3"/>
    <w:rsid w:val="00113563"/>
    <w:rsid w:val="001142F4"/>
    <w:rsid w:val="001145A5"/>
    <w:rsid w:val="00114ED6"/>
    <w:rsid w:val="00114F70"/>
    <w:rsid w:val="00114F7D"/>
    <w:rsid w:val="00115368"/>
    <w:rsid w:val="00115677"/>
    <w:rsid w:val="00115961"/>
    <w:rsid w:val="00116319"/>
    <w:rsid w:val="001166F2"/>
    <w:rsid w:val="00116A79"/>
    <w:rsid w:val="0011716F"/>
    <w:rsid w:val="001174AA"/>
    <w:rsid w:val="001179BF"/>
    <w:rsid w:val="00120000"/>
    <w:rsid w:val="00120070"/>
    <w:rsid w:val="00120786"/>
    <w:rsid w:val="0012081A"/>
    <w:rsid w:val="001218F9"/>
    <w:rsid w:val="0012215F"/>
    <w:rsid w:val="001223BA"/>
    <w:rsid w:val="00122887"/>
    <w:rsid w:val="00122894"/>
    <w:rsid w:val="00122A70"/>
    <w:rsid w:val="00122C1E"/>
    <w:rsid w:val="00122D43"/>
    <w:rsid w:val="0012325A"/>
    <w:rsid w:val="00123270"/>
    <w:rsid w:val="001234D2"/>
    <w:rsid w:val="00123811"/>
    <w:rsid w:val="00123F71"/>
    <w:rsid w:val="001244E4"/>
    <w:rsid w:val="001246C6"/>
    <w:rsid w:val="00124B70"/>
    <w:rsid w:val="00124C7E"/>
    <w:rsid w:val="00124DCB"/>
    <w:rsid w:val="00125794"/>
    <w:rsid w:val="00125A94"/>
    <w:rsid w:val="00126605"/>
    <w:rsid w:val="001267E1"/>
    <w:rsid w:val="00126823"/>
    <w:rsid w:val="00126AAF"/>
    <w:rsid w:val="00126ACB"/>
    <w:rsid w:val="001272CF"/>
    <w:rsid w:val="00127488"/>
    <w:rsid w:val="00127B85"/>
    <w:rsid w:val="00130234"/>
    <w:rsid w:val="00130640"/>
    <w:rsid w:val="001308B8"/>
    <w:rsid w:val="00130CBC"/>
    <w:rsid w:val="00130FD9"/>
    <w:rsid w:val="0013104C"/>
    <w:rsid w:val="00132237"/>
    <w:rsid w:val="0013231E"/>
    <w:rsid w:val="0013255D"/>
    <w:rsid w:val="00133C27"/>
    <w:rsid w:val="00133C37"/>
    <w:rsid w:val="001350F3"/>
    <w:rsid w:val="0013546F"/>
    <w:rsid w:val="00135B74"/>
    <w:rsid w:val="00135E44"/>
    <w:rsid w:val="00136240"/>
    <w:rsid w:val="00136253"/>
    <w:rsid w:val="001366A3"/>
    <w:rsid w:val="001369B5"/>
    <w:rsid w:val="00136F75"/>
    <w:rsid w:val="00137033"/>
    <w:rsid w:val="00137385"/>
    <w:rsid w:val="00137391"/>
    <w:rsid w:val="001378A6"/>
    <w:rsid w:val="001406E1"/>
    <w:rsid w:val="0014095C"/>
    <w:rsid w:val="00140A6C"/>
    <w:rsid w:val="00140BD6"/>
    <w:rsid w:val="00140F8C"/>
    <w:rsid w:val="0014117E"/>
    <w:rsid w:val="0014193C"/>
    <w:rsid w:val="00141A91"/>
    <w:rsid w:val="001423D2"/>
    <w:rsid w:val="001423E2"/>
    <w:rsid w:val="001432C0"/>
    <w:rsid w:val="00143B99"/>
    <w:rsid w:val="00143EC4"/>
    <w:rsid w:val="00144AE2"/>
    <w:rsid w:val="00145337"/>
    <w:rsid w:val="0014546B"/>
    <w:rsid w:val="0014566B"/>
    <w:rsid w:val="00145E33"/>
    <w:rsid w:val="00146A21"/>
    <w:rsid w:val="00146D7F"/>
    <w:rsid w:val="00146FB6"/>
    <w:rsid w:val="0014757A"/>
    <w:rsid w:val="001477F8"/>
    <w:rsid w:val="00147BF9"/>
    <w:rsid w:val="0015038C"/>
    <w:rsid w:val="00150D1D"/>
    <w:rsid w:val="00150D45"/>
    <w:rsid w:val="00151930"/>
    <w:rsid w:val="00152793"/>
    <w:rsid w:val="0015298B"/>
    <w:rsid w:val="0015355A"/>
    <w:rsid w:val="0015357B"/>
    <w:rsid w:val="00153890"/>
    <w:rsid w:val="00153C19"/>
    <w:rsid w:val="00154282"/>
    <w:rsid w:val="00154548"/>
    <w:rsid w:val="001545A8"/>
    <w:rsid w:val="0015507F"/>
    <w:rsid w:val="0015524A"/>
    <w:rsid w:val="001554E0"/>
    <w:rsid w:val="00155C12"/>
    <w:rsid w:val="001563F2"/>
    <w:rsid w:val="00156441"/>
    <w:rsid w:val="0015692D"/>
    <w:rsid w:val="00156CF0"/>
    <w:rsid w:val="001575EC"/>
    <w:rsid w:val="0015771C"/>
    <w:rsid w:val="00157A88"/>
    <w:rsid w:val="001613AA"/>
    <w:rsid w:val="00161475"/>
    <w:rsid w:val="001615DD"/>
    <w:rsid w:val="0016354C"/>
    <w:rsid w:val="00163C41"/>
    <w:rsid w:val="00163D45"/>
    <w:rsid w:val="0016425F"/>
    <w:rsid w:val="00164718"/>
    <w:rsid w:val="00164A45"/>
    <w:rsid w:val="00165050"/>
    <w:rsid w:val="0016699E"/>
    <w:rsid w:val="00167C94"/>
    <w:rsid w:val="00167C9F"/>
    <w:rsid w:val="001702B8"/>
    <w:rsid w:val="0017100C"/>
    <w:rsid w:val="00171068"/>
    <w:rsid w:val="00171314"/>
    <w:rsid w:val="00171647"/>
    <w:rsid w:val="00171903"/>
    <w:rsid w:val="00172375"/>
    <w:rsid w:val="00172534"/>
    <w:rsid w:val="001727CE"/>
    <w:rsid w:val="00172854"/>
    <w:rsid w:val="001729C7"/>
    <w:rsid w:val="00173C5C"/>
    <w:rsid w:val="00173D6B"/>
    <w:rsid w:val="0017498C"/>
    <w:rsid w:val="00175179"/>
    <w:rsid w:val="001759CE"/>
    <w:rsid w:val="001760D5"/>
    <w:rsid w:val="0017612D"/>
    <w:rsid w:val="001766F6"/>
    <w:rsid w:val="00176BBB"/>
    <w:rsid w:val="001772C0"/>
    <w:rsid w:val="00177786"/>
    <w:rsid w:val="00177F54"/>
    <w:rsid w:val="00180F46"/>
    <w:rsid w:val="001811E1"/>
    <w:rsid w:val="00181591"/>
    <w:rsid w:val="001816CD"/>
    <w:rsid w:val="00181991"/>
    <w:rsid w:val="001821CE"/>
    <w:rsid w:val="00182228"/>
    <w:rsid w:val="001822E6"/>
    <w:rsid w:val="001823F5"/>
    <w:rsid w:val="00182C06"/>
    <w:rsid w:val="00183175"/>
    <w:rsid w:val="00183317"/>
    <w:rsid w:val="0018358F"/>
    <w:rsid w:val="001835F8"/>
    <w:rsid w:val="00183FD9"/>
    <w:rsid w:val="00184086"/>
    <w:rsid w:val="001848A0"/>
    <w:rsid w:val="00184CDF"/>
    <w:rsid w:val="00184E20"/>
    <w:rsid w:val="00185036"/>
    <w:rsid w:val="001851B0"/>
    <w:rsid w:val="00185327"/>
    <w:rsid w:val="00185ADC"/>
    <w:rsid w:val="00185D05"/>
    <w:rsid w:val="0018679B"/>
    <w:rsid w:val="00186C06"/>
    <w:rsid w:val="00186CB8"/>
    <w:rsid w:val="00187672"/>
    <w:rsid w:val="001879FB"/>
    <w:rsid w:val="00187F8A"/>
    <w:rsid w:val="001901B7"/>
    <w:rsid w:val="00190682"/>
    <w:rsid w:val="00190B65"/>
    <w:rsid w:val="00191241"/>
    <w:rsid w:val="001912D6"/>
    <w:rsid w:val="001918C4"/>
    <w:rsid w:val="00191F05"/>
    <w:rsid w:val="0019236A"/>
    <w:rsid w:val="00192FC9"/>
    <w:rsid w:val="001937B6"/>
    <w:rsid w:val="00193991"/>
    <w:rsid w:val="001939B3"/>
    <w:rsid w:val="00193CF4"/>
    <w:rsid w:val="00194BE2"/>
    <w:rsid w:val="00195094"/>
    <w:rsid w:val="0019545F"/>
    <w:rsid w:val="00195574"/>
    <w:rsid w:val="0019685C"/>
    <w:rsid w:val="0019725C"/>
    <w:rsid w:val="0019736A"/>
    <w:rsid w:val="0019789D"/>
    <w:rsid w:val="00197D3C"/>
    <w:rsid w:val="00197EA6"/>
    <w:rsid w:val="001A0154"/>
    <w:rsid w:val="001A070E"/>
    <w:rsid w:val="001A0C81"/>
    <w:rsid w:val="001A0EE1"/>
    <w:rsid w:val="001A276C"/>
    <w:rsid w:val="001A2D07"/>
    <w:rsid w:val="001A2D85"/>
    <w:rsid w:val="001A2EFE"/>
    <w:rsid w:val="001A431E"/>
    <w:rsid w:val="001A4C06"/>
    <w:rsid w:val="001A510E"/>
    <w:rsid w:val="001A58E6"/>
    <w:rsid w:val="001A5EA0"/>
    <w:rsid w:val="001A5F52"/>
    <w:rsid w:val="001A66B8"/>
    <w:rsid w:val="001A68E2"/>
    <w:rsid w:val="001A6DFE"/>
    <w:rsid w:val="001A70E0"/>
    <w:rsid w:val="001A7489"/>
    <w:rsid w:val="001A7915"/>
    <w:rsid w:val="001A7B62"/>
    <w:rsid w:val="001B00FE"/>
    <w:rsid w:val="001B0BFD"/>
    <w:rsid w:val="001B0D4B"/>
    <w:rsid w:val="001B0DCB"/>
    <w:rsid w:val="001B163E"/>
    <w:rsid w:val="001B19BE"/>
    <w:rsid w:val="001B1A5A"/>
    <w:rsid w:val="001B1E6A"/>
    <w:rsid w:val="001B1EA9"/>
    <w:rsid w:val="001B21AE"/>
    <w:rsid w:val="001B25FB"/>
    <w:rsid w:val="001B268F"/>
    <w:rsid w:val="001B2A6C"/>
    <w:rsid w:val="001B3311"/>
    <w:rsid w:val="001B3474"/>
    <w:rsid w:val="001B35B8"/>
    <w:rsid w:val="001B3628"/>
    <w:rsid w:val="001B3998"/>
    <w:rsid w:val="001B3CC9"/>
    <w:rsid w:val="001B3F4D"/>
    <w:rsid w:val="001B40B7"/>
    <w:rsid w:val="001B4393"/>
    <w:rsid w:val="001B51A6"/>
    <w:rsid w:val="001B51B3"/>
    <w:rsid w:val="001B5217"/>
    <w:rsid w:val="001B65DF"/>
    <w:rsid w:val="001B7261"/>
    <w:rsid w:val="001B7E4B"/>
    <w:rsid w:val="001C0026"/>
    <w:rsid w:val="001C1616"/>
    <w:rsid w:val="001C1B23"/>
    <w:rsid w:val="001C1BE5"/>
    <w:rsid w:val="001C1EEB"/>
    <w:rsid w:val="001C20F4"/>
    <w:rsid w:val="001C22EC"/>
    <w:rsid w:val="001C26BB"/>
    <w:rsid w:val="001C297F"/>
    <w:rsid w:val="001C2BDF"/>
    <w:rsid w:val="001C30BD"/>
    <w:rsid w:val="001C30F1"/>
    <w:rsid w:val="001C3129"/>
    <w:rsid w:val="001C32D9"/>
    <w:rsid w:val="001C497D"/>
    <w:rsid w:val="001C512C"/>
    <w:rsid w:val="001C56FC"/>
    <w:rsid w:val="001C57BE"/>
    <w:rsid w:val="001C59F4"/>
    <w:rsid w:val="001C6A5C"/>
    <w:rsid w:val="001C7139"/>
    <w:rsid w:val="001D04F4"/>
    <w:rsid w:val="001D0556"/>
    <w:rsid w:val="001D06A0"/>
    <w:rsid w:val="001D0FCD"/>
    <w:rsid w:val="001D120F"/>
    <w:rsid w:val="001D1432"/>
    <w:rsid w:val="001D199F"/>
    <w:rsid w:val="001D22A1"/>
    <w:rsid w:val="001D288F"/>
    <w:rsid w:val="001D2A4A"/>
    <w:rsid w:val="001D3D00"/>
    <w:rsid w:val="001D422F"/>
    <w:rsid w:val="001D45ED"/>
    <w:rsid w:val="001D4794"/>
    <w:rsid w:val="001D556C"/>
    <w:rsid w:val="001D5627"/>
    <w:rsid w:val="001D6CEC"/>
    <w:rsid w:val="001D706F"/>
    <w:rsid w:val="001D7482"/>
    <w:rsid w:val="001E051F"/>
    <w:rsid w:val="001E0553"/>
    <w:rsid w:val="001E0864"/>
    <w:rsid w:val="001E08B9"/>
    <w:rsid w:val="001E08D1"/>
    <w:rsid w:val="001E190F"/>
    <w:rsid w:val="001E1D57"/>
    <w:rsid w:val="001E2528"/>
    <w:rsid w:val="001E28FD"/>
    <w:rsid w:val="001E2972"/>
    <w:rsid w:val="001E2974"/>
    <w:rsid w:val="001E2A4C"/>
    <w:rsid w:val="001E2E75"/>
    <w:rsid w:val="001E35FE"/>
    <w:rsid w:val="001E3A54"/>
    <w:rsid w:val="001E3B47"/>
    <w:rsid w:val="001E3D84"/>
    <w:rsid w:val="001E4E44"/>
    <w:rsid w:val="001E4E72"/>
    <w:rsid w:val="001E5B7C"/>
    <w:rsid w:val="001E5BD3"/>
    <w:rsid w:val="001E5F6F"/>
    <w:rsid w:val="001E6136"/>
    <w:rsid w:val="001E61E0"/>
    <w:rsid w:val="001E632D"/>
    <w:rsid w:val="001E6B2F"/>
    <w:rsid w:val="001E6CFF"/>
    <w:rsid w:val="001E713C"/>
    <w:rsid w:val="001E7187"/>
    <w:rsid w:val="001F0203"/>
    <w:rsid w:val="001F14BF"/>
    <w:rsid w:val="001F182B"/>
    <w:rsid w:val="001F1F6B"/>
    <w:rsid w:val="001F2140"/>
    <w:rsid w:val="001F2EF4"/>
    <w:rsid w:val="001F33E6"/>
    <w:rsid w:val="001F3DF7"/>
    <w:rsid w:val="001F4158"/>
    <w:rsid w:val="001F4303"/>
    <w:rsid w:val="001F4CF5"/>
    <w:rsid w:val="001F4E59"/>
    <w:rsid w:val="001F52E5"/>
    <w:rsid w:val="001F5586"/>
    <w:rsid w:val="001F56C1"/>
    <w:rsid w:val="001F5742"/>
    <w:rsid w:val="001F5BD6"/>
    <w:rsid w:val="001F5DB8"/>
    <w:rsid w:val="001F6B35"/>
    <w:rsid w:val="001F6E15"/>
    <w:rsid w:val="001F700D"/>
    <w:rsid w:val="001F7056"/>
    <w:rsid w:val="001F7ADF"/>
    <w:rsid w:val="001F7B6C"/>
    <w:rsid w:val="001F7F33"/>
    <w:rsid w:val="0020012E"/>
    <w:rsid w:val="00200B84"/>
    <w:rsid w:val="00200E94"/>
    <w:rsid w:val="00201199"/>
    <w:rsid w:val="002012F5"/>
    <w:rsid w:val="002016C3"/>
    <w:rsid w:val="00201855"/>
    <w:rsid w:val="00201C5D"/>
    <w:rsid w:val="0020232E"/>
    <w:rsid w:val="0020235D"/>
    <w:rsid w:val="002033B4"/>
    <w:rsid w:val="00203A36"/>
    <w:rsid w:val="00203B1B"/>
    <w:rsid w:val="00204010"/>
    <w:rsid w:val="00204029"/>
    <w:rsid w:val="0020433D"/>
    <w:rsid w:val="0020497B"/>
    <w:rsid w:val="00204BFB"/>
    <w:rsid w:val="00204C4E"/>
    <w:rsid w:val="00204FF6"/>
    <w:rsid w:val="002052DC"/>
    <w:rsid w:val="00205C44"/>
    <w:rsid w:val="00206153"/>
    <w:rsid w:val="00206722"/>
    <w:rsid w:val="0020673F"/>
    <w:rsid w:val="00206852"/>
    <w:rsid w:val="00206AB8"/>
    <w:rsid w:val="00206E40"/>
    <w:rsid w:val="00206F16"/>
    <w:rsid w:val="0020725B"/>
    <w:rsid w:val="00207AA3"/>
    <w:rsid w:val="00207B22"/>
    <w:rsid w:val="00207F92"/>
    <w:rsid w:val="00210DEF"/>
    <w:rsid w:val="0021107F"/>
    <w:rsid w:val="00212200"/>
    <w:rsid w:val="00212A09"/>
    <w:rsid w:val="0021326E"/>
    <w:rsid w:val="00213D22"/>
    <w:rsid w:val="002148D9"/>
    <w:rsid w:val="00214970"/>
    <w:rsid w:val="0021552E"/>
    <w:rsid w:val="00215F0D"/>
    <w:rsid w:val="00216035"/>
    <w:rsid w:val="00216BDE"/>
    <w:rsid w:val="00217166"/>
    <w:rsid w:val="002171C2"/>
    <w:rsid w:val="00217981"/>
    <w:rsid w:val="00217E46"/>
    <w:rsid w:val="00217E67"/>
    <w:rsid w:val="00220147"/>
    <w:rsid w:val="00220456"/>
    <w:rsid w:val="00220768"/>
    <w:rsid w:val="00220A14"/>
    <w:rsid w:val="00221223"/>
    <w:rsid w:val="0022186B"/>
    <w:rsid w:val="00221B92"/>
    <w:rsid w:val="00221CB5"/>
    <w:rsid w:val="00221ECE"/>
    <w:rsid w:val="002224E1"/>
    <w:rsid w:val="00222756"/>
    <w:rsid w:val="00222B83"/>
    <w:rsid w:val="0022338E"/>
    <w:rsid w:val="00223A51"/>
    <w:rsid w:val="002242DE"/>
    <w:rsid w:val="002245A1"/>
    <w:rsid w:val="00224CC1"/>
    <w:rsid w:val="00225126"/>
    <w:rsid w:val="00225FDB"/>
    <w:rsid w:val="00226444"/>
    <w:rsid w:val="002264E8"/>
    <w:rsid w:val="002266AB"/>
    <w:rsid w:val="00227032"/>
    <w:rsid w:val="002270A3"/>
    <w:rsid w:val="002270E7"/>
    <w:rsid w:val="002278F7"/>
    <w:rsid w:val="00227928"/>
    <w:rsid w:val="00227D16"/>
    <w:rsid w:val="00230429"/>
    <w:rsid w:val="00230873"/>
    <w:rsid w:val="00230C22"/>
    <w:rsid w:val="00231183"/>
    <w:rsid w:val="002312A3"/>
    <w:rsid w:val="00231772"/>
    <w:rsid w:val="002319A9"/>
    <w:rsid w:val="00231AB5"/>
    <w:rsid w:val="00231CC8"/>
    <w:rsid w:val="00232A29"/>
    <w:rsid w:val="00232B92"/>
    <w:rsid w:val="00233179"/>
    <w:rsid w:val="0023356F"/>
    <w:rsid w:val="00233861"/>
    <w:rsid w:val="00233D9E"/>
    <w:rsid w:val="00234207"/>
    <w:rsid w:val="002344F3"/>
    <w:rsid w:val="002347FD"/>
    <w:rsid w:val="00234855"/>
    <w:rsid w:val="0023568C"/>
    <w:rsid w:val="00235AAD"/>
    <w:rsid w:val="00235D0E"/>
    <w:rsid w:val="00236328"/>
    <w:rsid w:val="00236E1B"/>
    <w:rsid w:val="00237768"/>
    <w:rsid w:val="00237922"/>
    <w:rsid w:val="0024121C"/>
    <w:rsid w:val="00241B00"/>
    <w:rsid w:val="00242766"/>
    <w:rsid w:val="00242A76"/>
    <w:rsid w:val="002431D0"/>
    <w:rsid w:val="002444A8"/>
    <w:rsid w:val="00244B52"/>
    <w:rsid w:val="00244E2E"/>
    <w:rsid w:val="00244ED2"/>
    <w:rsid w:val="0024532E"/>
    <w:rsid w:val="00245D61"/>
    <w:rsid w:val="00245E92"/>
    <w:rsid w:val="0024606E"/>
    <w:rsid w:val="00246305"/>
    <w:rsid w:val="002465BD"/>
    <w:rsid w:val="00246610"/>
    <w:rsid w:val="00246D10"/>
    <w:rsid w:val="00247352"/>
    <w:rsid w:val="00247425"/>
    <w:rsid w:val="00247B5D"/>
    <w:rsid w:val="00247EBA"/>
    <w:rsid w:val="00250D4F"/>
    <w:rsid w:val="00250F8C"/>
    <w:rsid w:val="002511DF"/>
    <w:rsid w:val="002515A1"/>
    <w:rsid w:val="00251AE8"/>
    <w:rsid w:val="00251EDE"/>
    <w:rsid w:val="00252100"/>
    <w:rsid w:val="00252445"/>
    <w:rsid w:val="00252547"/>
    <w:rsid w:val="0025378B"/>
    <w:rsid w:val="00253FFF"/>
    <w:rsid w:val="00254CB8"/>
    <w:rsid w:val="002550B6"/>
    <w:rsid w:val="00255203"/>
    <w:rsid w:val="002552FA"/>
    <w:rsid w:val="00255BB3"/>
    <w:rsid w:val="00256436"/>
    <w:rsid w:val="002564A2"/>
    <w:rsid w:val="00256C13"/>
    <w:rsid w:val="00256C95"/>
    <w:rsid w:val="00257095"/>
    <w:rsid w:val="002578D5"/>
    <w:rsid w:val="00257E85"/>
    <w:rsid w:val="00260040"/>
    <w:rsid w:val="0026019C"/>
    <w:rsid w:val="00261001"/>
    <w:rsid w:val="00261163"/>
    <w:rsid w:val="00261A7D"/>
    <w:rsid w:val="00261F33"/>
    <w:rsid w:val="00262035"/>
    <w:rsid w:val="002627DF"/>
    <w:rsid w:val="0026291D"/>
    <w:rsid w:val="002638D2"/>
    <w:rsid w:val="002642B1"/>
    <w:rsid w:val="00264374"/>
    <w:rsid w:val="002655E4"/>
    <w:rsid w:val="002655EE"/>
    <w:rsid w:val="00265915"/>
    <w:rsid w:val="00265E21"/>
    <w:rsid w:val="00266001"/>
    <w:rsid w:val="00266F64"/>
    <w:rsid w:val="002673AE"/>
    <w:rsid w:val="00267604"/>
    <w:rsid w:val="00270439"/>
    <w:rsid w:val="00270767"/>
    <w:rsid w:val="00270819"/>
    <w:rsid w:val="002709C3"/>
    <w:rsid w:val="00270F22"/>
    <w:rsid w:val="00271686"/>
    <w:rsid w:val="002717B6"/>
    <w:rsid w:val="00271971"/>
    <w:rsid w:val="00271D3C"/>
    <w:rsid w:val="00271F5B"/>
    <w:rsid w:val="0027326A"/>
    <w:rsid w:val="00273C1C"/>
    <w:rsid w:val="00273D41"/>
    <w:rsid w:val="002749E5"/>
    <w:rsid w:val="00274EB4"/>
    <w:rsid w:val="00275446"/>
    <w:rsid w:val="002754C8"/>
    <w:rsid w:val="002757F7"/>
    <w:rsid w:val="00275A26"/>
    <w:rsid w:val="002764E9"/>
    <w:rsid w:val="00276F3E"/>
    <w:rsid w:val="002770F3"/>
    <w:rsid w:val="00277515"/>
    <w:rsid w:val="00277525"/>
    <w:rsid w:val="002776C7"/>
    <w:rsid w:val="0027771C"/>
    <w:rsid w:val="002779F6"/>
    <w:rsid w:val="00277C2D"/>
    <w:rsid w:val="00280458"/>
    <w:rsid w:val="00280CEC"/>
    <w:rsid w:val="00281AA8"/>
    <w:rsid w:val="00281AB3"/>
    <w:rsid w:val="00281ACF"/>
    <w:rsid w:val="00281E2B"/>
    <w:rsid w:val="00281F14"/>
    <w:rsid w:val="00281FD4"/>
    <w:rsid w:val="002823AC"/>
    <w:rsid w:val="002843DC"/>
    <w:rsid w:val="002844EA"/>
    <w:rsid w:val="002845C1"/>
    <w:rsid w:val="002846EE"/>
    <w:rsid w:val="00285047"/>
    <w:rsid w:val="00285930"/>
    <w:rsid w:val="00285D92"/>
    <w:rsid w:val="00286F1D"/>
    <w:rsid w:val="00287227"/>
    <w:rsid w:val="002873AD"/>
    <w:rsid w:val="00287E36"/>
    <w:rsid w:val="00290036"/>
    <w:rsid w:val="002905B3"/>
    <w:rsid w:val="00290720"/>
    <w:rsid w:val="002912BD"/>
    <w:rsid w:val="00291336"/>
    <w:rsid w:val="002913BF"/>
    <w:rsid w:val="0029161B"/>
    <w:rsid w:val="0029203F"/>
    <w:rsid w:val="002921C1"/>
    <w:rsid w:val="00292706"/>
    <w:rsid w:val="0029297C"/>
    <w:rsid w:val="00292A65"/>
    <w:rsid w:val="002938E6"/>
    <w:rsid w:val="00293A9B"/>
    <w:rsid w:val="0029424B"/>
    <w:rsid w:val="00294701"/>
    <w:rsid w:val="0029498D"/>
    <w:rsid w:val="00294B74"/>
    <w:rsid w:val="0029571D"/>
    <w:rsid w:val="00295E71"/>
    <w:rsid w:val="0029633A"/>
    <w:rsid w:val="0029639A"/>
    <w:rsid w:val="00296646"/>
    <w:rsid w:val="00296A05"/>
    <w:rsid w:val="00296C2A"/>
    <w:rsid w:val="002970BB"/>
    <w:rsid w:val="00297E94"/>
    <w:rsid w:val="002A02F6"/>
    <w:rsid w:val="002A0870"/>
    <w:rsid w:val="002A0A31"/>
    <w:rsid w:val="002A1119"/>
    <w:rsid w:val="002A1655"/>
    <w:rsid w:val="002A18F1"/>
    <w:rsid w:val="002A2045"/>
    <w:rsid w:val="002A2475"/>
    <w:rsid w:val="002A2AF6"/>
    <w:rsid w:val="002A309F"/>
    <w:rsid w:val="002A33DF"/>
    <w:rsid w:val="002A357F"/>
    <w:rsid w:val="002A56A5"/>
    <w:rsid w:val="002A5EFB"/>
    <w:rsid w:val="002A63CB"/>
    <w:rsid w:val="002A6540"/>
    <w:rsid w:val="002A6F6A"/>
    <w:rsid w:val="002A6FF3"/>
    <w:rsid w:val="002A70D3"/>
    <w:rsid w:val="002A77A1"/>
    <w:rsid w:val="002A787B"/>
    <w:rsid w:val="002A799D"/>
    <w:rsid w:val="002B00F2"/>
    <w:rsid w:val="002B0745"/>
    <w:rsid w:val="002B0E23"/>
    <w:rsid w:val="002B0FAC"/>
    <w:rsid w:val="002B114B"/>
    <w:rsid w:val="002B1619"/>
    <w:rsid w:val="002B1BE9"/>
    <w:rsid w:val="002B2384"/>
    <w:rsid w:val="002B28CF"/>
    <w:rsid w:val="002B2FF8"/>
    <w:rsid w:val="002B32B2"/>
    <w:rsid w:val="002B3481"/>
    <w:rsid w:val="002B34CD"/>
    <w:rsid w:val="002B4222"/>
    <w:rsid w:val="002B4240"/>
    <w:rsid w:val="002B4435"/>
    <w:rsid w:val="002B4A91"/>
    <w:rsid w:val="002B5369"/>
    <w:rsid w:val="002B5A96"/>
    <w:rsid w:val="002B5CFD"/>
    <w:rsid w:val="002B6ACC"/>
    <w:rsid w:val="002B725B"/>
    <w:rsid w:val="002B7433"/>
    <w:rsid w:val="002C008D"/>
    <w:rsid w:val="002C0959"/>
    <w:rsid w:val="002C0F3B"/>
    <w:rsid w:val="002C1603"/>
    <w:rsid w:val="002C17AE"/>
    <w:rsid w:val="002C1A58"/>
    <w:rsid w:val="002C1D55"/>
    <w:rsid w:val="002C2149"/>
    <w:rsid w:val="002C2B33"/>
    <w:rsid w:val="002C2E4B"/>
    <w:rsid w:val="002C2FFF"/>
    <w:rsid w:val="002C3886"/>
    <w:rsid w:val="002C4179"/>
    <w:rsid w:val="002C4A6C"/>
    <w:rsid w:val="002C4FA8"/>
    <w:rsid w:val="002C507D"/>
    <w:rsid w:val="002C570F"/>
    <w:rsid w:val="002C5C52"/>
    <w:rsid w:val="002C5CB3"/>
    <w:rsid w:val="002C64D1"/>
    <w:rsid w:val="002C673C"/>
    <w:rsid w:val="002C7184"/>
    <w:rsid w:val="002C7187"/>
    <w:rsid w:val="002C7F53"/>
    <w:rsid w:val="002C7FBB"/>
    <w:rsid w:val="002D05FE"/>
    <w:rsid w:val="002D1A49"/>
    <w:rsid w:val="002D1D3A"/>
    <w:rsid w:val="002D1E37"/>
    <w:rsid w:val="002D269D"/>
    <w:rsid w:val="002D362A"/>
    <w:rsid w:val="002D3664"/>
    <w:rsid w:val="002D3949"/>
    <w:rsid w:val="002D3FF9"/>
    <w:rsid w:val="002D43F0"/>
    <w:rsid w:val="002D46A3"/>
    <w:rsid w:val="002D506F"/>
    <w:rsid w:val="002D52D2"/>
    <w:rsid w:val="002D545A"/>
    <w:rsid w:val="002D5FCA"/>
    <w:rsid w:val="002D626C"/>
    <w:rsid w:val="002D6524"/>
    <w:rsid w:val="002D65D4"/>
    <w:rsid w:val="002D687A"/>
    <w:rsid w:val="002D68CD"/>
    <w:rsid w:val="002D6AAA"/>
    <w:rsid w:val="002D74F6"/>
    <w:rsid w:val="002D78CB"/>
    <w:rsid w:val="002D78D5"/>
    <w:rsid w:val="002D7A23"/>
    <w:rsid w:val="002D7B8C"/>
    <w:rsid w:val="002E0031"/>
    <w:rsid w:val="002E0560"/>
    <w:rsid w:val="002E07E5"/>
    <w:rsid w:val="002E1315"/>
    <w:rsid w:val="002E2808"/>
    <w:rsid w:val="002E2852"/>
    <w:rsid w:val="002E47CD"/>
    <w:rsid w:val="002E4FD3"/>
    <w:rsid w:val="002E53B2"/>
    <w:rsid w:val="002E54BB"/>
    <w:rsid w:val="002E5922"/>
    <w:rsid w:val="002E5926"/>
    <w:rsid w:val="002E6E91"/>
    <w:rsid w:val="002E7460"/>
    <w:rsid w:val="002E7A3A"/>
    <w:rsid w:val="002F09D8"/>
    <w:rsid w:val="002F0AFA"/>
    <w:rsid w:val="002F0BA3"/>
    <w:rsid w:val="002F2105"/>
    <w:rsid w:val="002F26E8"/>
    <w:rsid w:val="002F2F54"/>
    <w:rsid w:val="002F332A"/>
    <w:rsid w:val="002F3B97"/>
    <w:rsid w:val="002F40C0"/>
    <w:rsid w:val="002F4A6F"/>
    <w:rsid w:val="002F4C8F"/>
    <w:rsid w:val="002F4DEB"/>
    <w:rsid w:val="002F52CC"/>
    <w:rsid w:val="002F531A"/>
    <w:rsid w:val="002F53E4"/>
    <w:rsid w:val="002F5914"/>
    <w:rsid w:val="002F59CB"/>
    <w:rsid w:val="002F5CFD"/>
    <w:rsid w:val="002F6915"/>
    <w:rsid w:val="002F7086"/>
    <w:rsid w:val="002F7ED9"/>
    <w:rsid w:val="0030035E"/>
    <w:rsid w:val="003008D7"/>
    <w:rsid w:val="00300A7F"/>
    <w:rsid w:val="00300EA6"/>
    <w:rsid w:val="003016D2"/>
    <w:rsid w:val="00301B15"/>
    <w:rsid w:val="00301DC6"/>
    <w:rsid w:val="003026E6"/>
    <w:rsid w:val="0030398F"/>
    <w:rsid w:val="00303BA4"/>
    <w:rsid w:val="00303C88"/>
    <w:rsid w:val="00304443"/>
    <w:rsid w:val="003047B1"/>
    <w:rsid w:val="00304E7B"/>
    <w:rsid w:val="00305DC7"/>
    <w:rsid w:val="00306056"/>
    <w:rsid w:val="00306098"/>
    <w:rsid w:val="0030626B"/>
    <w:rsid w:val="003064EF"/>
    <w:rsid w:val="003069E9"/>
    <w:rsid w:val="00306DB5"/>
    <w:rsid w:val="00306FD8"/>
    <w:rsid w:val="00307146"/>
    <w:rsid w:val="003072CD"/>
    <w:rsid w:val="00307493"/>
    <w:rsid w:val="00307F1B"/>
    <w:rsid w:val="00307F5D"/>
    <w:rsid w:val="003106A6"/>
    <w:rsid w:val="003108E0"/>
    <w:rsid w:val="00310D38"/>
    <w:rsid w:val="00310EC1"/>
    <w:rsid w:val="00311425"/>
    <w:rsid w:val="003120EE"/>
    <w:rsid w:val="00312B02"/>
    <w:rsid w:val="00313856"/>
    <w:rsid w:val="0031391A"/>
    <w:rsid w:val="003139F1"/>
    <w:rsid w:val="00313EF3"/>
    <w:rsid w:val="00315277"/>
    <w:rsid w:val="00315CC8"/>
    <w:rsid w:val="00315E52"/>
    <w:rsid w:val="003160E9"/>
    <w:rsid w:val="00316746"/>
    <w:rsid w:val="00316D2B"/>
    <w:rsid w:val="003170D6"/>
    <w:rsid w:val="0031782F"/>
    <w:rsid w:val="003179D6"/>
    <w:rsid w:val="00317C59"/>
    <w:rsid w:val="00320070"/>
    <w:rsid w:val="00320936"/>
    <w:rsid w:val="00320CD4"/>
    <w:rsid w:val="00321159"/>
    <w:rsid w:val="0032159B"/>
    <w:rsid w:val="00321B11"/>
    <w:rsid w:val="00322176"/>
    <w:rsid w:val="003225E4"/>
    <w:rsid w:val="00322AD1"/>
    <w:rsid w:val="00322B17"/>
    <w:rsid w:val="003238CA"/>
    <w:rsid w:val="00324785"/>
    <w:rsid w:val="0032610C"/>
    <w:rsid w:val="00326302"/>
    <w:rsid w:val="003264EB"/>
    <w:rsid w:val="00327651"/>
    <w:rsid w:val="0032777D"/>
    <w:rsid w:val="00327A8B"/>
    <w:rsid w:val="00330EC0"/>
    <w:rsid w:val="00330FCD"/>
    <w:rsid w:val="00330FE3"/>
    <w:rsid w:val="003314F7"/>
    <w:rsid w:val="003323D1"/>
    <w:rsid w:val="00334049"/>
    <w:rsid w:val="0033415D"/>
    <w:rsid w:val="00334E3C"/>
    <w:rsid w:val="00334E7D"/>
    <w:rsid w:val="0033529B"/>
    <w:rsid w:val="00335551"/>
    <w:rsid w:val="00335D38"/>
    <w:rsid w:val="0033633E"/>
    <w:rsid w:val="00336665"/>
    <w:rsid w:val="003368AC"/>
    <w:rsid w:val="00336CBE"/>
    <w:rsid w:val="003372D9"/>
    <w:rsid w:val="003376A7"/>
    <w:rsid w:val="00337A7D"/>
    <w:rsid w:val="0034009F"/>
    <w:rsid w:val="00340112"/>
    <w:rsid w:val="0034060A"/>
    <w:rsid w:val="0034062E"/>
    <w:rsid w:val="00340D09"/>
    <w:rsid w:val="00340D72"/>
    <w:rsid w:val="0034146E"/>
    <w:rsid w:val="003416EE"/>
    <w:rsid w:val="00341821"/>
    <w:rsid w:val="00341A4C"/>
    <w:rsid w:val="003422D8"/>
    <w:rsid w:val="00342407"/>
    <w:rsid w:val="00342A95"/>
    <w:rsid w:val="00343853"/>
    <w:rsid w:val="0034385F"/>
    <w:rsid w:val="003438AD"/>
    <w:rsid w:val="0034498A"/>
    <w:rsid w:val="00344D05"/>
    <w:rsid w:val="00345877"/>
    <w:rsid w:val="00346989"/>
    <w:rsid w:val="003469F4"/>
    <w:rsid w:val="0034756E"/>
    <w:rsid w:val="003476A5"/>
    <w:rsid w:val="00350010"/>
    <w:rsid w:val="0035003A"/>
    <w:rsid w:val="00350346"/>
    <w:rsid w:val="0035041B"/>
    <w:rsid w:val="00350490"/>
    <w:rsid w:val="003508D5"/>
    <w:rsid w:val="00350EA4"/>
    <w:rsid w:val="00351054"/>
    <w:rsid w:val="003513C6"/>
    <w:rsid w:val="0035181F"/>
    <w:rsid w:val="0035287B"/>
    <w:rsid w:val="00352C74"/>
    <w:rsid w:val="00353161"/>
    <w:rsid w:val="00353176"/>
    <w:rsid w:val="003536D7"/>
    <w:rsid w:val="00353814"/>
    <w:rsid w:val="0035543B"/>
    <w:rsid w:val="003556D0"/>
    <w:rsid w:val="00355980"/>
    <w:rsid w:val="00356367"/>
    <w:rsid w:val="00356591"/>
    <w:rsid w:val="00356686"/>
    <w:rsid w:val="00356B92"/>
    <w:rsid w:val="003572F8"/>
    <w:rsid w:val="0035779E"/>
    <w:rsid w:val="00357FC4"/>
    <w:rsid w:val="00360421"/>
    <w:rsid w:val="00360518"/>
    <w:rsid w:val="00360F40"/>
    <w:rsid w:val="00361501"/>
    <w:rsid w:val="0036160F"/>
    <w:rsid w:val="0036213F"/>
    <w:rsid w:val="0036249F"/>
    <w:rsid w:val="003628E8"/>
    <w:rsid w:val="0036448D"/>
    <w:rsid w:val="003647FF"/>
    <w:rsid w:val="003648F3"/>
    <w:rsid w:val="00365F6C"/>
    <w:rsid w:val="003663F7"/>
    <w:rsid w:val="0036667E"/>
    <w:rsid w:val="00366AA2"/>
    <w:rsid w:val="00367216"/>
    <w:rsid w:val="0036756A"/>
    <w:rsid w:val="003679EB"/>
    <w:rsid w:val="00367F7F"/>
    <w:rsid w:val="0037009E"/>
    <w:rsid w:val="0037050E"/>
    <w:rsid w:val="00370797"/>
    <w:rsid w:val="003709E6"/>
    <w:rsid w:val="00370DEA"/>
    <w:rsid w:val="00370FF4"/>
    <w:rsid w:val="003711C9"/>
    <w:rsid w:val="00371CC1"/>
    <w:rsid w:val="00372754"/>
    <w:rsid w:val="00372893"/>
    <w:rsid w:val="00372A08"/>
    <w:rsid w:val="00372A4F"/>
    <w:rsid w:val="00372F9C"/>
    <w:rsid w:val="0037312E"/>
    <w:rsid w:val="00374004"/>
    <w:rsid w:val="003748B2"/>
    <w:rsid w:val="00374A5F"/>
    <w:rsid w:val="00374C8B"/>
    <w:rsid w:val="00375373"/>
    <w:rsid w:val="003753CF"/>
    <w:rsid w:val="0037576A"/>
    <w:rsid w:val="00375D3B"/>
    <w:rsid w:val="00375E41"/>
    <w:rsid w:val="00375EDF"/>
    <w:rsid w:val="00376459"/>
    <w:rsid w:val="00376619"/>
    <w:rsid w:val="00376A39"/>
    <w:rsid w:val="00377410"/>
    <w:rsid w:val="003776BF"/>
    <w:rsid w:val="003778D7"/>
    <w:rsid w:val="00377AFB"/>
    <w:rsid w:val="003805FD"/>
    <w:rsid w:val="00380CB7"/>
    <w:rsid w:val="00380EBB"/>
    <w:rsid w:val="00380F00"/>
    <w:rsid w:val="00380FC5"/>
    <w:rsid w:val="0038269D"/>
    <w:rsid w:val="00382E8F"/>
    <w:rsid w:val="003831C0"/>
    <w:rsid w:val="0038374C"/>
    <w:rsid w:val="003842C7"/>
    <w:rsid w:val="00384472"/>
    <w:rsid w:val="0038508D"/>
    <w:rsid w:val="00385473"/>
    <w:rsid w:val="00385CE2"/>
    <w:rsid w:val="00385DDB"/>
    <w:rsid w:val="00386857"/>
    <w:rsid w:val="00386ADC"/>
    <w:rsid w:val="00386CA3"/>
    <w:rsid w:val="00386EEE"/>
    <w:rsid w:val="003871E0"/>
    <w:rsid w:val="00387218"/>
    <w:rsid w:val="0038736F"/>
    <w:rsid w:val="00387476"/>
    <w:rsid w:val="00387721"/>
    <w:rsid w:val="00387C3F"/>
    <w:rsid w:val="00387F83"/>
    <w:rsid w:val="00390D1D"/>
    <w:rsid w:val="003913E2"/>
    <w:rsid w:val="00391A3A"/>
    <w:rsid w:val="00392FA1"/>
    <w:rsid w:val="003932F7"/>
    <w:rsid w:val="00393641"/>
    <w:rsid w:val="0039381C"/>
    <w:rsid w:val="00393A79"/>
    <w:rsid w:val="00393D96"/>
    <w:rsid w:val="003943D0"/>
    <w:rsid w:val="003946C4"/>
    <w:rsid w:val="00394C36"/>
    <w:rsid w:val="00394D91"/>
    <w:rsid w:val="00394DEE"/>
    <w:rsid w:val="00394FF2"/>
    <w:rsid w:val="00395035"/>
    <w:rsid w:val="00395360"/>
    <w:rsid w:val="003954DF"/>
    <w:rsid w:val="003957F2"/>
    <w:rsid w:val="00396493"/>
    <w:rsid w:val="00396B69"/>
    <w:rsid w:val="00397091"/>
    <w:rsid w:val="00397389"/>
    <w:rsid w:val="003976D0"/>
    <w:rsid w:val="00397C5C"/>
    <w:rsid w:val="00397CB2"/>
    <w:rsid w:val="00397F79"/>
    <w:rsid w:val="003A0CA4"/>
    <w:rsid w:val="003A0D6A"/>
    <w:rsid w:val="003A112E"/>
    <w:rsid w:val="003A1D62"/>
    <w:rsid w:val="003A292B"/>
    <w:rsid w:val="003A2EEA"/>
    <w:rsid w:val="003A2FFB"/>
    <w:rsid w:val="003A3521"/>
    <w:rsid w:val="003A389F"/>
    <w:rsid w:val="003A3906"/>
    <w:rsid w:val="003A3981"/>
    <w:rsid w:val="003A3D64"/>
    <w:rsid w:val="003A4076"/>
    <w:rsid w:val="003A449D"/>
    <w:rsid w:val="003A49DF"/>
    <w:rsid w:val="003A513B"/>
    <w:rsid w:val="003A554C"/>
    <w:rsid w:val="003A5558"/>
    <w:rsid w:val="003A5B15"/>
    <w:rsid w:val="003A5C31"/>
    <w:rsid w:val="003A6228"/>
    <w:rsid w:val="003A7013"/>
    <w:rsid w:val="003A711A"/>
    <w:rsid w:val="003A7227"/>
    <w:rsid w:val="003A760B"/>
    <w:rsid w:val="003A79A8"/>
    <w:rsid w:val="003B00FB"/>
    <w:rsid w:val="003B02E6"/>
    <w:rsid w:val="003B0B17"/>
    <w:rsid w:val="003B1C0B"/>
    <w:rsid w:val="003B2DA9"/>
    <w:rsid w:val="003B2DB0"/>
    <w:rsid w:val="003B2DDC"/>
    <w:rsid w:val="003B32AF"/>
    <w:rsid w:val="003B346F"/>
    <w:rsid w:val="003B3713"/>
    <w:rsid w:val="003B3A43"/>
    <w:rsid w:val="003B3A99"/>
    <w:rsid w:val="003B3B8B"/>
    <w:rsid w:val="003B4EC8"/>
    <w:rsid w:val="003B578F"/>
    <w:rsid w:val="003B5A52"/>
    <w:rsid w:val="003B5EB3"/>
    <w:rsid w:val="003B5F76"/>
    <w:rsid w:val="003B5FD4"/>
    <w:rsid w:val="003B6614"/>
    <w:rsid w:val="003B696D"/>
    <w:rsid w:val="003B71F9"/>
    <w:rsid w:val="003C029F"/>
    <w:rsid w:val="003C06C3"/>
    <w:rsid w:val="003C0D2E"/>
    <w:rsid w:val="003C1A9B"/>
    <w:rsid w:val="003C1C9A"/>
    <w:rsid w:val="003C1FD6"/>
    <w:rsid w:val="003C2569"/>
    <w:rsid w:val="003C28E0"/>
    <w:rsid w:val="003C30C9"/>
    <w:rsid w:val="003C3369"/>
    <w:rsid w:val="003C3681"/>
    <w:rsid w:val="003C37C8"/>
    <w:rsid w:val="003C3FE0"/>
    <w:rsid w:val="003C414E"/>
    <w:rsid w:val="003C4289"/>
    <w:rsid w:val="003C44B6"/>
    <w:rsid w:val="003C48BA"/>
    <w:rsid w:val="003C4DAC"/>
    <w:rsid w:val="003C5077"/>
    <w:rsid w:val="003C5324"/>
    <w:rsid w:val="003C58B0"/>
    <w:rsid w:val="003C5BF4"/>
    <w:rsid w:val="003C5D06"/>
    <w:rsid w:val="003C607B"/>
    <w:rsid w:val="003C6459"/>
    <w:rsid w:val="003C75AD"/>
    <w:rsid w:val="003C763C"/>
    <w:rsid w:val="003C7AC4"/>
    <w:rsid w:val="003C7B0E"/>
    <w:rsid w:val="003C7D9D"/>
    <w:rsid w:val="003D0745"/>
    <w:rsid w:val="003D1333"/>
    <w:rsid w:val="003D14D4"/>
    <w:rsid w:val="003D17C0"/>
    <w:rsid w:val="003D191E"/>
    <w:rsid w:val="003D1923"/>
    <w:rsid w:val="003D20F5"/>
    <w:rsid w:val="003D225A"/>
    <w:rsid w:val="003D265B"/>
    <w:rsid w:val="003D2714"/>
    <w:rsid w:val="003D2B10"/>
    <w:rsid w:val="003D37BC"/>
    <w:rsid w:val="003D4267"/>
    <w:rsid w:val="003D4995"/>
    <w:rsid w:val="003D4EAE"/>
    <w:rsid w:val="003D5503"/>
    <w:rsid w:val="003D6733"/>
    <w:rsid w:val="003D6CC6"/>
    <w:rsid w:val="003D7680"/>
    <w:rsid w:val="003E03A2"/>
    <w:rsid w:val="003E0CAB"/>
    <w:rsid w:val="003E0D15"/>
    <w:rsid w:val="003E16F7"/>
    <w:rsid w:val="003E2B5A"/>
    <w:rsid w:val="003E2C0F"/>
    <w:rsid w:val="003E3652"/>
    <w:rsid w:val="003E3914"/>
    <w:rsid w:val="003E4ECC"/>
    <w:rsid w:val="003E5144"/>
    <w:rsid w:val="003E5615"/>
    <w:rsid w:val="003E58C4"/>
    <w:rsid w:val="003E6C7E"/>
    <w:rsid w:val="003E7581"/>
    <w:rsid w:val="003E76FA"/>
    <w:rsid w:val="003E78CD"/>
    <w:rsid w:val="003F03B0"/>
    <w:rsid w:val="003F0486"/>
    <w:rsid w:val="003F061B"/>
    <w:rsid w:val="003F134D"/>
    <w:rsid w:val="003F1644"/>
    <w:rsid w:val="003F1F4F"/>
    <w:rsid w:val="003F1F6C"/>
    <w:rsid w:val="003F2B70"/>
    <w:rsid w:val="003F3698"/>
    <w:rsid w:val="003F3EAB"/>
    <w:rsid w:val="003F568F"/>
    <w:rsid w:val="003F58F9"/>
    <w:rsid w:val="003F5CFE"/>
    <w:rsid w:val="003F5E94"/>
    <w:rsid w:val="003F5F66"/>
    <w:rsid w:val="003F5F80"/>
    <w:rsid w:val="003F6048"/>
    <w:rsid w:val="003F71F4"/>
    <w:rsid w:val="003F787A"/>
    <w:rsid w:val="0040031C"/>
    <w:rsid w:val="004005F9"/>
    <w:rsid w:val="004008A3"/>
    <w:rsid w:val="00400BB4"/>
    <w:rsid w:val="004014A7"/>
    <w:rsid w:val="00401D2A"/>
    <w:rsid w:val="004020B2"/>
    <w:rsid w:val="0040218D"/>
    <w:rsid w:val="00402252"/>
    <w:rsid w:val="0040253F"/>
    <w:rsid w:val="0040292F"/>
    <w:rsid w:val="00403567"/>
    <w:rsid w:val="0040381C"/>
    <w:rsid w:val="00403B9C"/>
    <w:rsid w:val="004049C8"/>
    <w:rsid w:val="00404B11"/>
    <w:rsid w:val="00405860"/>
    <w:rsid w:val="00405D32"/>
    <w:rsid w:val="004073AA"/>
    <w:rsid w:val="00407F91"/>
    <w:rsid w:val="00410080"/>
    <w:rsid w:val="0041107F"/>
    <w:rsid w:val="004117C1"/>
    <w:rsid w:val="00411BC6"/>
    <w:rsid w:val="004120C6"/>
    <w:rsid w:val="00412615"/>
    <w:rsid w:val="00412686"/>
    <w:rsid w:val="00412972"/>
    <w:rsid w:val="00413760"/>
    <w:rsid w:val="004137E2"/>
    <w:rsid w:val="00413924"/>
    <w:rsid w:val="004139D5"/>
    <w:rsid w:val="00413A29"/>
    <w:rsid w:val="00413AA4"/>
    <w:rsid w:val="00413FCF"/>
    <w:rsid w:val="00414642"/>
    <w:rsid w:val="0041469B"/>
    <w:rsid w:val="00414700"/>
    <w:rsid w:val="00414CB3"/>
    <w:rsid w:val="00415A7F"/>
    <w:rsid w:val="00415AF2"/>
    <w:rsid w:val="00415C0F"/>
    <w:rsid w:val="00415D05"/>
    <w:rsid w:val="004164AD"/>
    <w:rsid w:val="00416857"/>
    <w:rsid w:val="0041766E"/>
    <w:rsid w:val="004179B4"/>
    <w:rsid w:val="00421BB1"/>
    <w:rsid w:val="00421C38"/>
    <w:rsid w:val="00422354"/>
    <w:rsid w:val="00422BBD"/>
    <w:rsid w:val="004230E5"/>
    <w:rsid w:val="0042363F"/>
    <w:rsid w:val="00423871"/>
    <w:rsid w:val="004238F7"/>
    <w:rsid w:val="00423D8D"/>
    <w:rsid w:val="0042405E"/>
    <w:rsid w:val="004247A7"/>
    <w:rsid w:val="004248A1"/>
    <w:rsid w:val="00424F1C"/>
    <w:rsid w:val="00424FBB"/>
    <w:rsid w:val="00424FDD"/>
    <w:rsid w:val="0042513B"/>
    <w:rsid w:val="00425437"/>
    <w:rsid w:val="00425492"/>
    <w:rsid w:val="00426744"/>
    <w:rsid w:val="00426897"/>
    <w:rsid w:val="00426F58"/>
    <w:rsid w:val="004276CF"/>
    <w:rsid w:val="00427939"/>
    <w:rsid w:val="00427DBD"/>
    <w:rsid w:val="00427E24"/>
    <w:rsid w:val="00427FF4"/>
    <w:rsid w:val="004309D4"/>
    <w:rsid w:val="00430EBA"/>
    <w:rsid w:val="00430F23"/>
    <w:rsid w:val="00432274"/>
    <w:rsid w:val="0043363E"/>
    <w:rsid w:val="004337BD"/>
    <w:rsid w:val="0043406C"/>
    <w:rsid w:val="004340D8"/>
    <w:rsid w:val="00434186"/>
    <w:rsid w:val="0043423A"/>
    <w:rsid w:val="004342BE"/>
    <w:rsid w:val="004344D7"/>
    <w:rsid w:val="00434C25"/>
    <w:rsid w:val="00434FEA"/>
    <w:rsid w:val="0043520D"/>
    <w:rsid w:val="00435627"/>
    <w:rsid w:val="00435CF6"/>
    <w:rsid w:val="004366B6"/>
    <w:rsid w:val="0043679A"/>
    <w:rsid w:val="00436BED"/>
    <w:rsid w:val="00437058"/>
    <w:rsid w:val="00437481"/>
    <w:rsid w:val="004374EA"/>
    <w:rsid w:val="004375F1"/>
    <w:rsid w:val="00437D93"/>
    <w:rsid w:val="00437FF4"/>
    <w:rsid w:val="004400BB"/>
    <w:rsid w:val="00440432"/>
    <w:rsid w:val="0044057C"/>
    <w:rsid w:val="004405E3"/>
    <w:rsid w:val="00440661"/>
    <w:rsid w:val="00440748"/>
    <w:rsid w:val="00440AC3"/>
    <w:rsid w:val="00440C54"/>
    <w:rsid w:val="00440DAA"/>
    <w:rsid w:val="00441C17"/>
    <w:rsid w:val="00441C20"/>
    <w:rsid w:val="00441C25"/>
    <w:rsid w:val="00442097"/>
    <w:rsid w:val="00442C67"/>
    <w:rsid w:val="0044330A"/>
    <w:rsid w:val="00443901"/>
    <w:rsid w:val="00443C8E"/>
    <w:rsid w:val="00443E74"/>
    <w:rsid w:val="00443EB4"/>
    <w:rsid w:val="0044411E"/>
    <w:rsid w:val="004449B8"/>
    <w:rsid w:val="004449D9"/>
    <w:rsid w:val="00445209"/>
    <w:rsid w:val="00445497"/>
    <w:rsid w:val="00445536"/>
    <w:rsid w:val="004457A4"/>
    <w:rsid w:val="00445AC8"/>
    <w:rsid w:val="00446927"/>
    <w:rsid w:val="00446D89"/>
    <w:rsid w:val="00447182"/>
    <w:rsid w:val="0044776A"/>
    <w:rsid w:val="00450010"/>
    <w:rsid w:val="00450032"/>
    <w:rsid w:val="00450152"/>
    <w:rsid w:val="004509DE"/>
    <w:rsid w:val="004509FF"/>
    <w:rsid w:val="00450AA9"/>
    <w:rsid w:val="00450BE1"/>
    <w:rsid w:val="004512E1"/>
    <w:rsid w:val="00451548"/>
    <w:rsid w:val="004517C7"/>
    <w:rsid w:val="00451800"/>
    <w:rsid w:val="00451EF9"/>
    <w:rsid w:val="00451F1D"/>
    <w:rsid w:val="004521F5"/>
    <w:rsid w:val="004527D0"/>
    <w:rsid w:val="00453395"/>
    <w:rsid w:val="004535EB"/>
    <w:rsid w:val="00453F24"/>
    <w:rsid w:val="00454E32"/>
    <w:rsid w:val="00454F09"/>
    <w:rsid w:val="00455230"/>
    <w:rsid w:val="00455921"/>
    <w:rsid w:val="00455CF7"/>
    <w:rsid w:val="00455E37"/>
    <w:rsid w:val="00457260"/>
    <w:rsid w:val="00457475"/>
    <w:rsid w:val="00457502"/>
    <w:rsid w:val="0045777A"/>
    <w:rsid w:val="0046001C"/>
    <w:rsid w:val="0046061F"/>
    <w:rsid w:val="00460667"/>
    <w:rsid w:val="004609AF"/>
    <w:rsid w:val="00460A62"/>
    <w:rsid w:val="00460EA2"/>
    <w:rsid w:val="00461664"/>
    <w:rsid w:val="00461859"/>
    <w:rsid w:val="00461BB3"/>
    <w:rsid w:val="00462793"/>
    <w:rsid w:val="00462DB9"/>
    <w:rsid w:val="00463684"/>
    <w:rsid w:val="00463817"/>
    <w:rsid w:val="00463905"/>
    <w:rsid w:val="004639D7"/>
    <w:rsid w:val="0046467C"/>
    <w:rsid w:val="004646CC"/>
    <w:rsid w:val="00464DE8"/>
    <w:rsid w:val="00464E2C"/>
    <w:rsid w:val="004650B9"/>
    <w:rsid w:val="0046513D"/>
    <w:rsid w:val="00465B4A"/>
    <w:rsid w:val="004668DE"/>
    <w:rsid w:val="004669DA"/>
    <w:rsid w:val="00466AEA"/>
    <w:rsid w:val="00466DA0"/>
    <w:rsid w:val="00467237"/>
    <w:rsid w:val="0046723D"/>
    <w:rsid w:val="00467FEF"/>
    <w:rsid w:val="00470433"/>
    <w:rsid w:val="004704ED"/>
    <w:rsid w:val="00470C08"/>
    <w:rsid w:val="00471600"/>
    <w:rsid w:val="004719C9"/>
    <w:rsid w:val="00471CF9"/>
    <w:rsid w:val="004722E8"/>
    <w:rsid w:val="00472D7C"/>
    <w:rsid w:val="004730B1"/>
    <w:rsid w:val="004736A1"/>
    <w:rsid w:val="004747DA"/>
    <w:rsid w:val="00474D73"/>
    <w:rsid w:val="004750BC"/>
    <w:rsid w:val="004753F5"/>
    <w:rsid w:val="00475861"/>
    <w:rsid w:val="00475E8D"/>
    <w:rsid w:val="00475EED"/>
    <w:rsid w:val="004766B2"/>
    <w:rsid w:val="00477027"/>
    <w:rsid w:val="00477527"/>
    <w:rsid w:val="004802DA"/>
    <w:rsid w:val="0048108A"/>
    <w:rsid w:val="0048123B"/>
    <w:rsid w:val="0048196C"/>
    <w:rsid w:val="00482683"/>
    <w:rsid w:val="00482A8C"/>
    <w:rsid w:val="00482B69"/>
    <w:rsid w:val="00483130"/>
    <w:rsid w:val="0048383D"/>
    <w:rsid w:val="0048395C"/>
    <w:rsid w:val="0048429F"/>
    <w:rsid w:val="00485390"/>
    <w:rsid w:val="00485A18"/>
    <w:rsid w:val="00485C47"/>
    <w:rsid w:val="00485F43"/>
    <w:rsid w:val="00486A93"/>
    <w:rsid w:val="00486C80"/>
    <w:rsid w:val="00487759"/>
    <w:rsid w:val="004878A7"/>
    <w:rsid w:val="00487AFF"/>
    <w:rsid w:val="00487F5F"/>
    <w:rsid w:val="00490380"/>
    <w:rsid w:val="00490507"/>
    <w:rsid w:val="004910FB"/>
    <w:rsid w:val="00492B88"/>
    <w:rsid w:val="00492F7C"/>
    <w:rsid w:val="00492FF1"/>
    <w:rsid w:val="004933E8"/>
    <w:rsid w:val="004934F7"/>
    <w:rsid w:val="00493D45"/>
    <w:rsid w:val="004942C0"/>
    <w:rsid w:val="0049436D"/>
    <w:rsid w:val="00494513"/>
    <w:rsid w:val="00494FC6"/>
    <w:rsid w:val="0049575E"/>
    <w:rsid w:val="004958BE"/>
    <w:rsid w:val="00495E6B"/>
    <w:rsid w:val="00495EB7"/>
    <w:rsid w:val="004962FE"/>
    <w:rsid w:val="004963B2"/>
    <w:rsid w:val="004963EF"/>
    <w:rsid w:val="004967E6"/>
    <w:rsid w:val="004977B3"/>
    <w:rsid w:val="004A0073"/>
    <w:rsid w:val="004A077F"/>
    <w:rsid w:val="004A12F9"/>
    <w:rsid w:val="004A277E"/>
    <w:rsid w:val="004A2F2C"/>
    <w:rsid w:val="004A4292"/>
    <w:rsid w:val="004A42AE"/>
    <w:rsid w:val="004A54EB"/>
    <w:rsid w:val="004A5722"/>
    <w:rsid w:val="004A5A99"/>
    <w:rsid w:val="004A5BE5"/>
    <w:rsid w:val="004A6222"/>
    <w:rsid w:val="004A6F43"/>
    <w:rsid w:val="004A722C"/>
    <w:rsid w:val="004A797B"/>
    <w:rsid w:val="004B01D8"/>
    <w:rsid w:val="004B0365"/>
    <w:rsid w:val="004B0DF5"/>
    <w:rsid w:val="004B153D"/>
    <w:rsid w:val="004B1588"/>
    <w:rsid w:val="004B22A7"/>
    <w:rsid w:val="004B2673"/>
    <w:rsid w:val="004B2EDB"/>
    <w:rsid w:val="004B33B2"/>
    <w:rsid w:val="004B347C"/>
    <w:rsid w:val="004B3C11"/>
    <w:rsid w:val="004B42A7"/>
    <w:rsid w:val="004B4CB9"/>
    <w:rsid w:val="004B4DEE"/>
    <w:rsid w:val="004B538B"/>
    <w:rsid w:val="004B543E"/>
    <w:rsid w:val="004B595C"/>
    <w:rsid w:val="004B5D20"/>
    <w:rsid w:val="004B699D"/>
    <w:rsid w:val="004B6F3E"/>
    <w:rsid w:val="004B6F7D"/>
    <w:rsid w:val="004B7671"/>
    <w:rsid w:val="004B7686"/>
    <w:rsid w:val="004B79B6"/>
    <w:rsid w:val="004B7A13"/>
    <w:rsid w:val="004C0646"/>
    <w:rsid w:val="004C0D92"/>
    <w:rsid w:val="004C0E97"/>
    <w:rsid w:val="004C111F"/>
    <w:rsid w:val="004C120C"/>
    <w:rsid w:val="004C145D"/>
    <w:rsid w:val="004C1575"/>
    <w:rsid w:val="004C1C41"/>
    <w:rsid w:val="004C26AD"/>
    <w:rsid w:val="004C333A"/>
    <w:rsid w:val="004C3352"/>
    <w:rsid w:val="004C3B8E"/>
    <w:rsid w:val="004C43C9"/>
    <w:rsid w:val="004C4518"/>
    <w:rsid w:val="004C48B8"/>
    <w:rsid w:val="004C4BDF"/>
    <w:rsid w:val="004C4DF6"/>
    <w:rsid w:val="004C5C17"/>
    <w:rsid w:val="004C5E22"/>
    <w:rsid w:val="004C6341"/>
    <w:rsid w:val="004C6686"/>
    <w:rsid w:val="004C68DA"/>
    <w:rsid w:val="004C6E55"/>
    <w:rsid w:val="004C7D89"/>
    <w:rsid w:val="004C7DB8"/>
    <w:rsid w:val="004C7E7C"/>
    <w:rsid w:val="004D03B0"/>
    <w:rsid w:val="004D03E2"/>
    <w:rsid w:val="004D0CBD"/>
    <w:rsid w:val="004D0DBA"/>
    <w:rsid w:val="004D0DBF"/>
    <w:rsid w:val="004D0E5A"/>
    <w:rsid w:val="004D11B8"/>
    <w:rsid w:val="004D14F0"/>
    <w:rsid w:val="004D206E"/>
    <w:rsid w:val="004D2546"/>
    <w:rsid w:val="004D31E1"/>
    <w:rsid w:val="004D35ED"/>
    <w:rsid w:val="004D38E1"/>
    <w:rsid w:val="004D3919"/>
    <w:rsid w:val="004D3A86"/>
    <w:rsid w:val="004D3B21"/>
    <w:rsid w:val="004D3BBB"/>
    <w:rsid w:val="004D3F78"/>
    <w:rsid w:val="004D487E"/>
    <w:rsid w:val="004D4D84"/>
    <w:rsid w:val="004D5884"/>
    <w:rsid w:val="004D7118"/>
    <w:rsid w:val="004D7129"/>
    <w:rsid w:val="004D7286"/>
    <w:rsid w:val="004D73CA"/>
    <w:rsid w:val="004D7FEC"/>
    <w:rsid w:val="004E0B6F"/>
    <w:rsid w:val="004E0BCF"/>
    <w:rsid w:val="004E0DBE"/>
    <w:rsid w:val="004E1064"/>
    <w:rsid w:val="004E15CD"/>
    <w:rsid w:val="004E1B69"/>
    <w:rsid w:val="004E1D83"/>
    <w:rsid w:val="004E1EA8"/>
    <w:rsid w:val="004E2BF9"/>
    <w:rsid w:val="004E3479"/>
    <w:rsid w:val="004E43F7"/>
    <w:rsid w:val="004E4596"/>
    <w:rsid w:val="004E4A6A"/>
    <w:rsid w:val="004E4CA2"/>
    <w:rsid w:val="004E4E94"/>
    <w:rsid w:val="004E4FC1"/>
    <w:rsid w:val="004E58B3"/>
    <w:rsid w:val="004E5CAF"/>
    <w:rsid w:val="004E5D8E"/>
    <w:rsid w:val="004E62D8"/>
    <w:rsid w:val="004E69ED"/>
    <w:rsid w:val="004E6BA7"/>
    <w:rsid w:val="004E6D16"/>
    <w:rsid w:val="004E71DA"/>
    <w:rsid w:val="004E74E3"/>
    <w:rsid w:val="004E7AF2"/>
    <w:rsid w:val="004F0300"/>
    <w:rsid w:val="004F06D7"/>
    <w:rsid w:val="004F0FD7"/>
    <w:rsid w:val="004F113C"/>
    <w:rsid w:val="004F1339"/>
    <w:rsid w:val="004F1623"/>
    <w:rsid w:val="004F1D75"/>
    <w:rsid w:val="004F2434"/>
    <w:rsid w:val="004F291A"/>
    <w:rsid w:val="004F2C3C"/>
    <w:rsid w:val="004F2C88"/>
    <w:rsid w:val="004F2CAE"/>
    <w:rsid w:val="004F2D98"/>
    <w:rsid w:val="004F2EED"/>
    <w:rsid w:val="004F31A6"/>
    <w:rsid w:val="004F3382"/>
    <w:rsid w:val="004F33C0"/>
    <w:rsid w:val="004F3A05"/>
    <w:rsid w:val="004F3B12"/>
    <w:rsid w:val="004F3CDF"/>
    <w:rsid w:val="004F46A0"/>
    <w:rsid w:val="004F47CC"/>
    <w:rsid w:val="004F57C7"/>
    <w:rsid w:val="004F5AA8"/>
    <w:rsid w:val="004F5C7C"/>
    <w:rsid w:val="004F5FD9"/>
    <w:rsid w:val="004F6307"/>
    <w:rsid w:val="004F6DE2"/>
    <w:rsid w:val="00500004"/>
    <w:rsid w:val="005000DD"/>
    <w:rsid w:val="00500222"/>
    <w:rsid w:val="00500DCE"/>
    <w:rsid w:val="00500E62"/>
    <w:rsid w:val="0050103D"/>
    <w:rsid w:val="005015F3"/>
    <w:rsid w:val="00501B9F"/>
    <w:rsid w:val="00501E6B"/>
    <w:rsid w:val="00502132"/>
    <w:rsid w:val="005023CA"/>
    <w:rsid w:val="00503555"/>
    <w:rsid w:val="00503581"/>
    <w:rsid w:val="0050382F"/>
    <w:rsid w:val="005038A9"/>
    <w:rsid w:val="00504156"/>
    <w:rsid w:val="005053BA"/>
    <w:rsid w:val="00506870"/>
    <w:rsid w:val="00506CD8"/>
    <w:rsid w:val="005070FD"/>
    <w:rsid w:val="00507593"/>
    <w:rsid w:val="00507EAC"/>
    <w:rsid w:val="00510BDA"/>
    <w:rsid w:val="0051103B"/>
    <w:rsid w:val="0051105C"/>
    <w:rsid w:val="00511566"/>
    <w:rsid w:val="005115CD"/>
    <w:rsid w:val="005119B4"/>
    <w:rsid w:val="00511E9C"/>
    <w:rsid w:val="00512462"/>
    <w:rsid w:val="00512B47"/>
    <w:rsid w:val="0051317F"/>
    <w:rsid w:val="0051385C"/>
    <w:rsid w:val="005138C2"/>
    <w:rsid w:val="00514354"/>
    <w:rsid w:val="005143A5"/>
    <w:rsid w:val="0051471E"/>
    <w:rsid w:val="00514798"/>
    <w:rsid w:val="00514B40"/>
    <w:rsid w:val="00515108"/>
    <w:rsid w:val="0051535F"/>
    <w:rsid w:val="00516981"/>
    <w:rsid w:val="0051770F"/>
    <w:rsid w:val="00517F9A"/>
    <w:rsid w:val="00520039"/>
    <w:rsid w:val="00520248"/>
    <w:rsid w:val="0052078D"/>
    <w:rsid w:val="00520ABD"/>
    <w:rsid w:val="00520ED2"/>
    <w:rsid w:val="005211BE"/>
    <w:rsid w:val="005222FB"/>
    <w:rsid w:val="00522B06"/>
    <w:rsid w:val="005242C6"/>
    <w:rsid w:val="00524579"/>
    <w:rsid w:val="005245E6"/>
    <w:rsid w:val="00524A96"/>
    <w:rsid w:val="00524E3A"/>
    <w:rsid w:val="0052509E"/>
    <w:rsid w:val="00526487"/>
    <w:rsid w:val="005265D4"/>
    <w:rsid w:val="00526754"/>
    <w:rsid w:val="005267E7"/>
    <w:rsid w:val="00526A99"/>
    <w:rsid w:val="00527270"/>
    <w:rsid w:val="00527272"/>
    <w:rsid w:val="005276FB"/>
    <w:rsid w:val="005305CD"/>
    <w:rsid w:val="005306A7"/>
    <w:rsid w:val="00530902"/>
    <w:rsid w:val="00531849"/>
    <w:rsid w:val="00531A2E"/>
    <w:rsid w:val="00532188"/>
    <w:rsid w:val="005323E9"/>
    <w:rsid w:val="00532C1C"/>
    <w:rsid w:val="005334F4"/>
    <w:rsid w:val="00533A4F"/>
    <w:rsid w:val="00533E3C"/>
    <w:rsid w:val="0053406A"/>
    <w:rsid w:val="00534CE4"/>
    <w:rsid w:val="00534F27"/>
    <w:rsid w:val="00534F83"/>
    <w:rsid w:val="0053505C"/>
    <w:rsid w:val="00535753"/>
    <w:rsid w:val="00535F3D"/>
    <w:rsid w:val="0053632D"/>
    <w:rsid w:val="0053777A"/>
    <w:rsid w:val="00537D2A"/>
    <w:rsid w:val="00540CE0"/>
    <w:rsid w:val="00540F7F"/>
    <w:rsid w:val="005411AA"/>
    <w:rsid w:val="005414F1"/>
    <w:rsid w:val="0054153F"/>
    <w:rsid w:val="00541572"/>
    <w:rsid w:val="005415FD"/>
    <w:rsid w:val="00541A97"/>
    <w:rsid w:val="00541D04"/>
    <w:rsid w:val="00542020"/>
    <w:rsid w:val="005421D1"/>
    <w:rsid w:val="005424E3"/>
    <w:rsid w:val="00542D4B"/>
    <w:rsid w:val="005430F7"/>
    <w:rsid w:val="005435BF"/>
    <w:rsid w:val="005437E4"/>
    <w:rsid w:val="00543D01"/>
    <w:rsid w:val="00543EB8"/>
    <w:rsid w:val="0054421E"/>
    <w:rsid w:val="0054439C"/>
    <w:rsid w:val="005448D4"/>
    <w:rsid w:val="00544971"/>
    <w:rsid w:val="00544A61"/>
    <w:rsid w:val="00545203"/>
    <w:rsid w:val="00545B42"/>
    <w:rsid w:val="0054642A"/>
    <w:rsid w:val="00546F5E"/>
    <w:rsid w:val="00546F91"/>
    <w:rsid w:val="0054728C"/>
    <w:rsid w:val="005476C2"/>
    <w:rsid w:val="00547855"/>
    <w:rsid w:val="0054796A"/>
    <w:rsid w:val="00550B94"/>
    <w:rsid w:val="0055133C"/>
    <w:rsid w:val="005516C9"/>
    <w:rsid w:val="0055183C"/>
    <w:rsid w:val="00552EFA"/>
    <w:rsid w:val="0055311D"/>
    <w:rsid w:val="00553184"/>
    <w:rsid w:val="0055342B"/>
    <w:rsid w:val="0055349C"/>
    <w:rsid w:val="00553EE2"/>
    <w:rsid w:val="0055446D"/>
    <w:rsid w:val="005545BA"/>
    <w:rsid w:val="005548EC"/>
    <w:rsid w:val="00554B5A"/>
    <w:rsid w:val="00554BDE"/>
    <w:rsid w:val="00554D03"/>
    <w:rsid w:val="00554D7C"/>
    <w:rsid w:val="00554F75"/>
    <w:rsid w:val="00555CEE"/>
    <w:rsid w:val="00556DB5"/>
    <w:rsid w:val="0055707B"/>
    <w:rsid w:val="00557498"/>
    <w:rsid w:val="00557F96"/>
    <w:rsid w:val="00561464"/>
    <w:rsid w:val="00561AFA"/>
    <w:rsid w:val="00562286"/>
    <w:rsid w:val="00562575"/>
    <w:rsid w:val="0056283A"/>
    <w:rsid w:val="005633B0"/>
    <w:rsid w:val="005635D3"/>
    <w:rsid w:val="00563DFB"/>
    <w:rsid w:val="00563E77"/>
    <w:rsid w:val="005643DD"/>
    <w:rsid w:val="005644E7"/>
    <w:rsid w:val="005646DA"/>
    <w:rsid w:val="00564C78"/>
    <w:rsid w:val="00564CC3"/>
    <w:rsid w:val="00565154"/>
    <w:rsid w:val="00565281"/>
    <w:rsid w:val="00565B75"/>
    <w:rsid w:val="00566B05"/>
    <w:rsid w:val="00566C2F"/>
    <w:rsid w:val="00570FB6"/>
    <w:rsid w:val="0057133D"/>
    <w:rsid w:val="0057139D"/>
    <w:rsid w:val="00571B2B"/>
    <w:rsid w:val="00572737"/>
    <w:rsid w:val="00572780"/>
    <w:rsid w:val="0057390D"/>
    <w:rsid w:val="00573CD6"/>
    <w:rsid w:val="00573DAB"/>
    <w:rsid w:val="00573E20"/>
    <w:rsid w:val="005746E8"/>
    <w:rsid w:val="005748DA"/>
    <w:rsid w:val="005749AF"/>
    <w:rsid w:val="00575A83"/>
    <w:rsid w:val="00575C14"/>
    <w:rsid w:val="00575E69"/>
    <w:rsid w:val="00575E9C"/>
    <w:rsid w:val="00576158"/>
    <w:rsid w:val="0057617B"/>
    <w:rsid w:val="005764B8"/>
    <w:rsid w:val="00576C21"/>
    <w:rsid w:val="00576DDA"/>
    <w:rsid w:val="00577573"/>
    <w:rsid w:val="005779C4"/>
    <w:rsid w:val="00577A8C"/>
    <w:rsid w:val="005800E2"/>
    <w:rsid w:val="005804BE"/>
    <w:rsid w:val="00580D70"/>
    <w:rsid w:val="00580DFA"/>
    <w:rsid w:val="00580E03"/>
    <w:rsid w:val="0058105B"/>
    <w:rsid w:val="005814E7"/>
    <w:rsid w:val="00581520"/>
    <w:rsid w:val="0058163E"/>
    <w:rsid w:val="0058183F"/>
    <w:rsid w:val="00581DCF"/>
    <w:rsid w:val="00581EAE"/>
    <w:rsid w:val="00582053"/>
    <w:rsid w:val="005820C8"/>
    <w:rsid w:val="00582666"/>
    <w:rsid w:val="00582869"/>
    <w:rsid w:val="00582F13"/>
    <w:rsid w:val="00582F45"/>
    <w:rsid w:val="005830D7"/>
    <w:rsid w:val="00583223"/>
    <w:rsid w:val="00583571"/>
    <w:rsid w:val="00583772"/>
    <w:rsid w:val="005838F1"/>
    <w:rsid w:val="00584041"/>
    <w:rsid w:val="0058498B"/>
    <w:rsid w:val="005850D1"/>
    <w:rsid w:val="0058581E"/>
    <w:rsid w:val="00585965"/>
    <w:rsid w:val="00585EA5"/>
    <w:rsid w:val="00585FF2"/>
    <w:rsid w:val="00586314"/>
    <w:rsid w:val="00586739"/>
    <w:rsid w:val="00586FE8"/>
    <w:rsid w:val="005875EC"/>
    <w:rsid w:val="00587B50"/>
    <w:rsid w:val="0059001B"/>
    <w:rsid w:val="0059046D"/>
    <w:rsid w:val="0059065C"/>
    <w:rsid w:val="00590932"/>
    <w:rsid w:val="00590A1E"/>
    <w:rsid w:val="00590D55"/>
    <w:rsid w:val="00591323"/>
    <w:rsid w:val="005913B3"/>
    <w:rsid w:val="0059141A"/>
    <w:rsid w:val="0059189C"/>
    <w:rsid w:val="00591E4F"/>
    <w:rsid w:val="00591FB3"/>
    <w:rsid w:val="0059200B"/>
    <w:rsid w:val="005923A5"/>
    <w:rsid w:val="00592529"/>
    <w:rsid w:val="00592CEA"/>
    <w:rsid w:val="00592EB5"/>
    <w:rsid w:val="005935BD"/>
    <w:rsid w:val="005938B8"/>
    <w:rsid w:val="005938FF"/>
    <w:rsid w:val="0059413A"/>
    <w:rsid w:val="00594667"/>
    <w:rsid w:val="00594941"/>
    <w:rsid w:val="00594C94"/>
    <w:rsid w:val="00594DD3"/>
    <w:rsid w:val="0059512D"/>
    <w:rsid w:val="005976AF"/>
    <w:rsid w:val="00597C2C"/>
    <w:rsid w:val="00597FA1"/>
    <w:rsid w:val="005A047C"/>
    <w:rsid w:val="005A0C93"/>
    <w:rsid w:val="005A12D0"/>
    <w:rsid w:val="005A14F7"/>
    <w:rsid w:val="005A1ED0"/>
    <w:rsid w:val="005A21AB"/>
    <w:rsid w:val="005A26B4"/>
    <w:rsid w:val="005A2C6D"/>
    <w:rsid w:val="005A2EEE"/>
    <w:rsid w:val="005A33F8"/>
    <w:rsid w:val="005A36A9"/>
    <w:rsid w:val="005A42EA"/>
    <w:rsid w:val="005A45AC"/>
    <w:rsid w:val="005A4DDD"/>
    <w:rsid w:val="005A50A1"/>
    <w:rsid w:val="005A50CF"/>
    <w:rsid w:val="005A530C"/>
    <w:rsid w:val="005A581C"/>
    <w:rsid w:val="005A743B"/>
    <w:rsid w:val="005A7830"/>
    <w:rsid w:val="005A78A5"/>
    <w:rsid w:val="005A7A20"/>
    <w:rsid w:val="005A7D5B"/>
    <w:rsid w:val="005B16AE"/>
    <w:rsid w:val="005B1D3D"/>
    <w:rsid w:val="005B2C89"/>
    <w:rsid w:val="005B2EE9"/>
    <w:rsid w:val="005B33DB"/>
    <w:rsid w:val="005B3997"/>
    <w:rsid w:val="005B3B36"/>
    <w:rsid w:val="005B3D78"/>
    <w:rsid w:val="005B3DC5"/>
    <w:rsid w:val="005B4780"/>
    <w:rsid w:val="005B489C"/>
    <w:rsid w:val="005B4A17"/>
    <w:rsid w:val="005B4C24"/>
    <w:rsid w:val="005B500D"/>
    <w:rsid w:val="005B5905"/>
    <w:rsid w:val="005B5AEA"/>
    <w:rsid w:val="005B5D5B"/>
    <w:rsid w:val="005B5FF6"/>
    <w:rsid w:val="005B6078"/>
    <w:rsid w:val="005B65EB"/>
    <w:rsid w:val="005B690A"/>
    <w:rsid w:val="005B6A1D"/>
    <w:rsid w:val="005B722D"/>
    <w:rsid w:val="005B762C"/>
    <w:rsid w:val="005C018B"/>
    <w:rsid w:val="005C0C8B"/>
    <w:rsid w:val="005C1058"/>
    <w:rsid w:val="005C280E"/>
    <w:rsid w:val="005C3FE0"/>
    <w:rsid w:val="005C4A1A"/>
    <w:rsid w:val="005C50B6"/>
    <w:rsid w:val="005C554E"/>
    <w:rsid w:val="005C5C2E"/>
    <w:rsid w:val="005C7304"/>
    <w:rsid w:val="005C7EBB"/>
    <w:rsid w:val="005C7F2A"/>
    <w:rsid w:val="005D0D6C"/>
    <w:rsid w:val="005D0F1E"/>
    <w:rsid w:val="005D2F57"/>
    <w:rsid w:val="005D35CC"/>
    <w:rsid w:val="005D392A"/>
    <w:rsid w:val="005D3E75"/>
    <w:rsid w:val="005D411F"/>
    <w:rsid w:val="005D435E"/>
    <w:rsid w:val="005D47B7"/>
    <w:rsid w:val="005D483E"/>
    <w:rsid w:val="005D49DA"/>
    <w:rsid w:val="005D5191"/>
    <w:rsid w:val="005D5572"/>
    <w:rsid w:val="005D57BE"/>
    <w:rsid w:val="005D5CE8"/>
    <w:rsid w:val="005D5D58"/>
    <w:rsid w:val="005D60C3"/>
    <w:rsid w:val="005D6572"/>
    <w:rsid w:val="005D65DE"/>
    <w:rsid w:val="005D6922"/>
    <w:rsid w:val="005D6E52"/>
    <w:rsid w:val="005D70E8"/>
    <w:rsid w:val="005D71AD"/>
    <w:rsid w:val="005D7650"/>
    <w:rsid w:val="005D7C37"/>
    <w:rsid w:val="005E05A7"/>
    <w:rsid w:val="005E07BE"/>
    <w:rsid w:val="005E109E"/>
    <w:rsid w:val="005E1239"/>
    <w:rsid w:val="005E151B"/>
    <w:rsid w:val="005E26BA"/>
    <w:rsid w:val="005E2753"/>
    <w:rsid w:val="005E36F2"/>
    <w:rsid w:val="005E3AD1"/>
    <w:rsid w:val="005E40B3"/>
    <w:rsid w:val="005E435D"/>
    <w:rsid w:val="005E4CDC"/>
    <w:rsid w:val="005E534D"/>
    <w:rsid w:val="005E5569"/>
    <w:rsid w:val="005E5B3A"/>
    <w:rsid w:val="005E5BBD"/>
    <w:rsid w:val="005E66B4"/>
    <w:rsid w:val="005E66FE"/>
    <w:rsid w:val="005E6AB0"/>
    <w:rsid w:val="005E6AC4"/>
    <w:rsid w:val="005E6E80"/>
    <w:rsid w:val="005E7118"/>
    <w:rsid w:val="005E7276"/>
    <w:rsid w:val="005E7F53"/>
    <w:rsid w:val="005F0480"/>
    <w:rsid w:val="005F0EB0"/>
    <w:rsid w:val="005F2291"/>
    <w:rsid w:val="005F274C"/>
    <w:rsid w:val="005F2EEE"/>
    <w:rsid w:val="005F31C0"/>
    <w:rsid w:val="005F330F"/>
    <w:rsid w:val="005F3697"/>
    <w:rsid w:val="005F3A6B"/>
    <w:rsid w:val="005F3A77"/>
    <w:rsid w:val="005F3D8E"/>
    <w:rsid w:val="005F3D95"/>
    <w:rsid w:val="005F4194"/>
    <w:rsid w:val="005F557F"/>
    <w:rsid w:val="005F59CC"/>
    <w:rsid w:val="005F6099"/>
    <w:rsid w:val="005F61D8"/>
    <w:rsid w:val="005F67BE"/>
    <w:rsid w:val="005F68F7"/>
    <w:rsid w:val="005F7124"/>
    <w:rsid w:val="005F7153"/>
    <w:rsid w:val="005F71D1"/>
    <w:rsid w:val="005F7392"/>
    <w:rsid w:val="0060063A"/>
    <w:rsid w:val="00600B19"/>
    <w:rsid w:val="006010F4"/>
    <w:rsid w:val="00601240"/>
    <w:rsid w:val="0060147D"/>
    <w:rsid w:val="006017A1"/>
    <w:rsid w:val="006018D9"/>
    <w:rsid w:val="006024F3"/>
    <w:rsid w:val="0060298A"/>
    <w:rsid w:val="00602A0F"/>
    <w:rsid w:val="00603101"/>
    <w:rsid w:val="006032D5"/>
    <w:rsid w:val="00603954"/>
    <w:rsid w:val="00603C8A"/>
    <w:rsid w:val="00603D45"/>
    <w:rsid w:val="00604D9E"/>
    <w:rsid w:val="00604E62"/>
    <w:rsid w:val="0060532D"/>
    <w:rsid w:val="0060560F"/>
    <w:rsid w:val="00606607"/>
    <w:rsid w:val="00606C33"/>
    <w:rsid w:val="00606DA2"/>
    <w:rsid w:val="00606F13"/>
    <w:rsid w:val="0060753F"/>
    <w:rsid w:val="0061036E"/>
    <w:rsid w:val="006103E2"/>
    <w:rsid w:val="0061048D"/>
    <w:rsid w:val="006104D2"/>
    <w:rsid w:val="00610E50"/>
    <w:rsid w:val="00611B43"/>
    <w:rsid w:val="006120D6"/>
    <w:rsid w:val="0061291E"/>
    <w:rsid w:val="006136B4"/>
    <w:rsid w:val="006138B8"/>
    <w:rsid w:val="00613CC6"/>
    <w:rsid w:val="006140FE"/>
    <w:rsid w:val="00614459"/>
    <w:rsid w:val="006147CA"/>
    <w:rsid w:val="006149E1"/>
    <w:rsid w:val="00614CBF"/>
    <w:rsid w:val="00615047"/>
    <w:rsid w:val="006155CC"/>
    <w:rsid w:val="00615E11"/>
    <w:rsid w:val="00617333"/>
    <w:rsid w:val="006174AC"/>
    <w:rsid w:val="00617F5A"/>
    <w:rsid w:val="00620094"/>
    <w:rsid w:val="0062031A"/>
    <w:rsid w:val="006205A9"/>
    <w:rsid w:val="006205B1"/>
    <w:rsid w:val="0062080A"/>
    <w:rsid w:val="00621040"/>
    <w:rsid w:val="006212C0"/>
    <w:rsid w:val="006222C6"/>
    <w:rsid w:val="0062246D"/>
    <w:rsid w:val="00622CAC"/>
    <w:rsid w:val="00623157"/>
    <w:rsid w:val="00623386"/>
    <w:rsid w:val="00623740"/>
    <w:rsid w:val="00624475"/>
    <w:rsid w:val="0062458D"/>
    <w:rsid w:val="00624D3C"/>
    <w:rsid w:val="0062525F"/>
    <w:rsid w:val="00625933"/>
    <w:rsid w:val="006259B8"/>
    <w:rsid w:val="00625D02"/>
    <w:rsid w:val="006260EF"/>
    <w:rsid w:val="006264D9"/>
    <w:rsid w:val="00626BCD"/>
    <w:rsid w:val="00627545"/>
    <w:rsid w:val="006276DA"/>
    <w:rsid w:val="006279F4"/>
    <w:rsid w:val="00627CA4"/>
    <w:rsid w:val="00630483"/>
    <w:rsid w:val="0063049E"/>
    <w:rsid w:val="0063057E"/>
    <w:rsid w:val="006309D5"/>
    <w:rsid w:val="00630A24"/>
    <w:rsid w:val="00630AE7"/>
    <w:rsid w:val="00630BD2"/>
    <w:rsid w:val="00631895"/>
    <w:rsid w:val="00631C83"/>
    <w:rsid w:val="00631D83"/>
    <w:rsid w:val="006324EC"/>
    <w:rsid w:val="006325AE"/>
    <w:rsid w:val="0063313B"/>
    <w:rsid w:val="00633397"/>
    <w:rsid w:val="00633646"/>
    <w:rsid w:val="00633C9E"/>
    <w:rsid w:val="0063407A"/>
    <w:rsid w:val="00634998"/>
    <w:rsid w:val="0063526A"/>
    <w:rsid w:val="006354E2"/>
    <w:rsid w:val="0063591F"/>
    <w:rsid w:val="006359D0"/>
    <w:rsid w:val="00635F6A"/>
    <w:rsid w:val="00635FED"/>
    <w:rsid w:val="00636194"/>
    <w:rsid w:val="006362F9"/>
    <w:rsid w:val="00636E5F"/>
    <w:rsid w:val="00637B0F"/>
    <w:rsid w:val="0064073C"/>
    <w:rsid w:val="00640D98"/>
    <w:rsid w:val="00641081"/>
    <w:rsid w:val="00641681"/>
    <w:rsid w:val="006416FE"/>
    <w:rsid w:val="00641725"/>
    <w:rsid w:val="00641923"/>
    <w:rsid w:val="00641A00"/>
    <w:rsid w:val="00641A32"/>
    <w:rsid w:val="006425C5"/>
    <w:rsid w:val="00642A67"/>
    <w:rsid w:val="006431F8"/>
    <w:rsid w:val="00644203"/>
    <w:rsid w:val="00644B18"/>
    <w:rsid w:val="00644E87"/>
    <w:rsid w:val="00644EDC"/>
    <w:rsid w:val="00645425"/>
    <w:rsid w:val="006459E1"/>
    <w:rsid w:val="00646022"/>
    <w:rsid w:val="00646F94"/>
    <w:rsid w:val="0064728D"/>
    <w:rsid w:val="00647E64"/>
    <w:rsid w:val="006505AE"/>
    <w:rsid w:val="00650B7F"/>
    <w:rsid w:val="00650D17"/>
    <w:rsid w:val="00650F67"/>
    <w:rsid w:val="0065105E"/>
    <w:rsid w:val="006510F1"/>
    <w:rsid w:val="006512E0"/>
    <w:rsid w:val="00651CDB"/>
    <w:rsid w:val="0065262E"/>
    <w:rsid w:val="00652B79"/>
    <w:rsid w:val="00652F30"/>
    <w:rsid w:val="00653674"/>
    <w:rsid w:val="006536D1"/>
    <w:rsid w:val="00654428"/>
    <w:rsid w:val="006546CF"/>
    <w:rsid w:val="006552B6"/>
    <w:rsid w:val="006556C7"/>
    <w:rsid w:val="00655DAC"/>
    <w:rsid w:val="006560A7"/>
    <w:rsid w:val="00656242"/>
    <w:rsid w:val="00656C82"/>
    <w:rsid w:val="00657329"/>
    <w:rsid w:val="006575BC"/>
    <w:rsid w:val="00657A59"/>
    <w:rsid w:val="00657BBA"/>
    <w:rsid w:val="00660202"/>
    <w:rsid w:val="006608AF"/>
    <w:rsid w:val="00660D41"/>
    <w:rsid w:val="006610EA"/>
    <w:rsid w:val="0066176C"/>
    <w:rsid w:val="00661C3D"/>
    <w:rsid w:val="00661CE0"/>
    <w:rsid w:val="006622FF"/>
    <w:rsid w:val="00662C28"/>
    <w:rsid w:val="006638A4"/>
    <w:rsid w:val="006638F9"/>
    <w:rsid w:val="0066452B"/>
    <w:rsid w:val="00664605"/>
    <w:rsid w:val="006649AD"/>
    <w:rsid w:val="006652DA"/>
    <w:rsid w:val="00666135"/>
    <w:rsid w:val="00666E19"/>
    <w:rsid w:val="00666F04"/>
    <w:rsid w:val="0066771F"/>
    <w:rsid w:val="006679E7"/>
    <w:rsid w:val="00667D69"/>
    <w:rsid w:val="0067022D"/>
    <w:rsid w:val="006711B0"/>
    <w:rsid w:val="0067127E"/>
    <w:rsid w:val="006718D6"/>
    <w:rsid w:val="0067221A"/>
    <w:rsid w:val="0067250C"/>
    <w:rsid w:val="006729B8"/>
    <w:rsid w:val="00673322"/>
    <w:rsid w:val="00673803"/>
    <w:rsid w:val="006739BD"/>
    <w:rsid w:val="0067429D"/>
    <w:rsid w:val="00674B23"/>
    <w:rsid w:val="0067549A"/>
    <w:rsid w:val="00675E27"/>
    <w:rsid w:val="00676292"/>
    <w:rsid w:val="006765C7"/>
    <w:rsid w:val="006773BC"/>
    <w:rsid w:val="00680214"/>
    <w:rsid w:val="00680324"/>
    <w:rsid w:val="00680F02"/>
    <w:rsid w:val="0068160D"/>
    <w:rsid w:val="0068164C"/>
    <w:rsid w:val="006819F5"/>
    <w:rsid w:val="00682258"/>
    <w:rsid w:val="0068278D"/>
    <w:rsid w:val="00682EB7"/>
    <w:rsid w:val="0068319C"/>
    <w:rsid w:val="00683641"/>
    <w:rsid w:val="00683FA1"/>
    <w:rsid w:val="00684BDB"/>
    <w:rsid w:val="00684D0C"/>
    <w:rsid w:val="00685BCA"/>
    <w:rsid w:val="00686721"/>
    <w:rsid w:val="0068674B"/>
    <w:rsid w:val="0068677D"/>
    <w:rsid w:val="00686FB5"/>
    <w:rsid w:val="00687D1C"/>
    <w:rsid w:val="00687EB3"/>
    <w:rsid w:val="00690053"/>
    <w:rsid w:val="006900CA"/>
    <w:rsid w:val="00690271"/>
    <w:rsid w:val="006904CD"/>
    <w:rsid w:val="006906E1"/>
    <w:rsid w:val="00690B11"/>
    <w:rsid w:val="00691055"/>
    <w:rsid w:val="006911CD"/>
    <w:rsid w:val="0069246E"/>
    <w:rsid w:val="0069279F"/>
    <w:rsid w:val="00692896"/>
    <w:rsid w:val="00692A3B"/>
    <w:rsid w:val="00693C39"/>
    <w:rsid w:val="00693F43"/>
    <w:rsid w:val="006940C0"/>
    <w:rsid w:val="006940C5"/>
    <w:rsid w:val="006940F1"/>
    <w:rsid w:val="00694226"/>
    <w:rsid w:val="00694B55"/>
    <w:rsid w:val="00694F0E"/>
    <w:rsid w:val="00695AA5"/>
    <w:rsid w:val="00695C3F"/>
    <w:rsid w:val="00695C89"/>
    <w:rsid w:val="00696304"/>
    <w:rsid w:val="006967B8"/>
    <w:rsid w:val="0069691B"/>
    <w:rsid w:val="006969C9"/>
    <w:rsid w:val="00696E37"/>
    <w:rsid w:val="0069732A"/>
    <w:rsid w:val="006973A0"/>
    <w:rsid w:val="006A01FC"/>
    <w:rsid w:val="006A16C1"/>
    <w:rsid w:val="006A171D"/>
    <w:rsid w:val="006A250D"/>
    <w:rsid w:val="006A2F22"/>
    <w:rsid w:val="006A395B"/>
    <w:rsid w:val="006A4020"/>
    <w:rsid w:val="006A5943"/>
    <w:rsid w:val="006A5CF1"/>
    <w:rsid w:val="006A649D"/>
    <w:rsid w:val="006A6775"/>
    <w:rsid w:val="006A6AA6"/>
    <w:rsid w:val="006A7445"/>
    <w:rsid w:val="006A7B5E"/>
    <w:rsid w:val="006A7D01"/>
    <w:rsid w:val="006A7D99"/>
    <w:rsid w:val="006B032F"/>
    <w:rsid w:val="006B0DB6"/>
    <w:rsid w:val="006B0FBE"/>
    <w:rsid w:val="006B11A9"/>
    <w:rsid w:val="006B1807"/>
    <w:rsid w:val="006B19F9"/>
    <w:rsid w:val="006B1DE7"/>
    <w:rsid w:val="006B1E6A"/>
    <w:rsid w:val="006B21C7"/>
    <w:rsid w:val="006B2385"/>
    <w:rsid w:val="006B2CEA"/>
    <w:rsid w:val="006B2DC8"/>
    <w:rsid w:val="006B303D"/>
    <w:rsid w:val="006B3389"/>
    <w:rsid w:val="006B41C5"/>
    <w:rsid w:val="006B4A43"/>
    <w:rsid w:val="006B5270"/>
    <w:rsid w:val="006B5D86"/>
    <w:rsid w:val="006B6AA3"/>
    <w:rsid w:val="006B748F"/>
    <w:rsid w:val="006B7E09"/>
    <w:rsid w:val="006C0206"/>
    <w:rsid w:val="006C08AF"/>
    <w:rsid w:val="006C0A4B"/>
    <w:rsid w:val="006C1F4F"/>
    <w:rsid w:val="006C2890"/>
    <w:rsid w:val="006C346B"/>
    <w:rsid w:val="006C4BE6"/>
    <w:rsid w:val="006C544A"/>
    <w:rsid w:val="006C54FA"/>
    <w:rsid w:val="006C5663"/>
    <w:rsid w:val="006C59B2"/>
    <w:rsid w:val="006C651F"/>
    <w:rsid w:val="006C660A"/>
    <w:rsid w:val="006C6690"/>
    <w:rsid w:val="006C677A"/>
    <w:rsid w:val="006C6FD0"/>
    <w:rsid w:val="006C7A04"/>
    <w:rsid w:val="006C7F4C"/>
    <w:rsid w:val="006D06EF"/>
    <w:rsid w:val="006D179B"/>
    <w:rsid w:val="006D1A9A"/>
    <w:rsid w:val="006D1F82"/>
    <w:rsid w:val="006D20DE"/>
    <w:rsid w:val="006D22B8"/>
    <w:rsid w:val="006D262F"/>
    <w:rsid w:val="006D26FD"/>
    <w:rsid w:val="006D27DE"/>
    <w:rsid w:val="006D2B23"/>
    <w:rsid w:val="006D3200"/>
    <w:rsid w:val="006D33F3"/>
    <w:rsid w:val="006D34A4"/>
    <w:rsid w:val="006D3637"/>
    <w:rsid w:val="006D3DB5"/>
    <w:rsid w:val="006D3E6F"/>
    <w:rsid w:val="006D4A44"/>
    <w:rsid w:val="006D4D3F"/>
    <w:rsid w:val="006D5A0C"/>
    <w:rsid w:val="006D5E94"/>
    <w:rsid w:val="006D62EA"/>
    <w:rsid w:val="006D6E8D"/>
    <w:rsid w:val="006D6F05"/>
    <w:rsid w:val="006D72C7"/>
    <w:rsid w:val="006D7FA5"/>
    <w:rsid w:val="006E01F5"/>
    <w:rsid w:val="006E0518"/>
    <w:rsid w:val="006E07F8"/>
    <w:rsid w:val="006E0C3C"/>
    <w:rsid w:val="006E0D8A"/>
    <w:rsid w:val="006E1411"/>
    <w:rsid w:val="006E1AC9"/>
    <w:rsid w:val="006E24A7"/>
    <w:rsid w:val="006E2A40"/>
    <w:rsid w:val="006E31B7"/>
    <w:rsid w:val="006E3210"/>
    <w:rsid w:val="006E3259"/>
    <w:rsid w:val="006E41E4"/>
    <w:rsid w:val="006E4464"/>
    <w:rsid w:val="006E4856"/>
    <w:rsid w:val="006E4A2B"/>
    <w:rsid w:val="006E4DD9"/>
    <w:rsid w:val="006E4E7F"/>
    <w:rsid w:val="006E5698"/>
    <w:rsid w:val="006E5763"/>
    <w:rsid w:val="006E59F2"/>
    <w:rsid w:val="006E5DAB"/>
    <w:rsid w:val="006E6775"/>
    <w:rsid w:val="006E6B5A"/>
    <w:rsid w:val="006E6D9A"/>
    <w:rsid w:val="006F0429"/>
    <w:rsid w:val="006F0B13"/>
    <w:rsid w:val="006F0D6B"/>
    <w:rsid w:val="006F0EC8"/>
    <w:rsid w:val="006F0F1B"/>
    <w:rsid w:val="006F1EF4"/>
    <w:rsid w:val="006F20D6"/>
    <w:rsid w:val="006F233D"/>
    <w:rsid w:val="006F31F9"/>
    <w:rsid w:val="006F3379"/>
    <w:rsid w:val="006F3761"/>
    <w:rsid w:val="006F3AC1"/>
    <w:rsid w:val="006F4279"/>
    <w:rsid w:val="006F448A"/>
    <w:rsid w:val="006F44A2"/>
    <w:rsid w:val="006F45B3"/>
    <w:rsid w:val="006F4A11"/>
    <w:rsid w:val="006F4C0A"/>
    <w:rsid w:val="006F511E"/>
    <w:rsid w:val="006F5205"/>
    <w:rsid w:val="006F52CA"/>
    <w:rsid w:val="006F6C79"/>
    <w:rsid w:val="006F7205"/>
    <w:rsid w:val="00700680"/>
    <w:rsid w:val="007006AE"/>
    <w:rsid w:val="00700823"/>
    <w:rsid w:val="00700905"/>
    <w:rsid w:val="00700B64"/>
    <w:rsid w:val="00701319"/>
    <w:rsid w:val="007013F4"/>
    <w:rsid w:val="00701749"/>
    <w:rsid w:val="00701D50"/>
    <w:rsid w:val="0070244F"/>
    <w:rsid w:val="007024D8"/>
    <w:rsid w:val="007031B5"/>
    <w:rsid w:val="00703303"/>
    <w:rsid w:val="00703751"/>
    <w:rsid w:val="00704E1B"/>
    <w:rsid w:val="00705003"/>
    <w:rsid w:val="00705446"/>
    <w:rsid w:val="00705DC7"/>
    <w:rsid w:val="00705EDF"/>
    <w:rsid w:val="007066BB"/>
    <w:rsid w:val="0070684F"/>
    <w:rsid w:val="0070740F"/>
    <w:rsid w:val="007076D5"/>
    <w:rsid w:val="007076DC"/>
    <w:rsid w:val="00707D03"/>
    <w:rsid w:val="0071013B"/>
    <w:rsid w:val="007101CC"/>
    <w:rsid w:val="0071028A"/>
    <w:rsid w:val="00710512"/>
    <w:rsid w:val="00710759"/>
    <w:rsid w:val="00710DC8"/>
    <w:rsid w:val="00710F8D"/>
    <w:rsid w:val="007116B0"/>
    <w:rsid w:val="00711A96"/>
    <w:rsid w:val="00711F85"/>
    <w:rsid w:val="007125DE"/>
    <w:rsid w:val="007133DA"/>
    <w:rsid w:val="007137D7"/>
    <w:rsid w:val="007138D6"/>
    <w:rsid w:val="00713C9E"/>
    <w:rsid w:val="00713CDD"/>
    <w:rsid w:val="0071413C"/>
    <w:rsid w:val="007148E0"/>
    <w:rsid w:val="0071525E"/>
    <w:rsid w:val="00715323"/>
    <w:rsid w:val="00715850"/>
    <w:rsid w:val="00715B6B"/>
    <w:rsid w:val="00716109"/>
    <w:rsid w:val="007163A9"/>
    <w:rsid w:val="00716998"/>
    <w:rsid w:val="00716C99"/>
    <w:rsid w:val="0071750E"/>
    <w:rsid w:val="00717C3D"/>
    <w:rsid w:val="00720195"/>
    <w:rsid w:val="0072021B"/>
    <w:rsid w:val="00720486"/>
    <w:rsid w:val="007204ED"/>
    <w:rsid w:val="00720910"/>
    <w:rsid w:val="00720B47"/>
    <w:rsid w:val="0072122B"/>
    <w:rsid w:val="0072125B"/>
    <w:rsid w:val="00721790"/>
    <w:rsid w:val="007217C2"/>
    <w:rsid w:val="00721CB3"/>
    <w:rsid w:val="00721D0D"/>
    <w:rsid w:val="00722065"/>
    <w:rsid w:val="00722F3B"/>
    <w:rsid w:val="00723006"/>
    <w:rsid w:val="0072309D"/>
    <w:rsid w:val="00723223"/>
    <w:rsid w:val="007234FB"/>
    <w:rsid w:val="00723631"/>
    <w:rsid w:val="0072370D"/>
    <w:rsid w:val="00723860"/>
    <w:rsid w:val="00723CF9"/>
    <w:rsid w:val="007241E4"/>
    <w:rsid w:val="00724443"/>
    <w:rsid w:val="00724807"/>
    <w:rsid w:val="00725034"/>
    <w:rsid w:val="00725188"/>
    <w:rsid w:val="00725261"/>
    <w:rsid w:val="00725396"/>
    <w:rsid w:val="00725A88"/>
    <w:rsid w:val="00725F25"/>
    <w:rsid w:val="0072605E"/>
    <w:rsid w:val="0072622F"/>
    <w:rsid w:val="00726277"/>
    <w:rsid w:val="00727B33"/>
    <w:rsid w:val="00727BC8"/>
    <w:rsid w:val="007301A4"/>
    <w:rsid w:val="007309DC"/>
    <w:rsid w:val="00730FB6"/>
    <w:rsid w:val="007311BF"/>
    <w:rsid w:val="007314A4"/>
    <w:rsid w:val="00731575"/>
    <w:rsid w:val="00731747"/>
    <w:rsid w:val="00731870"/>
    <w:rsid w:val="0073211D"/>
    <w:rsid w:val="00732522"/>
    <w:rsid w:val="00732A83"/>
    <w:rsid w:val="00732D1C"/>
    <w:rsid w:val="00732D49"/>
    <w:rsid w:val="00732E51"/>
    <w:rsid w:val="0073367B"/>
    <w:rsid w:val="007339DC"/>
    <w:rsid w:val="0073404F"/>
    <w:rsid w:val="0073485F"/>
    <w:rsid w:val="00735014"/>
    <w:rsid w:val="0073599D"/>
    <w:rsid w:val="007359B2"/>
    <w:rsid w:val="00735F5C"/>
    <w:rsid w:val="00735F94"/>
    <w:rsid w:val="00736823"/>
    <w:rsid w:val="00736A36"/>
    <w:rsid w:val="00736EEB"/>
    <w:rsid w:val="007376BF"/>
    <w:rsid w:val="00737B82"/>
    <w:rsid w:val="00737EB9"/>
    <w:rsid w:val="00737EF2"/>
    <w:rsid w:val="00737FEC"/>
    <w:rsid w:val="00740587"/>
    <w:rsid w:val="00740C30"/>
    <w:rsid w:val="007416DC"/>
    <w:rsid w:val="00741954"/>
    <w:rsid w:val="0074227A"/>
    <w:rsid w:val="00742450"/>
    <w:rsid w:val="00742704"/>
    <w:rsid w:val="00743239"/>
    <w:rsid w:val="0074365C"/>
    <w:rsid w:val="00743B14"/>
    <w:rsid w:val="00743B56"/>
    <w:rsid w:val="00743F95"/>
    <w:rsid w:val="007440AC"/>
    <w:rsid w:val="00744B78"/>
    <w:rsid w:val="00744C01"/>
    <w:rsid w:val="00744F66"/>
    <w:rsid w:val="007450B9"/>
    <w:rsid w:val="0074515F"/>
    <w:rsid w:val="00745A32"/>
    <w:rsid w:val="00745A62"/>
    <w:rsid w:val="00746953"/>
    <w:rsid w:val="00746AA6"/>
    <w:rsid w:val="00747A14"/>
    <w:rsid w:val="0075004F"/>
    <w:rsid w:val="00750086"/>
    <w:rsid w:val="007502D5"/>
    <w:rsid w:val="007502E3"/>
    <w:rsid w:val="00750984"/>
    <w:rsid w:val="00750E03"/>
    <w:rsid w:val="007510C6"/>
    <w:rsid w:val="0075116A"/>
    <w:rsid w:val="00751693"/>
    <w:rsid w:val="00751AF4"/>
    <w:rsid w:val="00752022"/>
    <w:rsid w:val="00752326"/>
    <w:rsid w:val="00752B31"/>
    <w:rsid w:val="00752EC1"/>
    <w:rsid w:val="00754581"/>
    <w:rsid w:val="00754EBE"/>
    <w:rsid w:val="0075532F"/>
    <w:rsid w:val="0075543A"/>
    <w:rsid w:val="00755449"/>
    <w:rsid w:val="007555AB"/>
    <w:rsid w:val="00755C81"/>
    <w:rsid w:val="00755D3B"/>
    <w:rsid w:val="00756917"/>
    <w:rsid w:val="0075700F"/>
    <w:rsid w:val="00757569"/>
    <w:rsid w:val="007576AA"/>
    <w:rsid w:val="007603BF"/>
    <w:rsid w:val="00760CE2"/>
    <w:rsid w:val="00760D73"/>
    <w:rsid w:val="007615FE"/>
    <w:rsid w:val="00761C01"/>
    <w:rsid w:val="00761D35"/>
    <w:rsid w:val="00761E34"/>
    <w:rsid w:val="007624B8"/>
    <w:rsid w:val="007624D7"/>
    <w:rsid w:val="00763555"/>
    <w:rsid w:val="0076411B"/>
    <w:rsid w:val="00764476"/>
    <w:rsid w:val="007644B7"/>
    <w:rsid w:val="00765C55"/>
    <w:rsid w:val="00766059"/>
    <w:rsid w:val="007672EC"/>
    <w:rsid w:val="007674BE"/>
    <w:rsid w:val="0077098F"/>
    <w:rsid w:val="00770B53"/>
    <w:rsid w:val="00771DCF"/>
    <w:rsid w:val="0077232F"/>
    <w:rsid w:val="007723FE"/>
    <w:rsid w:val="00772492"/>
    <w:rsid w:val="0077254C"/>
    <w:rsid w:val="00772726"/>
    <w:rsid w:val="00772F21"/>
    <w:rsid w:val="00773020"/>
    <w:rsid w:val="007732A2"/>
    <w:rsid w:val="0077377C"/>
    <w:rsid w:val="007738F0"/>
    <w:rsid w:val="00773A33"/>
    <w:rsid w:val="0077457F"/>
    <w:rsid w:val="007756B9"/>
    <w:rsid w:val="00775BD9"/>
    <w:rsid w:val="00776129"/>
    <w:rsid w:val="0077630A"/>
    <w:rsid w:val="00776C71"/>
    <w:rsid w:val="00776CA6"/>
    <w:rsid w:val="00777D4E"/>
    <w:rsid w:val="00780066"/>
    <w:rsid w:val="00780709"/>
    <w:rsid w:val="00780759"/>
    <w:rsid w:val="00780C33"/>
    <w:rsid w:val="0078138E"/>
    <w:rsid w:val="00781C42"/>
    <w:rsid w:val="00781F1D"/>
    <w:rsid w:val="00781F72"/>
    <w:rsid w:val="007820EB"/>
    <w:rsid w:val="007824B5"/>
    <w:rsid w:val="00782752"/>
    <w:rsid w:val="0078281E"/>
    <w:rsid w:val="007829C8"/>
    <w:rsid w:val="007830E0"/>
    <w:rsid w:val="007833A9"/>
    <w:rsid w:val="00783491"/>
    <w:rsid w:val="00783597"/>
    <w:rsid w:val="0078363D"/>
    <w:rsid w:val="00783729"/>
    <w:rsid w:val="00783C64"/>
    <w:rsid w:val="00783C93"/>
    <w:rsid w:val="00783EA7"/>
    <w:rsid w:val="00783FBD"/>
    <w:rsid w:val="00784414"/>
    <w:rsid w:val="00785B0D"/>
    <w:rsid w:val="00785BCE"/>
    <w:rsid w:val="007862AF"/>
    <w:rsid w:val="00786BD4"/>
    <w:rsid w:val="007906F0"/>
    <w:rsid w:val="007912EE"/>
    <w:rsid w:val="007916D1"/>
    <w:rsid w:val="00791894"/>
    <w:rsid w:val="00792617"/>
    <w:rsid w:val="0079281A"/>
    <w:rsid w:val="00792FB6"/>
    <w:rsid w:val="0079315C"/>
    <w:rsid w:val="0079369E"/>
    <w:rsid w:val="00793772"/>
    <w:rsid w:val="00793B7B"/>
    <w:rsid w:val="00794033"/>
    <w:rsid w:val="00795CE4"/>
    <w:rsid w:val="00795ED0"/>
    <w:rsid w:val="007961D6"/>
    <w:rsid w:val="00796282"/>
    <w:rsid w:val="00796B71"/>
    <w:rsid w:val="00796BD1"/>
    <w:rsid w:val="00796ED2"/>
    <w:rsid w:val="00797944"/>
    <w:rsid w:val="007A06D5"/>
    <w:rsid w:val="007A0BBC"/>
    <w:rsid w:val="007A0C6C"/>
    <w:rsid w:val="007A0CFE"/>
    <w:rsid w:val="007A1E4B"/>
    <w:rsid w:val="007A2985"/>
    <w:rsid w:val="007A305F"/>
    <w:rsid w:val="007A393F"/>
    <w:rsid w:val="007A3B21"/>
    <w:rsid w:val="007A3EE9"/>
    <w:rsid w:val="007A40F3"/>
    <w:rsid w:val="007A473B"/>
    <w:rsid w:val="007A4E6B"/>
    <w:rsid w:val="007A4F6C"/>
    <w:rsid w:val="007A5383"/>
    <w:rsid w:val="007A53FC"/>
    <w:rsid w:val="007A5425"/>
    <w:rsid w:val="007A55E7"/>
    <w:rsid w:val="007A565C"/>
    <w:rsid w:val="007A5DFC"/>
    <w:rsid w:val="007A5EFA"/>
    <w:rsid w:val="007A6CA5"/>
    <w:rsid w:val="007A6CF5"/>
    <w:rsid w:val="007A7104"/>
    <w:rsid w:val="007A767C"/>
    <w:rsid w:val="007A7E39"/>
    <w:rsid w:val="007B04A9"/>
    <w:rsid w:val="007B0C1B"/>
    <w:rsid w:val="007B1113"/>
    <w:rsid w:val="007B13A1"/>
    <w:rsid w:val="007B18A7"/>
    <w:rsid w:val="007B19DC"/>
    <w:rsid w:val="007B1F6A"/>
    <w:rsid w:val="007B1FB8"/>
    <w:rsid w:val="007B24F8"/>
    <w:rsid w:val="007B2D6A"/>
    <w:rsid w:val="007B2E22"/>
    <w:rsid w:val="007B2EE7"/>
    <w:rsid w:val="007B3636"/>
    <w:rsid w:val="007B3863"/>
    <w:rsid w:val="007B4080"/>
    <w:rsid w:val="007B43EA"/>
    <w:rsid w:val="007B4FF8"/>
    <w:rsid w:val="007B529D"/>
    <w:rsid w:val="007B5937"/>
    <w:rsid w:val="007B5A85"/>
    <w:rsid w:val="007B5EDC"/>
    <w:rsid w:val="007B65B0"/>
    <w:rsid w:val="007B69FA"/>
    <w:rsid w:val="007B6E69"/>
    <w:rsid w:val="007B7528"/>
    <w:rsid w:val="007B7EBD"/>
    <w:rsid w:val="007B7F44"/>
    <w:rsid w:val="007C0254"/>
    <w:rsid w:val="007C10B5"/>
    <w:rsid w:val="007C171F"/>
    <w:rsid w:val="007C1CEF"/>
    <w:rsid w:val="007C27B3"/>
    <w:rsid w:val="007C2A3F"/>
    <w:rsid w:val="007C2BAF"/>
    <w:rsid w:val="007C3316"/>
    <w:rsid w:val="007C384B"/>
    <w:rsid w:val="007C3ABB"/>
    <w:rsid w:val="007C3F5C"/>
    <w:rsid w:val="007C4496"/>
    <w:rsid w:val="007C4BC0"/>
    <w:rsid w:val="007C589B"/>
    <w:rsid w:val="007C5A50"/>
    <w:rsid w:val="007C5EB1"/>
    <w:rsid w:val="007C6317"/>
    <w:rsid w:val="007C72D7"/>
    <w:rsid w:val="007C7338"/>
    <w:rsid w:val="007D00D0"/>
    <w:rsid w:val="007D0229"/>
    <w:rsid w:val="007D0A35"/>
    <w:rsid w:val="007D11FE"/>
    <w:rsid w:val="007D14F1"/>
    <w:rsid w:val="007D17E5"/>
    <w:rsid w:val="007D1839"/>
    <w:rsid w:val="007D1DB8"/>
    <w:rsid w:val="007D21FE"/>
    <w:rsid w:val="007D2341"/>
    <w:rsid w:val="007D23D2"/>
    <w:rsid w:val="007D26CD"/>
    <w:rsid w:val="007D29B6"/>
    <w:rsid w:val="007D2F6A"/>
    <w:rsid w:val="007D31A0"/>
    <w:rsid w:val="007D4016"/>
    <w:rsid w:val="007D4077"/>
    <w:rsid w:val="007D485E"/>
    <w:rsid w:val="007D48A1"/>
    <w:rsid w:val="007D4D5B"/>
    <w:rsid w:val="007D4FCC"/>
    <w:rsid w:val="007D5BDA"/>
    <w:rsid w:val="007D6574"/>
    <w:rsid w:val="007D6660"/>
    <w:rsid w:val="007D673B"/>
    <w:rsid w:val="007D6F0A"/>
    <w:rsid w:val="007D7657"/>
    <w:rsid w:val="007D7BE7"/>
    <w:rsid w:val="007D7E68"/>
    <w:rsid w:val="007E07F5"/>
    <w:rsid w:val="007E0EB9"/>
    <w:rsid w:val="007E0F1B"/>
    <w:rsid w:val="007E1668"/>
    <w:rsid w:val="007E1A7E"/>
    <w:rsid w:val="007E1D3C"/>
    <w:rsid w:val="007E20AC"/>
    <w:rsid w:val="007E3179"/>
    <w:rsid w:val="007E345B"/>
    <w:rsid w:val="007E4B47"/>
    <w:rsid w:val="007E4E65"/>
    <w:rsid w:val="007E4EAB"/>
    <w:rsid w:val="007E4EC8"/>
    <w:rsid w:val="007E5B3C"/>
    <w:rsid w:val="007E5B54"/>
    <w:rsid w:val="007E65F7"/>
    <w:rsid w:val="007E69D3"/>
    <w:rsid w:val="007E7422"/>
    <w:rsid w:val="007E77EF"/>
    <w:rsid w:val="007F1ACB"/>
    <w:rsid w:val="007F1C9A"/>
    <w:rsid w:val="007F2209"/>
    <w:rsid w:val="007F2250"/>
    <w:rsid w:val="007F244E"/>
    <w:rsid w:val="007F2A2C"/>
    <w:rsid w:val="007F2F0B"/>
    <w:rsid w:val="007F334B"/>
    <w:rsid w:val="007F38D7"/>
    <w:rsid w:val="007F39D1"/>
    <w:rsid w:val="007F40E6"/>
    <w:rsid w:val="007F42B2"/>
    <w:rsid w:val="007F4774"/>
    <w:rsid w:val="007F4A96"/>
    <w:rsid w:val="007F4CBA"/>
    <w:rsid w:val="007F57A8"/>
    <w:rsid w:val="007F5837"/>
    <w:rsid w:val="007F58D0"/>
    <w:rsid w:val="007F58D1"/>
    <w:rsid w:val="007F598D"/>
    <w:rsid w:val="007F5DA0"/>
    <w:rsid w:val="007F5F22"/>
    <w:rsid w:val="007F6CAF"/>
    <w:rsid w:val="007F6F8A"/>
    <w:rsid w:val="007F7358"/>
    <w:rsid w:val="007F7765"/>
    <w:rsid w:val="007F79E3"/>
    <w:rsid w:val="007F7D8D"/>
    <w:rsid w:val="008009F0"/>
    <w:rsid w:val="00800C25"/>
    <w:rsid w:val="00801122"/>
    <w:rsid w:val="008016C4"/>
    <w:rsid w:val="0080191A"/>
    <w:rsid w:val="00801D96"/>
    <w:rsid w:val="0080235D"/>
    <w:rsid w:val="008023E8"/>
    <w:rsid w:val="00802D7F"/>
    <w:rsid w:val="00802FE6"/>
    <w:rsid w:val="008038ED"/>
    <w:rsid w:val="00803C64"/>
    <w:rsid w:val="00803FF4"/>
    <w:rsid w:val="00804151"/>
    <w:rsid w:val="00804236"/>
    <w:rsid w:val="0080436A"/>
    <w:rsid w:val="008047DA"/>
    <w:rsid w:val="0080547E"/>
    <w:rsid w:val="00805918"/>
    <w:rsid w:val="008059B7"/>
    <w:rsid w:val="00805E72"/>
    <w:rsid w:val="008060D8"/>
    <w:rsid w:val="00806743"/>
    <w:rsid w:val="00806A4B"/>
    <w:rsid w:val="00806BDB"/>
    <w:rsid w:val="008071F8"/>
    <w:rsid w:val="0080790A"/>
    <w:rsid w:val="00807C00"/>
    <w:rsid w:val="00807F5D"/>
    <w:rsid w:val="00807FDB"/>
    <w:rsid w:val="0081022C"/>
    <w:rsid w:val="00810532"/>
    <w:rsid w:val="008108C5"/>
    <w:rsid w:val="008109DC"/>
    <w:rsid w:val="00811000"/>
    <w:rsid w:val="008111BD"/>
    <w:rsid w:val="008123C0"/>
    <w:rsid w:val="00812577"/>
    <w:rsid w:val="00813398"/>
    <w:rsid w:val="00813D2B"/>
    <w:rsid w:val="00813FB7"/>
    <w:rsid w:val="00813FD7"/>
    <w:rsid w:val="008148A5"/>
    <w:rsid w:val="00814D1C"/>
    <w:rsid w:val="00814EFF"/>
    <w:rsid w:val="00814F65"/>
    <w:rsid w:val="00815390"/>
    <w:rsid w:val="008154EA"/>
    <w:rsid w:val="0081563D"/>
    <w:rsid w:val="00815684"/>
    <w:rsid w:val="00815B0B"/>
    <w:rsid w:val="00815BEF"/>
    <w:rsid w:val="00815FBE"/>
    <w:rsid w:val="00816148"/>
    <w:rsid w:val="008168D3"/>
    <w:rsid w:val="00817747"/>
    <w:rsid w:val="00817ADE"/>
    <w:rsid w:val="00817C5F"/>
    <w:rsid w:val="00817D51"/>
    <w:rsid w:val="0082019D"/>
    <w:rsid w:val="0082020E"/>
    <w:rsid w:val="008206DC"/>
    <w:rsid w:val="00820B3B"/>
    <w:rsid w:val="00820C7E"/>
    <w:rsid w:val="00821597"/>
    <w:rsid w:val="00822537"/>
    <w:rsid w:val="0082289C"/>
    <w:rsid w:val="00822A25"/>
    <w:rsid w:val="00823252"/>
    <w:rsid w:val="0082346F"/>
    <w:rsid w:val="008235EA"/>
    <w:rsid w:val="00826247"/>
    <w:rsid w:val="008265A1"/>
    <w:rsid w:val="008266AD"/>
    <w:rsid w:val="008266BC"/>
    <w:rsid w:val="0082695B"/>
    <w:rsid w:val="008277A0"/>
    <w:rsid w:val="00827C24"/>
    <w:rsid w:val="00830D21"/>
    <w:rsid w:val="0083172A"/>
    <w:rsid w:val="00831BAE"/>
    <w:rsid w:val="00831D64"/>
    <w:rsid w:val="008324BC"/>
    <w:rsid w:val="008325A9"/>
    <w:rsid w:val="00832784"/>
    <w:rsid w:val="00832D8B"/>
    <w:rsid w:val="00832F4D"/>
    <w:rsid w:val="008332A4"/>
    <w:rsid w:val="0083330E"/>
    <w:rsid w:val="0083350C"/>
    <w:rsid w:val="00834076"/>
    <w:rsid w:val="00834AA7"/>
    <w:rsid w:val="008351FD"/>
    <w:rsid w:val="00835797"/>
    <w:rsid w:val="008364C6"/>
    <w:rsid w:val="00836C1B"/>
    <w:rsid w:val="0083798A"/>
    <w:rsid w:val="00837FA2"/>
    <w:rsid w:val="008405FA"/>
    <w:rsid w:val="00840606"/>
    <w:rsid w:val="00840AB6"/>
    <w:rsid w:val="00841AB0"/>
    <w:rsid w:val="00842013"/>
    <w:rsid w:val="00842ED0"/>
    <w:rsid w:val="008430EE"/>
    <w:rsid w:val="00843615"/>
    <w:rsid w:val="00843BC9"/>
    <w:rsid w:val="0084458F"/>
    <w:rsid w:val="008446E7"/>
    <w:rsid w:val="00844AD9"/>
    <w:rsid w:val="00844BD9"/>
    <w:rsid w:val="00845438"/>
    <w:rsid w:val="00846DF7"/>
    <w:rsid w:val="00846F39"/>
    <w:rsid w:val="00847297"/>
    <w:rsid w:val="0084780A"/>
    <w:rsid w:val="008501C3"/>
    <w:rsid w:val="00850778"/>
    <w:rsid w:val="00850F7B"/>
    <w:rsid w:val="00851149"/>
    <w:rsid w:val="00851271"/>
    <w:rsid w:val="00851440"/>
    <w:rsid w:val="008517F3"/>
    <w:rsid w:val="00851942"/>
    <w:rsid w:val="00852087"/>
    <w:rsid w:val="008521AE"/>
    <w:rsid w:val="008521AF"/>
    <w:rsid w:val="0085233F"/>
    <w:rsid w:val="008525CA"/>
    <w:rsid w:val="008526CC"/>
    <w:rsid w:val="00852DDA"/>
    <w:rsid w:val="008542D3"/>
    <w:rsid w:val="008542E8"/>
    <w:rsid w:val="0085473B"/>
    <w:rsid w:val="0085479B"/>
    <w:rsid w:val="0085498F"/>
    <w:rsid w:val="00854E21"/>
    <w:rsid w:val="008558CB"/>
    <w:rsid w:val="00855936"/>
    <w:rsid w:val="00855C8C"/>
    <w:rsid w:val="00855DE4"/>
    <w:rsid w:val="00856163"/>
    <w:rsid w:val="0085640E"/>
    <w:rsid w:val="0085676A"/>
    <w:rsid w:val="0085682C"/>
    <w:rsid w:val="00856CF5"/>
    <w:rsid w:val="00856EA2"/>
    <w:rsid w:val="00857426"/>
    <w:rsid w:val="00857770"/>
    <w:rsid w:val="008577A2"/>
    <w:rsid w:val="00857823"/>
    <w:rsid w:val="00857B6D"/>
    <w:rsid w:val="00857C00"/>
    <w:rsid w:val="0086038D"/>
    <w:rsid w:val="0086067B"/>
    <w:rsid w:val="00861120"/>
    <w:rsid w:val="008611B1"/>
    <w:rsid w:val="00861E30"/>
    <w:rsid w:val="00862185"/>
    <w:rsid w:val="0086219E"/>
    <w:rsid w:val="00862317"/>
    <w:rsid w:val="00863EF9"/>
    <w:rsid w:val="00863F48"/>
    <w:rsid w:val="00865F07"/>
    <w:rsid w:val="0086702D"/>
    <w:rsid w:val="008670EC"/>
    <w:rsid w:val="00867165"/>
    <w:rsid w:val="008671DE"/>
    <w:rsid w:val="008674E7"/>
    <w:rsid w:val="00867A1A"/>
    <w:rsid w:val="0087063E"/>
    <w:rsid w:val="008709D3"/>
    <w:rsid w:val="00871497"/>
    <w:rsid w:val="00872037"/>
    <w:rsid w:val="00872864"/>
    <w:rsid w:val="00872BD0"/>
    <w:rsid w:val="008738CD"/>
    <w:rsid w:val="008741A7"/>
    <w:rsid w:val="00874689"/>
    <w:rsid w:val="008748AB"/>
    <w:rsid w:val="00874AC0"/>
    <w:rsid w:val="00874CEE"/>
    <w:rsid w:val="00874FC6"/>
    <w:rsid w:val="00875108"/>
    <w:rsid w:val="008754FB"/>
    <w:rsid w:val="0087576F"/>
    <w:rsid w:val="00875C63"/>
    <w:rsid w:val="0087627D"/>
    <w:rsid w:val="008763F8"/>
    <w:rsid w:val="008765CB"/>
    <w:rsid w:val="0087678B"/>
    <w:rsid w:val="0087697F"/>
    <w:rsid w:val="00876C7D"/>
    <w:rsid w:val="008771AA"/>
    <w:rsid w:val="008777F6"/>
    <w:rsid w:val="00877C64"/>
    <w:rsid w:val="00877F3D"/>
    <w:rsid w:val="00881021"/>
    <w:rsid w:val="0088114C"/>
    <w:rsid w:val="0088117D"/>
    <w:rsid w:val="00881248"/>
    <w:rsid w:val="008816D8"/>
    <w:rsid w:val="00881802"/>
    <w:rsid w:val="00881B7F"/>
    <w:rsid w:val="00881CBF"/>
    <w:rsid w:val="00882365"/>
    <w:rsid w:val="0088265C"/>
    <w:rsid w:val="008830E8"/>
    <w:rsid w:val="00883BA8"/>
    <w:rsid w:val="008841B4"/>
    <w:rsid w:val="00884927"/>
    <w:rsid w:val="00884ACB"/>
    <w:rsid w:val="00884C89"/>
    <w:rsid w:val="00885411"/>
    <w:rsid w:val="00885484"/>
    <w:rsid w:val="0088552B"/>
    <w:rsid w:val="008857DF"/>
    <w:rsid w:val="00885B00"/>
    <w:rsid w:val="00886252"/>
    <w:rsid w:val="00886901"/>
    <w:rsid w:val="008873B6"/>
    <w:rsid w:val="00887EBF"/>
    <w:rsid w:val="008901BE"/>
    <w:rsid w:val="0089088D"/>
    <w:rsid w:val="00890C9A"/>
    <w:rsid w:val="00890FAD"/>
    <w:rsid w:val="0089186B"/>
    <w:rsid w:val="00891C99"/>
    <w:rsid w:val="00891E28"/>
    <w:rsid w:val="008929B9"/>
    <w:rsid w:val="00894263"/>
    <w:rsid w:val="00894C19"/>
    <w:rsid w:val="008952F8"/>
    <w:rsid w:val="008953E4"/>
    <w:rsid w:val="008954AF"/>
    <w:rsid w:val="00895AE5"/>
    <w:rsid w:val="00895F0E"/>
    <w:rsid w:val="008972C7"/>
    <w:rsid w:val="00897BC3"/>
    <w:rsid w:val="008A01FE"/>
    <w:rsid w:val="008A10A2"/>
    <w:rsid w:val="008A137A"/>
    <w:rsid w:val="008A141A"/>
    <w:rsid w:val="008A1468"/>
    <w:rsid w:val="008A15CD"/>
    <w:rsid w:val="008A1B15"/>
    <w:rsid w:val="008A265D"/>
    <w:rsid w:val="008A2B0E"/>
    <w:rsid w:val="008A3428"/>
    <w:rsid w:val="008A3640"/>
    <w:rsid w:val="008A4158"/>
    <w:rsid w:val="008A50AA"/>
    <w:rsid w:val="008A545A"/>
    <w:rsid w:val="008A5755"/>
    <w:rsid w:val="008A57C8"/>
    <w:rsid w:val="008A5B65"/>
    <w:rsid w:val="008A5C3E"/>
    <w:rsid w:val="008A5C59"/>
    <w:rsid w:val="008A600D"/>
    <w:rsid w:val="008A6093"/>
    <w:rsid w:val="008A61E6"/>
    <w:rsid w:val="008A6E2E"/>
    <w:rsid w:val="008A7090"/>
    <w:rsid w:val="008A74E5"/>
    <w:rsid w:val="008A7684"/>
    <w:rsid w:val="008A7701"/>
    <w:rsid w:val="008A79A9"/>
    <w:rsid w:val="008A7A00"/>
    <w:rsid w:val="008A7DF2"/>
    <w:rsid w:val="008A7E0F"/>
    <w:rsid w:val="008B045E"/>
    <w:rsid w:val="008B15F8"/>
    <w:rsid w:val="008B1676"/>
    <w:rsid w:val="008B1C53"/>
    <w:rsid w:val="008B2127"/>
    <w:rsid w:val="008B23BC"/>
    <w:rsid w:val="008B31E4"/>
    <w:rsid w:val="008B4111"/>
    <w:rsid w:val="008B4961"/>
    <w:rsid w:val="008B4CBB"/>
    <w:rsid w:val="008B5874"/>
    <w:rsid w:val="008B5E18"/>
    <w:rsid w:val="008B714A"/>
    <w:rsid w:val="008B72A6"/>
    <w:rsid w:val="008B7591"/>
    <w:rsid w:val="008B76DC"/>
    <w:rsid w:val="008B786B"/>
    <w:rsid w:val="008B7A28"/>
    <w:rsid w:val="008C06E2"/>
    <w:rsid w:val="008C07BB"/>
    <w:rsid w:val="008C0841"/>
    <w:rsid w:val="008C0BF4"/>
    <w:rsid w:val="008C1030"/>
    <w:rsid w:val="008C13D7"/>
    <w:rsid w:val="008C15E3"/>
    <w:rsid w:val="008C1793"/>
    <w:rsid w:val="008C1C8A"/>
    <w:rsid w:val="008C2115"/>
    <w:rsid w:val="008C2382"/>
    <w:rsid w:val="008C2672"/>
    <w:rsid w:val="008C2CDE"/>
    <w:rsid w:val="008C2F30"/>
    <w:rsid w:val="008C30F7"/>
    <w:rsid w:val="008C3C6B"/>
    <w:rsid w:val="008C56DA"/>
    <w:rsid w:val="008C5877"/>
    <w:rsid w:val="008C5BDE"/>
    <w:rsid w:val="008C5D00"/>
    <w:rsid w:val="008C66E5"/>
    <w:rsid w:val="008C6A80"/>
    <w:rsid w:val="008C70F6"/>
    <w:rsid w:val="008D052E"/>
    <w:rsid w:val="008D05EF"/>
    <w:rsid w:val="008D07DB"/>
    <w:rsid w:val="008D088F"/>
    <w:rsid w:val="008D0C1E"/>
    <w:rsid w:val="008D0FE8"/>
    <w:rsid w:val="008D12F4"/>
    <w:rsid w:val="008D1731"/>
    <w:rsid w:val="008D26ED"/>
    <w:rsid w:val="008D2EF8"/>
    <w:rsid w:val="008D36F3"/>
    <w:rsid w:val="008D3C07"/>
    <w:rsid w:val="008D3E6D"/>
    <w:rsid w:val="008D40AE"/>
    <w:rsid w:val="008D40CE"/>
    <w:rsid w:val="008D438A"/>
    <w:rsid w:val="008D462B"/>
    <w:rsid w:val="008D4A78"/>
    <w:rsid w:val="008D5AAC"/>
    <w:rsid w:val="008D5DB4"/>
    <w:rsid w:val="008D67BC"/>
    <w:rsid w:val="008D6FA5"/>
    <w:rsid w:val="008D7130"/>
    <w:rsid w:val="008D72EE"/>
    <w:rsid w:val="008D7337"/>
    <w:rsid w:val="008D748A"/>
    <w:rsid w:val="008D74A7"/>
    <w:rsid w:val="008E037F"/>
    <w:rsid w:val="008E0782"/>
    <w:rsid w:val="008E21E9"/>
    <w:rsid w:val="008E2A20"/>
    <w:rsid w:val="008E2CA0"/>
    <w:rsid w:val="008E2FC9"/>
    <w:rsid w:val="008E325A"/>
    <w:rsid w:val="008E3291"/>
    <w:rsid w:val="008E43B2"/>
    <w:rsid w:val="008E4657"/>
    <w:rsid w:val="008E4A62"/>
    <w:rsid w:val="008E4A72"/>
    <w:rsid w:val="008E4D4B"/>
    <w:rsid w:val="008E4D59"/>
    <w:rsid w:val="008E516E"/>
    <w:rsid w:val="008E54F2"/>
    <w:rsid w:val="008E58CA"/>
    <w:rsid w:val="008E5CB0"/>
    <w:rsid w:val="008E5D17"/>
    <w:rsid w:val="008E6175"/>
    <w:rsid w:val="008E648E"/>
    <w:rsid w:val="008E6B7B"/>
    <w:rsid w:val="008E7482"/>
    <w:rsid w:val="008E7BD0"/>
    <w:rsid w:val="008E7E32"/>
    <w:rsid w:val="008F00FD"/>
    <w:rsid w:val="008F014A"/>
    <w:rsid w:val="008F01EB"/>
    <w:rsid w:val="008F020B"/>
    <w:rsid w:val="008F0CB1"/>
    <w:rsid w:val="008F0CD5"/>
    <w:rsid w:val="008F0E97"/>
    <w:rsid w:val="008F1167"/>
    <w:rsid w:val="008F11EB"/>
    <w:rsid w:val="008F19D3"/>
    <w:rsid w:val="008F2041"/>
    <w:rsid w:val="008F32A1"/>
    <w:rsid w:val="008F3C17"/>
    <w:rsid w:val="008F3C73"/>
    <w:rsid w:val="008F4233"/>
    <w:rsid w:val="008F4345"/>
    <w:rsid w:val="008F4564"/>
    <w:rsid w:val="008F497D"/>
    <w:rsid w:val="008F5B2E"/>
    <w:rsid w:val="008F7B52"/>
    <w:rsid w:val="0090016B"/>
    <w:rsid w:val="0090050E"/>
    <w:rsid w:val="00901AFD"/>
    <w:rsid w:val="00902628"/>
    <w:rsid w:val="00902804"/>
    <w:rsid w:val="00902D50"/>
    <w:rsid w:val="0090382C"/>
    <w:rsid w:val="00903BA8"/>
    <w:rsid w:val="0090406B"/>
    <w:rsid w:val="00904184"/>
    <w:rsid w:val="00904385"/>
    <w:rsid w:val="00904559"/>
    <w:rsid w:val="00904891"/>
    <w:rsid w:val="0090536C"/>
    <w:rsid w:val="0090589E"/>
    <w:rsid w:val="00905AB0"/>
    <w:rsid w:val="009063A5"/>
    <w:rsid w:val="00906434"/>
    <w:rsid w:val="0090658D"/>
    <w:rsid w:val="009068F3"/>
    <w:rsid w:val="00907276"/>
    <w:rsid w:val="00907E03"/>
    <w:rsid w:val="009102C2"/>
    <w:rsid w:val="009103F8"/>
    <w:rsid w:val="0091090B"/>
    <w:rsid w:val="00910AAC"/>
    <w:rsid w:val="00910D5A"/>
    <w:rsid w:val="00910DBF"/>
    <w:rsid w:val="0091104F"/>
    <w:rsid w:val="00911179"/>
    <w:rsid w:val="00911A72"/>
    <w:rsid w:val="00911A75"/>
    <w:rsid w:val="00911E36"/>
    <w:rsid w:val="00912121"/>
    <w:rsid w:val="00912BE5"/>
    <w:rsid w:val="00913154"/>
    <w:rsid w:val="00913202"/>
    <w:rsid w:val="009134C6"/>
    <w:rsid w:val="00913683"/>
    <w:rsid w:val="00913A9B"/>
    <w:rsid w:val="00913DC6"/>
    <w:rsid w:val="00914A83"/>
    <w:rsid w:val="00914BF7"/>
    <w:rsid w:val="00915042"/>
    <w:rsid w:val="00915251"/>
    <w:rsid w:val="009159E0"/>
    <w:rsid w:val="009168AE"/>
    <w:rsid w:val="00917644"/>
    <w:rsid w:val="009201C4"/>
    <w:rsid w:val="00921078"/>
    <w:rsid w:val="0092149E"/>
    <w:rsid w:val="00921FA2"/>
    <w:rsid w:val="0092262F"/>
    <w:rsid w:val="00922A29"/>
    <w:rsid w:val="00922C3B"/>
    <w:rsid w:val="00922E0A"/>
    <w:rsid w:val="0092313E"/>
    <w:rsid w:val="00923F15"/>
    <w:rsid w:val="00924715"/>
    <w:rsid w:val="00924E79"/>
    <w:rsid w:val="009256B6"/>
    <w:rsid w:val="00925BE7"/>
    <w:rsid w:val="0092600B"/>
    <w:rsid w:val="009261CC"/>
    <w:rsid w:val="00927286"/>
    <w:rsid w:val="0092744E"/>
    <w:rsid w:val="009276A3"/>
    <w:rsid w:val="00927976"/>
    <w:rsid w:val="00927A21"/>
    <w:rsid w:val="00927ADD"/>
    <w:rsid w:val="00927F3A"/>
    <w:rsid w:val="0093024E"/>
    <w:rsid w:val="0093039E"/>
    <w:rsid w:val="009307BB"/>
    <w:rsid w:val="00931E2D"/>
    <w:rsid w:val="00931FFD"/>
    <w:rsid w:val="009328EF"/>
    <w:rsid w:val="00932FE3"/>
    <w:rsid w:val="009332BB"/>
    <w:rsid w:val="009336D4"/>
    <w:rsid w:val="00933896"/>
    <w:rsid w:val="009346EE"/>
    <w:rsid w:val="00934DA2"/>
    <w:rsid w:val="00934E4D"/>
    <w:rsid w:val="00935120"/>
    <w:rsid w:val="00935200"/>
    <w:rsid w:val="00935292"/>
    <w:rsid w:val="00935488"/>
    <w:rsid w:val="009356FD"/>
    <w:rsid w:val="0093628B"/>
    <w:rsid w:val="009366E3"/>
    <w:rsid w:val="00936B18"/>
    <w:rsid w:val="00936DC2"/>
    <w:rsid w:val="0093700E"/>
    <w:rsid w:val="009376BC"/>
    <w:rsid w:val="00937DE3"/>
    <w:rsid w:val="009401D8"/>
    <w:rsid w:val="00940B41"/>
    <w:rsid w:val="00940FD8"/>
    <w:rsid w:val="009410AC"/>
    <w:rsid w:val="00941133"/>
    <w:rsid w:val="009414A0"/>
    <w:rsid w:val="009416AC"/>
    <w:rsid w:val="00941A98"/>
    <w:rsid w:val="00941D2D"/>
    <w:rsid w:val="00941F5B"/>
    <w:rsid w:val="009425B0"/>
    <w:rsid w:val="0094296A"/>
    <w:rsid w:val="00942B32"/>
    <w:rsid w:val="009436C8"/>
    <w:rsid w:val="00943DCF"/>
    <w:rsid w:val="00944686"/>
    <w:rsid w:val="00944C32"/>
    <w:rsid w:val="00944E61"/>
    <w:rsid w:val="0094533E"/>
    <w:rsid w:val="0094545E"/>
    <w:rsid w:val="009455D0"/>
    <w:rsid w:val="00945653"/>
    <w:rsid w:val="009456E8"/>
    <w:rsid w:val="00946BA8"/>
    <w:rsid w:val="009475D8"/>
    <w:rsid w:val="00951449"/>
    <w:rsid w:val="0095155E"/>
    <w:rsid w:val="00951585"/>
    <w:rsid w:val="009515BB"/>
    <w:rsid w:val="0095216D"/>
    <w:rsid w:val="009527C5"/>
    <w:rsid w:val="00952C54"/>
    <w:rsid w:val="00952D60"/>
    <w:rsid w:val="00953143"/>
    <w:rsid w:val="0095351C"/>
    <w:rsid w:val="009535EF"/>
    <w:rsid w:val="0095367F"/>
    <w:rsid w:val="00953F08"/>
    <w:rsid w:val="00955A32"/>
    <w:rsid w:val="00956446"/>
    <w:rsid w:val="009565FA"/>
    <w:rsid w:val="009568A0"/>
    <w:rsid w:val="009573C0"/>
    <w:rsid w:val="0095762A"/>
    <w:rsid w:val="00957631"/>
    <w:rsid w:val="00957B5C"/>
    <w:rsid w:val="00957BC7"/>
    <w:rsid w:val="00957CD9"/>
    <w:rsid w:val="00961203"/>
    <w:rsid w:val="00961412"/>
    <w:rsid w:val="009619F0"/>
    <w:rsid w:val="00963630"/>
    <w:rsid w:val="00963D4F"/>
    <w:rsid w:val="00963FC2"/>
    <w:rsid w:val="0096409F"/>
    <w:rsid w:val="00964276"/>
    <w:rsid w:val="00964429"/>
    <w:rsid w:val="00964439"/>
    <w:rsid w:val="0096454C"/>
    <w:rsid w:val="00964E0C"/>
    <w:rsid w:val="0096503D"/>
    <w:rsid w:val="0096520B"/>
    <w:rsid w:val="00965686"/>
    <w:rsid w:val="009656E8"/>
    <w:rsid w:val="009672E9"/>
    <w:rsid w:val="0096770B"/>
    <w:rsid w:val="009677FC"/>
    <w:rsid w:val="00967A3C"/>
    <w:rsid w:val="009703D6"/>
    <w:rsid w:val="009707DC"/>
    <w:rsid w:val="00970DA1"/>
    <w:rsid w:val="0097128B"/>
    <w:rsid w:val="0097132F"/>
    <w:rsid w:val="00971CA1"/>
    <w:rsid w:val="00971EED"/>
    <w:rsid w:val="0097235C"/>
    <w:rsid w:val="0097294B"/>
    <w:rsid w:val="00972959"/>
    <w:rsid w:val="0097307D"/>
    <w:rsid w:val="009730CF"/>
    <w:rsid w:val="0097318C"/>
    <w:rsid w:val="0097350E"/>
    <w:rsid w:val="00973B87"/>
    <w:rsid w:val="0097489F"/>
    <w:rsid w:val="00974926"/>
    <w:rsid w:val="00974C59"/>
    <w:rsid w:val="00974EF2"/>
    <w:rsid w:val="00975120"/>
    <w:rsid w:val="009757CF"/>
    <w:rsid w:val="00975F10"/>
    <w:rsid w:val="0098009E"/>
    <w:rsid w:val="00980198"/>
    <w:rsid w:val="009802FF"/>
    <w:rsid w:val="00980D77"/>
    <w:rsid w:val="00980E0E"/>
    <w:rsid w:val="00981075"/>
    <w:rsid w:val="00981139"/>
    <w:rsid w:val="00981576"/>
    <w:rsid w:val="0098157B"/>
    <w:rsid w:val="00981CC5"/>
    <w:rsid w:val="00982153"/>
    <w:rsid w:val="009829A8"/>
    <w:rsid w:val="00982F43"/>
    <w:rsid w:val="009831BF"/>
    <w:rsid w:val="009837F4"/>
    <w:rsid w:val="00983FD7"/>
    <w:rsid w:val="0098420D"/>
    <w:rsid w:val="009844C7"/>
    <w:rsid w:val="009846E0"/>
    <w:rsid w:val="00985BC2"/>
    <w:rsid w:val="00985FBF"/>
    <w:rsid w:val="0098685E"/>
    <w:rsid w:val="009869C8"/>
    <w:rsid w:val="00986E6A"/>
    <w:rsid w:val="0098702B"/>
    <w:rsid w:val="009874D7"/>
    <w:rsid w:val="00987588"/>
    <w:rsid w:val="00987C6A"/>
    <w:rsid w:val="009904C6"/>
    <w:rsid w:val="00990782"/>
    <w:rsid w:val="0099079E"/>
    <w:rsid w:val="0099122D"/>
    <w:rsid w:val="0099141B"/>
    <w:rsid w:val="00991864"/>
    <w:rsid w:val="009922E6"/>
    <w:rsid w:val="009923BA"/>
    <w:rsid w:val="009925F2"/>
    <w:rsid w:val="009925F3"/>
    <w:rsid w:val="00992A5B"/>
    <w:rsid w:val="00992D85"/>
    <w:rsid w:val="00993191"/>
    <w:rsid w:val="00993276"/>
    <w:rsid w:val="00993A6A"/>
    <w:rsid w:val="00994C4A"/>
    <w:rsid w:val="00994E5E"/>
    <w:rsid w:val="00995C97"/>
    <w:rsid w:val="009964A8"/>
    <w:rsid w:val="00996592"/>
    <w:rsid w:val="009967C3"/>
    <w:rsid w:val="009968A0"/>
    <w:rsid w:val="009970B5"/>
    <w:rsid w:val="009974DE"/>
    <w:rsid w:val="00997C75"/>
    <w:rsid w:val="00997EB8"/>
    <w:rsid w:val="00997F69"/>
    <w:rsid w:val="009A0446"/>
    <w:rsid w:val="009A080C"/>
    <w:rsid w:val="009A0B86"/>
    <w:rsid w:val="009A0B8F"/>
    <w:rsid w:val="009A1965"/>
    <w:rsid w:val="009A1F3B"/>
    <w:rsid w:val="009A244F"/>
    <w:rsid w:val="009A2917"/>
    <w:rsid w:val="009A2F46"/>
    <w:rsid w:val="009A2FF5"/>
    <w:rsid w:val="009A33CD"/>
    <w:rsid w:val="009A3FD2"/>
    <w:rsid w:val="009A4218"/>
    <w:rsid w:val="009A4527"/>
    <w:rsid w:val="009A4AE2"/>
    <w:rsid w:val="009A570F"/>
    <w:rsid w:val="009A6051"/>
    <w:rsid w:val="009A623E"/>
    <w:rsid w:val="009A632B"/>
    <w:rsid w:val="009A68F3"/>
    <w:rsid w:val="009A69BA"/>
    <w:rsid w:val="009A6CC7"/>
    <w:rsid w:val="009A795A"/>
    <w:rsid w:val="009B0333"/>
    <w:rsid w:val="009B03CD"/>
    <w:rsid w:val="009B05C4"/>
    <w:rsid w:val="009B0707"/>
    <w:rsid w:val="009B0E5A"/>
    <w:rsid w:val="009B0E7A"/>
    <w:rsid w:val="009B124D"/>
    <w:rsid w:val="009B1B35"/>
    <w:rsid w:val="009B1E00"/>
    <w:rsid w:val="009B1E64"/>
    <w:rsid w:val="009B2272"/>
    <w:rsid w:val="009B2602"/>
    <w:rsid w:val="009B2BA9"/>
    <w:rsid w:val="009B3344"/>
    <w:rsid w:val="009B3EB1"/>
    <w:rsid w:val="009B4C41"/>
    <w:rsid w:val="009B5570"/>
    <w:rsid w:val="009B613E"/>
    <w:rsid w:val="009B6461"/>
    <w:rsid w:val="009B72C7"/>
    <w:rsid w:val="009B7491"/>
    <w:rsid w:val="009B7C37"/>
    <w:rsid w:val="009B7F83"/>
    <w:rsid w:val="009B7FE4"/>
    <w:rsid w:val="009C045E"/>
    <w:rsid w:val="009C07D4"/>
    <w:rsid w:val="009C09C7"/>
    <w:rsid w:val="009C0B35"/>
    <w:rsid w:val="009C1BCC"/>
    <w:rsid w:val="009C1C2B"/>
    <w:rsid w:val="009C1DDB"/>
    <w:rsid w:val="009C1F7A"/>
    <w:rsid w:val="009C2265"/>
    <w:rsid w:val="009C2CD6"/>
    <w:rsid w:val="009C2F62"/>
    <w:rsid w:val="009C38BB"/>
    <w:rsid w:val="009C3A1F"/>
    <w:rsid w:val="009C3B98"/>
    <w:rsid w:val="009C3E52"/>
    <w:rsid w:val="009C525C"/>
    <w:rsid w:val="009C52C0"/>
    <w:rsid w:val="009C5405"/>
    <w:rsid w:val="009C5CB8"/>
    <w:rsid w:val="009C5CC9"/>
    <w:rsid w:val="009C5F6B"/>
    <w:rsid w:val="009C6369"/>
    <w:rsid w:val="009C6762"/>
    <w:rsid w:val="009C6A19"/>
    <w:rsid w:val="009C6B55"/>
    <w:rsid w:val="009C7B5E"/>
    <w:rsid w:val="009C7F5A"/>
    <w:rsid w:val="009D019C"/>
    <w:rsid w:val="009D1762"/>
    <w:rsid w:val="009D1E0F"/>
    <w:rsid w:val="009D24CC"/>
    <w:rsid w:val="009D3930"/>
    <w:rsid w:val="009D393F"/>
    <w:rsid w:val="009D434D"/>
    <w:rsid w:val="009D44D7"/>
    <w:rsid w:val="009D47AE"/>
    <w:rsid w:val="009D4A35"/>
    <w:rsid w:val="009D4BDB"/>
    <w:rsid w:val="009D541B"/>
    <w:rsid w:val="009D56C5"/>
    <w:rsid w:val="009D5E03"/>
    <w:rsid w:val="009D635E"/>
    <w:rsid w:val="009D671B"/>
    <w:rsid w:val="009D67E4"/>
    <w:rsid w:val="009D7413"/>
    <w:rsid w:val="009D76D5"/>
    <w:rsid w:val="009D7882"/>
    <w:rsid w:val="009D78BD"/>
    <w:rsid w:val="009E0105"/>
    <w:rsid w:val="009E0E8B"/>
    <w:rsid w:val="009E2560"/>
    <w:rsid w:val="009E2E2A"/>
    <w:rsid w:val="009E2FC0"/>
    <w:rsid w:val="009E3191"/>
    <w:rsid w:val="009E31B4"/>
    <w:rsid w:val="009E3220"/>
    <w:rsid w:val="009E3768"/>
    <w:rsid w:val="009E3FF9"/>
    <w:rsid w:val="009E40D0"/>
    <w:rsid w:val="009E41E6"/>
    <w:rsid w:val="009E5496"/>
    <w:rsid w:val="009E5514"/>
    <w:rsid w:val="009E58EA"/>
    <w:rsid w:val="009E5B81"/>
    <w:rsid w:val="009E5C71"/>
    <w:rsid w:val="009E67A1"/>
    <w:rsid w:val="009E68AF"/>
    <w:rsid w:val="009E7037"/>
    <w:rsid w:val="009E74F7"/>
    <w:rsid w:val="009E7631"/>
    <w:rsid w:val="009F0292"/>
    <w:rsid w:val="009F0762"/>
    <w:rsid w:val="009F0856"/>
    <w:rsid w:val="009F0A22"/>
    <w:rsid w:val="009F0F29"/>
    <w:rsid w:val="009F0FB9"/>
    <w:rsid w:val="009F1EF8"/>
    <w:rsid w:val="009F203F"/>
    <w:rsid w:val="009F2381"/>
    <w:rsid w:val="009F2839"/>
    <w:rsid w:val="009F28F9"/>
    <w:rsid w:val="009F3CAC"/>
    <w:rsid w:val="009F3DF8"/>
    <w:rsid w:val="009F3ED2"/>
    <w:rsid w:val="009F41C8"/>
    <w:rsid w:val="009F43AE"/>
    <w:rsid w:val="009F4AA3"/>
    <w:rsid w:val="009F4DEA"/>
    <w:rsid w:val="009F527F"/>
    <w:rsid w:val="009F530D"/>
    <w:rsid w:val="009F6564"/>
    <w:rsid w:val="009F6A6E"/>
    <w:rsid w:val="009F7814"/>
    <w:rsid w:val="009F790A"/>
    <w:rsid w:val="00A02063"/>
    <w:rsid w:val="00A02348"/>
    <w:rsid w:val="00A02757"/>
    <w:rsid w:val="00A03342"/>
    <w:rsid w:val="00A03921"/>
    <w:rsid w:val="00A03C3D"/>
    <w:rsid w:val="00A05187"/>
    <w:rsid w:val="00A05348"/>
    <w:rsid w:val="00A0568D"/>
    <w:rsid w:val="00A05B47"/>
    <w:rsid w:val="00A06705"/>
    <w:rsid w:val="00A06C51"/>
    <w:rsid w:val="00A0799E"/>
    <w:rsid w:val="00A07AFE"/>
    <w:rsid w:val="00A101EB"/>
    <w:rsid w:val="00A10C6C"/>
    <w:rsid w:val="00A11CAA"/>
    <w:rsid w:val="00A134C8"/>
    <w:rsid w:val="00A13D4C"/>
    <w:rsid w:val="00A13E89"/>
    <w:rsid w:val="00A13EB3"/>
    <w:rsid w:val="00A13FF1"/>
    <w:rsid w:val="00A14070"/>
    <w:rsid w:val="00A1452B"/>
    <w:rsid w:val="00A14700"/>
    <w:rsid w:val="00A14AFD"/>
    <w:rsid w:val="00A15BE6"/>
    <w:rsid w:val="00A16752"/>
    <w:rsid w:val="00A16F3A"/>
    <w:rsid w:val="00A17F01"/>
    <w:rsid w:val="00A20626"/>
    <w:rsid w:val="00A208EF"/>
    <w:rsid w:val="00A21374"/>
    <w:rsid w:val="00A21661"/>
    <w:rsid w:val="00A21738"/>
    <w:rsid w:val="00A217F8"/>
    <w:rsid w:val="00A22558"/>
    <w:rsid w:val="00A22574"/>
    <w:rsid w:val="00A2282A"/>
    <w:rsid w:val="00A2331F"/>
    <w:rsid w:val="00A23805"/>
    <w:rsid w:val="00A23B67"/>
    <w:rsid w:val="00A242D7"/>
    <w:rsid w:val="00A245BD"/>
    <w:rsid w:val="00A249C9"/>
    <w:rsid w:val="00A24F4A"/>
    <w:rsid w:val="00A2508F"/>
    <w:rsid w:val="00A251BD"/>
    <w:rsid w:val="00A255B5"/>
    <w:rsid w:val="00A25C65"/>
    <w:rsid w:val="00A269B4"/>
    <w:rsid w:val="00A26A1A"/>
    <w:rsid w:val="00A26CE8"/>
    <w:rsid w:val="00A27292"/>
    <w:rsid w:val="00A27698"/>
    <w:rsid w:val="00A277B4"/>
    <w:rsid w:val="00A27CE6"/>
    <w:rsid w:val="00A30B5C"/>
    <w:rsid w:val="00A30D4E"/>
    <w:rsid w:val="00A31673"/>
    <w:rsid w:val="00A31DF1"/>
    <w:rsid w:val="00A31E71"/>
    <w:rsid w:val="00A323A0"/>
    <w:rsid w:val="00A32726"/>
    <w:rsid w:val="00A32D64"/>
    <w:rsid w:val="00A33865"/>
    <w:rsid w:val="00A33ADC"/>
    <w:rsid w:val="00A34084"/>
    <w:rsid w:val="00A346F1"/>
    <w:rsid w:val="00A35F05"/>
    <w:rsid w:val="00A37A8C"/>
    <w:rsid w:val="00A37C01"/>
    <w:rsid w:val="00A413CD"/>
    <w:rsid w:val="00A413FD"/>
    <w:rsid w:val="00A4232D"/>
    <w:rsid w:val="00A4270B"/>
    <w:rsid w:val="00A42B5E"/>
    <w:rsid w:val="00A42B90"/>
    <w:rsid w:val="00A43582"/>
    <w:rsid w:val="00A43A3D"/>
    <w:rsid w:val="00A4437E"/>
    <w:rsid w:val="00A45D09"/>
    <w:rsid w:val="00A4627B"/>
    <w:rsid w:val="00A46578"/>
    <w:rsid w:val="00A465AC"/>
    <w:rsid w:val="00A46655"/>
    <w:rsid w:val="00A47CFC"/>
    <w:rsid w:val="00A500F7"/>
    <w:rsid w:val="00A5074C"/>
    <w:rsid w:val="00A51286"/>
    <w:rsid w:val="00A51372"/>
    <w:rsid w:val="00A515B8"/>
    <w:rsid w:val="00A515C5"/>
    <w:rsid w:val="00A51C8A"/>
    <w:rsid w:val="00A51F82"/>
    <w:rsid w:val="00A51F89"/>
    <w:rsid w:val="00A523F5"/>
    <w:rsid w:val="00A526C6"/>
    <w:rsid w:val="00A5346A"/>
    <w:rsid w:val="00A536F6"/>
    <w:rsid w:val="00A53DC8"/>
    <w:rsid w:val="00A54055"/>
    <w:rsid w:val="00A54332"/>
    <w:rsid w:val="00A546B0"/>
    <w:rsid w:val="00A54B90"/>
    <w:rsid w:val="00A54D64"/>
    <w:rsid w:val="00A551A1"/>
    <w:rsid w:val="00A558BA"/>
    <w:rsid w:val="00A56B6E"/>
    <w:rsid w:val="00A57A11"/>
    <w:rsid w:val="00A60920"/>
    <w:rsid w:val="00A60C3C"/>
    <w:rsid w:val="00A60F1D"/>
    <w:rsid w:val="00A615BF"/>
    <w:rsid w:val="00A61EF6"/>
    <w:rsid w:val="00A62170"/>
    <w:rsid w:val="00A62EB1"/>
    <w:rsid w:val="00A635B2"/>
    <w:rsid w:val="00A6432D"/>
    <w:rsid w:val="00A643E0"/>
    <w:rsid w:val="00A64C26"/>
    <w:rsid w:val="00A6500E"/>
    <w:rsid w:val="00A65A8B"/>
    <w:rsid w:val="00A65C08"/>
    <w:rsid w:val="00A65D3B"/>
    <w:rsid w:val="00A6625E"/>
    <w:rsid w:val="00A66812"/>
    <w:rsid w:val="00A66FE4"/>
    <w:rsid w:val="00A711E3"/>
    <w:rsid w:val="00A71292"/>
    <w:rsid w:val="00A71935"/>
    <w:rsid w:val="00A719A0"/>
    <w:rsid w:val="00A722D0"/>
    <w:rsid w:val="00A72804"/>
    <w:rsid w:val="00A72B09"/>
    <w:rsid w:val="00A73074"/>
    <w:rsid w:val="00A73134"/>
    <w:rsid w:val="00A73885"/>
    <w:rsid w:val="00A73C26"/>
    <w:rsid w:val="00A74EA0"/>
    <w:rsid w:val="00A74F14"/>
    <w:rsid w:val="00A75168"/>
    <w:rsid w:val="00A75BF8"/>
    <w:rsid w:val="00A76463"/>
    <w:rsid w:val="00A766A7"/>
    <w:rsid w:val="00A768E3"/>
    <w:rsid w:val="00A77EF5"/>
    <w:rsid w:val="00A80EFD"/>
    <w:rsid w:val="00A812C0"/>
    <w:rsid w:val="00A8278C"/>
    <w:rsid w:val="00A82A92"/>
    <w:rsid w:val="00A82AC5"/>
    <w:rsid w:val="00A82CEA"/>
    <w:rsid w:val="00A82F87"/>
    <w:rsid w:val="00A833CB"/>
    <w:rsid w:val="00A83ED3"/>
    <w:rsid w:val="00A840AD"/>
    <w:rsid w:val="00A84163"/>
    <w:rsid w:val="00A850A6"/>
    <w:rsid w:val="00A85289"/>
    <w:rsid w:val="00A85B79"/>
    <w:rsid w:val="00A85EEB"/>
    <w:rsid w:val="00A8641C"/>
    <w:rsid w:val="00A86ECE"/>
    <w:rsid w:val="00A871A3"/>
    <w:rsid w:val="00A902BA"/>
    <w:rsid w:val="00A90560"/>
    <w:rsid w:val="00A909D5"/>
    <w:rsid w:val="00A91186"/>
    <w:rsid w:val="00A9126B"/>
    <w:rsid w:val="00A91459"/>
    <w:rsid w:val="00A91DBD"/>
    <w:rsid w:val="00A91FF1"/>
    <w:rsid w:val="00A923BB"/>
    <w:rsid w:val="00A92724"/>
    <w:rsid w:val="00A92E5C"/>
    <w:rsid w:val="00A92E78"/>
    <w:rsid w:val="00A92F91"/>
    <w:rsid w:val="00A92FC3"/>
    <w:rsid w:val="00A930C6"/>
    <w:rsid w:val="00A9330C"/>
    <w:rsid w:val="00A93A7C"/>
    <w:rsid w:val="00A93B85"/>
    <w:rsid w:val="00A94568"/>
    <w:rsid w:val="00A945CB"/>
    <w:rsid w:val="00A94B74"/>
    <w:rsid w:val="00A950AE"/>
    <w:rsid w:val="00A9528A"/>
    <w:rsid w:val="00A95ED1"/>
    <w:rsid w:val="00A9604B"/>
    <w:rsid w:val="00A96FF7"/>
    <w:rsid w:val="00A97361"/>
    <w:rsid w:val="00A97C4D"/>
    <w:rsid w:val="00AA072E"/>
    <w:rsid w:val="00AA0D5F"/>
    <w:rsid w:val="00AA11F4"/>
    <w:rsid w:val="00AA1CA7"/>
    <w:rsid w:val="00AA2DC1"/>
    <w:rsid w:val="00AA30A6"/>
    <w:rsid w:val="00AA31C4"/>
    <w:rsid w:val="00AA3807"/>
    <w:rsid w:val="00AA3B7A"/>
    <w:rsid w:val="00AA3EE0"/>
    <w:rsid w:val="00AA4325"/>
    <w:rsid w:val="00AA4558"/>
    <w:rsid w:val="00AA46DE"/>
    <w:rsid w:val="00AA4994"/>
    <w:rsid w:val="00AA49DE"/>
    <w:rsid w:val="00AA52EC"/>
    <w:rsid w:val="00AA56C7"/>
    <w:rsid w:val="00AA6A39"/>
    <w:rsid w:val="00AA7182"/>
    <w:rsid w:val="00AA71C1"/>
    <w:rsid w:val="00AA76A8"/>
    <w:rsid w:val="00AB127A"/>
    <w:rsid w:val="00AB13DF"/>
    <w:rsid w:val="00AB1B57"/>
    <w:rsid w:val="00AB1C58"/>
    <w:rsid w:val="00AB207B"/>
    <w:rsid w:val="00AB253C"/>
    <w:rsid w:val="00AB25D7"/>
    <w:rsid w:val="00AB286F"/>
    <w:rsid w:val="00AB2A0D"/>
    <w:rsid w:val="00AB3612"/>
    <w:rsid w:val="00AB3A63"/>
    <w:rsid w:val="00AB3B87"/>
    <w:rsid w:val="00AB47B2"/>
    <w:rsid w:val="00AB5335"/>
    <w:rsid w:val="00AB561D"/>
    <w:rsid w:val="00AB5EEE"/>
    <w:rsid w:val="00AB6021"/>
    <w:rsid w:val="00AB643A"/>
    <w:rsid w:val="00AB6D6F"/>
    <w:rsid w:val="00AB6F54"/>
    <w:rsid w:val="00AB71DA"/>
    <w:rsid w:val="00AB77A1"/>
    <w:rsid w:val="00AB78B9"/>
    <w:rsid w:val="00AB79BD"/>
    <w:rsid w:val="00AB7D8B"/>
    <w:rsid w:val="00AB7EBA"/>
    <w:rsid w:val="00AC053F"/>
    <w:rsid w:val="00AC10B0"/>
    <w:rsid w:val="00AC114C"/>
    <w:rsid w:val="00AC1226"/>
    <w:rsid w:val="00AC12BF"/>
    <w:rsid w:val="00AC1787"/>
    <w:rsid w:val="00AC1CA5"/>
    <w:rsid w:val="00AC2FBB"/>
    <w:rsid w:val="00AC30C6"/>
    <w:rsid w:val="00AC3324"/>
    <w:rsid w:val="00AC36E3"/>
    <w:rsid w:val="00AC3D80"/>
    <w:rsid w:val="00AC3F9F"/>
    <w:rsid w:val="00AC3FD9"/>
    <w:rsid w:val="00AC406A"/>
    <w:rsid w:val="00AC4548"/>
    <w:rsid w:val="00AC461A"/>
    <w:rsid w:val="00AC4823"/>
    <w:rsid w:val="00AC58CD"/>
    <w:rsid w:val="00AC59BE"/>
    <w:rsid w:val="00AC5EB5"/>
    <w:rsid w:val="00AC5ECA"/>
    <w:rsid w:val="00AC5F27"/>
    <w:rsid w:val="00AC6320"/>
    <w:rsid w:val="00AC63AD"/>
    <w:rsid w:val="00AC68BF"/>
    <w:rsid w:val="00AC6AAE"/>
    <w:rsid w:val="00AC6D9B"/>
    <w:rsid w:val="00AC7487"/>
    <w:rsid w:val="00AC7752"/>
    <w:rsid w:val="00AD0045"/>
    <w:rsid w:val="00AD0347"/>
    <w:rsid w:val="00AD0549"/>
    <w:rsid w:val="00AD1321"/>
    <w:rsid w:val="00AD1817"/>
    <w:rsid w:val="00AD24BD"/>
    <w:rsid w:val="00AD2538"/>
    <w:rsid w:val="00AD3195"/>
    <w:rsid w:val="00AD3236"/>
    <w:rsid w:val="00AD3B48"/>
    <w:rsid w:val="00AD3BB2"/>
    <w:rsid w:val="00AD3CC6"/>
    <w:rsid w:val="00AD4869"/>
    <w:rsid w:val="00AD5921"/>
    <w:rsid w:val="00AD5B65"/>
    <w:rsid w:val="00AD5DEA"/>
    <w:rsid w:val="00AD62CE"/>
    <w:rsid w:val="00AD6391"/>
    <w:rsid w:val="00AD66CA"/>
    <w:rsid w:val="00AD6CAE"/>
    <w:rsid w:val="00AD6CC1"/>
    <w:rsid w:val="00AD6E1D"/>
    <w:rsid w:val="00AD726E"/>
    <w:rsid w:val="00AD7A9A"/>
    <w:rsid w:val="00AD7C62"/>
    <w:rsid w:val="00AE0055"/>
    <w:rsid w:val="00AE011F"/>
    <w:rsid w:val="00AE0647"/>
    <w:rsid w:val="00AE0A34"/>
    <w:rsid w:val="00AE0A65"/>
    <w:rsid w:val="00AE0CA3"/>
    <w:rsid w:val="00AE0CB5"/>
    <w:rsid w:val="00AE15EF"/>
    <w:rsid w:val="00AE20BD"/>
    <w:rsid w:val="00AE23A4"/>
    <w:rsid w:val="00AE2987"/>
    <w:rsid w:val="00AE2ACD"/>
    <w:rsid w:val="00AE2DAC"/>
    <w:rsid w:val="00AE325A"/>
    <w:rsid w:val="00AE3691"/>
    <w:rsid w:val="00AE3C5C"/>
    <w:rsid w:val="00AE3F8C"/>
    <w:rsid w:val="00AE4016"/>
    <w:rsid w:val="00AE5FEC"/>
    <w:rsid w:val="00AE61AA"/>
    <w:rsid w:val="00AE6575"/>
    <w:rsid w:val="00AE6780"/>
    <w:rsid w:val="00AE687A"/>
    <w:rsid w:val="00AE68B7"/>
    <w:rsid w:val="00AE6C02"/>
    <w:rsid w:val="00AE74F8"/>
    <w:rsid w:val="00AE752C"/>
    <w:rsid w:val="00AF02E4"/>
    <w:rsid w:val="00AF09FF"/>
    <w:rsid w:val="00AF0BF8"/>
    <w:rsid w:val="00AF0FD8"/>
    <w:rsid w:val="00AF1293"/>
    <w:rsid w:val="00AF14B8"/>
    <w:rsid w:val="00AF1926"/>
    <w:rsid w:val="00AF1A3D"/>
    <w:rsid w:val="00AF1C92"/>
    <w:rsid w:val="00AF2DB8"/>
    <w:rsid w:val="00AF399D"/>
    <w:rsid w:val="00AF3EDA"/>
    <w:rsid w:val="00AF4481"/>
    <w:rsid w:val="00AF44A2"/>
    <w:rsid w:val="00AF4E1D"/>
    <w:rsid w:val="00AF4E9B"/>
    <w:rsid w:val="00AF51FC"/>
    <w:rsid w:val="00AF5435"/>
    <w:rsid w:val="00AF5865"/>
    <w:rsid w:val="00AF5EBE"/>
    <w:rsid w:val="00AF6CB2"/>
    <w:rsid w:val="00AF700E"/>
    <w:rsid w:val="00AF7879"/>
    <w:rsid w:val="00AF797C"/>
    <w:rsid w:val="00AF7A5A"/>
    <w:rsid w:val="00AF7B2A"/>
    <w:rsid w:val="00B00C3B"/>
    <w:rsid w:val="00B00E6C"/>
    <w:rsid w:val="00B010E2"/>
    <w:rsid w:val="00B0174C"/>
    <w:rsid w:val="00B01A8A"/>
    <w:rsid w:val="00B01FEA"/>
    <w:rsid w:val="00B023D3"/>
    <w:rsid w:val="00B036E0"/>
    <w:rsid w:val="00B04736"/>
    <w:rsid w:val="00B049C9"/>
    <w:rsid w:val="00B04C27"/>
    <w:rsid w:val="00B04E35"/>
    <w:rsid w:val="00B04EF2"/>
    <w:rsid w:val="00B05066"/>
    <w:rsid w:val="00B0558B"/>
    <w:rsid w:val="00B05F46"/>
    <w:rsid w:val="00B061F5"/>
    <w:rsid w:val="00B068A3"/>
    <w:rsid w:val="00B06FDF"/>
    <w:rsid w:val="00B0750F"/>
    <w:rsid w:val="00B07860"/>
    <w:rsid w:val="00B07B39"/>
    <w:rsid w:val="00B07CA3"/>
    <w:rsid w:val="00B106F4"/>
    <w:rsid w:val="00B109FE"/>
    <w:rsid w:val="00B10B2B"/>
    <w:rsid w:val="00B1254F"/>
    <w:rsid w:val="00B1288B"/>
    <w:rsid w:val="00B1341E"/>
    <w:rsid w:val="00B140DD"/>
    <w:rsid w:val="00B14CD1"/>
    <w:rsid w:val="00B15179"/>
    <w:rsid w:val="00B1518E"/>
    <w:rsid w:val="00B15207"/>
    <w:rsid w:val="00B154BE"/>
    <w:rsid w:val="00B15541"/>
    <w:rsid w:val="00B155FC"/>
    <w:rsid w:val="00B15CCA"/>
    <w:rsid w:val="00B161D4"/>
    <w:rsid w:val="00B162BE"/>
    <w:rsid w:val="00B1632A"/>
    <w:rsid w:val="00B163C8"/>
    <w:rsid w:val="00B164BD"/>
    <w:rsid w:val="00B17341"/>
    <w:rsid w:val="00B201C9"/>
    <w:rsid w:val="00B208FA"/>
    <w:rsid w:val="00B209B4"/>
    <w:rsid w:val="00B20A79"/>
    <w:rsid w:val="00B222F5"/>
    <w:rsid w:val="00B2234F"/>
    <w:rsid w:val="00B22391"/>
    <w:rsid w:val="00B22477"/>
    <w:rsid w:val="00B22A46"/>
    <w:rsid w:val="00B22D18"/>
    <w:rsid w:val="00B22E28"/>
    <w:rsid w:val="00B23B6E"/>
    <w:rsid w:val="00B23E1E"/>
    <w:rsid w:val="00B254B7"/>
    <w:rsid w:val="00B260EE"/>
    <w:rsid w:val="00B262E9"/>
    <w:rsid w:val="00B270E4"/>
    <w:rsid w:val="00B27140"/>
    <w:rsid w:val="00B27316"/>
    <w:rsid w:val="00B27CF8"/>
    <w:rsid w:val="00B30095"/>
    <w:rsid w:val="00B30177"/>
    <w:rsid w:val="00B320A3"/>
    <w:rsid w:val="00B3322A"/>
    <w:rsid w:val="00B334B7"/>
    <w:rsid w:val="00B334FC"/>
    <w:rsid w:val="00B33A4F"/>
    <w:rsid w:val="00B33EC6"/>
    <w:rsid w:val="00B3414F"/>
    <w:rsid w:val="00B3435B"/>
    <w:rsid w:val="00B34460"/>
    <w:rsid w:val="00B3549B"/>
    <w:rsid w:val="00B36C68"/>
    <w:rsid w:val="00B36EBC"/>
    <w:rsid w:val="00B37C6E"/>
    <w:rsid w:val="00B37E37"/>
    <w:rsid w:val="00B4017B"/>
    <w:rsid w:val="00B4044E"/>
    <w:rsid w:val="00B405FB"/>
    <w:rsid w:val="00B409B1"/>
    <w:rsid w:val="00B40CBD"/>
    <w:rsid w:val="00B42416"/>
    <w:rsid w:val="00B424BA"/>
    <w:rsid w:val="00B42864"/>
    <w:rsid w:val="00B42E6C"/>
    <w:rsid w:val="00B42EA9"/>
    <w:rsid w:val="00B436A4"/>
    <w:rsid w:val="00B43771"/>
    <w:rsid w:val="00B43A28"/>
    <w:rsid w:val="00B44195"/>
    <w:rsid w:val="00B44D39"/>
    <w:rsid w:val="00B452D9"/>
    <w:rsid w:val="00B4535D"/>
    <w:rsid w:val="00B45984"/>
    <w:rsid w:val="00B460FB"/>
    <w:rsid w:val="00B4637E"/>
    <w:rsid w:val="00B466E2"/>
    <w:rsid w:val="00B46734"/>
    <w:rsid w:val="00B46A1D"/>
    <w:rsid w:val="00B46CE6"/>
    <w:rsid w:val="00B47139"/>
    <w:rsid w:val="00B475E4"/>
    <w:rsid w:val="00B47A5A"/>
    <w:rsid w:val="00B47ED2"/>
    <w:rsid w:val="00B5045A"/>
    <w:rsid w:val="00B5072C"/>
    <w:rsid w:val="00B509B3"/>
    <w:rsid w:val="00B50F1C"/>
    <w:rsid w:val="00B513F9"/>
    <w:rsid w:val="00B51A65"/>
    <w:rsid w:val="00B51B0E"/>
    <w:rsid w:val="00B5261B"/>
    <w:rsid w:val="00B527FD"/>
    <w:rsid w:val="00B52899"/>
    <w:rsid w:val="00B539D0"/>
    <w:rsid w:val="00B553A3"/>
    <w:rsid w:val="00B557F4"/>
    <w:rsid w:val="00B558E9"/>
    <w:rsid w:val="00B55DF6"/>
    <w:rsid w:val="00B5627C"/>
    <w:rsid w:val="00B56E8D"/>
    <w:rsid w:val="00B5782B"/>
    <w:rsid w:val="00B57DC0"/>
    <w:rsid w:val="00B60248"/>
    <w:rsid w:val="00B60DC4"/>
    <w:rsid w:val="00B62091"/>
    <w:rsid w:val="00B62AC1"/>
    <w:rsid w:val="00B63293"/>
    <w:rsid w:val="00B6373B"/>
    <w:rsid w:val="00B63764"/>
    <w:rsid w:val="00B63915"/>
    <w:rsid w:val="00B648E8"/>
    <w:rsid w:val="00B64EF9"/>
    <w:rsid w:val="00B65543"/>
    <w:rsid w:val="00B656DA"/>
    <w:rsid w:val="00B65834"/>
    <w:rsid w:val="00B6592E"/>
    <w:rsid w:val="00B65DF3"/>
    <w:rsid w:val="00B65EF9"/>
    <w:rsid w:val="00B668EB"/>
    <w:rsid w:val="00B66A63"/>
    <w:rsid w:val="00B66EF1"/>
    <w:rsid w:val="00B67247"/>
    <w:rsid w:val="00B67318"/>
    <w:rsid w:val="00B67D62"/>
    <w:rsid w:val="00B706D8"/>
    <w:rsid w:val="00B70769"/>
    <w:rsid w:val="00B70B73"/>
    <w:rsid w:val="00B71DDE"/>
    <w:rsid w:val="00B7219C"/>
    <w:rsid w:val="00B7298C"/>
    <w:rsid w:val="00B730BC"/>
    <w:rsid w:val="00B731A8"/>
    <w:rsid w:val="00B734F5"/>
    <w:rsid w:val="00B74F30"/>
    <w:rsid w:val="00B75838"/>
    <w:rsid w:val="00B759C9"/>
    <w:rsid w:val="00B76899"/>
    <w:rsid w:val="00B76EC3"/>
    <w:rsid w:val="00B80254"/>
    <w:rsid w:val="00B80D0A"/>
    <w:rsid w:val="00B80ED6"/>
    <w:rsid w:val="00B81033"/>
    <w:rsid w:val="00B81041"/>
    <w:rsid w:val="00B81186"/>
    <w:rsid w:val="00B8134B"/>
    <w:rsid w:val="00B82469"/>
    <w:rsid w:val="00B82734"/>
    <w:rsid w:val="00B82D18"/>
    <w:rsid w:val="00B831B1"/>
    <w:rsid w:val="00B8429E"/>
    <w:rsid w:val="00B8474D"/>
    <w:rsid w:val="00B8658B"/>
    <w:rsid w:val="00B86FB5"/>
    <w:rsid w:val="00B87740"/>
    <w:rsid w:val="00B879F7"/>
    <w:rsid w:val="00B87C54"/>
    <w:rsid w:val="00B87CF0"/>
    <w:rsid w:val="00B90789"/>
    <w:rsid w:val="00B90F43"/>
    <w:rsid w:val="00B91517"/>
    <w:rsid w:val="00B91971"/>
    <w:rsid w:val="00B91B59"/>
    <w:rsid w:val="00B91D96"/>
    <w:rsid w:val="00B92F35"/>
    <w:rsid w:val="00B931F6"/>
    <w:rsid w:val="00B93217"/>
    <w:rsid w:val="00B94593"/>
    <w:rsid w:val="00B94653"/>
    <w:rsid w:val="00B94960"/>
    <w:rsid w:val="00B94B0C"/>
    <w:rsid w:val="00B94BC6"/>
    <w:rsid w:val="00B95797"/>
    <w:rsid w:val="00B95FCC"/>
    <w:rsid w:val="00B96562"/>
    <w:rsid w:val="00B96F9C"/>
    <w:rsid w:val="00B97013"/>
    <w:rsid w:val="00B97067"/>
    <w:rsid w:val="00B973B5"/>
    <w:rsid w:val="00B97484"/>
    <w:rsid w:val="00B978CE"/>
    <w:rsid w:val="00B97C68"/>
    <w:rsid w:val="00BA0118"/>
    <w:rsid w:val="00BA029E"/>
    <w:rsid w:val="00BA040D"/>
    <w:rsid w:val="00BA0860"/>
    <w:rsid w:val="00BA0BB5"/>
    <w:rsid w:val="00BA1194"/>
    <w:rsid w:val="00BA183D"/>
    <w:rsid w:val="00BA1A59"/>
    <w:rsid w:val="00BA2222"/>
    <w:rsid w:val="00BA2287"/>
    <w:rsid w:val="00BA2635"/>
    <w:rsid w:val="00BA266A"/>
    <w:rsid w:val="00BA39E7"/>
    <w:rsid w:val="00BA4036"/>
    <w:rsid w:val="00BA4566"/>
    <w:rsid w:val="00BA53D1"/>
    <w:rsid w:val="00BA5C86"/>
    <w:rsid w:val="00BA616A"/>
    <w:rsid w:val="00BA6594"/>
    <w:rsid w:val="00BA65DC"/>
    <w:rsid w:val="00BA6B43"/>
    <w:rsid w:val="00BA6F61"/>
    <w:rsid w:val="00BA6FBA"/>
    <w:rsid w:val="00BA70FE"/>
    <w:rsid w:val="00BA7693"/>
    <w:rsid w:val="00BA7728"/>
    <w:rsid w:val="00BB00CC"/>
    <w:rsid w:val="00BB03ED"/>
    <w:rsid w:val="00BB0614"/>
    <w:rsid w:val="00BB0658"/>
    <w:rsid w:val="00BB070B"/>
    <w:rsid w:val="00BB0AAC"/>
    <w:rsid w:val="00BB0DCF"/>
    <w:rsid w:val="00BB1A5A"/>
    <w:rsid w:val="00BB1C5D"/>
    <w:rsid w:val="00BB200D"/>
    <w:rsid w:val="00BB2211"/>
    <w:rsid w:val="00BB2CBB"/>
    <w:rsid w:val="00BB338D"/>
    <w:rsid w:val="00BB3583"/>
    <w:rsid w:val="00BB380D"/>
    <w:rsid w:val="00BB393F"/>
    <w:rsid w:val="00BB4118"/>
    <w:rsid w:val="00BB483B"/>
    <w:rsid w:val="00BB4C06"/>
    <w:rsid w:val="00BB5095"/>
    <w:rsid w:val="00BB5399"/>
    <w:rsid w:val="00BB5666"/>
    <w:rsid w:val="00BB5A0B"/>
    <w:rsid w:val="00BB5C93"/>
    <w:rsid w:val="00BB6D29"/>
    <w:rsid w:val="00BB6DEC"/>
    <w:rsid w:val="00BB6E92"/>
    <w:rsid w:val="00BB7D9D"/>
    <w:rsid w:val="00BC02A0"/>
    <w:rsid w:val="00BC0551"/>
    <w:rsid w:val="00BC094C"/>
    <w:rsid w:val="00BC1AE8"/>
    <w:rsid w:val="00BC1D0D"/>
    <w:rsid w:val="00BC2102"/>
    <w:rsid w:val="00BC2165"/>
    <w:rsid w:val="00BC2350"/>
    <w:rsid w:val="00BC24BB"/>
    <w:rsid w:val="00BC2D97"/>
    <w:rsid w:val="00BC3EAE"/>
    <w:rsid w:val="00BC45BB"/>
    <w:rsid w:val="00BC4843"/>
    <w:rsid w:val="00BC5A4F"/>
    <w:rsid w:val="00BC6238"/>
    <w:rsid w:val="00BC63A8"/>
    <w:rsid w:val="00BC63D5"/>
    <w:rsid w:val="00BC70C3"/>
    <w:rsid w:val="00BC7A0D"/>
    <w:rsid w:val="00BD0254"/>
    <w:rsid w:val="00BD08A2"/>
    <w:rsid w:val="00BD0D70"/>
    <w:rsid w:val="00BD1030"/>
    <w:rsid w:val="00BD2156"/>
    <w:rsid w:val="00BD287C"/>
    <w:rsid w:val="00BD2A0C"/>
    <w:rsid w:val="00BD3C91"/>
    <w:rsid w:val="00BD3D0B"/>
    <w:rsid w:val="00BD49F7"/>
    <w:rsid w:val="00BD4B9C"/>
    <w:rsid w:val="00BD4F2A"/>
    <w:rsid w:val="00BD5784"/>
    <w:rsid w:val="00BD57C0"/>
    <w:rsid w:val="00BD5C73"/>
    <w:rsid w:val="00BD65F3"/>
    <w:rsid w:val="00BD66EA"/>
    <w:rsid w:val="00BD6B73"/>
    <w:rsid w:val="00BD704A"/>
    <w:rsid w:val="00BD7848"/>
    <w:rsid w:val="00BD7FDE"/>
    <w:rsid w:val="00BE0B43"/>
    <w:rsid w:val="00BE0B69"/>
    <w:rsid w:val="00BE0B99"/>
    <w:rsid w:val="00BE0CDC"/>
    <w:rsid w:val="00BE0E12"/>
    <w:rsid w:val="00BE1B7A"/>
    <w:rsid w:val="00BE2083"/>
    <w:rsid w:val="00BE2601"/>
    <w:rsid w:val="00BE2D4A"/>
    <w:rsid w:val="00BE3ABF"/>
    <w:rsid w:val="00BE3E4C"/>
    <w:rsid w:val="00BE4E02"/>
    <w:rsid w:val="00BE52D2"/>
    <w:rsid w:val="00BE6403"/>
    <w:rsid w:val="00BE69FD"/>
    <w:rsid w:val="00BE74F7"/>
    <w:rsid w:val="00BE7818"/>
    <w:rsid w:val="00BE79FB"/>
    <w:rsid w:val="00BE7ED7"/>
    <w:rsid w:val="00BE7F35"/>
    <w:rsid w:val="00BF00A7"/>
    <w:rsid w:val="00BF020B"/>
    <w:rsid w:val="00BF0557"/>
    <w:rsid w:val="00BF0BAD"/>
    <w:rsid w:val="00BF0DCB"/>
    <w:rsid w:val="00BF272D"/>
    <w:rsid w:val="00BF2752"/>
    <w:rsid w:val="00BF27A3"/>
    <w:rsid w:val="00BF2945"/>
    <w:rsid w:val="00BF2ADB"/>
    <w:rsid w:val="00BF2DF2"/>
    <w:rsid w:val="00BF2FCD"/>
    <w:rsid w:val="00BF31B7"/>
    <w:rsid w:val="00BF3451"/>
    <w:rsid w:val="00BF3E9D"/>
    <w:rsid w:val="00BF489A"/>
    <w:rsid w:val="00BF49B5"/>
    <w:rsid w:val="00BF507C"/>
    <w:rsid w:val="00BF544D"/>
    <w:rsid w:val="00BF54EA"/>
    <w:rsid w:val="00BF54EE"/>
    <w:rsid w:val="00BF7490"/>
    <w:rsid w:val="00BF7B40"/>
    <w:rsid w:val="00BF7B73"/>
    <w:rsid w:val="00C00379"/>
    <w:rsid w:val="00C00C9E"/>
    <w:rsid w:val="00C00FF8"/>
    <w:rsid w:val="00C01566"/>
    <w:rsid w:val="00C0220E"/>
    <w:rsid w:val="00C03A18"/>
    <w:rsid w:val="00C03B31"/>
    <w:rsid w:val="00C03D5B"/>
    <w:rsid w:val="00C03F24"/>
    <w:rsid w:val="00C040BC"/>
    <w:rsid w:val="00C04363"/>
    <w:rsid w:val="00C04A08"/>
    <w:rsid w:val="00C054A6"/>
    <w:rsid w:val="00C05A6B"/>
    <w:rsid w:val="00C05C52"/>
    <w:rsid w:val="00C068AF"/>
    <w:rsid w:val="00C06E95"/>
    <w:rsid w:val="00C06FE4"/>
    <w:rsid w:val="00C07D13"/>
    <w:rsid w:val="00C10302"/>
    <w:rsid w:val="00C10404"/>
    <w:rsid w:val="00C105D1"/>
    <w:rsid w:val="00C11FDF"/>
    <w:rsid w:val="00C1244C"/>
    <w:rsid w:val="00C12552"/>
    <w:rsid w:val="00C12FD2"/>
    <w:rsid w:val="00C133F9"/>
    <w:rsid w:val="00C13414"/>
    <w:rsid w:val="00C144ED"/>
    <w:rsid w:val="00C1486D"/>
    <w:rsid w:val="00C1578A"/>
    <w:rsid w:val="00C15E58"/>
    <w:rsid w:val="00C1650A"/>
    <w:rsid w:val="00C16564"/>
    <w:rsid w:val="00C16751"/>
    <w:rsid w:val="00C16EA3"/>
    <w:rsid w:val="00C1713E"/>
    <w:rsid w:val="00C17F53"/>
    <w:rsid w:val="00C20565"/>
    <w:rsid w:val="00C20A65"/>
    <w:rsid w:val="00C20D6F"/>
    <w:rsid w:val="00C2147C"/>
    <w:rsid w:val="00C21F10"/>
    <w:rsid w:val="00C2204A"/>
    <w:rsid w:val="00C224EA"/>
    <w:rsid w:val="00C226B9"/>
    <w:rsid w:val="00C231C0"/>
    <w:rsid w:val="00C233FB"/>
    <w:rsid w:val="00C23D43"/>
    <w:rsid w:val="00C241F2"/>
    <w:rsid w:val="00C242CD"/>
    <w:rsid w:val="00C24B6D"/>
    <w:rsid w:val="00C24C51"/>
    <w:rsid w:val="00C24D12"/>
    <w:rsid w:val="00C24EBA"/>
    <w:rsid w:val="00C252FD"/>
    <w:rsid w:val="00C25C1B"/>
    <w:rsid w:val="00C25E31"/>
    <w:rsid w:val="00C26C66"/>
    <w:rsid w:val="00C27344"/>
    <w:rsid w:val="00C276A3"/>
    <w:rsid w:val="00C27A42"/>
    <w:rsid w:val="00C27F2A"/>
    <w:rsid w:val="00C30845"/>
    <w:rsid w:val="00C30ADE"/>
    <w:rsid w:val="00C30E22"/>
    <w:rsid w:val="00C31195"/>
    <w:rsid w:val="00C317A5"/>
    <w:rsid w:val="00C31A00"/>
    <w:rsid w:val="00C321C4"/>
    <w:rsid w:val="00C32EE1"/>
    <w:rsid w:val="00C33120"/>
    <w:rsid w:val="00C33B94"/>
    <w:rsid w:val="00C342E7"/>
    <w:rsid w:val="00C3452F"/>
    <w:rsid w:val="00C346A1"/>
    <w:rsid w:val="00C349E4"/>
    <w:rsid w:val="00C34F1F"/>
    <w:rsid w:val="00C3548A"/>
    <w:rsid w:val="00C35902"/>
    <w:rsid w:val="00C35CE6"/>
    <w:rsid w:val="00C360A9"/>
    <w:rsid w:val="00C360B5"/>
    <w:rsid w:val="00C368B3"/>
    <w:rsid w:val="00C372B9"/>
    <w:rsid w:val="00C3740C"/>
    <w:rsid w:val="00C37519"/>
    <w:rsid w:val="00C37A1A"/>
    <w:rsid w:val="00C40305"/>
    <w:rsid w:val="00C40956"/>
    <w:rsid w:val="00C4166E"/>
    <w:rsid w:val="00C41969"/>
    <w:rsid w:val="00C41B88"/>
    <w:rsid w:val="00C41CB5"/>
    <w:rsid w:val="00C41F4D"/>
    <w:rsid w:val="00C41F81"/>
    <w:rsid w:val="00C4278A"/>
    <w:rsid w:val="00C42A0C"/>
    <w:rsid w:val="00C4324C"/>
    <w:rsid w:val="00C43870"/>
    <w:rsid w:val="00C43F66"/>
    <w:rsid w:val="00C43F8A"/>
    <w:rsid w:val="00C44325"/>
    <w:rsid w:val="00C44A53"/>
    <w:rsid w:val="00C44A72"/>
    <w:rsid w:val="00C44C36"/>
    <w:rsid w:val="00C4516F"/>
    <w:rsid w:val="00C45418"/>
    <w:rsid w:val="00C45A16"/>
    <w:rsid w:val="00C45A2E"/>
    <w:rsid w:val="00C46470"/>
    <w:rsid w:val="00C467FA"/>
    <w:rsid w:val="00C46EC6"/>
    <w:rsid w:val="00C46F6A"/>
    <w:rsid w:val="00C47F07"/>
    <w:rsid w:val="00C50187"/>
    <w:rsid w:val="00C505DD"/>
    <w:rsid w:val="00C50711"/>
    <w:rsid w:val="00C5154E"/>
    <w:rsid w:val="00C519B7"/>
    <w:rsid w:val="00C52581"/>
    <w:rsid w:val="00C528C5"/>
    <w:rsid w:val="00C5327A"/>
    <w:rsid w:val="00C53284"/>
    <w:rsid w:val="00C5368A"/>
    <w:rsid w:val="00C537DA"/>
    <w:rsid w:val="00C555E5"/>
    <w:rsid w:val="00C556F9"/>
    <w:rsid w:val="00C55C94"/>
    <w:rsid w:val="00C55F3B"/>
    <w:rsid w:val="00C56843"/>
    <w:rsid w:val="00C571B6"/>
    <w:rsid w:val="00C57508"/>
    <w:rsid w:val="00C57CF8"/>
    <w:rsid w:val="00C602F8"/>
    <w:rsid w:val="00C609C1"/>
    <w:rsid w:val="00C60B34"/>
    <w:rsid w:val="00C60D57"/>
    <w:rsid w:val="00C618A9"/>
    <w:rsid w:val="00C6204C"/>
    <w:rsid w:val="00C621EF"/>
    <w:rsid w:val="00C6261D"/>
    <w:rsid w:val="00C626D1"/>
    <w:rsid w:val="00C62D36"/>
    <w:rsid w:val="00C6307F"/>
    <w:rsid w:val="00C641BD"/>
    <w:rsid w:val="00C64B08"/>
    <w:rsid w:val="00C654B0"/>
    <w:rsid w:val="00C65889"/>
    <w:rsid w:val="00C65EBF"/>
    <w:rsid w:val="00C65FA1"/>
    <w:rsid w:val="00C66580"/>
    <w:rsid w:val="00C66C6A"/>
    <w:rsid w:val="00C66E2F"/>
    <w:rsid w:val="00C679E8"/>
    <w:rsid w:val="00C7004E"/>
    <w:rsid w:val="00C701C0"/>
    <w:rsid w:val="00C70225"/>
    <w:rsid w:val="00C70493"/>
    <w:rsid w:val="00C70715"/>
    <w:rsid w:val="00C709B4"/>
    <w:rsid w:val="00C71148"/>
    <w:rsid w:val="00C71945"/>
    <w:rsid w:val="00C71A62"/>
    <w:rsid w:val="00C72C17"/>
    <w:rsid w:val="00C73030"/>
    <w:rsid w:val="00C730BE"/>
    <w:rsid w:val="00C73160"/>
    <w:rsid w:val="00C73361"/>
    <w:rsid w:val="00C7370F"/>
    <w:rsid w:val="00C7378D"/>
    <w:rsid w:val="00C73BD6"/>
    <w:rsid w:val="00C741DC"/>
    <w:rsid w:val="00C74318"/>
    <w:rsid w:val="00C74C9A"/>
    <w:rsid w:val="00C74F27"/>
    <w:rsid w:val="00C75904"/>
    <w:rsid w:val="00C75E9A"/>
    <w:rsid w:val="00C75F8F"/>
    <w:rsid w:val="00C761BE"/>
    <w:rsid w:val="00C76270"/>
    <w:rsid w:val="00C76E26"/>
    <w:rsid w:val="00C77002"/>
    <w:rsid w:val="00C7730C"/>
    <w:rsid w:val="00C776B7"/>
    <w:rsid w:val="00C778B1"/>
    <w:rsid w:val="00C77FB7"/>
    <w:rsid w:val="00C802FE"/>
    <w:rsid w:val="00C8081C"/>
    <w:rsid w:val="00C8095C"/>
    <w:rsid w:val="00C81061"/>
    <w:rsid w:val="00C81BDB"/>
    <w:rsid w:val="00C82108"/>
    <w:rsid w:val="00C82251"/>
    <w:rsid w:val="00C82788"/>
    <w:rsid w:val="00C82EBE"/>
    <w:rsid w:val="00C834BA"/>
    <w:rsid w:val="00C83706"/>
    <w:rsid w:val="00C839EC"/>
    <w:rsid w:val="00C83C0C"/>
    <w:rsid w:val="00C83F14"/>
    <w:rsid w:val="00C844DE"/>
    <w:rsid w:val="00C84947"/>
    <w:rsid w:val="00C8577F"/>
    <w:rsid w:val="00C85DD3"/>
    <w:rsid w:val="00C85E4D"/>
    <w:rsid w:val="00C85EBD"/>
    <w:rsid w:val="00C85ECE"/>
    <w:rsid w:val="00C86204"/>
    <w:rsid w:val="00C863B7"/>
    <w:rsid w:val="00C86405"/>
    <w:rsid w:val="00C86AA8"/>
    <w:rsid w:val="00C86AD2"/>
    <w:rsid w:val="00C87071"/>
    <w:rsid w:val="00C87626"/>
    <w:rsid w:val="00C87D26"/>
    <w:rsid w:val="00C915A3"/>
    <w:rsid w:val="00C91839"/>
    <w:rsid w:val="00C919FE"/>
    <w:rsid w:val="00C91F76"/>
    <w:rsid w:val="00C925EF"/>
    <w:rsid w:val="00C92D1E"/>
    <w:rsid w:val="00C93505"/>
    <w:rsid w:val="00C93802"/>
    <w:rsid w:val="00C93CAC"/>
    <w:rsid w:val="00C93D25"/>
    <w:rsid w:val="00C94532"/>
    <w:rsid w:val="00C957A2"/>
    <w:rsid w:val="00C95A07"/>
    <w:rsid w:val="00C95A42"/>
    <w:rsid w:val="00C9635B"/>
    <w:rsid w:val="00C9682B"/>
    <w:rsid w:val="00C97AEA"/>
    <w:rsid w:val="00CA021E"/>
    <w:rsid w:val="00CA04CA"/>
    <w:rsid w:val="00CA0551"/>
    <w:rsid w:val="00CA0F88"/>
    <w:rsid w:val="00CA1783"/>
    <w:rsid w:val="00CA2260"/>
    <w:rsid w:val="00CA28E7"/>
    <w:rsid w:val="00CA3487"/>
    <w:rsid w:val="00CA45FF"/>
    <w:rsid w:val="00CA4A4B"/>
    <w:rsid w:val="00CA4A77"/>
    <w:rsid w:val="00CA4FD2"/>
    <w:rsid w:val="00CA53B6"/>
    <w:rsid w:val="00CA5436"/>
    <w:rsid w:val="00CA5725"/>
    <w:rsid w:val="00CA608E"/>
    <w:rsid w:val="00CA623B"/>
    <w:rsid w:val="00CA6681"/>
    <w:rsid w:val="00CA69E5"/>
    <w:rsid w:val="00CA6ACF"/>
    <w:rsid w:val="00CA72F9"/>
    <w:rsid w:val="00CB14C4"/>
    <w:rsid w:val="00CB1505"/>
    <w:rsid w:val="00CB15B5"/>
    <w:rsid w:val="00CB18E9"/>
    <w:rsid w:val="00CB1AD5"/>
    <w:rsid w:val="00CB1F8A"/>
    <w:rsid w:val="00CB2BD8"/>
    <w:rsid w:val="00CB2C13"/>
    <w:rsid w:val="00CB2DA8"/>
    <w:rsid w:val="00CB2E35"/>
    <w:rsid w:val="00CB2EF0"/>
    <w:rsid w:val="00CB304F"/>
    <w:rsid w:val="00CB3A08"/>
    <w:rsid w:val="00CB41DA"/>
    <w:rsid w:val="00CB47B9"/>
    <w:rsid w:val="00CB4800"/>
    <w:rsid w:val="00CB4EBF"/>
    <w:rsid w:val="00CB551F"/>
    <w:rsid w:val="00CB5A8F"/>
    <w:rsid w:val="00CB6348"/>
    <w:rsid w:val="00CB7091"/>
    <w:rsid w:val="00CB7550"/>
    <w:rsid w:val="00CB7C64"/>
    <w:rsid w:val="00CC0082"/>
    <w:rsid w:val="00CC02B2"/>
    <w:rsid w:val="00CC07CC"/>
    <w:rsid w:val="00CC0B37"/>
    <w:rsid w:val="00CC1152"/>
    <w:rsid w:val="00CC11EA"/>
    <w:rsid w:val="00CC1FD4"/>
    <w:rsid w:val="00CC21D0"/>
    <w:rsid w:val="00CC2565"/>
    <w:rsid w:val="00CC343A"/>
    <w:rsid w:val="00CC3524"/>
    <w:rsid w:val="00CC3562"/>
    <w:rsid w:val="00CC3632"/>
    <w:rsid w:val="00CC3B0A"/>
    <w:rsid w:val="00CC4FCF"/>
    <w:rsid w:val="00CC50A9"/>
    <w:rsid w:val="00CC5478"/>
    <w:rsid w:val="00CC5C53"/>
    <w:rsid w:val="00CC5E37"/>
    <w:rsid w:val="00CC649E"/>
    <w:rsid w:val="00CC7486"/>
    <w:rsid w:val="00CC76D9"/>
    <w:rsid w:val="00CC7781"/>
    <w:rsid w:val="00CD06A1"/>
    <w:rsid w:val="00CD06E5"/>
    <w:rsid w:val="00CD0E10"/>
    <w:rsid w:val="00CD1934"/>
    <w:rsid w:val="00CD2BCD"/>
    <w:rsid w:val="00CD2D81"/>
    <w:rsid w:val="00CD373D"/>
    <w:rsid w:val="00CD3B82"/>
    <w:rsid w:val="00CD3E43"/>
    <w:rsid w:val="00CD3FC4"/>
    <w:rsid w:val="00CD4565"/>
    <w:rsid w:val="00CD48A1"/>
    <w:rsid w:val="00CD48B2"/>
    <w:rsid w:val="00CD51BF"/>
    <w:rsid w:val="00CD6372"/>
    <w:rsid w:val="00CD703B"/>
    <w:rsid w:val="00CD717F"/>
    <w:rsid w:val="00CD790E"/>
    <w:rsid w:val="00CE088F"/>
    <w:rsid w:val="00CE154D"/>
    <w:rsid w:val="00CE1713"/>
    <w:rsid w:val="00CE18F5"/>
    <w:rsid w:val="00CE1D1F"/>
    <w:rsid w:val="00CE2F8E"/>
    <w:rsid w:val="00CE2FD9"/>
    <w:rsid w:val="00CE35FD"/>
    <w:rsid w:val="00CE3767"/>
    <w:rsid w:val="00CE3AA8"/>
    <w:rsid w:val="00CE3B3D"/>
    <w:rsid w:val="00CE3DD0"/>
    <w:rsid w:val="00CE44E1"/>
    <w:rsid w:val="00CE4A12"/>
    <w:rsid w:val="00CE4E96"/>
    <w:rsid w:val="00CE5967"/>
    <w:rsid w:val="00CE6CB9"/>
    <w:rsid w:val="00CE6DB9"/>
    <w:rsid w:val="00CE71F8"/>
    <w:rsid w:val="00CE75FA"/>
    <w:rsid w:val="00CE773A"/>
    <w:rsid w:val="00CE793B"/>
    <w:rsid w:val="00CE79CE"/>
    <w:rsid w:val="00CE7C23"/>
    <w:rsid w:val="00CE7D7A"/>
    <w:rsid w:val="00CE7DFE"/>
    <w:rsid w:val="00CF037E"/>
    <w:rsid w:val="00CF08E0"/>
    <w:rsid w:val="00CF0DE6"/>
    <w:rsid w:val="00CF191E"/>
    <w:rsid w:val="00CF2A63"/>
    <w:rsid w:val="00CF3391"/>
    <w:rsid w:val="00CF3439"/>
    <w:rsid w:val="00CF4394"/>
    <w:rsid w:val="00CF4961"/>
    <w:rsid w:val="00CF4A3A"/>
    <w:rsid w:val="00CF513A"/>
    <w:rsid w:val="00CF53EF"/>
    <w:rsid w:val="00CF54FA"/>
    <w:rsid w:val="00CF56CD"/>
    <w:rsid w:val="00CF57E2"/>
    <w:rsid w:val="00CF65D8"/>
    <w:rsid w:val="00CF7858"/>
    <w:rsid w:val="00CF7E97"/>
    <w:rsid w:val="00D0093C"/>
    <w:rsid w:val="00D01336"/>
    <w:rsid w:val="00D01418"/>
    <w:rsid w:val="00D01573"/>
    <w:rsid w:val="00D01D60"/>
    <w:rsid w:val="00D023D0"/>
    <w:rsid w:val="00D027A3"/>
    <w:rsid w:val="00D029B7"/>
    <w:rsid w:val="00D02B66"/>
    <w:rsid w:val="00D03434"/>
    <w:rsid w:val="00D047A3"/>
    <w:rsid w:val="00D049AD"/>
    <w:rsid w:val="00D05005"/>
    <w:rsid w:val="00D05BFC"/>
    <w:rsid w:val="00D06BFB"/>
    <w:rsid w:val="00D06E35"/>
    <w:rsid w:val="00D0728F"/>
    <w:rsid w:val="00D073A3"/>
    <w:rsid w:val="00D07987"/>
    <w:rsid w:val="00D07FA3"/>
    <w:rsid w:val="00D1028C"/>
    <w:rsid w:val="00D10423"/>
    <w:rsid w:val="00D1055E"/>
    <w:rsid w:val="00D10641"/>
    <w:rsid w:val="00D10851"/>
    <w:rsid w:val="00D10E7D"/>
    <w:rsid w:val="00D10E81"/>
    <w:rsid w:val="00D130AD"/>
    <w:rsid w:val="00D1312F"/>
    <w:rsid w:val="00D13ECC"/>
    <w:rsid w:val="00D13F6C"/>
    <w:rsid w:val="00D141D2"/>
    <w:rsid w:val="00D149AC"/>
    <w:rsid w:val="00D1503F"/>
    <w:rsid w:val="00D1527C"/>
    <w:rsid w:val="00D152DB"/>
    <w:rsid w:val="00D1554F"/>
    <w:rsid w:val="00D1590B"/>
    <w:rsid w:val="00D15A21"/>
    <w:rsid w:val="00D15D9E"/>
    <w:rsid w:val="00D16012"/>
    <w:rsid w:val="00D162FE"/>
    <w:rsid w:val="00D16551"/>
    <w:rsid w:val="00D16AC4"/>
    <w:rsid w:val="00D1751D"/>
    <w:rsid w:val="00D175F1"/>
    <w:rsid w:val="00D175F4"/>
    <w:rsid w:val="00D20081"/>
    <w:rsid w:val="00D20104"/>
    <w:rsid w:val="00D212C0"/>
    <w:rsid w:val="00D2133A"/>
    <w:rsid w:val="00D218F4"/>
    <w:rsid w:val="00D218F6"/>
    <w:rsid w:val="00D2192C"/>
    <w:rsid w:val="00D223E6"/>
    <w:rsid w:val="00D2259E"/>
    <w:rsid w:val="00D22696"/>
    <w:rsid w:val="00D22AED"/>
    <w:rsid w:val="00D22F2E"/>
    <w:rsid w:val="00D23DF9"/>
    <w:rsid w:val="00D24C79"/>
    <w:rsid w:val="00D24E2D"/>
    <w:rsid w:val="00D252C8"/>
    <w:rsid w:val="00D25C98"/>
    <w:rsid w:val="00D266D1"/>
    <w:rsid w:val="00D26A7A"/>
    <w:rsid w:val="00D2708F"/>
    <w:rsid w:val="00D27221"/>
    <w:rsid w:val="00D273AB"/>
    <w:rsid w:val="00D273CD"/>
    <w:rsid w:val="00D27ABB"/>
    <w:rsid w:val="00D27C7E"/>
    <w:rsid w:val="00D30895"/>
    <w:rsid w:val="00D30D97"/>
    <w:rsid w:val="00D31567"/>
    <w:rsid w:val="00D3184B"/>
    <w:rsid w:val="00D31A67"/>
    <w:rsid w:val="00D32B09"/>
    <w:rsid w:val="00D32EA0"/>
    <w:rsid w:val="00D338D5"/>
    <w:rsid w:val="00D33DF0"/>
    <w:rsid w:val="00D3426D"/>
    <w:rsid w:val="00D349DE"/>
    <w:rsid w:val="00D34B7D"/>
    <w:rsid w:val="00D34E1A"/>
    <w:rsid w:val="00D34F3A"/>
    <w:rsid w:val="00D35451"/>
    <w:rsid w:val="00D35712"/>
    <w:rsid w:val="00D359C2"/>
    <w:rsid w:val="00D35C4F"/>
    <w:rsid w:val="00D35CD2"/>
    <w:rsid w:val="00D35D8E"/>
    <w:rsid w:val="00D35EF8"/>
    <w:rsid w:val="00D36363"/>
    <w:rsid w:val="00D36534"/>
    <w:rsid w:val="00D36AFD"/>
    <w:rsid w:val="00D37520"/>
    <w:rsid w:val="00D37E16"/>
    <w:rsid w:val="00D40567"/>
    <w:rsid w:val="00D411E5"/>
    <w:rsid w:val="00D4140F"/>
    <w:rsid w:val="00D41596"/>
    <w:rsid w:val="00D41DD1"/>
    <w:rsid w:val="00D42094"/>
    <w:rsid w:val="00D42391"/>
    <w:rsid w:val="00D4284C"/>
    <w:rsid w:val="00D4340E"/>
    <w:rsid w:val="00D43E99"/>
    <w:rsid w:val="00D44212"/>
    <w:rsid w:val="00D44445"/>
    <w:rsid w:val="00D444CC"/>
    <w:rsid w:val="00D45321"/>
    <w:rsid w:val="00D45369"/>
    <w:rsid w:val="00D45A83"/>
    <w:rsid w:val="00D45E53"/>
    <w:rsid w:val="00D460D2"/>
    <w:rsid w:val="00D460D5"/>
    <w:rsid w:val="00D465D1"/>
    <w:rsid w:val="00D46BFE"/>
    <w:rsid w:val="00D472C4"/>
    <w:rsid w:val="00D47320"/>
    <w:rsid w:val="00D5034F"/>
    <w:rsid w:val="00D511D5"/>
    <w:rsid w:val="00D51303"/>
    <w:rsid w:val="00D5142D"/>
    <w:rsid w:val="00D515D8"/>
    <w:rsid w:val="00D51AFC"/>
    <w:rsid w:val="00D52262"/>
    <w:rsid w:val="00D52282"/>
    <w:rsid w:val="00D52BBA"/>
    <w:rsid w:val="00D52E32"/>
    <w:rsid w:val="00D52EA9"/>
    <w:rsid w:val="00D535A2"/>
    <w:rsid w:val="00D535A5"/>
    <w:rsid w:val="00D5379D"/>
    <w:rsid w:val="00D53827"/>
    <w:rsid w:val="00D5399E"/>
    <w:rsid w:val="00D540EA"/>
    <w:rsid w:val="00D5433A"/>
    <w:rsid w:val="00D54B0B"/>
    <w:rsid w:val="00D54C45"/>
    <w:rsid w:val="00D54E22"/>
    <w:rsid w:val="00D556EB"/>
    <w:rsid w:val="00D55AD6"/>
    <w:rsid w:val="00D55AD9"/>
    <w:rsid w:val="00D55DA9"/>
    <w:rsid w:val="00D57890"/>
    <w:rsid w:val="00D57BDC"/>
    <w:rsid w:val="00D60A7E"/>
    <w:rsid w:val="00D60A87"/>
    <w:rsid w:val="00D61506"/>
    <w:rsid w:val="00D6185A"/>
    <w:rsid w:val="00D61F87"/>
    <w:rsid w:val="00D621A3"/>
    <w:rsid w:val="00D622D8"/>
    <w:rsid w:val="00D63376"/>
    <w:rsid w:val="00D636EB"/>
    <w:rsid w:val="00D638B9"/>
    <w:rsid w:val="00D63DF4"/>
    <w:rsid w:val="00D650E8"/>
    <w:rsid w:val="00D66C3F"/>
    <w:rsid w:val="00D66C46"/>
    <w:rsid w:val="00D66F17"/>
    <w:rsid w:val="00D66F39"/>
    <w:rsid w:val="00D6741E"/>
    <w:rsid w:val="00D67E80"/>
    <w:rsid w:val="00D70702"/>
    <w:rsid w:val="00D707B6"/>
    <w:rsid w:val="00D71001"/>
    <w:rsid w:val="00D71402"/>
    <w:rsid w:val="00D714FE"/>
    <w:rsid w:val="00D71740"/>
    <w:rsid w:val="00D7198E"/>
    <w:rsid w:val="00D71B55"/>
    <w:rsid w:val="00D72607"/>
    <w:rsid w:val="00D72BE3"/>
    <w:rsid w:val="00D72F1F"/>
    <w:rsid w:val="00D7380A"/>
    <w:rsid w:val="00D74761"/>
    <w:rsid w:val="00D75430"/>
    <w:rsid w:val="00D75676"/>
    <w:rsid w:val="00D75783"/>
    <w:rsid w:val="00D7598A"/>
    <w:rsid w:val="00D75CA6"/>
    <w:rsid w:val="00D75F04"/>
    <w:rsid w:val="00D76732"/>
    <w:rsid w:val="00D76A1A"/>
    <w:rsid w:val="00D7784D"/>
    <w:rsid w:val="00D77AE6"/>
    <w:rsid w:val="00D77BAE"/>
    <w:rsid w:val="00D80168"/>
    <w:rsid w:val="00D8062D"/>
    <w:rsid w:val="00D807C7"/>
    <w:rsid w:val="00D809BE"/>
    <w:rsid w:val="00D81B6A"/>
    <w:rsid w:val="00D81F24"/>
    <w:rsid w:val="00D8201C"/>
    <w:rsid w:val="00D8233C"/>
    <w:rsid w:val="00D824A0"/>
    <w:rsid w:val="00D82B73"/>
    <w:rsid w:val="00D830F1"/>
    <w:rsid w:val="00D839FC"/>
    <w:rsid w:val="00D8408B"/>
    <w:rsid w:val="00D84C5E"/>
    <w:rsid w:val="00D84E89"/>
    <w:rsid w:val="00D8501E"/>
    <w:rsid w:val="00D85653"/>
    <w:rsid w:val="00D856C2"/>
    <w:rsid w:val="00D85A31"/>
    <w:rsid w:val="00D8602C"/>
    <w:rsid w:val="00D864AA"/>
    <w:rsid w:val="00D864AF"/>
    <w:rsid w:val="00D875E1"/>
    <w:rsid w:val="00D87608"/>
    <w:rsid w:val="00D8770C"/>
    <w:rsid w:val="00D87879"/>
    <w:rsid w:val="00D90ED0"/>
    <w:rsid w:val="00D92414"/>
    <w:rsid w:val="00D92A81"/>
    <w:rsid w:val="00D92D03"/>
    <w:rsid w:val="00D93024"/>
    <w:rsid w:val="00D9342B"/>
    <w:rsid w:val="00D93A11"/>
    <w:rsid w:val="00D93C9D"/>
    <w:rsid w:val="00D93FC4"/>
    <w:rsid w:val="00D946C1"/>
    <w:rsid w:val="00D94CFD"/>
    <w:rsid w:val="00D94D8E"/>
    <w:rsid w:val="00D94E14"/>
    <w:rsid w:val="00D94F0F"/>
    <w:rsid w:val="00D951D4"/>
    <w:rsid w:val="00D95214"/>
    <w:rsid w:val="00D95280"/>
    <w:rsid w:val="00D96482"/>
    <w:rsid w:val="00D96850"/>
    <w:rsid w:val="00D9688B"/>
    <w:rsid w:val="00D96C80"/>
    <w:rsid w:val="00D97026"/>
    <w:rsid w:val="00D97554"/>
    <w:rsid w:val="00D9760C"/>
    <w:rsid w:val="00D9777E"/>
    <w:rsid w:val="00DA016E"/>
    <w:rsid w:val="00DA0232"/>
    <w:rsid w:val="00DA03A4"/>
    <w:rsid w:val="00DA0514"/>
    <w:rsid w:val="00DA07C7"/>
    <w:rsid w:val="00DA0FD6"/>
    <w:rsid w:val="00DA1134"/>
    <w:rsid w:val="00DA1354"/>
    <w:rsid w:val="00DA19D6"/>
    <w:rsid w:val="00DA1A32"/>
    <w:rsid w:val="00DA2E59"/>
    <w:rsid w:val="00DA3001"/>
    <w:rsid w:val="00DA34CC"/>
    <w:rsid w:val="00DA3512"/>
    <w:rsid w:val="00DA3679"/>
    <w:rsid w:val="00DA43C0"/>
    <w:rsid w:val="00DA45FA"/>
    <w:rsid w:val="00DA46EF"/>
    <w:rsid w:val="00DA48D9"/>
    <w:rsid w:val="00DA4CB9"/>
    <w:rsid w:val="00DA56A1"/>
    <w:rsid w:val="00DA5708"/>
    <w:rsid w:val="00DA5B30"/>
    <w:rsid w:val="00DA5E0F"/>
    <w:rsid w:val="00DA5FF1"/>
    <w:rsid w:val="00DA63B3"/>
    <w:rsid w:val="00DA6817"/>
    <w:rsid w:val="00DA7E70"/>
    <w:rsid w:val="00DB03A7"/>
    <w:rsid w:val="00DB0409"/>
    <w:rsid w:val="00DB0A09"/>
    <w:rsid w:val="00DB0B27"/>
    <w:rsid w:val="00DB103E"/>
    <w:rsid w:val="00DB1186"/>
    <w:rsid w:val="00DB137B"/>
    <w:rsid w:val="00DB198E"/>
    <w:rsid w:val="00DB1C27"/>
    <w:rsid w:val="00DB21E1"/>
    <w:rsid w:val="00DB37E7"/>
    <w:rsid w:val="00DB3A52"/>
    <w:rsid w:val="00DB3D16"/>
    <w:rsid w:val="00DB3E30"/>
    <w:rsid w:val="00DB4184"/>
    <w:rsid w:val="00DB4715"/>
    <w:rsid w:val="00DB4EA0"/>
    <w:rsid w:val="00DB4FAD"/>
    <w:rsid w:val="00DB5794"/>
    <w:rsid w:val="00DB59E0"/>
    <w:rsid w:val="00DB6C5E"/>
    <w:rsid w:val="00DB6E1D"/>
    <w:rsid w:val="00DB6E3F"/>
    <w:rsid w:val="00DB6E6E"/>
    <w:rsid w:val="00DB7AA9"/>
    <w:rsid w:val="00DB7D76"/>
    <w:rsid w:val="00DB7E17"/>
    <w:rsid w:val="00DC00DC"/>
    <w:rsid w:val="00DC06CD"/>
    <w:rsid w:val="00DC086D"/>
    <w:rsid w:val="00DC0CD7"/>
    <w:rsid w:val="00DC10BB"/>
    <w:rsid w:val="00DC1BF3"/>
    <w:rsid w:val="00DC23CB"/>
    <w:rsid w:val="00DC2FE3"/>
    <w:rsid w:val="00DC3395"/>
    <w:rsid w:val="00DC3DCC"/>
    <w:rsid w:val="00DC4920"/>
    <w:rsid w:val="00DC4B0E"/>
    <w:rsid w:val="00DC4DAD"/>
    <w:rsid w:val="00DC4FAF"/>
    <w:rsid w:val="00DC5B48"/>
    <w:rsid w:val="00DC60DA"/>
    <w:rsid w:val="00DC623B"/>
    <w:rsid w:val="00DC6A5E"/>
    <w:rsid w:val="00DC6AAA"/>
    <w:rsid w:val="00DC6DD6"/>
    <w:rsid w:val="00DC6E27"/>
    <w:rsid w:val="00DC7059"/>
    <w:rsid w:val="00DC7565"/>
    <w:rsid w:val="00DD0295"/>
    <w:rsid w:val="00DD0897"/>
    <w:rsid w:val="00DD0E44"/>
    <w:rsid w:val="00DD0FFC"/>
    <w:rsid w:val="00DD15B2"/>
    <w:rsid w:val="00DD1958"/>
    <w:rsid w:val="00DD1FB0"/>
    <w:rsid w:val="00DD2641"/>
    <w:rsid w:val="00DD26A2"/>
    <w:rsid w:val="00DD26E2"/>
    <w:rsid w:val="00DD2795"/>
    <w:rsid w:val="00DD35C5"/>
    <w:rsid w:val="00DD4317"/>
    <w:rsid w:val="00DD433D"/>
    <w:rsid w:val="00DD4412"/>
    <w:rsid w:val="00DD447F"/>
    <w:rsid w:val="00DD460E"/>
    <w:rsid w:val="00DD4707"/>
    <w:rsid w:val="00DD505B"/>
    <w:rsid w:val="00DD5984"/>
    <w:rsid w:val="00DD5D32"/>
    <w:rsid w:val="00DD6877"/>
    <w:rsid w:val="00DD7701"/>
    <w:rsid w:val="00DD7722"/>
    <w:rsid w:val="00DE10D6"/>
    <w:rsid w:val="00DE134B"/>
    <w:rsid w:val="00DE17B4"/>
    <w:rsid w:val="00DE1A03"/>
    <w:rsid w:val="00DE1ACC"/>
    <w:rsid w:val="00DE2082"/>
    <w:rsid w:val="00DE247F"/>
    <w:rsid w:val="00DE29D8"/>
    <w:rsid w:val="00DE2B82"/>
    <w:rsid w:val="00DE2BA6"/>
    <w:rsid w:val="00DE2CB7"/>
    <w:rsid w:val="00DE2DCE"/>
    <w:rsid w:val="00DE2E42"/>
    <w:rsid w:val="00DE374E"/>
    <w:rsid w:val="00DE37F3"/>
    <w:rsid w:val="00DE3DD8"/>
    <w:rsid w:val="00DE46C3"/>
    <w:rsid w:val="00DE5637"/>
    <w:rsid w:val="00DE56EA"/>
    <w:rsid w:val="00DE571F"/>
    <w:rsid w:val="00DE574B"/>
    <w:rsid w:val="00DE5E54"/>
    <w:rsid w:val="00DE5E6A"/>
    <w:rsid w:val="00DE601B"/>
    <w:rsid w:val="00DE6589"/>
    <w:rsid w:val="00DE658A"/>
    <w:rsid w:val="00DE6AE0"/>
    <w:rsid w:val="00DE6BC1"/>
    <w:rsid w:val="00DE7890"/>
    <w:rsid w:val="00DF0A21"/>
    <w:rsid w:val="00DF0E12"/>
    <w:rsid w:val="00DF115C"/>
    <w:rsid w:val="00DF15BE"/>
    <w:rsid w:val="00DF23E9"/>
    <w:rsid w:val="00DF386B"/>
    <w:rsid w:val="00DF39E5"/>
    <w:rsid w:val="00DF3A90"/>
    <w:rsid w:val="00DF3B3F"/>
    <w:rsid w:val="00DF3BD2"/>
    <w:rsid w:val="00DF4EC1"/>
    <w:rsid w:val="00DF5B35"/>
    <w:rsid w:val="00DF5C65"/>
    <w:rsid w:val="00DF5D26"/>
    <w:rsid w:val="00DF5E3A"/>
    <w:rsid w:val="00DF5EAF"/>
    <w:rsid w:val="00DF5F50"/>
    <w:rsid w:val="00DF6D37"/>
    <w:rsid w:val="00DF72CA"/>
    <w:rsid w:val="00E00278"/>
    <w:rsid w:val="00E0058D"/>
    <w:rsid w:val="00E00F7C"/>
    <w:rsid w:val="00E01A79"/>
    <w:rsid w:val="00E01C3C"/>
    <w:rsid w:val="00E01CAA"/>
    <w:rsid w:val="00E02447"/>
    <w:rsid w:val="00E02554"/>
    <w:rsid w:val="00E02A7E"/>
    <w:rsid w:val="00E035D2"/>
    <w:rsid w:val="00E037F0"/>
    <w:rsid w:val="00E03A32"/>
    <w:rsid w:val="00E03C10"/>
    <w:rsid w:val="00E04D22"/>
    <w:rsid w:val="00E04FEF"/>
    <w:rsid w:val="00E0515C"/>
    <w:rsid w:val="00E057AF"/>
    <w:rsid w:val="00E05843"/>
    <w:rsid w:val="00E05B59"/>
    <w:rsid w:val="00E05D03"/>
    <w:rsid w:val="00E06311"/>
    <w:rsid w:val="00E07BA9"/>
    <w:rsid w:val="00E07BBD"/>
    <w:rsid w:val="00E07C36"/>
    <w:rsid w:val="00E07F13"/>
    <w:rsid w:val="00E07FBA"/>
    <w:rsid w:val="00E10294"/>
    <w:rsid w:val="00E106B9"/>
    <w:rsid w:val="00E10B00"/>
    <w:rsid w:val="00E10DB7"/>
    <w:rsid w:val="00E10F8C"/>
    <w:rsid w:val="00E112F3"/>
    <w:rsid w:val="00E11600"/>
    <w:rsid w:val="00E11666"/>
    <w:rsid w:val="00E1216D"/>
    <w:rsid w:val="00E12437"/>
    <w:rsid w:val="00E124BA"/>
    <w:rsid w:val="00E1311A"/>
    <w:rsid w:val="00E13576"/>
    <w:rsid w:val="00E13923"/>
    <w:rsid w:val="00E13DE5"/>
    <w:rsid w:val="00E13EC1"/>
    <w:rsid w:val="00E13FB3"/>
    <w:rsid w:val="00E1484A"/>
    <w:rsid w:val="00E14C3B"/>
    <w:rsid w:val="00E14F9E"/>
    <w:rsid w:val="00E15DD1"/>
    <w:rsid w:val="00E166F7"/>
    <w:rsid w:val="00E16A5B"/>
    <w:rsid w:val="00E16D87"/>
    <w:rsid w:val="00E171BD"/>
    <w:rsid w:val="00E17600"/>
    <w:rsid w:val="00E2106F"/>
    <w:rsid w:val="00E21AAB"/>
    <w:rsid w:val="00E21BF8"/>
    <w:rsid w:val="00E224A8"/>
    <w:rsid w:val="00E22B97"/>
    <w:rsid w:val="00E23510"/>
    <w:rsid w:val="00E237AB"/>
    <w:rsid w:val="00E237C5"/>
    <w:rsid w:val="00E23A4B"/>
    <w:rsid w:val="00E23A57"/>
    <w:rsid w:val="00E23BD2"/>
    <w:rsid w:val="00E23F48"/>
    <w:rsid w:val="00E24446"/>
    <w:rsid w:val="00E2448C"/>
    <w:rsid w:val="00E24671"/>
    <w:rsid w:val="00E250A0"/>
    <w:rsid w:val="00E25E31"/>
    <w:rsid w:val="00E263C7"/>
    <w:rsid w:val="00E2667E"/>
    <w:rsid w:val="00E26809"/>
    <w:rsid w:val="00E2726E"/>
    <w:rsid w:val="00E276ED"/>
    <w:rsid w:val="00E2781C"/>
    <w:rsid w:val="00E27836"/>
    <w:rsid w:val="00E27F2D"/>
    <w:rsid w:val="00E3031D"/>
    <w:rsid w:val="00E306B1"/>
    <w:rsid w:val="00E30A8D"/>
    <w:rsid w:val="00E30B5A"/>
    <w:rsid w:val="00E30FEA"/>
    <w:rsid w:val="00E30FF2"/>
    <w:rsid w:val="00E31467"/>
    <w:rsid w:val="00E31B0F"/>
    <w:rsid w:val="00E31B19"/>
    <w:rsid w:val="00E326B3"/>
    <w:rsid w:val="00E327E6"/>
    <w:rsid w:val="00E32EB2"/>
    <w:rsid w:val="00E3334B"/>
    <w:rsid w:val="00E335EB"/>
    <w:rsid w:val="00E33774"/>
    <w:rsid w:val="00E337A2"/>
    <w:rsid w:val="00E338DC"/>
    <w:rsid w:val="00E33AF8"/>
    <w:rsid w:val="00E33DE7"/>
    <w:rsid w:val="00E34058"/>
    <w:rsid w:val="00E3420A"/>
    <w:rsid w:val="00E3499E"/>
    <w:rsid w:val="00E34D9D"/>
    <w:rsid w:val="00E35015"/>
    <w:rsid w:val="00E350AA"/>
    <w:rsid w:val="00E35F2F"/>
    <w:rsid w:val="00E36164"/>
    <w:rsid w:val="00E361F6"/>
    <w:rsid w:val="00E3654E"/>
    <w:rsid w:val="00E3670D"/>
    <w:rsid w:val="00E36F99"/>
    <w:rsid w:val="00E372AF"/>
    <w:rsid w:val="00E3792C"/>
    <w:rsid w:val="00E37A45"/>
    <w:rsid w:val="00E37C7F"/>
    <w:rsid w:val="00E37EBA"/>
    <w:rsid w:val="00E407ED"/>
    <w:rsid w:val="00E41ACB"/>
    <w:rsid w:val="00E429E6"/>
    <w:rsid w:val="00E42CA9"/>
    <w:rsid w:val="00E42D2B"/>
    <w:rsid w:val="00E42E42"/>
    <w:rsid w:val="00E432DE"/>
    <w:rsid w:val="00E4364D"/>
    <w:rsid w:val="00E438F1"/>
    <w:rsid w:val="00E43D22"/>
    <w:rsid w:val="00E4446B"/>
    <w:rsid w:val="00E449C6"/>
    <w:rsid w:val="00E44B21"/>
    <w:rsid w:val="00E44E4C"/>
    <w:rsid w:val="00E4532B"/>
    <w:rsid w:val="00E457AE"/>
    <w:rsid w:val="00E4596C"/>
    <w:rsid w:val="00E45AD4"/>
    <w:rsid w:val="00E45F04"/>
    <w:rsid w:val="00E461D6"/>
    <w:rsid w:val="00E46A7A"/>
    <w:rsid w:val="00E47367"/>
    <w:rsid w:val="00E47FA9"/>
    <w:rsid w:val="00E47FDF"/>
    <w:rsid w:val="00E5090D"/>
    <w:rsid w:val="00E50E28"/>
    <w:rsid w:val="00E51622"/>
    <w:rsid w:val="00E51CF5"/>
    <w:rsid w:val="00E523B9"/>
    <w:rsid w:val="00E5277D"/>
    <w:rsid w:val="00E52BDA"/>
    <w:rsid w:val="00E534F9"/>
    <w:rsid w:val="00E53523"/>
    <w:rsid w:val="00E53C69"/>
    <w:rsid w:val="00E546B3"/>
    <w:rsid w:val="00E546D5"/>
    <w:rsid w:val="00E555AB"/>
    <w:rsid w:val="00E55654"/>
    <w:rsid w:val="00E556E0"/>
    <w:rsid w:val="00E55A90"/>
    <w:rsid w:val="00E5600B"/>
    <w:rsid w:val="00E56736"/>
    <w:rsid w:val="00E56AD0"/>
    <w:rsid w:val="00E5720C"/>
    <w:rsid w:val="00E5742C"/>
    <w:rsid w:val="00E60A98"/>
    <w:rsid w:val="00E61145"/>
    <w:rsid w:val="00E61CFA"/>
    <w:rsid w:val="00E61EBA"/>
    <w:rsid w:val="00E626BB"/>
    <w:rsid w:val="00E62B25"/>
    <w:rsid w:val="00E639DB"/>
    <w:rsid w:val="00E63A71"/>
    <w:rsid w:val="00E65657"/>
    <w:rsid w:val="00E6607A"/>
    <w:rsid w:val="00E662F0"/>
    <w:rsid w:val="00E669F0"/>
    <w:rsid w:val="00E66BA4"/>
    <w:rsid w:val="00E66CD4"/>
    <w:rsid w:val="00E67235"/>
    <w:rsid w:val="00E703DC"/>
    <w:rsid w:val="00E71388"/>
    <w:rsid w:val="00E722A0"/>
    <w:rsid w:val="00E72BD0"/>
    <w:rsid w:val="00E72E41"/>
    <w:rsid w:val="00E73273"/>
    <w:rsid w:val="00E7374B"/>
    <w:rsid w:val="00E74179"/>
    <w:rsid w:val="00E74259"/>
    <w:rsid w:val="00E7463C"/>
    <w:rsid w:val="00E746E3"/>
    <w:rsid w:val="00E748B1"/>
    <w:rsid w:val="00E74A16"/>
    <w:rsid w:val="00E74CD2"/>
    <w:rsid w:val="00E74E22"/>
    <w:rsid w:val="00E75A1E"/>
    <w:rsid w:val="00E75B4B"/>
    <w:rsid w:val="00E76285"/>
    <w:rsid w:val="00E76A0C"/>
    <w:rsid w:val="00E76E08"/>
    <w:rsid w:val="00E774DB"/>
    <w:rsid w:val="00E77D48"/>
    <w:rsid w:val="00E77D93"/>
    <w:rsid w:val="00E77E8C"/>
    <w:rsid w:val="00E80038"/>
    <w:rsid w:val="00E8022E"/>
    <w:rsid w:val="00E803EA"/>
    <w:rsid w:val="00E81441"/>
    <w:rsid w:val="00E81628"/>
    <w:rsid w:val="00E817D6"/>
    <w:rsid w:val="00E81D06"/>
    <w:rsid w:val="00E821D6"/>
    <w:rsid w:val="00E82478"/>
    <w:rsid w:val="00E828DE"/>
    <w:rsid w:val="00E82EE5"/>
    <w:rsid w:val="00E8305E"/>
    <w:rsid w:val="00E8366C"/>
    <w:rsid w:val="00E837C3"/>
    <w:rsid w:val="00E83945"/>
    <w:rsid w:val="00E842F8"/>
    <w:rsid w:val="00E8436D"/>
    <w:rsid w:val="00E84996"/>
    <w:rsid w:val="00E84FA2"/>
    <w:rsid w:val="00E8509B"/>
    <w:rsid w:val="00E858DF"/>
    <w:rsid w:val="00E86052"/>
    <w:rsid w:val="00E86744"/>
    <w:rsid w:val="00E86E24"/>
    <w:rsid w:val="00E86E67"/>
    <w:rsid w:val="00E87BC8"/>
    <w:rsid w:val="00E87C47"/>
    <w:rsid w:val="00E87D69"/>
    <w:rsid w:val="00E9059E"/>
    <w:rsid w:val="00E905F3"/>
    <w:rsid w:val="00E90AA7"/>
    <w:rsid w:val="00E90DC3"/>
    <w:rsid w:val="00E914A0"/>
    <w:rsid w:val="00E915AD"/>
    <w:rsid w:val="00E91609"/>
    <w:rsid w:val="00E91869"/>
    <w:rsid w:val="00E91D2F"/>
    <w:rsid w:val="00E923D9"/>
    <w:rsid w:val="00E92772"/>
    <w:rsid w:val="00E92A2A"/>
    <w:rsid w:val="00E92E34"/>
    <w:rsid w:val="00E92E35"/>
    <w:rsid w:val="00E93F76"/>
    <w:rsid w:val="00E94392"/>
    <w:rsid w:val="00E94B63"/>
    <w:rsid w:val="00E94F8A"/>
    <w:rsid w:val="00E956B3"/>
    <w:rsid w:val="00E95D68"/>
    <w:rsid w:val="00E96001"/>
    <w:rsid w:val="00E9625A"/>
    <w:rsid w:val="00E9648C"/>
    <w:rsid w:val="00E96D15"/>
    <w:rsid w:val="00E97635"/>
    <w:rsid w:val="00E97886"/>
    <w:rsid w:val="00E978FD"/>
    <w:rsid w:val="00E97EE3"/>
    <w:rsid w:val="00EA01AA"/>
    <w:rsid w:val="00EA07E8"/>
    <w:rsid w:val="00EA08EE"/>
    <w:rsid w:val="00EA0948"/>
    <w:rsid w:val="00EA0DC4"/>
    <w:rsid w:val="00EA14D6"/>
    <w:rsid w:val="00EA18B3"/>
    <w:rsid w:val="00EA196C"/>
    <w:rsid w:val="00EA1AE9"/>
    <w:rsid w:val="00EA227C"/>
    <w:rsid w:val="00EA2476"/>
    <w:rsid w:val="00EA29C5"/>
    <w:rsid w:val="00EA39B0"/>
    <w:rsid w:val="00EA4978"/>
    <w:rsid w:val="00EA51D6"/>
    <w:rsid w:val="00EA560C"/>
    <w:rsid w:val="00EA61C1"/>
    <w:rsid w:val="00EA61C5"/>
    <w:rsid w:val="00EA62F1"/>
    <w:rsid w:val="00EA66F8"/>
    <w:rsid w:val="00EA6929"/>
    <w:rsid w:val="00EA773D"/>
    <w:rsid w:val="00EA776F"/>
    <w:rsid w:val="00EA7AE9"/>
    <w:rsid w:val="00EA7C8F"/>
    <w:rsid w:val="00EB1AD2"/>
    <w:rsid w:val="00EB1C90"/>
    <w:rsid w:val="00EB1F84"/>
    <w:rsid w:val="00EB1FB8"/>
    <w:rsid w:val="00EB22CF"/>
    <w:rsid w:val="00EB2617"/>
    <w:rsid w:val="00EB2CA9"/>
    <w:rsid w:val="00EB4B92"/>
    <w:rsid w:val="00EB4F9D"/>
    <w:rsid w:val="00EB4FB4"/>
    <w:rsid w:val="00EB606D"/>
    <w:rsid w:val="00EB64EB"/>
    <w:rsid w:val="00EB6B89"/>
    <w:rsid w:val="00EB7082"/>
    <w:rsid w:val="00EB758A"/>
    <w:rsid w:val="00EB7ED5"/>
    <w:rsid w:val="00EC0567"/>
    <w:rsid w:val="00EC05B9"/>
    <w:rsid w:val="00EC05D1"/>
    <w:rsid w:val="00EC08C3"/>
    <w:rsid w:val="00EC0DA4"/>
    <w:rsid w:val="00EC0E66"/>
    <w:rsid w:val="00EC0EC4"/>
    <w:rsid w:val="00EC0EF7"/>
    <w:rsid w:val="00EC1BDE"/>
    <w:rsid w:val="00EC1DA2"/>
    <w:rsid w:val="00EC2430"/>
    <w:rsid w:val="00EC28B6"/>
    <w:rsid w:val="00EC2C77"/>
    <w:rsid w:val="00EC3910"/>
    <w:rsid w:val="00EC3CA4"/>
    <w:rsid w:val="00EC3E03"/>
    <w:rsid w:val="00EC4424"/>
    <w:rsid w:val="00EC4A70"/>
    <w:rsid w:val="00EC4ED8"/>
    <w:rsid w:val="00EC5351"/>
    <w:rsid w:val="00EC55B3"/>
    <w:rsid w:val="00EC56CE"/>
    <w:rsid w:val="00EC5B17"/>
    <w:rsid w:val="00EC622E"/>
    <w:rsid w:val="00EC67C8"/>
    <w:rsid w:val="00EC6A99"/>
    <w:rsid w:val="00EC6AFB"/>
    <w:rsid w:val="00EC73B2"/>
    <w:rsid w:val="00EC7724"/>
    <w:rsid w:val="00EC784A"/>
    <w:rsid w:val="00ED0367"/>
    <w:rsid w:val="00ED10FB"/>
    <w:rsid w:val="00ED1898"/>
    <w:rsid w:val="00ED1DC3"/>
    <w:rsid w:val="00ED1FF3"/>
    <w:rsid w:val="00ED2E62"/>
    <w:rsid w:val="00ED3312"/>
    <w:rsid w:val="00ED3558"/>
    <w:rsid w:val="00ED39FA"/>
    <w:rsid w:val="00ED3B52"/>
    <w:rsid w:val="00ED4025"/>
    <w:rsid w:val="00ED44AF"/>
    <w:rsid w:val="00ED4DCF"/>
    <w:rsid w:val="00ED4E1C"/>
    <w:rsid w:val="00ED5004"/>
    <w:rsid w:val="00ED6BF4"/>
    <w:rsid w:val="00ED728B"/>
    <w:rsid w:val="00ED72F2"/>
    <w:rsid w:val="00ED7383"/>
    <w:rsid w:val="00ED74B2"/>
    <w:rsid w:val="00ED7863"/>
    <w:rsid w:val="00ED79C7"/>
    <w:rsid w:val="00ED7C36"/>
    <w:rsid w:val="00EE01CC"/>
    <w:rsid w:val="00EE1586"/>
    <w:rsid w:val="00EE1971"/>
    <w:rsid w:val="00EE1A60"/>
    <w:rsid w:val="00EE1DAC"/>
    <w:rsid w:val="00EE22B0"/>
    <w:rsid w:val="00EE245F"/>
    <w:rsid w:val="00EE289B"/>
    <w:rsid w:val="00EE2A4D"/>
    <w:rsid w:val="00EE2B31"/>
    <w:rsid w:val="00EE3059"/>
    <w:rsid w:val="00EE484F"/>
    <w:rsid w:val="00EE48EF"/>
    <w:rsid w:val="00EE5721"/>
    <w:rsid w:val="00EE5AA7"/>
    <w:rsid w:val="00EE5CB2"/>
    <w:rsid w:val="00EE655A"/>
    <w:rsid w:val="00EE6DA7"/>
    <w:rsid w:val="00EE70CF"/>
    <w:rsid w:val="00EE77FC"/>
    <w:rsid w:val="00EE790F"/>
    <w:rsid w:val="00EF0347"/>
    <w:rsid w:val="00EF05EA"/>
    <w:rsid w:val="00EF1489"/>
    <w:rsid w:val="00EF1D48"/>
    <w:rsid w:val="00EF2204"/>
    <w:rsid w:val="00EF27E2"/>
    <w:rsid w:val="00EF2EA2"/>
    <w:rsid w:val="00EF2F08"/>
    <w:rsid w:val="00EF3483"/>
    <w:rsid w:val="00EF34E2"/>
    <w:rsid w:val="00EF498B"/>
    <w:rsid w:val="00EF4AC2"/>
    <w:rsid w:val="00EF532A"/>
    <w:rsid w:val="00EF63E9"/>
    <w:rsid w:val="00EF6608"/>
    <w:rsid w:val="00EF711A"/>
    <w:rsid w:val="00EF7793"/>
    <w:rsid w:val="00EF792C"/>
    <w:rsid w:val="00EF79D7"/>
    <w:rsid w:val="00EF7BDD"/>
    <w:rsid w:val="00EF7D21"/>
    <w:rsid w:val="00EF7F3B"/>
    <w:rsid w:val="00EF7FE1"/>
    <w:rsid w:val="00F002BC"/>
    <w:rsid w:val="00F00F65"/>
    <w:rsid w:val="00F01642"/>
    <w:rsid w:val="00F01852"/>
    <w:rsid w:val="00F018A3"/>
    <w:rsid w:val="00F018E5"/>
    <w:rsid w:val="00F01D95"/>
    <w:rsid w:val="00F030AC"/>
    <w:rsid w:val="00F04182"/>
    <w:rsid w:val="00F044C9"/>
    <w:rsid w:val="00F044F3"/>
    <w:rsid w:val="00F047BA"/>
    <w:rsid w:val="00F0491F"/>
    <w:rsid w:val="00F0559B"/>
    <w:rsid w:val="00F05993"/>
    <w:rsid w:val="00F05ACF"/>
    <w:rsid w:val="00F0624F"/>
    <w:rsid w:val="00F069B4"/>
    <w:rsid w:val="00F06BFF"/>
    <w:rsid w:val="00F06E00"/>
    <w:rsid w:val="00F07034"/>
    <w:rsid w:val="00F075BB"/>
    <w:rsid w:val="00F104A1"/>
    <w:rsid w:val="00F104AC"/>
    <w:rsid w:val="00F1088B"/>
    <w:rsid w:val="00F10936"/>
    <w:rsid w:val="00F112B2"/>
    <w:rsid w:val="00F11854"/>
    <w:rsid w:val="00F12864"/>
    <w:rsid w:val="00F12958"/>
    <w:rsid w:val="00F12ABD"/>
    <w:rsid w:val="00F12ED8"/>
    <w:rsid w:val="00F13503"/>
    <w:rsid w:val="00F13529"/>
    <w:rsid w:val="00F1393E"/>
    <w:rsid w:val="00F15021"/>
    <w:rsid w:val="00F15DB4"/>
    <w:rsid w:val="00F15FE4"/>
    <w:rsid w:val="00F16CF9"/>
    <w:rsid w:val="00F172E4"/>
    <w:rsid w:val="00F17EBB"/>
    <w:rsid w:val="00F204FF"/>
    <w:rsid w:val="00F20F20"/>
    <w:rsid w:val="00F212C2"/>
    <w:rsid w:val="00F21BF1"/>
    <w:rsid w:val="00F21D24"/>
    <w:rsid w:val="00F220AC"/>
    <w:rsid w:val="00F22B63"/>
    <w:rsid w:val="00F23131"/>
    <w:rsid w:val="00F232B2"/>
    <w:rsid w:val="00F23956"/>
    <w:rsid w:val="00F23ED8"/>
    <w:rsid w:val="00F23F38"/>
    <w:rsid w:val="00F24370"/>
    <w:rsid w:val="00F2443F"/>
    <w:rsid w:val="00F244B7"/>
    <w:rsid w:val="00F25EC8"/>
    <w:rsid w:val="00F25F6F"/>
    <w:rsid w:val="00F272C5"/>
    <w:rsid w:val="00F27356"/>
    <w:rsid w:val="00F275EE"/>
    <w:rsid w:val="00F277B8"/>
    <w:rsid w:val="00F278D2"/>
    <w:rsid w:val="00F27EFE"/>
    <w:rsid w:val="00F30162"/>
    <w:rsid w:val="00F30808"/>
    <w:rsid w:val="00F30BE6"/>
    <w:rsid w:val="00F3180A"/>
    <w:rsid w:val="00F31ADB"/>
    <w:rsid w:val="00F31D3A"/>
    <w:rsid w:val="00F35004"/>
    <w:rsid w:val="00F350A2"/>
    <w:rsid w:val="00F35C2E"/>
    <w:rsid w:val="00F35EE3"/>
    <w:rsid w:val="00F367B2"/>
    <w:rsid w:val="00F36BBB"/>
    <w:rsid w:val="00F37876"/>
    <w:rsid w:val="00F37B6E"/>
    <w:rsid w:val="00F37C44"/>
    <w:rsid w:val="00F37D2E"/>
    <w:rsid w:val="00F405B3"/>
    <w:rsid w:val="00F40876"/>
    <w:rsid w:val="00F40B9D"/>
    <w:rsid w:val="00F4143B"/>
    <w:rsid w:val="00F414EE"/>
    <w:rsid w:val="00F41AD3"/>
    <w:rsid w:val="00F42359"/>
    <w:rsid w:val="00F42D6B"/>
    <w:rsid w:val="00F42D6C"/>
    <w:rsid w:val="00F44145"/>
    <w:rsid w:val="00F4429B"/>
    <w:rsid w:val="00F442C2"/>
    <w:rsid w:val="00F450DD"/>
    <w:rsid w:val="00F460F9"/>
    <w:rsid w:val="00F46266"/>
    <w:rsid w:val="00F46850"/>
    <w:rsid w:val="00F46D88"/>
    <w:rsid w:val="00F47501"/>
    <w:rsid w:val="00F4772F"/>
    <w:rsid w:val="00F47D51"/>
    <w:rsid w:val="00F47EFC"/>
    <w:rsid w:val="00F47F95"/>
    <w:rsid w:val="00F50091"/>
    <w:rsid w:val="00F5033E"/>
    <w:rsid w:val="00F50349"/>
    <w:rsid w:val="00F505B0"/>
    <w:rsid w:val="00F50A14"/>
    <w:rsid w:val="00F51CAC"/>
    <w:rsid w:val="00F51E34"/>
    <w:rsid w:val="00F5276E"/>
    <w:rsid w:val="00F527FD"/>
    <w:rsid w:val="00F52F77"/>
    <w:rsid w:val="00F533AA"/>
    <w:rsid w:val="00F543D2"/>
    <w:rsid w:val="00F548EC"/>
    <w:rsid w:val="00F54EBA"/>
    <w:rsid w:val="00F55922"/>
    <w:rsid w:val="00F55A9C"/>
    <w:rsid w:val="00F55D84"/>
    <w:rsid w:val="00F563E2"/>
    <w:rsid w:val="00F566FC"/>
    <w:rsid w:val="00F56BA7"/>
    <w:rsid w:val="00F57266"/>
    <w:rsid w:val="00F605C5"/>
    <w:rsid w:val="00F606C5"/>
    <w:rsid w:val="00F607D8"/>
    <w:rsid w:val="00F60845"/>
    <w:rsid w:val="00F60C3B"/>
    <w:rsid w:val="00F60E59"/>
    <w:rsid w:val="00F611C4"/>
    <w:rsid w:val="00F611D8"/>
    <w:rsid w:val="00F61650"/>
    <w:rsid w:val="00F61876"/>
    <w:rsid w:val="00F62435"/>
    <w:rsid w:val="00F626BB"/>
    <w:rsid w:val="00F63A8C"/>
    <w:rsid w:val="00F63B69"/>
    <w:rsid w:val="00F63C2A"/>
    <w:rsid w:val="00F6479D"/>
    <w:rsid w:val="00F65198"/>
    <w:rsid w:val="00F65A10"/>
    <w:rsid w:val="00F65A83"/>
    <w:rsid w:val="00F65B76"/>
    <w:rsid w:val="00F65C70"/>
    <w:rsid w:val="00F65DFD"/>
    <w:rsid w:val="00F66FD3"/>
    <w:rsid w:val="00F67D5D"/>
    <w:rsid w:val="00F70988"/>
    <w:rsid w:val="00F71189"/>
    <w:rsid w:val="00F71CA7"/>
    <w:rsid w:val="00F71E2F"/>
    <w:rsid w:val="00F727BB"/>
    <w:rsid w:val="00F7281F"/>
    <w:rsid w:val="00F72CAD"/>
    <w:rsid w:val="00F72F32"/>
    <w:rsid w:val="00F744B9"/>
    <w:rsid w:val="00F74756"/>
    <w:rsid w:val="00F74A60"/>
    <w:rsid w:val="00F74B16"/>
    <w:rsid w:val="00F74F56"/>
    <w:rsid w:val="00F753CC"/>
    <w:rsid w:val="00F76722"/>
    <w:rsid w:val="00F768B1"/>
    <w:rsid w:val="00F76A47"/>
    <w:rsid w:val="00F76F83"/>
    <w:rsid w:val="00F77030"/>
    <w:rsid w:val="00F77111"/>
    <w:rsid w:val="00F77700"/>
    <w:rsid w:val="00F778FD"/>
    <w:rsid w:val="00F77CB6"/>
    <w:rsid w:val="00F80413"/>
    <w:rsid w:val="00F80540"/>
    <w:rsid w:val="00F80DFD"/>
    <w:rsid w:val="00F80E7E"/>
    <w:rsid w:val="00F80F72"/>
    <w:rsid w:val="00F81377"/>
    <w:rsid w:val="00F81A6A"/>
    <w:rsid w:val="00F81AC1"/>
    <w:rsid w:val="00F81D80"/>
    <w:rsid w:val="00F823DA"/>
    <w:rsid w:val="00F8277D"/>
    <w:rsid w:val="00F830C2"/>
    <w:rsid w:val="00F835A8"/>
    <w:rsid w:val="00F83F3A"/>
    <w:rsid w:val="00F84470"/>
    <w:rsid w:val="00F844C9"/>
    <w:rsid w:val="00F845F2"/>
    <w:rsid w:val="00F8488B"/>
    <w:rsid w:val="00F850CF"/>
    <w:rsid w:val="00F853B6"/>
    <w:rsid w:val="00F85499"/>
    <w:rsid w:val="00F868E0"/>
    <w:rsid w:val="00F86F6B"/>
    <w:rsid w:val="00F87349"/>
    <w:rsid w:val="00F87A5F"/>
    <w:rsid w:val="00F87B11"/>
    <w:rsid w:val="00F903AB"/>
    <w:rsid w:val="00F90444"/>
    <w:rsid w:val="00F90896"/>
    <w:rsid w:val="00F909D0"/>
    <w:rsid w:val="00F90B52"/>
    <w:rsid w:val="00F9145D"/>
    <w:rsid w:val="00F91585"/>
    <w:rsid w:val="00F91895"/>
    <w:rsid w:val="00F91FC0"/>
    <w:rsid w:val="00F9252C"/>
    <w:rsid w:val="00F9259A"/>
    <w:rsid w:val="00F92A8B"/>
    <w:rsid w:val="00F92CD1"/>
    <w:rsid w:val="00F93361"/>
    <w:rsid w:val="00F93A59"/>
    <w:rsid w:val="00F93F67"/>
    <w:rsid w:val="00F94539"/>
    <w:rsid w:val="00F94644"/>
    <w:rsid w:val="00F946AE"/>
    <w:rsid w:val="00F9490E"/>
    <w:rsid w:val="00F949D4"/>
    <w:rsid w:val="00F94C74"/>
    <w:rsid w:val="00F94FA5"/>
    <w:rsid w:val="00F9513D"/>
    <w:rsid w:val="00F95671"/>
    <w:rsid w:val="00F958E6"/>
    <w:rsid w:val="00F963E6"/>
    <w:rsid w:val="00F96C8A"/>
    <w:rsid w:val="00F970B2"/>
    <w:rsid w:val="00F9782B"/>
    <w:rsid w:val="00F97FDB"/>
    <w:rsid w:val="00FA02E7"/>
    <w:rsid w:val="00FA06C9"/>
    <w:rsid w:val="00FA0DF2"/>
    <w:rsid w:val="00FA0EA4"/>
    <w:rsid w:val="00FA16C2"/>
    <w:rsid w:val="00FA185E"/>
    <w:rsid w:val="00FA2073"/>
    <w:rsid w:val="00FA2A89"/>
    <w:rsid w:val="00FA304D"/>
    <w:rsid w:val="00FA3076"/>
    <w:rsid w:val="00FA33E6"/>
    <w:rsid w:val="00FA362A"/>
    <w:rsid w:val="00FA38BD"/>
    <w:rsid w:val="00FA41F3"/>
    <w:rsid w:val="00FA523D"/>
    <w:rsid w:val="00FA5538"/>
    <w:rsid w:val="00FA555A"/>
    <w:rsid w:val="00FA57EA"/>
    <w:rsid w:val="00FA5A9D"/>
    <w:rsid w:val="00FA5C48"/>
    <w:rsid w:val="00FA5D43"/>
    <w:rsid w:val="00FA5DF4"/>
    <w:rsid w:val="00FA62CC"/>
    <w:rsid w:val="00FA65C7"/>
    <w:rsid w:val="00FA724E"/>
    <w:rsid w:val="00FA72A7"/>
    <w:rsid w:val="00FA7415"/>
    <w:rsid w:val="00FA7577"/>
    <w:rsid w:val="00FB038B"/>
    <w:rsid w:val="00FB0739"/>
    <w:rsid w:val="00FB0C52"/>
    <w:rsid w:val="00FB0CAC"/>
    <w:rsid w:val="00FB1012"/>
    <w:rsid w:val="00FB1678"/>
    <w:rsid w:val="00FB1868"/>
    <w:rsid w:val="00FB1EA9"/>
    <w:rsid w:val="00FB2545"/>
    <w:rsid w:val="00FB26B3"/>
    <w:rsid w:val="00FB2A0F"/>
    <w:rsid w:val="00FB2DE8"/>
    <w:rsid w:val="00FB375F"/>
    <w:rsid w:val="00FB45B9"/>
    <w:rsid w:val="00FB4F85"/>
    <w:rsid w:val="00FB52A1"/>
    <w:rsid w:val="00FB54EA"/>
    <w:rsid w:val="00FB5868"/>
    <w:rsid w:val="00FB5CE8"/>
    <w:rsid w:val="00FB64DF"/>
    <w:rsid w:val="00FB6865"/>
    <w:rsid w:val="00FB79A4"/>
    <w:rsid w:val="00FB7F2F"/>
    <w:rsid w:val="00FC0AAA"/>
    <w:rsid w:val="00FC0B74"/>
    <w:rsid w:val="00FC122C"/>
    <w:rsid w:val="00FC158E"/>
    <w:rsid w:val="00FC1EB2"/>
    <w:rsid w:val="00FC28B2"/>
    <w:rsid w:val="00FC28CC"/>
    <w:rsid w:val="00FC3195"/>
    <w:rsid w:val="00FC35A9"/>
    <w:rsid w:val="00FC438C"/>
    <w:rsid w:val="00FC4A8D"/>
    <w:rsid w:val="00FC4C6E"/>
    <w:rsid w:val="00FC5904"/>
    <w:rsid w:val="00FC5B5A"/>
    <w:rsid w:val="00FC66B3"/>
    <w:rsid w:val="00FC6EAF"/>
    <w:rsid w:val="00FC76C0"/>
    <w:rsid w:val="00FC7D8D"/>
    <w:rsid w:val="00FC7E7B"/>
    <w:rsid w:val="00FD0490"/>
    <w:rsid w:val="00FD0A0A"/>
    <w:rsid w:val="00FD0A96"/>
    <w:rsid w:val="00FD0E80"/>
    <w:rsid w:val="00FD11E9"/>
    <w:rsid w:val="00FD151E"/>
    <w:rsid w:val="00FD170B"/>
    <w:rsid w:val="00FD1D47"/>
    <w:rsid w:val="00FD1DCA"/>
    <w:rsid w:val="00FD411B"/>
    <w:rsid w:val="00FD4496"/>
    <w:rsid w:val="00FD4958"/>
    <w:rsid w:val="00FD496F"/>
    <w:rsid w:val="00FD4EA9"/>
    <w:rsid w:val="00FD53BC"/>
    <w:rsid w:val="00FD55C4"/>
    <w:rsid w:val="00FD5B85"/>
    <w:rsid w:val="00FD623F"/>
    <w:rsid w:val="00FD6A13"/>
    <w:rsid w:val="00FD6B26"/>
    <w:rsid w:val="00FD6FD0"/>
    <w:rsid w:val="00FD75D7"/>
    <w:rsid w:val="00FE0020"/>
    <w:rsid w:val="00FE005A"/>
    <w:rsid w:val="00FE0CC2"/>
    <w:rsid w:val="00FE0ED9"/>
    <w:rsid w:val="00FE1813"/>
    <w:rsid w:val="00FE2B0F"/>
    <w:rsid w:val="00FE2D35"/>
    <w:rsid w:val="00FE3263"/>
    <w:rsid w:val="00FE3539"/>
    <w:rsid w:val="00FE395A"/>
    <w:rsid w:val="00FE3FB6"/>
    <w:rsid w:val="00FE4B0B"/>
    <w:rsid w:val="00FE5075"/>
    <w:rsid w:val="00FE5299"/>
    <w:rsid w:val="00FE5323"/>
    <w:rsid w:val="00FE6F47"/>
    <w:rsid w:val="00FE7508"/>
    <w:rsid w:val="00FE7A6C"/>
    <w:rsid w:val="00FF0677"/>
    <w:rsid w:val="00FF07C6"/>
    <w:rsid w:val="00FF10E3"/>
    <w:rsid w:val="00FF1319"/>
    <w:rsid w:val="00FF15DD"/>
    <w:rsid w:val="00FF2DB5"/>
    <w:rsid w:val="00FF33BF"/>
    <w:rsid w:val="00FF43AF"/>
    <w:rsid w:val="00FF456A"/>
    <w:rsid w:val="00FF48E7"/>
    <w:rsid w:val="00FF4F48"/>
    <w:rsid w:val="00FF51A0"/>
    <w:rsid w:val="00FF548C"/>
    <w:rsid w:val="00FF579D"/>
    <w:rsid w:val="00FF59A7"/>
    <w:rsid w:val="00FF5FB5"/>
    <w:rsid w:val="00FF6869"/>
    <w:rsid w:val="00FF6A88"/>
    <w:rsid w:val="00FF706F"/>
    <w:rsid w:val="00FF7386"/>
    <w:rsid w:val="00FF77AC"/>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18DEC5"/>
  <w15:chartTrackingRefBased/>
  <w15:docId w15:val="{6CD7E225-B355-4E79-A8A5-24705B40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5708"/>
    <w:pPr>
      <w:spacing w:before="120" w:after="120" w:line="276" w:lineRule="auto"/>
      <w:jc w:val="both"/>
    </w:pPr>
    <w:rPr>
      <w:rFonts w:ascii="Times New Roman" w:hAnsi="Times New Roman"/>
    </w:rPr>
  </w:style>
  <w:style w:type="paragraph" w:styleId="Heading1">
    <w:name w:val="heading 1"/>
    <w:basedOn w:val="Normal"/>
    <w:next w:val="Normal"/>
    <w:link w:val="Heading1Char"/>
    <w:qFormat/>
    <w:rsid w:val="00E43D22"/>
    <w:pPr>
      <w:keepNext/>
      <w:keepLines/>
      <w:numPr>
        <w:numId w:val="3"/>
      </w:numPr>
      <w:spacing w:before="0" w:after="0"/>
      <w:outlineLvl w:val="0"/>
    </w:pPr>
    <w:rPr>
      <w:rFonts w:eastAsiaTheme="majorEastAsia" w:cstheme="majorBidi"/>
      <w:b/>
      <w:sz w:val="28"/>
      <w:szCs w:val="32"/>
    </w:rPr>
  </w:style>
  <w:style w:type="paragraph" w:styleId="Heading2">
    <w:name w:val="heading 2"/>
    <w:basedOn w:val="Normal"/>
    <w:next w:val="Normal"/>
    <w:link w:val="Heading2Char"/>
    <w:unhideWhenUsed/>
    <w:qFormat/>
    <w:rsid w:val="001D422F"/>
    <w:pPr>
      <w:keepNext/>
      <w:keepLines/>
      <w:numPr>
        <w:ilvl w:val="1"/>
        <w:numId w:val="3"/>
      </w:numPr>
      <w:spacing w:before="280" w:after="240"/>
      <w:outlineLvl w:val="1"/>
    </w:pPr>
    <w:rPr>
      <w:rFonts w:eastAsiaTheme="majorEastAsia" w:cstheme="majorBidi"/>
      <w:i/>
    </w:rPr>
  </w:style>
  <w:style w:type="paragraph" w:styleId="Heading3">
    <w:name w:val="heading 3"/>
    <w:basedOn w:val="Normal"/>
    <w:next w:val="Normal"/>
    <w:link w:val="Heading3Char"/>
    <w:unhideWhenUsed/>
    <w:qFormat/>
    <w:rsid w:val="003F2B70"/>
    <w:pPr>
      <w:keepNext/>
      <w:keepLines/>
      <w:numPr>
        <w:ilvl w:val="2"/>
        <w:numId w:val="3"/>
      </w:numPr>
      <w:spacing w:before="40" w:after="0"/>
      <w:outlineLvl w:val="2"/>
    </w:pPr>
    <w:rPr>
      <w:rFonts w:eastAsiaTheme="majorEastAsia" w:cstheme="majorBidi"/>
      <w:sz w:val="28"/>
      <w:szCs w:val="24"/>
    </w:rPr>
  </w:style>
  <w:style w:type="paragraph" w:styleId="Heading4">
    <w:name w:val="heading 4"/>
    <w:basedOn w:val="Normal"/>
    <w:next w:val="Normal"/>
    <w:link w:val="Heading4Char"/>
    <w:unhideWhenUsed/>
    <w:qFormat/>
    <w:rsid w:val="00C37519"/>
    <w:pPr>
      <w:keepNext/>
      <w:keepLines/>
      <w:numPr>
        <w:ilvl w:val="3"/>
        <w:numId w:val="3"/>
      </w:numPr>
      <w:spacing w:before="40" w:after="0"/>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AA3EE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A3EE0"/>
    <w:pPr>
      <w:keepNext/>
      <w:keepLines/>
      <w:numPr>
        <w:ilvl w:val="5"/>
        <w:numId w:val="3"/>
      </w:numPr>
      <w:tabs>
        <w:tab w:val="num" w:pos="360"/>
      </w:tabs>
      <w:spacing w:before="40" w:after="0"/>
      <w:ind w:left="0"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AA3EE0"/>
    <w:pPr>
      <w:keepNext/>
      <w:keepLines/>
      <w:numPr>
        <w:ilvl w:val="6"/>
        <w:numId w:val="3"/>
      </w:numPr>
      <w:tabs>
        <w:tab w:val="num" w:pos="360"/>
      </w:tab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A3EE0"/>
    <w:pPr>
      <w:keepNext/>
      <w:keepLines/>
      <w:numPr>
        <w:ilvl w:val="7"/>
        <w:numId w:val="3"/>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A3EE0"/>
    <w:pPr>
      <w:keepNext/>
      <w:keepLines/>
      <w:numPr>
        <w:ilvl w:val="8"/>
        <w:numId w:val="3"/>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62"/>
  </w:style>
  <w:style w:type="paragraph" w:styleId="Footer">
    <w:name w:val="footer"/>
    <w:basedOn w:val="Normal"/>
    <w:link w:val="FooterChar"/>
    <w:uiPriority w:val="99"/>
    <w:unhideWhenUsed/>
    <w:rsid w:val="00512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62"/>
  </w:style>
  <w:style w:type="paragraph" w:styleId="ListParagraph">
    <w:name w:val="List Paragraph"/>
    <w:aliases w:val="Paragraphe de liste 1"/>
    <w:basedOn w:val="Normal"/>
    <w:link w:val="ListParagraphChar"/>
    <w:uiPriority w:val="34"/>
    <w:qFormat/>
    <w:rsid w:val="006324EC"/>
    <w:pPr>
      <w:ind w:left="720"/>
      <w:contextualSpacing/>
    </w:pPr>
  </w:style>
  <w:style w:type="character" w:customStyle="1" w:styleId="Heading1Char">
    <w:name w:val="Heading 1 Char"/>
    <w:basedOn w:val="DefaultParagraphFont"/>
    <w:link w:val="Heading1"/>
    <w:rsid w:val="00E43D22"/>
    <w:rPr>
      <w:rFonts w:ascii="Times New Roman" w:eastAsiaTheme="majorEastAsia" w:hAnsi="Times New Roman" w:cstheme="majorBidi"/>
      <w:b/>
      <w:sz w:val="28"/>
      <w:szCs w:val="32"/>
    </w:rPr>
  </w:style>
  <w:style w:type="table" w:styleId="TableGrid">
    <w:name w:val="Table Grid"/>
    <w:basedOn w:val="TableNormal"/>
    <w:uiPriority w:val="39"/>
    <w:rsid w:val="00C3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spacing"/>
    <w:link w:val="NoSpacingChar"/>
    <w:uiPriority w:val="1"/>
    <w:qFormat/>
    <w:rsid w:val="003663F7"/>
    <w:pPr>
      <w:spacing w:after="0" w:line="240" w:lineRule="auto"/>
    </w:pPr>
    <w:rPr>
      <w:rFonts w:ascii="Times New Roman" w:eastAsiaTheme="minorEastAsia" w:hAnsi="Times New Roman"/>
      <w:sz w:val="20"/>
      <w:lang w:val="en-US"/>
    </w:rPr>
  </w:style>
  <w:style w:type="character" w:customStyle="1" w:styleId="NoSpacingChar">
    <w:name w:val="No Spacing Char"/>
    <w:aliases w:val="No spacing Char"/>
    <w:basedOn w:val="DefaultParagraphFont"/>
    <w:link w:val="NoSpacing"/>
    <w:uiPriority w:val="1"/>
    <w:rsid w:val="003663F7"/>
    <w:rPr>
      <w:rFonts w:ascii="Times New Roman" w:eastAsiaTheme="minorEastAsia" w:hAnsi="Times New Roman"/>
      <w:sz w:val="20"/>
      <w:lang w:val="en-US"/>
    </w:rPr>
  </w:style>
  <w:style w:type="character" w:customStyle="1" w:styleId="Heading2Char">
    <w:name w:val="Heading 2 Char"/>
    <w:basedOn w:val="DefaultParagraphFont"/>
    <w:link w:val="Heading2"/>
    <w:rsid w:val="001D422F"/>
    <w:rPr>
      <w:rFonts w:ascii="Times New Roman" w:eastAsiaTheme="majorEastAsia" w:hAnsi="Times New Roman" w:cstheme="majorBidi"/>
      <w:i/>
    </w:rPr>
  </w:style>
  <w:style w:type="character" w:styleId="Hyperlink">
    <w:name w:val="Hyperlink"/>
    <w:basedOn w:val="DefaultParagraphFont"/>
    <w:uiPriority w:val="99"/>
    <w:unhideWhenUsed/>
    <w:rsid w:val="00D70702"/>
    <w:rPr>
      <w:color w:val="0563C1" w:themeColor="hyperlink"/>
      <w:u w:val="single"/>
    </w:rPr>
  </w:style>
  <w:style w:type="character" w:styleId="FollowedHyperlink">
    <w:name w:val="FollowedHyperlink"/>
    <w:basedOn w:val="DefaultParagraphFont"/>
    <w:uiPriority w:val="99"/>
    <w:semiHidden/>
    <w:unhideWhenUsed/>
    <w:rsid w:val="00AC4548"/>
    <w:rPr>
      <w:color w:val="954F72" w:themeColor="followedHyperlink"/>
      <w:u w:val="single"/>
    </w:rPr>
  </w:style>
  <w:style w:type="paragraph" w:styleId="TOC1">
    <w:name w:val="toc 1"/>
    <w:basedOn w:val="Normal"/>
    <w:next w:val="Normal"/>
    <w:autoRedefine/>
    <w:uiPriority w:val="39"/>
    <w:unhideWhenUsed/>
    <w:rsid w:val="005D411F"/>
    <w:pPr>
      <w:jc w:val="left"/>
    </w:pPr>
    <w:rPr>
      <w:bCs/>
      <w:caps/>
      <w:szCs w:val="20"/>
    </w:rPr>
  </w:style>
  <w:style w:type="paragraph" w:styleId="TOC2">
    <w:name w:val="toc 2"/>
    <w:basedOn w:val="Normal"/>
    <w:next w:val="Normal"/>
    <w:autoRedefine/>
    <w:uiPriority w:val="39"/>
    <w:unhideWhenUsed/>
    <w:rsid w:val="006622FF"/>
    <w:pPr>
      <w:spacing w:before="0" w:after="0"/>
      <w:ind w:left="220"/>
      <w:jc w:val="left"/>
    </w:pPr>
    <w:rPr>
      <w:szCs w:val="20"/>
    </w:rPr>
  </w:style>
  <w:style w:type="paragraph" w:styleId="TOC3">
    <w:name w:val="toc 3"/>
    <w:basedOn w:val="Normal"/>
    <w:next w:val="Normal"/>
    <w:autoRedefine/>
    <w:uiPriority w:val="39"/>
    <w:unhideWhenUsed/>
    <w:rsid w:val="00280CEC"/>
    <w:pPr>
      <w:spacing w:before="0" w:after="0"/>
      <w:ind w:left="440"/>
      <w:jc w:val="left"/>
    </w:pPr>
    <w:rPr>
      <w:iCs/>
      <w:szCs w:val="20"/>
    </w:rPr>
  </w:style>
  <w:style w:type="paragraph" w:styleId="TOC4">
    <w:name w:val="toc 4"/>
    <w:basedOn w:val="Normal"/>
    <w:next w:val="Normal"/>
    <w:autoRedefine/>
    <w:uiPriority w:val="39"/>
    <w:unhideWhenUsed/>
    <w:rsid w:val="00280CEC"/>
    <w:pPr>
      <w:spacing w:before="0" w:after="0"/>
      <w:ind w:left="660"/>
      <w:jc w:val="left"/>
    </w:pPr>
    <w:rPr>
      <w:szCs w:val="18"/>
    </w:rPr>
  </w:style>
  <w:style w:type="paragraph" w:styleId="TOC5">
    <w:name w:val="toc 5"/>
    <w:basedOn w:val="Normal"/>
    <w:next w:val="Normal"/>
    <w:autoRedefine/>
    <w:uiPriority w:val="39"/>
    <w:unhideWhenUsed/>
    <w:rsid w:val="003D7680"/>
    <w:pPr>
      <w:spacing w:before="0" w:after="0"/>
      <w:ind w:left="880"/>
      <w:jc w:val="left"/>
    </w:pPr>
    <w:rPr>
      <w:sz w:val="18"/>
      <w:szCs w:val="18"/>
    </w:rPr>
  </w:style>
  <w:style w:type="paragraph" w:styleId="TOC6">
    <w:name w:val="toc 6"/>
    <w:basedOn w:val="Normal"/>
    <w:next w:val="Normal"/>
    <w:autoRedefine/>
    <w:uiPriority w:val="39"/>
    <w:unhideWhenUsed/>
    <w:rsid w:val="003D7680"/>
    <w:pPr>
      <w:spacing w:before="0" w:after="0"/>
      <w:ind w:left="1100"/>
      <w:jc w:val="left"/>
    </w:pPr>
    <w:rPr>
      <w:sz w:val="18"/>
      <w:szCs w:val="18"/>
    </w:rPr>
  </w:style>
  <w:style w:type="paragraph" w:styleId="TOC7">
    <w:name w:val="toc 7"/>
    <w:basedOn w:val="Normal"/>
    <w:next w:val="Normal"/>
    <w:autoRedefine/>
    <w:uiPriority w:val="39"/>
    <w:unhideWhenUsed/>
    <w:rsid w:val="003D7680"/>
    <w:pPr>
      <w:spacing w:before="0" w:after="0"/>
      <w:ind w:left="1320"/>
      <w:jc w:val="left"/>
    </w:pPr>
    <w:rPr>
      <w:sz w:val="18"/>
      <w:szCs w:val="18"/>
    </w:rPr>
  </w:style>
  <w:style w:type="paragraph" w:styleId="TOC8">
    <w:name w:val="toc 8"/>
    <w:basedOn w:val="Normal"/>
    <w:next w:val="Normal"/>
    <w:autoRedefine/>
    <w:uiPriority w:val="39"/>
    <w:unhideWhenUsed/>
    <w:rsid w:val="003D7680"/>
    <w:pPr>
      <w:spacing w:before="0" w:after="0"/>
      <w:ind w:left="1540"/>
      <w:jc w:val="left"/>
    </w:pPr>
    <w:rPr>
      <w:sz w:val="18"/>
      <w:szCs w:val="18"/>
    </w:rPr>
  </w:style>
  <w:style w:type="paragraph" w:styleId="TOC9">
    <w:name w:val="toc 9"/>
    <w:basedOn w:val="Normal"/>
    <w:next w:val="Normal"/>
    <w:autoRedefine/>
    <w:uiPriority w:val="39"/>
    <w:unhideWhenUsed/>
    <w:rsid w:val="003D7680"/>
    <w:pPr>
      <w:spacing w:before="0" w:after="0"/>
      <w:ind w:left="1760"/>
      <w:jc w:val="left"/>
    </w:pPr>
    <w:rPr>
      <w:sz w:val="18"/>
      <w:szCs w:val="18"/>
    </w:rPr>
  </w:style>
  <w:style w:type="paragraph" w:styleId="TOCHeading">
    <w:name w:val="TOC Heading"/>
    <w:basedOn w:val="Heading1"/>
    <w:next w:val="Normal"/>
    <w:uiPriority w:val="39"/>
    <w:unhideWhenUsed/>
    <w:qFormat/>
    <w:rsid w:val="00D807C7"/>
    <w:pPr>
      <w:numPr>
        <w:numId w:val="1"/>
      </w:numPr>
      <w:spacing w:before="240" w:line="259" w:lineRule="auto"/>
      <w:jc w:val="left"/>
      <w:outlineLvl w:val="9"/>
    </w:pPr>
    <w:rPr>
      <w:rFonts w:asciiTheme="majorHAnsi" w:hAnsiTheme="majorHAnsi"/>
      <w:color w:val="2E74B5" w:themeColor="accent1" w:themeShade="BF"/>
      <w:sz w:val="32"/>
      <w:lang w:val="en-US"/>
    </w:rPr>
  </w:style>
  <w:style w:type="character" w:styleId="Emphasis">
    <w:name w:val="Emphasis"/>
    <w:basedOn w:val="DefaultParagraphFont"/>
    <w:uiPriority w:val="20"/>
    <w:qFormat/>
    <w:rsid w:val="00890FAD"/>
    <w:rPr>
      <w:i/>
      <w:iCs/>
    </w:rPr>
  </w:style>
  <w:style w:type="paragraph" w:styleId="BodyText">
    <w:name w:val="Body Text"/>
    <w:basedOn w:val="Normal"/>
    <w:link w:val="BodyTextChar"/>
    <w:rsid w:val="00566B05"/>
    <w:pPr>
      <w:spacing w:before="0" w:after="200" w:line="240" w:lineRule="auto"/>
      <w:jc w:val="left"/>
    </w:pPr>
    <w:rPr>
      <w:rFonts w:eastAsiaTheme="minorEastAsia"/>
      <w:sz w:val="20"/>
    </w:rPr>
  </w:style>
  <w:style w:type="character" w:customStyle="1" w:styleId="BodyTextChar">
    <w:name w:val="Body Text Char"/>
    <w:basedOn w:val="DefaultParagraphFont"/>
    <w:link w:val="BodyText"/>
    <w:rsid w:val="00566B05"/>
    <w:rPr>
      <w:rFonts w:eastAsiaTheme="minorEastAsia"/>
      <w:sz w:val="20"/>
    </w:rPr>
  </w:style>
  <w:style w:type="character" w:customStyle="1" w:styleId="Heading3Char">
    <w:name w:val="Heading 3 Char"/>
    <w:basedOn w:val="DefaultParagraphFont"/>
    <w:link w:val="Heading3"/>
    <w:rsid w:val="003F2B70"/>
    <w:rPr>
      <w:rFonts w:ascii="Times New Roman" w:eastAsiaTheme="majorEastAsia" w:hAnsi="Times New Roman" w:cstheme="majorBidi"/>
      <w:sz w:val="28"/>
      <w:szCs w:val="24"/>
    </w:rPr>
  </w:style>
  <w:style w:type="paragraph" w:styleId="Caption">
    <w:name w:val="caption"/>
    <w:aliases w:val="Légende CEA"/>
    <w:basedOn w:val="Normal"/>
    <w:next w:val="Normal"/>
    <w:link w:val="CaptionChar"/>
    <w:uiPriority w:val="35"/>
    <w:unhideWhenUsed/>
    <w:qFormat/>
    <w:rsid w:val="00701D50"/>
    <w:pPr>
      <w:spacing w:before="0" w:after="200" w:line="240" w:lineRule="auto"/>
      <w:jc w:val="center"/>
    </w:pPr>
    <w:rPr>
      <w:i/>
      <w:iCs/>
      <w:sz w:val="18"/>
      <w:szCs w:val="18"/>
    </w:rPr>
  </w:style>
  <w:style w:type="character" w:styleId="CommentReference">
    <w:name w:val="annotation reference"/>
    <w:basedOn w:val="DefaultParagraphFont"/>
    <w:uiPriority w:val="99"/>
    <w:unhideWhenUsed/>
    <w:rsid w:val="00817747"/>
    <w:rPr>
      <w:sz w:val="16"/>
      <w:szCs w:val="16"/>
    </w:rPr>
  </w:style>
  <w:style w:type="paragraph" w:styleId="CommentText">
    <w:name w:val="annotation text"/>
    <w:basedOn w:val="Normal"/>
    <w:link w:val="CommentTextChar"/>
    <w:uiPriority w:val="99"/>
    <w:unhideWhenUsed/>
    <w:rsid w:val="00817747"/>
    <w:pPr>
      <w:spacing w:line="240" w:lineRule="auto"/>
    </w:pPr>
    <w:rPr>
      <w:sz w:val="20"/>
      <w:szCs w:val="20"/>
    </w:rPr>
  </w:style>
  <w:style w:type="character" w:customStyle="1" w:styleId="CommentTextChar">
    <w:name w:val="Comment Text Char"/>
    <w:basedOn w:val="DefaultParagraphFont"/>
    <w:link w:val="CommentText"/>
    <w:uiPriority w:val="99"/>
    <w:rsid w:val="00817747"/>
    <w:rPr>
      <w:rFonts w:ascii="Times New Roman" w:hAnsi="Times New Roman"/>
      <w:sz w:val="20"/>
      <w:szCs w:val="20"/>
    </w:rPr>
  </w:style>
  <w:style w:type="paragraph" w:styleId="CommentSubject">
    <w:name w:val="annotation subject"/>
    <w:basedOn w:val="CommentText"/>
    <w:next w:val="CommentText"/>
    <w:link w:val="CommentSubjectChar"/>
    <w:unhideWhenUsed/>
    <w:rsid w:val="00817747"/>
    <w:rPr>
      <w:b/>
      <w:bCs/>
    </w:rPr>
  </w:style>
  <w:style w:type="character" w:customStyle="1" w:styleId="CommentSubjectChar">
    <w:name w:val="Comment Subject Char"/>
    <w:basedOn w:val="CommentTextChar"/>
    <w:link w:val="CommentSubject"/>
    <w:rsid w:val="00817747"/>
    <w:rPr>
      <w:rFonts w:ascii="Times New Roman" w:hAnsi="Times New Roman"/>
      <w:b/>
      <w:bCs/>
      <w:sz w:val="20"/>
      <w:szCs w:val="20"/>
    </w:rPr>
  </w:style>
  <w:style w:type="paragraph" w:styleId="BalloonText">
    <w:name w:val="Balloon Text"/>
    <w:basedOn w:val="Normal"/>
    <w:link w:val="BalloonTextChar"/>
    <w:uiPriority w:val="99"/>
    <w:unhideWhenUsed/>
    <w:rsid w:val="008177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17747"/>
    <w:rPr>
      <w:rFonts w:ascii="Segoe UI" w:hAnsi="Segoe UI" w:cs="Segoe UI"/>
      <w:sz w:val="18"/>
      <w:szCs w:val="18"/>
    </w:rPr>
  </w:style>
  <w:style w:type="paragraph" w:styleId="TableofFigures">
    <w:name w:val="table of figures"/>
    <w:basedOn w:val="Normal"/>
    <w:next w:val="Normal"/>
    <w:uiPriority w:val="99"/>
    <w:unhideWhenUsed/>
    <w:rsid w:val="005B33DB"/>
    <w:pPr>
      <w:spacing w:after="0"/>
    </w:pPr>
  </w:style>
  <w:style w:type="character" w:customStyle="1" w:styleId="Heading4Char">
    <w:name w:val="Heading 4 Char"/>
    <w:basedOn w:val="DefaultParagraphFont"/>
    <w:link w:val="Heading4"/>
    <w:rsid w:val="00C37519"/>
    <w:rPr>
      <w:rFonts w:ascii="Times New Roman" w:eastAsiaTheme="majorEastAsia" w:hAnsi="Times New Roman" w:cstheme="majorBidi"/>
      <w:iCs/>
      <w:sz w:val="24"/>
    </w:rPr>
  </w:style>
  <w:style w:type="paragraph" w:styleId="NormalWeb">
    <w:name w:val="Normal (Web)"/>
    <w:basedOn w:val="Normal"/>
    <w:uiPriority w:val="99"/>
    <w:unhideWhenUsed/>
    <w:rsid w:val="00781C42"/>
    <w:pPr>
      <w:spacing w:before="100" w:beforeAutospacing="1" w:after="100" w:afterAutospacing="1" w:line="240" w:lineRule="auto"/>
      <w:jc w:val="left"/>
    </w:pPr>
    <w:rPr>
      <w:rFonts w:eastAsia="Times New Roman" w:cs="Times New Roman"/>
      <w:sz w:val="24"/>
      <w:szCs w:val="24"/>
      <w:lang w:eastAsia="en-GB"/>
    </w:rPr>
  </w:style>
  <w:style w:type="character" w:styleId="PlaceholderText">
    <w:name w:val="Placeholder Text"/>
    <w:basedOn w:val="DefaultParagraphFont"/>
    <w:uiPriority w:val="99"/>
    <w:semiHidden/>
    <w:rsid w:val="008E21E9"/>
    <w:rPr>
      <w:color w:val="808080"/>
    </w:rPr>
  </w:style>
  <w:style w:type="paragraph" w:styleId="FootnoteText">
    <w:name w:val="footnote text"/>
    <w:basedOn w:val="Normal"/>
    <w:link w:val="FootnoteTextChar"/>
    <w:uiPriority w:val="99"/>
    <w:unhideWhenUsed/>
    <w:rsid w:val="00722F3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722F3B"/>
    <w:rPr>
      <w:rFonts w:ascii="Times New Roman" w:hAnsi="Times New Roman"/>
      <w:sz w:val="20"/>
      <w:szCs w:val="20"/>
    </w:rPr>
  </w:style>
  <w:style w:type="character" w:styleId="FootnoteReference">
    <w:name w:val="footnote reference"/>
    <w:basedOn w:val="DefaultParagraphFont"/>
    <w:uiPriority w:val="99"/>
    <w:unhideWhenUsed/>
    <w:rsid w:val="00722F3B"/>
    <w:rPr>
      <w:vertAlign w:val="superscript"/>
    </w:rPr>
  </w:style>
  <w:style w:type="paragraph" w:customStyle="1" w:styleId="Heading-Title">
    <w:name w:val="Heading - Title"/>
    <w:basedOn w:val="Normal"/>
    <w:next w:val="Normal"/>
    <w:rsid w:val="00BB5C93"/>
    <w:pPr>
      <w:spacing w:before="0"/>
      <w:jc w:val="left"/>
    </w:pPr>
    <w:rPr>
      <w:rFonts w:ascii="Times New Roman Bold" w:eastAsia="MS Mincho" w:hAnsi="Times New Roman Bold" w:cs="Times New Roman"/>
      <w:b/>
      <w:caps/>
      <w:sz w:val="24"/>
      <w:szCs w:val="24"/>
      <w:lang w:eastAsia="ja-JP"/>
    </w:rPr>
  </w:style>
  <w:style w:type="numbering" w:customStyle="1" w:styleId="StandardBulletpoints">
    <w:name w:val="Standard Bulletpoints"/>
    <w:rsid w:val="00BB5C93"/>
    <w:pPr>
      <w:numPr>
        <w:numId w:val="2"/>
      </w:numPr>
    </w:pPr>
  </w:style>
  <w:style w:type="paragraph" w:customStyle="1" w:styleId="StandardFigLabel">
    <w:name w:val="Standard Fig. Label"/>
    <w:basedOn w:val="Normal"/>
    <w:next w:val="Normal"/>
    <w:rsid w:val="00BB5C93"/>
    <w:pPr>
      <w:spacing w:before="0"/>
    </w:pPr>
    <w:rPr>
      <w:rFonts w:eastAsia="MS Mincho" w:cs="Times New Roman"/>
      <w:bCs/>
      <w:i/>
      <w:szCs w:val="20"/>
      <w:lang w:eastAsia="ja-JP"/>
    </w:rPr>
  </w:style>
  <w:style w:type="character" w:customStyle="1" w:styleId="Normal-Bold">
    <w:name w:val="Normal - Bold"/>
    <w:rsid w:val="00BB5C93"/>
    <w:rPr>
      <w:b/>
      <w:bCs/>
    </w:rPr>
  </w:style>
  <w:style w:type="character" w:customStyle="1" w:styleId="Normal-Italic">
    <w:name w:val="Normal - Italic"/>
    <w:rsid w:val="00BB5C93"/>
    <w:rPr>
      <w:i/>
      <w:iCs/>
    </w:rPr>
  </w:style>
  <w:style w:type="paragraph" w:customStyle="1" w:styleId="Firstparagraph">
    <w:name w:val="First paragraph"/>
    <w:basedOn w:val="Normal"/>
    <w:next w:val="Normal"/>
    <w:link w:val="FirstparagraphChar"/>
    <w:rsid w:val="00BB5C93"/>
    <w:pPr>
      <w:tabs>
        <w:tab w:val="left" w:pos="4706"/>
      </w:tabs>
      <w:overflowPunct w:val="0"/>
      <w:autoSpaceDE w:val="0"/>
      <w:autoSpaceDN w:val="0"/>
      <w:adjustRightInd w:val="0"/>
      <w:spacing w:before="0" w:line="240" w:lineRule="exact"/>
      <w:textAlignment w:val="baseline"/>
    </w:pPr>
    <w:rPr>
      <w:rFonts w:eastAsia="Times New Roman" w:cs="Times New Roman"/>
      <w:szCs w:val="20"/>
      <w:lang w:val="en-US"/>
    </w:rPr>
  </w:style>
  <w:style w:type="character" w:customStyle="1" w:styleId="FirstparagraphChar">
    <w:name w:val="First paragraph Char"/>
    <w:link w:val="Firstparagraph"/>
    <w:rsid w:val="00BB5C93"/>
    <w:rPr>
      <w:rFonts w:ascii="Times New Roman" w:eastAsia="Times New Roman" w:hAnsi="Times New Roman" w:cs="Times New Roman"/>
      <w:szCs w:val="20"/>
      <w:lang w:val="en-US"/>
    </w:rPr>
  </w:style>
  <w:style w:type="paragraph" w:customStyle="1" w:styleId="Figurecaption">
    <w:name w:val="Figure caption"/>
    <w:basedOn w:val="Normal"/>
    <w:next w:val="Normal"/>
    <w:rsid w:val="00BB5C93"/>
    <w:pPr>
      <w:overflowPunct w:val="0"/>
      <w:autoSpaceDE w:val="0"/>
      <w:autoSpaceDN w:val="0"/>
      <w:adjustRightInd w:val="0"/>
      <w:spacing w:before="0" w:line="220" w:lineRule="exact"/>
      <w:textAlignment w:val="baseline"/>
    </w:pPr>
    <w:rPr>
      <w:rFonts w:eastAsia="Times New Roman" w:cs="Times New Roman"/>
      <w:szCs w:val="20"/>
      <w:lang w:val="en-US"/>
    </w:rPr>
  </w:style>
  <w:style w:type="paragraph" w:customStyle="1" w:styleId="Pa3">
    <w:name w:val="Pa3"/>
    <w:basedOn w:val="Normal"/>
    <w:next w:val="Normal"/>
    <w:uiPriority w:val="99"/>
    <w:rsid w:val="00BB5C93"/>
    <w:pPr>
      <w:autoSpaceDE w:val="0"/>
      <w:autoSpaceDN w:val="0"/>
      <w:adjustRightInd w:val="0"/>
      <w:spacing w:before="0" w:line="241" w:lineRule="atLeast"/>
      <w:jc w:val="left"/>
    </w:pPr>
    <w:rPr>
      <w:rFonts w:ascii="Joanna MT Std" w:eastAsia="MS Mincho" w:hAnsi="Joanna MT Std" w:cs="Times New Roman"/>
      <w:sz w:val="24"/>
      <w:szCs w:val="24"/>
      <w:lang w:eastAsia="en-GB"/>
    </w:rPr>
  </w:style>
  <w:style w:type="character" w:styleId="Strong">
    <w:name w:val="Strong"/>
    <w:basedOn w:val="DefaultParagraphFont"/>
    <w:uiPriority w:val="22"/>
    <w:qFormat/>
    <w:rsid w:val="00BB5C93"/>
    <w:rPr>
      <w:b/>
      <w:bCs/>
    </w:rPr>
  </w:style>
  <w:style w:type="paragraph" w:customStyle="1" w:styleId="Pa17">
    <w:name w:val="Pa17"/>
    <w:basedOn w:val="Normal"/>
    <w:next w:val="Normal"/>
    <w:uiPriority w:val="99"/>
    <w:rsid w:val="00BB5C93"/>
    <w:pPr>
      <w:autoSpaceDE w:val="0"/>
      <w:autoSpaceDN w:val="0"/>
      <w:adjustRightInd w:val="0"/>
      <w:spacing w:before="0" w:line="201" w:lineRule="atLeast"/>
      <w:jc w:val="left"/>
    </w:pPr>
    <w:rPr>
      <w:rFonts w:ascii="Joanna MT Std" w:eastAsia="MS Mincho" w:hAnsi="Joanna MT Std" w:cs="Times New Roman"/>
      <w:sz w:val="24"/>
      <w:szCs w:val="24"/>
      <w:lang w:eastAsia="en-GB"/>
    </w:rPr>
  </w:style>
  <w:style w:type="paragraph" w:styleId="Revision">
    <w:name w:val="Revision"/>
    <w:hidden/>
    <w:uiPriority w:val="99"/>
    <w:semiHidden/>
    <w:rsid w:val="00BB5C93"/>
    <w:pPr>
      <w:spacing w:after="0" w:line="240" w:lineRule="auto"/>
    </w:pPr>
    <w:rPr>
      <w:rFonts w:ascii="Times New Roman" w:eastAsia="MS Mincho" w:hAnsi="Times New Roman" w:cs="Times New Roman"/>
      <w:sz w:val="20"/>
      <w:szCs w:val="20"/>
      <w:lang w:eastAsia="ja-JP"/>
    </w:rPr>
  </w:style>
  <w:style w:type="character" w:customStyle="1" w:styleId="ASFEFigurecaptionChar">
    <w:name w:val="ASFE_Figure caption Char"/>
    <w:link w:val="ASFEFigurecaption"/>
    <w:locked/>
    <w:rsid w:val="0092744E"/>
  </w:style>
  <w:style w:type="paragraph" w:customStyle="1" w:styleId="ASFEFigurecaption">
    <w:name w:val="ASFE_Figure caption"/>
    <w:basedOn w:val="Normal"/>
    <w:link w:val="ASFEFigurecaptionChar"/>
    <w:rsid w:val="0092744E"/>
    <w:pPr>
      <w:spacing w:after="240" w:line="240" w:lineRule="auto"/>
      <w:jc w:val="center"/>
    </w:pPr>
  </w:style>
  <w:style w:type="character" w:customStyle="1" w:styleId="Heading5Char">
    <w:name w:val="Heading 5 Char"/>
    <w:basedOn w:val="DefaultParagraphFont"/>
    <w:link w:val="Heading5"/>
    <w:uiPriority w:val="9"/>
    <w:semiHidden/>
    <w:rsid w:val="00AA3EE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3EE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3EE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3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3EE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281E2B"/>
    <w:rPr>
      <w:color w:val="605E5C"/>
      <w:shd w:val="clear" w:color="auto" w:fill="E1DFDD"/>
    </w:rPr>
  </w:style>
  <w:style w:type="character" w:customStyle="1" w:styleId="ListParagraphChar">
    <w:name w:val="List Paragraph Char"/>
    <w:aliases w:val="Paragraphe de liste 1 Char"/>
    <w:basedOn w:val="DefaultParagraphFont"/>
    <w:link w:val="ListParagraph"/>
    <w:uiPriority w:val="34"/>
    <w:locked/>
    <w:rsid w:val="001D706F"/>
    <w:rPr>
      <w:rFonts w:ascii="Times New Roman" w:hAnsi="Times New Roman"/>
    </w:rPr>
  </w:style>
  <w:style w:type="character" w:customStyle="1" w:styleId="CaptionChar">
    <w:name w:val="Caption Char"/>
    <w:aliases w:val="Légende CEA Char"/>
    <w:link w:val="Caption"/>
    <w:uiPriority w:val="35"/>
    <w:locked/>
    <w:rsid w:val="008841B4"/>
    <w:rPr>
      <w:rFonts w:ascii="Times New Roman" w:hAnsi="Times New Roman"/>
      <w:i/>
      <w:iCs/>
      <w:sz w:val="18"/>
      <w:szCs w:val="18"/>
    </w:rPr>
  </w:style>
  <w:style w:type="paragraph" w:customStyle="1" w:styleId="Pa14">
    <w:name w:val="Pa14"/>
    <w:basedOn w:val="Normal"/>
    <w:next w:val="Normal"/>
    <w:uiPriority w:val="99"/>
    <w:rsid w:val="00EB2CA9"/>
    <w:pPr>
      <w:autoSpaceDE w:val="0"/>
      <w:autoSpaceDN w:val="0"/>
      <w:adjustRightInd w:val="0"/>
      <w:spacing w:before="0" w:after="0" w:line="161" w:lineRule="atLeast"/>
    </w:pPr>
    <w:rPr>
      <w:rFonts w:ascii="HelveticaNeueLT Std Lt" w:eastAsia="Times New Roman" w:hAnsi="HelveticaNeueLT Std Lt" w:cs="Times New Roman"/>
      <w:sz w:val="20"/>
      <w:szCs w:val="24"/>
      <w:lang w:eastAsia="fr-FR"/>
    </w:rPr>
  </w:style>
  <w:style w:type="paragraph" w:styleId="Subtitle">
    <w:name w:val="Subtitle"/>
    <w:basedOn w:val="Normal"/>
    <w:next w:val="Normal"/>
    <w:link w:val="SubtitleChar"/>
    <w:uiPriority w:val="11"/>
    <w:qFormat/>
    <w:rsid w:val="00EB2CA9"/>
    <w:pPr>
      <w:widowControl w:val="0"/>
      <w:autoSpaceDE w:val="0"/>
      <w:autoSpaceDN w:val="0"/>
      <w:spacing w:before="0" w:after="0" w:line="240" w:lineRule="auto"/>
      <w:ind w:left="284" w:hanging="284"/>
    </w:pPr>
    <w:rPr>
      <w:rFonts w:ascii="Arial" w:eastAsiaTheme="minorEastAsia" w:hAnsi="Arial" w:cs="Arial"/>
      <w:b/>
      <w:bCs/>
      <w:sz w:val="20"/>
      <w:szCs w:val="20"/>
      <w:lang w:val="en-US" w:eastAsia="en-GB"/>
    </w:rPr>
  </w:style>
  <w:style w:type="character" w:customStyle="1" w:styleId="SubtitleChar">
    <w:name w:val="Subtitle Char"/>
    <w:basedOn w:val="DefaultParagraphFont"/>
    <w:link w:val="Subtitle"/>
    <w:uiPriority w:val="11"/>
    <w:rsid w:val="00EB2CA9"/>
    <w:rPr>
      <w:rFonts w:ascii="Arial" w:eastAsiaTheme="minorEastAsia" w:hAnsi="Arial" w:cs="Arial"/>
      <w:b/>
      <w:bCs/>
      <w:sz w:val="20"/>
      <w:szCs w:val="20"/>
      <w:lang w:val="en-US" w:eastAsia="en-GB"/>
    </w:rPr>
  </w:style>
  <w:style w:type="table" w:customStyle="1" w:styleId="Grilledutableau1">
    <w:name w:val="Grille du tableau1"/>
    <w:basedOn w:val="TableNormal"/>
    <w:next w:val="TableGrid"/>
    <w:uiPriority w:val="39"/>
    <w:rsid w:val="000948AB"/>
    <w:pPr>
      <w:spacing w:after="0" w:line="240" w:lineRule="auto"/>
    </w:pPr>
    <w:rPr>
      <w:rFonts w:ascii="Arial" w:eastAsia="Times New Roman" w:hAnsi="Arial"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9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901">
      <w:bodyDiv w:val="1"/>
      <w:marLeft w:val="0"/>
      <w:marRight w:val="0"/>
      <w:marTop w:val="0"/>
      <w:marBottom w:val="0"/>
      <w:divBdr>
        <w:top w:val="none" w:sz="0" w:space="0" w:color="auto"/>
        <w:left w:val="none" w:sz="0" w:space="0" w:color="auto"/>
        <w:bottom w:val="none" w:sz="0" w:space="0" w:color="auto"/>
        <w:right w:val="none" w:sz="0" w:space="0" w:color="auto"/>
      </w:divBdr>
    </w:div>
    <w:div w:id="108167075">
      <w:bodyDiv w:val="1"/>
      <w:marLeft w:val="0"/>
      <w:marRight w:val="0"/>
      <w:marTop w:val="0"/>
      <w:marBottom w:val="0"/>
      <w:divBdr>
        <w:top w:val="none" w:sz="0" w:space="0" w:color="auto"/>
        <w:left w:val="none" w:sz="0" w:space="0" w:color="auto"/>
        <w:bottom w:val="none" w:sz="0" w:space="0" w:color="auto"/>
        <w:right w:val="none" w:sz="0" w:space="0" w:color="auto"/>
      </w:divBdr>
    </w:div>
    <w:div w:id="172839749">
      <w:bodyDiv w:val="1"/>
      <w:marLeft w:val="0"/>
      <w:marRight w:val="0"/>
      <w:marTop w:val="0"/>
      <w:marBottom w:val="0"/>
      <w:divBdr>
        <w:top w:val="none" w:sz="0" w:space="0" w:color="auto"/>
        <w:left w:val="none" w:sz="0" w:space="0" w:color="auto"/>
        <w:bottom w:val="none" w:sz="0" w:space="0" w:color="auto"/>
        <w:right w:val="none" w:sz="0" w:space="0" w:color="auto"/>
      </w:divBdr>
    </w:div>
    <w:div w:id="210460956">
      <w:bodyDiv w:val="1"/>
      <w:marLeft w:val="0"/>
      <w:marRight w:val="0"/>
      <w:marTop w:val="0"/>
      <w:marBottom w:val="0"/>
      <w:divBdr>
        <w:top w:val="none" w:sz="0" w:space="0" w:color="auto"/>
        <w:left w:val="none" w:sz="0" w:space="0" w:color="auto"/>
        <w:bottom w:val="none" w:sz="0" w:space="0" w:color="auto"/>
        <w:right w:val="none" w:sz="0" w:space="0" w:color="auto"/>
      </w:divBdr>
    </w:div>
    <w:div w:id="224339151">
      <w:bodyDiv w:val="1"/>
      <w:marLeft w:val="0"/>
      <w:marRight w:val="0"/>
      <w:marTop w:val="0"/>
      <w:marBottom w:val="0"/>
      <w:divBdr>
        <w:top w:val="none" w:sz="0" w:space="0" w:color="auto"/>
        <w:left w:val="none" w:sz="0" w:space="0" w:color="auto"/>
        <w:bottom w:val="none" w:sz="0" w:space="0" w:color="auto"/>
        <w:right w:val="none" w:sz="0" w:space="0" w:color="auto"/>
      </w:divBdr>
    </w:div>
    <w:div w:id="241915572">
      <w:bodyDiv w:val="1"/>
      <w:marLeft w:val="0"/>
      <w:marRight w:val="0"/>
      <w:marTop w:val="0"/>
      <w:marBottom w:val="0"/>
      <w:divBdr>
        <w:top w:val="none" w:sz="0" w:space="0" w:color="auto"/>
        <w:left w:val="none" w:sz="0" w:space="0" w:color="auto"/>
        <w:bottom w:val="none" w:sz="0" w:space="0" w:color="auto"/>
        <w:right w:val="none" w:sz="0" w:space="0" w:color="auto"/>
      </w:divBdr>
    </w:div>
    <w:div w:id="278605236">
      <w:bodyDiv w:val="1"/>
      <w:marLeft w:val="0"/>
      <w:marRight w:val="0"/>
      <w:marTop w:val="0"/>
      <w:marBottom w:val="0"/>
      <w:divBdr>
        <w:top w:val="none" w:sz="0" w:space="0" w:color="auto"/>
        <w:left w:val="none" w:sz="0" w:space="0" w:color="auto"/>
        <w:bottom w:val="none" w:sz="0" w:space="0" w:color="auto"/>
        <w:right w:val="none" w:sz="0" w:space="0" w:color="auto"/>
      </w:divBdr>
    </w:div>
    <w:div w:id="330573641">
      <w:bodyDiv w:val="1"/>
      <w:marLeft w:val="0"/>
      <w:marRight w:val="0"/>
      <w:marTop w:val="0"/>
      <w:marBottom w:val="0"/>
      <w:divBdr>
        <w:top w:val="none" w:sz="0" w:space="0" w:color="auto"/>
        <w:left w:val="none" w:sz="0" w:space="0" w:color="auto"/>
        <w:bottom w:val="none" w:sz="0" w:space="0" w:color="auto"/>
        <w:right w:val="none" w:sz="0" w:space="0" w:color="auto"/>
      </w:divBdr>
    </w:div>
    <w:div w:id="351958551">
      <w:bodyDiv w:val="1"/>
      <w:marLeft w:val="0"/>
      <w:marRight w:val="0"/>
      <w:marTop w:val="0"/>
      <w:marBottom w:val="0"/>
      <w:divBdr>
        <w:top w:val="none" w:sz="0" w:space="0" w:color="auto"/>
        <w:left w:val="none" w:sz="0" w:space="0" w:color="auto"/>
        <w:bottom w:val="none" w:sz="0" w:space="0" w:color="auto"/>
        <w:right w:val="none" w:sz="0" w:space="0" w:color="auto"/>
      </w:divBdr>
    </w:div>
    <w:div w:id="367535484">
      <w:bodyDiv w:val="1"/>
      <w:marLeft w:val="0"/>
      <w:marRight w:val="0"/>
      <w:marTop w:val="0"/>
      <w:marBottom w:val="0"/>
      <w:divBdr>
        <w:top w:val="none" w:sz="0" w:space="0" w:color="auto"/>
        <w:left w:val="none" w:sz="0" w:space="0" w:color="auto"/>
        <w:bottom w:val="none" w:sz="0" w:space="0" w:color="auto"/>
        <w:right w:val="none" w:sz="0" w:space="0" w:color="auto"/>
      </w:divBdr>
    </w:div>
    <w:div w:id="395279290">
      <w:bodyDiv w:val="1"/>
      <w:marLeft w:val="0"/>
      <w:marRight w:val="0"/>
      <w:marTop w:val="0"/>
      <w:marBottom w:val="0"/>
      <w:divBdr>
        <w:top w:val="none" w:sz="0" w:space="0" w:color="auto"/>
        <w:left w:val="none" w:sz="0" w:space="0" w:color="auto"/>
        <w:bottom w:val="none" w:sz="0" w:space="0" w:color="auto"/>
        <w:right w:val="none" w:sz="0" w:space="0" w:color="auto"/>
      </w:divBdr>
      <w:divsChild>
        <w:div w:id="1693410140">
          <w:marLeft w:val="547"/>
          <w:marRight w:val="0"/>
          <w:marTop w:val="0"/>
          <w:marBottom w:val="160"/>
          <w:divBdr>
            <w:top w:val="none" w:sz="0" w:space="0" w:color="auto"/>
            <w:left w:val="none" w:sz="0" w:space="0" w:color="auto"/>
            <w:bottom w:val="none" w:sz="0" w:space="0" w:color="auto"/>
            <w:right w:val="none" w:sz="0" w:space="0" w:color="auto"/>
          </w:divBdr>
        </w:div>
        <w:div w:id="938176365">
          <w:marLeft w:val="547"/>
          <w:marRight w:val="0"/>
          <w:marTop w:val="0"/>
          <w:marBottom w:val="160"/>
          <w:divBdr>
            <w:top w:val="none" w:sz="0" w:space="0" w:color="auto"/>
            <w:left w:val="none" w:sz="0" w:space="0" w:color="auto"/>
            <w:bottom w:val="none" w:sz="0" w:space="0" w:color="auto"/>
            <w:right w:val="none" w:sz="0" w:space="0" w:color="auto"/>
          </w:divBdr>
        </w:div>
        <w:div w:id="1237666636">
          <w:marLeft w:val="547"/>
          <w:marRight w:val="0"/>
          <w:marTop w:val="0"/>
          <w:marBottom w:val="160"/>
          <w:divBdr>
            <w:top w:val="none" w:sz="0" w:space="0" w:color="auto"/>
            <w:left w:val="none" w:sz="0" w:space="0" w:color="auto"/>
            <w:bottom w:val="none" w:sz="0" w:space="0" w:color="auto"/>
            <w:right w:val="none" w:sz="0" w:space="0" w:color="auto"/>
          </w:divBdr>
        </w:div>
        <w:div w:id="1534225913">
          <w:marLeft w:val="547"/>
          <w:marRight w:val="0"/>
          <w:marTop w:val="0"/>
          <w:marBottom w:val="160"/>
          <w:divBdr>
            <w:top w:val="none" w:sz="0" w:space="0" w:color="auto"/>
            <w:left w:val="none" w:sz="0" w:space="0" w:color="auto"/>
            <w:bottom w:val="none" w:sz="0" w:space="0" w:color="auto"/>
            <w:right w:val="none" w:sz="0" w:space="0" w:color="auto"/>
          </w:divBdr>
        </w:div>
        <w:div w:id="124737701">
          <w:marLeft w:val="547"/>
          <w:marRight w:val="0"/>
          <w:marTop w:val="0"/>
          <w:marBottom w:val="160"/>
          <w:divBdr>
            <w:top w:val="none" w:sz="0" w:space="0" w:color="auto"/>
            <w:left w:val="none" w:sz="0" w:space="0" w:color="auto"/>
            <w:bottom w:val="none" w:sz="0" w:space="0" w:color="auto"/>
            <w:right w:val="none" w:sz="0" w:space="0" w:color="auto"/>
          </w:divBdr>
        </w:div>
        <w:div w:id="1827893637">
          <w:marLeft w:val="547"/>
          <w:marRight w:val="0"/>
          <w:marTop w:val="0"/>
          <w:marBottom w:val="160"/>
          <w:divBdr>
            <w:top w:val="none" w:sz="0" w:space="0" w:color="auto"/>
            <w:left w:val="none" w:sz="0" w:space="0" w:color="auto"/>
            <w:bottom w:val="none" w:sz="0" w:space="0" w:color="auto"/>
            <w:right w:val="none" w:sz="0" w:space="0" w:color="auto"/>
          </w:divBdr>
        </w:div>
        <w:div w:id="278226701">
          <w:marLeft w:val="547"/>
          <w:marRight w:val="0"/>
          <w:marTop w:val="0"/>
          <w:marBottom w:val="160"/>
          <w:divBdr>
            <w:top w:val="none" w:sz="0" w:space="0" w:color="auto"/>
            <w:left w:val="none" w:sz="0" w:space="0" w:color="auto"/>
            <w:bottom w:val="none" w:sz="0" w:space="0" w:color="auto"/>
            <w:right w:val="none" w:sz="0" w:space="0" w:color="auto"/>
          </w:divBdr>
        </w:div>
      </w:divsChild>
    </w:div>
    <w:div w:id="400102659">
      <w:bodyDiv w:val="1"/>
      <w:marLeft w:val="0"/>
      <w:marRight w:val="0"/>
      <w:marTop w:val="0"/>
      <w:marBottom w:val="0"/>
      <w:divBdr>
        <w:top w:val="none" w:sz="0" w:space="0" w:color="auto"/>
        <w:left w:val="none" w:sz="0" w:space="0" w:color="auto"/>
        <w:bottom w:val="none" w:sz="0" w:space="0" w:color="auto"/>
        <w:right w:val="none" w:sz="0" w:space="0" w:color="auto"/>
      </w:divBdr>
    </w:div>
    <w:div w:id="434903267">
      <w:bodyDiv w:val="1"/>
      <w:marLeft w:val="0"/>
      <w:marRight w:val="0"/>
      <w:marTop w:val="0"/>
      <w:marBottom w:val="0"/>
      <w:divBdr>
        <w:top w:val="none" w:sz="0" w:space="0" w:color="auto"/>
        <w:left w:val="none" w:sz="0" w:space="0" w:color="auto"/>
        <w:bottom w:val="none" w:sz="0" w:space="0" w:color="auto"/>
        <w:right w:val="none" w:sz="0" w:space="0" w:color="auto"/>
      </w:divBdr>
    </w:div>
    <w:div w:id="446002268">
      <w:bodyDiv w:val="1"/>
      <w:marLeft w:val="0"/>
      <w:marRight w:val="0"/>
      <w:marTop w:val="0"/>
      <w:marBottom w:val="0"/>
      <w:divBdr>
        <w:top w:val="none" w:sz="0" w:space="0" w:color="auto"/>
        <w:left w:val="none" w:sz="0" w:space="0" w:color="auto"/>
        <w:bottom w:val="none" w:sz="0" w:space="0" w:color="auto"/>
        <w:right w:val="none" w:sz="0" w:space="0" w:color="auto"/>
      </w:divBdr>
    </w:div>
    <w:div w:id="507713493">
      <w:bodyDiv w:val="1"/>
      <w:marLeft w:val="0"/>
      <w:marRight w:val="0"/>
      <w:marTop w:val="0"/>
      <w:marBottom w:val="0"/>
      <w:divBdr>
        <w:top w:val="none" w:sz="0" w:space="0" w:color="auto"/>
        <w:left w:val="none" w:sz="0" w:space="0" w:color="auto"/>
        <w:bottom w:val="none" w:sz="0" w:space="0" w:color="auto"/>
        <w:right w:val="none" w:sz="0" w:space="0" w:color="auto"/>
      </w:divBdr>
    </w:div>
    <w:div w:id="599724539">
      <w:bodyDiv w:val="1"/>
      <w:marLeft w:val="0"/>
      <w:marRight w:val="0"/>
      <w:marTop w:val="0"/>
      <w:marBottom w:val="0"/>
      <w:divBdr>
        <w:top w:val="none" w:sz="0" w:space="0" w:color="auto"/>
        <w:left w:val="none" w:sz="0" w:space="0" w:color="auto"/>
        <w:bottom w:val="none" w:sz="0" w:space="0" w:color="auto"/>
        <w:right w:val="none" w:sz="0" w:space="0" w:color="auto"/>
      </w:divBdr>
    </w:div>
    <w:div w:id="684333741">
      <w:bodyDiv w:val="1"/>
      <w:marLeft w:val="0"/>
      <w:marRight w:val="0"/>
      <w:marTop w:val="0"/>
      <w:marBottom w:val="0"/>
      <w:divBdr>
        <w:top w:val="none" w:sz="0" w:space="0" w:color="auto"/>
        <w:left w:val="none" w:sz="0" w:space="0" w:color="auto"/>
        <w:bottom w:val="none" w:sz="0" w:space="0" w:color="auto"/>
        <w:right w:val="none" w:sz="0" w:space="0" w:color="auto"/>
      </w:divBdr>
    </w:div>
    <w:div w:id="689062714">
      <w:bodyDiv w:val="1"/>
      <w:marLeft w:val="0"/>
      <w:marRight w:val="0"/>
      <w:marTop w:val="0"/>
      <w:marBottom w:val="0"/>
      <w:divBdr>
        <w:top w:val="none" w:sz="0" w:space="0" w:color="auto"/>
        <w:left w:val="none" w:sz="0" w:space="0" w:color="auto"/>
        <w:bottom w:val="none" w:sz="0" w:space="0" w:color="auto"/>
        <w:right w:val="none" w:sz="0" w:space="0" w:color="auto"/>
      </w:divBdr>
    </w:div>
    <w:div w:id="694118025">
      <w:bodyDiv w:val="1"/>
      <w:marLeft w:val="0"/>
      <w:marRight w:val="0"/>
      <w:marTop w:val="0"/>
      <w:marBottom w:val="0"/>
      <w:divBdr>
        <w:top w:val="none" w:sz="0" w:space="0" w:color="auto"/>
        <w:left w:val="none" w:sz="0" w:space="0" w:color="auto"/>
        <w:bottom w:val="none" w:sz="0" w:space="0" w:color="auto"/>
        <w:right w:val="none" w:sz="0" w:space="0" w:color="auto"/>
      </w:divBdr>
    </w:div>
    <w:div w:id="695156331">
      <w:bodyDiv w:val="1"/>
      <w:marLeft w:val="0"/>
      <w:marRight w:val="0"/>
      <w:marTop w:val="0"/>
      <w:marBottom w:val="0"/>
      <w:divBdr>
        <w:top w:val="none" w:sz="0" w:space="0" w:color="auto"/>
        <w:left w:val="none" w:sz="0" w:space="0" w:color="auto"/>
        <w:bottom w:val="none" w:sz="0" w:space="0" w:color="auto"/>
        <w:right w:val="none" w:sz="0" w:space="0" w:color="auto"/>
      </w:divBdr>
    </w:div>
    <w:div w:id="699629541">
      <w:bodyDiv w:val="1"/>
      <w:marLeft w:val="0"/>
      <w:marRight w:val="0"/>
      <w:marTop w:val="0"/>
      <w:marBottom w:val="0"/>
      <w:divBdr>
        <w:top w:val="none" w:sz="0" w:space="0" w:color="auto"/>
        <w:left w:val="none" w:sz="0" w:space="0" w:color="auto"/>
        <w:bottom w:val="none" w:sz="0" w:space="0" w:color="auto"/>
        <w:right w:val="none" w:sz="0" w:space="0" w:color="auto"/>
      </w:divBdr>
    </w:div>
    <w:div w:id="708190331">
      <w:bodyDiv w:val="1"/>
      <w:marLeft w:val="0"/>
      <w:marRight w:val="0"/>
      <w:marTop w:val="0"/>
      <w:marBottom w:val="0"/>
      <w:divBdr>
        <w:top w:val="none" w:sz="0" w:space="0" w:color="auto"/>
        <w:left w:val="none" w:sz="0" w:space="0" w:color="auto"/>
        <w:bottom w:val="none" w:sz="0" w:space="0" w:color="auto"/>
        <w:right w:val="none" w:sz="0" w:space="0" w:color="auto"/>
      </w:divBdr>
    </w:div>
    <w:div w:id="708990464">
      <w:bodyDiv w:val="1"/>
      <w:marLeft w:val="0"/>
      <w:marRight w:val="0"/>
      <w:marTop w:val="0"/>
      <w:marBottom w:val="0"/>
      <w:divBdr>
        <w:top w:val="none" w:sz="0" w:space="0" w:color="auto"/>
        <w:left w:val="none" w:sz="0" w:space="0" w:color="auto"/>
        <w:bottom w:val="none" w:sz="0" w:space="0" w:color="auto"/>
        <w:right w:val="none" w:sz="0" w:space="0" w:color="auto"/>
      </w:divBdr>
    </w:div>
    <w:div w:id="710030384">
      <w:bodyDiv w:val="1"/>
      <w:marLeft w:val="0"/>
      <w:marRight w:val="0"/>
      <w:marTop w:val="0"/>
      <w:marBottom w:val="0"/>
      <w:divBdr>
        <w:top w:val="none" w:sz="0" w:space="0" w:color="auto"/>
        <w:left w:val="none" w:sz="0" w:space="0" w:color="auto"/>
        <w:bottom w:val="none" w:sz="0" w:space="0" w:color="auto"/>
        <w:right w:val="none" w:sz="0" w:space="0" w:color="auto"/>
      </w:divBdr>
    </w:div>
    <w:div w:id="724722657">
      <w:bodyDiv w:val="1"/>
      <w:marLeft w:val="0"/>
      <w:marRight w:val="0"/>
      <w:marTop w:val="0"/>
      <w:marBottom w:val="0"/>
      <w:divBdr>
        <w:top w:val="none" w:sz="0" w:space="0" w:color="auto"/>
        <w:left w:val="none" w:sz="0" w:space="0" w:color="auto"/>
        <w:bottom w:val="none" w:sz="0" w:space="0" w:color="auto"/>
        <w:right w:val="none" w:sz="0" w:space="0" w:color="auto"/>
      </w:divBdr>
    </w:div>
    <w:div w:id="746727206">
      <w:bodyDiv w:val="1"/>
      <w:marLeft w:val="0"/>
      <w:marRight w:val="0"/>
      <w:marTop w:val="0"/>
      <w:marBottom w:val="0"/>
      <w:divBdr>
        <w:top w:val="none" w:sz="0" w:space="0" w:color="auto"/>
        <w:left w:val="none" w:sz="0" w:space="0" w:color="auto"/>
        <w:bottom w:val="none" w:sz="0" w:space="0" w:color="auto"/>
        <w:right w:val="none" w:sz="0" w:space="0" w:color="auto"/>
      </w:divBdr>
    </w:div>
    <w:div w:id="754009410">
      <w:bodyDiv w:val="1"/>
      <w:marLeft w:val="0"/>
      <w:marRight w:val="0"/>
      <w:marTop w:val="0"/>
      <w:marBottom w:val="0"/>
      <w:divBdr>
        <w:top w:val="none" w:sz="0" w:space="0" w:color="auto"/>
        <w:left w:val="none" w:sz="0" w:space="0" w:color="auto"/>
        <w:bottom w:val="none" w:sz="0" w:space="0" w:color="auto"/>
        <w:right w:val="none" w:sz="0" w:space="0" w:color="auto"/>
      </w:divBdr>
    </w:div>
    <w:div w:id="822500943">
      <w:bodyDiv w:val="1"/>
      <w:marLeft w:val="0"/>
      <w:marRight w:val="0"/>
      <w:marTop w:val="0"/>
      <w:marBottom w:val="0"/>
      <w:divBdr>
        <w:top w:val="none" w:sz="0" w:space="0" w:color="auto"/>
        <w:left w:val="none" w:sz="0" w:space="0" w:color="auto"/>
        <w:bottom w:val="none" w:sz="0" w:space="0" w:color="auto"/>
        <w:right w:val="none" w:sz="0" w:space="0" w:color="auto"/>
      </w:divBdr>
    </w:div>
    <w:div w:id="834226342">
      <w:bodyDiv w:val="1"/>
      <w:marLeft w:val="0"/>
      <w:marRight w:val="0"/>
      <w:marTop w:val="0"/>
      <w:marBottom w:val="0"/>
      <w:divBdr>
        <w:top w:val="none" w:sz="0" w:space="0" w:color="auto"/>
        <w:left w:val="none" w:sz="0" w:space="0" w:color="auto"/>
        <w:bottom w:val="none" w:sz="0" w:space="0" w:color="auto"/>
        <w:right w:val="none" w:sz="0" w:space="0" w:color="auto"/>
      </w:divBdr>
    </w:div>
    <w:div w:id="878517562">
      <w:bodyDiv w:val="1"/>
      <w:marLeft w:val="0"/>
      <w:marRight w:val="0"/>
      <w:marTop w:val="0"/>
      <w:marBottom w:val="0"/>
      <w:divBdr>
        <w:top w:val="none" w:sz="0" w:space="0" w:color="auto"/>
        <w:left w:val="none" w:sz="0" w:space="0" w:color="auto"/>
        <w:bottom w:val="none" w:sz="0" w:space="0" w:color="auto"/>
        <w:right w:val="none" w:sz="0" w:space="0" w:color="auto"/>
      </w:divBdr>
    </w:div>
    <w:div w:id="893010420">
      <w:bodyDiv w:val="1"/>
      <w:marLeft w:val="0"/>
      <w:marRight w:val="0"/>
      <w:marTop w:val="0"/>
      <w:marBottom w:val="0"/>
      <w:divBdr>
        <w:top w:val="none" w:sz="0" w:space="0" w:color="auto"/>
        <w:left w:val="none" w:sz="0" w:space="0" w:color="auto"/>
        <w:bottom w:val="none" w:sz="0" w:space="0" w:color="auto"/>
        <w:right w:val="none" w:sz="0" w:space="0" w:color="auto"/>
      </w:divBdr>
    </w:div>
    <w:div w:id="917858624">
      <w:bodyDiv w:val="1"/>
      <w:marLeft w:val="0"/>
      <w:marRight w:val="0"/>
      <w:marTop w:val="0"/>
      <w:marBottom w:val="0"/>
      <w:divBdr>
        <w:top w:val="none" w:sz="0" w:space="0" w:color="auto"/>
        <w:left w:val="none" w:sz="0" w:space="0" w:color="auto"/>
        <w:bottom w:val="none" w:sz="0" w:space="0" w:color="auto"/>
        <w:right w:val="none" w:sz="0" w:space="0" w:color="auto"/>
      </w:divBdr>
    </w:div>
    <w:div w:id="942303660">
      <w:bodyDiv w:val="1"/>
      <w:marLeft w:val="0"/>
      <w:marRight w:val="0"/>
      <w:marTop w:val="0"/>
      <w:marBottom w:val="0"/>
      <w:divBdr>
        <w:top w:val="none" w:sz="0" w:space="0" w:color="auto"/>
        <w:left w:val="none" w:sz="0" w:space="0" w:color="auto"/>
        <w:bottom w:val="none" w:sz="0" w:space="0" w:color="auto"/>
        <w:right w:val="none" w:sz="0" w:space="0" w:color="auto"/>
      </w:divBdr>
    </w:div>
    <w:div w:id="961568856">
      <w:bodyDiv w:val="1"/>
      <w:marLeft w:val="0"/>
      <w:marRight w:val="0"/>
      <w:marTop w:val="0"/>
      <w:marBottom w:val="0"/>
      <w:divBdr>
        <w:top w:val="none" w:sz="0" w:space="0" w:color="auto"/>
        <w:left w:val="none" w:sz="0" w:space="0" w:color="auto"/>
        <w:bottom w:val="none" w:sz="0" w:space="0" w:color="auto"/>
        <w:right w:val="none" w:sz="0" w:space="0" w:color="auto"/>
      </w:divBdr>
    </w:div>
    <w:div w:id="966621694">
      <w:bodyDiv w:val="1"/>
      <w:marLeft w:val="0"/>
      <w:marRight w:val="0"/>
      <w:marTop w:val="0"/>
      <w:marBottom w:val="0"/>
      <w:divBdr>
        <w:top w:val="none" w:sz="0" w:space="0" w:color="auto"/>
        <w:left w:val="none" w:sz="0" w:space="0" w:color="auto"/>
        <w:bottom w:val="none" w:sz="0" w:space="0" w:color="auto"/>
        <w:right w:val="none" w:sz="0" w:space="0" w:color="auto"/>
      </w:divBdr>
    </w:div>
    <w:div w:id="988753753">
      <w:bodyDiv w:val="1"/>
      <w:marLeft w:val="0"/>
      <w:marRight w:val="0"/>
      <w:marTop w:val="0"/>
      <w:marBottom w:val="0"/>
      <w:divBdr>
        <w:top w:val="none" w:sz="0" w:space="0" w:color="auto"/>
        <w:left w:val="none" w:sz="0" w:space="0" w:color="auto"/>
        <w:bottom w:val="none" w:sz="0" w:space="0" w:color="auto"/>
        <w:right w:val="none" w:sz="0" w:space="0" w:color="auto"/>
      </w:divBdr>
    </w:div>
    <w:div w:id="992370607">
      <w:bodyDiv w:val="1"/>
      <w:marLeft w:val="0"/>
      <w:marRight w:val="0"/>
      <w:marTop w:val="0"/>
      <w:marBottom w:val="0"/>
      <w:divBdr>
        <w:top w:val="none" w:sz="0" w:space="0" w:color="auto"/>
        <w:left w:val="none" w:sz="0" w:space="0" w:color="auto"/>
        <w:bottom w:val="none" w:sz="0" w:space="0" w:color="auto"/>
        <w:right w:val="none" w:sz="0" w:space="0" w:color="auto"/>
      </w:divBdr>
    </w:div>
    <w:div w:id="1017268843">
      <w:bodyDiv w:val="1"/>
      <w:marLeft w:val="0"/>
      <w:marRight w:val="0"/>
      <w:marTop w:val="0"/>
      <w:marBottom w:val="0"/>
      <w:divBdr>
        <w:top w:val="none" w:sz="0" w:space="0" w:color="auto"/>
        <w:left w:val="none" w:sz="0" w:space="0" w:color="auto"/>
        <w:bottom w:val="none" w:sz="0" w:space="0" w:color="auto"/>
        <w:right w:val="none" w:sz="0" w:space="0" w:color="auto"/>
      </w:divBdr>
    </w:div>
    <w:div w:id="1030570759">
      <w:bodyDiv w:val="1"/>
      <w:marLeft w:val="0"/>
      <w:marRight w:val="0"/>
      <w:marTop w:val="0"/>
      <w:marBottom w:val="0"/>
      <w:divBdr>
        <w:top w:val="none" w:sz="0" w:space="0" w:color="auto"/>
        <w:left w:val="none" w:sz="0" w:space="0" w:color="auto"/>
        <w:bottom w:val="none" w:sz="0" w:space="0" w:color="auto"/>
        <w:right w:val="none" w:sz="0" w:space="0" w:color="auto"/>
      </w:divBdr>
    </w:div>
    <w:div w:id="1049261755">
      <w:bodyDiv w:val="1"/>
      <w:marLeft w:val="0"/>
      <w:marRight w:val="0"/>
      <w:marTop w:val="0"/>
      <w:marBottom w:val="0"/>
      <w:divBdr>
        <w:top w:val="none" w:sz="0" w:space="0" w:color="auto"/>
        <w:left w:val="none" w:sz="0" w:space="0" w:color="auto"/>
        <w:bottom w:val="none" w:sz="0" w:space="0" w:color="auto"/>
        <w:right w:val="none" w:sz="0" w:space="0" w:color="auto"/>
      </w:divBdr>
    </w:div>
    <w:div w:id="1083718631">
      <w:bodyDiv w:val="1"/>
      <w:marLeft w:val="0"/>
      <w:marRight w:val="0"/>
      <w:marTop w:val="0"/>
      <w:marBottom w:val="0"/>
      <w:divBdr>
        <w:top w:val="none" w:sz="0" w:space="0" w:color="auto"/>
        <w:left w:val="none" w:sz="0" w:space="0" w:color="auto"/>
        <w:bottom w:val="none" w:sz="0" w:space="0" w:color="auto"/>
        <w:right w:val="none" w:sz="0" w:space="0" w:color="auto"/>
      </w:divBdr>
    </w:div>
    <w:div w:id="1086876664">
      <w:bodyDiv w:val="1"/>
      <w:marLeft w:val="0"/>
      <w:marRight w:val="0"/>
      <w:marTop w:val="0"/>
      <w:marBottom w:val="0"/>
      <w:divBdr>
        <w:top w:val="none" w:sz="0" w:space="0" w:color="auto"/>
        <w:left w:val="none" w:sz="0" w:space="0" w:color="auto"/>
        <w:bottom w:val="none" w:sz="0" w:space="0" w:color="auto"/>
        <w:right w:val="none" w:sz="0" w:space="0" w:color="auto"/>
      </w:divBdr>
    </w:div>
    <w:div w:id="1173955626">
      <w:bodyDiv w:val="1"/>
      <w:marLeft w:val="0"/>
      <w:marRight w:val="0"/>
      <w:marTop w:val="0"/>
      <w:marBottom w:val="0"/>
      <w:divBdr>
        <w:top w:val="none" w:sz="0" w:space="0" w:color="auto"/>
        <w:left w:val="none" w:sz="0" w:space="0" w:color="auto"/>
        <w:bottom w:val="none" w:sz="0" w:space="0" w:color="auto"/>
        <w:right w:val="none" w:sz="0" w:space="0" w:color="auto"/>
      </w:divBdr>
    </w:div>
    <w:div w:id="1181237069">
      <w:bodyDiv w:val="1"/>
      <w:marLeft w:val="0"/>
      <w:marRight w:val="0"/>
      <w:marTop w:val="0"/>
      <w:marBottom w:val="0"/>
      <w:divBdr>
        <w:top w:val="none" w:sz="0" w:space="0" w:color="auto"/>
        <w:left w:val="none" w:sz="0" w:space="0" w:color="auto"/>
        <w:bottom w:val="none" w:sz="0" w:space="0" w:color="auto"/>
        <w:right w:val="none" w:sz="0" w:space="0" w:color="auto"/>
      </w:divBdr>
    </w:div>
    <w:div w:id="1279793932">
      <w:bodyDiv w:val="1"/>
      <w:marLeft w:val="0"/>
      <w:marRight w:val="0"/>
      <w:marTop w:val="0"/>
      <w:marBottom w:val="0"/>
      <w:divBdr>
        <w:top w:val="none" w:sz="0" w:space="0" w:color="auto"/>
        <w:left w:val="none" w:sz="0" w:space="0" w:color="auto"/>
        <w:bottom w:val="none" w:sz="0" w:space="0" w:color="auto"/>
        <w:right w:val="none" w:sz="0" w:space="0" w:color="auto"/>
      </w:divBdr>
    </w:div>
    <w:div w:id="1306936570">
      <w:bodyDiv w:val="1"/>
      <w:marLeft w:val="0"/>
      <w:marRight w:val="0"/>
      <w:marTop w:val="0"/>
      <w:marBottom w:val="0"/>
      <w:divBdr>
        <w:top w:val="none" w:sz="0" w:space="0" w:color="auto"/>
        <w:left w:val="none" w:sz="0" w:space="0" w:color="auto"/>
        <w:bottom w:val="none" w:sz="0" w:space="0" w:color="auto"/>
        <w:right w:val="none" w:sz="0" w:space="0" w:color="auto"/>
      </w:divBdr>
    </w:div>
    <w:div w:id="1342122224">
      <w:bodyDiv w:val="1"/>
      <w:marLeft w:val="0"/>
      <w:marRight w:val="0"/>
      <w:marTop w:val="0"/>
      <w:marBottom w:val="0"/>
      <w:divBdr>
        <w:top w:val="none" w:sz="0" w:space="0" w:color="auto"/>
        <w:left w:val="none" w:sz="0" w:space="0" w:color="auto"/>
        <w:bottom w:val="none" w:sz="0" w:space="0" w:color="auto"/>
        <w:right w:val="none" w:sz="0" w:space="0" w:color="auto"/>
      </w:divBdr>
    </w:div>
    <w:div w:id="1362974506">
      <w:bodyDiv w:val="1"/>
      <w:marLeft w:val="0"/>
      <w:marRight w:val="0"/>
      <w:marTop w:val="0"/>
      <w:marBottom w:val="0"/>
      <w:divBdr>
        <w:top w:val="none" w:sz="0" w:space="0" w:color="auto"/>
        <w:left w:val="none" w:sz="0" w:space="0" w:color="auto"/>
        <w:bottom w:val="none" w:sz="0" w:space="0" w:color="auto"/>
        <w:right w:val="none" w:sz="0" w:space="0" w:color="auto"/>
      </w:divBdr>
      <w:divsChild>
        <w:div w:id="982809050">
          <w:marLeft w:val="547"/>
          <w:marRight w:val="0"/>
          <w:marTop w:val="0"/>
          <w:marBottom w:val="160"/>
          <w:divBdr>
            <w:top w:val="none" w:sz="0" w:space="0" w:color="auto"/>
            <w:left w:val="none" w:sz="0" w:space="0" w:color="auto"/>
            <w:bottom w:val="none" w:sz="0" w:space="0" w:color="auto"/>
            <w:right w:val="none" w:sz="0" w:space="0" w:color="auto"/>
          </w:divBdr>
        </w:div>
        <w:div w:id="1935437209">
          <w:marLeft w:val="547"/>
          <w:marRight w:val="0"/>
          <w:marTop w:val="0"/>
          <w:marBottom w:val="160"/>
          <w:divBdr>
            <w:top w:val="none" w:sz="0" w:space="0" w:color="auto"/>
            <w:left w:val="none" w:sz="0" w:space="0" w:color="auto"/>
            <w:bottom w:val="none" w:sz="0" w:space="0" w:color="auto"/>
            <w:right w:val="none" w:sz="0" w:space="0" w:color="auto"/>
          </w:divBdr>
        </w:div>
        <w:div w:id="124930472">
          <w:marLeft w:val="547"/>
          <w:marRight w:val="0"/>
          <w:marTop w:val="0"/>
          <w:marBottom w:val="160"/>
          <w:divBdr>
            <w:top w:val="none" w:sz="0" w:space="0" w:color="auto"/>
            <w:left w:val="none" w:sz="0" w:space="0" w:color="auto"/>
            <w:bottom w:val="none" w:sz="0" w:space="0" w:color="auto"/>
            <w:right w:val="none" w:sz="0" w:space="0" w:color="auto"/>
          </w:divBdr>
        </w:div>
        <w:div w:id="1075929214">
          <w:marLeft w:val="547"/>
          <w:marRight w:val="0"/>
          <w:marTop w:val="0"/>
          <w:marBottom w:val="160"/>
          <w:divBdr>
            <w:top w:val="none" w:sz="0" w:space="0" w:color="auto"/>
            <w:left w:val="none" w:sz="0" w:space="0" w:color="auto"/>
            <w:bottom w:val="none" w:sz="0" w:space="0" w:color="auto"/>
            <w:right w:val="none" w:sz="0" w:space="0" w:color="auto"/>
          </w:divBdr>
        </w:div>
        <w:div w:id="1985506940">
          <w:marLeft w:val="547"/>
          <w:marRight w:val="0"/>
          <w:marTop w:val="0"/>
          <w:marBottom w:val="160"/>
          <w:divBdr>
            <w:top w:val="none" w:sz="0" w:space="0" w:color="auto"/>
            <w:left w:val="none" w:sz="0" w:space="0" w:color="auto"/>
            <w:bottom w:val="none" w:sz="0" w:space="0" w:color="auto"/>
            <w:right w:val="none" w:sz="0" w:space="0" w:color="auto"/>
          </w:divBdr>
        </w:div>
        <w:div w:id="593443581">
          <w:marLeft w:val="547"/>
          <w:marRight w:val="0"/>
          <w:marTop w:val="0"/>
          <w:marBottom w:val="160"/>
          <w:divBdr>
            <w:top w:val="none" w:sz="0" w:space="0" w:color="auto"/>
            <w:left w:val="none" w:sz="0" w:space="0" w:color="auto"/>
            <w:bottom w:val="none" w:sz="0" w:space="0" w:color="auto"/>
            <w:right w:val="none" w:sz="0" w:space="0" w:color="auto"/>
          </w:divBdr>
        </w:div>
        <w:div w:id="913735130">
          <w:marLeft w:val="547"/>
          <w:marRight w:val="0"/>
          <w:marTop w:val="0"/>
          <w:marBottom w:val="160"/>
          <w:divBdr>
            <w:top w:val="none" w:sz="0" w:space="0" w:color="auto"/>
            <w:left w:val="none" w:sz="0" w:space="0" w:color="auto"/>
            <w:bottom w:val="none" w:sz="0" w:space="0" w:color="auto"/>
            <w:right w:val="none" w:sz="0" w:space="0" w:color="auto"/>
          </w:divBdr>
        </w:div>
      </w:divsChild>
    </w:div>
    <w:div w:id="1411582219">
      <w:bodyDiv w:val="1"/>
      <w:marLeft w:val="0"/>
      <w:marRight w:val="0"/>
      <w:marTop w:val="0"/>
      <w:marBottom w:val="0"/>
      <w:divBdr>
        <w:top w:val="none" w:sz="0" w:space="0" w:color="auto"/>
        <w:left w:val="none" w:sz="0" w:space="0" w:color="auto"/>
        <w:bottom w:val="none" w:sz="0" w:space="0" w:color="auto"/>
        <w:right w:val="none" w:sz="0" w:space="0" w:color="auto"/>
      </w:divBdr>
    </w:div>
    <w:div w:id="1464076120">
      <w:bodyDiv w:val="1"/>
      <w:marLeft w:val="0"/>
      <w:marRight w:val="0"/>
      <w:marTop w:val="0"/>
      <w:marBottom w:val="0"/>
      <w:divBdr>
        <w:top w:val="none" w:sz="0" w:space="0" w:color="auto"/>
        <w:left w:val="none" w:sz="0" w:space="0" w:color="auto"/>
        <w:bottom w:val="none" w:sz="0" w:space="0" w:color="auto"/>
        <w:right w:val="none" w:sz="0" w:space="0" w:color="auto"/>
      </w:divBdr>
    </w:div>
    <w:div w:id="1465657937">
      <w:bodyDiv w:val="1"/>
      <w:marLeft w:val="0"/>
      <w:marRight w:val="0"/>
      <w:marTop w:val="0"/>
      <w:marBottom w:val="0"/>
      <w:divBdr>
        <w:top w:val="none" w:sz="0" w:space="0" w:color="auto"/>
        <w:left w:val="none" w:sz="0" w:space="0" w:color="auto"/>
        <w:bottom w:val="none" w:sz="0" w:space="0" w:color="auto"/>
        <w:right w:val="none" w:sz="0" w:space="0" w:color="auto"/>
      </w:divBdr>
    </w:div>
    <w:div w:id="1479804653">
      <w:bodyDiv w:val="1"/>
      <w:marLeft w:val="0"/>
      <w:marRight w:val="0"/>
      <w:marTop w:val="0"/>
      <w:marBottom w:val="0"/>
      <w:divBdr>
        <w:top w:val="none" w:sz="0" w:space="0" w:color="auto"/>
        <w:left w:val="none" w:sz="0" w:space="0" w:color="auto"/>
        <w:bottom w:val="none" w:sz="0" w:space="0" w:color="auto"/>
        <w:right w:val="none" w:sz="0" w:space="0" w:color="auto"/>
      </w:divBdr>
    </w:div>
    <w:div w:id="1480490093">
      <w:bodyDiv w:val="1"/>
      <w:marLeft w:val="0"/>
      <w:marRight w:val="0"/>
      <w:marTop w:val="0"/>
      <w:marBottom w:val="0"/>
      <w:divBdr>
        <w:top w:val="none" w:sz="0" w:space="0" w:color="auto"/>
        <w:left w:val="none" w:sz="0" w:space="0" w:color="auto"/>
        <w:bottom w:val="none" w:sz="0" w:space="0" w:color="auto"/>
        <w:right w:val="none" w:sz="0" w:space="0" w:color="auto"/>
      </w:divBdr>
    </w:div>
    <w:div w:id="1482768165">
      <w:bodyDiv w:val="1"/>
      <w:marLeft w:val="0"/>
      <w:marRight w:val="0"/>
      <w:marTop w:val="0"/>
      <w:marBottom w:val="0"/>
      <w:divBdr>
        <w:top w:val="none" w:sz="0" w:space="0" w:color="auto"/>
        <w:left w:val="none" w:sz="0" w:space="0" w:color="auto"/>
        <w:bottom w:val="none" w:sz="0" w:space="0" w:color="auto"/>
        <w:right w:val="none" w:sz="0" w:space="0" w:color="auto"/>
      </w:divBdr>
    </w:div>
    <w:div w:id="1509174343">
      <w:bodyDiv w:val="1"/>
      <w:marLeft w:val="0"/>
      <w:marRight w:val="0"/>
      <w:marTop w:val="0"/>
      <w:marBottom w:val="0"/>
      <w:divBdr>
        <w:top w:val="none" w:sz="0" w:space="0" w:color="auto"/>
        <w:left w:val="none" w:sz="0" w:space="0" w:color="auto"/>
        <w:bottom w:val="none" w:sz="0" w:space="0" w:color="auto"/>
        <w:right w:val="none" w:sz="0" w:space="0" w:color="auto"/>
      </w:divBdr>
    </w:div>
    <w:div w:id="1510607688">
      <w:bodyDiv w:val="1"/>
      <w:marLeft w:val="0"/>
      <w:marRight w:val="0"/>
      <w:marTop w:val="0"/>
      <w:marBottom w:val="0"/>
      <w:divBdr>
        <w:top w:val="none" w:sz="0" w:space="0" w:color="auto"/>
        <w:left w:val="none" w:sz="0" w:space="0" w:color="auto"/>
        <w:bottom w:val="none" w:sz="0" w:space="0" w:color="auto"/>
        <w:right w:val="none" w:sz="0" w:space="0" w:color="auto"/>
      </w:divBdr>
    </w:div>
    <w:div w:id="1586308049">
      <w:bodyDiv w:val="1"/>
      <w:marLeft w:val="0"/>
      <w:marRight w:val="0"/>
      <w:marTop w:val="0"/>
      <w:marBottom w:val="0"/>
      <w:divBdr>
        <w:top w:val="none" w:sz="0" w:space="0" w:color="auto"/>
        <w:left w:val="none" w:sz="0" w:space="0" w:color="auto"/>
        <w:bottom w:val="none" w:sz="0" w:space="0" w:color="auto"/>
        <w:right w:val="none" w:sz="0" w:space="0" w:color="auto"/>
      </w:divBdr>
    </w:div>
    <w:div w:id="1594587146">
      <w:bodyDiv w:val="1"/>
      <w:marLeft w:val="0"/>
      <w:marRight w:val="0"/>
      <w:marTop w:val="0"/>
      <w:marBottom w:val="0"/>
      <w:divBdr>
        <w:top w:val="none" w:sz="0" w:space="0" w:color="auto"/>
        <w:left w:val="none" w:sz="0" w:space="0" w:color="auto"/>
        <w:bottom w:val="none" w:sz="0" w:space="0" w:color="auto"/>
        <w:right w:val="none" w:sz="0" w:space="0" w:color="auto"/>
      </w:divBdr>
    </w:div>
    <w:div w:id="1647277923">
      <w:bodyDiv w:val="1"/>
      <w:marLeft w:val="0"/>
      <w:marRight w:val="0"/>
      <w:marTop w:val="0"/>
      <w:marBottom w:val="0"/>
      <w:divBdr>
        <w:top w:val="none" w:sz="0" w:space="0" w:color="auto"/>
        <w:left w:val="none" w:sz="0" w:space="0" w:color="auto"/>
        <w:bottom w:val="none" w:sz="0" w:space="0" w:color="auto"/>
        <w:right w:val="none" w:sz="0" w:space="0" w:color="auto"/>
      </w:divBdr>
    </w:div>
    <w:div w:id="1654603641">
      <w:bodyDiv w:val="1"/>
      <w:marLeft w:val="0"/>
      <w:marRight w:val="0"/>
      <w:marTop w:val="0"/>
      <w:marBottom w:val="0"/>
      <w:divBdr>
        <w:top w:val="none" w:sz="0" w:space="0" w:color="auto"/>
        <w:left w:val="none" w:sz="0" w:space="0" w:color="auto"/>
        <w:bottom w:val="none" w:sz="0" w:space="0" w:color="auto"/>
        <w:right w:val="none" w:sz="0" w:space="0" w:color="auto"/>
      </w:divBdr>
      <w:divsChild>
        <w:div w:id="290719276">
          <w:marLeft w:val="446"/>
          <w:marRight w:val="0"/>
          <w:marTop w:val="77"/>
          <w:marBottom w:val="0"/>
          <w:divBdr>
            <w:top w:val="none" w:sz="0" w:space="0" w:color="auto"/>
            <w:left w:val="none" w:sz="0" w:space="0" w:color="auto"/>
            <w:bottom w:val="none" w:sz="0" w:space="0" w:color="auto"/>
            <w:right w:val="none" w:sz="0" w:space="0" w:color="auto"/>
          </w:divBdr>
        </w:div>
      </w:divsChild>
    </w:div>
    <w:div w:id="1691487598">
      <w:bodyDiv w:val="1"/>
      <w:marLeft w:val="0"/>
      <w:marRight w:val="0"/>
      <w:marTop w:val="0"/>
      <w:marBottom w:val="0"/>
      <w:divBdr>
        <w:top w:val="none" w:sz="0" w:space="0" w:color="auto"/>
        <w:left w:val="none" w:sz="0" w:space="0" w:color="auto"/>
        <w:bottom w:val="none" w:sz="0" w:space="0" w:color="auto"/>
        <w:right w:val="none" w:sz="0" w:space="0" w:color="auto"/>
      </w:divBdr>
    </w:div>
    <w:div w:id="1805779584">
      <w:bodyDiv w:val="1"/>
      <w:marLeft w:val="0"/>
      <w:marRight w:val="0"/>
      <w:marTop w:val="0"/>
      <w:marBottom w:val="0"/>
      <w:divBdr>
        <w:top w:val="none" w:sz="0" w:space="0" w:color="auto"/>
        <w:left w:val="none" w:sz="0" w:space="0" w:color="auto"/>
        <w:bottom w:val="none" w:sz="0" w:space="0" w:color="auto"/>
        <w:right w:val="none" w:sz="0" w:space="0" w:color="auto"/>
      </w:divBdr>
    </w:div>
    <w:div w:id="1824738350">
      <w:bodyDiv w:val="1"/>
      <w:marLeft w:val="0"/>
      <w:marRight w:val="0"/>
      <w:marTop w:val="0"/>
      <w:marBottom w:val="0"/>
      <w:divBdr>
        <w:top w:val="none" w:sz="0" w:space="0" w:color="auto"/>
        <w:left w:val="none" w:sz="0" w:space="0" w:color="auto"/>
        <w:bottom w:val="none" w:sz="0" w:space="0" w:color="auto"/>
        <w:right w:val="none" w:sz="0" w:space="0" w:color="auto"/>
      </w:divBdr>
    </w:div>
    <w:div w:id="1839268659">
      <w:bodyDiv w:val="1"/>
      <w:marLeft w:val="0"/>
      <w:marRight w:val="0"/>
      <w:marTop w:val="0"/>
      <w:marBottom w:val="0"/>
      <w:divBdr>
        <w:top w:val="none" w:sz="0" w:space="0" w:color="auto"/>
        <w:left w:val="none" w:sz="0" w:space="0" w:color="auto"/>
        <w:bottom w:val="none" w:sz="0" w:space="0" w:color="auto"/>
        <w:right w:val="none" w:sz="0" w:space="0" w:color="auto"/>
      </w:divBdr>
    </w:div>
    <w:div w:id="1862821988">
      <w:bodyDiv w:val="1"/>
      <w:marLeft w:val="0"/>
      <w:marRight w:val="0"/>
      <w:marTop w:val="0"/>
      <w:marBottom w:val="0"/>
      <w:divBdr>
        <w:top w:val="none" w:sz="0" w:space="0" w:color="auto"/>
        <w:left w:val="none" w:sz="0" w:space="0" w:color="auto"/>
        <w:bottom w:val="none" w:sz="0" w:space="0" w:color="auto"/>
        <w:right w:val="none" w:sz="0" w:space="0" w:color="auto"/>
      </w:divBdr>
      <w:divsChild>
        <w:div w:id="100151675">
          <w:marLeft w:val="547"/>
          <w:marRight w:val="0"/>
          <w:marTop w:val="0"/>
          <w:marBottom w:val="160"/>
          <w:divBdr>
            <w:top w:val="none" w:sz="0" w:space="0" w:color="auto"/>
            <w:left w:val="none" w:sz="0" w:space="0" w:color="auto"/>
            <w:bottom w:val="none" w:sz="0" w:space="0" w:color="auto"/>
            <w:right w:val="none" w:sz="0" w:space="0" w:color="auto"/>
          </w:divBdr>
        </w:div>
        <w:div w:id="1558468992">
          <w:marLeft w:val="547"/>
          <w:marRight w:val="0"/>
          <w:marTop w:val="0"/>
          <w:marBottom w:val="160"/>
          <w:divBdr>
            <w:top w:val="none" w:sz="0" w:space="0" w:color="auto"/>
            <w:left w:val="none" w:sz="0" w:space="0" w:color="auto"/>
            <w:bottom w:val="none" w:sz="0" w:space="0" w:color="auto"/>
            <w:right w:val="none" w:sz="0" w:space="0" w:color="auto"/>
          </w:divBdr>
        </w:div>
        <w:div w:id="492380760">
          <w:marLeft w:val="547"/>
          <w:marRight w:val="0"/>
          <w:marTop w:val="0"/>
          <w:marBottom w:val="160"/>
          <w:divBdr>
            <w:top w:val="none" w:sz="0" w:space="0" w:color="auto"/>
            <w:left w:val="none" w:sz="0" w:space="0" w:color="auto"/>
            <w:bottom w:val="none" w:sz="0" w:space="0" w:color="auto"/>
            <w:right w:val="none" w:sz="0" w:space="0" w:color="auto"/>
          </w:divBdr>
        </w:div>
        <w:div w:id="2030712587">
          <w:marLeft w:val="547"/>
          <w:marRight w:val="0"/>
          <w:marTop w:val="0"/>
          <w:marBottom w:val="160"/>
          <w:divBdr>
            <w:top w:val="none" w:sz="0" w:space="0" w:color="auto"/>
            <w:left w:val="none" w:sz="0" w:space="0" w:color="auto"/>
            <w:bottom w:val="none" w:sz="0" w:space="0" w:color="auto"/>
            <w:right w:val="none" w:sz="0" w:space="0" w:color="auto"/>
          </w:divBdr>
        </w:div>
        <w:div w:id="449737825">
          <w:marLeft w:val="547"/>
          <w:marRight w:val="0"/>
          <w:marTop w:val="0"/>
          <w:marBottom w:val="160"/>
          <w:divBdr>
            <w:top w:val="none" w:sz="0" w:space="0" w:color="auto"/>
            <w:left w:val="none" w:sz="0" w:space="0" w:color="auto"/>
            <w:bottom w:val="none" w:sz="0" w:space="0" w:color="auto"/>
            <w:right w:val="none" w:sz="0" w:space="0" w:color="auto"/>
          </w:divBdr>
        </w:div>
        <w:div w:id="869337104">
          <w:marLeft w:val="547"/>
          <w:marRight w:val="0"/>
          <w:marTop w:val="0"/>
          <w:marBottom w:val="160"/>
          <w:divBdr>
            <w:top w:val="none" w:sz="0" w:space="0" w:color="auto"/>
            <w:left w:val="none" w:sz="0" w:space="0" w:color="auto"/>
            <w:bottom w:val="none" w:sz="0" w:space="0" w:color="auto"/>
            <w:right w:val="none" w:sz="0" w:space="0" w:color="auto"/>
          </w:divBdr>
        </w:div>
        <w:div w:id="1609388491">
          <w:marLeft w:val="547"/>
          <w:marRight w:val="0"/>
          <w:marTop w:val="0"/>
          <w:marBottom w:val="160"/>
          <w:divBdr>
            <w:top w:val="none" w:sz="0" w:space="0" w:color="auto"/>
            <w:left w:val="none" w:sz="0" w:space="0" w:color="auto"/>
            <w:bottom w:val="none" w:sz="0" w:space="0" w:color="auto"/>
            <w:right w:val="none" w:sz="0" w:space="0" w:color="auto"/>
          </w:divBdr>
        </w:div>
      </w:divsChild>
    </w:div>
    <w:div w:id="1909148314">
      <w:bodyDiv w:val="1"/>
      <w:marLeft w:val="0"/>
      <w:marRight w:val="0"/>
      <w:marTop w:val="0"/>
      <w:marBottom w:val="0"/>
      <w:divBdr>
        <w:top w:val="none" w:sz="0" w:space="0" w:color="auto"/>
        <w:left w:val="none" w:sz="0" w:space="0" w:color="auto"/>
        <w:bottom w:val="none" w:sz="0" w:space="0" w:color="auto"/>
        <w:right w:val="none" w:sz="0" w:space="0" w:color="auto"/>
      </w:divBdr>
    </w:div>
    <w:div w:id="1935742765">
      <w:bodyDiv w:val="1"/>
      <w:marLeft w:val="0"/>
      <w:marRight w:val="0"/>
      <w:marTop w:val="0"/>
      <w:marBottom w:val="0"/>
      <w:divBdr>
        <w:top w:val="none" w:sz="0" w:space="0" w:color="auto"/>
        <w:left w:val="none" w:sz="0" w:space="0" w:color="auto"/>
        <w:bottom w:val="none" w:sz="0" w:space="0" w:color="auto"/>
        <w:right w:val="none" w:sz="0" w:space="0" w:color="auto"/>
      </w:divBdr>
    </w:div>
    <w:div w:id="2007896321">
      <w:bodyDiv w:val="1"/>
      <w:marLeft w:val="0"/>
      <w:marRight w:val="0"/>
      <w:marTop w:val="0"/>
      <w:marBottom w:val="0"/>
      <w:divBdr>
        <w:top w:val="none" w:sz="0" w:space="0" w:color="auto"/>
        <w:left w:val="none" w:sz="0" w:space="0" w:color="auto"/>
        <w:bottom w:val="none" w:sz="0" w:space="0" w:color="auto"/>
        <w:right w:val="none" w:sz="0" w:space="0" w:color="auto"/>
      </w:divBdr>
      <w:divsChild>
        <w:div w:id="870799225">
          <w:marLeft w:val="1166"/>
          <w:marRight w:val="0"/>
          <w:marTop w:val="67"/>
          <w:marBottom w:val="0"/>
          <w:divBdr>
            <w:top w:val="none" w:sz="0" w:space="0" w:color="auto"/>
            <w:left w:val="none" w:sz="0" w:space="0" w:color="auto"/>
            <w:bottom w:val="none" w:sz="0" w:space="0" w:color="auto"/>
            <w:right w:val="none" w:sz="0" w:space="0" w:color="auto"/>
          </w:divBdr>
        </w:div>
        <w:div w:id="1469317824">
          <w:marLeft w:val="1166"/>
          <w:marRight w:val="0"/>
          <w:marTop w:val="67"/>
          <w:marBottom w:val="0"/>
          <w:divBdr>
            <w:top w:val="none" w:sz="0" w:space="0" w:color="auto"/>
            <w:left w:val="none" w:sz="0" w:space="0" w:color="auto"/>
            <w:bottom w:val="none" w:sz="0" w:space="0" w:color="auto"/>
            <w:right w:val="none" w:sz="0" w:space="0" w:color="auto"/>
          </w:divBdr>
        </w:div>
      </w:divsChild>
    </w:div>
    <w:div w:id="2037656333">
      <w:bodyDiv w:val="1"/>
      <w:marLeft w:val="0"/>
      <w:marRight w:val="0"/>
      <w:marTop w:val="0"/>
      <w:marBottom w:val="0"/>
      <w:divBdr>
        <w:top w:val="none" w:sz="0" w:space="0" w:color="auto"/>
        <w:left w:val="none" w:sz="0" w:space="0" w:color="auto"/>
        <w:bottom w:val="none" w:sz="0" w:space="0" w:color="auto"/>
        <w:right w:val="none" w:sz="0" w:space="0" w:color="auto"/>
      </w:divBdr>
    </w:div>
    <w:div w:id="20980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52405949256"/>
          <c:y val="5.0925925925925902E-2"/>
          <c:w val="0.86069203849518805"/>
          <c:h val="0.75230679498396003"/>
        </c:manualLayout>
      </c:layout>
      <c:barChart>
        <c:barDir val="col"/>
        <c:grouping val="clustered"/>
        <c:varyColors val="0"/>
        <c:ser>
          <c:idx val="0"/>
          <c:order val="0"/>
          <c:spPr>
            <a:solidFill>
              <a:schemeClr val="accent1"/>
            </a:solidFill>
            <a:ln>
              <a:noFill/>
            </a:ln>
            <a:effectLst/>
          </c:spPr>
          <c:invertIfNegative val="0"/>
          <c:dLbls>
            <c:spPr>
              <a:solidFill>
                <a:schemeClr val="bg1">
                  <a:alpha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Ministry/Policy body </c:v>
                </c:pt>
                <c:pt idx="1">
                  <c:v>Fire Brigade/Executive body</c:v>
                </c:pt>
                <c:pt idx="2">
                  <c:v>Research Association</c:v>
                </c:pt>
                <c:pt idx="3">
                  <c:v>Insurance</c:v>
                </c:pt>
              </c:strCache>
            </c:strRef>
          </c:cat>
          <c:val>
            <c:numRef>
              <c:f>Sheet1!$B$1:$B$4</c:f>
              <c:numCache>
                <c:formatCode>0%</c:formatCode>
                <c:ptCount val="4"/>
                <c:pt idx="0">
                  <c:v>0.32</c:v>
                </c:pt>
                <c:pt idx="1">
                  <c:v>0.35</c:v>
                </c:pt>
                <c:pt idx="2">
                  <c:v>0.24</c:v>
                </c:pt>
                <c:pt idx="3">
                  <c:v>0.09</c:v>
                </c:pt>
              </c:numCache>
            </c:numRef>
          </c:val>
          <c:extLst>
            <c:ext xmlns:c16="http://schemas.microsoft.com/office/drawing/2014/chart" uri="{C3380CC4-5D6E-409C-BE32-E72D297353CC}">
              <c16:uniqueId val="{00000000-9965-4B4E-A080-A52DF4A419A8}"/>
            </c:ext>
          </c:extLst>
        </c:ser>
        <c:dLbls>
          <c:dLblPos val="outEnd"/>
          <c:showLegendKey val="0"/>
          <c:showVal val="1"/>
          <c:showCatName val="0"/>
          <c:showSerName val="0"/>
          <c:showPercent val="0"/>
          <c:showBubbleSize val="0"/>
        </c:dLbls>
        <c:gapWidth val="219"/>
        <c:overlap val="-27"/>
        <c:axId val="-625287696"/>
        <c:axId val="-482870864"/>
      </c:barChart>
      <c:catAx>
        <c:axId val="-62528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2870864"/>
        <c:crosses val="autoZero"/>
        <c:auto val="1"/>
        <c:lblAlgn val="ctr"/>
        <c:lblOffset val="100"/>
        <c:noMultiLvlLbl val="0"/>
      </c:catAx>
      <c:valAx>
        <c:axId val="-48287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 of respondents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2528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5B9A62-7FB5-42F0-8760-889FBC15E01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BD0EB4CC16A428CDDCD8C45F698C3" ma:contentTypeVersion="11" ma:contentTypeDescription="Create a new document." ma:contentTypeScope="" ma:versionID="1790ea968b63daa5cdcd4c2c34ff6b9d">
  <xsd:schema xmlns:xsd="http://www.w3.org/2001/XMLSchema" xmlns:xs="http://www.w3.org/2001/XMLSchema" xmlns:p="http://schemas.microsoft.com/office/2006/metadata/properties" xmlns:ns2="df975cdd-8b48-499b-b897-8dab998644f2" xmlns:ns3="868f0c8d-ed41-4f00-a298-03a483992dd2" targetNamespace="http://schemas.microsoft.com/office/2006/metadata/properties" ma:root="true" ma:fieldsID="f651b038e195afb65b85dff5759f59d6" ns2:_="" ns3:_="">
    <xsd:import namespace="df975cdd-8b48-499b-b897-8dab998644f2"/>
    <xsd:import namespace="868f0c8d-ed41-4f00-a298-03a483992dd2"/>
    <xsd:element name="properties">
      <xsd:complexType>
        <xsd:sequence>
          <xsd:element name="documentManagement">
            <xsd:complexType>
              <xsd:all>
                <xsd:element ref="ns2:SletDato"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75cdd-8b48-499b-b897-8dab998644f2" elementFormDefault="qualified">
    <xsd:import namespace="http://schemas.microsoft.com/office/2006/documentManagement/types"/>
    <xsd:import namespace="http://schemas.microsoft.com/office/infopath/2007/PartnerControls"/>
    <xsd:element name="SletDato" ma:index="8" nillable="true" ma:displayName="SletDato" ma:format="DateOnly" ma:internalName="SletDato">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f0c8d-ed41-4f00-a298-03a483992d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letDato xmlns="df975cdd-8b48-499b-b897-8dab998644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BE5E8-3BC0-4027-B267-E4FBAA23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75cdd-8b48-499b-b897-8dab998644f2"/>
    <ds:schemaRef ds:uri="868f0c8d-ed41-4f00-a298-03a483992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F7A8C-7C6C-4DCF-A586-30A2483F7271}">
  <ds:schemaRefs>
    <ds:schemaRef ds:uri="http://schemas.openxmlformats.org/officeDocument/2006/bibliography"/>
  </ds:schemaRefs>
</ds:datastoreItem>
</file>

<file path=customXml/itemProps3.xml><?xml version="1.0" encoding="utf-8"?>
<ds:datastoreItem xmlns:ds="http://schemas.openxmlformats.org/officeDocument/2006/customXml" ds:itemID="{E529FE47-C672-45A3-83B6-EACC1F05C571}">
  <ds:schemaRefs>
    <ds:schemaRef ds:uri="http://schemas.microsoft.com/office/2006/metadata/properties"/>
    <ds:schemaRef ds:uri="http://schemas.microsoft.com/office/infopath/2007/PartnerControls"/>
    <ds:schemaRef ds:uri="df975cdd-8b48-499b-b897-8dab998644f2"/>
  </ds:schemaRefs>
</ds:datastoreItem>
</file>

<file path=customXml/itemProps4.xml><?xml version="1.0" encoding="utf-8"?>
<ds:datastoreItem xmlns:ds="http://schemas.openxmlformats.org/officeDocument/2006/customXml" ds:itemID="{B5B9A87C-82F8-495B-A667-E742EA641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24</Pages>
  <Words>21938</Words>
  <Characters>125047</Characters>
  <Application>Microsoft Office Word</Application>
  <DocSecurity>0</DocSecurity>
  <Lines>1042</Lines>
  <Paragraphs>293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146692</CharactersWithSpaces>
  <SharedDoc>false</SharedDoc>
  <HLinks>
    <vt:vector size="66" baseType="variant">
      <vt:variant>
        <vt:i4>3866651</vt:i4>
      </vt:variant>
      <vt:variant>
        <vt:i4>321</vt:i4>
      </vt:variant>
      <vt:variant>
        <vt:i4>0</vt:i4>
      </vt:variant>
      <vt:variant>
        <vt:i4>5</vt:i4>
      </vt:variant>
      <vt:variant>
        <vt:lpwstr>https://ec.europa.eu/eurostat/statistics-explained/index.php?title=Construction_permit_index_overview</vt:lpwstr>
      </vt:variant>
      <vt:variant>
        <vt:lpwstr/>
      </vt:variant>
      <vt:variant>
        <vt:i4>5505108</vt:i4>
      </vt:variant>
      <vt:variant>
        <vt:i4>315</vt:i4>
      </vt:variant>
      <vt:variant>
        <vt:i4>0</vt:i4>
      </vt:variant>
      <vt:variant>
        <vt:i4>5</vt:i4>
      </vt:variant>
      <vt:variant>
        <vt:lpwstr>https://ec.europa.eu/eurostat/ramon/nomenclatures/index.cfm?TargetUrl=LST_NOM_DTL_LINEAR&amp;StrNom=CC_1998&amp;StrLanguageCode=EN</vt:lpwstr>
      </vt:variant>
      <vt:variant>
        <vt:lpwstr/>
      </vt:variant>
      <vt:variant>
        <vt:i4>4063307</vt:i4>
      </vt:variant>
      <vt:variant>
        <vt:i4>291</vt:i4>
      </vt:variant>
      <vt:variant>
        <vt:i4>0</vt:i4>
      </vt:variant>
      <vt:variant>
        <vt:i4>5</vt:i4>
      </vt:variant>
      <vt:variant>
        <vt:lpwstr>https://ec.europa.eu/eurostat/statistics-explained/index.php?title=Glossary:Classification_of_types_of_construction_(CC)</vt:lpwstr>
      </vt:variant>
      <vt:variant>
        <vt:lpwstr/>
      </vt:variant>
      <vt:variant>
        <vt:i4>3866636</vt:i4>
      </vt:variant>
      <vt:variant>
        <vt:i4>282</vt:i4>
      </vt:variant>
      <vt:variant>
        <vt:i4>0</vt:i4>
      </vt:variant>
      <vt:variant>
        <vt:i4>5</vt:i4>
      </vt:variant>
      <vt:variant>
        <vt:lpwstr>https://assets.publishing.service.gov.uk/government/uploads/system/uploads/attachment_data/file/831136/detailed-analysis-fires-attended-fire-rescue-england-1819-hosb1919.pdf</vt:lpwstr>
      </vt:variant>
      <vt:variant>
        <vt:lpwstr/>
      </vt:variant>
      <vt:variant>
        <vt:i4>458834</vt:i4>
      </vt:variant>
      <vt:variant>
        <vt:i4>273</vt:i4>
      </vt:variant>
      <vt:variant>
        <vt:i4>0</vt:i4>
      </vt:variant>
      <vt:variant>
        <vt:i4>5</vt:i4>
      </vt:variant>
      <vt:variant>
        <vt:lpwstr>https://www.nfpa.org//-/media/Files/News-and-Research/Fire-statistics-and-reports/Emergency-responders/osFFF.pdf</vt:lpwstr>
      </vt:variant>
      <vt:variant>
        <vt:lpwstr/>
      </vt:variant>
      <vt:variant>
        <vt:i4>8257659</vt:i4>
      </vt:variant>
      <vt:variant>
        <vt:i4>267</vt:i4>
      </vt:variant>
      <vt:variant>
        <vt:i4>0</vt:i4>
      </vt:variant>
      <vt:variant>
        <vt:i4>5</vt:i4>
      </vt:variant>
      <vt:variant>
        <vt:lpwstr>https://www.ifv.nl/kennisplein/Documents/20181120-BA-EFA-Fatal-residential-fires-in-Europe.pdf</vt:lpwstr>
      </vt:variant>
      <vt:variant>
        <vt:lpwstr/>
      </vt:variant>
      <vt:variant>
        <vt:i4>6357027</vt:i4>
      </vt:variant>
      <vt:variant>
        <vt:i4>0</vt:i4>
      </vt:variant>
      <vt:variant>
        <vt:i4>0</vt:i4>
      </vt:variant>
      <vt:variant>
        <vt:i4>5</vt:i4>
      </vt:variant>
      <vt:variant>
        <vt:lpwstr>https://eufirestat-efectis.com/</vt:lpwstr>
      </vt:variant>
      <vt:variant>
        <vt:lpwstr/>
      </vt:variant>
      <vt:variant>
        <vt:i4>3866636</vt:i4>
      </vt:variant>
      <vt:variant>
        <vt:i4>9</vt:i4>
      </vt:variant>
      <vt:variant>
        <vt:i4>0</vt:i4>
      </vt:variant>
      <vt:variant>
        <vt:i4>5</vt:i4>
      </vt:variant>
      <vt:variant>
        <vt:lpwstr>https://assets.publishing.service.gov.uk/government/uploads/system/uploads/attachment_data/file/831136/detailed-analysis-fires-attended-fire-rescue-england-1819-hosb1919.pdf</vt:lpwstr>
      </vt:variant>
      <vt:variant>
        <vt:lpwstr/>
      </vt:variant>
      <vt:variant>
        <vt:i4>458834</vt:i4>
      </vt:variant>
      <vt:variant>
        <vt:i4>6</vt:i4>
      </vt:variant>
      <vt:variant>
        <vt:i4>0</vt:i4>
      </vt:variant>
      <vt:variant>
        <vt:i4>5</vt:i4>
      </vt:variant>
      <vt:variant>
        <vt:lpwstr>https://www.nfpa.org//-/media/Files/News-and-Research/Fire-statistics-and-reports/Emergency-responders/osFFF.pdf</vt:lpwstr>
      </vt:variant>
      <vt:variant>
        <vt:lpwstr/>
      </vt:variant>
      <vt:variant>
        <vt:i4>8257659</vt:i4>
      </vt:variant>
      <vt:variant>
        <vt:i4>3</vt:i4>
      </vt:variant>
      <vt:variant>
        <vt:i4>0</vt:i4>
      </vt:variant>
      <vt:variant>
        <vt:i4>5</vt:i4>
      </vt:variant>
      <vt:variant>
        <vt:lpwstr>https://www.ifv.nl/kennisplein/Documents/20181120-BA-EFA-Fatal-residential-fires-in-Europe.pdf</vt:lpwstr>
      </vt:variant>
      <vt:variant>
        <vt:lpwstr/>
      </vt:variant>
      <vt:variant>
        <vt:i4>8257659</vt:i4>
      </vt:variant>
      <vt:variant>
        <vt:i4>0</vt:i4>
      </vt:variant>
      <vt:variant>
        <vt:i4>0</vt:i4>
      </vt:variant>
      <vt:variant>
        <vt:i4>5</vt:i4>
      </vt:variant>
      <vt:variant>
        <vt:lpwstr>https://www.ifv.nl/kennisplein/Documents/20181120-BA-EFA-Fatal-residential-fires-in-Europe.pdf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 Martina</dc:creator>
  <cp:keywords/>
  <dc:description/>
  <cp:lastModifiedBy>Manes, Martina</cp:lastModifiedBy>
  <cp:revision>433</cp:revision>
  <cp:lastPrinted>2022-08-04T09:34:00Z</cp:lastPrinted>
  <dcterms:created xsi:type="dcterms:W3CDTF">2022-04-29T07:45:00Z</dcterms:created>
  <dcterms:modified xsi:type="dcterms:W3CDTF">2023-02-25T17:26:00Z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ba7b5dcd-e671-3c55-aed1-b045e936ca2d</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https://csl.mendeley.com/styles/490316521/ieee-2</vt:lpwstr>
  </property>
  <property fmtid="{D5CDD505-2E9C-101B-9397-08002B2CF9AE}" pid="13" name="Mendeley Recent Style Name 4_1">
    <vt:lpwstr>IEEE - Martina Manes</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http://www.zotero.org/styles/sage-vancouver</vt:lpwstr>
  </property>
  <property fmtid="{D5CDD505-2E9C-101B-9397-08002B2CF9AE}" pid="21" name="Mendeley Recent Style Name 8_1">
    <vt:lpwstr>SAGE - Vancouver</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ContentTypeId">
    <vt:lpwstr>0x010100CFBBD0EB4CC16A428CDDCD8C45F698C3</vt:lpwstr>
  </property>
  <property fmtid="{D5CDD505-2E9C-101B-9397-08002B2CF9AE}" pid="25" name="Mendeley Citation Style_1">
    <vt:lpwstr>https://csl.mendeley.com/styles/490316521/ieee-2</vt:lpwstr>
  </property>
  <property fmtid="{D5CDD505-2E9C-101B-9397-08002B2CF9AE}" pid="26" name="GrammarlyDocumentId">
    <vt:lpwstr>471f0c507fc1a026c0e0c608bdd8ca920b379e2e238894310ec419acf96f1667</vt:lpwstr>
  </property>
</Properties>
</file>