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9B3B" w14:textId="255C0E30" w:rsidR="004307BD" w:rsidRPr="00E5421B" w:rsidRDefault="004307BD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A26"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  <w:t>N</w:t>
      </w:r>
      <w:r w:rsidR="00D65A26" w:rsidRPr="00D65A26"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  <w:t>atalie</w:t>
      </w:r>
      <w:r w:rsidRPr="00D65A26"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  <w:t xml:space="preserve"> A</w:t>
      </w:r>
      <w:r w:rsidR="00D65A26" w:rsidRPr="00D65A26"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  <w:t>bell</w:t>
      </w:r>
      <w:r w:rsidR="00D65A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2021. </w:t>
      </w:r>
      <w:r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Keos</w:t>
      </w:r>
      <w:r w:rsidR="002511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="00D16C43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D65A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  <w:r w:rsidR="00D16C43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esults of </w:t>
      </w:r>
      <w:r w:rsidR="00D65A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</w:t>
      </w:r>
      <w:r w:rsidR="00D16C43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xcavations conducted by the University of Cincinnati under the </w:t>
      </w:r>
      <w:r w:rsidR="00D65A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="00D16C43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uspices of The American School of Classical Studies at Athens, Volume XII. Ayia Irini: Area B. </w:t>
      </w:r>
      <w:r w:rsidR="00D16C43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Atlanta, GA: Lockwood Press</w:t>
      </w:r>
      <w:r w:rsidR="00D65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D65A26" w:rsidRPr="00D65A26">
        <w:rPr>
          <w:rFonts w:ascii="Times New Roman" w:hAnsi="Times New Roman" w:cs="Times New Roman"/>
          <w:sz w:val="24"/>
          <w:szCs w:val="24"/>
          <w:shd w:val="clear" w:color="auto" w:fill="FFFFFF"/>
        </w:rPr>
        <w:t>978-1-948488-57-0</w:t>
      </w:r>
      <w:r w:rsidR="00D65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hardback</w:t>
      </w:r>
      <w:r w:rsidR="00D16C43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A26">
        <w:rPr>
          <w:rFonts w:ascii="Times New Roman" w:hAnsi="Times New Roman" w:cs="Times New Roman"/>
          <w:sz w:val="24"/>
          <w:szCs w:val="24"/>
          <w:shd w:val="clear" w:color="auto" w:fill="FFFFFF"/>
        </w:rPr>
        <w:t>$99.50.</w:t>
      </w:r>
    </w:p>
    <w:p w14:paraId="2A47C94D" w14:textId="77777777" w:rsidR="004307BD" w:rsidRPr="00E5421B" w:rsidRDefault="004307BD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A60264" w14:textId="739A0016" w:rsidR="00F24962" w:rsidRPr="00E5421B" w:rsidRDefault="000D370B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Alongside </w:t>
      </w:r>
      <w:r w:rsidR="0081670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Phylakopi on Melos and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Akrotiri on Thera, the </w:t>
      </w:r>
      <w:r w:rsidR="00DA112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harbour town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Ayia Irini </w:t>
      </w:r>
      <w:r w:rsidR="00DA112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on the northwestern coast of Ke</w:t>
      </w:r>
      <w:r w:rsidR="00A9426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A112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remains one of the most important </w:t>
      </w:r>
      <w:r w:rsidR="004C703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settlements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the Cycladic later Bronze Age. Located in an enviable position at the northern </w:t>
      </w:r>
      <w:r w:rsidR="0066304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edge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Cycladic archipelago</w:t>
      </w:r>
      <w:r w:rsidR="0055232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within sight of the southern coasts of both Attica and Euboea, it was a vital node in those Bronze Age maritime networks which connected </w:t>
      </w:r>
      <w:r w:rsidR="0066304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Cycladic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communities with others on Crete and the Greek </w:t>
      </w:r>
      <w:r w:rsidR="00DA112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mainland (and further afield)</w:t>
      </w:r>
      <w:r w:rsidR="001708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1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</w:t>
      </w:r>
      <w:r w:rsidR="00DA112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remains a key vantage point from which to view socio-cultural change </w:t>
      </w:r>
      <w:r w:rsidR="00E73FB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DA112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Aegean. Excavation of the site, under the auspices of the American School of Classical Studies at Athens (ASCSA), was begun in 1960 and concluded by 1976. The ground</w:t>
      </w:r>
      <w:r w:rsidR="00A9426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current study was </w:t>
      </w:r>
      <w:r w:rsidR="00453E13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prepared </w:t>
      </w:r>
      <w:r w:rsidR="00A9426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the late Aliki Halepa Bikaki, </w:t>
      </w:r>
      <w:r w:rsidR="00E914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director of</w:t>
      </w:r>
      <w:r w:rsidR="00A9426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E914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Area B </w:t>
      </w:r>
      <w:r w:rsidR="00A9426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excavation</w:t>
      </w:r>
      <w:r w:rsidR="0018399C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90BA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82B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it is </w:t>
      </w:r>
      <w:r w:rsidR="00A9426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her memory that the volume is dedicated, </w:t>
      </w:r>
      <w:r w:rsidR="007F301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but it is Abell’s diligen</w:t>
      </w:r>
      <w:r w:rsidR="00E914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untangling of the </w:t>
      </w:r>
      <w:r w:rsidR="00D401E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legacy </w:t>
      </w:r>
      <w:r w:rsidR="00E914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record</w:t>
      </w:r>
      <w:r w:rsidR="007F301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="00582B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 </w:t>
      </w:r>
      <w:r w:rsidR="00527D9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knowledge </w:t>
      </w:r>
      <w:r w:rsidR="00582B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7F301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Bronze Age </w:t>
      </w:r>
      <w:r w:rsidR="00B7473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Cycladic </w:t>
      </w:r>
      <w:r w:rsidR="00582B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pottery</w:t>
      </w:r>
      <w:r w:rsidR="007F301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which </w:t>
      </w:r>
      <w:r w:rsidR="00EC59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return</w:t>
      </w:r>
      <w:r w:rsidR="00582B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Area B into the light, </w:t>
      </w:r>
      <w:r w:rsidR="00451BE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60 years </w:t>
      </w:r>
      <w:r w:rsidR="00582B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after it was first uncovered.</w:t>
      </w:r>
      <w:r w:rsidR="007F301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79C7DA" w14:textId="77777777" w:rsidR="00102DE3" w:rsidRPr="00E5421B" w:rsidRDefault="00102DE3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2BCBE" w14:textId="40856EFB" w:rsidR="00C93ACD" w:rsidRPr="00E5421B" w:rsidRDefault="00C01FAD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volume </w:t>
      </w:r>
      <w:r w:rsidR="000A0C8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presents </w:t>
      </w:r>
      <w:r w:rsidR="0059290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deposits associated with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Late Bronze Age </w:t>
      </w:r>
      <w:r w:rsidR="00E914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(LBA)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House B and an adjacent alleyway, AB</w:t>
      </w:r>
      <w:r w:rsidR="006C79F8" w:rsidRPr="00E5421B">
        <w:rPr>
          <w:rFonts w:ascii="Times New Roman" w:hAnsi="Times New Roman" w:cs="Times New Roman"/>
          <w:sz w:val="24"/>
          <w:szCs w:val="24"/>
        </w:rPr>
        <w:t xml:space="preserve">. Terraced into the hillside at the southeastern edge of the settlement, House B consists now only of a northwestern line of six </w:t>
      </w:r>
      <w:r w:rsidR="00E5421B">
        <w:rPr>
          <w:rFonts w:ascii="Times New Roman" w:hAnsi="Times New Roman" w:cs="Times New Roman"/>
          <w:sz w:val="24"/>
          <w:szCs w:val="24"/>
        </w:rPr>
        <w:t xml:space="preserve">basement </w:t>
      </w:r>
      <w:r w:rsidR="006C79F8" w:rsidRPr="00E5421B">
        <w:rPr>
          <w:rFonts w:ascii="Times New Roman" w:hAnsi="Times New Roman" w:cs="Times New Roman"/>
          <w:sz w:val="24"/>
          <w:szCs w:val="24"/>
        </w:rPr>
        <w:t xml:space="preserve">rooms. </w:t>
      </w:r>
      <w:r w:rsidR="00592901" w:rsidRPr="00E5421B">
        <w:rPr>
          <w:rFonts w:ascii="Times New Roman" w:hAnsi="Times New Roman" w:cs="Times New Roman"/>
          <w:sz w:val="24"/>
          <w:szCs w:val="24"/>
        </w:rPr>
        <w:t xml:space="preserve">Architectural remains </w:t>
      </w:r>
      <w:r w:rsidR="006C79F8" w:rsidRPr="00E5421B">
        <w:rPr>
          <w:rFonts w:ascii="Times New Roman" w:hAnsi="Times New Roman" w:cs="Times New Roman"/>
          <w:sz w:val="24"/>
          <w:szCs w:val="24"/>
        </w:rPr>
        <w:t xml:space="preserve">here exceed several metres in height, but the </w:t>
      </w:r>
      <w:r w:rsidR="00592901" w:rsidRPr="00E5421B">
        <w:rPr>
          <w:rFonts w:ascii="Times New Roman" w:hAnsi="Times New Roman" w:cs="Times New Roman"/>
          <w:sz w:val="24"/>
          <w:szCs w:val="24"/>
        </w:rPr>
        <w:t>southeastern portion of the</w:t>
      </w:r>
      <w:r w:rsidR="00C93ACD" w:rsidRPr="00E5421B">
        <w:rPr>
          <w:rFonts w:ascii="Times New Roman" w:hAnsi="Times New Roman" w:cs="Times New Roman"/>
          <w:sz w:val="24"/>
          <w:szCs w:val="24"/>
        </w:rPr>
        <w:t xml:space="preserve"> building </w:t>
      </w:r>
      <w:r w:rsidR="00592901" w:rsidRPr="00E5421B">
        <w:rPr>
          <w:rFonts w:ascii="Times New Roman" w:hAnsi="Times New Roman" w:cs="Times New Roman"/>
          <w:sz w:val="24"/>
          <w:szCs w:val="24"/>
        </w:rPr>
        <w:t xml:space="preserve">has been lost entirely </w:t>
      </w:r>
      <w:r w:rsidR="00E9142D" w:rsidRPr="00E5421B">
        <w:rPr>
          <w:rFonts w:ascii="Times New Roman" w:hAnsi="Times New Roman" w:cs="Times New Roman"/>
          <w:sz w:val="24"/>
          <w:szCs w:val="24"/>
        </w:rPr>
        <w:t xml:space="preserve">to </w:t>
      </w:r>
      <w:r w:rsidR="00592901" w:rsidRPr="00E5421B">
        <w:rPr>
          <w:rFonts w:ascii="Times New Roman" w:hAnsi="Times New Roman" w:cs="Times New Roman"/>
          <w:sz w:val="24"/>
          <w:szCs w:val="24"/>
        </w:rPr>
        <w:t xml:space="preserve">the transgression of the Gulf of Ayios Nikolaos, which </w:t>
      </w:r>
      <w:r w:rsidR="00C93ACD" w:rsidRPr="00E5421B">
        <w:rPr>
          <w:rFonts w:ascii="Times New Roman" w:hAnsi="Times New Roman" w:cs="Times New Roman"/>
          <w:sz w:val="24"/>
          <w:szCs w:val="24"/>
        </w:rPr>
        <w:t xml:space="preserve">would have </w:t>
      </w:r>
      <w:r w:rsidR="00251136">
        <w:rPr>
          <w:rFonts w:ascii="Times New Roman" w:hAnsi="Times New Roman" w:cs="Times New Roman"/>
          <w:sz w:val="24"/>
          <w:szCs w:val="24"/>
        </w:rPr>
        <w:t>been</w:t>
      </w:r>
      <w:r w:rsidR="00251136" w:rsidRPr="00E5421B">
        <w:rPr>
          <w:rFonts w:ascii="Times New Roman" w:hAnsi="Times New Roman" w:cs="Times New Roman"/>
          <w:sz w:val="24"/>
          <w:szCs w:val="24"/>
        </w:rPr>
        <w:t xml:space="preserve"> </w:t>
      </w:r>
      <w:r w:rsidR="00592901" w:rsidRPr="00E5421B">
        <w:rPr>
          <w:rFonts w:ascii="Times New Roman" w:hAnsi="Times New Roman" w:cs="Times New Roman"/>
          <w:sz w:val="24"/>
          <w:szCs w:val="24"/>
        </w:rPr>
        <w:t xml:space="preserve">several metres lower </w:t>
      </w:r>
      <w:r w:rsidR="00C93ACD" w:rsidRPr="00E5421B">
        <w:rPr>
          <w:rFonts w:ascii="Times New Roman" w:hAnsi="Times New Roman" w:cs="Times New Roman"/>
          <w:sz w:val="24"/>
          <w:szCs w:val="24"/>
        </w:rPr>
        <w:t>during the L</w:t>
      </w:r>
      <w:r w:rsidR="00E9142D" w:rsidRPr="00E5421B">
        <w:rPr>
          <w:rFonts w:ascii="Times New Roman" w:hAnsi="Times New Roman" w:cs="Times New Roman"/>
          <w:sz w:val="24"/>
          <w:szCs w:val="24"/>
        </w:rPr>
        <w:t>BA</w:t>
      </w:r>
      <w:r w:rsidR="00C93ACD" w:rsidRPr="00E5421B">
        <w:rPr>
          <w:rFonts w:ascii="Times New Roman" w:hAnsi="Times New Roman" w:cs="Times New Roman"/>
          <w:sz w:val="24"/>
          <w:szCs w:val="24"/>
        </w:rPr>
        <w:t>. Earl</w:t>
      </w:r>
      <w:r w:rsidR="00965B67" w:rsidRPr="00E5421B">
        <w:rPr>
          <w:rFonts w:ascii="Times New Roman" w:hAnsi="Times New Roman" w:cs="Times New Roman"/>
          <w:sz w:val="24"/>
          <w:szCs w:val="24"/>
        </w:rPr>
        <w:t xml:space="preserve">ier deposits now </w:t>
      </w:r>
      <w:r w:rsidR="00BD2CFF" w:rsidRPr="00E5421B">
        <w:rPr>
          <w:rFonts w:ascii="Times New Roman" w:hAnsi="Times New Roman" w:cs="Times New Roman"/>
          <w:sz w:val="24"/>
          <w:szCs w:val="24"/>
        </w:rPr>
        <w:t xml:space="preserve">lie </w:t>
      </w:r>
      <w:r w:rsidR="00965B67" w:rsidRPr="00E5421B">
        <w:rPr>
          <w:rFonts w:ascii="Times New Roman" w:hAnsi="Times New Roman" w:cs="Times New Roman"/>
          <w:sz w:val="24"/>
          <w:szCs w:val="24"/>
        </w:rPr>
        <w:t>below sea level.</w:t>
      </w:r>
      <w:r w:rsidR="00C93ACD" w:rsidRPr="00E5421B">
        <w:rPr>
          <w:rFonts w:ascii="Times New Roman" w:hAnsi="Times New Roman" w:cs="Times New Roman"/>
          <w:sz w:val="24"/>
          <w:szCs w:val="24"/>
        </w:rPr>
        <w:t xml:space="preserve"> </w:t>
      </w:r>
      <w:r w:rsidR="00206DF0" w:rsidRPr="00E5421B">
        <w:rPr>
          <w:rFonts w:ascii="Times New Roman" w:hAnsi="Times New Roman" w:cs="Times New Roman"/>
          <w:sz w:val="24"/>
          <w:szCs w:val="24"/>
        </w:rPr>
        <w:t xml:space="preserve">The occupation of House B belongs to a period of significant external social and political influence in the Cyclades, </w:t>
      </w:r>
      <w:r w:rsidR="00120CAA" w:rsidRPr="00EB43D8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r w:rsidR="00120CAA" w:rsidRPr="00EB43D8">
        <w:rPr>
          <w:rFonts w:ascii="Times New Roman" w:hAnsi="Times New Roman" w:cs="Times New Roman"/>
          <w:sz w:val="24"/>
          <w:szCs w:val="24"/>
        </w:rPr>
        <w:t>1700</w:t>
      </w:r>
      <w:r w:rsidR="00251136" w:rsidRPr="00EB43D8">
        <w:rPr>
          <w:rFonts w:ascii="Times New Roman" w:hAnsi="Times New Roman" w:cs="Times New Roman"/>
          <w:sz w:val="24"/>
          <w:szCs w:val="24"/>
        </w:rPr>
        <w:t>–</w:t>
      </w:r>
      <w:r w:rsidR="00120CAA" w:rsidRPr="00EB43D8">
        <w:rPr>
          <w:rFonts w:ascii="Times New Roman" w:hAnsi="Times New Roman" w:cs="Times New Roman"/>
          <w:sz w:val="24"/>
          <w:szCs w:val="24"/>
        </w:rPr>
        <w:t>1400 BCE</w:t>
      </w:r>
      <w:r w:rsidR="00120CAA" w:rsidRPr="00E5421B">
        <w:rPr>
          <w:rFonts w:ascii="Times New Roman" w:hAnsi="Times New Roman" w:cs="Times New Roman"/>
          <w:sz w:val="24"/>
          <w:szCs w:val="24"/>
        </w:rPr>
        <w:t>, Late Cycladic I-II</w:t>
      </w:r>
      <w:r w:rsidR="00206DF0" w:rsidRPr="00E5421B">
        <w:rPr>
          <w:rFonts w:ascii="Times New Roman" w:hAnsi="Times New Roman" w:cs="Times New Roman"/>
          <w:sz w:val="24"/>
          <w:szCs w:val="24"/>
        </w:rPr>
        <w:t xml:space="preserve"> (</w:t>
      </w:r>
      <w:r w:rsidR="00120CAA" w:rsidRPr="00E5421B">
        <w:rPr>
          <w:rFonts w:ascii="Times New Roman" w:hAnsi="Times New Roman" w:cs="Times New Roman"/>
          <w:sz w:val="24"/>
          <w:szCs w:val="24"/>
        </w:rPr>
        <w:t>Period</w:t>
      </w:r>
      <w:r w:rsidR="00F32837" w:rsidRPr="00E5421B">
        <w:rPr>
          <w:rFonts w:ascii="Times New Roman" w:hAnsi="Times New Roman" w:cs="Times New Roman"/>
          <w:sz w:val="24"/>
          <w:szCs w:val="24"/>
        </w:rPr>
        <w:t>s</w:t>
      </w:r>
      <w:r w:rsidR="00120CAA" w:rsidRPr="00E5421B">
        <w:rPr>
          <w:rFonts w:ascii="Times New Roman" w:hAnsi="Times New Roman" w:cs="Times New Roman"/>
          <w:sz w:val="24"/>
          <w:szCs w:val="24"/>
        </w:rPr>
        <w:t xml:space="preserve"> VI-VII in the </w:t>
      </w:r>
      <w:r w:rsidR="00590BA9" w:rsidRPr="00E5421B">
        <w:rPr>
          <w:rFonts w:ascii="Times New Roman" w:hAnsi="Times New Roman" w:cs="Times New Roman"/>
          <w:sz w:val="24"/>
          <w:szCs w:val="24"/>
        </w:rPr>
        <w:t>Ayia Irini sequence</w:t>
      </w:r>
      <w:r w:rsidR="00120CAA" w:rsidRPr="00E5421B">
        <w:rPr>
          <w:rFonts w:ascii="Times New Roman" w:hAnsi="Times New Roman" w:cs="Times New Roman"/>
          <w:sz w:val="24"/>
          <w:szCs w:val="24"/>
        </w:rPr>
        <w:t>)</w:t>
      </w:r>
      <w:r w:rsidR="00E76D8F" w:rsidRPr="00E5421B">
        <w:rPr>
          <w:rFonts w:ascii="Times New Roman" w:hAnsi="Times New Roman" w:cs="Times New Roman"/>
          <w:sz w:val="24"/>
          <w:szCs w:val="24"/>
        </w:rPr>
        <w:t>,</w:t>
      </w:r>
      <w:r w:rsidR="00120CAA" w:rsidRPr="00E5421B">
        <w:rPr>
          <w:rFonts w:ascii="Times New Roman" w:hAnsi="Times New Roman" w:cs="Times New Roman"/>
          <w:sz w:val="24"/>
          <w:szCs w:val="24"/>
        </w:rPr>
        <w:t xml:space="preserve"> </w:t>
      </w:r>
      <w:r w:rsidR="00C93ACD" w:rsidRPr="00E5421B">
        <w:rPr>
          <w:rFonts w:ascii="Times New Roman" w:hAnsi="Times New Roman" w:cs="Times New Roman"/>
          <w:sz w:val="24"/>
          <w:szCs w:val="24"/>
        </w:rPr>
        <w:t>and</w:t>
      </w:r>
      <w:r w:rsidR="00206DF0" w:rsidRPr="00E5421B">
        <w:rPr>
          <w:rFonts w:ascii="Times New Roman" w:hAnsi="Times New Roman" w:cs="Times New Roman"/>
          <w:sz w:val="24"/>
          <w:szCs w:val="24"/>
        </w:rPr>
        <w:t xml:space="preserve"> its</w:t>
      </w:r>
      <w:r w:rsidR="00C93ACD" w:rsidRPr="00E5421B">
        <w:rPr>
          <w:rFonts w:ascii="Times New Roman" w:hAnsi="Times New Roman" w:cs="Times New Roman"/>
          <w:sz w:val="24"/>
          <w:szCs w:val="24"/>
        </w:rPr>
        <w:t xml:space="preserve"> </w:t>
      </w:r>
      <w:r w:rsidR="00206DF0" w:rsidRPr="00E5421B">
        <w:rPr>
          <w:rFonts w:ascii="Times New Roman" w:hAnsi="Times New Roman" w:cs="Times New Roman"/>
          <w:sz w:val="24"/>
          <w:szCs w:val="24"/>
        </w:rPr>
        <w:t xml:space="preserve">history is </w:t>
      </w:r>
      <w:r w:rsidR="00590BA9" w:rsidRPr="00E5421B">
        <w:rPr>
          <w:rFonts w:ascii="Times New Roman" w:hAnsi="Times New Roman" w:cs="Times New Roman"/>
          <w:sz w:val="24"/>
          <w:szCs w:val="24"/>
        </w:rPr>
        <w:t xml:space="preserve">closely </w:t>
      </w:r>
      <w:r w:rsidR="004F21BA" w:rsidRPr="00E5421B">
        <w:rPr>
          <w:rFonts w:ascii="Times New Roman" w:hAnsi="Times New Roman" w:cs="Times New Roman"/>
          <w:sz w:val="24"/>
          <w:szCs w:val="24"/>
        </w:rPr>
        <w:t>linked</w:t>
      </w:r>
      <w:r w:rsidR="00590BA9" w:rsidRPr="00E5421B">
        <w:rPr>
          <w:rFonts w:ascii="Times New Roman" w:hAnsi="Times New Roman" w:cs="Times New Roman"/>
          <w:sz w:val="24"/>
          <w:szCs w:val="24"/>
        </w:rPr>
        <w:t xml:space="preserve"> to t</w:t>
      </w:r>
      <w:r w:rsidR="002576F9" w:rsidRPr="00E5421B">
        <w:rPr>
          <w:rFonts w:ascii="Times New Roman" w:hAnsi="Times New Roman" w:cs="Times New Roman"/>
          <w:sz w:val="24"/>
          <w:szCs w:val="24"/>
        </w:rPr>
        <w:t>he fortunes</w:t>
      </w:r>
      <w:r w:rsidR="00590BA9" w:rsidRPr="00E5421B">
        <w:rPr>
          <w:rFonts w:ascii="Times New Roman" w:hAnsi="Times New Roman" w:cs="Times New Roman"/>
          <w:sz w:val="24"/>
          <w:szCs w:val="24"/>
        </w:rPr>
        <w:t xml:space="preserve"> of </w:t>
      </w:r>
      <w:r w:rsidR="00206DF0" w:rsidRPr="00E5421B">
        <w:rPr>
          <w:rFonts w:ascii="Times New Roman" w:hAnsi="Times New Roman" w:cs="Times New Roman"/>
          <w:sz w:val="24"/>
          <w:szCs w:val="24"/>
        </w:rPr>
        <w:t xml:space="preserve">the </w:t>
      </w:r>
      <w:r w:rsidR="00590BA9" w:rsidRPr="00E5421B">
        <w:rPr>
          <w:rFonts w:ascii="Times New Roman" w:hAnsi="Times New Roman" w:cs="Times New Roman"/>
          <w:sz w:val="24"/>
          <w:szCs w:val="24"/>
        </w:rPr>
        <w:t>settlement at large</w:t>
      </w:r>
      <w:r w:rsidR="00206DF0" w:rsidRPr="00E5421B">
        <w:rPr>
          <w:rFonts w:ascii="Times New Roman" w:hAnsi="Times New Roman" w:cs="Times New Roman"/>
          <w:sz w:val="24"/>
          <w:szCs w:val="24"/>
        </w:rPr>
        <w:t>.</w:t>
      </w:r>
    </w:p>
    <w:p w14:paraId="14F1404D" w14:textId="77777777" w:rsidR="00BB735E" w:rsidRPr="00E5421B" w:rsidRDefault="00BB735E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D7BCB" w14:textId="46904FE3" w:rsidR="00455D4A" w:rsidRPr="00E5421B" w:rsidRDefault="00552325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Much</w:t>
      </w:r>
      <w:r w:rsidR="004E1F4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text is dedicated to the </w:t>
      </w:r>
      <w:r w:rsidR="002A0AD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presentation </w:t>
      </w:r>
      <w:r w:rsidR="002B59F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analysis </w:t>
      </w:r>
      <w:r w:rsidR="002A0AD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FB016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965B6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arly</w:t>
      </w:r>
      <w:r w:rsidR="00D401E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(EBA), Middle (MBA) and</w:t>
      </w:r>
      <w:r w:rsidR="00965B6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="00D401E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 </w:t>
      </w:r>
      <w:r w:rsidR="00DE53C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pottery</w:t>
      </w:r>
      <w:r w:rsidR="002B59F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alongside a smaller number of </w:t>
      </w:r>
      <w:r w:rsidR="008A1B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</w:t>
      </w:r>
      <w:r w:rsidR="002B59F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artefact types</w:t>
      </w:r>
      <w:r w:rsidR="004B4F9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; s</w:t>
      </w:r>
      <w:r w:rsidR="002B59F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ome </w:t>
      </w:r>
      <w:r w:rsidR="0063033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appearing</w:t>
      </w:r>
      <w:r w:rsidR="004B4F9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59F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elsewhere</w:t>
      </w:r>
      <w:r w:rsidR="00276AA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59F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53317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other of</w:t>
      </w:r>
      <w:r w:rsidR="002B59F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2B59F0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Keos </w:t>
      </w:r>
      <w:r w:rsidR="002B59F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series</w:t>
      </w:r>
      <w:r w:rsidR="004B4F9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4ABC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focus on </w:t>
      </w:r>
      <w:r w:rsidR="000A3E6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the resolution within this assemblage of a fine-grained provenance</w:t>
      </w:r>
      <w:r w:rsidR="00135B4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the scale of the single centre or micro-region</w:t>
      </w:r>
      <w:r w:rsidR="000A3E6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="00967C8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0A3E6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technological and technical choice within the </w:t>
      </w:r>
      <w:r w:rsidR="000A3E60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chaine opératoire</w:t>
      </w:r>
      <w:r w:rsidR="000A3E6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DE53C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pottery</w:t>
      </w:r>
      <w:r w:rsidR="000A3E6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manufacture</w:t>
      </w:r>
      <w:r w:rsidR="00FC4ABC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E6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E3663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3663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98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E298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0A3E6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6294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 is</w:t>
      </w:r>
      <w:r w:rsidR="00EE3663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324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symptomatic of the more </w:t>
      </w:r>
      <w:r w:rsidR="005D5BC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general </w:t>
      </w:r>
      <w:r w:rsidR="00DE53C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current </w:t>
      </w:r>
      <w:r w:rsidR="005D5BC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thrust in Cycladic</w:t>
      </w:r>
      <w:r w:rsidR="00967C8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Aegean, </w:t>
      </w:r>
      <w:r w:rsidR="005D5BC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archaeology toward the </w:t>
      </w:r>
      <w:r w:rsidR="008026D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bottom-up </w:t>
      </w:r>
      <w:r w:rsidR="00967C8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analysis of networked relationships between communities, and the </w:t>
      </w:r>
      <w:r w:rsidR="00B90F3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circulation </w:t>
      </w:r>
      <w:r w:rsidR="00967C8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of material culture</w:t>
      </w:r>
      <w:r w:rsidR="0013324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967C8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and technological knowledge</w:t>
      </w:r>
      <w:r w:rsidR="00626A1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5D4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BCD494" w14:textId="3B799886" w:rsidR="00D53F69" w:rsidRPr="00E5421B" w:rsidRDefault="00D53F69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E5FDA" w14:textId="37B5CA93" w:rsidR="00E5709E" w:rsidRPr="00E5421B" w:rsidRDefault="00B90F32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identification of provenance, the low </w:t>
      </w:r>
      <w:r w:rsidR="004C703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availability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of published</w:t>
      </w:r>
      <w:r w:rsidR="00E914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MBA and LBA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703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Cycladic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sites is keenly felt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espite detailed macroscopic, petrographic and chemical </w:t>
      </w:r>
      <w:r w:rsidR="004C703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(WD-XRF)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analyses (Chapter 3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Appendices III-VII), lack of comparative data precludes the association of many </w:t>
      </w:r>
      <w:r w:rsidR="0055232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a large number of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fabric groups with likely production </w:t>
      </w:r>
      <w:r w:rsidR="00C6494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unit</w:t>
      </w:r>
      <w:r w:rsidR="00475D5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; similarly so, several Cretan subtypes.</w:t>
      </w:r>
      <w:r w:rsidR="006640E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Nevertheless, it is still possible to identify 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diverse </w:t>
      </w:r>
      <w:r w:rsidR="0055232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interactions at multiple scales subsuming </w:t>
      </w:r>
      <w:r w:rsidR="006640E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various</w:t>
      </w:r>
      <w:r w:rsidR="0055232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Aegean 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producers</w:t>
      </w:r>
      <w:r w:rsidR="0055232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 and c</w:t>
      </w:r>
      <w:r w:rsidR="0053317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onsumption pattern</w:t>
      </w:r>
      <w:r w:rsidR="0055232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53317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House B which </w:t>
      </w:r>
      <w:r w:rsidR="001C6EB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echo</w:t>
      </w:r>
      <w:r w:rsidR="0053317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those of the wider community</w:t>
      </w:r>
      <w:r w:rsidR="00A62DA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DDE4E07" w14:textId="23067512" w:rsidR="00E5709E" w:rsidRPr="00E5421B" w:rsidRDefault="00E5709E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CDB7AE" w14:textId="7A29A314" w:rsidR="008A1B51" w:rsidRPr="00E5421B" w:rsidRDefault="00384EEB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Much of the earl</w:t>
      </w:r>
      <w:r w:rsidR="000906B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LBA (Period VI) pottery is </w:t>
      </w:r>
      <w:r w:rsidR="00EC79D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locally</w:t>
      </w:r>
      <w:r w:rsidR="005055C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79D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nufactured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EC79D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f the imports, around a quarter come from Melos or Thera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sources still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indistinguishable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C5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petrographically</w:t>
      </w:r>
      <w:r w:rsidR="00552B5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despite best efforts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; o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 Cycladic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producers 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contribute roughly the same number of vessels as those on the Greek mainland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ost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latter probably reaching Ayia Irini via micro-regional networks </w:t>
      </w:r>
      <w:r w:rsidR="000C39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permeating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Attica and/or Euboea (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199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201). Cretan products 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comprise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roughly half the number again</w:t>
      </w:r>
      <w:r w:rsidR="00084E5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A50D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E5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chang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4A50D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fabric types 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signpost</w:t>
      </w:r>
      <w:r w:rsidR="00552B5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4F21BA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06B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modification of </w:t>
      </w:r>
      <w:r w:rsidR="004A50D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relationships </w:t>
      </w:r>
      <w:r w:rsidR="000906B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maintained by </w:t>
      </w:r>
      <w:r w:rsidR="00B841F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Ayia Irini with 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producers</w:t>
      </w:r>
      <w:r w:rsidR="00734CC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</w:t>
      </w:r>
      <w:r w:rsidR="004A50D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the </w:t>
      </w:r>
      <w:r w:rsidR="00552B5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following</w:t>
      </w:r>
      <w:r w:rsidR="004A50D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period (VII)</w:t>
      </w:r>
      <w:r w:rsidR="00E73FB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906B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over</w:t>
      </w:r>
      <w:r w:rsidR="00E73FB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half of </w:t>
      </w:r>
      <w:r w:rsidR="000906B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Area B imports </w:t>
      </w:r>
      <w:r w:rsidR="00E73FB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come from the Greek mainland and the </w:t>
      </w:r>
      <w:r w:rsidR="008278A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Saronic </w:t>
      </w:r>
      <w:r w:rsidR="00E73FB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island of Aegina—</w:t>
      </w:r>
      <w:r w:rsidR="008278A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then </w:t>
      </w:r>
      <w:r w:rsidR="00E73FB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major production centre. </w:t>
      </w:r>
      <w:r w:rsidR="00552B5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Cycladic imports represent</w:t>
      </w:r>
      <w:r w:rsidR="00E73FB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around a fifth of the total; </w:t>
      </w:r>
      <w:r w:rsidR="00552B5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Cretan</w:t>
      </w:r>
      <w:r w:rsidR="00E73FB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 less than a tenth.</w:t>
      </w:r>
      <w:r w:rsidR="008A1B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8B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At the same time, l</w:t>
      </w:r>
      <w:r w:rsidR="008A1B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ocal production on Kea </w:t>
      </w:r>
      <w:r w:rsidR="00FB016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itself </w:t>
      </w:r>
      <w:r w:rsidR="008A1B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perhaps becomes more complex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A1B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02E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reflecting</w:t>
      </w:r>
      <w:r w:rsidR="008A1B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8B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 wider</w:t>
      </w:r>
      <w:r w:rsidR="008A1B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Aegean trend toward the intensification of regional production, ceramic commercialisation and longer-distance exchange (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1B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223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A1B5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226). </w:t>
      </w:r>
    </w:p>
    <w:p w14:paraId="62FB32CD" w14:textId="180C5339" w:rsidR="00B90F32" w:rsidRPr="00E5421B" w:rsidRDefault="00B90F32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411B3E" w14:textId="711B8D37" w:rsidR="00B6294F" w:rsidRPr="00E5421B" w:rsidRDefault="00B6294F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Technically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 Keian p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roduction 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appear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rather conservative,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characterised by homogeneity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use of particular raw materials, processing activities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firing practices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across 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shape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ware categories, and a remarkable technological stability 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through the MBA and LBA 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82D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150)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4CC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Vessel f</w:t>
      </w: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orming techniques appear to vary not as a function of </w:t>
      </w:r>
      <w:r w:rsidR="00734CC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social or cultural norms, but simply as the result of individual choices taken about how best to do things (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pp. </w:t>
      </w:r>
      <w:r w:rsidR="00734CC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203, 223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34CC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224). Even the potter’s wheel, arriving in the Cyclades first via MBA Cretan networks</w:t>
      </w:r>
      <w:r w:rsidR="006A1F1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initially associated explicitly </w:t>
      </w:r>
      <w:r w:rsidR="00FE53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 w:rsidR="006A1F11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Minoan or Minoanising shapes, </w:t>
      </w:r>
      <w:r w:rsidR="005E4CB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generations 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may have </w:t>
      </w:r>
      <w:r w:rsidR="004502C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been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reframed </w:t>
      </w:r>
      <w:r w:rsidR="005E4CB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local technology </w:t>
      </w:r>
      <w:r w:rsidR="00757AFB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in the minds of Keian producers</w:t>
      </w:r>
      <w:r w:rsidR="005E4CB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 who subsequently</w:t>
      </w:r>
      <w:r w:rsidR="008D12D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4CB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adopted it for</w:t>
      </w:r>
      <w:r w:rsidR="00D7316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wheel-coiled and wheel-thrown</w:t>
      </w:r>
      <w:r w:rsidR="005E4CB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production of a</w:t>
      </w:r>
      <w:r w:rsidR="00BD2CF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expanded </w:t>
      </w:r>
      <w:r w:rsidR="000078A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pottery </w:t>
      </w:r>
      <w:r w:rsidR="00BD2CF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repertoire</w:t>
      </w:r>
      <w:r w:rsidR="005E4CB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2711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Ayia Irini has, of course, contributed much to discussion of ‘Minoanisation’ in the Cyclades</w:t>
      </w:r>
      <w:r w:rsidR="00595CC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2711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617CA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process </w:t>
      </w:r>
      <w:r w:rsidR="00617CA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of</w:t>
      </w:r>
      <w:r w:rsidR="00B2711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CC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engagement of </w:t>
      </w:r>
      <w:r w:rsidR="00B2711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island communities with </w:t>
      </w:r>
      <w:r w:rsidR="005E4CB9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Cretan ideas, technologies and material culture</w:t>
      </w:r>
      <w:r w:rsidR="00FE53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711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53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95CC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he theme</w:t>
      </w:r>
      <w:r w:rsidR="00C473B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0E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is woven</w:t>
      </w:r>
      <w:r w:rsidR="00595CC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711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throughout</w:t>
      </w:r>
      <w:r w:rsidR="000E2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816D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House B</w:t>
      </w:r>
      <w:r w:rsidR="006640E6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1816D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ffer</w:t>
      </w:r>
      <w:r w:rsidR="000E26D2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1816D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further </w:t>
      </w:r>
      <w:r w:rsidR="001816D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perspective on the </w:t>
      </w:r>
      <w:r w:rsidR="009D4C4C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equilibrium </w:t>
      </w:r>
      <w:r w:rsidR="001816D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6D44B8">
        <w:rPr>
          <w:rFonts w:ascii="Times New Roman" w:hAnsi="Times New Roman" w:cs="Times New Roman"/>
          <w:sz w:val="24"/>
          <w:szCs w:val="24"/>
          <w:shd w:val="clear" w:color="auto" w:fill="FFFFFF"/>
        </w:rPr>
        <w:t>local and non-local</w:t>
      </w:r>
      <w:r w:rsidR="001816D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6D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practices</w:t>
      </w:r>
      <w:r w:rsidR="000E2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within the settlement</w:t>
      </w:r>
      <w:r w:rsidR="005C438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392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those engaged in them</w:t>
      </w:r>
      <w:r w:rsidR="001816D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7114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39EA14" w14:textId="04D5E5C0" w:rsidR="008A7331" w:rsidRPr="00E5421B" w:rsidRDefault="008A7331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B3F543" w14:textId="3FCEC47F" w:rsidR="00AA3C5E" w:rsidRPr="00E5421B" w:rsidRDefault="009D4C4C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A3C5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bell achieves a</w:t>
      </w:r>
      <w:r w:rsidR="00C473B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CC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valuable, </w:t>
      </w:r>
      <w:r w:rsidR="00C473B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detailed and methodical </w:t>
      </w:r>
      <w:r w:rsidR="00FE53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r w:rsidR="001816D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 destined for endless revisitation</w:t>
      </w:r>
      <w:r w:rsidR="00C473B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B602C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473B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602C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narrative summary (Chapter 8) spotlighting Ayia Irini on the Aegean stage provides the easiest </w:t>
      </w:r>
      <w:r w:rsidR="0040164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entry </w:t>
      </w:r>
      <w:r w:rsidR="00EB602C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point for those unfamiliar with the site,</w:t>
      </w:r>
      <w:r w:rsidR="00BF6C0C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EB602C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complex ceramic landscape of the Bronze Age Aegean</w:t>
      </w:r>
      <w:r w:rsidR="00573FB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164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though total newcomers are likely to meet with a challenge; </w:t>
      </w:r>
      <w:r w:rsidR="00FE53D0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Area B </w:t>
      </w:r>
      <w:r w:rsidR="00D15736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446C8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, unapologetically,</w:t>
      </w:r>
      <w:r w:rsidR="00AA3C5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ceramicists first, and all </w:t>
      </w:r>
      <w:r w:rsidR="00740FD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others second</w:t>
      </w:r>
      <w:r w:rsidR="00595CC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. Nor is it the story of House B as much as that of Ayia Irini’s community</w:t>
      </w:r>
      <w:r w:rsidR="0040164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; t</w:t>
      </w:r>
      <w:r w:rsidR="00446C8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activities </w:t>
      </w:r>
      <w:r w:rsidR="00DF20D8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595CC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House B</w:t>
      </w:r>
      <w:r w:rsidR="0040164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4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proving </w:t>
      </w:r>
      <w:r w:rsidR="00AA3C5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secondary to those</w:t>
      </w:r>
      <w:r w:rsidR="00446C87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r w:rsidR="00FE53D0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larger </w:t>
      </w:r>
      <w:r w:rsidR="00AA3C5E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chaine opératoire</w:t>
      </w:r>
      <w:r w:rsidR="008E143E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</w:t>
      </w:r>
      <w:r w:rsidR="00942555" w:rsidRPr="00E542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42555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of pottery production and exchange</w:t>
      </w:r>
      <w:r w:rsidR="004C77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CC2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64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A3C5E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>identity of House B</w:t>
      </w:r>
      <w:r w:rsidR="0040164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its occupants, </w:t>
      </w:r>
      <w:r w:rsidR="006D44B8">
        <w:rPr>
          <w:rFonts w:ascii="Times New Roman" w:hAnsi="Times New Roman" w:cs="Times New Roman"/>
          <w:sz w:val="24"/>
          <w:szCs w:val="24"/>
          <w:shd w:val="clear" w:color="auto" w:fill="FFFFFF"/>
        </w:rPr>
        <w:t>realised only indirectly, as part of the larger whole.</w:t>
      </w:r>
      <w:r w:rsidR="0040164F" w:rsidRPr="00E54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67CC">
        <w:rPr>
          <w:rFonts w:ascii="Times New Roman" w:hAnsi="Times New Roman" w:cs="Times New Roman"/>
          <w:sz w:val="24"/>
          <w:szCs w:val="24"/>
          <w:shd w:val="clear" w:color="auto" w:fill="FFFFFF"/>
        </w:rPr>
        <w:t>The difficult record has surely proved limiting in this regard, though p</w:t>
      </w:r>
      <w:r w:rsidR="00DE59EC">
        <w:rPr>
          <w:rFonts w:ascii="Times New Roman" w:hAnsi="Times New Roman" w:cs="Times New Roman"/>
          <w:sz w:val="24"/>
          <w:szCs w:val="24"/>
          <w:shd w:val="clear" w:color="auto" w:fill="FFFFFF"/>
        </w:rPr>
        <w:t>erhaps</w:t>
      </w:r>
      <w:r w:rsidR="008F7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67CC">
        <w:rPr>
          <w:rFonts w:ascii="Times New Roman" w:hAnsi="Times New Roman" w:cs="Times New Roman"/>
          <w:sz w:val="24"/>
          <w:szCs w:val="24"/>
          <w:shd w:val="clear" w:color="auto" w:fill="FFFFFF"/>
        </w:rPr>
        <w:t>to no great disadvantage, when such</w:t>
      </w:r>
      <w:r w:rsidR="00DE5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interesting stor</w:t>
      </w:r>
      <w:r w:rsidR="008F7382">
        <w:rPr>
          <w:rFonts w:ascii="Times New Roman" w:hAnsi="Times New Roman" w:cs="Times New Roman"/>
          <w:sz w:val="24"/>
          <w:szCs w:val="24"/>
          <w:shd w:val="clear" w:color="auto" w:fill="FFFFFF"/>
        </w:rPr>
        <w:t>ies were</w:t>
      </w:r>
      <w:r w:rsidR="00DE5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being played out a</w:t>
      </w:r>
      <w:r w:rsidR="008F738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E5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scale.</w:t>
      </w:r>
    </w:p>
    <w:p w14:paraId="1CDB9A32" w14:textId="78D4C34F" w:rsidR="008A7331" w:rsidRPr="00E5421B" w:rsidRDefault="008A7331" w:rsidP="00E54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B12E5C" w14:textId="114C7703" w:rsidR="008D7A3C" w:rsidRPr="00E5421B" w:rsidRDefault="008D7A3C" w:rsidP="00E54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8C6E4" w14:textId="365B0FF4" w:rsidR="00F24962" w:rsidRPr="00D65A26" w:rsidRDefault="00F24962" w:rsidP="00D65A26">
      <w:pPr>
        <w:spacing w:line="360" w:lineRule="auto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D65A26">
        <w:rPr>
          <w:rFonts w:ascii="Times New Roman" w:hAnsi="Times New Roman" w:cs="Times New Roman"/>
          <w:smallCaps/>
          <w:sz w:val="24"/>
          <w:szCs w:val="24"/>
        </w:rPr>
        <w:t>David Michael Smith</w:t>
      </w:r>
    </w:p>
    <w:p w14:paraId="499D4B44" w14:textId="77777777" w:rsidR="00F24962" w:rsidRPr="00E5421B" w:rsidRDefault="00F24962" w:rsidP="00D65A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1B">
        <w:rPr>
          <w:rFonts w:ascii="Times New Roman" w:hAnsi="Times New Roman" w:cs="Times New Roman"/>
          <w:sz w:val="24"/>
          <w:szCs w:val="24"/>
        </w:rPr>
        <w:t xml:space="preserve">Department of Archaeology, Classics and Egyptology, </w:t>
      </w:r>
    </w:p>
    <w:p w14:paraId="220AA9B1" w14:textId="7B95C0FC" w:rsidR="00125618" w:rsidRDefault="00F24962" w:rsidP="00D65A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21B">
        <w:rPr>
          <w:rFonts w:ascii="Times New Roman" w:hAnsi="Times New Roman" w:cs="Times New Roman"/>
          <w:sz w:val="24"/>
          <w:szCs w:val="24"/>
        </w:rPr>
        <w:t>University of Liverpool</w:t>
      </w:r>
      <w:r w:rsidR="009D4C4C" w:rsidRPr="00E5421B">
        <w:rPr>
          <w:rFonts w:ascii="Times New Roman" w:hAnsi="Times New Roman" w:cs="Times New Roman"/>
          <w:sz w:val="24"/>
          <w:szCs w:val="24"/>
        </w:rPr>
        <w:t>, UK.</w:t>
      </w:r>
      <w:r w:rsidR="004C7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97A89" w14:textId="795E371D" w:rsidR="00D65A26" w:rsidRDefault="00D65A26" w:rsidP="00D65A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A26">
        <w:rPr>
          <w:rFonts w:ascii="Times New Roman" w:hAnsi="Times New Roman" w:cs="Times New Roman"/>
          <w:sz w:val="24"/>
          <w:szCs w:val="24"/>
        </w:rPr>
        <w:t>D.Michael.Smith@outlook.com</w:t>
      </w:r>
    </w:p>
    <w:sectPr w:rsidR="00D65A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66F1" w14:textId="77777777" w:rsidR="0007370D" w:rsidRDefault="0007370D" w:rsidP="00DD3C66">
      <w:pPr>
        <w:spacing w:after="0" w:line="240" w:lineRule="auto"/>
      </w:pPr>
      <w:r>
        <w:separator/>
      </w:r>
    </w:p>
  </w:endnote>
  <w:endnote w:type="continuationSeparator" w:id="0">
    <w:p w14:paraId="2344821C" w14:textId="77777777" w:rsidR="0007370D" w:rsidRDefault="0007370D" w:rsidP="00D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173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7A4E6" w14:textId="1FFB2432" w:rsidR="00DD3C66" w:rsidRDefault="00DD3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78B6B" w14:textId="77777777" w:rsidR="00DD3C66" w:rsidRDefault="00DD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F8B9" w14:textId="77777777" w:rsidR="0007370D" w:rsidRDefault="0007370D" w:rsidP="00DD3C66">
      <w:pPr>
        <w:spacing w:after="0" w:line="240" w:lineRule="auto"/>
      </w:pPr>
      <w:r>
        <w:separator/>
      </w:r>
    </w:p>
  </w:footnote>
  <w:footnote w:type="continuationSeparator" w:id="0">
    <w:p w14:paraId="21B53D7F" w14:textId="77777777" w:rsidR="0007370D" w:rsidRDefault="0007370D" w:rsidP="00DD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124"/>
    <w:multiLevelType w:val="hybridMultilevel"/>
    <w:tmpl w:val="23C0F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9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62"/>
    <w:rsid w:val="0000388C"/>
    <w:rsid w:val="000078A0"/>
    <w:rsid w:val="00027037"/>
    <w:rsid w:val="000278CF"/>
    <w:rsid w:val="000342E8"/>
    <w:rsid w:val="000373FE"/>
    <w:rsid w:val="00037B72"/>
    <w:rsid w:val="00047136"/>
    <w:rsid w:val="000577F9"/>
    <w:rsid w:val="00073144"/>
    <w:rsid w:val="0007370D"/>
    <w:rsid w:val="00074DC7"/>
    <w:rsid w:val="00084E5E"/>
    <w:rsid w:val="000906B8"/>
    <w:rsid w:val="00094A6C"/>
    <w:rsid w:val="000A0C82"/>
    <w:rsid w:val="000A3E60"/>
    <w:rsid w:val="000B30D9"/>
    <w:rsid w:val="000C392D"/>
    <w:rsid w:val="000D370B"/>
    <w:rsid w:val="000E26D2"/>
    <w:rsid w:val="000E2989"/>
    <w:rsid w:val="000E53F1"/>
    <w:rsid w:val="000F5137"/>
    <w:rsid w:val="001016DA"/>
    <w:rsid w:val="00102DE3"/>
    <w:rsid w:val="00105354"/>
    <w:rsid w:val="00105E67"/>
    <w:rsid w:val="00107DE5"/>
    <w:rsid w:val="00113B50"/>
    <w:rsid w:val="00115BD1"/>
    <w:rsid w:val="00117EEF"/>
    <w:rsid w:val="00120CAA"/>
    <w:rsid w:val="00125618"/>
    <w:rsid w:val="0012595F"/>
    <w:rsid w:val="001307CF"/>
    <w:rsid w:val="00132F41"/>
    <w:rsid w:val="00133244"/>
    <w:rsid w:val="00135B4F"/>
    <w:rsid w:val="00143927"/>
    <w:rsid w:val="00146C00"/>
    <w:rsid w:val="00146FD2"/>
    <w:rsid w:val="001503FB"/>
    <w:rsid w:val="00154507"/>
    <w:rsid w:val="0016138C"/>
    <w:rsid w:val="00161FA8"/>
    <w:rsid w:val="001708EF"/>
    <w:rsid w:val="001816DE"/>
    <w:rsid w:val="0018399C"/>
    <w:rsid w:val="001A0203"/>
    <w:rsid w:val="001A0447"/>
    <w:rsid w:val="001A058C"/>
    <w:rsid w:val="001A6A53"/>
    <w:rsid w:val="001B551A"/>
    <w:rsid w:val="001C209B"/>
    <w:rsid w:val="001C6EBE"/>
    <w:rsid w:val="001D383D"/>
    <w:rsid w:val="001E1883"/>
    <w:rsid w:val="001F1331"/>
    <w:rsid w:val="001F7919"/>
    <w:rsid w:val="00206DF0"/>
    <w:rsid w:val="00210615"/>
    <w:rsid w:val="002124D3"/>
    <w:rsid w:val="0021357C"/>
    <w:rsid w:val="002202ED"/>
    <w:rsid w:val="002224DF"/>
    <w:rsid w:val="00222605"/>
    <w:rsid w:val="00223F2D"/>
    <w:rsid w:val="00225FAD"/>
    <w:rsid w:val="002440A0"/>
    <w:rsid w:val="0024563D"/>
    <w:rsid w:val="00251136"/>
    <w:rsid w:val="0025670E"/>
    <w:rsid w:val="00257227"/>
    <w:rsid w:val="002576F9"/>
    <w:rsid w:val="00257A30"/>
    <w:rsid w:val="0026108C"/>
    <w:rsid w:val="00275F9B"/>
    <w:rsid w:val="00276AA2"/>
    <w:rsid w:val="00277F46"/>
    <w:rsid w:val="002A023E"/>
    <w:rsid w:val="002A0ADF"/>
    <w:rsid w:val="002A15BD"/>
    <w:rsid w:val="002A1616"/>
    <w:rsid w:val="002A3095"/>
    <w:rsid w:val="002A5136"/>
    <w:rsid w:val="002B1DAF"/>
    <w:rsid w:val="002B59F0"/>
    <w:rsid w:val="002C6838"/>
    <w:rsid w:val="002D21C9"/>
    <w:rsid w:val="002D4644"/>
    <w:rsid w:val="002D6C6D"/>
    <w:rsid w:val="002E438A"/>
    <w:rsid w:val="002F2148"/>
    <w:rsid w:val="003161F9"/>
    <w:rsid w:val="00320112"/>
    <w:rsid w:val="00322349"/>
    <w:rsid w:val="0033365F"/>
    <w:rsid w:val="00336ED9"/>
    <w:rsid w:val="0034326A"/>
    <w:rsid w:val="003552FA"/>
    <w:rsid w:val="00355C28"/>
    <w:rsid w:val="00356960"/>
    <w:rsid w:val="0036351E"/>
    <w:rsid w:val="0038009A"/>
    <w:rsid w:val="00384EEB"/>
    <w:rsid w:val="003851D2"/>
    <w:rsid w:val="0039658B"/>
    <w:rsid w:val="003B4759"/>
    <w:rsid w:val="003B6278"/>
    <w:rsid w:val="003C0487"/>
    <w:rsid w:val="003D7E6C"/>
    <w:rsid w:val="003E547D"/>
    <w:rsid w:val="003E6329"/>
    <w:rsid w:val="003E669A"/>
    <w:rsid w:val="0040164F"/>
    <w:rsid w:val="00407BD8"/>
    <w:rsid w:val="00415B16"/>
    <w:rsid w:val="0042234B"/>
    <w:rsid w:val="0042494D"/>
    <w:rsid w:val="004274A1"/>
    <w:rsid w:val="004307BD"/>
    <w:rsid w:val="0043296E"/>
    <w:rsid w:val="00435634"/>
    <w:rsid w:val="00446C87"/>
    <w:rsid w:val="004502C8"/>
    <w:rsid w:val="00451BEB"/>
    <w:rsid w:val="004526C8"/>
    <w:rsid w:val="00453E13"/>
    <w:rsid w:val="00455D4A"/>
    <w:rsid w:val="004606C9"/>
    <w:rsid w:val="00475D5E"/>
    <w:rsid w:val="004816C1"/>
    <w:rsid w:val="00481A27"/>
    <w:rsid w:val="004821ED"/>
    <w:rsid w:val="0048398D"/>
    <w:rsid w:val="00484A72"/>
    <w:rsid w:val="00494AE6"/>
    <w:rsid w:val="00496EA0"/>
    <w:rsid w:val="004A50D4"/>
    <w:rsid w:val="004A7259"/>
    <w:rsid w:val="004A7DBF"/>
    <w:rsid w:val="004B0236"/>
    <w:rsid w:val="004B4F9A"/>
    <w:rsid w:val="004C07E5"/>
    <w:rsid w:val="004C46A7"/>
    <w:rsid w:val="004C7035"/>
    <w:rsid w:val="004C7793"/>
    <w:rsid w:val="004E1F46"/>
    <w:rsid w:val="004F21BA"/>
    <w:rsid w:val="004F597A"/>
    <w:rsid w:val="005055C9"/>
    <w:rsid w:val="00505DE4"/>
    <w:rsid w:val="0050685F"/>
    <w:rsid w:val="00527D96"/>
    <w:rsid w:val="00533177"/>
    <w:rsid w:val="005357F2"/>
    <w:rsid w:val="00552325"/>
    <w:rsid w:val="00552B56"/>
    <w:rsid w:val="00556FD1"/>
    <w:rsid w:val="0057060C"/>
    <w:rsid w:val="00573FB8"/>
    <w:rsid w:val="00576D1D"/>
    <w:rsid w:val="00577EFC"/>
    <w:rsid w:val="00582BD0"/>
    <w:rsid w:val="00590BA9"/>
    <w:rsid w:val="00592901"/>
    <w:rsid w:val="00595CC2"/>
    <w:rsid w:val="005B5452"/>
    <w:rsid w:val="005B76B8"/>
    <w:rsid w:val="005C2C9F"/>
    <w:rsid w:val="005C4382"/>
    <w:rsid w:val="005D2DEA"/>
    <w:rsid w:val="005D5BC5"/>
    <w:rsid w:val="005E06CB"/>
    <w:rsid w:val="005E0F13"/>
    <w:rsid w:val="005E2B6A"/>
    <w:rsid w:val="005E4CB9"/>
    <w:rsid w:val="005E582F"/>
    <w:rsid w:val="006129F6"/>
    <w:rsid w:val="00614321"/>
    <w:rsid w:val="00614BEC"/>
    <w:rsid w:val="00617CA8"/>
    <w:rsid w:val="0062090E"/>
    <w:rsid w:val="00623460"/>
    <w:rsid w:val="00624342"/>
    <w:rsid w:val="00626928"/>
    <w:rsid w:val="00626A19"/>
    <w:rsid w:val="00630330"/>
    <w:rsid w:val="00646988"/>
    <w:rsid w:val="006472B8"/>
    <w:rsid w:val="0064731F"/>
    <w:rsid w:val="006541DC"/>
    <w:rsid w:val="00657B69"/>
    <w:rsid w:val="00663047"/>
    <w:rsid w:val="006640E6"/>
    <w:rsid w:val="00676BF3"/>
    <w:rsid w:val="006849DB"/>
    <w:rsid w:val="006A1251"/>
    <w:rsid w:val="006A1F11"/>
    <w:rsid w:val="006B40CE"/>
    <w:rsid w:val="006C0A29"/>
    <w:rsid w:val="006C2B21"/>
    <w:rsid w:val="006C79F8"/>
    <w:rsid w:val="006D44B8"/>
    <w:rsid w:val="006E1A55"/>
    <w:rsid w:val="006E49F8"/>
    <w:rsid w:val="006F0A9F"/>
    <w:rsid w:val="00707E4D"/>
    <w:rsid w:val="00712C4F"/>
    <w:rsid w:val="00730DB1"/>
    <w:rsid w:val="0073466C"/>
    <w:rsid w:val="00734CCE"/>
    <w:rsid w:val="00740FD7"/>
    <w:rsid w:val="007438E1"/>
    <w:rsid w:val="00750585"/>
    <w:rsid w:val="00753159"/>
    <w:rsid w:val="007557EB"/>
    <w:rsid w:val="00757AFB"/>
    <w:rsid w:val="007638C2"/>
    <w:rsid w:val="00773B6D"/>
    <w:rsid w:val="00773E27"/>
    <w:rsid w:val="00774842"/>
    <w:rsid w:val="007A43D4"/>
    <w:rsid w:val="007C5710"/>
    <w:rsid w:val="007C6261"/>
    <w:rsid w:val="007C6C13"/>
    <w:rsid w:val="007D3E32"/>
    <w:rsid w:val="007E27DE"/>
    <w:rsid w:val="007E2C73"/>
    <w:rsid w:val="007E451F"/>
    <w:rsid w:val="007E7192"/>
    <w:rsid w:val="007F3015"/>
    <w:rsid w:val="007F33E8"/>
    <w:rsid w:val="008026D4"/>
    <w:rsid w:val="00810348"/>
    <w:rsid w:val="0081670F"/>
    <w:rsid w:val="00817D40"/>
    <w:rsid w:val="0082649F"/>
    <w:rsid w:val="0082771B"/>
    <w:rsid w:val="008278A5"/>
    <w:rsid w:val="00847A42"/>
    <w:rsid w:val="00854A55"/>
    <w:rsid w:val="008551FE"/>
    <w:rsid w:val="00856B83"/>
    <w:rsid w:val="00864313"/>
    <w:rsid w:val="0088780C"/>
    <w:rsid w:val="008A1B51"/>
    <w:rsid w:val="008A21F7"/>
    <w:rsid w:val="008A7331"/>
    <w:rsid w:val="008B3FE8"/>
    <w:rsid w:val="008C6555"/>
    <w:rsid w:val="008D0F1E"/>
    <w:rsid w:val="008D12D9"/>
    <w:rsid w:val="008D345E"/>
    <w:rsid w:val="008D47B3"/>
    <w:rsid w:val="008D7A3C"/>
    <w:rsid w:val="008E1306"/>
    <w:rsid w:val="008E143E"/>
    <w:rsid w:val="008E2E8C"/>
    <w:rsid w:val="008E7065"/>
    <w:rsid w:val="008F28BB"/>
    <w:rsid w:val="008F7382"/>
    <w:rsid w:val="009268B1"/>
    <w:rsid w:val="009338C2"/>
    <w:rsid w:val="00936B3B"/>
    <w:rsid w:val="00937ED8"/>
    <w:rsid w:val="00940BE8"/>
    <w:rsid w:val="00942555"/>
    <w:rsid w:val="00947990"/>
    <w:rsid w:val="009526F9"/>
    <w:rsid w:val="00957644"/>
    <w:rsid w:val="0096529A"/>
    <w:rsid w:val="00965B67"/>
    <w:rsid w:val="00967C85"/>
    <w:rsid w:val="009724A7"/>
    <w:rsid w:val="009731F2"/>
    <w:rsid w:val="00977BB9"/>
    <w:rsid w:val="00977E16"/>
    <w:rsid w:val="009862B5"/>
    <w:rsid w:val="009C01A6"/>
    <w:rsid w:val="009C195B"/>
    <w:rsid w:val="009D2A26"/>
    <w:rsid w:val="009D4C4C"/>
    <w:rsid w:val="009D52E3"/>
    <w:rsid w:val="009D5699"/>
    <w:rsid w:val="009E74BE"/>
    <w:rsid w:val="009F1450"/>
    <w:rsid w:val="009F2510"/>
    <w:rsid w:val="009F29D9"/>
    <w:rsid w:val="009F5683"/>
    <w:rsid w:val="00A04A5B"/>
    <w:rsid w:val="00A10A05"/>
    <w:rsid w:val="00A13424"/>
    <w:rsid w:val="00A24ECF"/>
    <w:rsid w:val="00A413B0"/>
    <w:rsid w:val="00A4423C"/>
    <w:rsid w:val="00A47262"/>
    <w:rsid w:val="00A47CC8"/>
    <w:rsid w:val="00A5543E"/>
    <w:rsid w:val="00A57CC7"/>
    <w:rsid w:val="00A62DAD"/>
    <w:rsid w:val="00A644CF"/>
    <w:rsid w:val="00A7091D"/>
    <w:rsid w:val="00A90B79"/>
    <w:rsid w:val="00A94267"/>
    <w:rsid w:val="00AA3C5E"/>
    <w:rsid w:val="00AA3F51"/>
    <w:rsid w:val="00AA4780"/>
    <w:rsid w:val="00AA6120"/>
    <w:rsid w:val="00AB0F4E"/>
    <w:rsid w:val="00AB2D17"/>
    <w:rsid w:val="00AB4DAE"/>
    <w:rsid w:val="00AC2DAF"/>
    <w:rsid w:val="00AD5EA3"/>
    <w:rsid w:val="00AF5B82"/>
    <w:rsid w:val="00B02756"/>
    <w:rsid w:val="00B02BD5"/>
    <w:rsid w:val="00B0331F"/>
    <w:rsid w:val="00B21819"/>
    <w:rsid w:val="00B2260D"/>
    <w:rsid w:val="00B267CC"/>
    <w:rsid w:val="00B27114"/>
    <w:rsid w:val="00B279EC"/>
    <w:rsid w:val="00B40907"/>
    <w:rsid w:val="00B417C6"/>
    <w:rsid w:val="00B6294F"/>
    <w:rsid w:val="00B630E4"/>
    <w:rsid w:val="00B74730"/>
    <w:rsid w:val="00B762D9"/>
    <w:rsid w:val="00B841FD"/>
    <w:rsid w:val="00B90F32"/>
    <w:rsid w:val="00B95685"/>
    <w:rsid w:val="00BA0861"/>
    <w:rsid w:val="00BB4776"/>
    <w:rsid w:val="00BB735E"/>
    <w:rsid w:val="00BC31CC"/>
    <w:rsid w:val="00BC65E9"/>
    <w:rsid w:val="00BC68F6"/>
    <w:rsid w:val="00BD1514"/>
    <w:rsid w:val="00BD2CFF"/>
    <w:rsid w:val="00BD401F"/>
    <w:rsid w:val="00BE331F"/>
    <w:rsid w:val="00BF0352"/>
    <w:rsid w:val="00BF6C0C"/>
    <w:rsid w:val="00C01FAD"/>
    <w:rsid w:val="00C051D1"/>
    <w:rsid w:val="00C12135"/>
    <w:rsid w:val="00C23366"/>
    <w:rsid w:val="00C36DE3"/>
    <w:rsid w:val="00C473B5"/>
    <w:rsid w:val="00C57E5E"/>
    <w:rsid w:val="00C6408A"/>
    <w:rsid w:val="00C64945"/>
    <w:rsid w:val="00C7234E"/>
    <w:rsid w:val="00C72AF5"/>
    <w:rsid w:val="00C93ACD"/>
    <w:rsid w:val="00C96197"/>
    <w:rsid w:val="00CA05AB"/>
    <w:rsid w:val="00CA121C"/>
    <w:rsid w:val="00CA548B"/>
    <w:rsid w:val="00CB6CD1"/>
    <w:rsid w:val="00CD065C"/>
    <w:rsid w:val="00CE360B"/>
    <w:rsid w:val="00CF3216"/>
    <w:rsid w:val="00D02BA9"/>
    <w:rsid w:val="00D10866"/>
    <w:rsid w:val="00D15736"/>
    <w:rsid w:val="00D16C43"/>
    <w:rsid w:val="00D2091B"/>
    <w:rsid w:val="00D20D5C"/>
    <w:rsid w:val="00D401E7"/>
    <w:rsid w:val="00D41BF4"/>
    <w:rsid w:val="00D4318F"/>
    <w:rsid w:val="00D443CF"/>
    <w:rsid w:val="00D53F69"/>
    <w:rsid w:val="00D62D4B"/>
    <w:rsid w:val="00D63AE3"/>
    <w:rsid w:val="00D65A26"/>
    <w:rsid w:val="00D73169"/>
    <w:rsid w:val="00D77D5F"/>
    <w:rsid w:val="00D806EA"/>
    <w:rsid w:val="00D922F0"/>
    <w:rsid w:val="00D943B8"/>
    <w:rsid w:val="00D94FA6"/>
    <w:rsid w:val="00D9508B"/>
    <w:rsid w:val="00DA112E"/>
    <w:rsid w:val="00DA7262"/>
    <w:rsid w:val="00DC3F0F"/>
    <w:rsid w:val="00DD3C66"/>
    <w:rsid w:val="00DE36B3"/>
    <w:rsid w:val="00DE53C0"/>
    <w:rsid w:val="00DE59EC"/>
    <w:rsid w:val="00DE5DFA"/>
    <w:rsid w:val="00DF20D8"/>
    <w:rsid w:val="00E0085B"/>
    <w:rsid w:val="00E029F3"/>
    <w:rsid w:val="00E0307F"/>
    <w:rsid w:val="00E124D2"/>
    <w:rsid w:val="00E14650"/>
    <w:rsid w:val="00E20AA0"/>
    <w:rsid w:val="00E20B5D"/>
    <w:rsid w:val="00E5421B"/>
    <w:rsid w:val="00E5709E"/>
    <w:rsid w:val="00E60E7D"/>
    <w:rsid w:val="00E6427F"/>
    <w:rsid w:val="00E72539"/>
    <w:rsid w:val="00E73FB0"/>
    <w:rsid w:val="00E76D8F"/>
    <w:rsid w:val="00E9142D"/>
    <w:rsid w:val="00E9348F"/>
    <w:rsid w:val="00EA4D59"/>
    <w:rsid w:val="00EA53D1"/>
    <w:rsid w:val="00EB43D8"/>
    <w:rsid w:val="00EB602C"/>
    <w:rsid w:val="00EC2FDA"/>
    <w:rsid w:val="00EC5951"/>
    <w:rsid w:val="00EC79D6"/>
    <w:rsid w:val="00EE0039"/>
    <w:rsid w:val="00EE3663"/>
    <w:rsid w:val="00F011F5"/>
    <w:rsid w:val="00F01B71"/>
    <w:rsid w:val="00F044EE"/>
    <w:rsid w:val="00F23AF0"/>
    <w:rsid w:val="00F24962"/>
    <w:rsid w:val="00F2690D"/>
    <w:rsid w:val="00F2721F"/>
    <w:rsid w:val="00F32837"/>
    <w:rsid w:val="00F364E3"/>
    <w:rsid w:val="00F47B76"/>
    <w:rsid w:val="00F55EC0"/>
    <w:rsid w:val="00F62D78"/>
    <w:rsid w:val="00F65AD7"/>
    <w:rsid w:val="00F75EAE"/>
    <w:rsid w:val="00FA1639"/>
    <w:rsid w:val="00FA2E10"/>
    <w:rsid w:val="00FA482D"/>
    <w:rsid w:val="00FB0165"/>
    <w:rsid w:val="00FB4C09"/>
    <w:rsid w:val="00FC161D"/>
    <w:rsid w:val="00FC4ABC"/>
    <w:rsid w:val="00FD42AA"/>
    <w:rsid w:val="00FE0189"/>
    <w:rsid w:val="00FE1570"/>
    <w:rsid w:val="00FE53D0"/>
    <w:rsid w:val="00FF37BB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86AE"/>
  <w15:chartTrackingRefBased/>
  <w15:docId w15:val="{EB68B86A-ED90-4A94-9999-2B584F8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C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6C00"/>
    <w:rPr>
      <w:b/>
      <w:bCs/>
    </w:rPr>
  </w:style>
  <w:style w:type="paragraph" w:styleId="ListParagraph">
    <w:name w:val="List Paragraph"/>
    <w:basedOn w:val="Normal"/>
    <w:uiPriority w:val="34"/>
    <w:qFormat/>
    <w:rsid w:val="008D7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66"/>
  </w:style>
  <w:style w:type="paragraph" w:styleId="Footer">
    <w:name w:val="footer"/>
    <w:basedOn w:val="Normal"/>
    <w:link w:val="FooterChar"/>
    <w:uiPriority w:val="99"/>
    <w:unhideWhenUsed/>
    <w:rsid w:val="00DD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66"/>
  </w:style>
  <w:style w:type="paragraph" w:styleId="Revision">
    <w:name w:val="Revision"/>
    <w:hidden/>
    <w:uiPriority w:val="99"/>
    <w:semiHidden/>
    <w:rsid w:val="002511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dcterms:created xsi:type="dcterms:W3CDTF">2023-04-06T15:55:00Z</dcterms:created>
  <dcterms:modified xsi:type="dcterms:W3CDTF">2023-04-06T15:55:00Z</dcterms:modified>
</cp:coreProperties>
</file>