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04D2" w14:textId="699B82A7" w:rsidR="00875891" w:rsidRDefault="002B458C" w:rsidP="000E334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WRIGHT (M. E.) </w:t>
      </w:r>
      <w:r w:rsidR="00120379" w:rsidRPr="00875891">
        <w:rPr>
          <w:rFonts w:asciiTheme="majorBidi" w:hAnsiTheme="majorBidi" w:cstheme="majorBidi"/>
          <w:b/>
          <w:bCs/>
          <w:color w:val="000000"/>
          <w:bdr w:val="none" w:sz="0" w:space="0" w:color="auto" w:frame="1"/>
          <w:shd w:val="clear" w:color="auto" w:fill="FFFFFF"/>
        </w:rPr>
        <w:t>Mena</w:t>
      </w:r>
      <w:r w:rsidR="00120379" w:rsidRPr="00875891">
        <w:rPr>
          <w:rFonts w:asciiTheme="majorBidi" w:hAnsiTheme="majorBidi" w:cstheme="majorBidi"/>
          <w:b/>
          <w:bCs/>
          <w:color w:val="000000"/>
          <w:bdr w:val="none" w:sz="0" w:space="0" w:color="auto" w:frame="1"/>
        </w:rPr>
        <w:t>n</w:t>
      </w:r>
      <w:r w:rsidR="00120379" w:rsidRPr="00875891">
        <w:rPr>
          <w:rFonts w:asciiTheme="majorBidi" w:hAnsiTheme="majorBidi" w:cstheme="majorBidi"/>
          <w:b/>
          <w:bCs/>
          <w:color w:val="000000"/>
          <w:bdr w:val="none" w:sz="0" w:space="0" w:color="auto" w:frame="1"/>
          <w:shd w:val="clear" w:color="auto" w:fill="FFFFFF"/>
        </w:rPr>
        <w:t xml:space="preserve">der: </w:t>
      </w:r>
      <w:r w:rsidR="00120379" w:rsidRPr="000E3347">
        <w:rPr>
          <w:rFonts w:asciiTheme="majorBidi" w:hAnsiTheme="majorBidi" w:cstheme="majorBidi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Sami</w:t>
      </w:r>
      <w:r w:rsidRPr="000E3347">
        <w:rPr>
          <w:rFonts w:asciiTheme="majorBidi" w:hAnsiTheme="majorBidi" w:cstheme="majorBidi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a</w:t>
      </w:r>
      <w:r w:rsidRPr="00875891">
        <w:rPr>
          <w:rFonts w:asciiTheme="majorBidi" w:hAnsiTheme="majorBidi" w:cstheme="majorBid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(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Bloo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</w:rPr>
        <w:t>m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sbury </w:t>
      </w:r>
      <w:r w:rsidR="00875891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A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ncient </w:t>
      </w:r>
      <w:r w:rsidR="00875891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C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omedy </w:t>
      </w:r>
      <w:r w:rsidR="00875891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C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ompanions</w:t>
      </w:r>
      <w:r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). 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Lond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</w:rPr>
        <w:t>o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n</w:t>
      </w:r>
      <w:r w:rsidR="00875891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,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New York:</w:t>
      </w:r>
      <w:r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</w:t>
      </w:r>
      <w:r w:rsidR="00120379"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Bloomsbury Academic, 2021.</w:t>
      </w:r>
      <w:r w:rsidRPr="00875891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Pp. vii + 166. £17.99.</w:t>
      </w:r>
      <w:r w:rsidRPr="00875891">
        <w:rPr>
          <w:rFonts w:asciiTheme="majorBidi" w:hAnsiTheme="majorBidi" w:cstheme="majorBidi"/>
          <w:color w:val="000000"/>
        </w:rPr>
        <w:t xml:space="preserve"> </w:t>
      </w:r>
      <w:r w:rsidRPr="00875891">
        <w:rPr>
          <w:rFonts w:asciiTheme="majorBidi" w:hAnsiTheme="majorBidi" w:cstheme="majorBidi"/>
          <w:color w:val="000000"/>
          <w:bdr w:val="none" w:sz="0" w:space="0" w:color="auto" w:frame="1"/>
        </w:rPr>
        <w:t>9781350124769.</w:t>
      </w:r>
    </w:p>
    <w:p w14:paraId="0DF028AC" w14:textId="77777777" w:rsidR="000E3347" w:rsidRPr="00875891" w:rsidRDefault="000E3347" w:rsidP="000E334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</w:p>
    <w:p w14:paraId="06E503FE" w14:textId="387EE3BB" w:rsidR="000E3347" w:rsidRDefault="00DF0D32" w:rsidP="000E3347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For this series, and the volume on Menander’s </w:t>
      </w:r>
      <w:r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 xml:space="preserve">Epitrepontes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in it</w:t>
      </w:r>
      <w:r w:rsidR="008B760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(also published 2021)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, see my review</w:t>
      </w:r>
      <w:r w:rsidR="00A92B94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 xml:space="preserve">ExClas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25</w:t>
      </w:r>
      <w:r w:rsidR="00053DD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2021</w:t>
      </w:r>
      <w:r w:rsidR="00053DD1">
        <w:rPr>
          <w:rFonts w:asciiTheme="majorBidi" w:hAnsiTheme="majorBidi" w:cstheme="majorBidi"/>
          <w:color w:val="000000"/>
          <w:bdr w:val="none" w:sz="0" w:space="0" w:color="auto" w:frame="1"/>
        </w:rPr>
        <w:t>,</w:t>
      </w:r>
      <w:r w:rsidR="00DF494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283-286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. </w:t>
      </w:r>
      <w:r w:rsidR="00181F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The </w:t>
      </w:r>
      <w:r w:rsidR="00181F82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Epitrepontes</w:t>
      </w:r>
      <w:r w:rsidR="00181F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volume has a single chapter devoted to the plot, followed by a number of thematic studies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. This volume, by contrast, is more simply, and rather deceptively, structured.</w:t>
      </w:r>
      <w:r w:rsidR="00071C9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>Menander’s</w:t>
      </w:r>
      <w:r w:rsidR="00071C9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071C96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Samia</w:t>
      </w:r>
      <w:r w:rsidR="00071C9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the object of this companion, is in five acts; </w:t>
      </w:r>
      <w:r w:rsidR="00181F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each act is assigned </w:t>
      </w:r>
      <w:r w:rsidR="00071C9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a chapter. </w:t>
      </w:r>
      <w:r w:rsidR="00181F82">
        <w:rPr>
          <w:rFonts w:asciiTheme="majorBidi" w:hAnsiTheme="majorBidi" w:cstheme="majorBidi"/>
          <w:color w:val="000000"/>
          <w:bdr w:val="none" w:sz="0" w:space="0" w:color="auto" w:frame="1"/>
        </w:rPr>
        <w:t>There are two drawbacks to this: first, it conceals the rich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>ne</w:t>
      </w:r>
      <w:r w:rsidR="00181F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ss of the book’s discussion, which might have been better signalled with listed subheadings; second, it results in certain issues being given rather short weight. 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Still, the book </w:t>
      </w:r>
      <w:r w:rsidR="00DF4941">
        <w:rPr>
          <w:rFonts w:asciiTheme="majorBidi" w:hAnsiTheme="majorBidi" w:cstheme="majorBidi"/>
          <w:color w:val="000000"/>
          <w:bdr w:val="none" w:sz="0" w:space="0" w:color="auto" w:frame="1"/>
        </w:rPr>
        <w:t>is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a fine </w:t>
      </w:r>
      <w:r w:rsidR="0096323C">
        <w:rPr>
          <w:rFonts w:asciiTheme="majorBidi" w:hAnsiTheme="majorBidi" w:cstheme="majorBidi"/>
          <w:color w:val="000000"/>
          <w:bdr w:val="none" w:sz="0" w:space="0" w:color="auto" w:frame="1"/>
        </w:rPr>
        <w:t>companion to a linear reading of the play</w:t>
      </w:r>
      <w:r w:rsidR="008B760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(its final words, ‘THE END’, are an icon of the interpretive strategy)</w:t>
      </w:r>
      <w:r w:rsidR="00C06F23">
        <w:rPr>
          <w:rFonts w:asciiTheme="majorBidi" w:hAnsiTheme="majorBidi" w:cstheme="majorBidi"/>
          <w:color w:val="000000"/>
          <w:bdr w:val="none" w:sz="0" w:space="0" w:color="auto" w:frame="1"/>
        </w:rPr>
        <w:t>; it can usefully be supplemented by the introduction to Sommerstein’s edition (</w:t>
      </w:r>
      <w:r w:rsidR="000E3347" w:rsidRPr="000E3347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 xml:space="preserve">Menander: </w:t>
      </w:r>
      <w:r w:rsidR="000E3347" w:rsidRPr="00760B7E">
        <w:rPr>
          <w:rFonts w:asciiTheme="majorBidi" w:hAnsiTheme="majorBidi" w:cstheme="majorBidi"/>
          <w:color w:val="000000"/>
          <w:bdr w:val="none" w:sz="0" w:space="0" w:color="auto" w:frame="1"/>
        </w:rPr>
        <w:t>Samia</w:t>
      </w:r>
      <w:r w:rsidR="000E3347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 w:rsidR="00C06F23">
        <w:rPr>
          <w:rFonts w:asciiTheme="majorBidi" w:hAnsiTheme="majorBidi" w:cstheme="majorBidi"/>
          <w:color w:val="000000"/>
          <w:bdr w:val="none" w:sz="0" w:space="0" w:color="auto" w:frame="1"/>
        </w:rPr>
        <w:t>Cambridge 2013).</w:t>
      </w:r>
    </w:p>
    <w:p w14:paraId="20B939D8" w14:textId="77777777" w:rsidR="000E3347" w:rsidRDefault="00181F82" w:rsidP="000E334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The omissions are not, as one might </w:t>
      </w:r>
      <w:r w:rsidR="008B7600">
        <w:rPr>
          <w:rFonts w:asciiTheme="majorBidi" w:hAnsiTheme="majorBidi" w:cstheme="majorBidi"/>
          <w:color w:val="000000"/>
          <w:bdr w:val="none" w:sz="0" w:space="0" w:color="auto" w:frame="1"/>
        </w:rPr>
        <w:t>perhaps have expected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the technical details: </w:t>
      </w:r>
      <w:r w:rsidR="00594CD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we get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a rough guide to metre (89-90)</w:t>
      </w:r>
      <w:r w:rsidR="00594CD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and an account of the appearance of papyri (104-105)</w:t>
      </w:r>
      <w:r w:rsidR="00267514">
        <w:rPr>
          <w:rFonts w:asciiTheme="majorBidi" w:hAnsiTheme="majorBidi" w:cstheme="majorBidi"/>
          <w:color w:val="000000"/>
          <w:bdr w:val="none" w:sz="0" w:space="0" w:color="auto" w:frame="1"/>
        </w:rPr>
        <w:t>; Pollux’s catalogue of masks is reproduced (15-17)</w:t>
      </w:r>
      <w:r w:rsidR="00594CD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. </w:t>
      </w:r>
      <w:r w:rsidR="00FF3B93">
        <w:rPr>
          <w:rFonts w:asciiTheme="majorBidi" w:hAnsiTheme="majorBidi" w:cstheme="majorBidi"/>
          <w:color w:val="000000"/>
          <w:bdr w:val="none" w:sz="0" w:space="0" w:color="auto" w:frame="1"/>
        </w:rPr>
        <w:t>The Bodmer and Cairo codices are introduced, albeit briefly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(7)</w:t>
      </w:r>
      <w:r w:rsidR="00FF3B93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as the ‘two stages’ of </w:t>
      </w:r>
      <w:r w:rsidR="00521725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Samia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>’s recovery;</w:t>
      </w:r>
      <w:r w:rsidR="00FF3B93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there is no account of the additional lines between 142 and 144 in P. Oxy. 2943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>. Even though they are fragmentary, they give an important impression of Moschion and Demeas’ interaction; they are an index of our papyri’s reliability</w:t>
      </w:r>
      <w:r w:rsidR="00B742F8">
        <w:rPr>
          <w:rFonts w:asciiTheme="majorBidi" w:hAnsiTheme="majorBidi" w:cstheme="majorBidi"/>
          <w:color w:val="000000"/>
          <w:bdr w:val="none" w:sz="0" w:space="0" w:color="auto" w:frame="1"/>
        </w:rPr>
        <w:t>; and they communicate the excitement of Menander’s text as a work-in-progress.</w:t>
      </w:r>
    </w:p>
    <w:p w14:paraId="0BE36FA9" w14:textId="33BE0BAD" w:rsidR="00053DD1" w:rsidRDefault="00594CD5" w:rsidP="005225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The difficulties inherent in reading Menander’s sometimes broken lines is illustrated with the play’s opening (12-13); yet this is not taken as a prompt to discuss </w:t>
      </w:r>
      <w:r w:rsidR="00FF3B93">
        <w:rPr>
          <w:rFonts w:asciiTheme="majorBidi" w:hAnsiTheme="majorBidi" w:cstheme="majorBidi"/>
          <w:color w:val="000000"/>
          <w:bdr w:val="none" w:sz="0" w:space="0" w:color="auto" w:frame="1"/>
        </w:rPr>
        <w:t>a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crucial </w:t>
      </w:r>
      <w:r w:rsidR="00FF3B93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(and </w:t>
      </w:r>
      <w:r w:rsidR="008B760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perhaps still </w:t>
      </w:r>
      <w:r w:rsidR="00FF3B93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controversial)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plot point, the ‘missing baby’ (see Sommerstein on 55-6). 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At 23-24 </w:t>
      </w:r>
      <w:r w:rsidR="00020BD0">
        <w:rPr>
          <w:rFonts w:asciiTheme="majorBidi" w:hAnsiTheme="majorBidi" w:cstheme="majorBidi"/>
          <w:color w:val="000000"/>
          <w:bdr w:val="none" w:sz="0" w:space="0" w:color="auto" w:frame="1"/>
        </w:rPr>
        <w:t>Wright discusses a key descriptor of Moschion,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κόσμιος</w:t>
      </w:r>
      <w:r w:rsidR="000E3347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(‘</w:t>
      </w:r>
      <w:r w:rsidR="005225C9">
        <w:rPr>
          <w:rFonts w:asciiTheme="majorBidi" w:hAnsiTheme="majorBidi" w:cstheme="majorBidi"/>
          <w:color w:val="000000"/>
          <w:bdr w:val="none" w:sz="0" w:space="0" w:color="auto" w:frame="1"/>
        </w:rPr>
        <w:t>decent, a good bo</w:t>
      </w:r>
      <w:r w:rsidR="00020BD0">
        <w:rPr>
          <w:rFonts w:asciiTheme="majorBidi" w:hAnsiTheme="majorBidi" w:cstheme="majorBidi"/>
          <w:color w:val="000000"/>
          <w:bdr w:val="none" w:sz="0" w:space="0" w:color="auto" w:frame="1"/>
        </w:rPr>
        <w:t>y</w:t>
      </w:r>
      <w:r w:rsidR="000E3347">
        <w:rPr>
          <w:rFonts w:asciiTheme="majorBidi" w:hAnsiTheme="majorBidi" w:cstheme="majorBidi"/>
          <w:color w:val="000000"/>
          <w:bdr w:val="none" w:sz="0" w:space="0" w:color="auto" w:frame="1"/>
        </w:rPr>
        <w:t>’)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>;</w:t>
      </w:r>
      <w:r w:rsidR="005225C9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020BD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it should be noted however that Moschion claims not to </w:t>
      </w:r>
      <w:r w:rsidR="00020BD0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 xml:space="preserve">be </w:t>
      </w:r>
      <w:r w:rsidR="00020BD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‘a good boy’, but remarks that he </w:t>
      </w:r>
      <w:r w:rsidR="00020BD0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was</w:t>
      </w:r>
      <w:r w:rsidR="00020BD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one, perhaps implying that he doubts the description’s applicability to himself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. 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>Another surprising omission is a connected discussion of the disparity in wealth between the households of Nikeratos and Demeas (there are brief asides on the matter</w:t>
      </w:r>
      <w:r w:rsidR="00C6613F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 w:rsidR="000E3347">
        <w:rPr>
          <w:rFonts w:asciiTheme="majorBidi" w:hAnsiTheme="majorBidi" w:cstheme="majorBidi"/>
          <w:color w:val="000000"/>
          <w:bdr w:val="none" w:sz="0" w:space="0" w:color="auto" w:frame="1"/>
        </w:rPr>
        <w:t>for example,</w:t>
      </w:r>
      <w:r w:rsidR="00C6613F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36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>).</w:t>
      </w:r>
      <w:r w:rsidR="004D64B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The linear reading also means that we lack connected accounts of the characters, whose presentation is distributed across the whole book (compare, on Moschion, 21-27 and 116-122); the point is not </w:t>
      </w:r>
      <w:r w:rsidR="00E515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made </w:t>
      </w:r>
      <w:r w:rsidR="004D64B6">
        <w:rPr>
          <w:rFonts w:asciiTheme="majorBidi" w:hAnsiTheme="majorBidi" w:cstheme="majorBidi"/>
          <w:color w:val="000000"/>
          <w:bdr w:val="none" w:sz="0" w:space="0" w:color="auto" w:frame="1"/>
        </w:rPr>
        <w:t>explicit, but one wonders if this is illustrat</w:t>
      </w:r>
      <w:r w:rsidR="00E5159C">
        <w:rPr>
          <w:rFonts w:asciiTheme="majorBidi" w:hAnsiTheme="majorBidi" w:cstheme="majorBidi"/>
          <w:color w:val="000000"/>
          <w:bdr w:val="none" w:sz="0" w:space="0" w:color="auto" w:frame="1"/>
        </w:rPr>
        <w:t>ing</w:t>
      </w:r>
      <w:r w:rsidR="004D64B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the notion of dramatic character developed by </w:t>
      </w:r>
      <w:r w:rsidR="00053DD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John </w:t>
      </w:r>
      <w:r w:rsidR="004D64B6">
        <w:rPr>
          <w:rFonts w:asciiTheme="majorBidi" w:hAnsiTheme="majorBidi" w:cstheme="majorBidi"/>
          <w:color w:val="000000"/>
          <w:bdr w:val="none" w:sz="0" w:space="0" w:color="auto" w:frame="1"/>
        </w:rPr>
        <w:t>Gould (</w:t>
      </w:r>
      <w:r w:rsidR="00053DD1">
        <w:rPr>
          <w:rFonts w:asciiTheme="majorBidi" w:hAnsiTheme="majorBidi" w:cstheme="majorBidi"/>
          <w:color w:val="000000"/>
          <w:bdr w:val="none" w:sz="0" w:space="0" w:color="auto" w:frame="1"/>
        </w:rPr>
        <w:t>‘</w:t>
      </w:r>
      <w:r w:rsidR="00053DD1" w:rsidRPr="00053DD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Dramatic Character and </w:t>
      </w:r>
      <w:r w:rsidR="005225C9">
        <w:rPr>
          <w:rFonts w:asciiTheme="majorBidi" w:hAnsiTheme="majorBidi" w:cstheme="majorBidi"/>
          <w:color w:val="000000"/>
          <w:bdr w:val="none" w:sz="0" w:space="0" w:color="auto" w:frame="1"/>
        </w:rPr>
        <w:t>“</w:t>
      </w:r>
      <w:r w:rsidR="00053DD1" w:rsidRPr="00053DD1">
        <w:rPr>
          <w:rFonts w:asciiTheme="majorBidi" w:hAnsiTheme="majorBidi" w:cstheme="majorBidi"/>
          <w:color w:val="000000"/>
          <w:bdr w:val="none" w:sz="0" w:space="0" w:color="auto" w:frame="1"/>
        </w:rPr>
        <w:t>Human Intelligibility</w:t>
      </w:r>
      <w:r w:rsidR="005225C9">
        <w:rPr>
          <w:rFonts w:asciiTheme="majorBidi" w:hAnsiTheme="majorBidi" w:cstheme="majorBidi"/>
          <w:color w:val="000000"/>
          <w:bdr w:val="none" w:sz="0" w:space="0" w:color="auto" w:frame="1"/>
        </w:rPr>
        <w:t>”</w:t>
      </w:r>
      <w:r w:rsidR="00053DD1" w:rsidRPr="00053DD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in Greek </w:t>
      </w:r>
      <w:r w:rsidR="00053DD1" w:rsidRPr="00053DD1">
        <w:rPr>
          <w:rFonts w:asciiTheme="majorBidi" w:hAnsiTheme="majorBidi" w:cstheme="majorBidi"/>
          <w:color w:val="000000"/>
          <w:bdr w:val="none" w:sz="0" w:space="0" w:color="auto" w:frame="1"/>
        </w:rPr>
        <w:lastRenderedPageBreak/>
        <w:t>Tragedy</w:t>
      </w:r>
      <w:r w:rsidR="00053DD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’, </w:t>
      </w:r>
      <w:r w:rsidR="004D64B6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PCPS</w:t>
      </w:r>
      <w:r w:rsidR="004D64B6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E5159C">
        <w:rPr>
          <w:rFonts w:asciiTheme="majorBidi" w:hAnsiTheme="majorBidi" w:cstheme="majorBidi"/>
          <w:color w:val="000000"/>
          <w:bdr w:val="none" w:sz="0" w:space="0" w:color="auto" w:frame="1"/>
        </w:rPr>
        <w:t>24, 1978, 43-67)</w:t>
      </w:r>
      <w:r w:rsidR="00C6613F">
        <w:rPr>
          <w:rFonts w:asciiTheme="majorBidi" w:hAnsiTheme="majorBidi" w:cstheme="majorBidi"/>
          <w:color w:val="000000"/>
          <w:bdr w:val="none" w:sz="0" w:space="0" w:color="auto" w:frame="1"/>
        </w:rPr>
        <w:t>. If so, there are interesting further consequences about Menander’s notion of character.</w:t>
      </w:r>
    </w:p>
    <w:p w14:paraId="56267999" w14:textId="7EEA4CD3" w:rsidR="00053DD1" w:rsidRDefault="004D64B6" w:rsidP="00053D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>The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opening act of the </w:t>
      </w:r>
      <w:r w:rsidR="00B13C2C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Samia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requires us to confront two uncomfortable features of Greek comedy: rape and suicide. Wright tackles both </w:t>
      </w:r>
      <w:r w:rsidR="00C73413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issues 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>coolly</w:t>
      </w:r>
      <w:r w:rsidR="00C73413">
        <w:rPr>
          <w:rFonts w:asciiTheme="majorBidi" w:hAnsiTheme="majorBidi" w:cstheme="majorBidi"/>
          <w:color w:val="000000"/>
          <w:bdr w:val="none" w:sz="0" w:space="0" w:color="auto" w:frame="1"/>
        </w:rPr>
        <w:t>, and sets them into the wider context of comedy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>: the discussion of rape (24-27</w:t>
      </w:r>
      <w:r w:rsidR="008B7600">
        <w:rPr>
          <w:rFonts w:asciiTheme="majorBidi" w:hAnsiTheme="majorBidi" w:cstheme="majorBidi"/>
          <w:color w:val="000000"/>
          <w:bdr w:val="none" w:sz="0" w:space="0" w:color="auto" w:frame="1"/>
        </w:rPr>
        <w:t>, and note also 94-98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>) will not satisfy everyone, but the comparison between that and comedy’s attitude to suicide (3</w:t>
      </w:r>
      <w:r w:rsidR="00C6613F">
        <w:rPr>
          <w:rFonts w:asciiTheme="majorBidi" w:hAnsiTheme="majorBidi" w:cstheme="majorBidi"/>
          <w:color w:val="000000"/>
          <w:bdr w:val="none" w:sz="0" w:space="0" w:color="auto" w:frame="1"/>
        </w:rPr>
        <w:t>5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) is perhaps a new perspective </w:t>
      </w:r>
      <w:r w:rsidR="008B7600">
        <w:rPr>
          <w:rFonts w:asciiTheme="majorBidi" w:hAnsiTheme="majorBidi" w:cstheme="majorBidi"/>
          <w:color w:val="000000"/>
          <w:bdr w:val="none" w:sz="0" w:space="0" w:color="auto" w:frame="1"/>
        </w:rPr>
        <w:t>relating to the question of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comedy’s view of violence more generally</w:t>
      </w:r>
      <w:r w:rsidR="00F314F5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(see 73-75)</w:t>
      </w:r>
      <w:r w:rsidR="00B13C2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. </w:t>
      </w:r>
      <w:r w:rsidR="00C73413">
        <w:rPr>
          <w:rFonts w:asciiTheme="majorBidi" w:hAnsiTheme="majorBidi" w:cstheme="majorBidi"/>
          <w:color w:val="000000"/>
          <w:bdr w:val="none" w:sz="0" w:space="0" w:color="auto" w:frame="1"/>
        </w:rPr>
        <w:t>Wright is interested in comedy’s techniques: Menander’s insults are catalogued (76-77), as is a rare topical joke (98-100</w:t>
      </w:r>
      <w:r w:rsidR="00DF4941">
        <w:rPr>
          <w:rFonts w:asciiTheme="majorBidi" w:hAnsiTheme="majorBidi" w:cstheme="majorBidi"/>
          <w:color w:val="000000"/>
          <w:bdr w:val="none" w:sz="0" w:space="0" w:color="auto" w:frame="1"/>
        </w:rPr>
        <w:t>, see also 117</w:t>
      </w:r>
      <w:r w:rsidR="00C73413">
        <w:rPr>
          <w:rFonts w:asciiTheme="majorBidi" w:hAnsiTheme="majorBidi" w:cstheme="majorBidi"/>
          <w:color w:val="000000"/>
          <w:bdr w:val="none" w:sz="0" w:space="0" w:color="auto" w:frame="1"/>
        </w:rPr>
        <w:t>)</w:t>
      </w:r>
      <w:r w:rsidR="001E103E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; the paraphrase of a 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>difficult</w:t>
      </w:r>
      <w:r w:rsidR="001E103E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stretch of 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the text </w:t>
      </w:r>
      <w:r w:rsidR="001E103E">
        <w:rPr>
          <w:rFonts w:asciiTheme="majorBidi" w:hAnsiTheme="majorBidi" w:cstheme="majorBidi"/>
          <w:color w:val="000000"/>
          <w:bdr w:val="none" w:sz="0" w:space="0" w:color="auto" w:frame="1"/>
        </w:rPr>
        <w:t>(101-104) is a helpful guide to the spirit of Menander’s pacy dialogue.</w:t>
      </w:r>
    </w:p>
    <w:p w14:paraId="34A03591" w14:textId="38E2215B" w:rsidR="00053DD1" w:rsidRDefault="00DF4941" w:rsidP="00053D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>A</w:t>
      </w:r>
      <w:r w:rsidR="00AE7CC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great bonus is that this book is written by someone who really likes Menander and is intent on communicating that affection. Laurel and Hardy, Hamlet, Jane Austen, </w:t>
      </w:r>
      <w:r w:rsidR="00267514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P.G. Wodehouse, </w:t>
      </w:r>
      <w:r w:rsidR="00AE7CC1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commedia dell’arte</w:t>
      </w:r>
      <w:r w:rsidR="00AE7CC1">
        <w:rPr>
          <w:rFonts w:asciiTheme="majorBidi" w:hAnsiTheme="majorBidi" w:cstheme="majorBidi"/>
          <w:color w:val="000000"/>
          <w:bdr w:val="none" w:sz="0" w:space="0" w:color="auto" w:frame="1"/>
        </w:rPr>
        <w:t>, modern critical theory on closure (113-115), experiences of modern production (13)</w:t>
      </w:r>
      <w:r w:rsidR="00B22CF7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even </w:t>
      </w:r>
      <w:r w:rsidR="00B22CF7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Midsomer Murders</w:t>
      </w:r>
      <w:r w:rsidR="00B22CF7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 w:rsidR="00267514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are used to </w:t>
      </w:r>
      <w:r w:rsidR="00B22CF7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rearticulate </w:t>
      </w:r>
      <w:r w:rsidR="00AE7CC1">
        <w:rPr>
          <w:rFonts w:asciiTheme="majorBidi" w:hAnsiTheme="majorBidi" w:cstheme="majorBidi"/>
          <w:color w:val="000000"/>
          <w:bdr w:val="none" w:sz="0" w:space="0" w:color="auto" w:frame="1"/>
        </w:rPr>
        <w:t>a place for Menander (despite his ‘non-classical’ status, 7)</w:t>
      </w:r>
      <w:r w:rsidR="00267514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in the mainstream of culture. </w:t>
      </w:r>
      <w:r w:rsidR="00F314F5">
        <w:rPr>
          <w:rFonts w:asciiTheme="majorBidi" w:hAnsiTheme="majorBidi" w:cstheme="majorBidi"/>
          <w:color w:val="000000"/>
          <w:bdr w:val="none" w:sz="0" w:space="0" w:color="auto" w:frame="1"/>
        </w:rPr>
        <w:t>Furthermore, Menander is treated as a craftsman for the stage, so the discussion includes masks (15-21), stagecraft (28-29, 55-58, 64), the chorus (41-43), and archaeological evidence for performance (82)</w:t>
      </w:r>
      <w:r w:rsidR="00521725">
        <w:rPr>
          <w:rFonts w:asciiTheme="majorBidi" w:hAnsiTheme="majorBidi" w:cstheme="majorBidi"/>
          <w:color w:val="000000"/>
          <w:bdr w:val="none" w:sz="0" w:space="0" w:color="auto" w:frame="1"/>
        </w:rPr>
        <w:t>; the depiction of the ‘affect’ of the Great Dionysia (11) is a welcome reminder that these were dramas.</w:t>
      </w:r>
    </w:p>
    <w:p w14:paraId="5FD8081E" w14:textId="4D85EFF9" w:rsidR="00053DD1" w:rsidRDefault="00CA2A9D" w:rsidP="00053D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>Bibliography is full an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>d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up-to-date; </w:t>
      </w:r>
      <w:r w:rsidR="00020BD0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one misses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R</w:t>
      </w:r>
      <w:r w:rsidR="00057F39" w:rsidRPr="00057F39">
        <w:rPr>
          <w:rFonts w:asciiTheme="majorBidi" w:hAnsiTheme="majorBidi" w:cstheme="majorBidi"/>
          <w:color w:val="000000"/>
          <w:bdr w:val="none" w:sz="0" w:space="0" w:color="auto" w:frame="1"/>
        </w:rPr>
        <w:t>osanna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Omitowoju, ‘Performing traditions: relations and relationships in Menander and tragedy’ in A. K. Petrides &amp; S. Pap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>a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ioannou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(ed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>s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>)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>,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DF0D32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New Perspectives on Postclassical Comedy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, 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Newcastle 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>2010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>,</w:t>
      </w:r>
      <w:r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125-145 (on the relationship between </w:t>
      </w:r>
      <w:r w:rsidR="00DF0D32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 xml:space="preserve">Samia 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and the </w:t>
      </w:r>
      <w:r w:rsidR="00DF0D32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Hippolytus</w:t>
      </w:r>
      <w:r w:rsidR="00DF0D3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). 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Wright claims that the </w:t>
      </w:r>
      <w:r w:rsidR="00C179F8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gnomai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of the </w:t>
      </w:r>
      <w:r w:rsidR="00C179F8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 xml:space="preserve">Samia 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are </w:t>
      </w:r>
      <w:r w:rsidR="00D1458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(save for 140-142) 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>spoken by Demeas (</w:t>
      </w:r>
      <w:r w:rsidR="00763D82">
        <w:rPr>
          <w:rFonts w:asciiTheme="majorBidi" w:hAnsiTheme="majorBidi" w:cstheme="majorBidi"/>
          <w:color w:val="000000"/>
          <w:bdr w:val="none" w:sz="0" w:space="0" w:color="auto" w:frame="1"/>
        </w:rPr>
        <w:t>138 n. 19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); </w:t>
      </w:r>
      <w:r w:rsidR="00763D82">
        <w:rPr>
          <w:rFonts w:asciiTheme="majorBidi" w:hAnsiTheme="majorBidi" w:cstheme="majorBidi"/>
          <w:color w:val="000000"/>
          <w:bdr w:val="none" w:sz="0" w:space="0" w:color="auto" w:frame="1"/>
        </w:rPr>
        <w:t>A</w:t>
      </w:r>
      <w:r w:rsidR="00057F39">
        <w:rPr>
          <w:rFonts w:asciiTheme="majorBidi" w:hAnsiTheme="majorBidi" w:cstheme="majorBidi"/>
          <w:color w:val="000000"/>
          <w:bdr w:val="none" w:sz="0" w:space="0" w:color="auto" w:frame="1"/>
        </w:rPr>
        <w:t>ntonio</w:t>
      </w:r>
      <w:r w:rsidR="00763D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Martina, </w:t>
      </w:r>
      <w:r w:rsidR="00C179F8">
        <w:rPr>
          <w:rFonts w:asciiTheme="majorBidi" w:hAnsiTheme="majorBidi" w:cstheme="majorBidi"/>
          <w:i/>
          <w:iCs/>
          <w:color w:val="000000"/>
          <w:bdr w:val="none" w:sz="0" w:space="0" w:color="auto" w:frame="1"/>
        </w:rPr>
        <w:t>Menandrea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(Pisa 2016) </w:t>
      </w:r>
      <w:r w:rsidR="00763D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iii </w:t>
      </w:r>
      <w:r w:rsidR="00C179F8">
        <w:rPr>
          <w:rFonts w:asciiTheme="majorBidi" w:hAnsiTheme="majorBidi" w:cstheme="majorBidi"/>
          <w:color w:val="000000"/>
          <w:bdr w:val="none" w:sz="0" w:space="0" w:color="auto" w:frame="1"/>
        </w:rPr>
        <w:t>489-</w:t>
      </w:r>
      <w:r w:rsidR="00763D82">
        <w:rPr>
          <w:rFonts w:asciiTheme="majorBidi" w:hAnsiTheme="majorBidi" w:cstheme="majorBidi"/>
          <w:color w:val="000000"/>
          <w:bdr w:val="none" w:sz="0" w:space="0" w:color="auto" w:frame="1"/>
        </w:rPr>
        <w:t>496, not used in the book, gives a rather fuller account (</w:t>
      </w:r>
      <w:r w:rsidR="00656CCD">
        <w:rPr>
          <w:rFonts w:asciiTheme="majorBidi" w:hAnsiTheme="majorBidi" w:cstheme="majorBidi"/>
          <w:color w:val="000000"/>
          <w:bdr w:val="none" w:sz="0" w:space="0" w:color="auto" w:frame="1"/>
        </w:rPr>
        <w:t>but</w:t>
      </w:r>
      <w:r w:rsidR="00763D82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not all Martina’s examples are convincing).</w:t>
      </w:r>
    </w:p>
    <w:p w14:paraId="0D424713" w14:textId="4AFF8E9D" w:rsidR="006F19B5" w:rsidRDefault="006F19B5" w:rsidP="00053D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>
        <w:rPr>
          <w:rFonts w:asciiTheme="majorBidi" w:hAnsiTheme="majorBidi" w:cstheme="majorBidi"/>
          <w:color w:val="000000"/>
          <w:bdr w:val="none" w:sz="0" w:space="0" w:color="auto" w:frame="1"/>
        </w:rPr>
        <w:t>This book is in short very useful, and will greatly help teachers of comedy introduce their charges to the challenges and delights of post-classical literature.</w:t>
      </w:r>
    </w:p>
    <w:p w14:paraId="61864E4A" w14:textId="3CBF2D86" w:rsidR="00C0521B" w:rsidRPr="00875891" w:rsidRDefault="00120379" w:rsidP="00053DD1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 w:rsidRPr="00875891">
        <w:rPr>
          <w:rFonts w:asciiTheme="majorBidi" w:hAnsiTheme="majorBidi" w:cstheme="majorBidi"/>
          <w:smallCaps/>
        </w:rPr>
        <w:t>Ben Cartlidge</w:t>
      </w:r>
    </w:p>
    <w:p w14:paraId="062EEEF8" w14:textId="1EECB667" w:rsidR="00120379" w:rsidRPr="00875891" w:rsidRDefault="00120379" w:rsidP="00053DD1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875891">
        <w:rPr>
          <w:rFonts w:asciiTheme="majorBidi" w:hAnsiTheme="majorBidi" w:cstheme="majorBidi"/>
          <w:i/>
          <w:iCs/>
          <w:sz w:val="24"/>
          <w:szCs w:val="24"/>
        </w:rPr>
        <w:t>Christ Church, Oxford</w:t>
      </w:r>
    </w:p>
    <w:p w14:paraId="16465C33" w14:textId="39BBE7F4" w:rsidR="00120379" w:rsidRPr="00875891" w:rsidRDefault="00120379" w:rsidP="00053DD1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875891">
        <w:rPr>
          <w:rFonts w:asciiTheme="majorBidi" w:hAnsiTheme="majorBidi" w:cstheme="majorBidi"/>
          <w:sz w:val="24"/>
          <w:szCs w:val="24"/>
        </w:rPr>
        <w:t>benjamin.cartlidge@chch.ox.ac.uk</w:t>
      </w:r>
    </w:p>
    <w:sectPr w:rsidR="00120379" w:rsidRPr="00875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79"/>
    <w:rsid w:val="00017DB4"/>
    <w:rsid w:val="00020BD0"/>
    <w:rsid w:val="00053DD1"/>
    <w:rsid w:val="00057F39"/>
    <w:rsid w:val="00071C96"/>
    <w:rsid w:val="000E3347"/>
    <w:rsid w:val="00120379"/>
    <w:rsid w:val="00181F82"/>
    <w:rsid w:val="00191F8C"/>
    <w:rsid w:val="001E103E"/>
    <w:rsid w:val="00267514"/>
    <w:rsid w:val="002B458C"/>
    <w:rsid w:val="003276A9"/>
    <w:rsid w:val="004D64B6"/>
    <w:rsid w:val="00521725"/>
    <w:rsid w:val="005225C9"/>
    <w:rsid w:val="00551B6F"/>
    <w:rsid w:val="00594CD5"/>
    <w:rsid w:val="00656CCD"/>
    <w:rsid w:val="006E522C"/>
    <w:rsid w:val="006F19B5"/>
    <w:rsid w:val="00760B7E"/>
    <w:rsid w:val="00763D82"/>
    <w:rsid w:val="007C4337"/>
    <w:rsid w:val="00875891"/>
    <w:rsid w:val="008B7600"/>
    <w:rsid w:val="0096323C"/>
    <w:rsid w:val="0099253A"/>
    <w:rsid w:val="00A92B94"/>
    <w:rsid w:val="00AE7CC1"/>
    <w:rsid w:val="00B13C2C"/>
    <w:rsid w:val="00B22CF7"/>
    <w:rsid w:val="00B742F8"/>
    <w:rsid w:val="00BD67FB"/>
    <w:rsid w:val="00C0521B"/>
    <w:rsid w:val="00C06F23"/>
    <w:rsid w:val="00C07633"/>
    <w:rsid w:val="00C179F8"/>
    <w:rsid w:val="00C6613F"/>
    <w:rsid w:val="00C73413"/>
    <w:rsid w:val="00CA2A9D"/>
    <w:rsid w:val="00D14581"/>
    <w:rsid w:val="00DF0D32"/>
    <w:rsid w:val="00DF4941"/>
    <w:rsid w:val="00E5159C"/>
    <w:rsid w:val="00F314F5"/>
    <w:rsid w:val="00FA652C"/>
    <w:rsid w:val="00FF3B93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C102"/>
  <w15:chartTrackingRefBased/>
  <w15:docId w15:val="{AD3FBE67-9525-424A-A139-9B3E03D1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3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3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 Cartlidge</dc:creator>
  <cp:keywords/>
  <dc:description/>
  <cp:lastModifiedBy>Ben J Cartlidge</cp:lastModifiedBy>
  <cp:revision>7</cp:revision>
  <dcterms:created xsi:type="dcterms:W3CDTF">2022-03-22T16:42:00Z</dcterms:created>
  <dcterms:modified xsi:type="dcterms:W3CDTF">2023-04-17T12:51:00Z</dcterms:modified>
</cp:coreProperties>
</file>