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09E" w:rsidRDefault="00CF5136">
      <w:pPr>
        <w:spacing w:line="360" w:lineRule="auto"/>
        <w:jc w:val="both"/>
        <w:rPr>
          <w:rFonts w:ascii="Times New Roman" w:hAnsi="Times New Roman" w:cs="Times New Roman"/>
          <w:b/>
        </w:rPr>
      </w:pPr>
      <w:bookmarkStart w:id="0" w:name="_GoBack"/>
      <w:bookmarkEnd w:id="0"/>
      <w:r>
        <w:rPr>
          <w:rFonts w:ascii="Times New Roman" w:hAnsi="Times New Roman" w:cs="Times New Roman"/>
          <w:b/>
        </w:rPr>
        <w:t>Benthic f</w:t>
      </w:r>
      <w:r>
        <w:rPr>
          <w:rFonts w:ascii="Times New Roman" w:hAnsi="Times New Roman" w:cs="Times New Roman"/>
          <w:b/>
        </w:rPr>
        <w:t>oraminiferal turnover and trait changes across the P</w:t>
      </w:r>
      <w:r>
        <w:rPr>
          <w:rFonts w:ascii="Times New Roman" w:hAnsi="Times New Roman" w:cs="Times New Roman"/>
          <w:b/>
        </w:rPr>
        <w:t>aleocene -</w:t>
      </w:r>
      <w:r>
        <w:rPr>
          <w:rFonts w:ascii="Times New Roman" w:hAnsi="Times New Roman" w:cs="Times New Roman"/>
          <w:b/>
        </w:rPr>
        <w:t>E</w:t>
      </w:r>
      <w:r>
        <w:rPr>
          <w:rFonts w:ascii="Times New Roman" w:hAnsi="Times New Roman" w:cs="Times New Roman"/>
          <w:b/>
        </w:rPr>
        <w:t xml:space="preserve">ocene </w:t>
      </w:r>
      <w:r>
        <w:rPr>
          <w:rFonts w:ascii="Times New Roman" w:hAnsi="Times New Roman" w:cs="Times New Roman"/>
          <w:b/>
        </w:rPr>
        <w:t>T</w:t>
      </w:r>
      <w:r>
        <w:rPr>
          <w:rFonts w:ascii="Times New Roman" w:hAnsi="Times New Roman" w:cs="Times New Roman"/>
          <w:b/>
        </w:rPr>
        <w:t xml:space="preserve">hermal </w:t>
      </w:r>
      <w:r>
        <w:rPr>
          <w:rFonts w:ascii="Times New Roman" w:hAnsi="Times New Roman" w:cs="Times New Roman"/>
          <w:b/>
        </w:rPr>
        <w:t>M</w:t>
      </w:r>
      <w:r>
        <w:rPr>
          <w:rFonts w:ascii="Times New Roman" w:hAnsi="Times New Roman" w:cs="Times New Roman"/>
          <w:b/>
        </w:rPr>
        <w:t>aximum (PETM)</w:t>
      </w:r>
      <w:r>
        <w:rPr>
          <w:rFonts w:ascii="Times New Roman" w:hAnsi="Times New Roman" w:cs="Times New Roman"/>
          <w:b/>
        </w:rPr>
        <w:t xml:space="preserve"> at ODP site 1265A, Walvis Ridge, SE Atlantic Ocean. </w:t>
      </w:r>
    </w:p>
    <w:p w:rsidR="0062109E" w:rsidRDefault="00CF5136">
      <w:pPr>
        <w:spacing w:line="240" w:lineRule="auto"/>
        <w:jc w:val="center"/>
        <w:rPr>
          <w:rFonts w:ascii="Times New Roman" w:hAnsi="Times New Roman" w:cs="Times New Roman"/>
          <w:bCs/>
          <w:vertAlign w:val="superscript"/>
        </w:rPr>
      </w:pPr>
      <w:r>
        <w:rPr>
          <w:rFonts w:ascii="Times New Roman" w:hAnsi="Times New Roman" w:cs="Times New Roman"/>
          <w:bCs/>
        </w:rPr>
        <w:t>Celestine Nwojiji</w:t>
      </w:r>
      <w:r>
        <w:rPr>
          <w:rFonts w:ascii="Times New Roman" w:hAnsi="Times New Roman" w:cs="Times New Roman"/>
          <w:bCs/>
          <w:vertAlign w:val="superscript"/>
        </w:rPr>
        <w:t>1,3*</w:t>
      </w:r>
      <w:r>
        <w:rPr>
          <w:rFonts w:ascii="Times New Roman" w:hAnsi="Times New Roman" w:cs="Times New Roman"/>
          <w:bCs/>
        </w:rPr>
        <w:t>, Fabienne Marret</w:t>
      </w:r>
      <w:r>
        <w:rPr>
          <w:rFonts w:ascii="Times New Roman" w:hAnsi="Times New Roman" w:cs="Times New Roman"/>
          <w:bCs/>
          <w:vertAlign w:val="superscript"/>
        </w:rPr>
        <w:t>1</w:t>
      </w:r>
      <w:r>
        <w:rPr>
          <w:rFonts w:ascii="Times New Roman" w:hAnsi="Times New Roman" w:cs="Times New Roman"/>
          <w:bCs/>
        </w:rPr>
        <w:t xml:space="preserve">  Bryony Caswell</w:t>
      </w:r>
      <w:r>
        <w:rPr>
          <w:rFonts w:ascii="Times New Roman" w:hAnsi="Times New Roman" w:cs="Times New Roman"/>
          <w:bCs/>
          <w:vertAlign w:val="superscript"/>
        </w:rPr>
        <w:t>2</w:t>
      </w:r>
      <w:r>
        <w:rPr>
          <w:rFonts w:ascii="Times New Roman" w:hAnsi="Times New Roman" w:cs="Times New Roman"/>
          <w:bCs/>
        </w:rPr>
        <w:t xml:space="preserve"> </w:t>
      </w:r>
      <w:r>
        <w:rPr>
          <w:rFonts w:ascii="Times New Roman" w:hAnsi="Times New Roman" w:cs="Times New Roman"/>
          <w:bCs/>
        </w:rPr>
        <w:t xml:space="preserve"> Athony U okoro</w:t>
      </w:r>
      <w:r>
        <w:rPr>
          <w:rFonts w:ascii="Times New Roman" w:hAnsi="Times New Roman" w:cs="Times New Roman"/>
          <w:bCs/>
          <w:vertAlign w:val="superscript"/>
        </w:rPr>
        <w:t>3</w:t>
      </w:r>
      <w:r>
        <w:rPr>
          <w:rFonts w:ascii="Times New Roman" w:hAnsi="Times New Roman" w:cs="Times New Roman"/>
          <w:bCs/>
        </w:rPr>
        <w:t xml:space="preserve"> </w:t>
      </w:r>
      <w:r>
        <w:rPr>
          <w:rFonts w:ascii="Times New Roman" w:hAnsi="Times New Roman" w:cs="Times New Roman"/>
          <w:bCs/>
        </w:rPr>
        <w:t>and</w:t>
      </w:r>
      <w:r>
        <w:rPr>
          <w:rFonts w:ascii="Times New Roman" w:hAnsi="Times New Roman" w:cs="Times New Roman"/>
          <w:bCs/>
        </w:rPr>
        <w:t xml:space="preserve"> Ezekiel O igwe</w:t>
      </w:r>
      <w:r>
        <w:rPr>
          <w:rFonts w:ascii="Times New Roman" w:hAnsi="Times New Roman" w:cs="Times New Roman"/>
          <w:bCs/>
          <w:vertAlign w:val="superscript"/>
        </w:rPr>
        <w:t>3</w:t>
      </w:r>
    </w:p>
    <w:p w:rsidR="0062109E" w:rsidRDefault="00CF5136">
      <w:pPr>
        <w:numPr>
          <w:ilvl w:val="0"/>
          <w:numId w:val="1"/>
        </w:numPr>
        <w:spacing w:line="240" w:lineRule="auto"/>
        <w:contextualSpacing/>
        <w:rPr>
          <w:rFonts w:ascii="Times New Roman" w:eastAsia="Calibri" w:hAnsi="Times New Roman" w:cs="Times New Roman"/>
        </w:rPr>
      </w:pPr>
      <w:r>
        <w:rPr>
          <w:rFonts w:ascii="Times New Roman" w:eastAsia="Calibri" w:hAnsi="Times New Roman" w:cs="Times New Roman"/>
        </w:rPr>
        <w:t xml:space="preserve">School </w:t>
      </w:r>
      <w:r>
        <w:rPr>
          <w:rFonts w:ascii="Times New Roman" w:eastAsia="Calibri" w:hAnsi="Times New Roman" w:cs="Times New Roman"/>
        </w:rPr>
        <w:t>of Environmental Sciences, University of Liverpool, L69 7ZT, UK.</w:t>
      </w:r>
    </w:p>
    <w:p w:rsidR="0062109E" w:rsidRDefault="00CF5136">
      <w:pPr>
        <w:numPr>
          <w:ilvl w:val="0"/>
          <w:numId w:val="1"/>
        </w:numPr>
        <w:spacing w:line="240" w:lineRule="auto"/>
        <w:contextualSpacing/>
        <w:rPr>
          <w:rFonts w:ascii="Times New Roman" w:eastAsia="Calibri" w:hAnsi="Times New Roman" w:cs="Times New Roman"/>
        </w:rPr>
      </w:pPr>
      <w:r>
        <w:rPr>
          <w:rFonts w:ascii="Times New Roman" w:eastAsia="Calibri" w:hAnsi="Times New Roman" w:cs="Times New Roman"/>
        </w:rPr>
        <w:t>School of Environmental Science, University of Hull, HU6 7RX, UK</w:t>
      </w:r>
    </w:p>
    <w:p w:rsidR="0062109E" w:rsidRDefault="00CF5136">
      <w:pPr>
        <w:spacing w:line="240" w:lineRule="auto"/>
        <w:ind w:left="360"/>
        <w:rPr>
          <w:rFonts w:ascii="Times New Roman" w:eastAsia="Calibri" w:hAnsi="Times New Roman" w:cs="Times New Roman"/>
        </w:rPr>
      </w:pPr>
      <w:r>
        <w:rPr>
          <w:rFonts w:ascii="Times New Roman" w:eastAsia="Calibri" w:hAnsi="Times New Roman" w:cs="Times New Roman"/>
        </w:rPr>
        <w:t xml:space="preserve">3.   </w:t>
      </w:r>
      <w:r>
        <w:rPr>
          <w:rFonts w:ascii="Times New Roman" w:eastAsia="Calibri" w:hAnsi="Times New Roman" w:cs="Times New Roman"/>
        </w:rPr>
        <w:t>Ebonyi State University, P.M.B 053, Abakaliki, Nigeria</w:t>
      </w:r>
    </w:p>
    <w:p w:rsidR="0062109E" w:rsidRDefault="00CF5136">
      <w:pPr>
        <w:spacing w:line="240" w:lineRule="auto"/>
        <w:ind w:left="360"/>
        <w:rPr>
          <w:rFonts w:ascii="Times New Roman" w:eastAsia="Calibri" w:hAnsi="Times New Roman" w:cs="Times New Roman"/>
          <w:sz w:val="24"/>
        </w:rPr>
      </w:pPr>
      <w:r>
        <w:rPr>
          <w:rFonts w:ascii="Times New Roman" w:eastAsia="Calibri" w:hAnsi="Times New Roman" w:cs="Times New Roman"/>
          <w:sz w:val="24"/>
        </w:rPr>
        <w:t xml:space="preserve">Correspondence: </w:t>
      </w:r>
      <w:r>
        <w:rPr>
          <w:rFonts w:ascii="Times New Roman" w:eastAsia="Calibri" w:hAnsi="Times New Roman" w:cs="Times New Roman"/>
          <w:bCs/>
          <w:sz w:val="24"/>
        </w:rPr>
        <w:t>Celestine Nwojiji (Celestine.nwojiji@ebsu.edu.ng)</w:t>
      </w:r>
    </w:p>
    <w:p w:rsidR="0062109E" w:rsidRDefault="00CF5136">
      <w:pPr>
        <w:pStyle w:val="Heading1"/>
        <w:rPr>
          <w:rFonts w:eastAsia="Calibri"/>
        </w:rPr>
      </w:pPr>
      <w:r>
        <w:rPr>
          <w:rFonts w:eastAsia="Calibri"/>
        </w:rPr>
        <w:t>Abstract</w:t>
      </w:r>
    </w:p>
    <w:p w:rsidR="0062109E" w:rsidRDefault="00CF5136">
      <w:pPr>
        <w:jc w:val="both"/>
        <w:rPr>
          <w:rFonts w:ascii="Times New Roman" w:hAnsi="Times New Roman" w:cs="Times New Roman"/>
          <w:sz w:val="24"/>
        </w:rPr>
      </w:pPr>
      <w:r>
        <w:rPr>
          <w:rFonts w:ascii="Times New Roman" w:hAnsi="Times New Roman" w:cs="Times New Roman"/>
          <w:sz w:val="24"/>
        </w:rPr>
        <w:t>Benthic f</w:t>
      </w:r>
      <w:r>
        <w:rPr>
          <w:rFonts w:ascii="Times New Roman" w:hAnsi="Times New Roman" w:cs="Times New Roman"/>
          <w:sz w:val="24"/>
        </w:rPr>
        <w:t xml:space="preserve">oraminiferal turnover during the </w:t>
      </w:r>
      <w:r>
        <w:rPr>
          <w:rFonts w:ascii="Times New Roman" w:hAnsi="Times New Roman"/>
          <w:sz w:val="24"/>
        </w:rPr>
        <w:t>Paleocene -Eocene Thermal Maximum (PETM)</w:t>
      </w:r>
      <w:r>
        <w:rPr>
          <w:rFonts w:ascii="Times New Roman" w:hAnsi="Times New Roman" w:cs="Times New Roman"/>
          <w:sz w:val="24"/>
        </w:rPr>
        <w:t xml:space="preserve"> has been extensively studied but numerous questions remained unresolved. Question such as why some foraminiferal species went into extinction </w:t>
      </w:r>
      <w:r>
        <w:rPr>
          <w:rFonts w:ascii="Times New Roman" w:hAnsi="Times New Roman" w:cs="Times New Roman"/>
          <w:sz w:val="24"/>
        </w:rPr>
        <w:t>at</w:t>
      </w:r>
      <w:r>
        <w:rPr>
          <w:rFonts w:ascii="Times New Roman" w:hAnsi="Times New Roman" w:cs="Times New Roman"/>
          <w:sz w:val="24"/>
        </w:rPr>
        <w:t xml:space="preserve"> a particular locati</w:t>
      </w:r>
      <w:r>
        <w:rPr>
          <w:rFonts w:ascii="Times New Roman" w:hAnsi="Times New Roman" w:cs="Times New Roman"/>
          <w:sz w:val="24"/>
        </w:rPr>
        <w:t xml:space="preserve">on but survive in another or why some species survive in extremely low oxygen environment. Because foraminiferal community interaction with the environment is driven by biological traits instead of taxonomic composition, this study has adopted trait based </w:t>
      </w:r>
      <w:r>
        <w:rPr>
          <w:rFonts w:ascii="Times New Roman" w:hAnsi="Times New Roman" w:cs="Times New Roman"/>
          <w:sz w:val="24"/>
        </w:rPr>
        <w:t xml:space="preserve">approach to provide insight into the life strategies of foraminifera that enables them to survive in extreme environmental conditions. </w:t>
      </w:r>
    </w:p>
    <w:p w:rsidR="0062109E" w:rsidRDefault="00CF5136">
      <w:pPr>
        <w:jc w:val="both"/>
        <w:rPr>
          <w:rFonts w:ascii="Times New Roman" w:hAnsi="Times New Roman" w:cs="Times New Roman"/>
          <w:sz w:val="24"/>
        </w:rPr>
      </w:pPr>
      <w:r>
        <w:rPr>
          <w:rFonts w:ascii="Times New Roman" w:hAnsi="Times New Roman" w:cs="Times New Roman"/>
          <w:sz w:val="24"/>
        </w:rPr>
        <w:t xml:space="preserve">The result from this study show that traits such as test composition, perforation, ornamentation and living habits play </w:t>
      </w:r>
      <w:r>
        <w:rPr>
          <w:rFonts w:ascii="Times New Roman" w:hAnsi="Times New Roman" w:cs="Times New Roman"/>
          <w:sz w:val="24"/>
        </w:rPr>
        <w:t xml:space="preserve">important role in the ecological functioning and adaptability of foraminifera in the environment. The faunal assemblage in the studied site is dominantly cosmopolitan taxa suggesting the environment was perturbed during the PETM. Foraminiferal composition </w:t>
      </w:r>
      <w:r>
        <w:rPr>
          <w:rFonts w:ascii="Times New Roman" w:hAnsi="Times New Roman" w:cs="Times New Roman"/>
          <w:sz w:val="24"/>
        </w:rPr>
        <w:t>is characterised by faunal turnover indicated in extensive mortalities and extinction of both planktonic and benthic fauna. The ordination [non-Metric Dimensional Scaling (nMDS)] of faunal composition also indicated ecological disturbance. The planktonic c</w:t>
      </w:r>
      <w:r>
        <w:rPr>
          <w:rFonts w:ascii="Times New Roman" w:hAnsi="Times New Roman" w:cs="Times New Roman"/>
          <w:sz w:val="24"/>
        </w:rPr>
        <w:t>ommunity was relatively stable before and after PETM but experienced a high level of ecological perturbation during the carbon isotopic excursion (CIE). The benthic community showed higher evidence of perturbation as the fauna assemblage ordination indicat</w:t>
      </w:r>
      <w:r>
        <w:rPr>
          <w:rFonts w:ascii="Times New Roman" w:hAnsi="Times New Roman" w:cs="Times New Roman"/>
          <w:sz w:val="24"/>
        </w:rPr>
        <w:t>ed that ecological stress started before the PETM with the disarray of samples in the ordination diagram. Only the recovery interval experienced some level of ecological stability. The environmental disturbance noticed in the fauna composition reflected on</w:t>
      </w:r>
      <w:r>
        <w:rPr>
          <w:rFonts w:ascii="Times New Roman" w:hAnsi="Times New Roman" w:cs="Times New Roman"/>
          <w:sz w:val="24"/>
        </w:rPr>
        <w:t xml:space="preserve"> the trait.  </w:t>
      </w:r>
      <w:r>
        <w:rPr>
          <w:rFonts w:ascii="Times New Roman" w:hAnsi="Times New Roman" w:cs="Times New Roman"/>
          <w:sz w:val="24"/>
        </w:rPr>
        <w:t>B</w:t>
      </w:r>
      <w:r>
        <w:rPr>
          <w:rFonts w:ascii="Times New Roman" w:hAnsi="Times New Roman" w:cs="Times New Roman"/>
          <w:sz w:val="24"/>
        </w:rPr>
        <w:t>enthic foraminiferal traits indicated instability throughout the studied section. The evidence of environmental disturbance in the benthic community suggests that the source of the light carbon that caused the PETM may have originated beneath</w:t>
      </w:r>
      <w:r>
        <w:rPr>
          <w:rFonts w:ascii="Times New Roman" w:hAnsi="Times New Roman" w:cs="Times New Roman"/>
          <w:sz w:val="24"/>
        </w:rPr>
        <w:t xml:space="preserve"> sea floor in the Atlantic Ocean. </w:t>
      </w:r>
    </w:p>
    <w:p w:rsidR="0062109E" w:rsidRDefault="00CF5136">
      <w:pPr>
        <w:spacing w:line="360" w:lineRule="auto"/>
        <w:rPr>
          <w:rFonts w:ascii="Times New Roman" w:eastAsia="Calibri" w:hAnsi="Times New Roman" w:cs="Times New Roman"/>
          <w:sz w:val="24"/>
        </w:rPr>
      </w:pPr>
      <w:r>
        <w:rPr>
          <w:rFonts w:ascii="Times New Roman" w:eastAsia="Calibri" w:hAnsi="Times New Roman" w:cs="Times New Roman"/>
          <w:sz w:val="24"/>
        </w:rPr>
        <w:t>Key words: Foraminifera, PETM, ecological functions, biological traits, palaeoecology, marine environment, climate change, Atlantic Ocean</w:t>
      </w:r>
    </w:p>
    <w:p w:rsidR="0062109E" w:rsidRDefault="0062109E">
      <w:pPr>
        <w:spacing w:line="360" w:lineRule="auto"/>
        <w:jc w:val="center"/>
        <w:rPr>
          <w:rFonts w:ascii="Times New Roman" w:eastAsia="Calibri" w:hAnsi="Times New Roman" w:cs="Times New Roman"/>
          <w:b/>
          <w:sz w:val="24"/>
        </w:rPr>
      </w:pPr>
    </w:p>
    <w:p w:rsidR="0062109E" w:rsidRDefault="0062109E">
      <w:pPr>
        <w:spacing w:line="360" w:lineRule="auto"/>
        <w:jc w:val="center"/>
        <w:rPr>
          <w:rFonts w:ascii="Times New Roman" w:eastAsia="Calibri" w:hAnsi="Times New Roman" w:cs="Times New Roman"/>
          <w:b/>
          <w:sz w:val="24"/>
        </w:rPr>
      </w:pPr>
    </w:p>
    <w:p w:rsidR="0062109E" w:rsidRDefault="0062109E">
      <w:pPr>
        <w:spacing w:line="360" w:lineRule="auto"/>
        <w:jc w:val="center"/>
        <w:rPr>
          <w:rFonts w:ascii="Times New Roman" w:eastAsia="Calibri" w:hAnsi="Times New Roman" w:cs="Times New Roman"/>
          <w:b/>
          <w:sz w:val="24"/>
        </w:rPr>
      </w:pPr>
    </w:p>
    <w:p w:rsidR="0062109E" w:rsidRDefault="00CF5136">
      <w:pPr>
        <w:pStyle w:val="Heading1"/>
        <w:rPr>
          <w:rFonts w:eastAsia="Calibri"/>
        </w:rPr>
      </w:pPr>
      <w:r>
        <w:rPr>
          <w:rFonts w:eastAsia="Calibri"/>
        </w:rPr>
        <w:lastRenderedPageBreak/>
        <w:t>1 Introduction</w:t>
      </w:r>
    </w:p>
    <w:p w:rsidR="0062109E" w:rsidRDefault="00CF51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Due to the rapid changing of global marine ecosystem as a result </w:t>
      </w:r>
      <w:r>
        <w:rPr>
          <w:rFonts w:ascii="Times New Roman" w:hAnsi="Times New Roman" w:cs="Times New Roman"/>
          <w:sz w:val="24"/>
          <w:szCs w:val="24"/>
        </w:rPr>
        <w:t>of anthropogenic (e.g excessive input of greenhouse gases; destruction of natural habitat; environmental pollution) and natural (orbital forcing, volcanism) pressures, climate scientist have forecasted   extreme climatic condition for the next few millenni</w:t>
      </w:r>
      <w:r>
        <w:rPr>
          <w:rFonts w:ascii="Times New Roman" w:hAnsi="Times New Roman" w:cs="Times New Roman"/>
          <w:sz w:val="24"/>
          <w:szCs w:val="24"/>
        </w:rPr>
        <w:t xml:space="preserve">a (Zachos </w:t>
      </w:r>
      <w:r>
        <w:rPr>
          <w:rFonts w:ascii="Times New Roman" w:hAnsi="Times New Roman" w:cs="Times New Roman"/>
          <w:i/>
          <w:sz w:val="24"/>
          <w:szCs w:val="24"/>
        </w:rPr>
        <w:t>et al.,</w:t>
      </w:r>
      <w:r>
        <w:rPr>
          <w:rFonts w:ascii="Times New Roman" w:hAnsi="Times New Roman" w:cs="Times New Roman"/>
          <w:sz w:val="24"/>
          <w:szCs w:val="24"/>
        </w:rPr>
        <w:t xml:space="preserve"> 2008; Caswell</w:t>
      </w:r>
      <w:r>
        <w:rPr>
          <w:rFonts w:ascii="Times New Roman" w:hAnsi="Times New Roman" w:cs="Times New Roman"/>
          <w:i/>
          <w:sz w:val="24"/>
          <w:szCs w:val="24"/>
        </w:rPr>
        <w:t xml:space="preserve"> et al.,</w:t>
      </w:r>
      <w:r>
        <w:rPr>
          <w:rFonts w:ascii="Times New Roman" w:hAnsi="Times New Roman" w:cs="Times New Roman"/>
          <w:sz w:val="24"/>
          <w:szCs w:val="24"/>
        </w:rPr>
        <w:t xml:space="preserve"> 2017)</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sz w:val="24"/>
          <w:szCs w:val="24"/>
        </w:rPr>
        <w:t>h</w:t>
      </w:r>
      <w:r>
        <w:rPr>
          <w:rFonts w:ascii="Times New Roman" w:hAnsi="Times New Roman" w:cs="Times New Roman"/>
          <w:sz w:val="24"/>
          <w:szCs w:val="24"/>
        </w:rPr>
        <w:t xml:space="preserve">is  extreme climate </w:t>
      </w:r>
      <w:r>
        <w:rPr>
          <w:rFonts w:ascii="Times New Roman" w:hAnsi="Times New Roman" w:cs="Times New Roman"/>
          <w:sz w:val="24"/>
          <w:szCs w:val="24"/>
        </w:rPr>
        <w:t xml:space="preserve">could lead to enormous mass extinction and permanently alter the current climate system. To understand how this extreme climate will affect the ocean in the future as well one of the most important organism (foraminifera) in the marine trophic level, this </w:t>
      </w:r>
      <w:r>
        <w:rPr>
          <w:rFonts w:ascii="Times New Roman" w:hAnsi="Times New Roman" w:cs="Times New Roman"/>
          <w:sz w:val="24"/>
          <w:szCs w:val="24"/>
        </w:rPr>
        <w:t xml:space="preserve">study has investigated a well-known hyperthermal event known as [the Palaeocene – Eocene Thermal Maximum (PETM)] in the geologic record that is similar in magnitude and rate of greenhouse emission as present value. The PETM is a global </w:t>
      </w:r>
      <w:r>
        <w:rPr>
          <w:rFonts w:ascii="Times New Roman" w:hAnsi="Times New Roman" w:cs="Times New Roman"/>
          <w:sz w:val="24"/>
          <w:szCs w:val="24"/>
        </w:rPr>
        <w:t>climatic</w:t>
      </w:r>
      <w:r>
        <w:rPr>
          <w:rFonts w:ascii="Times New Roman" w:hAnsi="Times New Roman" w:cs="Times New Roman"/>
          <w:sz w:val="24"/>
          <w:szCs w:val="24"/>
        </w:rPr>
        <w:t xml:space="preserve"> event that </w:t>
      </w:r>
      <w:r>
        <w:rPr>
          <w:rFonts w:ascii="Times New Roman" w:hAnsi="Times New Roman" w:cs="Times New Roman"/>
          <w:sz w:val="24"/>
          <w:szCs w:val="24"/>
        </w:rPr>
        <w:t>occurred 55 – 56 million years ago</w:t>
      </w:r>
      <w:r>
        <w:rPr>
          <w:rFonts w:ascii="Times New Roman" w:hAnsi="Times New Roman" w:cs="Times New Roman"/>
          <w:sz w:val="24"/>
          <w:szCs w:val="24"/>
        </w:rPr>
        <w:t>. It is</w:t>
      </w:r>
      <w:r>
        <w:rPr>
          <w:rFonts w:ascii="Times New Roman" w:hAnsi="Times New Roman" w:cs="Times New Roman"/>
          <w:sz w:val="24"/>
          <w:szCs w:val="24"/>
        </w:rPr>
        <w:t xml:space="preserve"> </w:t>
      </w:r>
      <w:r>
        <w:rPr>
          <w:rFonts w:ascii="Times New Roman" w:hAnsi="Times New Roman" w:cs="Times New Roman"/>
          <w:sz w:val="24"/>
          <w:szCs w:val="24"/>
        </w:rPr>
        <w:t>believed that the PETM was</w:t>
      </w:r>
      <w:r>
        <w:rPr>
          <w:rFonts w:ascii="Times New Roman" w:hAnsi="Times New Roman" w:cs="Times New Roman"/>
          <w:sz w:val="24"/>
          <w:szCs w:val="24"/>
        </w:rPr>
        <w:t xml:space="preserve"> caused by massive injection of light carbon into the earth system (Lyons </w:t>
      </w:r>
      <w:r>
        <w:rPr>
          <w:rFonts w:ascii="Times New Roman" w:hAnsi="Times New Roman" w:cs="Times New Roman"/>
          <w:i/>
          <w:sz w:val="24"/>
          <w:szCs w:val="24"/>
        </w:rPr>
        <w:t>et al.,</w:t>
      </w:r>
      <w:r>
        <w:rPr>
          <w:rFonts w:ascii="Times New Roman" w:hAnsi="Times New Roman" w:cs="Times New Roman"/>
          <w:sz w:val="24"/>
          <w:szCs w:val="24"/>
        </w:rPr>
        <w:t xml:space="preserve"> 2019) </w:t>
      </w:r>
      <w:r>
        <w:rPr>
          <w:rFonts w:ascii="Times New Roman" w:hAnsi="Times New Roman" w:cs="Times New Roman"/>
          <w:sz w:val="24"/>
          <w:szCs w:val="24"/>
        </w:rPr>
        <w:t>which</w:t>
      </w:r>
      <w:r>
        <w:rPr>
          <w:rFonts w:ascii="Times New Roman" w:hAnsi="Times New Roman" w:cs="Times New Roman"/>
          <w:sz w:val="24"/>
          <w:szCs w:val="24"/>
        </w:rPr>
        <w:t xml:space="preserve"> coincided with eccentricity maxima (Deconto </w:t>
      </w:r>
      <w:r>
        <w:rPr>
          <w:rFonts w:ascii="Times New Roman" w:hAnsi="Times New Roman" w:cs="Times New Roman"/>
          <w:i/>
          <w:sz w:val="24"/>
          <w:szCs w:val="24"/>
        </w:rPr>
        <w:t>et al</w:t>
      </w:r>
      <w:r>
        <w:rPr>
          <w:rFonts w:ascii="Times New Roman" w:hAnsi="Times New Roman" w:cs="Times New Roman"/>
          <w:sz w:val="24"/>
          <w:szCs w:val="24"/>
        </w:rPr>
        <w:t>. 2012). The event is characterised by 2- 3%</w:t>
      </w:r>
      <w:r>
        <w:rPr>
          <w:rFonts w:ascii="Times New Roman" w:hAnsi="Times New Roman" w:cs="Times New Roman"/>
          <w:sz w:val="24"/>
          <w:szCs w:val="24"/>
          <w:vertAlign w:val="subscript"/>
        </w:rPr>
        <w:t>0</w:t>
      </w:r>
      <w:r>
        <w:rPr>
          <w:rFonts w:ascii="Times New Roman" w:hAnsi="Times New Roman" w:cs="Times New Roman"/>
          <w:sz w:val="24"/>
          <w:szCs w:val="24"/>
        </w:rPr>
        <w:t xml:space="preserve"> carbon isotopic excursion (CIE), extensive acidification of the deep sea that led to the burn down of existing calcite deposit in the ocean and a significant rise in the lysocline and carbon compensation depth (CCD) (Babila </w:t>
      </w:r>
      <w:r>
        <w:rPr>
          <w:rFonts w:ascii="Times New Roman" w:hAnsi="Times New Roman" w:cs="Times New Roman"/>
          <w:i/>
          <w:sz w:val="24"/>
          <w:szCs w:val="24"/>
        </w:rPr>
        <w:t>et al.,</w:t>
      </w:r>
      <w:r>
        <w:rPr>
          <w:rFonts w:ascii="Times New Roman" w:hAnsi="Times New Roman" w:cs="Times New Roman"/>
          <w:sz w:val="24"/>
          <w:szCs w:val="24"/>
        </w:rPr>
        <w:t xml:space="preserve"> 2018). The PETM also ha</w:t>
      </w:r>
      <w:r>
        <w:rPr>
          <w:rFonts w:ascii="Times New Roman" w:hAnsi="Times New Roman" w:cs="Times New Roman"/>
          <w:sz w:val="24"/>
          <w:szCs w:val="24"/>
        </w:rPr>
        <w:t xml:space="preserve">ve a significant effect on marine ecosystem faunal turnover such as the massive extinction of benthic foraminifera, diversification and migration of planktonic foraminifera (Williams </w:t>
      </w:r>
      <w:r>
        <w:rPr>
          <w:rFonts w:ascii="Times New Roman" w:hAnsi="Times New Roman" w:cs="Times New Roman"/>
          <w:i/>
          <w:sz w:val="24"/>
          <w:szCs w:val="24"/>
        </w:rPr>
        <w:t>et al.,</w:t>
      </w:r>
      <w:r>
        <w:rPr>
          <w:rFonts w:ascii="Times New Roman" w:hAnsi="Times New Roman" w:cs="Times New Roman"/>
          <w:sz w:val="24"/>
          <w:szCs w:val="24"/>
        </w:rPr>
        <w:t xml:space="preserve"> 2007). </w:t>
      </w:r>
    </w:p>
    <w:p w:rsidR="0062109E" w:rsidRDefault="00CF5136">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Foraminifera are unicellular marine protozoans with calca</w:t>
      </w:r>
      <w:r>
        <w:rPr>
          <w:rFonts w:ascii="Times New Roman" w:hAnsi="Times New Roman" w:cs="Times New Roman"/>
          <w:sz w:val="24"/>
          <w:szCs w:val="24"/>
        </w:rPr>
        <w:t xml:space="preserve">reous shells usually subdivided into chambers. </w:t>
      </w:r>
      <w:r>
        <w:rPr>
          <w:rFonts w:ascii="Times New Roman" w:eastAsia="Calibri" w:hAnsi="Times New Roman" w:cs="Times New Roman"/>
          <w:sz w:val="24"/>
          <w:szCs w:val="24"/>
        </w:rPr>
        <w:t xml:space="preserve">Foraminifera are the most important calcifying zooplankton group </w:t>
      </w:r>
      <w:r>
        <w:rPr>
          <w:rFonts w:ascii="Times New Roman" w:eastAsia="Calibri" w:hAnsi="Times New Roman" w:cs="Times New Roman"/>
          <w:sz w:val="24"/>
          <w:szCs w:val="24"/>
        </w:rPr>
        <w:t xml:space="preserve">in the marine ecosystem </w:t>
      </w:r>
      <w:r>
        <w:rPr>
          <w:rFonts w:ascii="Times New Roman" w:eastAsia="Calibri" w:hAnsi="Times New Roman" w:cs="Times New Roman"/>
          <w:sz w:val="24"/>
          <w:szCs w:val="24"/>
        </w:rPr>
        <w:t xml:space="preserve">(Grigoratou </w:t>
      </w:r>
      <w:r>
        <w:rPr>
          <w:rFonts w:ascii="Times New Roman Italic" w:eastAsia="Calibri" w:hAnsi="Times New Roman Italic" w:cs="Times New Roman"/>
          <w:i/>
          <w:sz w:val="24"/>
          <w:szCs w:val="24"/>
        </w:rPr>
        <w:t>et al.</w:t>
      </w:r>
      <w:r>
        <w:rPr>
          <w:rFonts w:ascii="Times New Roman" w:eastAsia="Calibri" w:hAnsi="Times New Roman" w:cs="Times New Roman"/>
          <w:sz w:val="24"/>
          <w:szCs w:val="24"/>
        </w:rPr>
        <w:t>, 201</w:t>
      </w:r>
      <w:r>
        <w:rPr>
          <w:rFonts w:ascii="Times New Roman" w:eastAsia="Calibri" w:hAnsi="Times New Roman" w:cs="Times New Roman"/>
          <w:sz w:val="24"/>
          <w:szCs w:val="24"/>
        </w:rPr>
        <w:t>9</w:t>
      </w:r>
      <w:r>
        <w:rPr>
          <w:rFonts w:ascii="Times New Roman" w:eastAsia="Calibri" w:hAnsi="Times New Roman" w:cs="Times New Roman"/>
          <w:sz w:val="24"/>
          <w:szCs w:val="24"/>
        </w:rPr>
        <w:t>) and provide crucial ecological functions in the oceans such as primary production, nutrient cy</w:t>
      </w:r>
      <w:r>
        <w:rPr>
          <w:rFonts w:ascii="Times New Roman" w:eastAsia="Calibri" w:hAnsi="Times New Roman" w:cs="Times New Roman"/>
          <w:sz w:val="24"/>
          <w:szCs w:val="24"/>
        </w:rPr>
        <w:t>cling, and carbon sequestration and as a food source to the numerous organisms in the higher trophic level of the marine ecosystem.  In the deep sea, benthic foraminifera represent the most important contributors to the micro-faunal biomass, and their dist</w:t>
      </w:r>
      <w:r>
        <w:rPr>
          <w:rFonts w:ascii="Times New Roman" w:eastAsia="Calibri" w:hAnsi="Times New Roman" w:cs="Times New Roman"/>
          <w:sz w:val="24"/>
          <w:szCs w:val="24"/>
        </w:rPr>
        <w:t xml:space="preserve">ribution is intricately linked to the flux of particulate organic matter from the upper ocean to the sea floor (Jorissen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2007).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Because the shells of most foraminifera are composed of calcium carbonate, they are the highest contributor of biogenic</w:t>
      </w:r>
      <w:r>
        <w:rPr>
          <w:rFonts w:ascii="Times New Roman" w:eastAsia="Calibri" w:hAnsi="Times New Roman" w:cs="Times New Roman"/>
          <w:sz w:val="24"/>
          <w:szCs w:val="24"/>
        </w:rPr>
        <w:t xml:space="preserve"> calcite in the open ocean across the globe (Petrizzo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2008). Foraminifera is known to be very sensitive to the physio-chemical variability in the oceans and tends to incorporate the physical and chemical composition of the sea water they calcified </w:t>
      </w:r>
      <w:r>
        <w:rPr>
          <w:rFonts w:ascii="Times New Roman" w:eastAsia="Calibri" w:hAnsi="Times New Roman" w:cs="Times New Roman"/>
          <w:sz w:val="24"/>
          <w:szCs w:val="24"/>
        </w:rPr>
        <w:t xml:space="preserve">into their shell and thereby recording the prevailing environmental conditions. The chemical composition of foraminiferal shell (hereafter referred as test) is used as proxy for the </w:t>
      </w:r>
      <w:r>
        <w:rPr>
          <w:rFonts w:ascii="Times New Roman" w:eastAsia="Calibri" w:hAnsi="Times New Roman" w:cs="Times New Roman"/>
          <w:sz w:val="24"/>
          <w:szCs w:val="24"/>
        </w:rPr>
        <w:lastRenderedPageBreak/>
        <w:t>interpretation of palaeoecological and palaeoclimatic conditions such as t</w:t>
      </w:r>
      <w:r>
        <w:rPr>
          <w:rFonts w:ascii="Times New Roman" w:eastAsia="Calibri" w:hAnsi="Times New Roman" w:cs="Times New Roman"/>
          <w:sz w:val="24"/>
          <w:szCs w:val="24"/>
        </w:rPr>
        <w:t xml:space="preserve">emperature, carbon saturation, salinity, palaeocirculation, oxygen concentration and hydrodynamics during their life time (e.g. Thomas, 2007; Boscolo Galazzo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2014; Littler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2014; Nwojiji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2014; Palike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2014; </w:t>
      </w:r>
      <w:r>
        <w:rPr>
          <w:rFonts w:ascii="Times New Roman" w:eastAsia="Calibri" w:hAnsi="Times New Roman" w:cs="Times New Roman"/>
          <w:sz w:val="24"/>
          <w:szCs w:val="24"/>
        </w:rPr>
        <w:t xml:space="preserve">and </w:t>
      </w:r>
      <w:r>
        <w:rPr>
          <w:rFonts w:ascii="Times New Roman" w:eastAsia="Calibri" w:hAnsi="Times New Roman"/>
          <w:sz w:val="24"/>
          <w:szCs w:val="24"/>
        </w:rPr>
        <w:t>Arreguín-Rodríguez et al., 2016</w:t>
      </w:r>
      <w:r>
        <w:rPr>
          <w:rFonts w:ascii="Times New Roman" w:eastAsia="Calibri" w:hAnsi="Times New Roman" w:cs="Times New Roman"/>
          <w:sz w:val="24"/>
          <w:szCs w:val="24"/>
        </w:rPr>
        <w:t>). The physiological makeup of foraminifera plays a huge role in the surviving strategies they adopt while alive and has been demonstrated in the fossil and modern species records to have a close relationship with environment</w:t>
      </w:r>
      <w:r>
        <w:rPr>
          <w:rFonts w:ascii="Times New Roman" w:eastAsia="Calibri" w:hAnsi="Times New Roman" w:cs="Times New Roman"/>
          <w:sz w:val="24"/>
          <w:szCs w:val="24"/>
        </w:rPr>
        <w:t xml:space="preserve">al parameters (Keating-Bitonti and Payne, 2017).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Several palaeoecological studies have linked vertical separations in the ocean to the morphological stratification of foraminiferal ecosystem both at the pelagic and benthic zones (Luciani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2007; Arr</w:t>
      </w:r>
      <w:r>
        <w:rPr>
          <w:rFonts w:ascii="Times New Roman" w:eastAsia="Calibri" w:hAnsi="Times New Roman" w:cs="Times New Roman"/>
          <w:sz w:val="24"/>
          <w:szCs w:val="24"/>
        </w:rPr>
        <w:t xml:space="preserve">eguin-Rodriguez </w:t>
      </w:r>
      <w:r>
        <w:rPr>
          <w:rFonts w:ascii="Times New Roman" w:eastAsia="Calibri" w:hAnsi="Times New Roman" w:cs="Times New Roman"/>
          <w:i/>
          <w:sz w:val="24"/>
          <w:szCs w:val="24"/>
        </w:rPr>
        <w:t>et al</w:t>
      </w:r>
      <w:r>
        <w:rPr>
          <w:rFonts w:ascii="Times New Roman" w:eastAsia="Calibri" w:hAnsi="Times New Roman" w:cs="Times New Roman"/>
          <w:sz w:val="24"/>
          <w:szCs w:val="24"/>
        </w:rPr>
        <w:t>., 2016; Schiebel and Hemleben, 2017).  In the benthic zone, the epifauna species are composed of smooth trochospirally coiled and coarsely perforated forms while the infaunal species are significantly rough, bi-triserially chambered a</w:t>
      </w:r>
      <w:r>
        <w:rPr>
          <w:rFonts w:ascii="Times New Roman" w:eastAsia="Calibri" w:hAnsi="Times New Roman" w:cs="Times New Roman"/>
          <w:sz w:val="24"/>
          <w:szCs w:val="24"/>
        </w:rPr>
        <w:t xml:space="preserve">nd elongate forms (Corliss and Chen, 1998; Jorrisen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2007).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Traits referred to as well defined and measurable attribute of an organism is believed to control organism's interaction within their ecological community than taxonomic composition. Foram</w:t>
      </w:r>
      <w:r>
        <w:rPr>
          <w:rFonts w:ascii="Times New Roman" w:eastAsia="Calibri" w:hAnsi="Times New Roman" w:cs="Times New Roman"/>
          <w:sz w:val="24"/>
          <w:szCs w:val="24"/>
        </w:rPr>
        <w:t>iniferal traits are intrinsically linked to the ecological functions they perform in the ocean. For instance, test composition function as a protective tool and is known to reduce biological, physical and chemical stress of foraminifera in their environmen</w:t>
      </w:r>
      <w:r>
        <w:rPr>
          <w:rFonts w:ascii="Times New Roman" w:eastAsia="Calibri" w:hAnsi="Times New Roman" w:cs="Times New Roman"/>
          <w:sz w:val="24"/>
          <w:szCs w:val="24"/>
        </w:rPr>
        <w:t>t (Armstrong and Brasier 2005). The test shape could also indicate ecological adaptation and preference by foraminifera.  The arrangement of the test chambers and their shape chamber could also indicate ecological stress, for instance, change from sinistra</w:t>
      </w:r>
      <w:r>
        <w:rPr>
          <w:rFonts w:ascii="Times New Roman" w:eastAsia="Calibri" w:hAnsi="Times New Roman" w:cs="Times New Roman"/>
          <w:sz w:val="24"/>
          <w:szCs w:val="24"/>
        </w:rPr>
        <w:t xml:space="preserve">l to dextral or evolute to involute coiling in trochospiral test has been related to change in water temperature and bathymetry (Boltovskoy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1991).  Elements of test microstructure such as the macro-ornamentation (e.g. spines or muricae) could also </w:t>
      </w:r>
      <w:r>
        <w:rPr>
          <w:rFonts w:ascii="Times New Roman" w:eastAsia="Calibri" w:hAnsi="Times New Roman" w:cs="Times New Roman"/>
          <w:sz w:val="24"/>
          <w:szCs w:val="24"/>
        </w:rPr>
        <w:t xml:space="preserve">reflect the mode of living and adaptation to surrounding water condition. Ornamentation in foraminifera also play a huge role in feeding, adaptation to extreme environmental condition, movement as well as prey -predation relationship (Dubicka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2015).</w:t>
      </w:r>
      <w:r>
        <w:rPr>
          <w:rFonts w:ascii="Times New Roman" w:eastAsia="Calibri" w:hAnsi="Times New Roman" w:cs="Times New Roman"/>
          <w:sz w:val="24"/>
          <w:szCs w:val="24"/>
        </w:rPr>
        <w:t xml:space="preserve"> Pores in foraminifera are used for gas exchange, osmoregulation, intake and release of nutrient and ecosymbiosis</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Because foraminifera plays a significant role in the global carbon sequestration and food supply, it is very important to use as many techniqu</w:t>
      </w:r>
      <w:r>
        <w:rPr>
          <w:rFonts w:ascii="Times New Roman" w:eastAsia="Calibri" w:hAnsi="Times New Roman" w:cs="Times New Roman"/>
          <w:sz w:val="24"/>
          <w:szCs w:val="24"/>
        </w:rPr>
        <w:t xml:space="preserve">e as possible understand to their feedback to past climatic extreme. The reaction of foraminifera to past climatic changes will provide clues to the current climate and future climate change. To </w:t>
      </w:r>
      <w:r>
        <w:rPr>
          <w:rFonts w:ascii="Times New Roman" w:eastAsia="Calibri" w:hAnsi="Times New Roman" w:cs="Times New Roman"/>
          <w:sz w:val="24"/>
          <w:szCs w:val="24"/>
        </w:rPr>
        <w:t xml:space="preserve">contribute in understanding the past </w:t>
      </w:r>
      <w:r>
        <w:rPr>
          <w:rFonts w:ascii="Times New Roman" w:eastAsia="Calibri" w:hAnsi="Times New Roman" w:cs="Times New Roman"/>
          <w:sz w:val="24"/>
          <w:szCs w:val="24"/>
        </w:rPr>
        <w:lastRenderedPageBreak/>
        <w:t>climate in other to forc</w:t>
      </w:r>
      <w:r>
        <w:rPr>
          <w:rFonts w:ascii="Times New Roman" w:eastAsia="Calibri" w:hAnsi="Times New Roman" w:cs="Times New Roman"/>
          <w:sz w:val="24"/>
          <w:szCs w:val="24"/>
        </w:rPr>
        <w:t>ast the future,</w:t>
      </w:r>
      <w:r>
        <w:rPr>
          <w:rFonts w:ascii="Times New Roman" w:eastAsia="Calibri" w:hAnsi="Times New Roman" w:cs="Times New Roman"/>
          <w:sz w:val="24"/>
          <w:szCs w:val="24"/>
        </w:rPr>
        <w:t xml:space="preserve"> this </w:t>
      </w:r>
      <w:r>
        <w:rPr>
          <w:rFonts w:ascii="Times New Roman" w:eastAsia="Calibri" w:hAnsi="Times New Roman" w:cs="Times New Roman"/>
          <w:sz w:val="24"/>
          <w:szCs w:val="24"/>
        </w:rPr>
        <w:t>study</w:t>
      </w:r>
      <w:r>
        <w:rPr>
          <w:rFonts w:ascii="Times New Roman" w:eastAsia="Calibri" w:hAnsi="Times New Roman" w:cs="Times New Roman"/>
          <w:sz w:val="24"/>
          <w:szCs w:val="24"/>
        </w:rPr>
        <w:t xml:space="preserve"> have selected a suitable location at the southeastern the Atlantic Ocean </w:t>
      </w:r>
      <w:r>
        <w:rPr>
          <w:rFonts w:ascii="Times New Roman" w:eastAsia="Calibri" w:hAnsi="Times New Roman" w:cs="Times New Roman"/>
          <w:sz w:val="24"/>
          <w:szCs w:val="24"/>
        </w:rPr>
        <w:t>cored</w:t>
      </w:r>
      <w:r>
        <w:rPr>
          <w:rFonts w:ascii="Times New Roman" w:eastAsia="Calibri" w:hAnsi="Times New Roman" w:cs="Times New Roman"/>
          <w:sz w:val="24"/>
          <w:szCs w:val="24"/>
        </w:rPr>
        <w:t xml:space="preserve"> during the </w:t>
      </w:r>
      <w:r>
        <w:rPr>
          <w:rFonts w:ascii="Times New Roman" w:eastAsia="Calibri" w:hAnsi="Times New Roman" w:cs="Times New Roman"/>
          <w:sz w:val="24"/>
          <w:szCs w:val="24"/>
        </w:rPr>
        <w:t>ocean drilling program (</w:t>
      </w:r>
      <w:r>
        <w:rPr>
          <w:rFonts w:ascii="Times New Roman" w:eastAsia="Calibri" w:hAnsi="Times New Roman" w:cs="Times New Roman"/>
          <w:sz w:val="24"/>
          <w:szCs w:val="24"/>
        </w:rPr>
        <w:t>ODP</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campaign </w:t>
      </w:r>
      <w:r>
        <w:rPr>
          <w:rFonts w:ascii="Times New Roman" w:eastAsia="Calibri" w:hAnsi="Times New Roman" w:cs="Times New Roman"/>
          <w:sz w:val="24"/>
          <w:szCs w:val="24"/>
        </w:rPr>
        <w:t xml:space="preserve">of </w:t>
      </w:r>
      <w:r>
        <w:rPr>
          <w:rFonts w:ascii="Times New Roman" w:eastAsia="Calibri" w:hAnsi="Times New Roman" w:cs="Times New Roman"/>
          <w:sz w:val="24"/>
          <w:szCs w:val="24"/>
        </w:rPr>
        <w:t>Leg 208 site 1265 (Figure 1)</w:t>
      </w:r>
      <w:r>
        <w:rPr>
          <w:rFonts w:ascii="Times New Roman" w:eastAsia="Calibri" w:hAnsi="Times New Roman" w:cs="Times New Roman"/>
          <w:sz w:val="24"/>
          <w:szCs w:val="24"/>
        </w:rPr>
        <w:t xml:space="preserve"> to study the benthic foraminiofera turn over during the PETM</w:t>
      </w:r>
      <w:r>
        <w:rPr>
          <w:rFonts w:ascii="Times New Roman" w:eastAsia="Calibri" w:hAnsi="Times New Roman" w:cs="Times New Roman"/>
          <w:sz w:val="24"/>
          <w:szCs w:val="24"/>
        </w:rPr>
        <w:t>. Site 12</w:t>
      </w:r>
      <w:r>
        <w:rPr>
          <w:rFonts w:ascii="Times New Roman" w:eastAsia="Calibri" w:hAnsi="Times New Roman" w:cs="Times New Roman"/>
          <w:sz w:val="24"/>
          <w:szCs w:val="24"/>
        </w:rPr>
        <w:t>65 is located</w:t>
      </w:r>
      <w:r>
        <w:rPr>
          <w:rFonts w:ascii="Times New Roman" w:eastAsia="Calibri" w:hAnsi="Times New Roman" w:cs="Times New Roman"/>
          <w:sz w:val="24"/>
          <w:szCs w:val="24"/>
        </w:rPr>
        <w:t xml:space="preserve"> in the South African margin on latitude  </w:t>
      </w:r>
      <w:r>
        <w:rPr>
          <w:rFonts w:ascii="Times New Roman" w:eastAsia="Hiragino Kaku Gothic ProN W3" w:hAnsi="Times New Roman" w:cs="Times New Roman"/>
          <w:color w:val="202124"/>
          <w:sz w:val="24"/>
          <w:szCs w:val="28"/>
          <w:lang w:val="en-US" w:eastAsia="zh-CN" w:bidi="ar"/>
        </w:rPr>
        <w:t>27°11.160´S</w:t>
      </w:r>
      <w:r>
        <w:rPr>
          <w:rFonts w:ascii="Times New Roman" w:eastAsia="Hiragino Kaku Gothic ProN W3" w:hAnsi="Times New Roman" w:cs="Times New Roman"/>
          <w:color w:val="202124"/>
          <w:sz w:val="24"/>
          <w:szCs w:val="28"/>
          <w:lang w:eastAsia="zh-CN" w:bidi="ar"/>
        </w:rPr>
        <w:t xml:space="preserve"> and l</w:t>
      </w:r>
      <w:r>
        <w:rPr>
          <w:rFonts w:ascii="Times New Roman" w:eastAsia="Calibri" w:hAnsi="Times New Roman" w:cs="Times New Roman"/>
          <w:sz w:val="24"/>
          <w:szCs w:val="24"/>
        </w:rPr>
        <w:t xml:space="preserve">ongitude </w:t>
      </w:r>
      <w:r>
        <w:rPr>
          <w:rFonts w:ascii="Times New Roman" w:eastAsia="SimSun" w:hAnsi="Times New Roman" w:cs="Times New Roman"/>
          <w:color w:val="202124"/>
          <w:sz w:val="24"/>
          <w:szCs w:val="24"/>
          <w:lang w:val="en-US" w:eastAsia="zh-CN" w:bidi="ar"/>
        </w:rPr>
        <w:t>1°34.620´E</w:t>
      </w:r>
      <w:r>
        <w:rPr>
          <w:rFonts w:ascii="Arial" w:eastAsia="SimSun" w:hAnsi="Arial" w:cs="Arial"/>
          <w:color w:val="202124"/>
          <w:sz w:val="28"/>
          <w:szCs w:val="28"/>
          <w:lang w:eastAsia="zh-CN" w:bidi="ar"/>
        </w:rPr>
        <w:t xml:space="preserve"> </w:t>
      </w:r>
      <w:r>
        <w:rPr>
          <w:rFonts w:ascii="Times New Roman" w:eastAsia="Calibri" w:hAnsi="Times New Roman" w:cs="Times New Roman"/>
          <w:sz w:val="24"/>
          <w:szCs w:val="24"/>
        </w:rPr>
        <w:t>in a broad channel at the base of the westward trending slope of the Walvis Ridge</w:t>
      </w:r>
      <w:r>
        <w:rPr>
          <w:rFonts w:ascii="Times New Roman" w:eastAsia="Calibri" w:hAnsi="Times New Roman" w:cs="Times New Roman"/>
          <w:sz w:val="24"/>
          <w:szCs w:val="24"/>
        </w:rPr>
        <w:t xml:space="preserve"> </w:t>
      </w:r>
      <w:r>
        <w:rPr>
          <w:rFonts w:ascii="Times New Roman" w:eastAsia="Calibri" w:hAnsi="Times New Roman"/>
          <w:sz w:val="24"/>
          <w:szCs w:val="24"/>
        </w:rPr>
        <w:t xml:space="preserve">(Zachos </w:t>
      </w:r>
      <w:r>
        <w:rPr>
          <w:rFonts w:ascii="Times New Roman Italic" w:eastAsia="Calibri" w:hAnsi="Times New Roman Italic" w:cs="Times New Roman Italic"/>
          <w:i/>
          <w:iCs/>
          <w:sz w:val="24"/>
          <w:szCs w:val="24"/>
        </w:rPr>
        <w:t>et al.</w:t>
      </w:r>
      <w:r>
        <w:rPr>
          <w:rFonts w:ascii="Times New Roman" w:eastAsia="Calibri" w:hAnsi="Times New Roman"/>
          <w:sz w:val="24"/>
          <w:szCs w:val="24"/>
        </w:rPr>
        <w:t>, 2004)</w:t>
      </w:r>
      <w:r>
        <w:rPr>
          <w:rFonts w:ascii="Times New Roman" w:eastAsia="Calibri" w:hAnsi="Times New Roman" w:cs="Times New Roman"/>
          <w:sz w:val="24"/>
          <w:szCs w:val="24"/>
        </w:rPr>
        <w:t xml:space="preserve"> </w:t>
      </w:r>
      <w:r>
        <w:rPr>
          <w:rFonts w:ascii="Times New Roman" w:eastAsia="Calibri" w:hAnsi="Times New Roman"/>
          <w:sz w:val="24"/>
          <w:szCs w:val="24"/>
        </w:rPr>
        <w:t>at an upper bathyal water depth of 3083m</w:t>
      </w:r>
      <w:r>
        <w:rPr>
          <w:rFonts w:ascii="Times New Roman" w:eastAsia="Calibri" w:hAnsi="Times New Roman" w:cs="Times New Roman"/>
          <w:sz w:val="24"/>
          <w:szCs w:val="24"/>
        </w:rPr>
        <w:t xml:space="preserve"> (see Figure 2)</w:t>
      </w:r>
      <w:r>
        <w:rPr>
          <w:rFonts w:ascii="Times New Roman" w:eastAsia="Calibri" w:hAnsi="Times New Roman" w:cs="Times New Roman"/>
          <w:sz w:val="24"/>
          <w:szCs w:val="24"/>
        </w:rPr>
        <w: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62109E" w:rsidRDefault="00CF5136">
      <w:pPr>
        <w:spacing w:line="360" w:lineRule="auto"/>
        <w:jc w:val="both"/>
        <w:rPr>
          <w:rFonts w:ascii="Times New Roman" w:hAnsi="Times New Roman" w:cs="Times New Roman"/>
          <w:sz w:val="24"/>
          <w:szCs w:val="24"/>
          <w:lang w:eastAsia="en-GB"/>
        </w:rPr>
      </w:pPr>
      <w:r>
        <w:rPr>
          <w:rFonts w:ascii="Times New Roman" w:hAnsi="Times New Roman" w:cs="Times New Roman"/>
          <w:noProof/>
          <w:sz w:val="24"/>
          <w:szCs w:val="24"/>
          <w:lang w:eastAsia="en-GB"/>
        </w:rPr>
        <w:drawing>
          <wp:inline distT="0" distB="0" distL="0" distR="0">
            <wp:extent cx="5231130" cy="2418715"/>
            <wp:effectExtent l="0" t="0" r="127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l="3319" t="7506" r="3046" b="3143"/>
                    <a:stretch>
                      <a:fillRect/>
                    </a:stretch>
                  </pic:blipFill>
                  <pic:spPr>
                    <a:xfrm>
                      <a:off x="0" y="0"/>
                      <a:ext cx="5231130" cy="2418715"/>
                    </a:xfrm>
                    <a:prstGeom prst="rect">
                      <a:avLst/>
                    </a:prstGeom>
                    <a:noFill/>
                  </pic:spPr>
                </pic:pic>
              </a:graphicData>
            </a:graphic>
          </wp:inline>
        </w:drawing>
      </w:r>
    </w:p>
    <w:p w:rsidR="0062109E" w:rsidRDefault="00CF5136">
      <w:pPr>
        <w:spacing w:line="360" w:lineRule="auto"/>
        <w:jc w:val="both"/>
        <w:rPr>
          <w:rFonts w:ascii="Times New Roman" w:hAnsi="Times New Roman" w:cs="Times New Roman"/>
          <w:sz w:val="24"/>
          <w:szCs w:val="24"/>
          <w:lang w:eastAsia="en-GB"/>
        </w:rPr>
      </w:pPr>
      <w:r>
        <w:rPr>
          <w:rFonts w:ascii="Times New Roman" w:eastAsia="Calibri" w:hAnsi="Times New Roman" w:cs="Times New Roman"/>
          <w:sz w:val="24"/>
          <w:szCs w:val="24"/>
        </w:rPr>
        <w:t xml:space="preserve"> </w:t>
      </w:r>
      <w:r>
        <w:rPr>
          <w:rFonts w:ascii="Times New Roman Italic" w:eastAsia="Calibri" w:hAnsi="Times New Roman Italic" w:cs="Times New Roman Italic"/>
          <w:i/>
          <w:iCs/>
          <w:sz w:val="24"/>
          <w:szCs w:val="24"/>
        </w:rPr>
        <w:t xml:space="preserve">Figure 1: </w:t>
      </w:r>
      <w:r>
        <w:rPr>
          <w:rFonts w:ascii="Times New Roman Italic" w:hAnsi="Times New Roman Italic" w:cs="Times New Roman Italic"/>
          <w:i/>
          <w:iCs/>
          <w:sz w:val="24"/>
          <w:szCs w:val="24"/>
        </w:rPr>
        <w:t>Site location of the study areas</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channel contains a thick sequence of Palaeogene to Neogene sedimentary deposit and the section analysed is composed of foraminifer-bearing nannofossil ooze with red clay layer recording the main CIE interval. ODP Leg 208 was the first site to recover a</w:t>
      </w:r>
      <w:r>
        <w:rPr>
          <w:rFonts w:ascii="Times New Roman" w:eastAsia="Calibri" w:hAnsi="Times New Roman" w:cs="Times New Roman"/>
          <w:sz w:val="24"/>
          <w:szCs w:val="24"/>
        </w:rPr>
        <w:t>n intact and undisturbed continuous sequence of Palaeocene – Eocene (P/E) boundary in the deep sea drilling because of the drilling strategy that adopted advanced piston corer (APC) techniques. However, there was a poor recovery of the lower part of the PE</w:t>
      </w:r>
      <w:r>
        <w:rPr>
          <w:rFonts w:ascii="Times New Roman" w:eastAsia="Calibri" w:hAnsi="Times New Roman" w:cs="Times New Roman"/>
          <w:sz w:val="24"/>
          <w:szCs w:val="24"/>
        </w:rPr>
        <w:t xml:space="preserve">TM at site 1265A (Zachos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2004). </w:t>
      </w:r>
    </w:p>
    <w:p w:rsidR="0062109E" w:rsidRDefault="00CF5136">
      <w:pPr>
        <w:spacing w:line="360" w:lineRule="auto"/>
        <w:jc w:val="both"/>
      </w:pPr>
      <w:r>
        <w:rPr>
          <w:noProof/>
        </w:rPr>
        <w:lastRenderedPageBreak/>
        <w:drawing>
          <wp:inline distT="0" distB="0" distL="114300" distR="114300">
            <wp:extent cx="5720715" cy="5518150"/>
            <wp:effectExtent l="0" t="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720715" cy="5518150"/>
                    </a:xfrm>
                    <a:prstGeom prst="rect">
                      <a:avLst/>
                    </a:prstGeom>
                    <a:noFill/>
                    <a:ln>
                      <a:noFill/>
                    </a:ln>
                  </pic:spPr>
                </pic:pic>
              </a:graphicData>
            </a:graphic>
          </wp:inline>
        </w:drawing>
      </w:r>
    </w:p>
    <w:p w:rsidR="0062109E" w:rsidRDefault="00CF5136">
      <w:pPr>
        <w:spacing w:line="360" w:lineRule="auto"/>
        <w:jc w:val="both"/>
        <w:rPr>
          <w:rFonts w:ascii="Times New Roman Italic" w:eastAsia="Calibri" w:hAnsi="Times New Roman Italic" w:cs="Times New Roman Italic"/>
          <w:i/>
          <w:iCs/>
          <w:sz w:val="24"/>
          <w:szCs w:val="24"/>
        </w:rPr>
      </w:pPr>
      <w:r>
        <w:rPr>
          <w:rFonts w:ascii="Times New Roman Italic" w:hAnsi="Times New Roman Italic" w:cs="Times New Roman Italic"/>
          <w:i/>
          <w:iCs/>
        </w:rPr>
        <w:t>Figure 2:</w:t>
      </w:r>
      <w:r>
        <w:rPr>
          <w:rFonts w:ascii="Times New Roman Italic" w:hAnsi="Times New Roman Italic" w:cs="Times New Roman Italic"/>
          <w:i/>
          <w:iCs/>
          <w:sz w:val="24"/>
          <w:szCs w:val="24"/>
        </w:rPr>
        <w:t xml:space="preserve"> Three-dimensional diagram of the Leg 208 drill sites showing the location of site 1265 and other drilling sites cored during the same mission with corresponding bathymetry (adapted from Zachos et al., 20</w:t>
      </w:r>
      <w:r>
        <w:rPr>
          <w:rFonts w:ascii="Times New Roman Italic" w:hAnsi="Times New Roman Italic" w:cs="Times New Roman Italic"/>
          <w:i/>
          <w:iCs/>
          <w:sz w:val="24"/>
          <w:szCs w:val="24"/>
        </w:rPr>
        <w:t>04).</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Thirty-five sediment samples from core depth 266.31 mbsf – 276.66 mbsf have been analysed for foraminiferal abundance and distribution across the PETM section. The recovered foraminifera was further analysed for trait composition and subjected to mult</w:t>
      </w:r>
      <w:r>
        <w:rPr>
          <w:rFonts w:ascii="Times New Roman" w:eastAsia="Calibri" w:hAnsi="Times New Roman" w:cs="Times New Roman"/>
          <w:sz w:val="24"/>
          <w:szCs w:val="24"/>
        </w:rPr>
        <w:t>ivariate statistical modeling known as biological traits analysis</w:t>
      </w:r>
      <w:r>
        <w:rPr>
          <w:rStyle w:val="FootnoteReference"/>
          <w:rFonts w:ascii="Times New Roman" w:eastAsia="Calibri" w:hAnsi="Times New Roman" w:cs="Times New Roman"/>
          <w:sz w:val="24"/>
          <w:szCs w:val="24"/>
        </w:rPr>
        <w:footnoteReference w:id="1"/>
      </w:r>
      <w:r>
        <w:rPr>
          <w:rFonts w:ascii="Times New Roman" w:eastAsia="Calibri" w:hAnsi="Times New Roman" w:cs="Times New Roman"/>
          <w:sz w:val="24"/>
          <w:szCs w:val="24"/>
        </w:rPr>
        <w:t xml:space="preserve"> (BTA). BTA was used</w:t>
      </w:r>
      <w:r>
        <w:rPr>
          <w:rFonts w:ascii="Times New Roman" w:eastAsia="Calibri" w:hAnsi="Times New Roman" w:cs="Times New Roman"/>
          <w:sz w:val="24"/>
          <w:szCs w:val="24"/>
        </w:rPr>
        <w:t xml:space="preserve"> to understand the dominant traits that sustained the ecological functioning of the ocean during the hyperthermal </w:t>
      </w:r>
      <w:r>
        <w:rPr>
          <w:rFonts w:ascii="Times New Roman" w:eastAsia="Calibri" w:hAnsi="Times New Roman" w:cs="Times New Roman"/>
          <w:sz w:val="24"/>
          <w:szCs w:val="24"/>
        </w:rPr>
        <w:lastRenderedPageBreak/>
        <w:t>as well as the characteristic attribute possessed by the benthic foraminifera that went into extinction during the event. Biological trait ana</w:t>
      </w:r>
      <w:r>
        <w:rPr>
          <w:rFonts w:ascii="Times New Roman" w:eastAsia="Calibri" w:hAnsi="Times New Roman" w:cs="Times New Roman"/>
          <w:sz w:val="24"/>
          <w:szCs w:val="24"/>
        </w:rPr>
        <w:t>lysis is applied widely in studying anthropogenic influence in modern and ancient ocean macrobenthic communities and has successfully discriminated environmental disturbance.</w:t>
      </w:r>
      <w:r>
        <w:rPr>
          <w:rFonts w:ascii="Times New Roman" w:eastAsia="Calibri" w:hAnsi="Times New Roman" w:cs="Times New Roman"/>
          <w:sz w:val="24"/>
          <w:szCs w:val="24"/>
        </w:rPr>
        <w:t xml:space="preserve"> Th</w:t>
      </w:r>
      <w:r>
        <w:rPr>
          <w:rFonts w:ascii="Times New Roman" w:eastAsia="Calibri" w:hAnsi="Times New Roman" w:cs="Times New Roman"/>
          <w:sz w:val="24"/>
          <w:szCs w:val="24"/>
        </w:rPr>
        <w:t>is study is pioneering the application of this technique in fossilised microben</w:t>
      </w:r>
      <w:r>
        <w:rPr>
          <w:rFonts w:ascii="Times New Roman" w:eastAsia="Calibri" w:hAnsi="Times New Roman" w:cs="Times New Roman"/>
          <w:sz w:val="24"/>
          <w:szCs w:val="24"/>
        </w:rPr>
        <w:t>thic (foraminifera).</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aim of this research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include</w:t>
      </w:r>
      <w:r>
        <w:rPr>
          <w:rFonts w:ascii="Times New Roman" w:eastAsia="Calibri" w:hAnsi="Times New Roman" w:cs="Times New Roman"/>
          <w:sz w:val="24"/>
          <w:szCs w:val="24"/>
        </w:rPr>
        <w:t xml:space="preserve">: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Examine in details,  benthic foraminiferal assemblage and composition of the late Palaeocene-early Eocene section in the site 1265 which has not been previously studied except for shipboard report</w:t>
      </w:r>
      <w:r>
        <w:rPr>
          <w:rFonts w:ascii="Times New Roman" w:eastAsia="Calibri" w:hAnsi="Times New Roman" w:cs="Times New Roman"/>
          <w:sz w:val="24"/>
          <w:szCs w:val="24"/>
        </w:rPr>
        <w: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Integrate the faunal and trait composition to interpret the ecological functioning of foraminifera across the pelagic-benthic ecosystem of the SE Atlantic Ocean during the PETM </w:t>
      </w:r>
    </w:p>
    <w:p w:rsidR="0062109E" w:rsidRDefault="00CF5136">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Understand the </w:t>
      </w:r>
      <w:r>
        <w:rPr>
          <w:rFonts w:ascii="Times New Roman" w:eastAsia="Calibri" w:hAnsi="Times New Roman" w:cs="Times New Roman"/>
          <w:sz w:val="24"/>
          <w:szCs w:val="24"/>
        </w:rPr>
        <w:t xml:space="preserve"> sensitiv</w:t>
      </w:r>
      <w:r>
        <w:rPr>
          <w:rFonts w:ascii="Times New Roman" w:eastAsia="Calibri" w:hAnsi="Times New Roman" w:cs="Times New Roman"/>
          <w:sz w:val="24"/>
          <w:szCs w:val="24"/>
        </w:rPr>
        <w:t>ity</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of foraminifera</w:t>
      </w:r>
      <w:r>
        <w:rPr>
          <w:rFonts w:ascii="Times New Roman" w:eastAsia="Calibri" w:hAnsi="Times New Roman" w:cs="Times New Roman"/>
          <w:sz w:val="24"/>
          <w:szCs w:val="24"/>
        </w:rPr>
        <w:t xml:space="preserve"> trait to the ecological c</w:t>
      </w:r>
      <w:r>
        <w:rPr>
          <w:rFonts w:ascii="Times New Roman" w:eastAsia="Calibri" w:hAnsi="Times New Roman" w:cs="Times New Roman"/>
          <w:sz w:val="24"/>
          <w:szCs w:val="24"/>
        </w:rPr>
        <w:t>hanges associated with the PETM</w:t>
      </w:r>
    </w:p>
    <w:p w:rsidR="0062109E" w:rsidRDefault="0062109E">
      <w:pPr>
        <w:spacing w:line="360" w:lineRule="auto"/>
        <w:jc w:val="both"/>
        <w:rPr>
          <w:rFonts w:ascii="Times New Roman" w:eastAsia="Calibri" w:hAnsi="Times New Roman" w:cs="Times New Roman"/>
          <w:sz w:val="24"/>
          <w:szCs w:val="24"/>
        </w:rPr>
      </w:pPr>
    </w:p>
    <w:p w:rsidR="0062109E" w:rsidRDefault="00CF5136">
      <w:pPr>
        <w:pStyle w:val="Heading1"/>
        <w:rPr>
          <w:rFonts w:eastAsia="Calibri"/>
        </w:rPr>
      </w:pPr>
      <w:r>
        <w:rPr>
          <w:rFonts w:eastAsia="Calibri"/>
        </w:rPr>
        <w:t>2. Methodology</w:t>
      </w:r>
    </w:p>
    <w:p w:rsidR="0062109E" w:rsidRDefault="00CF5136">
      <w:pPr>
        <w:pStyle w:val="Heading2"/>
      </w:pPr>
      <w:r>
        <w:t>2.1. Foraminiferal Preparation Protocols</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Foraminifera sample preparation followed a conventional protocols. Weighed sediment samples were transferred into the 250ml glass beaker and soaked with water and 2-3 </w:t>
      </w:r>
      <w:r>
        <w:rPr>
          <w:rFonts w:ascii="Times New Roman" w:eastAsia="Calibri" w:hAnsi="Times New Roman" w:cs="Times New Roman"/>
          <w:sz w:val="24"/>
          <w:szCs w:val="24"/>
        </w:rPr>
        <w:t>drops of Sodium hypochlorite solution overnight in a fume cupboard. This allows enough time for the sediment to disaggregate and the clays to be dissolved. The disaggregated sediment samples were washed with Endecotts stainless steel 63µ sieve under a runn</w:t>
      </w:r>
      <w:r>
        <w:rPr>
          <w:rFonts w:ascii="Times New Roman" w:eastAsia="Calibri" w:hAnsi="Times New Roman" w:cs="Times New Roman"/>
          <w:sz w:val="24"/>
          <w:szCs w:val="24"/>
        </w:rPr>
        <w:t xml:space="preserve">ing tap water. The recovered residues were transferred to a labeled filter paper placed in a funnel and dried in the laboratory oven. The dried residue was stored in vials for identification and counting. </w:t>
      </w:r>
    </w:p>
    <w:p w:rsidR="0062109E" w:rsidRDefault="00CF5136">
      <w:pPr>
        <w:pStyle w:val="Heading3"/>
      </w:pPr>
      <w:r>
        <w:t>2.1.1: Counting and identification</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Before the coun</w:t>
      </w:r>
      <w:r>
        <w:rPr>
          <w:rFonts w:ascii="Times New Roman" w:eastAsia="Calibri" w:hAnsi="Times New Roman" w:cs="Times New Roman"/>
          <w:sz w:val="24"/>
          <w:szCs w:val="24"/>
        </w:rPr>
        <w:t xml:space="preserve">ting, the recovered microfauna was sieved into three fractions, &gt;63µm (fine), &gt;125µm (medium) and &gt;250 µm (coarse). Each size fraction was counted separately to avoid the larger microfossil from obstructing the smaller ones. Counting was done by sparingly </w:t>
      </w:r>
      <w:r>
        <w:rPr>
          <w:rFonts w:ascii="Times New Roman" w:eastAsia="Calibri" w:hAnsi="Times New Roman" w:cs="Times New Roman"/>
          <w:sz w:val="24"/>
          <w:szCs w:val="24"/>
        </w:rPr>
        <w:t xml:space="preserve">spraying the microfossil on the observation tray. The observation tray is divided into forty –two equal sized squares and 1-2 microfossil filled trays were counted for each sample by following systematically along a particular transect. </w:t>
      </w:r>
      <w:r>
        <w:rPr>
          <w:rFonts w:ascii="Times New Roman" w:eastAsia="Calibri" w:hAnsi="Times New Roman" w:cs="Times New Roman"/>
          <w:sz w:val="24"/>
          <w:szCs w:val="24"/>
        </w:rPr>
        <w:t>W</w:t>
      </w:r>
      <w:r>
        <w:rPr>
          <w:rFonts w:ascii="Times New Roman" w:eastAsia="Calibri" w:hAnsi="Times New Roman" w:cs="Times New Roman"/>
          <w:sz w:val="24"/>
          <w:szCs w:val="24"/>
        </w:rPr>
        <w:t>e counted more tha</w:t>
      </w:r>
      <w:r>
        <w:rPr>
          <w:rFonts w:ascii="Times New Roman" w:eastAsia="Calibri" w:hAnsi="Times New Roman" w:cs="Times New Roman"/>
          <w:sz w:val="24"/>
          <w:szCs w:val="24"/>
        </w:rPr>
        <w:t xml:space="preserve">n </w:t>
      </w:r>
      <w:r>
        <w:rPr>
          <w:rFonts w:ascii="Times New Roman" w:eastAsia="Calibri" w:hAnsi="Times New Roman" w:cs="Times New Roman"/>
          <w:sz w:val="24"/>
          <w:szCs w:val="24"/>
        </w:rPr>
        <w:t>two</w:t>
      </w:r>
      <w:r>
        <w:rPr>
          <w:rFonts w:ascii="Times New Roman" w:eastAsia="Calibri" w:hAnsi="Times New Roman" w:cs="Times New Roman"/>
          <w:sz w:val="24"/>
          <w:szCs w:val="24"/>
        </w:rPr>
        <w:t xml:space="preserve"> tray for the benthic group which was less abundant in order to get a statistically significant data. Counting the fine fraction (&gt;63-125µ) was useful because many species of </w:t>
      </w:r>
      <w:r>
        <w:rPr>
          <w:rFonts w:ascii="Times New Roman" w:eastAsia="Calibri" w:hAnsi="Times New Roman" w:cs="Times New Roman"/>
          <w:i/>
          <w:sz w:val="24"/>
          <w:szCs w:val="24"/>
        </w:rPr>
        <w:t>Abyssamina, and Pleurostomellids</w:t>
      </w:r>
      <w:r>
        <w:rPr>
          <w:rFonts w:ascii="Times New Roman" w:eastAsia="Calibri" w:hAnsi="Times New Roman" w:cs="Times New Roman"/>
          <w:sz w:val="24"/>
          <w:szCs w:val="24"/>
        </w:rPr>
        <w:t xml:space="preserve"> which were scarce in the larger fraction we</w:t>
      </w:r>
      <w:r>
        <w:rPr>
          <w:rFonts w:ascii="Times New Roman" w:eastAsia="Calibri" w:hAnsi="Times New Roman" w:cs="Times New Roman"/>
          <w:sz w:val="24"/>
          <w:szCs w:val="24"/>
        </w:rPr>
        <w:t>re actually abundant in the fine fraction.  Most of the taxa were identified to the species level using the systematic description and micrographs from Cushman (1951), Tjalsma and Lohmann (1983), Loeblich and Tappan (1987), Nomura (1991), Speijer (1994), W</w:t>
      </w:r>
      <w:r>
        <w:rPr>
          <w:rFonts w:ascii="Times New Roman" w:eastAsia="Calibri" w:hAnsi="Times New Roman" w:cs="Times New Roman"/>
          <w:sz w:val="24"/>
          <w:szCs w:val="24"/>
        </w:rPr>
        <w:t xml:space="preserve">idmark (1997), Holbourn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2013 and other peer reviewed-publications sited herein. </w:t>
      </w:r>
    </w:p>
    <w:p w:rsidR="0062109E" w:rsidRDefault="00CF5136">
      <w:pPr>
        <w:pStyle w:val="Heading1"/>
        <w:rPr>
          <w:rFonts w:eastAsia="Calibri"/>
        </w:rPr>
      </w:pPr>
      <w:r>
        <w:rPr>
          <w:rFonts w:eastAsia="Calibri"/>
        </w:rPr>
        <w:t>2.2 Trait classification and analytical procedures</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Foraminiferal composition, morphology and life strategy were classified into thirteen biological characteristics base</w:t>
      </w:r>
      <w:r>
        <w:rPr>
          <w:rFonts w:ascii="Times New Roman" w:eastAsia="Calibri" w:hAnsi="Times New Roman" w:cs="Times New Roman"/>
          <w:sz w:val="24"/>
        </w:rPr>
        <w:t xml:space="preserve">d on ecophenotypic responses, their relationship to function of marine ecosystem and availability of data on the traits. The traits were further classified into categories referred as modalities (Table 1).  Fussy coding (Chevenet, </w:t>
      </w:r>
      <w:r>
        <w:rPr>
          <w:rFonts w:ascii="Times New Roman" w:eastAsia="Calibri" w:hAnsi="Times New Roman" w:cs="Times New Roman"/>
          <w:i/>
          <w:sz w:val="24"/>
        </w:rPr>
        <w:t>et al.,</w:t>
      </w:r>
      <w:r>
        <w:rPr>
          <w:rFonts w:ascii="Times New Roman" w:eastAsia="Calibri" w:hAnsi="Times New Roman" w:cs="Times New Roman"/>
          <w:sz w:val="24"/>
        </w:rPr>
        <w:t xml:space="preserve"> 1994) techniques </w:t>
      </w:r>
      <w:r>
        <w:rPr>
          <w:rFonts w:ascii="Times New Roman" w:eastAsia="Calibri" w:hAnsi="Times New Roman" w:cs="Times New Roman"/>
          <w:sz w:val="24"/>
        </w:rPr>
        <w:t>was used in expressing the affinity of various species to the traits modalities using a scale of 0.0 – 1.0. The absence or no affinity of a particular trait in a species is denoted with 0 while 1 is used for a species that exhibited dominant/ high affinity</w:t>
      </w:r>
      <w:r>
        <w:rPr>
          <w:rFonts w:ascii="Times New Roman" w:eastAsia="Calibri" w:hAnsi="Times New Roman" w:cs="Times New Roman"/>
          <w:sz w:val="24"/>
        </w:rPr>
        <w:t xml:space="preserve"> to a trait (see supplementary data). This coding techniques allows each species that exhibited more than one modalities to be categorised according to their affinity to trait under consideration, however, all the categories shall sum up to unity (Caswell </w:t>
      </w:r>
      <w:r>
        <w:rPr>
          <w:rFonts w:ascii="Times New Roman" w:eastAsia="Calibri" w:hAnsi="Times New Roman" w:cs="Times New Roman"/>
          <w:sz w:val="24"/>
        </w:rPr>
        <w:t>and Frid, 2013</w:t>
      </w:r>
      <w:r>
        <w:rPr>
          <w:rFonts w:ascii="Times New Roman" w:eastAsia="Calibri" w:hAnsi="Times New Roman" w:cs="Times New Roman"/>
          <w:sz w:val="24"/>
        </w:rPr>
        <w:t xml:space="preserve">; </w:t>
      </w:r>
      <w:r>
        <w:rPr>
          <w:rFonts w:ascii="Times New Roman" w:eastAsia="Calibri" w:hAnsi="Times New Roman" w:cs="Times New Roman"/>
          <w:sz w:val="24"/>
        </w:rPr>
        <w:t>201</w:t>
      </w:r>
      <w:r>
        <w:rPr>
          <w:rFonts w:ascii="Times New Roman" w:eastAsia="Calibri" w:hAnsi="Times New Roman" w:cs="Times New Roman"/>
          <w:sz w:val="24"/>
        </w:rPr>
        <w:t xml:space="preserve">7 </w:t>
      </w:r>
      <w:r>
        <w:rPr>
          <w:rFonts w:ascii="Times New Roman" w:eastAsia="Calibri" w:hAnsi="Times New Roman" w:cs="Times New Roman"/>
          <w:sz w:val="24"/>
        </w:rPr>
        <w:t>and</w:t>
      </w:r>
      <w:r>
        <w:rPr>
          <w:rFonts w:ascii="Times New Roman" w:eastAsia="Calibri" w:hAnsi="Times New Roman" w:cs="Times New Roman"/>
          <w:sz w:val="24"/>
        </w:rPr>
        <w:t xml:space="preserve"> </w:t>
      </w:r>
      <w:r>
        <w:rPr>
          <w:rFonts w:ascii="Times New Roman" w:eastAsia="Calibri" w:hAnsi="Times New Roman" w:cs="Times New Roman"/>
          <w:sz w:val="24"/>
        </w:rPr>
        <w:t>Frid</w:t>
      </w:r>
      <w:r>
        <w:rPr>
          <w:rFonts w:ascii="Times New Roman" w:eastAsia="Calibri" w:hAnsi="Times New Roman" w:cs="Times New Roman"/>
          <w:sz w:val="24"/>
        </w:rPr>
        <w:t xml:space="preserve"> and </w:t>
      </w:r>
      <w:r>
        <w:rPr>
          <w:rFonts w:ascii="Times New Roman" w:eastAsia="Calibri" w:hAnsi="Times New Roman" w:cs="Times New Roman"/>
          <w:sz w:val="24"/>
        </w:rPr>
        <w:t xml:space="preserve">Caswell </w:t>
      </w:r>
      <w:r>
        <w:rPr>
          <w:rFonts w:ascii="Times New Roman" w:eastAsia="Calibri" w:hAnsi="Times New Roman" w:cs="Times New Roman"/>
          <w:sz w:val="24"/>
        </w:rPr>
        <w:t>2015;2016</w:t>
      </w:r>
      <w:r>
        <w:rPr>
          <w:rFonts w:ascii="Times New Roman" w:eastAsia="Calibri" w:hAnsi="Times New Roman" w:cs="Times New Roman"/>
          <w:sz w:val="24"/>
        </w:rPr>
        <w:t xml:space="preserve"> ). The information on the biological traits were sourced from the biological database such as WORMS – World Register of Marine Species: </w:t>
      </w:r>
      <w:hyperlink r:id="rId10" w:history="1">
        <w:r>
          <w:rPr>
            <w:rFonts w:ascii="Times New Roman" w:eastAsia="Calibri" w:hAnsi="Times New Roman" w:cs="Times New Roman"/>
            <w:sz w:val="24"/>
            <w:u w:val="single"/>
          </w:rPr>
          <w:t>http://www.marinespecies.org</w:t>
        </w:r>
      </w:hyperlink>
      <w:r>
        <w:rPr>
          <w:rFonts w:ascii="Times New Roman" w:eastAsia="Calibri" w:hAnsi="Times New Roman" w:cs="Times New Roman"/>
          <w:sz w:val="24"/>
        </w:rPr>
        <w:t xml:space="preserve">, The Palaeobiology </w:t>
      </w:r>
      <w:hyperlink r:id="rId11" w:history="1">
        <w:r>
          <w:rPr>
            <w:rFonts w:ascii="Times New Roman" w:eastAsia="Calibri" w:hAnsi="Times New Roman" w:cs="Times New Roman"/>
            <w:sz w:val="24"/>
            <w:u w:val="single"/>
          </w:rPr>
          <w:t>http://palaeodb.org</w:t>
        </w:r>
      </w:hyperlink>
      <w:r>
        <w:rPr>
          <w:rFonts w:ascii="Times New Roman" w:eastAsia="Calibri" w:hAnsi="Times New Roman" w:cs="Times New Roman"/>
          <w:sz w:val="24"/>
        </w:rPr>
        <w:t xml:space="preserve">; Fossilworks http:// </w:t>
      </w:r>
      <w:hyperlink r:id="rId12" w:history="1">
        <w:r>
          <w:rPr>
            <w:rFonts w:ascii="Times New Roman" w:eastAsia="Calibri" w:hAnsi="Times New Roman" w:cs="Times New Roman"/>
            <w:sz w:val="24"/>
            <w:u w:val="single"/>
          </w:rPr>
          <w:t>http://fossilworks.org/</w:t>
        </w:r>
      </w:hyperlink>
      <w:r>
        <w:rPr>
          <w:rFonts w:ascii="Times New Roman" w:eastAsia="Calibri" w:hAnsi="Times New Roman" w:cs="Times New Roman"/>
          <w:sz w:val="24"/>
        </w:rPr>
        <w:t xml:space="preserve"> and published literatures. The extensive review of these data so</w:t>
      </w:r>
      <w:r>
        <w:rPr>
          <w:rFonts w:ascii="Times New Roman" w:eastAsia="Calibri" w:hAnsi="Times New Roman" w:cs="Times New Roman"/>
          <w:sz w:val="24"/>
        </w:rPr>
        <w:t xml:space="preserve">urces as well as personal communications with experts in a range of taxa informed the choice of traits selected for this analysis. </w:t>
      </w:r>
    </w:p>
    <w:p w:rsidR="0062109E" w:rsidRDefault="0062109E">
      <w:pPr>
        <w:spacing w:line="360" w:lineRule="auto"/>
        <w:jc w:val="both"/>
        <w:rPr>
          <w:rFonts w:ascii="Times New Roman" w:eastAsia="Calibri" w:hAnsi="Times New Roman" w:cs="Times New Roman"/>
          <w:sz w:val="24"/>
        </w:rPr>
      </w:pPr>
    </w:p>
    <w:p w:rsidR="0062109E" w:rsidRDefault="0062109E">
      <w:pPr>
        <w:spacing w:line="360" w:lineRule="auto"/>
        <w:jc w:val="both"/>
        <w:rPr>
          <w:rFonts w:ascii="Times New Roman" w:eastAsia="Calibri" w:hAnsi="Times New Roman" w:cs="Times New Roman"/>
          <w:sz w:val="24"/>
        </w:rPr>
      </w:pPr>
    </w:p>
    <w:p w:rsidR="0062109E" w:rsidRDefault="0062109E">
      <w:pPr>
        <w:spacing w:line="360" w:lineRule="auto"/>
        <w:jc w:val="both"/>
        <w:rPr>
          <w:rFonts w:ascii="Times New Roman" w:eastAsia="Calibri" w:hAnsi="Times New Roman" w:cs="Times New Roman"/>
          <w:sz w:val="24"/>
        </w:rPr>
      </w:pPr>
    </w:p>
    <w:p w:rsidR="0062109E" w:rsidRDefault="0062109E">
      <w:pPr>
        <w:spacing w:line="360" w:lineRule="auto"/>
        <w:jc w:val="both"/>
        <w:rPr>
          <w:rFonts w:ascii="Times New Roman" w:eastAsia="Calibri" w:hAnsi="Times New Roman" w:cs="Times New Roman"/>
          <w:sz w:val="24"/>
        </w:rPr>
      </w:pPr>
    </w:p>
    <w:p w:rsidR="0062109E" w:rsidRDefault="0062109E">
      <w:pPr>
        <w:spacing w:line="360" w:lineRule="auto"/>
        <w:jc w:val="both"/>
        <w:rPr>
          <w:rFonts w:ascii="Times New Roman" w:eastAsia="Calibri" w:hAnsi="Times New Roman" w:cs="Times New Roman"/>
          <w:sz w:val="24"/>
        </w:rPr>
      </w:pPr>
    </w:p>
    <w:p w:rsidR="0062109E" w:rsidRDefault="0062109E">
      <w:pPr>
        <w:spacing w:line="360" w:lineRule="auto"/>
        <w:jc w:val="both"/>
        <w:rPr>
          <w:rFonts w:ascii="Times New Roman" w:eastAsia="Calibri" w:hAnsi="Times New Roman" w:cs="Times New Roman"/>
          <w:sz w:val="24"/>
        </w:rPr>
      </w:pPr>
    </w:p>
    <w:p w:rsidR="0062109E" w:rsidRDefault="0062109E">
      <w:pPr>
        <w:spacing w:line="360" w:lineRule="auto"/>
        <w:jc w:val="both"/>
        <w:rPr>
          <w:rFonts w:ascii="Times New Roman" w:eastAsia="Calibri" w:hAnsi="Times New Roman" w:cs="Times New Roman"/>
          <w:sz w:val="24"/>
        </w:rPr>
      </w:pPr>
    </w:p>
    <w:p w:rsidR="0062109E" w:rsidRDefault="0062109E">
      <w:pPr>
        <w:spacing w:line="360" w:lineRule="auto"/>
        <w:jc w:val="both"/>
        <w:rPr>
          <w:rFonts w:ascii="Times New Roman" w:eastAsia="Calibri" w:hAnsi="Times New Roman" w:cs="Times New Roman"/>
          <w:sz w:val="24"/>
        </w:rPr>
      </w:pPr>
    </w:p>
    <w:p w:rsidR="0062109E" w:rsidRDefault="00CF5136">
      <w:pPr>
        <w:spacing w:line="360" w:lineRule="auto"/>
        <w:jc w:val="both"/>
        <w:rPr>
          <w:rFonts w:ascii="Times New Roman Italic" w:eastAsia="Calibri" w:hAnsi="Times New Roman Italic" w:cs="Times New Roman Italic"/>
          <w:i/>
          <w:iCs/>
          <w:sz w:val="24"/>
        </w:rPr>
      </w:pPr>
      <w:r>
        <w:rPr>
          <w:rFonts w:ascii="Times New Roman Italic" w:eastAsia="Calibri" w:hAnsi="Times New Roman Italic" w:cs="Times New Roman Italic"/>
          <w:i/>
          <w:iCs/>
          <w:sz w:val="24"/>
        </w:rPr>
        <w:t>Table 1. Example of traits and associated modalities used in biological traits classification of foraminiferal commu</w:t>
      </w:r>
      <w:r>
        <w:rPr>
          <w:rFonts w:ascii="Times New Roman Italic" w:eastAsia="Calibri" w:hAnsi="Times New Roman Italic" w:cs="Times New Roman Italic"/>
          <w:i/>
          <w:iCs/>
          <w:sz w:val="24"/>
        </w:rPr>
        <w:t>nities.</w:t>
      </w:r>
    </w:p>
    <w:tbl>
      <w:tblPr>
        <w:tblStyle w:val="TableGrid"/>
        <w:tblW w:w="9242" w:type="dxa"/>
        <w:tblLayout w:type="fixed"/>
        <w:tblLook w:val="04A0" w:firstRow="1" w:lastRow="0" w:firstColumn="1" w:lastColumn="0" w:noHBand="0" w:noVBand="1"/>
      </w:tblPr>
      <w:tblGrid>
        <w:gridCol w:w="1951"/>
        <w:gridCol w:w="7291"/>
      </w:tblGrid>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Traits</w:t>
            </w:r>
          </w:p>
        </w:tc>
        <w:tc>
          <w:tcPr>
            <w:tcW w:w="7291" w:type="dxa"/>
            <w:noWrap/>
          </w:tcPr>
          <w:p w:rsidR="0062109E" w:rsidRDefault="00CF5136">
            <w:pPr>
              <w:spacing w:after="0" w:line="240" w:lineRule="auto"/>
              <w:rPr>
                <w:rFonts w:ascii="Times New Roman" w:eastAsia="Calibri" w:hAnsi="Times New Roman" w:cs="Times New Roman"/>
                <w:b/>
                <w:bCs/>
              </w:rPr>
            </w:pPr>
            <w:r>
              <w:rPr>
                <w:rFonts w:ascii="Times New Roman" w:eastAsia="Calibri" w:hAnsi="Times New Roman" w:cs="Times New Roman"/>
                <w:b/>
                <w:bCs/>
              </w:rPr>
              <w:t>Modalities</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A. Test Shape</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A1. Spiral, A2. Elongate, A3. Globose, A4. Subquadrate, A5. Others</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B. Test Composition</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B1. Hyaline calcite, B</w:t>
            </w:r>
            <w:r>
              <w:rPr>
                <w:rFonts w:ascii="Times New Roman" w:eastAsia="Calibri" w:hAnsi="Times New Roman" w:cs="Times New Roman"/>
                <w:bCs/>
              </w:rPr>
              <w:t>2</w:t>
            </w:r>
            <w:r>
              <w:rPr>
                <w:rFonts w:ascii="Times New Roman" w:eastAsia="Calibri" w:hAnsi="Times New Roman" w:cs="Times New Roman"/>
                <w:bCs/>
              </w:rPr>
              <w:t>. Hyaline aragonite, B</w:t>
            </w:r>
            <w:r>
              <w:rPr>
                <w:rFonts w:ascii="Times New Roman" w:eastAsia="Calibri" w:hAnsi="Times New Roman" w:cs="Times New Roman"/>
                <w:bCs/>
              </w:rPr>
              <w:t>3</w:t>
            </w:r>
            <w:r>
              <w:rPr>
                <w:rFonts w:ascii="Times New Roman" w:eastAsia="Calibri" w:hAnsi="Times New Roman" w:cs="Times New Roman"/>
                <w:bCs/>
              </w:rPr>
              <w:t>. Porcellanous</w:t>
            </w:r>
            <w:r>
              <w:rPr>
                <w:rFonts w:ascii="Times New Roman" w:eastAsia="Calibri" w:hAnsi="Times New Roman" w:cs="Times New Roman"/>
                <w:bCs/>
              </w:rPr>
              <w:t xml:space="preserve">, </w:t>
            </w:r>
            <w:r>
              <w:rPr>
                <w:rFonts w:ascii="Times New Roman" w:eastAsia="Calibri" w:hAnsi="Times New Roman" w:cs="Times New Roman"/>
                <w:bCs/>
              </w:rPr>
              <w:t>B</w:t>
            </w:r>
            <w:r>
              <w:rPr>
                <w:rFonts w:ascii="Times New Roman" w:eastAsia="Calibri" w:hAnsi="Times New Roman" w:cs="Times New Roman"/>
                <w:bCs/>
              </w:rPr>
              <w:t xml:space="preserve">3. Agglutinated </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C. Chamber arrangement</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 xml:space="preserve">C1. Uniserial, C2. </w:t>
            </w:r>
            <w:r>
              <w:rPr>
                <w:rFonts w:ascii="Times New Roman" w:eastAsia="Calibri" w:hAnsi="Times New Roman" w:cs="Times New Roman"/>
                <w:bCs/>
              </w:rPr>
              <w:t>Bi/Tri-serial, C3. Planispiral, C4. Trochospiral, C5. Other</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D. Chamber shape</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D1. Spherical/Oval, D2. Tubular, D3. Triangular or trapezoidal, D4. Semi-circular, D5. Others</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E.</w:t>
            </w:r>
            <w:r>
              <w:rPr>
                <w:rFonts w:ascii="Times New Roman" w:eastAsia="Calibri" w:hAnsi="Times New Roman" w:cs="Times New Roman"/>
                <w:bCs/>
              </w:rPr>
              <w:t>Macro ornamentation</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 xml:space="preserve">E1. Depressed sutures, E2. Raised sutures,  </w:t>
            </w:r>
            <w:r>
              <w:rPr>
                <w:rFonts w:ascii="Times New Roman" w:eastAsia="Calibri" w:hAnsi="Times New Roman" w:cs="Times New Roman"/>
                <w:bCs/>
              </w:rPr>
              <w:t>E3. Keeled suture</w:t>
            </w:r>
            <w:r>
              <w:rPr>
                <w:rFonts w:ascii="Times New Roman" w:eastAsia="Calibri" w:hAnsi="Times New Roman" w:cs="Times New Roman"/>
                <w:bCs/>
              </w:rPr>
              <w:t>s, E4. Others</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F. Test micro-ornamentation</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F1. No ornament, F2. Reticulate</w:t>
            </w:r>
            <w:r>
              <w:rPr>
                <w:rFonts w:ascii="Times New Roman" w:eastAsia="Calibri" w:hAnsi="Times New Roman" w:cs="Times New Roman"/>
                <w:bCs/>
              </w:rPr>
              <w:t>,</w:t>
            </w:r>
            <w:r>
              <w:rPr>
                <w:rFonts w:ascii="Times New Roman" w:eastAsia="Calibri" w:hAnsi="Times New Roman" w:cs="Times New Roman"/>
                <w:bCs/>
              </w:rPr>
              <w:t xml:space="preserve"> </w:t>
            </w:r>
            <w:r>
              <w:rPr>
                <w:rFonts w:ascii="Times New Roman" w:eastAsia="Calibri" w:hAnsi="Times New Roman" w:cs="Times New Roman"/>
                <w:bCs/>
              </w:rPr>
              <w:t>F</w:t>
            </w:r>
            <w:r>
              <w:rPr>
                <w:rFonts w:ascii="Times New Roman" w:eastAsia="Calibri" w:hAnsi="Times New Roman" w:cs="Times New Roman"/>
                <w:bCs/>
              </w:rPr>
              <w:t xml:space="preserve">3. </w:t>
            </w:r>
            <w:r>
              <w:rPr>
                <w:rFonts w:ascii="Times New Roman" w:eastAsia="Calibri" w:hAnsi="Times New Roman" w:cs="Times New Roman"/>
                <w:bCs/>
              </w:rPr>
              <w:t>Hispid</w:t>
            </w:r>
            <w:r>
              <w:rPr>
                <w:rFonts w:ascii="Times New Roman" w:eastAsia="Calibri" w:hAnsi="Times New Roman" w:cs="Times New Roman"/>
                <w:bCs/>
              </w:rPr>
              <w:t xml:space="preserve">,  </w:t>
            </w:r>
            <w:r>
              <w:rPr>
                <w:rFonts w:ascii="Times New Roman" w:eastAsia="Calibri" w:hAnsi="Times New Roman" w:cs="Times New Roman"/>
                <w:bCs/>
              </w:rPr>
              <w:t>F4</w:t>
            </w:r>
            <w:r>
              <w:rPr>
                <w:rFonts w:ascii="Times New Roman" w:eastAsia="Calibri" w:hAnsi="Times New Roman" w:cs="Times New Roman"/>
                <w:bCs/>
              </w:rPr>
              <w:t>. Spinose F</w:t>
            </w:r>
            <w:r>
              <w:rPr>
                <w:rFonts w:ascii="Times New Roman" w:eastAsia="Calibri" w:hAnsi="Times New Roman" w:cs="Times New Roman"/>
                <w:bCs/>
              </w:rPr>
              <w:t>5</w:t>
            </w:r>
            <w:r>
              <w:rPr>
                <w:rFonts w:ascii="Times New Roman" w:eastAsia="Calibri" w:hAnsi="Times New Roman" w:cs="Times New Roman"/>
                <w:bCs/>
              </w:rPr>
              <w:t xml:space="preserve">. Striate, </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G. Aperture form</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 xml:space="preserve">G 1. Oval/reniform, G2. Arcuate, G3. </w:t>
            </w:r>
            <w:r>
              <w:rPr>
                <w:rFonts w:ascii="Times New Roman" w:eastAsia="Calibri" w:hAnsi="Times New Roman" w:cs="Times New Roman"/>
                <w:bCs/>
              </w:rPr>
              <w:t>Cribate/</w:t>
            </w:r>
            <w:r>
              <w:rPr>
                <w:rFonts w:ascii="Times New Roman" w:eastAsia="Calibri" w:hAnsi="Times New Roman" w:cs="Times New Roman"/>
                <w:bCs/>
              </w:rPr>
              <w:t>Radiate, G4. Slit-like</w:t>
            </w:r>
            <w:r>
              <w:rPr>
                <w:rFonts w:ascii="Times New Roman" w:eastAsia="Calibri" w:hAnsi="Times New Roman" w:cs="Times New Roman"/>
                <w:bCs/>
              </w:rPr>
              <w:t xml:space="preserve">, E5. Others </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H. Aperture accessory structures</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 xml:space="preserve">H1. </w:t>
            </w:r>
            <w:r>
              <w:rPr>
                <w:rFonts w:ascii="Times New Roman" w:eastAsia="Calibri" w:hAnsi="Times New Roman" w:cs="Times New Roman"/>
                <w:bCs/>
              </w:rPr>
              <w:t>Lips, H2. Bifid teeth, H3. Umbilical teeth, H4. Neck, H5. None</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I. primary aperture position</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I1. Terminal, I2. Basal interiomarginal, I3. Umbilical, I4 Extra-umbilical, I5. Areal</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rPr>
              <w:t>J. Test perforation</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J1. Microperforation, J2. Fine perforation, J3. Macro-pe</w:t>
            </w:r>
            <w:r>
              <w:rPr>
                <w:rFonts w:ascii="Times New Roman" w:eastAsia="Calibri" w:hAnsi="Times New Roman" w:cs="Times New Roman"/>
                <w:bCs/>
              </w:rPr>
              <w:t>rforation, J4. No perforation</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rPr>
            </w:pPr>
            <w:r>
              <w:rPr>
                <w:rFonts w:ascii="Times New Roman" w:eastAsia="Calibri" w:hAnsi="Times New Roman" w:cs="Times New Roman"/>
              </w:rPr>
              <w:t>K. Life habit</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K1. Surface dweller, K2. Intermediate dwellers, K3. Deep water dwellers</w:t>
            </w:r>
          </w:p>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K4. Others</w:t>
            </w:r>
          </w:p>
        </w:tc>
      </w:tr>
      <w:tr w:rsidR="0062109E">
        <w:trPr>
          <w:trHeight w:val="315"/>
        </w:trPr>
        <w:tc>
          <w:tcPr>
            <w:tcW w:w="1951" w:type="dxa"/>
            <w:shd w:val="clear" w:color="auto" w:fill="auto"/>
            <w:noWrap/>
          </w:tcPr>
          <w:p w:rsidR="0062109E" w:rsidRDefault="00CF5136">
            <w:pPr>
              <w:spacing w:after="0" w:line="240" w:lineRule="auto"/>
              <w:rPr>
                <w:rFonts w:ascii="Times New Roman" w:eastAsia="Calibri" w:hAnsi="Times New Roman" w:cs="Times New Roman"/>
              </w:rPr>
            </w:pPr>
            <w:r>
              <w:rPr>
                <w:rFonts w:ascii="Times New Roman" w:eastAsia="Calibri" w:hAnsi="Times New Roman" w:cs="Times New Roman"/>
              </w:rPr>
              <w:t>L. Feeding habit</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 xml:space="preserve">L1. Grazer, L2. suspesnsion feeder, L3. Symbiosis, L4. </w:t>
            </w:r>
            <w:r>
              <w:rPr>
                <w:rFonts w:ascii="Times New Roman" w:eastAsia="Calibri" w:hAnsi="Times New Roman" w:cs="Times New Roman"/>
                <w:bCs/>
              </w:rPr>
              <w:t>Others</w:t>
            </w:r>
          </w:p>
        </w:tc>
      </w:tr>
      <w:tr w:rsidR="0062109E">
        <w:trPr>
          <w:trHeight w:val="525"/>
        </w:trPr>
        <w:tc>
          <w:tcPr>
            <w:tcW w:w="1951" w:type="dxa"/>
            <w:shd w:val="clear" w:color="auto" w:fill="auto"/>
            <w:noWrap/>
          </w:tcPr>
          <w:p w:rsidR="0062109E" w:rsidRDefault="00CF5136">
            <w:pPr>
              <w:spacing w:after="0" w:line="240" w:lineRule="auto"/>
              <w:rPr>
                <w:rFonts w:ascii="Times New Roman" w:eastAsia="Calibri" w:hAnsi="Times New Roman" w:cs="Times New Roman"/>
              </w:rPr>
            </w:pPr>
            <w:r>
              <w:rPr>
                <w:rFonts w:ascii="Times New Roman" w:eastAsia="Calibri" w:hAnsi="Times New Roman" w:cs="Times New Roman"/>
              </w:rPr>
              <w:t>M. Mobility</w:t>
            </w:r>
          </w:p>
        </w:tc>
        <w:tc>
          <w:tcPr>
            <w:tcW w:w="7291" w:type="dxa"/>
            <w:noWrap/>
          </w:tcPr>
          <w:p w:rsidR="0062109E" w:rsidRDefault="00CF5136">
            <w:pPr>
              <w:spacing w:after="0" w:line="240" w:lineRule="auto"/>
              <w:rPr>
                <w:rFonts w:ascii="Times New Roman" w:eastAsia="Calibri" w:hAnsi="Times New Roman" w:cs="Times New Roman"/>
                <w:bCs/>
              </w:rPr>
            </w:pPr>
            <w:r>
              <w:rPr>
                <w:rFonts w:ascii="Times New Roman" w:eastAsia="Calibri" w:hAnsi="Times New Roman" w:cs="Times New Roman"/>
                <w:bCs/>
              </w:rPr>
              <w:t xml:space="preserve">M1. Sessile, M2. Clinging, M3. Free-living, M4. </w:t>
            </w:r>
            <w:r>
              <w:rPr>
                <w:rFonts w:ascii="Times New Roman" w:eastAsia="Calibri" w:hAnsi="Times New Roman" w:cs="Times New Roman"/>
                <w:bCs/>
              </w:rPr>
              <w:t>Others</w:t>
            </w:r>
          </w:p>
        </w:tc>
      </w:tr>
    </w:tbl>
    <w:p w:rsidR="0062109E" w:rsidRDefault="0062109E">
      <w:pPr>
        <w:spacing w:line="360" w:lineRule="auto"/>
        <w:jc w:val="both"/>
        <w:rPr>
          <w:rFonts w:ascii="Times New Roman" w:eastAsia="Calibri" w:hAnsi="Times New Roman" w:cs="Times New Roman"/>
          <w:sz w:val="24"/>
        </w:rPr>
      </w:pP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The frequency of each trait modality in the dataset was calculated by multiplying the category scores with the relative abundance of each species exhibiting those modalities. This was achieved by </w:t>
      </w:r>
      <w:r>
        <w:rPr>
          <w:rFonts w:ascii="Times New Roman" w:eastAsia="Calibri" w:hAnsi="Times New Roman" w:cs="Times New Roman"/>
          <w:sz w:val="24"/>
        </w:rPr>
        <w:t>simple matrix multiplication method (</w:t>
      </w:r>
      <w:r>
        <w:rPr>
          <w:rFonts w:ascii="Times New Roman" w:eastAsia="Calibri" w:hAnsi="Times New Roman" w:cs="Times New Roman"/>
          <w:sz w:val="24"/>
        </w:rPr>
        <w:t>Frid and Caswell,</w:t>
      </w:r>
      <w:r>
        <w:rPr>
          <w:rFonts w:ascii="Times New Roman" w:eastAsia="Calibri" w:hAnsi="Times New Roman" w:cs="Times New Roman"/>
          <w:sz w:val="24"/>
        </w:rPr>
        <w:t xml:space="preserve"> 2016; Charvet </w:t>
      </w:r>
      <w:r>
        <w:rPr>
          <w:rFonts w:ascii="Times New Roman Italic" w:eastAsia="Calibri" w:hAnsi="Times New Roman Italic" w:cs="Times New Roman"/>
          <w:i/>
          <w:sz w:val="24"/>
        </w:rPr>
        <w:t>et al</w:t>
      </w:r>
      <w:r>
        <w:rPr>
          <w:rFonts w:ascii="Times New Roman" w:eastAsia="Calibri" w:hAnsi="Times New Roman" w:cs="Times New Roman"/>
          <w:sz w:val="24"/>
        </w:rPr>
        <w:t xml:space="preserve"> 1998). The result of this data treatment (see supplementary data) is a trait table that showed the relative abundance of all the biological traits recorded in all the species across</w:t>
      </w:r>
      <w:r>
        <w:rPr>
          <w:rFonts w:ascii="Times New Roman" w:eastAsia="Calibri" w:hAnsi="Times New Roman" w:cs="Times New Roman"/>
          <w:sz w:val="24"/>
        </w:rPr>
        <w:t xml:space="preserve"> the whole samples.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Statistical analysis of both the species composition and biological trait datasets were performed with the software PRIMER ver.6. (Clarke </w:t>
      </w:r>
      <w:r>
        <w:rPr>
          <w:rFonts w:ascii="Times New Roman Italic" w:eastAsia="Calibri" w:hAnsi="Times New Roman Italic" w:cs="Times New Roman"/>
          <w:i/>
          <w:sz w:val="24"/>
          <w:szCs w:val="24"/>
        </w:rPr>
        <w:t>et al</w:t>
      </w:r>
      <w:r>
        <w:rPr>
          <w:rFonts w:ascii="Times New Roman" w:eastAsia="Calibri" w:hAnsi="Times New Roman" w:cs="Times New Roman"/>
          <w:sz w:val="24"/>
          <w:szCs w:val="24"/>
        </w:rPr>
        <w:t xml:space="preserve">., 2006). All the counted foraminifera were grouped into three PETM communities (Pre-CIE, CIE and Recovery) according to their position in the sample relative to the hyperthermal based on carbon isotopes from Zachos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Pr>
          <w:rFonts w:ascii="Times New Roman" w:eastAsia="Calibri" w:hAnsi="Times New Roman" w:cs="Times New Roman"/>
          <w:sz w:val="24"/>
          <w:szCs w:val="24"/>
        </w:rPr>
        <w:t>2005</w:t>
      </w:r>
      <w:r>
        <w:rPr>
          <w:rFonts w:ascii="Times New Roman" w:eastAsia="Calibri" w:hAnsi="Times New Roman" w:cs="Times New Roman"/>
          <w:sz w:val="24"/>
          <w:szCs w:val="24"/>
        </w:rPr>
        <w:t>)</w:t>
      </w:r>
      <w:r>
        <w:rPr>
          <w:rFonts w:ascii="Times New Roman" w:eastAsia="Calibri" w:hAnsi="Times New Roman" w:cs="Times New Roman"/>
          <w:sz w:val="24"/>
          <w:szCs w:val="24"/>
        </w:rPr>
        <w: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foraminiferal relativ</w:t>
      </w:r>
      <w:r>
        <w:rPr>
          <w:rFonts w:ascii="Times New Roman" w:eastAsia="Calibri" w:hAnsi="Times New Roman" w:cs="Times New Roman"/>
          <w:sz w:val="24"/>
          <w:szCs w:val="24"/>
        </w:rPr>
        <w:t>e abundance and traits similarities across the PETM were calculated using the Bray-Curtis index resemblance matrix. The resemblance data were transformed with either a Log (x+1) or square root method depending on the treatment that shows the best similarit</w:t>
      </w:r>
      <w:r>
        <w:rPr>
          <w:rFonts w:ascii="Times New Roman" w:eastAsia="Calibri" w:hAnsi="Times New Roman" w:cs="Times New Roman"/>
          <w:sz w:val="24"/>
          <w:szCs w:val="24"/>
        </w:rPr>
        <w:t>y. A Log (x+1) modifies the species relative abundance/traits to reduce the influence of the dominant species on the data. Square root transformation also does about the same thing by inflating smaller numbers and stabilises bigger ones. The taxa abundance</w:t>
      </w:r>
      <w:r>
        <w:rPr>
          <w:rFonts w:ascii="Times New Roman" w:eastAsia="Calibri" w:hAnsi="Times New Roman" w:cs="Times New Roman"/>
          <w:sz w:val="24"/>
          <w:szCs w:val="24"/>
        </w:rPr>
        <w:t xml:space="preserve"> data were standardized prior to any transformation however, trait data were not subjected to this procedure because it had been standardized during the fussy coding process. The transformed data were plotted with non-metric multidimensional scaling ordina</w:t>
      </w:r>
      <w:r>
        <w:rPr>
          <w:rFonts w:ascii="Times New Roman" w:eastAsia="Calibri" w:hAnsi="Times New Roman" w:cs="Times New Roman"/>
          <w:sz w:val="24"/>
          <w:szCs w:val="24"/>
        </w:rPr>
        <w:t>tion (nmMDS) based on the Bray – Curtis similarity matrices. nmMDS is based on the rank similarities of samples and produces an ordination plot showing relative differences/ resemblance in biological trait composition according to the PETM three biotic com</w:t>
      </w:r>
      <w:r>
        <w:rPr>
          <w:rFonts w:ascii="Times New Roman" w:eastAsia="Calibri" w:hAnsi="Times New Roman" w:cs="Times New Roman"/>
          <w:sz w:val="24"/>
          <w:szCs w:val="24"/>
        </w:rPr>
        <w:t xml:space="preserve">munities.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test for significant differences between various traits and samples across the three PETM sections, analysis of similarity (ANOSIM) tests were performed on the data set. The similarity of percentages (SIMPER) analysis was also applied to the </w:t>
      </w:r>
      <w:r>
        <w:rPr>
          <w:rFonts w:ascii="Times New Roman" w:eastAsia="Calibri" w:hAnsi="Times New Roman" w:cs="Times New Roman"/>
          <w:sz w:val="24"/>
          <w:szCs w:val="24"/>
        </w:rPr>
        <w:t>species abundance and biological traits to determine which species/traits accounted for the significant dissimilarities identified by ANOSIM test. Other analyses include faunal assemblage grouping, planktonic/benthic ratio, the percentage of planktonic, ep</w:t>
      </w:r>
      <w:r>
        <w:rPr>
          <w:rFonts w:ascii="Times New Roman" w:eastAsia="Calibri" w:hAnsi="Times New Roman" w:cs="Times New Roman"/>
          <w:sz w:val="24"/>
          <w:szCs w:val="24"/>
        </w:rPr>
        <w:t>ifauna, and infaunal composition in the samples.</w:t>
      </w: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62109E">
      <w:pPr>
        <w:spacing w:line="360" w:lineRule="auto"/>
        <w:jc w:val="both"/>
        <w:rPr>
          <w:rFonts w:ascii="Times New Roman" w:eastAsia="Calibri" w:hAnsi="Times New Roman" w:cs="Times New Roman"/>
          <w:sz w:val="24"/>
          <w:szCs w:val="24"/>
        </w:rPr>
      </w:pPr>
    </w:p>
    <w:p w:rsidR="0062109E" w:rsidRDefault="00CF5136">
      <w:pPr>
        <w:pStyle w:val="Heading1"/>
        <w:rPr>
          <w:rFonts w:eastAsia="Calibri"/>
        </w:rPr>
      </w:pPr>
      <w:r>
        <w:rPr>
          <w:rFonts w:eastAsia="Calibri"/>
        </w:rPr>
        <w:t xml:space="preserve">3.0 Results </w:t>
      </w:r>
    </w:p>
    <w:p w:rsidR="0062109E" w:rsidRDefault="00CF5136">
      <w:pPr>
        <w:pStyle w:val="Heading2"/>
        <w:rPr>
          <w:lang w:eastAsia="en-GB"/>
        </w:rPr>
      </w:pPr>
      <w:r>
        <w:rPr>
          <w:lang w:eastAsia="en-GB"/>
        </w:rPr>
        <w:t>3</w:t>
      </w:r>
      <w:r>
        <w:rPr>
          <w:lang w:eastAsia="en-GB"/>
        </w:rPr>
        <w:t>.</w:t>
      </w:r>
      <w:r>
        <w:rPr>
          <w:lang w:eastAsia="en-GB"/>
        </w:rPr>
        <w:t>1</w:t>
      </w:r>
      <w:r>
        <w:rPr>
          <w:lang w:eastAsia="en-GB"/>
        </w:rPr>
        <w:t xml:space="preserve">  Benthic Foraminifera</w:t>
      </w:r>
    </w:p>
    <w:p w:rsidR="0062109E" w:rsidRDefault="00CF5136">
      <w:pPr>
        <w:keepNext/>
        <w:keepLines/>
        <w:spacing w:before="40" w:after="100" w:line="360" w:lineRule="auto"/>
        <w:outlineLvl w:val="2"/>
        <w:rPr>
          <w:rFonts w:ascii="Times New Roman" w:eastAsia="Calibri" w:hAnsi="Times New Roman" w:cs="Times New Roman"/>
          <w:b/>
          <w:i/>
          <w:sz w:val="24"/>
          <w:szCs w:val="24"/>
          <w:lang w:eastAsia="en-GB"/>
        </w:rPr>
      </w:pPr>
      <w:r>
        <w:rPr>
          <w:rFonts w:ascii="Times New Roman" w:eastAsia="Calibri" w:hAnsi="Times New Roman" w:cs="Times New Roman"/>
          <w:b/>
          <w:i/>
          <w:sz w:val="24"/>
          <w:szCs w:val="24"/>
          <w:lang w:eastAsia="en-GB"/>
        </w:rPr>
        <w:t>3</w:t>
      </w:r>
      <w:r>
        <w:rPr>
          <w:rFonts w:ascii="Times New Roman" w:eastAsia="Calibri" w:hAnsi="Times New Roman" w:cs="Times New Roman"/>
          <w:b/>
          <w:i/>
          <w:sz w:val="24"/>
          <w:szCs w:val="24"/>
          <w:lang w:eastAsia="en-GB"/>
        </w:rPr>
        <w:t>.</w:t>
      </w:r>
      <w:r>
        <w:rPr>
          <w:rFonts w:ascii="Times New Roman" w:eastAsia="Calibri" w:hAnsi="Times New Roman" w:cs="Times New Roman"/>
          <w:b/>
          <w:i/>
          <w:sz w:val="24"/>
          <w:szCs w:val="24"/>
          <w:lang w:eastAsia="en-GB"/>
        </w:rPr>
        <w:t>1</w:t>
      </w:r>
      <w:r>
        <w:rPr>
          <w:rFonts w:ascii="Times New Roman" w:eastAsia="Calibri" w:hAnsi="Times New Roman" w:cs="Times New Roman"/>
          <w:b/>
          <w:i/>
          <w:sz w:val="24"/>
          <w:szCs w:val="24"/>
          <w:lang w:eastAsia="en-GB"/>
        </w:rPr>
        <w:t>.1 Taxa composition and changes through time</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A total of 6128 specimens of benthic foraminifera were counted in 33 samples analysed from Site 1265A. The assemblage was composed of one hundred and thirty-four (134) species comprising of 38 epifauna and 96 infauna morphological groups. The overall fauna</w:t>
      </w:r>
      <w:r>
        <w:rPr>
          <w:rFonts w:ascii="Times New Roman" w:eastAsia="Calibri" w:hAnsi="Times New Roman" w:cs="Times New Roman"/>
          <w:sz w:val="24"/>
          <w:szCs w:val="24"/>
          <w:lang w:eastAsia="en-GB"/>
        </w:rPr>
        <w:t xml:space="preserve"> composition were dominated by cosmopolitan/ opportunistic taxa and other late Palaeocene – early Eocene foraminiferal assemblage. Faunal abundance and diversity were fairly high before the CIE and during the recovery period but slightly decreased at the C</w:t>
      </w:r>
      <w:r>
        <w:rPr>
          <w:rFonts w:ascii="Times New Roman" w:eastAsia="Calibri" w:hAnsi="Times New Roman" w:cs="Times New Roman"/>
          <w:sz w:val="24"/>
          <w:szCs w:val="24"/>
          <w:lang w:eastAsia="en-GB"/>
        </w:rPr>
        <w:t xml:space="preserve">IE interval. </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The ANOSIM test on the benthic foraminifera taxa composition indicated that the three groups: pre-CIE, CIE and recovery differed significantly at R= 0.659 and </w:t>
      </w:r>
      <w:r>
        <w:rPr>
          <w:rFonts w:ascii="Times New Roman" w:eastAsia="Calibri" w:hAnsi="Times New Roman" w:cs="Times New Roman"/>
          <w:i/>
          <w:sz w:val="24"/>
          <w:szCs w:val="24"/>
          <w:lang w:eastAsia="en-GB"/>
        </w:rPr>
        <w:t>p</w:t>
      </w:r>
      <w:r>
        <w:rPr>
          <w:rFonts w:ascii="Times New Roman" w:eastAsia="Calibri" w:hAnsi="Times New Roman" w:cs="Times New Roman"/>
          <w:sz w:val="24"/>
          <w:szCs w:val="24"/>
          <w:lang w:eastAsia="en-GB"/>
        </w:rPr>
        <w:t xml:space="preserve">&lt;0.01. The pairwise test for the three groups also showed that the recovery and the CIE significantly differed by R=0.585, recovery and pre-CIE at 0.896 while the CIE and pre-CIE at 0.516  and </w:t>
      </w:r>
      <w:r>
        <w:rPr>
          <w:rFonts w:ascii="Times New Roman" w:eastAsia="Calibri" w:hAnsi="Times New Roman" w:cs="Times New Roman"/>
          <w:i/>
          <w:sz w:val="24"/>
          <w:szCs w:val="24"/>
          <w:lang w:eastAsia="en-GB"/>
        </w:rPr>
        <w:t>p&gt;</w:t>
      </w:r>
      <w:r>
        <w:rPr>
          <w:rFonts w:ascii="Times New Roman" w:eastAsia="Calibri" w:hAnsi="Times New Roman" w:cs="Times New Roman"/>
          <w:sz w:val="24"/>
          <w:szCs w:val="24"/>
          <w:lang w:eastAsia="en-GB"/>
        </w:rPr>
        <w:t xml:space="preserve">0.05. </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The nmMDS ordination of benthic foraminifera compositi</w:t>
      </w:r>
      <w:r>
        <w:rPr>
          <w:rFonts w:ascii="Times New Roman" w:eastAsia="Calibri" w:hAnsi="Times New Roman" w:cs="Times New Roman"/>
          <w:sz w:val="24"/>
          <w:szCs w:val="24"/>
          <w:lang w:eastAsia="en-GB"/>
        </w:rPr>
        <w:t xml:space="preserve">on showed tight grouping during the recovery while those of the CIE and pre-CIE were more spread (Figure </w:t>
      </w:r>
      <w:r>
        <w:rPr>
          <w:rFonts w:ascii="Times New Roman" w:eastAsia="Calibri" w:hAnsi="Times New Roman" w:cs="Times New Roman"/>
          <w:sz w:val="24"/>
          <w:szCs w:val="24"/>
          <w:lang w:eastAsia="en-GB"/>
        </w:rPr>
        <w:t>3</w:t>
      </w:r>
      <w:r>
        <w:rPr>
          <w:rFonts w:ascii="Times New Roman" w:eastAsia="Calibri" w:hAnsi="Times New Roman" w:cs="Times New Roman"/>
          <w:sz w:val="24"/>
          <w:szCs w:val="24"/>
          <w:lang w:eastAsia="en-GB"/>
        </w:rPr>
        <w:t>). The compact grouping of the recovery samples could be interpreted as environmental stability after the extremely warm conditions and ocean acidific</w:t>
      </w:r>
      <w:r>
        <w:rPr>
          <w:rFonts w:ascii="Times New Roman" w:eastAsia="Calibri" w:hAnsi="Times New Roman" w:cs="Times New Roman"/>
          <w:sz w:val="24"/>
          <w:szCs w:val="24"/>
          <w:lang w:eastAsia="en-GB"/>
        </w:rPr>
        <w:t>ation. The CIE samples loosely grouped in the NW axis of the plot but samples from 275.08 mbsf and 275.13 mbsf classified as  CIE lay far from the rest of the axis. More so, samples from 274.98 mbsf and 275.04 mbsf also classified as CIE grouped together w</w:t>
      </w:r>
      <w:r>
        <w:rPr>
          <w:rFonts w:ascii="Times New Roman" w:eastAsia="Calibri" w:hAnsi="Times New Roman" w:cs="Times New Roman"/>
          <w:sz w:val="24"/>
          <w:szCs w:val="24"/>
          <w:lang w:eastAsia="en-GB"/>
        </w:rPr>
        <w:t>ith the recovery. We may not have an elucidating explanation for the scattered nature of the CIE interval, but it may not unrelated to the benthic ecological disorganisation associated with the CIE. The first two samples (274.98 mbsf and 275.04mbsf) outcro</w:t>
      </w:r>
      <w:r>
        <w:rPr>
          <w:rFonts w:ascii="Times New Roman" w:eastAsia="Calibri" w:hAnsi="Times New Roman" w:cs="Times New Roman"/>
          <w:sz w:val="24"/>
          <w:szCs w:val="24"/>
          <w:lang w:eastAsia="en-GB"/>
        </w:rPr>
        <w:t>pping as outliers may indicate the initial fauna turnover at the beginning when the methane oxidation reached the seafloor and after that period the microbenthos tried to readjust by enhancing their reproduction and that created the two samples (274.98 mbs</w:t>
      </w:r>
      <w:r>
        <w:rPr>
          <w:rFonts w:ascii="Times New Roman" w:eastAsia="Calibri" w:hAnsi="Times New Roman" w:cs="Times New Roman"/>
          <w:sz w:val="24"/>
          <w:szCs w:val="24"/>
          <w:lang w:eastAsia="en-GB"/>
        </w:rPr>
        <w:t xml:space="preserve">f and 275.04mbsf)  with high abundance similar to the recovery. </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In addition, the nmMDS also showed that all the samples during the pre-CIE including the first four samples from the CIE interval were scattered across the whole NE – SE axis of the plot. The</w:t>
      </w:r>
      <w:r>
        <w:rPr>
          <w:rFonts w:ascii="Times New Roman" w:eastAsia="Calibri" w:hAnsi="Times New Roman" w:cs="Times New Roman"/>
          <w:sz w:val="24"/>
          <w:szCs w:val="24"/>
          <w:lang w:eastAsia="en-GB"/>
        </w:rPr>
        <w:t xml:space="preserve"> scattered nature of these pre-CIE samples could be related to the inception of the release of exogenous greenhouse gases that caused the hyperthermal during the CIE. </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noProof/>
          <w:sz w:val="24"/>
          <w:szCs w:val="24"/>
          <w:lang w:eastAsia="en-GB"/>
        </w:rPr>
        <w:drawing>
          <wp:inline distT="0" distB="0" distL="0" distR="0">
            <wp:extent cx="5120640" cy="3200400"/>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20640" cy="3200400"/>
                    </a:xfrm>
                    <a:prstGeom prst="rect">
                      <a:avLst/>
                    </a:prstGeom>
                    <a:noFill/>
                    <a:ln>
                      <a:noFill/>
                    </a:ln>
                  </pic:spPr>
                </pic:pic>
              </a:graphicData>
            </a:graphic>
          </wp:inline>
        </w:drawing>
      </w:r>
    </w:p>
    <w:p w:rsidR="0062109E" w:rsidRDefault="00CF5136">
      <w:pPr>
        <w:spacing w:line="240" w:lineRule="auto"/>
        <w:jc w:val="both"/>
        <w:rPr>
          <w:rFonts w:ascii="Times New Roman" w:hAnsi="Times New Roman" w:cs="Times New Roman"/>
          <w:i/>
          <w:lang w:eastAsia="en-GB"/>
        </w:rPr>
      </w:pPr>
      <w:r>
        <w:rPr>
          <w:rFonts w:ascii="Times New Roman" w:hAnsi="Times New Roman" w:cs="Times New Roman"/>
          <w:i/>
          <w:lang w:eastAsia="en-GB"/>
        </w:rPr>
        <w:t xml:space="preserve">Figure </w:t>
      </w:r>
      <w:r>
        <w:rPr>
          <w:rFonts w:ascii="Times New Roman" w:hAnsi="Times New Roman" w:cs="Times New Roman"/>
          <w:i/>
          <w:lang w:eastAsia="en-GB"/>
        </w:rPr>
        <w:t>3</w:t>
      </w:r>
      <w:r>
        <w:rPr>
          <w:rFonts w:ascii="Times New Roman" w:hAnsi="Times New Roman" w:cs="Times New Roman"/>
          <w:i/>
          <w:lang w:eastAsia="en-GB"/>
        </w:rPr>
        <w:t>: nmMDS ordination of  Benthic foraminifera abundance in Site 1265A. Pre-CIE s</w:t>
      </w:r>
      <w:r>
        <w:rPr>
          <w:rFonts w:ascii="Times New Roman" w:hAnsi="Times New Roman" w:cs="Times New Roman"/>
          <w:i/>
          <w:lang w:eastAsia="en-GB"/>
        </w:rPr>
        <w:t>amples were clustered around the eastern axis, CIE at the NE and recovery on the SW axis of the plot.</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The result from SIMPER analysis for pre-CIE and recovery indicated that the two intervals were 71.55% dissimilar. The result also highlighted taxa that existed at the pre-CIE but went into extinction during the recovery. The extinct taxa include </w:t>
      </w:r>
      <w:r>
        <w:rPr>
          <w:rFonts w:ascii="Times New Roman" w:eastAsia="Calibri" w:hAnsi="Times New Roman" w:cs="Times New Roman"/>
          <w:i/>
          <w:sz w:val="24"/>
          <w:szCs w:val="24"/>
          <w:lang w:eastAsia="en-GB"/>
        </w:rPr>
        <w:t>Gavelinell</w:t>
      </w:r>
      <w:r>
        <w:rPr>
          <w:rFonts w:ascii="Times New Roman" w:eastAsia="Calibri" w:hAnsi="Times New Roman" w:cs="Times New Roman"/>
          <w:i/>
          <w:sz w:val="24"/>
          <w:szCs w:val="24"/>
          <w:lang w:eastAsia="en-GB"/>
        </w:rPr>
        <w:t xml:space="preserve">a beccarriformis, Aragonina valescoensis, Praebulimina sp., Coryphostoma midwayensis, Osangularia sp. </w:t>
      </w:r>
      <w:r>
        <w:rPr>
          <w:rFonts w:ascii="Times New Roman" w:eastAsia="Calibri" w:hAnsi="Times New Roman" w:cs="Times New Roman"/>
          <w:sz w:val="24"/>
          <w:szCs w:val="24"/>
          <w:lang w:eastAsia="en-GB"/>
        </w:rPr>
        <w:t>(Table 3a).</w:t>
      </w:r>
      <w:r>
        <w:rPr>
          <w:rFonts w:ascii="Times New Roman" w:eastAsia="Calibri" w:hAnsi="Times New Roman" w:cs="Times New Roman"/>
          <w:i/>
          <w:sz w:val="24"/>
          <w:szCs w:val="24"/>
          <w:lang w:eastAsia="en-GB"/>
        </w:rPr>
        <w:t xml:space="preserve"> </w:t>
      </w:r>
      <w:r>
        <w:rPr>
          <w:rFonts w:ascii="Times New Roman" w:eastAsia="Calibri" w:hAnsi="Times New Roman" w:cs="Times New Roman"/>
          <w:sz w:val="24"/>
          <w:szCs w:val="24"/>
          <w:lang w:eastAsia="en-GB"/>
        </w:rPr>
        <w:t xml:space="preserve">The result also showed that taxa like </w:t>
      </w:r>
      <w:r>
        <w:rPr>
          <w:rFonts w:ascii="Times New Roman" w:eastAsia="Calibri" w:hAnsi="Times New Roman" w:cs="Times New Roman"/>
          <w:i/>
          <w:sz w:val="24"/>
          <w:szCs w:val="24"/>
          <w:lang w:eastAsia="en-GB"/>
        </w:rPr>
        <w:t>Cibicidoides</w:t>
      </w:r>
      <w:r>
        <w:rPr>
          <w:rFonts w:ascii="Times New Roman" w:eastAsia="Calibri" w:hAnsi="Times New Roman" w:cs="Times New Roman"/>
          <w:sz w:val="24"/>
          <w:szCs w:val="24"/>
          <w:lang w:eastAsia="en-GB"/>
        </w:rPr>
        <w:t xml:space="preserve"> spp., </w:t>
      </w:r>
      <w:r>
        <w:rPr>
          <w:rFonts w:ascii="Times New Roman" w:eastAsia="Calibri" w:hAnsi="Times New Roman" w:cs="Times New Roman"/>
          <w:i/>
          <w:sz w:val="24"/>
          <w:szCs w:val="24"/>
          <w:lang w:eastAsia="en-GB"/>
        </w:rPr>
        <w:t>Nonion havanense, Marsonella oxycona</w:t>
      </w:r>
      <w:r>
        <w:rPr>
          <w:rFonts w:ascii="Times New Roman" w:eastAsia="Calibri" w:hAnsi="Times New Roman" w:cs="Times New Roman"/>
          <w:sz w:val="24"/>
          <w:szCs w:val="24"/>
          <w:lang w:eastAsia="en-GB"/>
        </w:rPr>
        <w:t>, and</w:t>
      </w:r>
      <w:r>
        <w:rPr>
          <w:rFonts w:ascii="Times New Roman" w:eastAsia="Calibri" w:hAnsi="Times New Roman" w:cs="Times New Roman"/>
          <w:i/>
          <w:sz w:val="24"/>
          <w:szCs w:val="24"/>
          <w:lang w:eastAsia="en-GB"/>
        </w:rPr>
        <w:t xml:space="preserve"> Bolivina</w:t>
      </w:r>
      <w:r>
        <w:rPr>
          <w:rFonts w:ascii="Times New Roman" w:eastAsia="Calibri" w:hAnsi="Times New Roman" w:cs="Times New Roman"/>
          <w:sz w:val="24"/>
          <w:szCs w:val="24"/>
          <w:lang w:eastAsia="en-GB"/>
        </w:rPr>
        <w:t xml:space="preserve"> Spp. were more than five times hig</w:t>
      </w:r>
      <w:r>
        <w:rPr>
          <w:rFonts w:ascii="Times New Roman" w:eastAsia="Calibri" w:hAnsi="Times New Roman" w:cs="Times New Roman"/>
          <w:sz w:val="24"/>
          <w:szCs w:val="24"/>
          <w:lang w:eastAsia="en-GB"/>
        </w:rPr>
        <w:t xml:space="preserve">her at the pre-CIE than during the CIE. The reduction in the mean abundance of </w:t>
      </w:r>
      <w:r>
        <w:rPr>
          <w:rFonts w:ascii="Times New Roman" w:eastAsia="Calibri" w:hAnsi="Times New Roman" w:cs="Times New Roman"/>
          <w:i/>
          <w:sz w:val="24"/>
          <w:szCs w:val="24"/>
          <w:lang w:eastAsia="en-GB"/>
        </w:rPr>
        <w:t xml:space="preserve">Gavelinella beccarriformis, Osangularia </w:t>
      </w:r>
      <w:r>
        <w:rPr>
          <w:rFonts w:ascii="Times New Roman" w:eastAsia="Calibri" w:hAnsi="Times New Roman" w:cs="Times New Roman"/>
          <w:sz w:val="24"/>
          <w:szCs w:val="24"/>
          <w:lang w:eastAsia="en-GB"/>
        </w:rPr>
        <w:t>spp</w:t>
      </w:r>
      <w:r>
        <w:rPr>
          <w:rFonts w:ascii="Times New Roman" w:eastAsia="Calibri" w:hAnsi="Times New Roman" w:cs="Times New Roman"/>
          <w:i/>
          <w:sz w:val="24"/>
          <w:szCs w:val="24"/>
          <w:lang w:eastAsia="en-GB"/>
        </w:rPr>
        <w:t xml:space="preserve">., Cibicidoides </w:t>
      </w:r>
      <w:r>
        <w:rPr>
          <w:rFonts w:ascii="Times New Roman" w:eastAsia="Calibri" w:hAnsi="Times New Roman" w:cs="Times New Roman"/>
          <w:sz w:val="24"/>
          <w:szCs w:val="24"/>
          <w:lang w:eastAsia="en-GB"/>
        </w:rPr>
        <w:t>spp</w:t>
      </w:r>
      <w:r>
        <w:rPr>
          <w:rFonts w:ascii="Times New Roman" w:eastAsia="Calibri" w:hAnsi="Times New Roman" w:cs="Times New Roman"/>
          <w:i/>
          <w:sz w:val="24"/>
          <w:szCs w:val="24"/>
          <w:lang w:eastAsia="en-GB"/>
        </w:rPr>
        <w:t xml:space="preserve">., Nonion havanense </w:t>
      </w:r>
      <w:r>
        <w:rPr>
          <w:rFonts w:ascii="Times New Roman" w:eastAsia="Calibri" w:hAnsi="Times New Roman" w:cs="Times New Roman"/>
          <w:sz w:val="24"/>
          <w:szCs w:val="24"/>
          <w:lang w:eastAsia="en-GB"/>
        </w:rPr>
        <w:t xml:space="preserve">and </w:t>
      </w:r>
      <w:r>
        <w:rPr>
          <w:rFonts w:ascii="Times New Roman" w:eastAsia="Calibri" w:hAnsi="Times New Roman" w:cs="Times New Roman"/>
          <w:i/>
          <w:sz w:val="24"/>
          <w:szCs w:val="24"/>
          <w:lang w:eastAsia="en-GB"/>
        </w:rPr>
        <w:t>Lenticulina</w:t>
      </w:r>
      <w:r>
        <w:rPr>
          <w:rFonts w:ascii="Times New Roman" w:eastAsia="Calibri" w:hAnsi="Times New Roman" w:cs="Times New Roman"/>
          <w:sz w:val="24"/>
          <w:szCs w:val="24"/>
          <w:lang w:eastAsia="en-GB"/>
        </w:rPr>
        <w:t xml:space="preserve"> spp. could be related to the susceptibility of heavily calcified taxa like them</w:t>
      </w:r>
      <w:r>
        <w:rPr>
          <w:rFonts w:ascii="Times New Roman" w:eastAsia="Calibri" w:hAnsi="Times New Roman" w:cs="Times New Roman"/>
          <w:sz w:val="24"/>
          <w:szCs w:val="24"/>
          <w:lang w:eastAsia="en-GB"/>
        </w:rPr>
        <w:t xml:space="preserve"> to the ocean acidification during the PETM (Kennett and Stott, 1991; Pak and Miller, 1992; Luciani </w:t>
      </w:r>
      <w:r>
        <w:rPr>
          <w:rFonts w:ascii="Times New Roman" w:eastAsia="Calibri" w:hAnsi="Times New Roman" w:cs="Times New Roman"/>
          <w:i/>
          <w:sz w:val="24"/>
          <w:szCs w:val="24"/>
          <w:lang w:eastAsia="en-GB"/>
        </w:rPr>
        <w:t>et al.,</w:t>
      </w:r>
      <w:r>
        <w:rPr>
          <w:rFonts w:ascii="Times New Roman" w:eastAsia="Calibri" w:hAnsi="Times New Roman" w:cs="Times New Roman"/>
          <w:sz w:val="24"/>
          <w:szCs w:val="24"/>
          <w:lang w:eastAsia="en-GB"/>
        </w:rPr>
        <w:t xml:space="preserve"> 2007; Thomas 2007).  Other taxa that decreased in abundance during the CIE include; </w:t>
      </w:r>
      <w:r>
        <w:rPr>
          <w:rFonts w:ascii="Times New Roman" w:eastAsia="Calibri" w:hAnsi="Times New Roman" w:cs="Times New Roman"/>
          <w:i/>
          <w:sz w:val="24"/>
          <w:szCs w:val="24"/>
          <w:lang w:eastAsia="en-GB"/>
        </w:rPr>
        <w:t>Marsonella oxycona</w:t>
      </w:r>
      <w:r>
        <w:rPr>
          <w:rFonts w:ascii="Times New Roman" w:eastAsia="Calibri" w:hAnsi="Times New Roman" w:cs="Times New Roman"/>
          <w:sz w:val="24"/>
          <w:szCs w:val="24"/>
          <w:lang w:eastAsia="en-GB"/>
        </w:rPr>
        <w:t xml:space="preserve">, </w:t>
      </w:r>
      <w:r>
        <w:rPr>
          <w:rFonts w:ascii="Times New Roman" w:eastAsia="Calibri" w:hAnsi="Times New Roman" w:cs="Times New Roman"/>
          <w:i/>
          <w:sz w:val="24"/>
          <w:szCs w:val="24"/>
          <w:lang w:eastAsia="en-GB"/>
        </w:rPr>
        <w:t>Aragonina valescoensis</w:t>
      </w:r>
      <w:r>
        <w:rPr>
          <w:rFonts w:ascii="Times New Roman" w:eastAsia="Calibri" w:hAnsi="Times New Roman" w:cs="Times New Roman"/>
          <w:i/>
          <w:sz w:val="24"/>
          <w:szCs w:val="24"/>
          <w:lang w:eastAsia="en-GB"/>
        </w:rPr>
        <w:t>,</w:t>
      </w:r>
      <w:r>
        <w:rPr>
          <w:rFonts w:ascii="Times New Roman" w:eastAsia="Calibri" w:hAnsi="Times New Roman" w:cs="Times New Roman"/>
          <w:sz w:val="24"/>
          <w:szCs w:val="24"/>
          <w:lang w:eastAsia="en-GB"/>
        </w:rPr>
        <w:t xml:space="preserve"> </w:t>
      </w:r>
      <w:r>
        <w:rPr>
          <w:rFonts w:ascii="Times New Roman" w:eastAsia="Calibri" w:hAnsi="Times New Roman" w:cs="Times New Roman"/>
          <w:i/>
          <w:sz w:val="24"/>
          <w:szCs w:val="24"/>
          <w:lang w:eastAsia="en-GB"/>
        </w:rPr>
        <w:t>Coryphostoma midwaye</w:t>
      </w:r>
      <w:r>
        <w:rPr>
          <w:rFonts w:ascii="Times New Roman" w:eastAsia="Calibri" w:hAnsi="Times New Roman" w:cs="Times New Roman"/>
          <w:i/>
          <w:sz w:val="24"/>
          <w:szCs w:val="24"/>
          <w:lang w:eastAsia="en-GB"/>
        </w:rPr>
        <w:t>nsis</w:t>
      </w:r>
      <w:r>
        <w:rPr>
          <w:rFonts w:ascii="Times New Roman" w:eastAsia="Calibri" w:hAnsi="Times New Roman" w:cs="Times New Roman"/>
          <w:sz w:val="24"/>
          <w:szCs w:val="24"/>
          <w:lang w:eastAsia="en-GB"/>
        </w:rPr>
        <w:t xml:space="preserve"> and</w:t>
      </w:r>
      <w:r>
        <w:rPr>
          <w:rFonts w:ascii="Times New Roman" w:eastAsia="Calibri" w:hAnsi="Times New Roman" w:cs="Times New Roman"/>
          <w:i/>
          <w:sz w:val="24"/>
          <w:szCs w:val="24"/>
          <w:lang w:eastAsia="en-GB"/>
        </w:rPr>
        <w:t xml:space="preserve"> Bolivina </w:t>
      </w:r>
      <w:r>
        <w:rPr>
          <w:rFonts w:ascii="Times New Roman" w:eastAsia="Calibri" w:hAnsi="Times New Roman" w:cs="Times New Roman"/>
          <w:sz w:val="24"/>
          <w:szCs w:val="24"/>
          <w:lang w:eastAsia="en-GB"/>
        </w:rPr>
        <w:t xml:space="preserve">spp. </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SIMPER also indicated a significant increase in the mean abundance of all the Buliminaceae and opportunistic taxa such as </w:t>
      </w:r>
      <w:r>
        <w:rPr>
          <w:rFonts w:ascii="Times New Roman" w:eastAsia="Calibri" w:hAnsi="Times New Roman" w:cs="Times New Roman"/>
          <w:i/>
          <w:sz w:val="24"/>
          <w:szCs w:val="24"/>
          <w:lang w:eastAsia="en-GB"/>
        </w:rPr>
        <w:t>Abyssamina quadrata, Quadrimorphina profunda, Nuttallides truempyi, Oridorsalis Paleopleurostomella pleurostom</w:t>
      </w:r>
      <w:r>
        <w:rPr>
          <w:rFonts w:ascii="Times New Roman" w:eastAsia="Calibri" w:hAnsi="Times New Roman" w:cs="Times New Roman"/>
          <w:i/>
          <w:sz w:val="24"/>
          <w:szCs w:val="24"/>
          <w:lang w:eastAsia="en-GB"/>
        </w:rPr>
        <w:t xml:space="preserve">elloides umbonatus, Stillostomella plumaerae </w:t>
      </w:r>
      <w:r>
        <w:rPr>
          <w:rFonts w:ascii="Times New Roman" w:eastAsia="Calibri" w:hAnsi="Times New Roman" w:cs="Times New Roman"/>
          <w:sz w:val="24"/>
          <w:szCs w:val="24"/>
          <w:lang w:eastAsia="en-GB"/>
        </w:rPr>
        <w:t>and</w:t>
      </w:r>
      <w:r>
        <w:rPr>
          <w:rFonts w:ascii="Times New Roman" w:eastAsia="Calibri" w:hAnsi="Times New Roman" w:cs="Times New Roman"/>
          <w:i/>
          <w:sz w:val="24"/>
          <w:szCs w:val="24"/>
          <w:lang w:eastAsia="en-GB"/>
        </w:rPr>
        <w:t xml:space="preserve"> Anomalinoides praeacuta </w:t>
      </w:r>
      <w:r>
        <w:rPr>
          <w:rFonts w:ascii="Times New Roman" w:eastAsia="Calibri" w:hAnsi="Times New Roman" w:cs="Times New Roman"/>
          <w:sz w:val="24"/>
          <w:szCs w:val="24"/>
          <w:lang w:eastAsia="en-GB"/>
        </w:rPr>
        <w:t>during the recovery, rather than in the CIE (Table 3a). This supported the hypothesis that opportunistic (aka disaster) taxa began to increase during the CIE to take over the niche va</w:t>
      </w:r>
      <w:r>
        <w:rPr>
          <w:rFonts w:ascii="Times New Roman" w:eastAsia="Calibri" w:hAnsi="Times New Roman" w:cs="Times New Roman"/>
          <w:sz w:val="24"/>
          <w:szCs w:val="24"/>
          <w:lang w:eastAsia="en-GB"/>
        </w:rPr>
        <w:t xml:space="preserve">cated by dissolution susceptible taxa during the PETM (Takeda and Kaiho, 2007; Alegret </w:t>
      </w:r>
      <w:r>
        <w:rPr>
          <w:rFonts w:ascii="Times New Roman" w:eastAsia="Calibri" w:hAnsi="Times New Roman" w:cs="Times New Roman"/>
          <w:i/>
          <w:sz w:val="24"/>
          <w:szCs w:val="24"/>
          <w:lang w:eastAsia="en-GB"/>
        </w:rPr>
        <w:t>et al</w:t>
      </w:r>
      <w:r>
        <w:rPr>
          <w:rFonts w:ascii="Times New Roman" w:eastAsia="Calibri" w:hAnsi="Times New Roman" w:cs="Times New Roman"/>
          <w:sz w:val="24"/>
          <w:szCs w:val="24"/>
          <w:lang w:eastAsia="en-GB"/>
        </w:rPr>
        <w:t xml:space="preserve">., 2009; D'haenens </w:t>
      </w:r>
      <w:r>
        <w:rPr>
          <w:rFonts w:ascii="Times New Roman" w:eastAsia="Calibri" w:hAnsi="Times New Roman" w:cs="Times New Roman"/>
          <w:i/>
          <w:sz w:val="24"/>
          <w:szCs w:val="24"/>
          <w:lang w:eastAsia="en-GB"/>
        </w:rPr>
        <w:t>et al.,</w:t>
      </w:r>
      <w:r>
        <w:rPr>
          <w:rFonts w:ascii="Times New Roman" w:eastAsia="Calibri" w:hAnsi="Times New Roman" w:cs="Times New Roman"/>
          <w:sz w:val="24"/>
          <w:szCs w:val="24"/>
          <w:lang w:eastAsia="en-GB"/>
        </w:rPr>
        <w:t xml:space="preserve"> 2012 and this study). These disaster taxa were believed to have supported and sustained the ecological functioning in the benthic zone du</w:t>
      </w:r>
      <w:r>
        <w:rPr>
          <w:rFonts w:ascii="Times New Roman" w:eastAsia="Calibri" w:hAnsi="Times New Roman" w:cs="Times New Roman"/>
          <w:sz w:val="24"/>
          <w:szCs w:val="24"/>
          <w:lang w:eastAsia="en-GB"/>
        </w:rPr>
        <w:t xml:space="preserve">ring the PETM. </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The dissimilarity between the CIE and the pre-CIE was 71.46%, and the results indicated that </w:t>
      </w:r>
      <w:r>
        <w:rPr>
          <w:rFonts w:ascii="Times New Roman" w:eastAsia="Calibri" w:hAnsi="Times New Roman" w:cs="Times New Roman"/>
          <w:i/>
          <w:sz w:val="24"/>
          <w:szCs w:val="24"/>
          <w:lang w:eastAsia="en-GB"/>
        </w:rPr>
        <w:t>Gyroidinoides subglobosa, Spiroplectammina</w:t>
      </w:r>
      <w:r>
        <w:rPr>
          <w:rFonts w:ascii="Times New Roman" w:eastAsia="Calibri" w:hAnsi="Times New Roman" w:cs="Times New Roman"/>
          <w:sz w:val="24"/>
          <w:szCs w:val="24"/>
          <w:lang w:eastAsia="en-GB"/>
        </w:rPr>
        <w:t xml:space="preserve"> spp. and </w:t>
      </w:r>
      <w:r>
        <w:rPr>
          <w:rFonts w:ascii="Times New Roman" w:eastAsia="Calibri" w:hAnsi="Times New Roman" w:cs="Times New Roman"/>
          <w:i/>
          <w:sz w:val="24"/>
          <w:szCs w:val="24"/>
          <w:lang w:eastAsia="en-GB"/>
        </w:rPr>
        <w:t>Aragonina</w:t>
      </w:r>
      <w:r>
        <w:rPr>
          <w:rFonts w:ascii="Times New Roman" w:eastAsia="Calibri" w:hAnsi="Times New Roman" w:cs="Times New Roman"/>
          <w:sz w:val="24"/>
          <w:szCs w:val="24"/>
          <w:lang w:eastAsia="en-GB"/>
        </w:rPr>
        <w:t xml:space="preserve"> </w:t>
      </w:r>
      <w:r>
        <w:rPr>
          <w:rFonts w:ascii="Times New Roman" w:eastAsia="Calibri" w:hAnsi="Times New Roman" w:cs="Times New Roman"/>
          <w:i/>
          <w:sz w:val="24"/>
          <w:szCs w:val="24"/>
          <w:lang w:eastAsia="en-GB"/>
        </w:rPr>
        <w:t>aragonensis</w:t>
      </w:r>
      <w:r>
        <w:rPr>
          <w:rFonts w:ascii="Times New Roman" w:eastAsia="Calibri" w:hAnsi="Times New Roman" w:cs="Times New Roman"/>
          <w:sz w:val="24"/>
          <w:szCs w:val="24"/>
          <w:lang w:eastAsia="en-GB"/>
        </w:rPr>
        <w:t xml:space="preserve"> disappeared after the pre-CIE and no indication of their precence during </w:t>
      </w:r>
      <w:r>
        <w:rPr>
          <w:rFonts w:ascii="Times New Roman" w:eastAsia="Calibri" w:hAnsi="Times New Roman" w:cs="Times New Roman"/>
          <w:sz w:val="24"/>
          <w:szCs w:val="24"/>
          <w:lang w:eastAsia="en-GB"/>
        </w:rPr>
        <w:t xml:space="preserve">the CIE (Table 3b). There were also more </w:t>
      </w:r>
      <w:r>
        <w:rPr>
          <w:rFonts w:ascii="Times New Roman" w:eastAsia="Calibri" w:hAnsi="Times New Roman" w:cs="Times New Roman"/>
          <w:i/>
          <w:sz w:val="24"/>
          <w:szCs w:val="24"/>
          <w:lang w:eastAsia="en-GB"/>
        </w:rPr>
        <w:t>Tappanina selmensis</w:t>
      </w:r>
      <w:r>
        <w:rPr>
          <w:rFonts w:ascii="Times New Roman" w:eastAsia="Calibri" w:hAnsi="Times New Roman" w:cs="Times New Roman"/>
          <w:sz w:val="24"/>
          <w:szCs w:val="24"/>
          <w:lang w:eastAsia="en-GB"/>
        </w:rPr>
        <w:t xml:space="preserve">, </w:t>
      </w:r>
      <w:r>
        <w:rPr>
          <w:rFonts w:ascii="Times New Roman" w:eastAsia="Calibri" w:hAnsi="Times New Roman" w:cs="Times New Roman"/>
          <w:i/>
          <w:sz w:val="24"/>
          <w:szCs w:val="24"/>
          <w:lang w:eastAsia="en-GB"/>
        </w:rPr>
        <w:t xml:space="preserve">Bulimina tuxpamensis, Praebulimina reuss, Oridorsalis umbonatus, Bulimina midwayensis, Bulimina trihedral, Paleopleurostomella pleurostomelloides, Abyssamina quadrata </w:t>
      </w:r>
      <w:r>
        <w:rPr>
          <w:rFonts w:ascii="Times New Roman" w:eastAsia="Calibri" w:hAnsi="Times New Roman" w:cs="Times New Roman"/>
          <w:sz w:val="24"/>
          <w:szCs w:val="24"/>
          <w:lang w:eastAsia="en-GB"/>
        </w:rPr>
        <w:t>and</w:t>
      </w:r>
      <w:r>
        <w:rPr>
          <w:rFonts w:ascii="Times New Roman" w:eastAsia="Calibri" w:hAnsi="Times New Roman" w:cs="Times New Roman"/>
          <w:i/>
          <w:sz w:val="24"/>
          <w:szCs w:val="24"/>
          <w:lang w:eastAsia="en-GB"/>
        </w:rPr>
        <w:t xml:space="preserve"> Gyroidinoides subangula</w:t>
      </w:r>
      <w:r>
        <w:rPr>
          <w:rFonts w:ascii="Times New Roman" w:eastAsia="Calibri" w:hAnsi="Times New Roman" w:cs="Times New Roman"/>
          <w:i/>
          <w:sz w:val="24"/>
          <w:szCs w:val="24"/>
          <w:lang w:eastAsia="en-GB"/>
        </w:rPr>
        <w:t>tus</w:t>
      </w:r>
      <w:r>
        <w:rPr>
          <w:rFonts w:ascii="Calibri" w:eastAsia="Calibri" w:hAnsi="Calibri" w:cs="Times New Roman"/>
        </w:rPr>
        <w:t xml:space="preserve"> </w:t>
      </w:r>
      <w:r>
        <w:rPr>
          <w:rFonts w:ascii="Times New Roman" w:eastAsia="Calibri" w:hAnsi="Times New Roman" w:cs="Times New Roman"/>
          <w:sz w:val="24"/>
          <w:szCs w:val="24"/>
          <w:lang w:eastAsia="en-GB"/>
        </w:rPr>
        <w:t xml:space="preserve">during the CIE than the pre CIE.  In the same vein, </w:t>
      </w:r>
      <w:r>
        <w:rPr>
          <w:rFonts w:ascii="Times New Roman" w:eastAsia="Calibri" w:hAnsi="Times New Roman" w:cs="Times New Roman"/>
          <w:i/>
          <w:sz w:val="24"/>
          <w:szCs w:val="24"/>
          <w:lang w:eastAsia="en-GB"/>
        </w:rPr>
        <w:t xml:space="preserve">Abyssamina quadrata, Quadrimorphina profunda </w:t>
      </w:r>
      <w:r>
        <w:rPr>
          <w:rFonts w:ascii="Times New Roman" w:eastAsia="Calibri" w:hAnsi="Times New Roman" w:cs="Times New Roman"/>
          <w:sz w:val="24"/>
          <w:szCs w:val="24"/>
          <w:lang w:eastAsia="en-GB"/>
        </w:rPr>
        <w:t>and</w:t>
      </w:r>
      <w:r>
        <w:rPr>
          <w:rFonts w:ascii="Times New Roman" w:eastAsia="Calibri" w:hAnsi="Times New Roman" w:cs="Times New Roman"/>
          <w:i/>
          <w:sz w:val="24"/>
          <w:szCs w:val="24"/>
          <w:lang w:eastAsia="en-GB"/>
        </w:rPr>
        <w:t xml:space="preserve"> Pleurostomella paleoceanica</w:t>
      </w:r>
      <w:r>
        <w:rPr>
          <w:rFonts w:ascii="Times New Roman" w:eastAsia="Calibri" w:hAnsi="Times New Roman" w:cs="Times New Roman"/>
          <w:sz w:val="24"/>
          <w:szCs w:val="24"/>
          <w:lang w:eastAsia="en-GB"/>
        </w:rPr>
        <w:t xml:space="preserve"> increased more than 5 fold higher during the CIE than the pre-CIE (Table 3b). The pre-CIE was characterised by an increase </w:t>
      </w:r>
      <w:r>
        <w:rPr>
          <w:rFonts w:ascii="Times New Roman" w:eastAsia="Calibri" w:hAnsi="Times New Roman" w:cs="Times New Roman"/>
          <w:sz w:val="24"/>
          <w:szCs w:val="24"/>
          <w:lang w:eastAsia="en-GB"/>
        </w:rPr>
        <w:t xml:space="preserve">in the mean abundance of heavily calcified taxa such as </w:t>
      </w:r>
      <w:r>
        <w:rPr>
          <w:rFonts w:ascii="Times New Roman" w:eastAsia="Calibri" w:hAnsi="Times New Roman" w:cs="Times New Roman"/>
          <w:i/>
          <w:sz w:val="24"/>
          <w:szCs w:val="24"/>
          <w:lang w:eastAsia="en-GB"/>
        </w:rPr>
        <w:t>Gavelinella beccarriformis, Cibicidoides</w:t>
      </w:r>
      <w:r>
        <w:rPr>
          <w:rFonts w:ascii="Times New Roman" w:eastAsia="Calibri" w:hAnsi="Times New Roman" w:cs="Times New Roman"/>
          <w:sz w:val="24"/>
          <w:szCs w:val="24"/>
          <w:lang w:eastAsia="en-GB"/>
        </w:rPr>
        <w:t xml:space="preserve"> spp,</w:t>
      </w:r>
      <w:r>
        <w:rPr>
          <w:rFonts w:ascii="Times New Roman" w:eastAsia="Calibri" w:hAnsi="Times New Roman" w:cs="Times New Roman"/>
          <w:i/>
          <w:sz w:val="24"/>
          <w:szCs w:val="24"/>
          <w:lang w:eastAsia="en-GB"/>
        </w:rPr>
        <w:t xml:space="preserve"> Nonion havanense, Osangularia </w:t>
      </w:r>
      <w:r>
        <w:rPr>
          <w:rFonts w:ascii="Times New Roman" w:eastAsia="Calibri" w:hAnsi="Times New Roman" w:cs="Times New Roman"/>
          <w:sz w:val="24"/>
          <w:szCs w:val="24"/>
          <w:lang w:eastAsia="en-GB"/>
        </w:rPr>
        <w:t>sp.</w:t>
      </w:r>
      <w:r>
        <w:rPr>
          <w:rFonts w:ascii="Times New Roman" w:eastAsia="Calibri" w:hAnsi="Times New Roman" w:cs="Times New Roman"/>
          <w:i/>
          <w:sz w:val="24"/>
          <w:szCs w:val="24"/>
          <w:lang w:eastAsia="en-GB"/>
        </w:rPr>
        <w:t xml:space="preserve">, Gyroidinoides globose, Gavelinella </w:t>
      </w:r>
      <w:r>
        <w:rPr>
          <w:rFonts w:ascii="Times New Roman" w:eastAsia="Calibri" w:hAnsi="Times New Roman" w:cs="Times New Roman"/>
          <w:sz w:val="24"/>
          <w:szCs w:val="24"/>
          <w:lang w:eastAsia="en-GB"/>
        </w:rPr>
        <w:t>spp</w:t>
      </w:r>
      <w:r>
        <w:rPr>
          <w:rFonts w:ascii="Times New Roman" w:eastAsia="Calibri" w:hAnsi="Times New Roman" w:cs="Times New Roman"/>
          <w:i/>
          <w:sz w:val="24"/>
          <w:szCs w:val="24"/>
          <w:lang w:eastAsia="en-GB"/>
        </w:rPr>
        <w:t xml:space="preserve">., Anomalinoides praeacuta, Oridorsalis plumaerae </w:t>
      </w:r>
      <w:r>
        <w:rPr>
          <w:rFonts w:ascii="Times New Roman" w:eastAsia="Calibri" w:hAnsi="Times New Roman" w:cs="Times New Roman"/>
          <w:sz w:val="24"/>
          <w:szCs w:val="24"/>
          <w:lang w:eastAsia="en-GB"/>
        </w:rPr>
        <w:t xml:space="preserve">and </w:t>
      </w:r>
      <w:r>
        <w:rPr>
          <w:rFonts w:ascii="Times New Roman" w:eastAsia="Calibri" w:hAnsi="Times New Roman" w:cs="Times New Roman"/>
          <w:i/>
          <w:sz w:val="24"/>
          <w:szCs w:val="24"/>
          <w:lang w:eastAsia="en-GB"/>
        </w:rPr>
        <w:t>Lenticulina</w:t>
      </w:r>
      <w:r>
        <w:rPr>
          <w:rFonts w:ascii="Times New Roman" w:eastAsia="Calibri" w:hAnsi="Times New Roman" w:cs="Times New Roman"/>
          <w:sz w:val="24"/>
          <w:szCs w:val="24"/>
          <w:lang w:eastAsia="en-GB"/>
        </w:rPr>
        <w:t xml:space="preserve"> spp. The mean abundance of most of these taxa dropped drastically during the CIE or became extinct (see  the suplimentaey data) due to the effect of dissolution resulting from the ocean acidification and probably decrease in oxygen concentration. </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The SIM</w:t>
      </w:r>
      <w:r>
        <w:rPr>
          <w:rFonts w:ascii="Times New Roman" w:eastAsia="Calibri" w:hAnsi="Times New Roman" w:cs="Times New Roman"/>
          <w:sz w:val="24"/>
          <w:szCs w:val="24"/>
          <w:lang w:eastAsia="en-GB"/>
        </w:rPr>
        <w:t xml:space="preserve">PER result comparing the CIE and recovery indicated that the two intervals were 63.35%  different. It highlighted the origination of </w:t>
      </w:r>
      <w:r>
        <w:rPr>
          <w:rFonts w:ascii="Times New Roman" w:eastAsia="Calibri" w:hAnsi="Times New Roman" w:cs="Times New Roman"/>
          <w:i/>
          <w:sz w:val="24"/>
          <w:szCs w:val="24"/>
          <w:lang w:eastAsia="en-GB"/>
        </w:rPr>
        <w:t xml:space="preserve">Stillostomella plumaerae, Nuttallides </w:t>
      </w:r>
      <w:r>
        <w:rPr>
          <w:rFonts w:ascii="Times New Roman" w:eastAsia="Calibri" w:hAnsi="Times New Roman" w:cs="Times New Roman"/>
          <w:sz w:val="24"/>
          <w:szCs w:val="24"/>
          <w:lang w:eastAsia="en-GB"/>
        </w:rPr>
        <w:t>sp</w:t>
      </w:r>
      <w:r>
        <w:rPr>
          <w:rFonts w:ascii="Times New Roman" w:eastAsia="Calibri" w:hAnsi="Times New Roman" w:cs="Times New Roman"/>
          <w:i/>
          <w:sz w:val="24"/>
          <w:szCs w:val="24"/>
          <w:lang w:eastAsia="en-GB"/>
        </w:rPr>
        <w:t>.</w:t>
      </w:r>
      <w:r>
        <w:rPr>
          <w:rFonts w:ascii="Times New Roman" w:eastAsia="Calibri" w:hAnsi="Times New Roman" w:cs="Times New Roman"/>
          <w:sz w:val="24"/>
          <w:szCs w:val="24"/>
          <w:lang w:eastAsia="en-GB"/>
        </w:rPr>
        <w:t>1</w:t>
      </w:r>
      <w:r>
        <w:rPr>
          <w:rFonts w:ascii="Times New Roman" w:eastAsia="Calibri" w:hAnsi="Times New Roman" w:cs="Times New Roman"/>
          <w:i/>
          <w:sz w:val="24"/>
          <w:szCs w:val="24"/>
          <w:lang w:eastAsia="en-GB"/>
        </w:rPr>
        <w:t xml:space="preserve">, Quadratobuliminella pyramidalis </w:t>
      </w:r>
      <w:r>
        <w:rPr>
          <w:rFonts w:ascii="Times New Roman" w:eastAsia="Calibri" w:hAnsi="Times New Roman" w:cs="Times New Roman"/>
          <w:sz w:val="24"/>
          <w:szCs w:val="24"/>
          <w:lang w:eastAsia="en-GB"/>
        </w:rPr>
        <w:t xml:space="preserve">after the CIE as well the extinction of </w:t>
      </w:r>
      <w:r>
        <w:rPr>
          <w:rFonts w:ascii="Times New Roman" w:eastAsia="Calibri" w:hAnsi="Times New Roman" w:cs="Times New Roman"/>
          <w:i/>
          <w:sz w:val="24"/>
          <w:szCs w:val="24"/>
          <w:lang w:eastAsia="en-GB"/>
        </w:rPr>
        <w:t>Praebul</w:t>
      </w:r>
      <w:r>
        <w:rPr>
          <w:rFonts w:ascii="Times New Roman" w:eastAsia="Calibri" w:hAnsi="Times New Roman" w:cs="Times New Roman"/>
          <w:i/>
          <w:sz w:val="24"/>
          <w:szCs w:val="24"/>
          <w:lang w:eastAsia="en-GB"/>
        </w:rPr>
        <w:t xml:space="preserve">imina reuss </w:t>
      </w:r>
      <w:r>
        <w:rPr>
          <w:rFonts w:ascii="Times New Roman" w:eastAsia="Calibri" w:hAnsi="Times New Roman" w:cs="Times New Roman"/>
          <w:sz w:val="24"/>
          <w:szCs w:val="24"/>
          <w:lang w:eastAsia="en-GB"/>
        </w:rPr>
        <w:t xml:space="preserve">before the recovery (Figure </w:t>
      </w:r>
      <w:r>
        <w:rPr>
          <w:rFonts w:ascii="Times New Roman" w:eastAsia="Calibri" w:hAnsi="Times New Roman" w:cs="Times New Roman"/>
          <w:sz w:val="24"/>
          <w:szCs w:val="24"/>
          <w:lang w:eastAsia="en-GB"/>
        </w:rPr>
        <w:t>4</w:t>
      </w:r>
      <w:r>
        <w:rPr>
          <w:rFonts w:ascii="Times New Roman" w:eastAsia="Calibri" w:hAnsi="Times New Roman" w:cs="Times New Roman"/>
          <w:sz w:val="24"/>
          <w:szCs w:val="24"/>
          <w:lang w:eastAsia="en-GB"/>
        </w:rPr>
        <w:t xml:space="preserve">; Table </w:t>
      </w:r>
      <w:r>
        <w:rPr>
          <w:rFonts w:ascii="Times New Roman" w:eastAsia="Calibri" w:hAnsi="Times New Roman" w:cs="Times New Roman"/>
          <w:sz w:val="24"/>
          <w:szCs w:val="24"/>
          <w:lang w:eastAsia="en-GB"/>
        </w:rPr>
        <w:t>2</w:t>
      </w:r>
      <w:r>
        <w:rPr>
          <w:rFonts w:ascii="Times New Roman" w:eastAsia="Calibri" w:hAnsi="Times New Roman" w:cs="Times New Roman"/>
          <w:sz w:val="24"/>
          <w:szCs w:val="24"/>
          <w:lang w:eastAsia="en-GB"/>
        </w:rPr>
        <w:t>). The most remarkable event highlighted by SIMPER result for CIE and recovery was the replacement of the heavily calcified taxa that dominated the pre-CIE by the more opportunistic ones during the recovery</w:t>
      </w:r>
      <w:r>
        <w:rPr>
          <w:rFonts w:ascii="Times New Roman" w:eastAsia="Calibri" w:hAnsi="Times New Roman" w:cs="Times New Roman"/>
          <w:sz w:val="24"/>
          <w:szCs w:val="24"/>
          <w:lang w:eastAsia="en-GB"/>
        </w:rPr>
        <w:t xml:space="preserve"> ( Figure</w:t>
      </w:r>
      <w:r>
        <w:rPr>
          <w:rFonts w:ascii="Times New Roman" w:eastAsia="Calibri" w:hAnsi="Times New Roman" w:cs="Times New Roman"/>
          <w:sz w:val="24"/>
          <w:szCs w:val="24"/>
          <w:lang w:eastAsia="en-GB"/>
        </w:rPr>
        <w:t>s 4-6</w:t>
      </w:r>
      <w:r>
        <w:rPr>
          <w:rFonts w:ascii="Times New Roman" w:eastAsia="Calibri" w:hAnsi="Times New Roman" w:cs="Times New Roman"/>
          <w:sz w:val="24"/>
          <w:szCs w:val="24"/>
          <w:lang w:eastAsia="en-GB"/>
        </w:rPr>
        <w:t xml:space="preserve">; supplimentary data). The heavily calcified taxa were hugely affected by carbonate dissolution during the ocean acidification, and the niche they vacated was recolonised by the opportunistic taxa. In addition, </w:t>
      </w:r>
      <w:r>
        <w:rPr>
          <w:rFonts w:ascii="Times New Roman" w:eastAsia="Calibri" w:hAnsi="Times New Roman" w:cs="Times New Roman"/>
          <w:i/>
          <w:sz w:val="24"/>
          <w:szCs w:val="24"/>
          <w:lang w:eastAsia="en-GB"/>
        </w:rPr>
        <w:t>P. pleurostomelloides, Bulimina</w:t>
      </w:r>
      <w:r>
        <w:rPr>
          <w:rFonts w:ascii="Times New Roman" w:eastAsia="Calibri" w:hAnsi="Times New Roman" w:cs="Times New Roman"/>
          <w:i/>
          <w:sz w:val="24"/>
          <w:szCs w:val="24"/>
          <w:lang w:eastAsia="en-GB"/>
        </w:rPr>
        <w:t xml:space="preserve"> sp., A. praeacuta, A. aragonensis, B. trihedral, T. selmensis, B. tuxpamensis, Nodosaria spp., Q. profunda, Lenticulina sp., N. truempyi, O.umbonatus </w:t>
      </w:r>
      <w:r>
        <w:rPr>
          <w:rFonts w:ascii="Times New Roman" w:eastAsia="Calibri" w:hAnsi="Times New Roman" w:cs="Times New Roman"/>
          <w:sz w:val="24"/>
          <w:szCs w:val="24"/>
          <w:lang w:eastAsia="en-GB"/>
        </w:rPr>
        <w:t xml:space="preserve"> were more during recovery than the CIE (Table </w:t>
      </w:r>
      <w:r>
        <w:rPr>
          <w:rFonts w:ascii="Times New Roman" w:eastAsia="Calibri" w:hAnsi="Times New Roman" w:cs="Times New Roman"/>
          <w:sz w:val="24"/>
          <w:szCs w:val="24"/>
          <w:lang w:eastAsia="en-GB"/>
        </w:rPr>
        <w:t>2</w:t>
      </w:r>
      <w:r>
        <w:rPr>
          <w:rFonts w:ascii="Times New Roman" w:eastAsia="Calibri" w:hAnsi="Times New Roman" w:cs="Times New Roman"/>
          <w:sz w:val="24"/>
          <w:szCs w:val="24"/>
          <w:lang w:eastAsia="en-GB"/>
        </w:rPr>
        <w:t xml:space="preserve">c). Nevertheless,  </w:t>
      </w:r>
      <w:r>
        <w:rPr>
          <w:rFonts w:ascii="Times New Roman" w:eastAsia="Calibri" w:hAnsi="Times New Roman" w:cs="Times New Roman"/>
          <w:i/>
          <w:sz w:val="24"/>
          <w:szCs w:val="24"/>
          <w:lang w:eastAsia="en-GB"/>
        </w:rPr>
        <w:t xml:space="preserve">A. quadrata, P. paleoceanica, P.reuss </w:t>
      </w:r>
      <w:r>
        <w:rPr>
          <w:rFonts w:ascii="Times New Roman" w:eastAsia="Calibri" w:hAnsi="Times New Roman" w:cs="Times New Roman"/>
          <w:sz w:val="24"/>
          <w:szCs w:val="24"/>
          <w:lang w:eastAsia="en-GB"/>
        </w:rPr>
        <w:t>maintained a high relative abundance during the CIE.</w:t>
      </w:r>
    </w:p>
    <w:p w:rsidR="0062109E" w:rsidRDefault="0062109E">
      <w:pPr>
        <w:spacing w:line="360" w:lineRule="auto"/>
        <w:jc w:val="both"/>
        <w:rPr>
          <w:rFonts w:ascii="Times New Roman" w:eastAsia="Calibri" w:hAnsi="Times New Roman" w:cs="Times New Roman"/>
          <w:sz w:val="24"/>
          <w:szCs w:val="24"/>
          <w:lang w:eastAsia="en-GB"/>
        </w:rPr>
      </w:pPr>
    </w:p>
    <w:p w:rsidR="0062109E" w:rsidRDefault="0062109E">
      <w:pPr>
        <w:spacing w:line="360" w:lineRule="auto"/>
        <w:jc w:val="both"/>
        <w:rPr>
          <w:rFonts w:ascii="Times New Roman" w:eastAsia="Calibri" w:hAnsi="Times New Roman" w:cs="Times New Roman"/>
          <w:sz w:val="24"/>
          <w:szCs w:val="24"/>
          <w:lang w:eastAsia="en-GB"/>
        </w:rPr>
      </w:pPr>
    </w:p>
    <w:p w:rsidR="0062109E" w:rsidRDefault="0062109E">
      <w:pPr>
        <w:spacing w:line="360" w:lineRule="auto"/>
        <w:jc w:val="both"/>
        <w:rPr>
          <w:rFonts w:ascii="Times New Roman" w:eastAsia="Calibri" w:hAnsi="Times New Roman" w:cs="Times New Roman"/>
          <w:sz w:val="24"/>
          <w:szCs w:val="24"/>
          <w:lang w:eastAsia="en-GB"/>
        </w:rPr>
      </w:pPr>
    </w:p>
    <w:p w:rsidR="0062109E" w:rsidRDefault="00CF5136">
      <w:pPr>
        <w:spacing w:line="240" w:lineRule="auto"/>
        <w:jc w:val="both"/>
        <w:rPr>
          <w:rFonts w:ascii="Times New Roman" w:hAnsi="Times New Roman" w:cs="Times New Roman"/>
          <w:i/>
        </w:rPr>
      </w:pPr>
      <w:r>
        <w:rPr>
          <w:rFonts w:ascii="Times New Roman" w:hAnsi="Times New Roman" w:cs="Times New Roman"/>
          <w:i/>
        </w:rPr>
        <w:t xml:space="preserve">Table </w:t>
      </w:r>
      <w:r>
        <w:rPr>
          <w:rFonts w:ascii="Times New Roman" w:hAnsi="Times New Roman" w:cs="Times New Roman"/>
          <w:i/>
        </w:rPr>
        <w:t>2</w:t>
      </w:r>
      <w:r>
        <w:rPr>
          <w:rFonts w:ascii="Times New Roman" w:hAnsi="Times New Roman" w:cs="Times New Roman"/>
          <w:i/>
        </w:rPr>
        <w:t>a: Site 1265A SIMPER results of the average abundance of benthic foraminiferal taxa and their respective percentage contribution within the recovery and pre-CIE intervals. (Data cut off 50%)</w:t>
      </w:r>
    </w:p>
    <w:tbl>
      <w:tblPr>
        <w:tblStyle w:val="TableGrid11"/>
        <w:tblW w:w="0" w:type="auto"/>
        <w:jc w:val="center"/>
        <w:tblLook w:val="04A0" w:firstRow="1" w:lastRow="0" w:firstColumn="1" w:lastColumn="0" w:noHBand="0" w:noVBand="1"/>
      </w:tblPr>
      <w:tblGrid>
        <w:gridCol w:w="2830"/>
        <w:gridCol w:w="993"/>
        <w:gridCol w:w="1275"/>
        <w:gridCol w:w="1843"/>
      </w:tblGrid>
      <w:tr w:rsidR="0062109E">
        <w:trPr>
          <w:jc w:val="center"/>
        </w:trPr>
        <w:tc>
          <w:tcPr>
            <w:tcW w:w="2830" w:type="dxa"/>
            <w:vMerge w:val="restart"/>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Sp</w:t>
            </w:r>
            <w:r>
              <w:rPr>
                <w:rFonts w:ascii="Times New Roman" w:eastAsia="Calibri" w:hAnsi="Times New Roman" w:cs="Times New Roman"/>
                <w:b/>
              </w:rPr>
              <w:t>ecies</w:t>
            </w:r>
          </w:p>
        </w:tc>
        <w:tc>
          <w:tcPr>
            <w:tcW w:w="2268" w:type="dxa"/>
            <w:gridSpan w:val="2"/>
          </w:tcPr>
          <w:p w:rsidR="0062109E" w:rsidRDefault="00CF5136">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b/>
              </w:rPr>
              <w:t>Mean abundance</w:t>
            </w:r>
          </w:p>
        </w:tc>
        <w:tc>
          <w:tcPr>
            <w:tcW w:w="1843" w:type="dxa"/>
            <w:vMerge w:val="restart"/>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b/>
              </w:rPr>
              <w:t>Contribution to dissimilarity (%)</w:t>
            </w:r>
          </w:p>
        </w:tc>
      </w:tr>
      <w:tr w:rsidR="0062109E">
        <w:trPr>
          <w:jc w:val="center"/>
        </w:trPr>
        <w:tc>
          <w:tcPr>
            <w:tcW w:w="2830" w:type="dxa"/>
            <w:vMerge/>
          </w:tcPr>
          <w:p w:rsidR="0062109E" w:rsidRDefault="0062109E">
            <w:pPr>
              <w:autoSpaceDE w:val="0"/>
              <w:autoSpaceDN w:val="0"/>
              <w:adjustRightInd w:val="0"/>
              <w:spacing w:after="0" w:line="240" w:lineRule="auto"/>
              <w:rPr>
                <w:rFonts w:ascii="Times New Roman" w:eastAsia="Calibri" w:hAnsi="Times New Roman" w:cs="Times New Roman"/>
                <w:b/>
              </w:rPr>
            </w:pPr>
          </w:p>
        </w:tc>
        <w:tc>
          <w:tcPr>
            <w:tcW w:w="993" w:type="dxa"/>
          </w:tcPr>
          <w:p w:rsidR="0062109E" w:rsidRDefault="00CF5136">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REC</w:t>
            </w:r>
          </w:p>
        </w:tc>
        <w:tc>
          <w:tcPr>
            <w:tcW w:w="1275" w:type="dxa"/>
          </w:tcPr>
          <w:p w:rsidR="0062109E" w:rsidRDefault="00CF5136">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pre-CIE</w:t>
            </w:r>
          </w:p>
        </w:tc>
        <w:tc>
          <w:tcPr>
            <w:tcW w:w="1843" w:type="dxa"/>
            <w:vMerge/>
          </w:tcPr>
          <w:p w:rsidR="0062109E" w:rsidRDefault="0062109E">
            <w:pPr>
              <w:autoSpaceDE w:val="0"/>
              <w:autoSpaceDN w:val="0"/>
              <w:adjustRightInd w:val="0"/>
              <w:spacing w:after="0" w:line="240" w:lineRule="auto"/>
              <w:rPr>
                <w:rFonts w:ascii="Times New Roman" w:eastAsia="Calibri" w:hAnsi="Times New Roman" w:cs="Times New Roman"/>
              </w:rPr>
            </w:pP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Stillostomella plumaerae</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2.70</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0.34</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3.44</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Gavelinella beccarriformis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2.41</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3.40</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Aragonina aragonensis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2.35</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0.30</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3.02</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 xml:space="preserve">Cibicidoides </w:t>
            </w:r>
            <w:r>
              <w:rPr>
                <w:rFonts w:ascii="Times New Roman" w:eastAsia="Calibri" w:hAnsi="Times New Roman" w:cs="Times New Roman"/>
                <w:i/>
              </w:rPr>
              <w:t>spp.</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0.51</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2.49</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2.67</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P.pleurostomelloides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2.50</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0.85</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2.65</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sp</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1.92</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0.68</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2.14</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Anomalinoides praeacuta</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2.09</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0.90</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2.11</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Nuttallides sp.1</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1.81</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0.73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2.05</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 xml:space="preserve">Tappanina </w:t>
            </w:r>
            <w:r>
              <w:rPr>
                <w:rFonts w:ascii="Times New Roman" w:eastAsia="Calibri" w:hAnsi="Times New Roman" w:cs="Times New Roman"/>
                <w:i/>
              </w:rPr>
              <w:t>selmensis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2.46</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1.26</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1.97</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tuxpamensis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2.58</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1.66</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1.97</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Q.pyramidalis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1.43</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0.10</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1.86</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Nonion havenense</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0.43</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1.62</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1.86</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Abyssammina quadrata</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1.72</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1.53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1.79</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 xml:space="preserve">Bulimina </w:t>
            </w:r>
            <w:r>
              <w:rPr>
                <w:rFonts w:ascii="Times New Roman" w:eastAsia="Calibri" w:hAnsi="Times New Roman" w:cs="Times New Roman"/>
                <w:i/>
              </w:rPr>
              <w:t>trihedra</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1.21</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1.02</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1.78</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midwayensis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1.77</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0.73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1.76</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Praebulimina sp.</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1.36</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1.74</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Aragonina valescoensis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1.28</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1.72</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Marsonella oxycona</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0.24</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1.37</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1.71</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Quadrimorphina profunda</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1.64</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0.63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1.71</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Bolivina sp.</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0.11</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1.44</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1.70</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Coryphostoma midwayensis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1.13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1.53</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Lenticulina sp</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1.06</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1.38</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1.52</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Oridorsalis umbonatus</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1.45</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0.81</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1.49</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Nuttallides truempyi</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3.07</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2.03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1.44</w:t>
            </w:r>
          </w:p>
        </w:tc>
      </w:tr>
      <w:tr w:rsidR="0062109E">
        <w:trPr>
          <w:jc w:val="center"/>
        </w:trPr>
        <w:tc>
          <w:tcPr>
            <w:tcW w:w="2830"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Osangularia sp</w:t>
            </w:r>
          </w:p>
        </w:tc>
        <w:tc>
          <w:tcPr>
            <w:tcW w:w="99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275"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1.02</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1.40</w:t>
            </w:r>
          </w:p>
        </w:tc>
      </w:tr>
    </w:tbl>
    <w:p w:rsidR="0062109E" w:rsidRDefault="0062109E">
      <w:pPr>
        <w:spacing w:line="240" w:lineRule="auto"/>
        <w:jc w:val="both"/>
        <w:rPr>
          <w:rFonts w:ascii="Times New Roman" w:hAnsi="Times New Roman" w:cs="Times New Roman"/>
          <w:i/>
        </w:rPr>
      </w:pPr>
    </w:p>
    <w:p w:rsidR="0062109E" w:rsidRDefault="00CF5136">
      <w:pPr>
        <w:spacing w:line="240" w:lineRule="auto"/>
        <w:jc w:val="both"/>
        <w:rPr>
          <w:rFonts w:ascii="Times New Roman" w:hAnsi="Times New Roman" w:cs="Times New Roman"/>
          <w:i/>
        </w:rPr>
      </w:pPr>
      <w:r>
        <w:rPr>
          <w:rFonts w:ascii="Times New Roman" w:hAnsi="Times New Roman" w:cs="Times New Roman"/>
          <w:i/>
        </w:rPr>
        <w:t xml:space="preserve">Table </w:t>
      </w:r>
      <w:r>
        <w:rPr>
          <w:rFonts w:ascii="Times New Roman" w:hAnsi="Times New Roman" w:cs="Times New Roman"/>
          <w:i/>
        </w:rPr>
        <w:t>2</w:t>
      </w:r>
      <w:r>
        <w:rPr>
          <w:rFonts w:ascii="Times New Roman" w:hAnsi="Times New Roman" w:cs="Times New Roman"/>
          <w:i/>
        </w:rPr>
        <w:t xml:space="preserve">b: Site 1265A SIMPER results of the average abundance of benthic foraminiferal taxa and their respective percentage contribution within </w:t>
      </w:r>
      <w:r>
        <w:rPr>
          <w:rFonts w:ascii="Times New Roman" w:hAnsi="Times New Roman" w:cs="Times New Roman"/>
          <w:i/>
        </w:rPr>
        <w:t>the CIE and pre CIE intervals. (Data cut off 50%)</w:t>
      </w:r>
    </w:p>
    <w:tbl>
      <w:tblPr>
        <w:tblStyle w:val="TableGrid11"/>
        <w:tblW w:w="0" w:type="auto"/>
        <w:jc w:val="center"/>
        <w:tblLook w:val="04A0" w:firstRow="1" w:lastRow="0" w:firstColumn="1" w:lastColumn="0" w:noHBand="0" w:noVBand="1"/>
      </w:tblPr>
      <w:tblGrid>
        <w:gridCol w:w="3788"/>
        <w:gridCol w:w="1404"/>
        <w:gridCol w:w="1123"/>
        <w:gridCol w:w="1826"/>
      </w:tblGrid>
      <w:tr w:rsidR="0062109E">
        <w:trPr>
          <w:trHeight w:val="252"/>
          <w:jc w:val="center"/>
        </w:trPr>
        <w:tc>
          <w:tcPr>
            <w:tcW w:w="3788" w:type="dxa"/>
            <w:vMerge w:val="restart"/>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Species</w:t>
            </w:r>
          </w:p>
        </w:tc>
        <w:tc>
          <w:tcPr>
            <w:tcW w:w="2527" w:type="dxa"/>
            <w:gridSpan w:val="2"/>
          </w:tcPr>
          <w:p w:rsidR="0062109E" w:rsidRDefault="00CF5136">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b/>
              </w:rPr>
              <w:t>Mean abundance</w:t>
            </w:r>
          </w:p>
        </w:tc>
        <w:tc>
          <w:tcPr>
            <w:tcW w:w="1826" w:type="dxa"/>
            <w:vMerge w:val="restart"/>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b/>
              </w:rPr>
              <w:t>Contribution to dissimilarity (%)</w:t>
            </w:r>
          </w:p>
        </w:tc>
      </w:tr>
      <w:tr w:rsidR="0062109E">
        <w:trPr>
          <w:trHeight w:val="265"/>
          <w:jc w:val="center"/>
        </w:trPr>
        <w:tc>
          <w:tcPr>
            <w:tcW w:w="3788" w:type="dxa"/>
            <w:vMerge/>
          </w:tcPr>
          <w:p w:rsidR="0062109E" w:rsidRDefault="0062109E">
            <w:pPr>
              <w:autoSpaceDE w:val="0"/>
              <w:autoSpaceDN w:val="0"/>
              <w:adjustRightInd w:val="0"/>
              <w:spacing w:after="0" w:line="240" w:lineRule="auto"/>
              <w:rPr>
                <w:rFonts w:ascii="Times New Roman" w:eastAsia="Calibri" w:hAnsi="Times New Roman" w:cs="Times New Roman"/>
                <w:b/>
                <w:i/>
              </w:rPr>
            </w:pPr>
          </w:p>
        </w:tc>
        <w:tc>
          <w:tcPr>
            <w:tcW w:w="1404" w:type="dxa"/>
          </w:tcPr>
          <w:p w:rsidR="0062109E" w:rsidRDefault="00CF5136">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CIE</w:t>
            </w:r>
          </w:p>
        </w:tc>
        <w:tc>
          <w:tcPr>
            <w:tcW w:w="1123" w:type="dxa"/>
          </w:tcPr>
          <w:p w:rsidR="0062109E" w:rsidRDefault="00CF5136">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pre-CIE</w:t>
            </w:r>
          </w:p>
        </w:tc>
        <w:tc>
          <w:tcPr>
            <w:tcW w:w="1826" w:type="dxa"/>
            <w:vMerge/>
          </w:tcPr>
          <w:p w:rsidR="0062109E" w:rsidRDefault="0062109E">
            <w:pPr>
              <w:autoSpaceDE w:val="0"/>
              <w:autoSpaceDN w:val="0"/>
              <w:adjustRightInd w:val="0"/>
              <w:spacing w:after="0" w:line="240" w:lineRule="auto"/>
              <w:rPr>
                <w:rFonts w:ascii="Times New Roman" w:eastAsia="Calibri" w:hAnsi="Times New Roman" w:cs="Times New Roman"/>
              </w:rPr>
            </w:pP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Gavelinella beccarriformis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0.45</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2.41</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3.22</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Cibicidoides spp.</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0.73</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2.49</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2.69</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Nonion havenense</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0.23</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1.62</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2.10</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Aragonina aragonensis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1.28</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0.30</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2.03</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Tappanina selmensis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1.69</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1.26</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1.93</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Marsonella oxycona</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0.27</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1.37</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1.90</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tuxpamensis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2.23</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1.66</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1.90</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 xml:space="preserve">Nuttallides </w:t>
            </w:r>
            <w:r>
              <w:rPr>
                <w:rFonts w:ascii="Times New Roman" w:eastAsia="Calibri" w:hAnsi="Times New Roman" w:cs="Times New Roman"/>
                <w:i/>
              </w:rPr>
              <w:t>truempyi</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2.87</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2.03</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1.89</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Aragonina valescoensis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1.28</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1.89</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Bolivina sp.</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0.50</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1.44</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1.85</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Quadrimorphina profunda</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1.36</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0.63</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1.83</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Praebulimina sp.</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0.19</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1.36</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1.81</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Lenticulina sp</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0.23</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1.38</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1.78</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 pleurostomelloides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1.02</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0.85</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1.77</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Praebulimina reuss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0.95</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0.71</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1.71</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Abyssammina quadrata</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1.85</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1.53</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1.69</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Oridorsalis umbonatus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1.27</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0.81</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1.63</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Coryphostoma midwayensis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0.55</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1.13</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1.63</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trihedra</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1.19</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1.02</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1.62</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midwayensis</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1.30</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0.73</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1.57</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Osangularia sp</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0.35</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1.02</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1.54</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Pleurostomella paleoceanica</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1.08</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0.20</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1.51</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Gyroidinoides globosa</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1.03</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1.49</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Oridorsalis plummerae</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0.16</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1.06</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1.49</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Spiroplectammina spp</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1.06</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1.47</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Anomalinoides praeacuta</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0.33</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0.90</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1.46</w:t>
            </w:r>
          </w:p>
        </w:tc>
      </w:tr>
      <w:tr w:rsidR="0062109E">
        <w:trPr>
          <w:trHeight w:val="252"/>
          <w:jc w:val="center"/>
        </w:trPr>
        <w:tc>
          <w:tcPr>
            <w:tcW w:w="378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Gavelinella sp</w:t>
            </w:r>
          </w:p>
        </w:tc>
        <w:tc>
          <w:tcPr>
            <w:tcW w:w="140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0.20</w:t>
            </w:r>
          </w:p>
        </w:tc>
        <w:tc>
          <w:tcPr>
            <w:tcW w:w="1123"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1.06</w:t>
            </w:r>
          </w:p>
        </w:tc>
        <w:tc>
          <w:tcPr>
            <w:tcW w:w="1826"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1.44</w:t>
            </w:r>
          </w:p>
        </w:tc>
      </w:tr>
      <w:tr w:rsidR="0062109E">
        <w:trPr>
          <w:trHeight w:val="252"/>
          <w:jc w:val="center"/>
        </w:trPr>
        <w:tc>
          <w:tcPr>
            <w:tcW w:w="3788" w:type="dxa"/>
          </w:tcPr>
          <w:p w:rsidR="0062109E" w:rsidRDefault="00CF5136">
            <w:pPr>
              <w:spacing w:after="0" w:line="240" w:lineRule="auto"/>
              <w:rPr>
                <w:rFonts w:ascii="Times New Roman" w:eastAsia="Calibri" w:hAnsi="Times New Roman" w:cs="Times New Roman"/>
                <w:i/>
              </w:rPr>
            </w:pPr>
            <w:r>
              <w:rPr>
                <w:rFonts w:ascii="Times New Roman" w:eastAsia="Calibri" w:hAnsi="Times New Roman" w:cs="Times New Roman"/>
                <w:i/>
              </w:rPr>
              <w:t>Gyroidinoides subangulatus</w:t>
            </w:r>
          </w:p>
        </w:tc>
        <w:tc>
          <w:tcPr>
            <w:tcW w:w="1404" w:type="dxa"/>
          </w:tcPr>
          <w:p w:rsidR="0062109E" w:rsidRDefault="00CF5136">
            <w:pPr>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0.64</w:t>
            </w:r>
          </w:p>
        </w:tc>
        <w:tc>
          <w:tcPr>
            <w:tcW w:w="1123" w:type="dxa"/>
          </w:tcPr>
          <w:p w:rsidR="0062109E" w:rsidRDefault="00CF5136">
            <w:pPr>
              <w:spacing w:after="0" w:line="240" w:lineRule="auto"/>
              <w:rPr>
                <w:rFonts w:ascii="Times New Roman" w:eastAsia="Calibri" w:hAnsi="Times New Roman" w:cs="Times New Roman"/>
              </w:rPr>
            </w:pPr>
            <w:r>
              <w:rPr>
                <w:rFonts w:ascii="Times New Roman" w:eastAsia="Calibri" w:hAnsi="Times New Roman" w:cs="Times New Roman"/>
              </w:rPr>
              <w:t xml:space="preserve">       0.45</w:t>
            </w:r>
          </w:p>
        </w:tc>
        <w:tc>
          <w:tcPr>
            <w:tcW w:w="1826" w:type="dxa"/>
          </w:tcPr>
          <w:p w:rsidR="0062109E" w:rsidRDefault="00CF5136">
            <w:pPr>
              <w:spacing w:after="0" w:line="240" w:lineRule="auto"/>
              <w:rPr>
                <w:rFonts w:ascii="Times New Roman" w:eastAsia="Calibri" w:hAnsi="Times New Roman" w:cs="Times New Roman"/>
              </w:rPr>
            </w:pPr>
            <w:r>
              <w:rPr>
                <w:rFonts w:ascii="Times New Roman" w:eastAsia="Calibri" w:hAnsi="Times New Roman" w:cs="Times New Roman"/>
              </w:rPr>
              <w:t xml:space="preserve">    1.33</w:t>
            </w:r>
          </w:p>
        </w:tc>
      </w:tr>
    </w:tbl>
    <w:p w:rsidR="0062109E" w:rsidRDefault="0062109E">
      <w:pPr>
        <w:spacing w:line="360" w:lineRule="auto"/>
        <w:rPr>
          <w:rFonts w:ascii="Calibri" w:eastAsia="Calibri" w:hAnsi="Calibri" w:cs="Times New Roman"/>
        </w:rPr>
      </w:pPr>
    </w:p>
    <w:p w:rsidR="0062109E" w:rsidRDefault="00CF5136">
      <w:pPr>
        <w:spacing w:line="240" w:lineRule="auto"/>
        <w:jc w:val="both"/>
        <w:rPr>
          <w:rFonts w:ascii="Times New Roman" w:hAnsi="Times New Roman" w:cs="Times New Roman"/>
          <w:i/>
        </w:rPr>
      </w:pPr>
      <w:r>
        <w:rPr>
          <w:rFonts w:ascii="Times New Roman" w:hAnsi="Times New Roman" w:cs="Times New Roman"/>
          <w:i/>
        </w:rPr>
        <w:t xml:space="preserve">Table </w:t>
      </w:r>
      <w:r>
        <w:rPr>
          <w:rFonts w:ascii="Times New Roman" w:hAnsi="Times New Roman" w:cs="Times New Roman"/>
          <w:i/>
        </w:rPr>
        <w:t>2</w:t>
      </w:r>
      <w:r>
        <w:rPr>
          <w:rFonts w:ascii="Times New Roman" w:hAnsi="Times New Roman" w:cs="Times New Roman"/>
          <w:i/>
        </w:rPr>
        <w:t xml:space="preserve">c: Site 1265A SIMPER results of the average abundance of benthic foraminiferal taxa and their respective percentage contribution within the recovery and CIE </w:t>
      </w:r>
      <w:r>
        <w:rPr>
          <w:rFonts w:ascii="Times New Roman" w:hAnsi="Times New Roman" w:cs="Times New Roman"/>
          <w:i/>
        </w:rPr>
        <w:t>intervals. (Data cut off 50%)</w:t>
      </w:r>
    </w:p>
    <w:tbl>
      <w:tblPr>
        <w:tblStyle w:val="TableGrid11"/>
        <w:tblW w:w="0" w:type="auto"/>
        <w:tblLook w:val="04A0" w:firstRow="1" w:lastRow="0" w:firstColumn="1" w:lastColumn="0" w:noHBand="0" w:noVBand="1"/>
      </w:tblPr>
      <w:tblGrid>
        <w:gridCol w:w="4248"/>
        <w:gridCol w:w="992"/>
        <w:gridCol w:w="1134"/>
        <w:gridCol w:w="1843"/>
      </w:tblGrid>
      <w:tr w:rsidR="0062109E">
        <w:tc>
          <w:tcPr>
            <w:tcW w:w="4248" w:type="dxa"/>
            <w:vMerge w:val="restart"/>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Species</w:t>
            </w:r>
          </w:p>
        </w:tc>
        <w:tc>
          <w:tcPr>
            <w:tcW w:w="2126" w:type="dxa"/>
            <w:gridSpan w:val="2"/>
          </w:tcPr>
          <w:p w:rsidR="0062109E" w:rsidRDefault="00CF5136">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b/>
              </w:rPr>
              <w:t>Mean abundance</w:t>
            </w:r>
          </w:p>
        </w:tc>
        <w:tc>
          <w:tcPr>
            <w:tcW w:w="1843" w:type="dxa"/>
            <w:vMerge w:val="restart"/>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b/>
              </w:rPr>
              <w:t>Contribution to dissimilarity (%)</w:t>
            </w:r>
          </w:p>
        </w:tc>
      </w:tr>
      <w:tr w:rsidR="0062109E">
        <w:tc>
          <w:tcPr>
            <w:tcW w:w="4248" w:type="dxa"/>
            <w:vMerge/>
          </w:tcPr>
          <w:p w:rsidR="0062109E" w:rsidRDefault="0062109E">
            <w:pPr>
              <w:autoSpaceDE w:val="0"/>
              <w:autoSpaceDN w:val="0"/>
              <w:adjustRightInd w:val="0"/>
              <w:spacing w:after="0" w:line="240" w:lineRule="auto"/>
              <w:rPr>
                <w:rFonts w:ascii="Times New Roman" w:eastAsia="Calibri" w:hAnsi="Times New Roman" w:cs="Times New Roman"/>
                <w:b/>
                <w:i/>
              </w:rPr>
            </w:pPr>
          </w:p>
        </w:tc>
        <w:tc>
          <w:tcPr>
            <w:tcW w:w="992" w:type="dxa"/>
          </w:tcPr>
          <w:p w:rsidR="0062109E" w:rsidRDefault="00CF5136">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REC</w:t>
            </w:r>
          </w:p>
        </w:tc>
        <w:tc>
          <w:tcPr>
            <w:tcW w:w="1134" w:type="dxa"/>
          </w:tcPr>
          <w:p w:rsidR="0062109E" w:rsidRDefault="00CF5136">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CIE</w:t>
            </w:r>
          </w:p>
        </w:tc>
        <w:tc>
          <w:tcPr>
            <w:tcW w:w="1843" w:type="dxa"/>
            <w:vMerge/>
          </w:tcPr>
          <w:p w:rsidR="0062109E" w:rsidRDefault="0062109E">
            <w:pPr>
              <w:autoSpaceDE w:val="0"/>
              <w:autoSpaceDN w:val="0"/>
              <w:adjustRightInd w:val="0"/>
              <w:spacing w:after="0" w:line="240" w:lineRule="auto"/>
              <w:rPr>
                <w:rFonts w:ascii="Times New Roman" w:eastAsia="Calibri" w:hAnsi="Times New Roman" w:cs="Times New Roman"/>
              </w:rPr>
            </w:pP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Stillostomella plumaerae</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2.70</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5.38</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Paleopleurostomella pleurostomelloides</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2.50</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1.02</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4.11</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sp</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1.92</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0.16</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3.59</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Nuttallides sp.1</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1.81</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3.59</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Anomalinoides praeacuta</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2.09</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0.33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3.58</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Aragonina aragonensis</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2.35</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1.28</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3.32</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Abyssammina quadrata</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1.72</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1.85</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2.81</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Quadratobuliminella pyramidalis</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1.43</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2.69</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trihedra</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1.21</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1.19</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2.62</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Tappanina selmensis</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2.46</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1.69</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2.49</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Bulimina tuxpamensis</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2.58</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2.23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2.27</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Nodosaria spp.</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1.10</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0.43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2.09</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Quadrimorphina profunda</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1.64</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1.36</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2.06</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Lenticulina sp</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1.06</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0.23</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2.01</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Pleurostomella paleoceanica</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0.05</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1.08</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1.92</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Nuttallides truempyi</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3.07</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2.87</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1.87</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Praebulimina reuss</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0.00</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0.95</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1.86</w:t>
            </w:r>
          </w:p>
        </w:tc>
      </w:tr>
      <w:tr w:rsidR="0062109E">
        <w:tc>
          <w:tcPr>
            <w:tcW w:w="4248" w:type="dxa"/>
          </w:tcPr>
          <w:p w:rsidR="0062109E" w:rsidRDefault="00CF5136">
            <w:pPr>
              <w:autoSpaceDE w:val="0"/>
              <w:autoSpaceDN w:val="0"/>
              <w:adjustRightInd w:val="0"/>
              <w:spacing w:after="0" w:line="240" w:lineRule="auto"/>
              <w:rPr>
                <w:rFonts w:ascii="Times New Roman" w:eastAsia="Calibri" w:hAnsi="Times New Roman" w:cs="Times New Roman"/>
                <w:i/>
              </w:rPr>
            </w:pPr>
            <w:r>
              <w:rPr>
                <w:rFonts w:ascii="Times New Roman" w:eastAsia="Calibri" w:hAnsi="Times New Roman" w:cs="Times New Roman"/>
                <w:i/>
              </w:rPr>
              <w:t>Oridorsalis umbonatus</w:t>
            </w:r>
          </w:p>
        </w:tc>
        <w:tc>
          <w:tcPr>
            <w:tcW w:w="992" w:type="dxa"/>
          </w:tcPr>
          <w:p w:rsidR="0062109E" w:rsidRDefault="00CF5136">
            <w:pPr>
              <w:autoSpaceDE w:val="0"/>
              <w:autoSpaceDN w:val="0"/>
              <w:adjustRightInd w:val="0"/>
              <w:spacing w:after="0" w:line="240" w:lineRule="auto"/>
              <w:rPr>
                <w:rFonts w:ascii="Times New Roman" w:eastAsia="Calibri" w:hAnsi="Times New Roman" w:cs="Times New Roman"/>
                <w:b/>
              </w:rPr>
            </w:pPr>
            <w:r>
              <w:rPr>
                <w:rFonts w:ascii="Times New Roman" w:eastAsia="Calibri" w:hAnsi="Times New Roman" w:cs="Times New Roman"/>
                <w:b/>
              </w:rPr>
              <w:t xml:space="preserve">     1.45</w:t>
            </w:r>
          </w:p>
        </w:tc>
        <w:tc>
          <w:tcPr>
            <w:tcW w:w="1134"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1.27</w:t>
            </w:r>
          </w:p>
        </w:tc>
        <w:tc>
          <w:tcPr>
            <w:tcW w:w="1843" w:type="dxa"/>
          </w:tcPr>
          <w:p w:rsidR="0062109E" w:rsidRDefault="00CF5136">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    1.85</w:t>
            </w:r>
          </w:p>
        </w:tc>
      </w:tr>
    </w:tbl>
    <w:p w:rsidR="0062109E" w:rsidRDefault="0062109E">
      <w:pPr>
        <w:spacing w:line="360" w:lineRule="auto"/>
        <w:jc w:val="both"/>
        <w:rPr>
          <w:rFonts w:ascii="Times New Roman" w:eastAsia="Calibri" w:hAnsi="Times New Roman" w:cs="Times New Roman"/>
          <w:sz w:val="24"/>
          <w:szCs w:val="24"/>
          <w:lang w:eastAsia="en-GB"/>
        </w:rPr>
      </w:pP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In the raw data, the foraminiferal assemblage during the pre-CIE at Walvis Ridge was characterised by high abundance and diversity, with a combination of calcareous and agglutinated taxa.  The pre-CIE foraminiferal assemblage was dominated by late Palaeoce</w:t>
      </w:r>
      <w:r>
        <w:rPr>
          <w:rFonts w:ascii="Times New Roman" w:eastAsia="Calibri" w:hAnsi="Times New Roman" w:cs="Times New Roman"/>
          <w:sz w:val="24"/>
          <w:szCs w:val="24"/>
          <w:lang w:eastAsia="en-GB"/>
        </w:rPr>
        <w:t xml:space="preserve">ne taxa comprising of 38 infauna and 10 epifauna taxa </w:t>
      </w:r>
      <w:r>
        <w:rPr>
          <w:rFonts w:ascii="Times New Roman" w:eastAsia="Calibri" w:hAnsi="Times New Roman" w:cs="Times New Roman"/>
          <w:iCs/>
          <w:sz w:val="24"/>
          <w:szCs w:val="24"/>
          <w:lang w:eastAsia="en-GB"/>
        </w:rPr>
        <w:t>(</w:t>
      </w:r>
      <w:r>
        <w:rPr>
          <w:rFonts w:ascii="Times New Roman" w:eastAsia="Calibri" w:hAnsi="Times New Roman" w:cs="Times New Roman"/>
          <w:sz w:val="24"/>
          <w:szCs w:val="24"/>
          <w:lang w:eastAsia="en-GB"/>
        </w:rPr>
        <w:t>Figure</w:t>
      </w:r>
      <w:r>
        <w:rPr>
          <w:rFonts w:ascii="Times New Roman" w:eastAsia="Calibri" w:hAnsi="Times New Roman" w:cs="Times New Roman"/>
          <w:sz w:val="24"/>
          <w:szCs w:val="24"/>
          <w:lang w:eastAsia="en-GB"/>
        </w:rPr>
        <w:t>s</w:t>
      </w:r>
      <w:r>
        <w:rPr>
          <w:rFonts w:ascii="Times New Roman" w:eastAsia="Calibri" w:hAnsi="Times New Roman" w:cs="Times New Roman"/>
          <w:sz w:val="24"/>
          <w:szCs w:val="24"/>
          <w:lang w:eastAsia="en-GB"/>
        </w:rPr>
        <w:t xml:space="preserve"> </w:t>
      </w:r>
      <w:r>
        <w:rPr>
          <w:rFonts w:ascii="Times New Roman" w:eastAsia="Calibri" w:hAnsi="Times New Roman" w:cs="Times New Roman"/>
          <w:sz w:val="24"/>
          <w:szCs w:val="24"/>
          <w:lang w:eastAsia="en-GB"/>
        </w:rPr>
        <w:t>4-6</w:t>
      </w:r>
      <w:r>
        <w:rPr>
          <w:rFonts w:ascii="Times New Roman" w:eastAsia="Calibri" w:hAnsi="Times New Roman" w:cs="Times New Roman"/>
          <w:sz w:val="24"/>
          <w:szCs w:val="24"/>
          <w:lang w:eastAsia="en-GB"/>
        </w:rPr>
        <w:t xml:space="preserve">). The exact depth of BEE was difficult to pin point due to the incomplete recovery of the PETM section in the site and low sampling resolution, however, </w:t>
      </w:r>
      <w:r>
        <w:rPr>
          <w:rFonts w:ascii="Times New Roman" w:eastAsia="Calibri" w:hAnsi="Times New Roman" w:cs="Times New Roman"/>
          <w:i/>
          <w:sz w:val="24"/>
          <w:szCs w:val="24"/>
          <w:lang w:eastAsia="en-GB"/>
        </w:rPr>
        <w:t>G. beccariiformis, C. midwayensis, A</w:t>
      </w:r>
      <w:r>
        <w:rPr>
          <w:rFonts w:ascii="Times New Roman" w:eastAsia="Calibri" w:hAnsi="Times New Roman" w:cs="Times New Roman"/>
          <w:i/>
          <w:sz w:val="24"/>
          <w:szCs w:val="24"/>
          <w:lang w:eastAsia="en-GB"/>
        </w:rPr>
        <w:t xml:space="preserve">. valescoensis, Praebulimina sp., Globorotalites mecheliniani, Gavellinella sp., G. conicus, Osangulina sp., Anomalinoides sp., Ellisoidella attenuate, Glandulina sp., Gyroidinoides globosa, Nodosaria limbeta and Gauddryina pyramidata </w:t>
      </w:r>
      <w:r>
        <w:rPr>
          <w:rFonts w:ascii="Times New Roman" w:eastAsia="Calibri" w:hAnsi="Times New Roman" w:cs="Times New Roman"/>
          <w:sz w:val="24"/>
          <w:szCs w:val="24"/>
          <w:lang w:eastAsia="en-GB"/>
        </w:rPr>
        <w:t xml:space="preserve">(Figure </w:t>
      </w:r>
      <w:r>
        <w:rPr>
          <w:rFonts w:ascii="Times New Roman" w:eastAsia="Calibri" w:hAnsi="Times New Roman" w:cs="Times New Roman"/>
          <w:sz w:val="24"/>
          <w:szCs w:val="24"/>
          <w:lang w:eastAsia="en-GB"/>
        </w:rPr>
        <w:t>4</w:t>
      </w:r>
      <w:r>
        <w:rPr>
          <w:rFonts w:ascii="Times New Roman" w:eastAsia="Calibri" w:hAnsi="Times New Roman" w:cs="Times New Roman"/>
          <w:sz w:val="24"/>
          <w:szCs w:val="24"/>
          <w:lang w:eastAsia="en-GB"/>
        </w:rPr>
        <w:t xml:space="preserve">) went extinct at the beginning of CIE. </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noProof/>
          <w:sz w:val="24"/>
          <w:szCs w:val="24"/>
          <w:lang w:eastAsia="en-GB"/>
        </w:rPr>
        <w:drawing>
          <wp:inline distT="0" distB="0" distL="0" distR="0">
            <wp:extent cx="5935980" cy="3789045"/>
            <wp:effectExtent l="12700" t="12700" r="20320" b="33655"/>
            <wp:docPr id="21" name="Picture 21" descr="C:\Users\cnn\Desktop\1265 Exti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cnn\Desktop\1265 Extinc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63299" cy="3806792"/>
                    </a:xfrm>
                    <a:prstGeom prst="rect">
                      <a:avLst/>
                    </a:prstGeom>
                    <a:noFill/>
                    <a:ln>
                      <a:solidFill>
                        <a:schemeClr val="tx1"/>
                      </a:solidFill>
                    </a:ln>
                  </pic:spPr>
                </pic:pic>
              </a:graphicData>
            </a:graphic>
          </wp:inline>
        </w:drawing>
      </w:r>
    </w:p>
    <w:p w:rsidR="0062109E" w:rsidRDefault="00CF5136">
      <w:pPr>
        <w:pStyle w:val="Caption"/>
        <w:rPr>
          <w:lang w:eastAsia="en-GB"/>
        </w:rPr>
      </w:pPr>
      <w:r>
        <w:rPr>
          <w:lang w:eastAsia="en-GB"/>
        </w:rPr>
        <w:t xml:space="preserve">Figure </w:t>
      </w:r>
      <w:r>
        <w:rPr>
          <w:lang w:eastAsia="en-GB"/>
        </w:rPr>
        <w:t>4</w:t>
      </w:r>
      <w:r>
        <w:rPr>
          <w:lang w:eastAsia="en-GB"/>
        </w:rPr>
        <w:t>: Benthic foraminiferal taxa present before and during the CIE at ODP Site 1265A. A -species that disappeared within the CIE interval. B – species whose occurrence were restricted to the  Pre-CIE. C- speci</w:t>
      </w:r>
      <w:r>
        <w:rPr>
          <w:lang w:eastAsia="en-GB"/>
        </w:rPr>
        <w:t>es restricted to the main CIE interval. The bulk carbon isotope record and lithology were plotted with supplementary data from Zachos et al. (2005). The revenant nature of these species suggest that their reproduction during the PETM was extremely affected</w:t>
      </w:r>
      <w:r>
        <w:rPr>
          <w:lang w:eastAsia="en-GB"/>
        </w:rPr>
        <w:t xml:space="preserve"> and only a few survived to continue their existence after the event.  The benthic foraminiferal extinction (BEE) event in this study was placed at 275.08 mbsf with the last occurrence Gavellinella becarriformis. </w:t>
      </w:r>
    </w:p>
    <w:p w:rsidR="0062109E" w:rsidRDefault="0062109E">
      <w:pPr>
        <w:spacing w:line="360" w:lineRule="auto"/>
        <w:jc w:val="both"/>
        <w:rPr>
          <w:rFonts w:ascii="Times New Roman" w:eastAsia="Calibri" w:hAnsi="Times New Roman" w:cs="Times New Roman"/>
          <w:sz w:val="24"/>
          <w:szCs w:val="24"/>
          <w:lang w:eastAsia="en-GB"/>
        </w:rPr>
      </w:pP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The CIE (274.5-275.19 mbsf) was character</w:t>
      </w:r>
      <w:r>
        <w:rPr>
          <w:rFonts w:ascii="Times New Roman" w:eastAsia="Calibri" w:hAnsi="Times New Roman" w:cs="Times New Roman"/>
          <w:sz w:val="24"/>
          <w:szCs w:val="24"/>
          <w:lang w:eastAsia="en-GB"/>
        </w:rPr>
        <w:t>ised by the extinction of many foraminiferal taxa that existed at the latest Palaeocene. Over 30 species (Figure</w:t>
      </w:r>
      <w:r>
        <w:rPr>
          <w:rFonts w:ascii="Times New Roman" w:eastAsia="Calibri" w:hAnsi="Times New Roman" w:cs="Times New Roman"/>
          <w:sz w:val="24"/>
          <w:szCs w:val="24"/>
          <w:lang w:eastAsia="en-GB"/>
        </w:rPr>
        <w:t>s</w:t>
      </w:r>
      <w:r>
        <w:rPr>
          <w:rFonts w:ascii="Times New Roman" w:eastAsia="Calibri" w:hAnsi="Times New Roman" w:cs="Times New Roman"/>
          <w:sz w:val="24"/>
          <w:szCs w:val="24"/>
          <w:lang w:eastAsia="en-GB"/>
        </w:rPr>
        <w:t xml:space="preserve"> </w:t>
      </w:r>
      <w:r>
        <w:rPr>
          <w:rFonts w:ascii="Times New Roman" w:eastAsia="Calibri" w:hAnsi="Times New Roman" w:cs="Times New Roman"/>
          <w:sz w:val="24"/>
          <w:szCs w:val="24"/>
          <w:lang w:eastAsia="en-GB"/>
        </w:rPr>
        <w:t>4 &amp;5</w:t>
      </w:r>
      <w:r>
        <w:rPr>
          <w:rFonts w:ascii="Times New Roman" w:eastAsia="Calibri" w:hAnsi="Times New Roman" w:cs="Times New Roman"/>
          <w:sz w:val="24"/>
          <w:szCs w:val="24"/>
          <w:lang w:eastAsia="en-GB"/>
        </w:rPr>
        <w:t xml:space="preserve">) became locally extinct within the CIE interval. The occurrence of </w:t>
      </w:r>
      <w:r>
        <w:rPr>
          <w:rFonts w:ascii="Times New Roman" w:eastAsia="Calibri" w:hAnsi="Times New Roman" w:cs="Times New Roman"/>
          <w:i/>
          <w:sz w:val="24"/>
          <w:szCs w:val="24"/>
          <w:lang w:eastAsia="en-GB"/>
        </w:rPr>
        <w:t>Arenobulimina sp.</w:t>
      </w:r>
      <w:r>
        <w:rPr>
          <w:rFonts w:ascii="Times New Roman" w:eastAsia="Calibri" w:hAnsi="Times New Roman" w:cs="Times New Roman"/>
          <w:sz w:val="24"/>
          <w:szCs w:val="24"/>
          <w:lang w:eastAsia="en-GB"/>
        </w:rPr>
        <w:t xml:space="preserve">, </w:t>
      </w:r>
      <w:r>
        <w:rPr>
          <w:rFonts w:ascii="Times New Roman" w:eastAsia="Calibri" w:hAnsi="Times New Roman" w:cs="Times New Roman"/>
          <w:i/>
          <w:sz w:val="24"/>
          <w:szCs w:val="24"/>
          <w:lang w:eastAsia="en-GB"/>
        </w:rPr>
        <w:t>Lenticulina howelli, Osangulina mexicana, Polymorph</w:t>
      </w:r>
      <w:r>
        <w:rPr>
          <w:rFonts w:ascii="Times New Roman" w:eastAsia="Calibri" w:hAnsi="Times New Roman" w:cs="Times New Roman"/>
          <w:i/>
          <w:sz w:val="24"/>
          <w:szCs w:val="24"/>
          <w:lang w:eastAsia="en-GB"/>
        </w:rPr>
        <w:t>ina cylindrical,</w:t>
      </w:r>
      <w:r>
        <w:rPr>
          <w:rFonts w:ascii="Times New Roman" w:eastAsia="Calibri" w:hAnsi="Times New Roman" w:cs="Times New Roman"/>
          <w:sz w:val="24"/>
          <w:szCs w:val="24"/>
          <w:lang w:eastAsia="en-GB"/>
        </w:rPr>
        <w:t xml:space="preserve"> </w:t>
      </w:r>
      <w:r>
        <w:rPr>
          <w:rFonts w:ascii="Times New Roman" w:eastAsia="Calibri" w:hAnsi="Times New Roman" w:cs="Times New Roman"/>
          <w:i/>
          <w:sz w:val="24"/>
          <w:szCs w:val="24"/>
          <w:lang w:eastAsia="en-GB"/>
        </w:rPr>
        <w:t>Spiroplectinella dentata, Gaudryina nitida</w:t>
      </w:r>
      <w:r>
        <w:rPr>
          <w:rFonts w:ascii="Times New Roman" w:eastAsia="Calibri" w:hAnsi="Times New Roman" w:cs="Times New Roman"/>
          <w:sz w:val="24"/>
          <w:szCs w:val="24"/>
          <w:lang w:eastAsia="en-GB"/>
        </w:rPr>
        <w:t xml:space="preserve"> and</w:t>
      </w:r>
      <w:r>
        <w:rPr>
          <w:rFonts w:ascii="Times New Roman" w:eastAsia="Calibri" w:hAnsi="Times New Roman" w:cs="Times New Roman"/>
          <w:i/>
          <w:sz w:val="24"/>
          <w:szCs w:val="24"/>
          <w:lang w:eastAsia="en-GB"/>
        </w:rPr>
        <w:t xml:space="preserve"> Siphogerinoides sp. </w:t>
      </w:r>
      <w:r>
        <w:rPr>
          <w:rFonts w:ascii="Times New Roman" w:eastAsia="Calibri" w:hAnsi="Times New Roman" w:cs="Times New Roman"/>
          <w:sz w:val="24"/>
          <w:szCs w:val="24"/>
          <w:lang w:eastAsia="en-GB"/>
        </w:rPr>
        <w:t>(</w:t>
      </w:r>
      <w:r>
        <w:rPr>
          <w:rFonts w:ascii="Times New Roman" w:eastAsia="Calibri" w:hAnsi="Times New Roman" w:cs="Times New Roman"/>
          <w:sz w:val="24"/>
          <w:szCs w:val="24"/>
          <w:lang w:eastAsia="en-GB"/>
        </w:rPr>
        <w:t xml:space="preserve">see </w:t>
      </w:r>
      <w:r>
        <w:rPr>
          <w:rFonts w:ascii="Times New Roman" w:eastAsia="Calibri" w:hAnsi="Times New Roman" w:cs="Times New Roman"/>
          <w:sz w:val="24"/>
          <w:szCs w:val="24"/>
          <w:lang w:eastAsia="en-GB"/>
        </w:rPr>
        <w:t xml:space="preserve">Suplimentary data) that were mainly infaunal morphogroups locally originated and went into extinction within the CIE interval. Some taxa like </w:t>
      </w:r>
      <w:r>
        <w:rPr>
          <w:rFonts w:ascii="Times New Roman" w:eastAsia="Calibri" w:hAnsi="Times New Roman" w:cs="Times New Roman"/>
          <w:i/>
          <w:sz w:val="24"/>
          <w:szCs w:val="24"/>
          <w:lang w:eastAsia="en-GB"/>
        </w:rPr>
        <w:t>Cibicidoides</w:t>
      </w:r>
      <w:r>
        <w:rPr>
          <w:rFonts w:ascii="Times New Roman" w:eastAsia="Calibri" w:hAnsi="Times New Roman" w:cs="Times New Roman"/>
          <w:sz w:val="24"/>
          <w:szCs w:val="24"/>
          <w:lang w:eastAsia="en-GB"/>
        </w:rPr>
        <w:t xml:space="preserve"> </w:t>
      </w:r>
      <w:r>
        <w:rPr>
          <w:rFonts w:ascii="Times New Roman" w:eastAsia="Calibri" w:hAnsi="Times New Roman" w:cs="Times New Roman"/>
          <w:i/>
          <w:sz w:val="24"/>
          <w:szCs w:val="24"/>
          <w:lang w:eastAsia="en-GB"/>
        </w:rPr>
        <w:t>dayi</w:t>
      </w:r>
      <w:r>
        <w:rPr>
          <w:rFonts w:ascii="Times New Roman" w:eastAsia="Calibri" w:hAnsi="Times New Roman" w:cs="Times New Roman"/>
          <w:sz w:val="24"/>
          <w:szCs w:val="24"/>
          <w:lang w:eastAsia="en-GB"/>
        </w:rPr>
        <w:t xml:space="preserve">, </w:t>
      </w:r>
      <w:r>
        <w:rPr>
          <w:rFonts w:ascii="Times New Roman" w:eastAsia="Calibri" w:hAnsi="Times New Roman" w:cs="Times New Roman"/>
          <w:i/>
          <w:sz w:val="24"/>
          <w:szCs w:val="24"/>
          <w:lang w:eastAsia="en-GB"/>
        </w:rPr>
        <w:t>Lentic</w:t>
      </w:r>
      <w:r>
        <w:rPr>
          <w:rFonts w:ascii="Times New Roman" w:eastAsia="Calibri" w:hAnsi="Times New Roman" w:cs="Times New Roman"/>
          <w:i/>
          <w:sz w:val="24"/>
          <w:szCs w:val="24"/>
          <w:lang w:eastAsia="en-GB"/>
        </w:rPr>
        <w:t>ulina</w:t>
      </w:r>
      <w:r>
        <w:rPr>
          <w:rFonts w:ascii="Times New Roman" w:eastAsia="Calibri" w:hAnsi="Times New Roman" w:cs="Times New Roman"/>
          <w:sz w:val="24"/>
          <w:szCs w:val="24"/>
          <w:lang w:eastAsia="en-GB"/>
        </w:rPr>
        <w:t xml:space="preserve"> sp., </w:t>
      </w:r>
      <w:r>
        <w:rPr>
          <w:rFonts w:ascii="Times New Roman" w:eastAsia="Calibri" w:hAnsi="Times New Roman" w:cs="Times New Roman"/>
          <w:i/>
          <w:sz w:val="24"/>
          <w:szCs w:val="24"/>
          <w:lang w:eastAsia="en-GB"/>
        </w:rPr>
        <w:t>Fursekoina</w:t>
      </w:r>
      <w:r>
        <w:rPr>
          <w:rFonts w:ascii="Times New Roman" w:eastAsia="Calibri" w:hAnsi="Times New Roman" w:cs="Times New Roman"/>
          <w:sz w:val="24"/>
          <w:szCs w:val="24"/>
          <w:lang w:eastAsia="en-GB"/>
        </w:rPr>
        <w:t xml:space="preserve"> sp., </w:t>
      </w:r>
      <w:r>
        <w:rPr>
          <w:rFonts w:ascii="Times New Roman" w:eastAsia="Calibri" w:hAnsi="Times New Roman" w:cs="Times New Roman"/>
          <w:i/>
          <w:sz w:val="24"/>
          <w:szCs w:val="24"/>
          <w:lang w:eastAsia="en-GB"/>
        </w:rPr>
        <w:t xml:space="preserve">Gyroidinoides beisseli, Laevidentallina gracilis, Linaresia semicribrata, Marsonella oxycona, Nonion havenense </w:t>
      </w:r>
      <w:r>
        <w:rPr>
          <w:rFonts w:ascii="Times New Roman" w:eastAsia="Calibri" w:hAnsi="Times New Roman" w:cs="Times New Roman"/>
          <w:sz w:val="24"/>
          <w:szCs w:val="24"/>
          <w:lang w:eastAsia="en-GB"/>
        </w:rPr>
        <w:t>and</w:t>
      </w:r>
      <w:r>
        <w:rPr>
          <w:rFonts w:ascii="Times New Roman" w:eastAsia="Calibri" w:hAnsi="Times New Roman" w:cs="Times New Roman"/>
          <w:i/>
          <w:sz w:val="24"/>
          <w:szCs w:val="24"/>
          <w:lang w:eastAsia="en-GB"/>
        </w:rPr>
        <w:t xml:space="preserve"> Pullenia coryelli </w:t>
      </w:r>
      <w:r>
        <w:rPr>
          <w:rFonts w:ascii="Times New Roman" w:eastAsia="Calibri" w:hAnsi="Times New Roman" w:cs="Times New Roman"/>
          <w:sz w:val="24"/>
          <w:szCs w:val="24"/>
          <w:lang w:eastAsia="en-GB"/>
        </w:rPr>
        <w:t>disappeared within the CIE interval and reappeared again during the recovery (Suplimentary data)</w:t>
      </w:r>
      <w:r>
        <w:rPr>
          <w:rFonts w:ascii="Times New Roman" w:eastAsia="Calibri" w:hAnsi="Times New Roman" w:cs="Times New Roman"/>
          <w:sz w:val="24"/>
          <w:szCs w:val="24"/>
          <w:lang w:eastAsia="en-GB"/>
        </w:rPr>
        <w:t>.</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noProof/>
          <w:sz w:val="24"/>
          <w:szCs w:val="24"/>
          <w:lang w:eastAsia="en-GB"/>
        </w:rPr>
        <w:drawing>
          <wp:inline distT="0" distB="0" distL="0" distR="0">
            <wp:extent cx="5323205" cy="7241540"/>
            <wp:effectExtent l="12700" t="12700" r="23495" b="35560"/>
            <wp:docPr id="29" name="Picture 29" descr="C:\Users\cnn\Desktop\Rec benthic 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cnn\Desktop\Rec benthic di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29355" cy="7249459"/>
                    </a:xfrm>
                    <a:prstGeom prst="rect">
                      <a:avLst/>
                    </a:prstGeom>
                    <a:noFill/>
                    <a:ln>
                      <a:solidFill>
                        <a:schemeClr val="tx1"/>
                      </a:solidFill>
                    </a:ln>
                  </pic:spPr>
                </pic:pic>
              </a:graphicData>
            </a:graphic>
          </wp:inline>
        </w:drawing>
      </w:r>
    </w:p>
    <w:p w:rsidR="0062109E" w:rsidRDefault="00CF5136">
      <w:pPr>
        <w:pStyle w:val="Caption"/>
        <w:rPr>
          <w:lang w:eastAsia="en-GB"/>
        </w:rPr>
        <w:sectPr w:rsidR="0062109E">
          <w:footerReference w:type="default" r:id="rId16"/>
          <w:pgSz w:w="11906" w:h="16838"/>
          <w:pgMar w:top="1440" w:right="1440" w:bottom="1440" w:left="1440" w:header="708" w:footer="708" w:gutter="0"/>
          <w:lnNumType w:countBy="1" w:restart="continuous"/>
          <w:cols w:space="708"/>
          <w:docGrid w:linePitch="360"/>
        </w:sectPr>
      </w:pPr>
      <w:r>
        <w:rPr>
          <w:lang w:eastAsia="en-GB"/>
        </w:rPr>
        <w:t>Figure 5</w:t>
      </w:r>
      <w:r>
        <w:rPr>
          <w:lang w:eastAsia="en-GB"/>
        </w:rPr>
        <w:t>:</w:t>
      </w:r>
      <w:r>
        <w:rPr>
          <w:lang w:eastAsia="en-GB"/>
        </w:rPr>
        <w:t xml:space="preserve"> Faunal distribution of benthic foraminifera taxa that remarkably increased and/ or originated after the PETM</w:t>
      </w:r>
      <w:r>
        <w:rPr>
          <w:rFonts w:asciiTheme="minorHAnsi" w:hAnsiTheme="minorHAnsi" w:cstheme="minorBidi"/>
          <w:i w:val="0"/>
          <w:lang w:eastAsia="en-GB"/>
        </w:rPr>
        <w:t xml:space="preserve"> </w:t>
      </w:r>
      <w:r>
        <w:rPr>
          <w:lang w:eastAsia="en-GB"/>
        </w:rPr>
        <w:t xml:space="preserve">at ODP Site </w:t>
      </w:r>
      <w:r>
        <w:rPr>
          <w:lang w:eastAsia="en-GB"/>
        </w:rPr>
        <w:t>1265A.  A - species that existed throughout the studied section but significantly increased after the CIE. B - species that originated after the CIE and increased in abundance during the recovery. The bulk carbon isotope record and lithology were plotted w</w:t>
      </w:r>
      <w:r>
        <w:rPr>
          <w:lang w:eastAsia="en-GB"/>
        </w:rPr>
        <w:t>ith supplementary data from Zachos et al. (2005)</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The recovery interval recorded the highest abundance and diversity of benthic foraminifera. It was characterised by increased abundance of </w:t>
      </w:r>
      <w:r>
        <w:rPr>
          <w:rFonts w:ascii="Times New Roman" w:eastAsia="Calibri" w:hAnsi="Times New Roman" w:cs="Times New Roman"/>
          <w:i/>
          <w:sz w:val="24"/>
          <w:szCs w:val="24"/>
          <w:lang w:eastAsia="en-GB"/>
        </w:rPr>
        <w:t>Anomalinoides praeacuta, A. quadrata, B. midwayensis, A. aragonensis</w:t>
      </w:r>
      <w:r>
        <w:rPr>
          <w:rFonts w:ascii="Times New Roman" w:eastAsia="Calibri" w:hAnsi="Times New Roman" w:cs="Times New Roman"/>
          <w:i/>
          <w:sz w:val="24"/>
          <w:szCs w:val="24"/>
          <w:lang w:eastAsia="en-GB"/>
        </w:rPr>
        <w:t xml:space="preserve">, Bulimina </w:t>
      </w:r>
      <w:r>
        <w:rPr>
          <w:rFonts w:ascii="Times New Roman" w:eastAsia="Calibri" w:hAnsi="Times New Roman" w:cs="Times New Roman"/>
          <w:sz w:val="24"/>
          <w:szCs w:val="24"/>
          <w:lang w:eastAsia="en-GB"/>
        </w:rPr>
        <w:t>sp</w:t>
      </w:r>
      <w:r>
        <w:rPr>
          <w:rFonts w:ascii="Times New Roman" w:eastAsia="Calibri" w:hAnsi="Times New Roman" w:cs="Times New Roman"/>
          <w:i/>
          <w:sz w:val="24"/>
          <w:szCs w:val="24"/>
          <w:lang w:eastAsia="en-GB"/>
        </w:rPr>
        <w:t xml:space="preserve">., B. triletra, B tuxpamensis, Lenticulina </w:t>
      </w:r>
      <w:r>
        <w:rPr>
          <w:rFonts w:ascii="Times New Roman" w:eastAsia="Calibri" w:hAnsi="Times New Roman" w:cs="Times New Roman"/>
          <w:sz w:val="24"/>
          <w:szCs w:val="24"/>
          <w:lang w:eastAsia="en-GB"/>
        </w:rPr>
        <w:t>sp</w:t>
      </w:r>
      <w:r>
        <w:rPr>
          <w:rFonts w:ascii="Times New Roman" w:eastAsia="Calibri" w:hAnsi="Times New Roman" w:cs="Times New Roman"/>
          <w:i/>
          <w:sz w:val="24"/>
          <w:szCs w:val="24"/>
          <w:lang w:eastAsia="en-GB"/>
        </w:rPr>
        <w:t xml:space="preserve">., Nodosaria </w:t>
      </w:r>
      <w:r>
        <w:rPr>
          <w:rFonts w:ascii="Times New Roman" w:eastAsia="Calibri" w:hAnsi="Times New Roman" w:cs="Times New Roman"/>
          <w:sz w:val="24"/>
          <w:szCs w:val="24"/>
          <w:lang w:eastAsia="en-GB"/>
        </w:rPr>
        <w:t>sp</w:t>
      </w:r>
      <w:r>
        <w:rPr>
          <w:rFonts w:ascii="Times New Roman" w:eastAsia="Calibri" w:hAnsi="Times New Roman" w:cs="Times New Roman"/>
          <w:i/>
          <w:sz w:val="24"/>
          <w:szCs w:val="24"/>
          <w:lang w:eastAsia="en-GB"/>
        </w:rPr>
        <w:t xml:space="preserve">., P. pleurostomelloides, Quadratobuliminella pyramidalis, T. selmensis, S. plumerae </w:t>
      </w:r>
      <w:r>
        <w:rPr>
          <w:rFonts w:ascii="Times New Roman" w:eastAsia="Calibri" w:hAnsi="Times New Roman" w:cs="Times New Roman"/>
          <w:sz w:val="24"/>
          <w:szCs w:val="24"/>
          <w:lang w:eastAsia="en-GB"/>
        </w:rPr>
        <w:t>and</w:t>
      </w:r>
      <w:r>
        <w:rPr>
          <w:rFonts w:ascii="Times New Roman" w:eastAsia="Calibri" w:hAnsi="Times New Roman" w:cs="Times New Roman"/>
          <w:i/>
          <w:sz w:val="24"/>
          <w:szCs w:val="24"/>
          <w:lang w:eastAsia="en-GB"/>
        </w:rPr>
        <w:t xml:space="preserve"> C. subcarinatus (</w:t>
      </w:r>
      <w:r>
        <w:rPr>
          <w:rFonts w:ascii="Times New Roman" w:eastAsia="Calibri" w:hAnsi="Times New Roman" w:cs="Times New Roman"/>
          <w:sz w:val="24"/>
          <w:szCs w:val="24"/>
          <w:lang w:eastAsia="en-GB"/>
        </w:rPr>
        <w:t>Suplimentary data)</w:t>
      </w:r>
      <w:r>
        <w:rPr>
          <w:rFonts w:ascii="Times New Roman" w:eastAsia="Calibri" w:hAnsi="Times New Roman" w:cs="Times New Roman"/>
          <w:i/>
          <w:sz w:val="24"/>
          <w:szCs w:val="24"/>
          <w:lang w:eastAsia="en-GB"/>
        </w:rPr>
        <w:t xml:space="preserve">. </w:t>
      </w:r>
      <w:r>
        <w:rPr>
          <w:rFonts w:ascii="Times New Roman" w:eastAsia="Calibri" w:hAnsi="Times New Roman" w:cs="Times New Roman"/>
          <w:sz w:val="24"/>
          <w:szCs w:val="24"/>
          <w:lang w:eastAsia="en-GB"/>
        </w:rPr>
        <w:t>Most of the taxa were elongate – cylindrical infauna of B</w:t>
      </w:r>
      <w:r>
        <w:rPr>
          <w:rFonts w:ascii="Times New Roman" w:eastAsia="Calibri" w:hAnsi="Times New Roman" w:cs="Times New Roman"/>
          <w:sz w:val="24"/>
          <w:szCs w:val="24"/>
          <w:lang w:eastAsia="en-GB"/>
        </w:rPr>
        <w:t xml:space="preserve">uliminidae and Stilostomellidae. There are couple of epifauna taxa but their abundance was not as rich as the infaunal taxa.  </w:t>
      </w:r>
      <w:r>
        <w:rPr>
          <w:rFonts w:ascii="Times New Roman" w:eastAsia="Calibri" w:hAnsi="Times New Roman" w:cs="Times New Roman"/>
          <w:i/>
          <w:sz w:val="24"/>
          <w:szCs w:val="24"/>
          <w:lang w:eastAsia="en-GB"/>
        </w:rPr>
        <w:t xml:space="preserve">Nonion spp., Bulimina elaganstissima, Spiroplectammina subglabra </w:t>
      </w:r>
      <w:r>
        <w:rPr>
          <w:rFonts w:ascii="Times New Roman" w:eastAsia="Calibri" w:hAnsi="Times New Roman" w:cs="Times New Roman"/>
          <w:sz w:val="24"/>
          <w:szCs w:val="24"/>
          <w:lang w:eastAsia="en-GB"/>
        </w:rPr>
        <w:t>and</w:t>
      </w:r>
      <w:r>
        <w:rPr>
          <w:rFonts w:ascii="Times New Roman" w:eastAsia="Calibri" w:hAnsi="Times New Roman" w:cs="Times New Roman"/>
          <w:i/>
          <w:sz w:val="24"/>
          <w:szCs w:val="24"/>
          <w:lang w:eastAsia="en-GB"/>
        </w:rPr>
        <w:t xml:space="preserve"> Valvalabamina depressa </w:t>
      </w:r>
      <w:r>
        <w:rPr>
          <w:rFonts w:ascii="Times New Roman" w:eastAsia="Calibri" w:hAnsi="Times New Roman" w:cs="Times New Roman"/>
          <w:sz w:val="24"/>
          <w:szCs w:val="24"/>
          <w:lang w:eastAsia="en-GB"/>
        </w:rPr>
        <w:t>only occurred within the recovery sect</w:t>
      </w:r>
      <w:r>
        <w:rPr>
          <w:rFonts w:ascii="Times New Roman" w:eastAsia="Calibri" w:hAnsi="Times New Roman" w:cs="Times New Roman"/>
          <w:sz w:val="24"/>
          <w:szCs w:val="24"/>
          <w:lang w:eastAsia="en-GB"/>
        </w:rPr>
        <w:t>ion. The increase in the abundance of the Buliminacae actually started at the CIE interval but attained their highest abundance during the recovery.</w:t>
      </w:r>
    </w:p>
    <w:p w:rsidR="0062109E" w:rsidRDefault="00CF5136">
      <w:pPr>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noProof/>
          <w:sz w:val="24"/>
          <w:szCs w:val="24"/>
          <w:lang w:eastAsia="en-GB"/>
        </w:rPr>
        <w:drawing>
          <wp:inline distT="0" distB="0" distL="0" distR="0">
            <wp:extent cx="9028430" cy="3956685"/>
            <wp:effectExtent l="19050" t="19050" r="20320" b="24765"/>
            <wp:docPr id="93" name="Picture 93" descr="C:\Users\cnn\Desktop\1265A benthic abundane opp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Users\cnn\Desktop\1265A benthic abundane oppms.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9037877" cy="3961418"/>
                    </a:xfrm>
                    <a:prstGeom prst="rect">
                      <a:avLst/>
                    </a:prstGeom>
                    <a:noFill/>
                    <a:ln w="9525">
                      <a:solidFill>
                        <a:sysClr val="windowText" lastClr="000000"/>
                      </a:solidFill>
                    </a:ln>
                  </pic:spPr>
                </pic:pic>
              </a:graphicData>
            </a:graphic>
          </wp:inline>
        </w:drawing>
      </w:r>
    </w:p>
    <w:p w:rsidR="0062109E" w:rsidRDefault="00CF5136">
      <w:pPr>
        <w:pStyle w:val="Caption"/>
        <w:rPr>
          <w:lang w:eastAsia="en-GB"/>
        </w:rPr>
        <w:sectPr w:rsidR="0062109E">
          <w:pgSz w:w="16838" w:h="11906" w:orient="landscape"/>
          <w:pgMar w:top="1440" w:right="1440" w:bottom="1440" w:left="1440" w:header="709" w:footer="709" w:gutter="0"/>
          <w:lnNumType w:countBy="1" w:restart="continuous"/>
          <w:cols w:space="708"/>
          <w:docGrid w:linePitch="360"/>
        </w:sectPr>
      </w:pPr>
      <w:r>
        <w:rPr>
          <w:lang w:eastAsia="en-GB"/>
        </w:rPr>
        <w:t xml:space="preserve">Figure </w:t>
      </w:r>
      <w:r>
        <w:rPr>
          <w:lang w:eastAsia="en-GB"/>
        </w:rPr>
        <w:t>6</w:t>
      </w:r>
      <w:r>
        <w:rPr>
          <w:lang w:eastAsia="en-GB"/>
        </w:rPr>
        <w:t xml:space="preserve">:  Other cosmopolitan benthic foraminifera recovered from ODP Site 1265A, most </w:t>
      </w:r>
      <w:r>
        <w:rPr>
          <w:lang w:eastAsia="en-GB"/>
        </w:rPr>
        <w:t>of which were present before the CIE but disappeared during the CIE and reappeared  at the recovery interval</w:t>
      </w:r>
    </w:p>
    <w:p w:rsidR="0062109E" w:rsidRDefault="00CF5136">
      <w:pPr>
        <w:keepNext/>
        <w:keepLines/>
        <w:spacing w:before="40" w:after="100" w:line="360" w:lineRule="auto"/>
        <w:outlineLvl w:val="2"/>
        <w:rPr>
          <w:rFonts w:ascii="Times New Roman" w:eastAsia="Calibri" w:hAnsi="Times New Roman" w:cs="Times New Roman"/>
          <w:b/>
          <w:i/>
          <w:sz w:val="24"/>
          <w:szCs w:val="24"/>
        </w:rPr>
      </w:pPr>
      <w:r>
        <w:rPr>
          <w:rFonts w:ascii="Times New Roman" w:eastAsia="Calibri" w:hAnsi="Times New Roman" w:cs="Times New Roman"/>
          <w:b/>
          <w:i/>
          <w:sz w:val="24"/>
          <w:szCs w:val="24"/>
        </w:rPr>
        <w:t>3</w:t>
      </w:r>
      <w:r>
        <w:rPr>
          <w:rFonts w:ascii="Times New Roman" w:eastAsia="Calibri" w:hAnsi="Times New Roman" w:cs="Times New Roman"/>
          <w:b/>
          <w:i/>
          <w:sz w:val="24"/>
          <w:szCs w:val="24"/>
        </w:rPr>
        <w:t>.</w:t>
      </w:r>
      <w:r>
        <w:rPr>
          <w:rFonts w:ascii="Times New Roman" w:eastAsia="Calibri" w:hAnsi="Times New Roman" w:cs="Times New Roman"/>
          <w:b/>
          <w:i/>
          <w:sz w:val="24"/>
          <w:szCs w:val="24"/>
        </w:rPr>
        <w:t>1</w:t>
      </w:r>
      <w:r>
        <w:rPr>
          <w:rFonts w:ascii="Times New Roman" w:eastAsia="Calibri" w:hAnsi="Times New Roman" w:cs="Times New Roman"/>
          <w:b/>
          <w:i/>
          <w:sz w:val="24"/>
          <w:szCs w:val="24"/>
        </w:rPr>
        <w:t>.2 Trait composition and changes through time</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More than 5</w:t>
      </w:r>
      <w:r>
        <w:rPr>
          <w:rFonts w:ascii="Times New Roman" w:eastAsia="Calibri" w:hAnsi="Times New Roman" w:cs="Times New Roman"/>
          <w:sz w:val="24"/>
          <w:szCs w:val="24"/>
        </w:rPr>
        <w:t>0</w:t>
      </w:r>
      <w:r>
        <w:rPr>
          <w:rFonts w:ascii="Times New Roman" w:eastAsia="Calibri" w:hAnsi="Times New Roman" w:cs="Times New Roman"/>
          <w:sz w:val="24"/>
          <w:szCs w:val="24"/>
        </w:rPr>
        <w:t xml:space="preserve"> trait modalities were recorded in benthic foraminiferal trait composition from Site 1265A (Figure</w:t>
      </w:r>
      <w:r>
        <w:rPr>
          <w:rFonts w:ascii="Times New Roman" w:eastAsia="Calibri" w:hAnsi="Times New Roman" w:cs="Times New Roman"/>
          <w:sz w:val="24"/>
          <w:szCs w:val="24"/>
        </w:rPr>
        <w:t xml:space="preserve"> 7</w:t>
      </w:r>
      <w:r>
        <w:rPr>
          <w:rFonts w:ascii="Times New Roman" w:eastAsia="Calibri" w:hAnsi="Times New Roman" w:cs="Times New Roman"/>
          <w:sz w:val="24"/>
          <w:szCs w:val="24"/>
        </w:rPr>
        <w:t xml:space="preserve">). The changes in trait composition across the PETM intervals as determined by </w:t>
      </w:r>
      <w:r>
        <w:rPr>
          <w:rFonts w:ascii="Times New Roman" w:eastAsia="Calibri" w:hAnsi="Times New Roman" w:cs="Times New Roman"/>
          <w:sz w:val="24"/>
        </w:rPr>
        <w:t>ANOSIM test showed that the three intervals were different at global R = 0.11</w:t>
      </w:r>
      <w:r>
        <w:rPr>
          <w:rFonts w:ascii="Times New Roman" w:eastAsia="Calibri" w:hAnsi="Times New Roman" w:cs="Times New Roman"/>
          <w:sz w:val="24"/>
        </w:rPr>
        <w:t xml:space="preserve">7 but at a low level of </w:t>
      </w:r>
      <w:r>
        <w:rPr>
          <w:rFonts w:ascii="Times New Roman" w:eastAsia="Calibri" w:hAnsi="Times New Roman" w:cs="Times New Roman"/>
          <w:i/>
          <w:sz w:val="24"/>
        </w:rPr>
        <w:t>p</w:t>
      </w:r>
      <w:r>
        <w:rPr>
          <w:rFonts w:ascii="Times New Roman" w:eastAsia="Calibri" w:hAnsi="Times New Roman" w:cs="Times New Roman"/>
          <w:sz w:val="24"/>
        </w:rPr>
        <w:t>&gt;0.05.</w:t>
      </w:r>
      <w:r>
        <w:rPr>
          <w:rFonts w:ascii="Times New Roman" w:eastAsia="Calibri" w:hAnsi="Times New Roman" w:cs="Times New Roman"/>
          <w:sz w:val="24"/>
          <w:szCs w:val="24"/>
        </w:rPr>
        <w:t xml:space="preserve"> </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szCs w:val="24"/>
        </w:rPr>
        <w:t xml:space="preserve">The nmMDS for trait composition was similar to the fauna ordination. Most of the samples from the recovery interval ordinated together, however with four other samples from the CIE and one sample from the </w:t>
      </w:r>
      <w:r>
        <w:rPr>
          <w:rFonts w:ascii="Times New Roman" w:eastAsia="Calibri" w:hAnsi="Times New Roman" w:cs="Times New Roman"/>
          <w:sz w:val="24"/>
          <w:szCs w:val="24"/>
          <w:lang w:eastAsia="en-GB"/>
        </w:rPr>
        <w:t>pre-CIE</w:t>
      </w:r>
      <w:r>
        <w:rPr>
          <w:rFonts w:ascii="Times New Roman" w:eastAsia="Calibri" w:hAnsi="Times New Roman" w:cs="Times New Roman"/>
          <w:sz w:val="24"/>
          <w:szCs w:val="24"/>
        </w:rPr>
        <w:t xml:space="preserve"> (Figure </w:t>
      </w:r>
      <w:r>
        <w:rPr>
          <w:rFonts w:ascii="Times New Roman" w:eastAsia="Calibri" w:hAnsi="Times New Roman" w:cs="Times New Roman"/>
          <w:sz w:val="24"/>
          <w:szCs w:val="24"/>
        </w:rPr>
        <w:t>8</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Only five samples at the core of the CIE with one sample from (266.81 mbsf) the lower most interval of the </w:t>
      </w:r>
      <w:r>
        <w:rPr>
          <w:rFonts w:ascii="Times New Roman" w:eastAsia="Calibri" w:hAnsi="Times New Roman" w:cs="Times New Roman"/>
          <w:sz w:val="24"/>
          <w:szCs w:val="24"/>
          <w:lang w:eastAsia="en-GB"/>
        </w:rPr>
        <w:t>pre-CIE</w:t>
      </w:r>
      <w:r>
        <w:rPr>
          <w:rFonts w:ascii="Times New Roman" w:eastAsia="Calibri" w:hAnsi="Times New Roman" w:cs="Times New Roman"/>
          <w:sz w:val="24"/>
          <w:szCs w:val="24"/>
        </w:rPr>
        <w:t xml:space="preserve"> ordinated together. Two samples (275.08mbsf &amp; 275.13mbsf) clustered closer to the </w:t>
      </w:r>
      <w:r>
        <w:rPr>
          <w:rFonts w:ascii="Times New Roman" w:eastAsia="Calibri" w:hAnsi="Times New Roman" w:cs="Times New Roman"/>
          <w:sz w:val="24"/>
          <w:szCs w:val="24"/>
          <w:lang w:eastAsia="en-GB"/>
        </w:rPr>
        <w:t>pre-CIE</w:t>
      </w:r>
      <w:r>
        <w:rPr>
          <w:rFonts w:ascii="Times New Roman" w:eastAsia="Calibri" w:hAnsi="Times New Roman" w:cs="Times New Roman"/>
          <w:sz w:val="24"/>
          <w:szCs w:val="24"/>
        </w:rPr>
        <w:t xml:space="preserve"> while the other four samples (275.04mbsf, 274.98m</w:t>
      </w:r>
      <w:r>
        <w:rPr>
          <w:rFonts w:ascii="Times New Roman" w:eastAsia="Calibri" w:hAnsi="Times New Roman" w:cs="Times New Roman"/>
          <w:sz w:val="24"/>
          <w:szCs w:val="24"/>
        </w:rPr>
        <w:t xml:space="preserve">bsf, 274.63mbsf &amp; 274.58mbsf) from the earliest part of the CIE samples grouped with the recovery. From the whole ordination, we could observe that the trait re-organisation started at the pre-CIE and continued throughout the CIE. </w:t>
      </w:r>
      <w:r>
        <w:rPr>
          <w:rFonts w:ascii="Times New Roman" w:eastAsia="Calibri" w:hAnsi="Times New Roman" w:cs="Times New Roman"/>
          <w:sz w:val="24"/>
        </w:rPr>
        <w:t>The spread in the ordinat</w:t>
      </w:r>
      <w:r>
        <w:rPr>
          <w:rFonts w:ascii="Times New Roman" w:eastAsia="Calibri" w:hAnsi="Times New Roman" w:cs="Times New Roman"/>
          <w:sz w:val="24"/>
        </w:rPr>
        <w:t xml:space="preserve">ion of the </w:t>
      </w:r>
      <w:r>
        <w:rPr>
          <w:rFonts w:ascii="Times New Roman" w:eastAsia="Calibri" w:hAnsi="Times New Roman" w:cs="Times New Roman"/>
          <w:sz w:val="24"/>
          <w:szCs w:val="24"/>
        </w:rPr>
        <w:t>pre-CIE</w:t>
      </w:r>
      <w:r>
        <w:rPr>
          <w:rFonts w:ascii="Times New Roman" w:eastAsia="Calibri" w:hAnsi="Times New Roman" w:cs="Times New Roman"/>
          <w:sz w:val="24"/>
        </w:rPr>
        <w:t xml:space="preserve"> and the CIE samples suggested ecological disturbance with the input of the excessive greenhouse prior and coeval to the PETM.</w:t>
      </w:r>
    </w:p>
    <w:p w:rsidR="0062109E" w:rsidRDefault="00CF5136">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rPr>
        <w:t xml:space="preserve"> </w:t>
      </w:r>
      <w:r>
        <w:rPr>
          <w:rFonts w:ascii="Times New Roman" w:eastAsia="Calibri" w:hAnsi="Times New Roman" w:cs="Times New Roman"/>
          <w:noProof/>
          <w:sz w:val="24"/>
          <w:szCs w:val="24"/>
          <w:lang w:eastAsia="en-GB"/>
        </w:rPr>
        <w:drawing>
          <wp:inline distT="0" distB="0" distL="0" distR="0">
            <wp:extent cx="5343525" cy="7829550"/>
            <wp:effectExtent l="12700" t="12700" r="28575" b="31750"/>
            <wp:docPr id="30" name="Picture 30" descr="C:\Users\cnn\Desktop\1265 Bent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cnn\Desktop\1265 Benthi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54090" cy="7845030"/>
                    </a:xfrm>
                    <a:prstGeom prst="rect">
                      <a:avLst/>
                    </a:prstGeom>
                    <a:noFill/>
                    <a:ln>
                      <a:solidFill>
                        <a:sysClr val="windowText" lastClr="000000"/>
                      </a:solidFill>
                    </a:ln>
                  </pic:spPr>
                </pic:pic>
              </a:graphicData>
            </a:graphic>
          </wp:inline>
        </w:drawing>
      </w:r>
    </w:p>
    <w:p w:rsidR="0062109E" w:rsidRDefault="00CF5136">
      <w:pPr>
        <w:spacing w:line="240" w:lineRule="auto"/>
        <w:jc w:val="both"/>
        <w:rPr>
          <w:rFonts w:ascii="Times New Roman" w:hAnsi="Times New Roman" w:cs="Times New Roman"/>
          <w:i/>
        </w:rPr>
      </w:pPr>
      <w:r>
        <w:rPr>
          <w:rFonts w:ascii="Times New Roman" w:hAnsi="Times New Roman" w:cs="Times New Roman"/>
          <w:i/>
        </w:rPr>
        <w:t xml:space="preserve">Figure </w:t>
      </w:r>
      <w:r>
        <w:rPr>
          <w:rFonts w:ascii="Times New Roman" w:hAnsi="Times New Roman" w:cs="Times New Roman"/>
          <w:i/>
        </w:rPr>
        <w:t>7</w:t>
      </w:r>
      <w:r>
        <w:rPr>
          <w:rFonts w:ascii="Times New Roman" w:hAnsi="Times New Roman" w:cs="Times New Roman"/>
          <w:i/>
        </w:rPr>
        <w:t xml:space="preserve">: Changes in the traits of benthic foraminifera across the PETM at ODP Site 1265A shown with core </w:t>
      </w:r>
      <w:r>
        <w:rPr>
          <w:rFonts w:ascii="Times New Roman" w:hAnsi="Times New Roman" w:cs="Times New Roman"/>
          <w:i/>
        </w:rPr>
        <w:t>depths (mbsf) on the left, δ</w:t>
      </w:r>
      <w:r>
        <w:rPr>
          <w:rFonts w:ascii="Times New Roman" w:hAnsi="Times New Roman" w:cs="Times New Roman"/>
          <w:i/>
          <w:vertAlign w:val="superscript"/>
        </w:rPr>
        <w:t>13</w:t>
      </w:r>
      <w:r>
        <w:rPr>
          <w:rFonts w:ascii="Times New Roman" w:hAnsi="Times New Roman" w:cs="Times New Roman"/>
          <w:i/>
        </w:rPr>
        <w:t>C record (extracted from Zachos et al., 2005) and age (Ma) on the far right. A. Shows traits for test composition and morphology. B. Test ornamentation and aperture traits. C. Traits associated with life habit.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similaritie</w:t>
      </w:r>
      <w:r>
        <w:rPr>
          <w:rFonts w:ascii="Times New Roman" w:eastAsia="Calibri" w:hAnsi="Times New Roman" w:cs="Times New Roman"/>
          <w:sz w:val="24"/>
          <w:szCs w:val="24"/>
        </w:rPr>
        <w:t>s analysis between the CIE and pre-CIE the showed that there were more porcellanous tests, arcuate and spherical/oval apertures, apertures with teeth, taxa with no apertural accessories as well as taxa without any recognisable apertures, elongate, tubular,</w:t>
      </w:r>
      <w:r>
        <w:rPr>
          <w:rFonts w:ascii="Times New Roman" w:eastAsia="Calibri" w:hAnsi="Times New Roman" w:cs="Times New Roman"/>
          <w:sz w:val="24"/>
          <w:szCs w:val="24"/>
        </w:rPr>
        <w:t xml:space="preserve"> spiral, trochospiral and bi/triserial test, deposit feeders and deep benthic infauna, basal interiomarginal and no ornamentation during the CIE than at the pre-CIE (Figure </w:t>
      </w:r>
      <w:r>
        <w:rPr>
          <w:rFonts w:ascii="Times New Roman" w:eastAsia="Calibri" w:hAnsi="Times New Roman" w:cs="Times New Roman"/>
          <w:sz w:val="24"/>
          <w:szCs w:val="24"/>
        </w:rPr>
        <w:t>7</w:t>
      </w:r>
      <w:r>
        <w:rPr>
          <w:rFonts w:ascii="Times New Roman" w:eastAsia="Calibri" w:hAnsi="Times New Roman" w:cs="Times New Roman"/>
          <w:sz w:val="24"/>
          <w:szCs w:val="24"/>
        </w:rPr>
        <w:t>). However, more hyaline calcite tests, macro perforation, slit-like apertures, ap</w:t>
      </w:r>
      <w:r>
        <w:rPr>
          <w:rFonts w:ascii="Times New Roman" w:eastAsia="Calibri" w:hAnsi="Times New Roman" w:cs="Times New Roman"/>
          <w:sz w:val="24"/>
          <w:szCs w:val="24"/>
        </w:rPr>
        <w:t>ertures with lips, triangular/trapezoidal chambers, fine test perforation, shallow benthic infauna and sessile habit occurred during the pre-CIE than during the CIE. This result, show that porcellanous test composition, elongate test, deposit feeders, deep</w:t>
      </w:r>
      <w:r>
        <w:rPr>
          <w:rFonts w:ascii="Times New Roman" w:eastAsia="Calibri" w:hAnsi="Times New Roman" w:cs="Times New Roman"/>
          <w:sz w:val="24"/>
          <w:szCs w:val="24"/>
        </w:rPr>
        <w:t xml:space="preserve"> benthic infauna, an aperture with teeth, terminal apertures and that bi/triserial began to increase in abundance from the CIE and continued through the recovery (Figures </w:t>
      </w:r>
      <w:r>
        <w:rPr>
          <w:rFonts w:ascii="Times New Roman" w:eastAsia="Calibri" w:hAnsi="Times New Roman" w:cs="Times New Roman"/>
          <w:sz w:val="24"/>
          <w:szCs w:val="24"/>
        </w:rPr>
        <w:t>7</w:t>
      </w:r>
      <w:r>
        <w:rPr>
          <w:rFonts w:ascii="Times New Roman" w:eastAsia="Calibri" w:hAnsi="Times New Roman" w:cs="Times New Roman"/>
          <w:sz w:val="24"/>
          <w:szCs w:val="24"/>
        </w:rPr>
        <w:t>). Basal interiomarginal aperture, non-perforated test, unornamented, no apertural a</w:t>
      </w:r>
      <w:r>
        <w:rPr>
          <w:rFonts w:ascii="Times New Roman" w:eastAsia="Calibri" w:hAnsi="Times New Roman" w:cs="Times New Roman"/>
          <w:sz w:val="24"/>
          <w:szCs w:val="24"/>
        </w:rPr>
        <w:t>ccessories were highest in abundance during the CIE while slit-like aperture, sessile lifestyle and apertures with lip decreased from the pre-CIE to the recovery. This shows that perforation, apertural complexity, ornamentation on the test decreased but se</w:t>
      </w:r>
      <w:r>
        <w:rPr>
          <w:rFonts w:ascii="Times New Roman" w:eastAsia="Calibri" w:hAnsi="Times New Roman" w:cs="Times New Roman"/>
          <w:sz w:val="24"/>
          <w:szCs w:val="24"/>
        </w:rPr>
        <w:t xml:space="preserve">ssile lifestyle increased. The mean abundance of hyaline calcite was highest during the pre-CIE and lowest during the CIE.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SIMPER comparism of the CIE and recovery interval indicated that basal interior marginal apertures, slit-like apertures, taxa with n</w:t>
      </w:r>
      <w:r>
        <w:rPr>
          <w:rFonts w:ascii="Times New Roman" w:eastAsia="Calibri" w:hAnsi="Times New Roman" w:cs="Times New Roman"/>
          <w:sz w:val="24"/>
          <w:szCs w:val="24"/>
        </w:rPr>
        <w:t>o apertural accessories, trochospiral, spiral and bi/triserial tests, triangular/trapezoidal chambers, non-perforated tests, taxa without any ornamentation, deposit feeders and deep benthic infaunal traits were more during the CIE than the recovery. This r</w:t>
      </w:r>
      <w:r>
        <w:rPr>
          <w:rFonts w:ascii="Times New Roman" w:eastAsia="Calibri" w:hAnsi="Times New Roman" w:cs="Times New Roman"/>
          <w:sz w:val="24"/>
          <w:szCs w:val="24"/>
        </w:rPr>
        <w:t>esult shows that apertural complexities and perforation, as well as ornamentation became reduced during the CIE similar to what was observed in the planktonic trait and taxa composition</w:t>
      </w:r>
      <w:r>
        <w:rPr>
          <w:rFonts w:ascii="Times New Roman" w:eastAsia="Calibri" w:hAnsi="Times New Roman" w:cs="Times New Roman"/>
          <w:sz w:val="24"/>
          <w:szCs w:val="24"/>
        </w:rPr>
        <w:t xml:space="preserve"> (Nwojiji </w:t>
      </w:r>
      <w:r>
        <w:rPr>
          <w:rFonts w:ascii="Times New Roman Italic" w:eastAsia="Calibri" w:hAnsi="Times New Roman Italic" w:cs="Times New Roman"/>
          <w:i/>
          <w:sz w:val="24"/>
          <w:szCs w:val="24"/>
        </w:rPr>
        <w:t>et al</w:t>
      </w:r>
      <w:r>
        <w:rPr>
          <w:rFonts w:ascii="Times New Roman" w:eastAsia="Calibri" w:hAnsi="Times New Roman" w:cs="Times New Roman"/>
          <w:sz w:val="24"/>
          <w:szCs w:val="24"/>
        </w:rPr>
        <w:t>., 2023 in press)</w:t>
      </w:r>
      <w:r>
        <w:rPr>
          <w:rFonts w:ascii="Times New Roman" w:eastAsia="Calibri" w:hAnsi="Times New Roman" w:cs="Times New Roman"/>
          <w:sz w:val="24"/>
          <w:szCs w:val="24"/>
        </w:rPr>
        <w:t>, living mode also shifted to deeper ha</w:t>
      </w:r>
      <w:r>
        <w:rPr>
          <w:rFonts w:ascii="Times New Roman" w:eastAsia="Calibri" w:hAnsi="Times New Roman" w:cs="Times New Roman"/>
          <w:sz w:val="24"/>
          <w:szCs w:val="24"/>
        </w:rPr>
        <w:t xml:space="preserve">bitat and deposit feeding mode of life (Figure </w:t>
      </w:r>
      <w:r>
        <w:rPr>
          <w:rFonts w:ascii="Times New Roman" w:eastAsia="Calibri" w:hAnsi="Times New Roman" w:cs="Times New Roman"/>
          <w:sz w:val="24"/>
          <w:szCs w:val="24"/>
        </w:rPr>
        <w:t>9</w:t>
      </w:r>
      <w:r>
        <w:rPr>
          <w:rFonts w:ascii="Times New Roman" w:eastAsia="Calibri" w:hAnsi="Times New Roman" w:cs="Times New Roman"/>
          <w:sz w:val="24"/>
          <w:szCs w:val="24"/>
        </w:rPr>
        <w:t xml:space="preserve">). Basal interiomarginal apertures must have been boasted by the opportunistic taxa that increased in abundance during the warming (Figure </w:t>
      </w:r>
      <w:r>
        <w:rPr>
          <w:rFonts w:ascii="Times New Roman" w:eastAsia="Calibri" w:hAnsi="Times New Roman" w:cs="Times New Roman"/>
          <w:sz w:val="24"/>
          <w:szCs w:val="24"/>
        </w:rPr>
        <w:t>9</w:t>
      </w:r>
      <w:r>
        <w:rPr>
          <w:rFonts w:ascii="Times New Roman" w:eastAsia="Calibri" w:hAnsi="Times New Roman" w:cs="Times New Roman"/>
          <w:sz w:val="24"/>
          <w:szCs w:val="24"/>
        </w:rPr>
        <w:t>).  However, porcellanous and elongate test, terminal, arcuate and s</w:t>
      </w:r>
      <w:r>
        <w:rPr>
          <w:rFonts w:ascii="Times New Roman" w:eastAsia="Calibri" w:hAnsi="Times New Roman" w:cs="Times New Roman"/>
          <w:sz w:val="24"/>
          <w:szCs w:val="24"/>
        </w:rPr>
        <w:t>pherical/oval apertures, hyaline calcite and micro perforation, as well as sessile traits, were more abundant during the recovery than the CIE. The increase in hyaline test indicated improved carbonate deposition during the recovery, nevertheless, elongate</w:t>
      </w:r>
      <w:r>
        <w:rPr>
          <w:rFonts w:ascii="Times New Roman" w:eastAsia="Calibri" w:hAnsi="Times New Roman" w:cs="Times New Roman"/>
          <w:sz w:val="24"/>
          <w:szCs w:val="24"/>
        </w:rPr>
        <w:t xml:space="preserve"> taxa such as Buliminacae also increased and this could be linked to increase in the food supply to the benthic zone. </w:t>
      </w:r>
    </w:p>
    <w:p w:rsidR="0062109E" w:rsidRDefault="00CF5136">
      <w:pPr>
        <w:spacing w:line="240" w:lineRule="auto"/>
        <w:jc w:val="center"/>
        <w:rPr>
          <w:rFonts w:ascii="Times New Roman" w:hAnsi="Times New Roman" w:cs="Times New Roman"/>
          <w:i/>
          <w:lang w:eastAsia="en-GB"/>
        </w:rPr>
      </w:pPr>
      <w:r>
        <w:rPr>
          <w:rFonts w:ascii="Times New Roman" w:hAnsi="Times New Roman" w:cs="Times New Roman"/>
          <w:i/>
          <w:noProof/>
          <w:lang w:eastAsia="en-GB"/>
        </w:rPr>
        <w:drawing>
          <wp:inline distT="0" distB="0" distL="0" distR="0">
            <wp:extent cx="5524500" cy="3876675"/>
            <wp:effectExtent l="0" t="0" r="1270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24500" cy="3876675"/>
                    </a:xfrm>
                    <a:prstGeom prst="rect">
                      <a:avLst/>
                    </a:prstGeom>
                    <a:noFill/>
                    <a:ln>
                      <a:noFill/>
                    </a:ln>
                  </pic:spPr>
                </pic:pic>
              </a:graphicData>
            </a:graphic>
          </wp:inline>
        </w:drawing>
      </w:r>
    </w:p>
    <w:p w:rsidR="0062109E" w:rsidRDefault="00CF5136">
      <w:pPr>
        <w:spacing w:line="240" w:lineRule="auto"/>
        <w:jc w:val="both"/>
        <w:rPr>
          <w:rFonts w:ascii="Times New Roman" w:hAnsi="Times New Roman" w:cs="Times New Roman"/>
          <w:i/>
        </w:rPr>
      </w:pPr>
      <w:r>
        <w:rPr>
          <w:rFonts w:ascii="Times New Roman" w:hAnsi="Times New Roman" w:cs="Times New Roman"/>
          <w:i/>
        </w:rPr>
        <w:t>Fig</w:t>
      </w:r>
      <w:r>
        <w:rPr>
          <w:rFonts w:ascii="Times New Roman" w:hAnsi="Times New Roman" w:cs="Times New Roman"/>
          <w:i/>
        </w:rPr>
        <w:t xml:space="preserve">ure </w:t>
      </w:r>
      <w:r>
        <w:rPr>
          <w:rFonts w:ascii="Times New Roman" w:hAnsi="Times New Roman" w:cs="Times New Roman"/>
          <w:i/>
        </w:rPr>
        <w:t>8</w:t>
      </w:r>
      <w:r>
        <w:rPr>
          <w:rFonts w:ascii="Times New Roman" w:hAnsi="Times New Roman" w:cs="Times New Roman"/>
          <w:i/>
        </w:rPr>
        <w:t xml:space="preserve">: nmMDS ordination of benthic foraminiferal traits composition (transformed with log x+1) of Bray-Curtis similarity from ODP </w:t>
      </w:r>
      <w:r>
        <w:rPr>
          <w:rFonts w:ascii="Times New Roman" w:hAnsi="Times New Roman" w:cs="Times New Roman"/>
          <w:i/>
        </w:rPr>
        <w:t>Site 1265A. CIE samples clustered at the SE axis, recovery around the SW axis while the pre-CIE samples clustered mostly on the top most part of the plot.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dissimilarity between the recovery and the pre-CIE also showed that all traits listed  have incre</w:t>
      </w:r>
      <w:r>
        <w:rPr>
          <w:rFonts w:ascii="Times New Roman" w:eastAsia="Calibri" w:hAnsi="Times New Roman" w:cs="Times New Roman"/>
          <w:sz w:val="24"/>
          <w:szCs w:val="24"/>
        </w:rPr>
        <w:t>ased during the recovery interval (Figure</w:t>
      </w:r>
      <w:r>
        <w:rPr>
          <w:rFonts w:ascii="Times New Roman" w:eastAsia="Calibri" w:hAnsi="Times New Roman" w:cs="Times New Roman"/>
          <w:sz w:val="24"/>
          <w:szCs w:val="24"/>
        </w:rPr>
        <w:t xml:space="preserve"> 9</w:t>
      </w:r>
      <w:r>
        <w:rPr>
          <w:rFonts w:ascii="Times New Roman" w:eastAsia="Calibri" w:hAnsi="Times New Roman" w:cs="Times New Roman"/>
          <w:sz w:val="24"/>
          <w:szCs w:val="24"/>
        </w:rPr>
        <w:t>)  as well as bifid teeth and shallow benthic infauna were also more when compared with the pre-CIE interval but triangular/trapezoidal chambers, slit-like apertures, aperture with lips, macro perforation, no orna</w:t>
      </w:r>
      <w:r>
        <w:rPr>
          <w:rFonts w:ascii="Times New Roman" w:eastAsia="Calibri" w:hAnsi="Times New Roman" w:cs="Times New Roman"/>
          <w:sz w:val="24"/>
          <w:szCs w:val="24"/>
        </w:rPr>
        <w:t>mentation and no apertural accessory traits were more at the pre-CIE than during the recovery. This shows that test perforation decreased from the pre-CIE towards the recovery and could be linked to the disappearance of macro perforated taxa such as Gaveli</w:t>
      </w:r>
      <w:r>
        <w:rPr>
          <w:rFonts w:ascii="Times New Roman" w:eastAsia="Calibri" w:hAnsi="Times New Roman" w:cs="Times New Roman"/>
          <w:sz w:val="24"/>
          <w:szCs w:val="24"/>
        </w:rPr>
        <w:t xml:space="preserve">nellids (supplementary data). There was also a shift from epifaunal lifestyle to infaunal from pre-CIE to recovery as well as from spiral to bi/triserial chamber arrangement which are related to taxa with terminal apertures. </w:t>
      </w:r>
    </w:p>
    <w:p w:rsidR="0062109E" w:rsidRDefault="00CF5136">
      <w:pPr>
        <w:spacing w:line="360" w:lineRule="auto"/>
        <w:jc w:val="center"/>
        <w:rPr>
          <w:rFonts w:ascii="Times New Roman" w:eastAsia="Calibri" w:hAnsi="Times New Roman" w:cs="Times New Roman"/>
          <w:sz w:val="24"/>
          <w:szCs w:val="24"/>
        </w:rPr>
      </w:pPr>
      <w:r>
        <w:rPr>
          <w:noProof/>
          <w:lang w:eastAsia="en-GB"/>
        </w:rPr>
        <w:drawing>
          <wp:inline distT="0" distB="0" distL="0" distR="0">
            <wp:extent cx="5731510" cy="7520940"/>
            <wp:effectExtent l="6350" t="6350" r="2794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2109E" w:rsidRDefault="00CF5136">
      <w:pPr>
        <w:spacing w:line="240" w:lineRule="auto"/>
        <w:jc w:val="both"/>
        <w:rPr>
          <w:rFonts w:ascii="Times New Roman" w:hAnsi="Times New Roman" w:cs="Times New Roman"/>
          <w:i/>
        </w:rPr>
      </w:pPr>
      <w:r>
        <w:rPr>
          <w:rFonts w:ascii="Times New Roman" w:hAnsi="Times New Roman" w:cs="Times New Roman"/>
          <w:i/>
        </w:rPr>
        <w:t xml:space="preserve">Figure </w:t>
      </w:r>
      <w:r>
        <w:rPr>
          <w:rFonts w:ascii="Times New Roman" w:hAnsi="Times New Roman" w:cs="Times New Roman"/>
          <w:i/>
        </w:rPr>
        <w:t>9</w:t>
      </w:r>
      <w:r>
        <w:rPr>
          <w:rFonts w:ascii="Times New Roman" w:hAnsi="Times New Roman" w:cs="Times New Roman"/>
          <w:i/>
        </w:rPr>
        <w:t>: SIMPER result of t</w:t>
      </w:r>
      <w:r>
        <w:rPr>
          <w:rFonts w:ascii="Times New Roman" w:hAnsi="Times New Roman" w:cs="Times New Roman"/>
          <w:i/>
        </w:rPr>
        <w:t>he most significant trait (at 50% cut off) that contributed to the differences in benthic foraminiferal trait composition across the CIE events at Site 1265A. Grey bars = pre-CIE; sky blue bars = CIE core; deep blue bars= Recovery; green bars = % contribut</w:t>
      </w:r>
      <w:r>
        <w:rPr>
          <w:rFonts w:ascii="Times New Roman" w:hAnsi="Times New Roman" w:cs="Times New Roman"/>
          <w:i/>
        </w:rPr>
        <w:t xml:space="preserve">ion of each trait. </w:t>
      </w:r>
    </w:p>
    <w:p w:rsidR="0062109E" w:rsidRDefault="00CF5136">
      <w:pPr>
        <w:pStyle w:val="Heading1"/>
        <w:rPr>
          <w:rFonts w:eastAsia="Calibri"/>
        </w:rPr>
      </w:pPr>
      <w:r>
        <w:rPr>
          <w:rFonts w:eastAsia="Calibri"/>
        </w:rPr>
        <w:t xml:space="preserve">4. </w:t>
      </w:r>
      <w:r>
        <w:rPr>
          <w:rFonts w:eastAsia="Calibri"/>
        </w:rPr>
        <w:t>0.</w:t>
      </w:r>
      <w:r>
        <w:rPr>
          <w:rFonts w:eastAsia="Calibri"/>
        </w:rPr>
        <w:t xml:space="preserve"> Discussion</w:t>
      </w:r>
    </w:p>
    <w:p w:rsidR="0062109E" w:rsidRDefault="00CF5136">
      <w:pPr>
        <w:pStyle w:val="Heading2"/>
      </w:pPr>
      <w:r>
        <w:t xml:space="preserve">4.3.2 Benthic foraminiferal markers indicating ecological changes in the seafloor during the PETM at Walvis Ridge.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benthic foraminiferal composition at Walvis Ridge indicate high heterogeneity in species richness, </w:t>
      </w:r>
      <w:r>
        <w:rPr>
          <w:rFonts w:ascii="Times New Roman" w:eastAsia="Calibri" w:hAnsi="Times New Roman" w:cs="Times New Roman"/>
          <w:sz w:val="24"/>
          <w:szCs w:val="24"/>
        </w:rPr>
        <w:t xml:space="preserve">abundance and morphotypes. Calcareous taxa dominated the overall foraminiferal assemblage. The predominance of calcareous taxa in the identified fauna suggest that Site 1265A was deposited above the CCD but close to the lysocline during the PETM (Zachos </w:t>
      </w:r>
      <w:r>
        <w:rPr>
          <w:rFonts w:ascii="Times New Roman" w:eastAsia="Calibri" w:hAnsi="Times New Roman" w:cs="Times New Roman"/>
          <w:i/>
          <w:sz w:val="24"/>
          <w:szCs w:val="24"/>
        </w:rPr>
        <w:t>et</w:t>
      </w:r>
      <w:r>
        <w:rPr>
          <w:rFonts w:ascii="Times New Roman" w:eastAsia="Calibri" w:hAnsi="Times New Roman" w:cs="Times New Roman"/>
          <w:i/>
          <w:sz w:val="24"/>
          <w:szCs w:val="24"/>
        </w:rPr>
        <w:t xml:space="preserve"> al.,</w:t>
      </w:r>
      <w:r>
        <w:rPr>
          <w:rFonts w:ascii="Times New Roman" w:eastAsia="Calibri" w:hAnsi="Times New Roman" w:cs="Times New Roman"/>
          <w:sz w:val="24"/>
          <w:szCs w:val="24"/>
        </w:rPr>
        <w:t xml:space="preserve"> 2005). The preservation of foraminifera was moderately good for the larger tests, however, there was also evidence of frosty calcite overgrowth, etching of test walls, thinning of test walls for some large specimens and </w:t>
      </w:r>
      <w:r>
        <w:rPr>
          <w:rFonts w:ascii="Times New Roman" w:eastAsia="Calibri" w:hAnsi="Times New Roman" w:cs="Times New Roman"/>
          <w:sz w:val="24"/>
          <w:szCs w:val="24"/>
        </w:rPr>
        <w:t>high</w:t>
      </w:r>
      <w:r>
        <w:rPr>
          <w:rFonts w:ascii="Times New Roman" w:eastAsia="Calibri" w:hAnsi="Times New Roman" w:cs="Times New Roman"/>
          <w:sz w:val="24"/>
          <w:szCs w:val="24"/>
        </w:rPr>
        <w:t xml:space="preserve"> foraminifera</w:t>
      </w:r>
      <w:r>
        <w:rPr>
          <w:rFonts w:ascii="Times New Roman" w:eastAsia="Calibri" w:hAnsi="Times New Roman" w:cs="Times New Roman"/>
          <w:sz w:val="24"/>
          <w:szCs w:val="24"/>
        </w:rPr>
        <w:t xml:space="preserve"> population</w:t>
      </w:r>
      <w:r>
        <w:rPr>
          <w:rFonts w:ascii="Times New Roman" w:eastAsia="Calibri" w:hAnsi="Times New Roman" w:cs="Times New Roman"/>
          <w:sz w:val="24"/>
          <w:szCs w:val="24"/>
        </w:rPr>
        <w:t xml:space="preserve"> f</w:t>
      </w:r>
      <w:r>
        <w:rPr>
          <w:rFonts w:ascii="Times New Roman" w:eastAsia="Calibri" w:hAnsi="Times New Roman" w:cs="Times New Roman"/>
          <w:sz w:val="24"/>
          <w:szCs w:val="24"/>
        </w:rPr>
        <w:t>rom the fine (&gt;63µm) fraction. SEM imaging further showed that even the specimens that appeared to be well preserved have been affected by dissolution and encrustation with secondary calcite and calcareous nannofossil (</w:t>
      </w:r>
      <w:r>
        <w:rPr>
          <w:rFonts w:ascii="Times New Roman" w:eastAsia="Calibri" w:hAnsi="Times New Roman" w:cs="Times New Roman"/>
          <w:sz w:val="24"/>
          <w:szCs w:val="24"/>
        </w:rPr>
        <w:t xml:space="preserve">Nwojiji </w:t>
      </w:r>
      <w:r>
        <w:rPr>
          <w:rFonts w:ascii="Times New Roman Italic" w:eastAsia="Calibri" w:hAnsi="Times New Roman Italic" w:cs="Times New Roman"/>
          <w:i/>
          <w:sz w:val="24"/>
          <w:szCs w:val="24"/>
        </w:rPr>
        <w:t>et al</w:t>
      </w:r>
      <w:r>
        <w:rPr>
          <w:rFonts w:ascii="Times New Roman" w:eastAsia="Calibri" w:hAnsi="Times New Roman" w:cs="Times New Roman"/>
          <w:sz w:val="24"/>
          <w:szCs w:val="24"/>
        </w:rPr>
        <w:t>., 2019</w:t>
      </w:r>
      <w:r>
        <w:rPr>
          <w:rFonts w:ascii="Times New Roman" w:eastAsia="Calibri" w:hAnsi="Times New Roman" w:cs="Times New Roman"/>
          <w:sz w:val="24"/>
          <w:szCs w:val="24"/>
        </w:rPr>
        <w:t>). Dissolution se</w:t>
      </w:r>
      <w:r>
        <w:rPr>
          <w:rFonts w:ascii="Times New Roman" w:eastAsia="Calibri" w:hAnsi="Times New Roman" w:cs="Times New Roman"/>
          <w:sz w:val="24"/>
          <w:szCs w:val="24"/>
        </w:rPr>
        <w:t xml:space="preserve">ems to have occurred from highly corrosive carbonate under-saturated sea water rather than non-deposition within or below the CCD because dissolution was incomplete and some smooth, thin-walled </w:t>
      </w:r>
      <w:r>
        <w:rPr>
          <w:rFonts w:ascii="Times New Roman" w:eastAsia="Calibri" w:hAnsi="Times New Roman" w:cs="Times New Roman"/>
          <w:i/>
          <w:sz w:val="24"/>
          <w:szCs w:val="24"/>
        </w:rPr>
        <w:t xml:space="preserve">Praebulimina </w:t>
      </w:r>
      <w:r>
        <w:rPr>
          <w:rFonts w:ascii="Times New Roman" w:eastAsia="Calibri" w:hAnsi="Times New Roman" w:cs="Times New Roman"/>
          <w:sz w:val="24"/>
          <w:szCs w:val="24"/>
        </w:rPr>
        <w:t>spp</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and </w:t>
      </w:r>
      <w:r>
        <w:rPr>
          <w:rFonts w:ascii="Times New Roman" w:eastAsia="Calibri" w:hAnsi="Times New Roman" w:cs="Times New Roman"/>
          <w:i/>
          <w:sz w:val="24"/>
          <w:szCs w:val="24"/>
        </w:rPr>
        <w:t xml:space="preserve">Nonion </w:t>
      </w:r>
      <w:r>
        <w:rPr>
          <w:rFonts w:ascii="Times New Roman" w:eastAsia="Calibri" w:hAnsi="Times New Roman" w:cs="Times New Roman"/>
          <w:sz w:val="24"/>
          <w:szCs w:val="24"/>
        </w:rPr>
        <w:t xml:space="preserve">spp with glassy tests occurred.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faunal assemblage was composed of 67% infauna and 33% epifauna, the dominance of infaunal </w:t>
      </w:r>
      <w:r>
        <w:rPr>
          <w:rFonts w:ascii="Times New Roman" w:eastAsia="Calibri" w:hAnsi="Times New Roman" w:cs="Times New Roman"/>
          <w:i/>
          <w:sz w:val="24"/>
          <w:szCs w:val="24"/>
        </w:rPr>
        <w:t xml:space="preserve">Buliminids </w:t>
      </w:r>
      <w:r>
        <w:rPr>
          <w:rFonts w:ascii="Times New Roman" w:eastAsia="Calibri" w:hAnsi="Times New Roman" w:cs="Times New Roman"/>
          <w:sz w:val="24"/>
          <w:szCs w:val="24"/>
        </w:rPr>
        <w:t xml:space="preserve">and uniserial taxa are associated with high organic flux and decrease in oxygen concentration (Guisberti </w:t>
      </w:r>
      <w:r>
        <w:rPr>
          <w:rFonts w:ascii="Times New Roman" w:eastAsia="Calibri" w:hAnsi="Times New Roman" w:cs="Times New Roman"/>
          <w:i/>
          <w:sz w:val="24"/>
          <w:szCs w:val="24"/>
        </w:rPr>
        <w:t>et al</w:t>
      </w:r>
      <w:r>
        <w:rPr>
          <w:rFonts w:ascii="Times New Roman" w:eastAsia="Calibri" w:hAnsi="Times New Roman" w:cs="Times New Roman"/>
          <w:sz w:val="24"/>
          <w:szCs w:val="24"/>
        </w:rPr>
        <w:t>., 2016). Similar benthic foraminifera ha</w:t>
      </w:r>
      <w:r>
        <w:rPr>
          <w:rFonts w:ascii="Times New Roman" w:eastAsia="Calibri" w:hAnsi="Times New Roman" w:cs="Times New Roman"/>
          <w:sz w:val="24"/>
          <w:szCs w:val="24"/>
        </w:rPr>
        <w:t xml:space="preserve">ve been used as an index for trophic conditions at the seafloor (Jorissen </w:t>
      </w:r>
      <w:r>
        <w:rPr>
          <w:rFonts w:ascii="Times New Roman" w:eastAsia="Calibri" w:hAnsi="Times New Roman" w:cs="Times New Roman"/>
          <w:i/>
          <w:sz w:val="24"/>
          <w:szCs w:val="24"/>
        </w:rPr>
        <w:t>et al.</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2007) and in this model infaunal </w:t>
      </w:r>
      <w:r>
        <w:rPr>
          <w:rFonts w:ascii="Times New Roman" w:eastAsia="Calibri" w:hAnsi="Times New Roman" w:cs="Times New Roman"/>
          <w:i/>
          <w:sz w:val="24"/>
          <w:szCs w:val="24"/>
        </w:rPr>
        <w:t>Buliminids</w:t>
      </w:r>
      <w:r>
        <w:rPr>
          <w:rFonts w:ascii="Times New Roman" w:eastAsia="Calibri" w:hAnsi="Times New Roman" w:cs="Times New Roman"/>
          <w:sz w:val="24"/>
          <w:szCs w:val="24"/>
        </w:rPr>
        <w:t xml:space="preserve"> and other biserial/cylindrical taxa such as </w:t>
      </w:r>
      <w:r>
        <w:rPr>
          <w:rFonts w:ascii="Times New Roman" w:eastAsia="Calibri" w:hAnsi="Times New Roman" w:cs="Times New Roman"/>
          <w:i/>
          <w:sz w:val="24"/>
          <w:szCs w:val="24"/>
        </w:rPr>
        <w:t xml:space="preserve">Pleurostomella, Stillostomella </w:t>
      </w:r>
      <w:r>
        <w:rPr>
          <w:rFonts w:ascii="Times New Roman" w:eastAsia="Calibri" w:hAnsi="Times New Roman" w:cs="Times New Roman"/>
          <w:sz w:val="24"/>
          <w:szCs w:val="24"/>
        </w:rPr>
        <w:t>and</w:t>
      </w:r>
      <w:r>
        <w:rPr>
          <w:rFonts w:ascii="Times New Roman" w:eastAsia="Calibri" w:hAnsi="Times New Roman" w:cs="Times New Roman"/>
          <w:i/>
          <w:sz w:val="24"/>
          <w:szCs w:val="24"/>
        </w:rPr>
        <w:t xml:space="preserve"> Siphonodosaria</w:t>
      </w:r>
      <w:r>
        <w:rPr>
          <w:rFonts w:ascii="Times New Roman" w:eastAsia="Calibri" w:hAnsi="Times New Roman" w:cs="Times New Roman"/>
          <w:sz w:val="24"/>
          <w:szCs w:val="24"/>
        </w:rPr>
        <w:t xml:space="preserve"> occurred in high abundance in eutrop</w:t>
      </w:r>
      <w:r>
        <w:rPr>
          <w:rFonts w:ascii="Times New Roman" w:eastAsia="Calibri" w:hAnsi="Times New Roman" w:cs="Times New Roman"/>
          <w:sz w:val="24"/>
          <w:szCs w:val="24"/>
        </w:rPr>
        <w:t xml:space="preserve">hic regions with sustained or highly seasonal phytoplankton productivity. These taxa are believed to have tolerated warm, locally oxygen-depleted and carbonate-corrosive bottom waters. Similarly, high abundances of these taxa have been reported from other </w:t>
      </w:r>
      <w:r>
        <w:rPr>
          <w:rFonts w:ascii="Times New Roman" w:eastAsia="Calibri" w:hAnsi="Times New Roman" w:cs="Times New Roman"/>
          <w:sz w:val="24"/>
          <w:szCs w:val="24"/>
        </w:rPr>
        <w:t xml:space="preserve">PETM section as well as the black shale facies of Cretaceous ocean anoxic event II (Alegret and Thomas, 2009) and the middle Eocene climatic optimum (MECO; Boscolo Galazzo </w:t>
      </w:r>
      <w:r>
        <w:rPr>
          <w:rFonts w:ascii="Times New Roman" w:eastAsia="Calibri" w:hAnsi="Times New Roman" w:cs="Times New Roman"/>
          <w:i/>
          <w:sz w:val="24"/>
          <w:szCs w:val="24"/>
        </w:rPr>
        <w:t>et al</w:t>
      </w:r>
      <w:r>
        <w:rPr>
          <w:rFonts w:ascii="Times New Roman" w:eastAsia="Calibri" w:hAnsi="Times New Roman" w:cs="Times New Roman"/>
          <w:sz w:val="24"/>
          <w:szCs w:val="24"/>
        </w:rPr>
        <w:t>., 2015). They are reported to be adapted to low-oxygen conditions or can rapid</w:t>
      </w:r>
      <w:r>
        <w:rPr>
          <w:rFonts w:ascii="Times New Roman" w:eastAsia="Calibri" w:hAnsi="Times New Roman" w:cs="Times New Roman"/>
          <w:sz w:val="24"/>
          <w:szCs w:val="24"/>
        </w:rPr>
        <w:t xml:space="preserve">ly recolonise the seafloor during brief intervals of reoxygenation. In this study, the </w:t>
      </w:r>
      <w:r>
        <w:rPr>
          <w:rFonts w:ascii="Times New Roman" w:eastAsia="Calibri" w:hAnsi="Times New Roman" w:cs="Times New Roman"/>
          <w:i/>
          <w:sz w:val="24"/>
          <w:szCs w:val="24"/>
        </w:rPr>
        <w:t xml:space="preserve">Buliminids </w:t>
      </w:r>
      <w:r>
        <w:rPr>
          <w:rFonts w:ascii="Times New Roman" w:eastAsia="Calibri" w:hAnsi="Times New Roman" w:cs="Times New Roman"/>
          <w:sz w:val="24"/>
          <w:szCs w:val="24"/>
        </w:rPr>
        <w:t xml:space="preserve">had the most consistent species richness and abundance across the PETM. During the CIE all the species of Buliminidacea were abundant except for </w:t>
      </w:r>
      <w:r>
        <w:rPr>
          <w:rFonts w:ascii="Times New Roman" w:eastAsia="Calibri" w:hAnsi="Times New Roman" w:cs="Times New Roman"/>
          <w:i/>
          <w:sz w:val="24"/>
          <w:szCs w:val="24"/>
        </w:rPr>
        <w:t>Bulimina brad</w:t>
      </w:r>
      <w:r>
        <w:rPr>
          <w:rFonts w:ascii="Times New Roman" w:eastAsia="Calibri" w:hAnsi="Times New Roman" w:cs="Times New Roman"/>
          <w:i/>
          <w:sz w:val="24"/>
          <w:szCs w:val="24"/>
        </w:rPr>
        <w:t>buryi</w:t>
      </w:r>
      <w:r>
        <w:rPr>
          <w:rFonts w:ascii="Times New Roman" w:eastAsia="Calibri" w:hAnsi="Times New Roman" w:cs="Times New Roman"/>
          <w:sz w:val="24"/>
          <w:szCs w:val="24"/>
        </w:rPr>
        <w:t xml:space="preserve"> and high abundance of this species was recorded throughout the recovery. The statistical results from SIMPER also confirm higher abundance of </w:t>
      </w:r>
      <w:r>
        <w:rPr>
          <w:rFonts w:ascii="Times New Roman" w:eastAsia="Calibri" w:hAnsi="Times New Roman" w:cs="Times New Roman"/>
          <w:i/>
          <w:sz w:val="24"/>
          <w:szCs w:val="24"/>
        </w:rPr>
        <w:t>Bulimina</w:t>
      </w:r>
      <w:r>
        <w:rPr>
          <w:rFonts w:ascii="Times New Roman" w:eastAsia="Calibri" w:hAnsi="Times New Roman" w:cs="Times New Roman"/>
          <w:sz w:val="24"/>
          <w:szCs w:val="24"/>
        </w:rPr>
        <w:t xml:space="preserve"> species at the CIE and recovery intervals than at the pre-CIE section (Tables 3a – c). </w:t>
      </w:r>
      <w:r>
        <w:rPr>
          <w:rFonts w:ascii="Times New Roman" w:eastAsia="Calibri" w:hAnsi="Times New Roman" w:cs="Times New Roman"/>
          <w:i/>
          <w:sz w:val="24"/>
          <w:szCs w:val="24"/>
        </w:rPr>
        <w:t>Bulimina</w:t>
      </w:r>
      <w:r>
        <w:rPr>
          <w:rFonts w:ascii="Times New Roman" w:eastAsia="Calibri" w:hAnsi="Times New Roman" w:cs="Times New Roman"/>
          <w:sz w:val="24"/>
          <w:szCs w:val="24"/>
        </w:rPr>
        <w:t xml:space="preserve"> tax</w:t>
      </w:r>
      <w:r>
        <w:rPr>
          <w:rFonts w:ascii="Times New Roman" w:eastAsia="Calibri" w:hAnsi="Times New Roman" w:cs="Times New Roman"/>
          <w:sz w:val="24"/>
          <w:szCs w:val="24"/>
        </w:rPr>
        <w:t xml:space="preserve">a are tolerant to low oxygen and high organic flux meaning they may occupy niches vacated by vulnerable taxa, and may dominate the foraminiferal assemblage. The prevalent occurrence of </w:t>
      </w:r>
      <w:r>
        <w:rPr>
          <w:rFonts w:ascii="Times New Roman" w:eastAsia="Calibri" w:hAnsi="Times New Roman" w:cs="Times New Roman"/>
          <w:i/>
          <w:sz w:val="24"/>
          <w:szCs w:val="24"/>
        </w:rPr>
        <w:t>Bulimina</w:t>
      </w:r>
      <w:r>
        <w:rPr>
          <w:rFonts w:ascii="Times New Roman" w:eastAsia="Calibri" w:hAnsi="Times New Roman" w:cs="Times New Roman"/>
          <w:sz w:val="24"/>
          <w:szCs w:val="24"/>
        </w:rPr>
        <w:t xml:space="preserve"> in this study suggests that the taxa occurrence is more closel</w:t>
      </w:r>
      <w:r>
        <w:rPr>
          <w:rFonts w:ascii="Times New Roman" w:eastAsia="Calibri" w:hAnsi="Times New Roman" w:cs="Times New Roman"/>
          <w:sz w:val="24"/>
          <w:szCs w:val="24"/>
        </w:rPr>
        <w:t xml:space="preserve">y linked with nutrient and organic matter influx rather than oxygen depletion (Murray 1991; Gooday 1994; Schmiedl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2000).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Nevertheless, interpreting palaeo-oxygen concentrations based on foraminiferal composition should be done with caution, because foraminifera can utilise alternative metabolic pathways during low oxygen conditions. For example species of </w:t>
      </w:r>
      <w:r>
        <w:rPr>
          <w:rFonts w:ascii="Times New Roman" w:eastAsia="Calibri" w:hAnsi="Times New Roman" w:cs="Times New Roman"/>
          <w:i/>
          <w:sz w:val="24"/>
          <w:szCs w:val="24"/>
        </w:rPr>
        <w:t xml:space="preserve">Globubulimina </w:t>
      </w:r>
      <w:r>
        <w:rPr>
          <w:rFonts w:ascii="Times New Roman" w:eastAsia="Calibri" w:hAnsi="Times New Roman" w:cs="Times New Roman"/>
          <w:sz w:val="24"/>
          <w:szCs w:val="24"/>
        </w:rPr>
        <w:t>and</w:t>
      </w:r>
      <w:r>
        <w:rPr>
          <w:rFonts w:ascii="Times New Roman" w:eastAsia="Calibri" w:hAnsi="Times New Roman" w:cs="Times New Roman"/>
          <w:i/>
          <w:sz w:val="24"/>
          <w:szCs w:val="24"/>
        </w:rPr>
        <w:t xml:space="preserve"> B</w:t>
      </w:r>
      <w:r>
        <w:rPr>
          <w:rFonts w:ascii="Times New Roman" w:eastAsia="Calibri" w:hAnsi="Times New Roman" w:cs="Times New Roman"/>
          <w:i/>
          <w:sz w:val="24"/>
          <w:szCs w:val="24"/>
        </w:rPr>
        <w:t>olivina</w:t>
      </w:r>
      <w:r>
        <w:rPr>
          <w:rFonts w:ascii="Times New Roman" w:eastAsia="Calibri" w:hAnsi="Times New Roman" w:cs="Times New Roman"/>
          <w:sz w:val="24"/>
          <w:szCs w:val="24"/>
        </w:rPr>
        <w:t xml:space="preserve"> are believed to store intracellular nitrate which they use in denitrification in the absence of oxygen (Keating-Bontonti and Payne, 2017). Oxygen minimum zones have been reported to be dominated by small thin-walled specimen of </w:t>
      </w:r>
      <w:r>
        <w:rPr>
          <w:rFonts w:ascii="Times New Roman" w:eastAsia="Calibri" w:hAnsi="Times New Roman" w:cs="Times New Roman"/>
          <w:i/>
          <w:sz w:val="24"/>
          <w:szCs w:val="24"/>
        </w:rPr>
        <w:t>Bulimina</w:t>
      </w:r>
      <w:r>
        <w:rPr>
          <w:rFonts w:ascii="Times New Roman" w:eastAsia="Calibri" w:hAnsi="Times New Roman" w:cs="Times New Roman"/>
          <w:sz w:val="24"/>
          <w:szCs w:val="24"/>
        </w:rPr>
        <w:t xml:space="preserve"> (Boltovskoy</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et al</w:t>
      </w:r>
      <w:r>
        <w:rPr>
          <w:rFonts w:ascii="Times New Roman" w:eastAsia="Calibri" w:hAnsi="Times New Roman" w:cs="Times New Roman"/>
          <w:sz w:val="24"/>
          <w:szCs w:val="24"/>
        </w:rPr>
        <w:t>., 1991; Kaiho 1994). The faunal assemblage from Site 1265A indicated high diversity of Bulimininidacea</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that were well-preserved as well as the co-occurrence of taxa that usually inhabit oxygenated environments. Irrespective of the high abundances of</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Bulimina,</w:t>
      </w:r>
      <w:r>
        <w:rPr>
          <w:rFonts w:ascii="Times New Roman" w:eastAsia="Calibri" w:hAnsi="Times New Roman" w:cs="Times New Roman"/>
          <w:sz w:val="24"/>
          <w:szCs w:val="24"/>
        </w:rPr>
        <w:t xml:space="preserve"> oxygen concentration is interpreted to be moderate. There was also a moderate abundance of oxic indicators such as </w:t>
      </w:r>
      <w:r>
        <w:rPr>
          <w:rFonts w:ascii="Times New Roman" w:eastAsia="Calibri" w:hAnsi="Times New Roman" w:cs="Times New Roman"/>
          <w:i/>
          <w:sz w:val="24"/>
          <w:szCs w:val="24"/>
        </w:rPr>
        <w:t xml:space="preserve">Oridorsalis umbonatus. O. umbonatus </w:t>
      </w:r>
      <w:r>
        <w:rPr>
          <w:rFonts w:ascii="Times New Roman" w:eastAsia="Calibri" w:hAnsi="Times New Roman" w:cs="Times New Roman"/>
          <w:sz w:val="24"/>
          <w:szCs w:val="24"/>
        </w:rPr>
        <w:t>was described as cosmopolitan and an indicator of well-oxygenated pore water but the sustained</w:t>
      </w:r>
      <w:r>
        <w:rPr>
          <w:rFonts w:ascii="Times New Roman" w:eastAsia="Calibri" w:hAnsi="Times New Roman" w:cs="Times New Roman"/>
          <w:sz w:val="24"/>
          <w:szCs w:val="24"/>
        </w:rPr>
        <w:t xml:space="preserve"> low flux of highly degraded organic matter (D’haenens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2012) and persistent strong bottom water current. The relatively moderate occurrence of this species across the studied interval suggests the oxygen concentration was moderate during the PETM.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significant increase of the opportunistic taxa (</w:t>
      </w:r>
      <w:r>
        <w:rPr>
          <w:rFonts w:ascii="Times New Roman" w:eastAsia="Calibri" w:hAnsi="Times New Roman" w:cs="Times New Roman"/>
          <w:i/>
          <w:sz w:val="24"/>
          <w:szCs w:val="24"/>
        </w:rPr>
        <w:t>Nuttallides truempyi)</w:t>
      </w:r>
      <w:r>
        <w:rPr>
          <w:rFonts w:ascii="Times New Roman" w:eastAsia="Calibri" w:hAnsi="Times New Roman" w:cs="Times New Roman"/>
          <w:sz w:val="24"/>
          <w:szCs w:val="24"/>
        </w:rPr>
        <w:t xml:space="preserve"> at the main CIE interval in this study could be linked to water circulation. This taxa has been previously associated with sluggish water circulation (Boscolo Galazzo </w:t>
      </w:r>
      <w:r>
        <w:rPr>
          <w:rFonts w:ascii="Times New Roman" w:eastAsia="Calibri" w:hAnsi="Times New Roman" w:cs="Times New Roman"/>
          <w:i/>
          <w:sz w:val="24"/>
          <w:szCs w:val="24"/>
        </w:rPr>
        <w:t>et al</w:t>
      </w:r>
      <w:r>
        <w:rPr>
          <w:rFonts w:ascii="Times New Roman" w:eastAsia="Calibri" w:hAnsi="Times New Roman" w:cs="Times New Roman"/>
          <w:sz w:val="24"/>
          <w:szCs w:val="24"/>
        </w:rPr>
        <w:t>., 2015).</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N. truempyi</w:t>
      </w:r>
      <w:r>
        <w:rPr>
          <w:rFonts w:ascii="Times New Roman" w:eastAsia="Calibri" w:hAnsi="Times New Roman" w:cs="Times New Roman"/>
          <w:sz w:val="24"/>
          <w:szCs w:val="24"/>
        </w:rPr>
        <w:t xml:space="preserve"> was consistently high in abundance during the CIE and throughout the recovery interval. This suggests that the thermohaline circulation may have slowed down in the South Atlantic Ocean during the PETM. In the present day ocean, the abundance o</w:t>
      </w:r>
      <w:r>
        <w:rPr>
          <w:rFonts w:ascii="Times New Roman" w:eastAsia="Calibri" w:hAnsi="Times New Roman" w:cs="Times New Roman"/>
          <w:sz w:val="24"/>
          <w:szCs w:val="24"/>
        </w:rPr>
        <w:t xml:space="preserve">f the extant relative - </w:t>
      </w:r>
      <w:r>
        <w:rPr>
          <w:rFonts w:ascii="Times New Roman" w:eastAsia="Calibri" w:hAnsi="Times New Roman" w:cs="Times New Roman"/>
          <w:i/>
          <w:sz w:val="24"/>
          <w:szCs w:val="24"/>
        </w:rPr>
        <w:t>N. umbonifera</w:t>
      </w:r>
      <w:r>
        <w:rPr>
          <w:rFonts w:ascii="Times New Roman" w:eastAsia="Calibri" w:hAnsi="Times New Roman" w:cs="Times New Roman"/>
          <w:sz w:val="24"/>
          <w:szCs w:val="24"/>
        </w:rPr>
        <w:t xml:space="preserve"> usually coincides with blooms of phytoplankton linked with the formation of deep water mixing and upwelling that redistribute nutrients (Boscolo Galazzo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2015). Therefore, the high abundance of </w:t>
      </w:r>
      <w:r>
        <w:rPr>
          <w:rFonts w:ascii="Times New Roman" w:eastAsia="Calibri" w:hAnsi="Times New Roman" w:cs="Times New Roman"/>
          <w:i/>
          <w:sz w:val="24"/>
          <w:szCs w:val="24"/>
        </w:rPr>
        <w:t>N. truempyi</w:t>
      </w:r>
      <w:r>
        <w:rPr>
          <w:rFonts w:ascii="Times New Roman" w:eastAsia="Calibri" w:hAnsi="Times New Roman" w:cs="Times New Roman"/>
          <w:sz w:val="24"/>
          <w:szCs w:val="24"/>
        </w:rPr>
        <w:t xml:space="preserve"> at th</w:t>
      </w:r>
      <w:r>
        <w:rPr>
          <w:rFonts w:ascii="Times New Roman" w:eastAsia="Calibri" w:hAnsi="Times New Roman" w:cs="Times New Roman"/>
          <w:sz w:val="24"/>
          <w:szCs w:val="24"/>
        </w:rPr>
        <w:t>e CIE interval</w:t>
      </w:r>
      <w:r>
        <w:rPr>
          <w:sz w:val="16"/>
          <w:szCs w:val="16"/>
        </w:rPr>
        <w:t xml:space="preserve"> </w:t>
      </w:r>
      <w:r>
        <w:rPr>
          <w:rFonts w:ascii="Times New Roman" w:eastAsia="Calibri" w:hAnsi="Times New Roman" w:cs="Times New Roman"/>
          <w:sz w:val="24"/>
          <w:szCs w:val="24"/>
        </w:rPr>
        <w:t xml:space="preserve">may be related to a relative increase in productivity during the PETM.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high abundances of epifaunal foraminifera such as </w:t>
      </w:r>
      <w:r>
        <w:rPr>
          <w:rFonts w:ascii="Times New Roman" w:eastAsia="Calibri" w:hAnsi="Times New Roman" w:cs="Times New Roman"/>
          <w:i/>
          <w:sz w:val="24"/>
          <w:szCs w:val="24"/>
        </w:rPr>
        <w:t>Osangularia mexicana</w:t>
      </w:r>
      <w:r>
        <w:rPr>
          <w:rFonts w:ascii="Times New Roman" w:eastAsia="Calibri" w:hAnsi="Times New Roman" w:cs="Times New Roman"/>
          <w:sz w:val="24"/>
          <w:szCs w:val="24"/>
        </w:rPr>
        <w:t xml:space="preserve"> during the CIE indicate that there was a period of seasonal increase in oxygen during the PETM. </w:t>
      </w:r>
      <w:r>
        <w:rPr>
          <w:rFonts w:ascii="Times New Roman" w:eastAsia="Calibri" w:hAnsi="Times New Roman" w:cs="Times New Roman"/>
          <w:i/>
          <w:sz w:val="24"/>
          <w:szCs w:val="24"/>
        </w:rPr>
        <w:t>Osangularia spp.</w:t>
      </w:r>
      <w:r>
        <w:rPr>
          <w:rFonts w:ascii="Times New Roman" w:eastAsia="Calibri" w:hAnsi="Times New Roman" w:cs="Times New Roman"/>
          <w:sz w:val="24"/>
          <w:szCs w:val="24"/>
        </w:rPr>
        <w:t xml:space="preserve"> typically live opportunistically and repopulated the seafloor during short-term re-oxygenation phases of Cretaceous </w:t>
      </w:r>
      <w:r>
        <w:rPr>
          <w:rFonts w:ascii="Times New Roman" w:eastAsia="Calibri" w:hAnsi="Times New Roman" w:cs="Times New Roman"/>
          <w:sz w:val="24"/>
          <w:szCs w:val="24"/>
        </w:rPr>
        <w:t>ocean anoxic event</w:t>
      </w:r>
      <w:r>
        <w:rPr>
          <w:rFonts w:ascii="Times New Roman" w:eastAsia="Calibri" w:hAnsi="Times New Roman" w:cs="Times New Roman"/>
          <w:sz w:val="24"/>
          <w:szCs w:val="24"/>
        </w:rPr>
        <w:t>s (Alegr</w:t>
      </w:r>
      <w:r>
        <w:rPr>
          <w:rFonts w:ascii="Times New Roman" w:eastAsia="Calibri" w:hAnsi="Times New Roman" w:cs="Times New Roman"/>
          <w:sz w:val="24"/>
          <w:szCs w:val="24"/>
        </w:rPr>
        <w:t xml:space="preserve">et and Thomas, 2009). They also have a high tolerance for organic enrichment and intermittent deoxygenation. Increase in the abundance of </w:t>
      </w:r>
      <w:r>
        <w:rPr>
          <w:rFonts w:ascii="Times New Roman" w:eastAsia="Calibri" w:hAnsi="Times New Roman" w:cs="Times New Roman"/>
          <w:i/>
          <w:sz w:val="24"/>
          <w:szCs w:val="24"/>
        </w:rPr>
        <w:t>Osangularia spp.</w:t>
      </w:r>
      <w:r>
        <w:rPr>
          <w:rFonts w:ascii="Times New Roman" w:eastAsia="Calibri" w:hAnsi="Times New Roman" w:cs="Times New Roman"/>
          <w:sz w:val="24"/>
          <w:szCs w:val="24"/>
        </w:rPr>
        <w:t xml:space="preserve"> are reported across the PETM section in Alamedilla (Alegret </w:t>
      </w:r>
      <w:r>
        <w:rPr>
          <w:rFonts w:ascii="Times New Roman" w:eastAsia="Calibri" w:hAnsi="Times New Roman" w:cs="Times New Roman"/>
          <w:i/>
          <w:sz w:val="24"/>
          <w:szCs w:val="24"/>
        </w:rPr>
        <w:t>et al</w:t>
      </w:r>
      <w:r>
        <w:rPr>
          <w:rFonts w:ascii="Times New Roman" w:eastAsia="Calibri" w:hAnsi="Times New Roman" w:cs="Times New Roman"/>
          <w:sz w:val="24"/>
          <w:szCs w:val="24"/>
        </w:rPr>
        <w:t>. 2009; Friedrich, 2005;2009) and ha</w:t>
      </w:r>
      <w:r>
        <w:rPr>
          <w:rFonts w:ascii="Times New Roman" w:eastAsia="Calibri" w:hAnsi="Times New Roman" w:cs="Times New Roman"/>
          <w:sz w:val="24"/>
          <w:szCs w:val="24"/>
        </w:rPr>
        <w:t>ve made the species a PETM benthic foraminiferal marker.</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Tappanina selmensis, Siphogenerinoides Spp., Aragonina </w:t>
      </w:r>
      <w:r>
        <w:rPr>
          <w:rFonts w:ascii="Times New Roman" w:eastAsia="Calibri" w:hAnsi="Times New Roman" w:cs="Times New Roman"/>
          <w:sz w:val="24"/>
          <w:szCs w:val="24"/>
        </w:rPr>
        <w:t xml:space="preserve">spp. are opportunistic species and indicators of high-productivity, continually stressed and lowered oxygen concentration in the sea floor. </w:t>
      </w:r>
      <w:r>
        <w:rPr>
          <w:rFonts w:ascii="Times New Roman" w:eastAsia="Calibri" w:hAnsi="Times New Roman" w:cs="Times New Roman"/>
          <w:sz w:val="24"/>
          <w:szCs w:val="24"/>
          <w:lang w:val="fr-FR"/>
        </w:rPr>
        <w:t>(Tho</w:t>
      </w:r>
      <w:r>
        <w:rPr>
          <w:rFonts w:ascii="Times New Roman" w:eastAsia="Calibri" w:hAnsi="Times New Roman" w:cs="Times New Roman"/>
          <w:sz w:val="24"/>
          <w:szCs w:val="24"/>
          <w:lang w:val="fr-FR"/>
        </w:rPr>
        <w:t xml:space="preserve">mas 2003, 2007; Giusberti </w:t>
      </w:r>
      <w:r>
        <w:rPr>
          <w:rFonts w:ascii="Times New Roman" w:eastAsia="Calibri" w:hAnsi="Times New Roman" w:cs="Times New Roman"/>
          <w:i/>
          <w:sz w:val="24"/>
          <w:szCs w:val="24"/>
          <w:lang w:val="fr-FR"/>
        </w:rPr>
        <w:t>et al.,</w:t>
      </w:r>
      <w:r>
        <w:rPr>
          <w:rFonts w:ascii="Times New Roman" w:eastAsia="Calibri" w:hAnsi="Times New Roman" w:cs="Times New Roman"/>
          <w:sz w:val="24"/>
          <w:szCs w:val="24"/>
          <w:lang w:val="fr-FR"/>
        </w:rPr>
        <w:t xml:space="preserve"> 2009; Alegret </w:t>
      </w:r>
      <w:r>
        <w:rPr>
          <w:rFonts w:ascii="Times New Roman" w:eastAsia="Calibri" w:hAnsi="Times New Roman" w:cs="Times New Roman"/>
          <w:i/>
          <w:sz w:val="24"/>
          <w:szCs w:val="24"/>
          <w:lang w:val="fr-FR"/>
        </w:rPr>
        <w:t>et al.,</w:t>
      </w:r>
      <w:r>
        <w:rPr>
          <w:rFonts w:ascii="Times New Roman" w:eastAsia="Calibri" w:hAnsi="Times New Roman" w:cs="Times New Roman"/>
          <w:sz w:val="24"/>
          <w:szCs w:val="24"/>
          <w:lang w:val="fr-FR"/>
        </w:rPr>
        <w:t xml:space="preserve"> 2009; D’haenens </w:t>
      </w:r>
      <w:r>
        <w:rPr>
          <w:rFonts w:ascii="Times New Roman" w:eastAsia="Calibri" w:hAnsi="Times New Roman" w:cs="Times New Roman"/>
          <w:i/>
          <w:sz w:val="24"/>
          <w:szCs w:val="24"/>
          <w:lang w:val="fr-FR"/>
        </w:rPr>
        <w:t>et al.,</w:t>
      </w:r>
      <w:r>
        <w:rPr>
          <w:rFonts w:ascii="Times New Roman" w:eastAsia="Calibri" w:hAnsi="Times New Roman" w:cs="Times New Roman"/>
          <w:sz w:val="24"/>
          <w:szCs w:val="24"/>
          <w:lang w:val="fr-FR"/>
        </w:rPr>
        <w:t xml:space="preserve"> 2012). </w:t>
      </w:r>
      <w:r>
        <w:rPr>
          <w:rFonts w:ascii="Times New Roman" w:eastAsia="Calibri" w:hAnsi="Times New Roman" w:cs="Times New Roman"/>
          <w:sz w:val="24"/>
          <w:szCs w:val="24"/>
        </w:rPr>
        <w:t>They are characteristic of hyperthermal sections in the open ocean sites and are capable of colonizing the sediment when productivity increases during environmental inst</w:t>
      </w:r>
      <w:r>
        <w:rPr>
          <w:rFonts w:ascii="Times New Roman" w:eastAsia="Calibri" w:hAnsi="Times New Roman" w:cs="Times New Roman"/>
          <w:sz w:val="24"/>
          <w:szCs w:val="24"/>
        </w:rPr>
        <w:t xml:space="preserve">ability. In this study, these species relatively increased at the main CIE section suggesting low oxygen condition, nevertheless the taxa showed rich abundance during the recovery.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parameters used in the above interpretation must be applied with cauti</w:t>
      </w:r>
      <w:r>
        <w:rPr>
          <w:rFonts w:ascii="Times New Roman" w:eastAsia="Calibri" w:hAnsi="Times New Roman" w:cs="Times New Roman"/>
          <w:sz w:val="24"/>
          <w:szCs w:val="24"/>
        </w:rPr>
        <w:t xml:space="preserve">on as many taxa described are already extinct and the relation between the morphology and the microhabitat is still under investigation. Buzas </w:t>
      </w:r>
      <w:r>
        <w:rPr>
          <w:rFonts w:ascii="Times New Roman" w:eastAsia="Calibri" w:hAnsi="Times New Roman" w:cs="Times New Roman"/>
          <w:i/>
          <w:sz w:val="24"/>
          <w:szCs w:val="24"/>
        </w:rPr>
        <w:t>et al</w:t>
      </w:r>
      <w:r>
        <w:rPr>
          <w:rFonts w:ascii="Times New Roman" w:eastAsia="Calibri" w:hAnsi="Times New Roman" w:cs="Times New Roman"/>
          <w:sz w:val="24"/>
          <w:szCs w:val="24"/>
        </w:rPr>
        <w:t>. (1993) estimated the current interpretation to be 75% correct and this work has also shown that there is n</w:t>
      </w:r>
      <w:r>
        <w:rPr>
          <w:rFonts w:ascii="Times New Roman" w:eastAsia="Calibri" w:hAnsi="Times New Roman" w:cs="Times New Roman"/>
          <w:sz w:val="24"/>
          <w:szCs w:val="24"/>
        </w:rPr>
        <w:t xml:space="preserve">o straightforward interpretation based on faunal assemblages with the mixture of divergent ecological conditions markers. According to Jorissen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(2007), paleoceanographic reconstructions in geologic records are not always uniform but time averaged. F</w:t>
      </w:r>
      <w:r>
        <w:rPr>
          <w:rFonts w:ascii="Times New Roman" w:eastAsia="Calibri" w:hAnsi="Times New Roman" w:cs="Times New Roman"/>
          <w:sz w:val="24"/>
          <w:szCs w:val="24"/>
        </w:rPr>
        <w:t>auna accumulation in sediment will contain a mixture of all different fauna that lived in the location over several decennia assuming there was no addition or loss of test due to basinal processes and lateral transport when these sediments are sampled sedi</w:t>
      </w:r>
      <w:r>
        <w:rPr>
          <w:rFonts w:ascii="Times New Roman" w:eastAsia="Calibri" w:hAnsi="Times New Roman" w:cs="Times New Roman"/>
          <w:sz w:val="24"/>
          <w:szCs w:val="24"/>
        </w:rPr>
        <w:t>ment cores may contain fauna from the period of seasonal blooms and period of severe ecological stress.  A similar scenario occurs in terms of oxygen concentration, if ecological conditions were stable during the period under consideration, the composition</w:t>
      </w:r>
      <w:r>
        <w:rPr>
          <w:rFonts w:ascii="Times New Roman" w:eastAsia="Calibri" w:hAnsi="Times New Roman" w:cs="Times New Roman"/>
          <w:sz w:val="24"/>
          <w:szCs w:val="24"/>
        </w:rPr>
        <w:t xml:space="preserve"> of the fauna might accurately record the concentration of oxygen in the bottom water. Nevertheless, bottom water oxygen concentration (and oxygen penetration depth into the sediment) may in real situation experience significant seasonal variability, for i</w:t>
      </w:r>
      <w:r>
        <w:rPr>
          <w:rFonts w:ascii="Times New Roman" w:eastAsia="Calibri" w:hAnsi="Times New Roman" w:cs="Times New Roman"/>
          <w:sz w:val="24"/>
          <w:szCs w:val="24"/>
        </w:rPr>
        <w:t xml:space="preserve">nstance when strong water column stratification, or pulsed phytodetritus deposits, cause seasonal hypoxia/anoxia (Jorissen </w:t>
      </w:r>
      <w:r>
        <w:rPr>
          <w:rFonts w:ascii="Times New Roman" w:eastAsia="Calibri" w:hAnsi="Times New Roman" w:cs="Times New Roman"/>
          <w:i/>
          <w:sz w:val="24"/>
          <w:szCs w:val="24"/>
        </w:rPr>
        <w:t>et al</w:t>
      </w:r>
      <w:r>
        <w:rPr>
          <w:rFonts w:ascii="Times New Roman" w:eastAsia="Calibri" w:hAnsi="Times New Roman" w:cs="Times New Roman"/>
          <w:sz w:val="24"/>
          <w:szCs w:val="24"/>
        </w:rPr>
        <w:t>., 2007). Such events may be annual, but can also be highly episodic, occurring once every 10 years, or even less often. In such</w:t>
      </w:r>
      <w:r>
        <w:rPr>
          <w:rFonts w:ascii="Times New Roman" w:eastAsia="Calibri" w:hAnsi="Times New Roman" w:cs="Times New Roman"/>
          <w:sz w:val="24"/>
          <w:szCs w:val="24"/>
        </w:rPr>
        <w:t xml:space="preserve"> cases, it will be extremely difficult (if not impossible) to extract the precise oxygenation history from the time-averaged faunas. More so, in cases when anoxic conditions persisted with low fauna occurrence if this was to be interrupted by short periods</w:t>
      </w:r>
      <w:r>
        <w:rPr>
          <w:rFonts w:ascii="Times New Roman" w:eastAsia="Calibri" w:hAnsi="Times New Roman" w:cs="Times New Roman"/>
          <w:sz w:val="24"/>
          <w:szCs w:val="24"/>
        </w:rPr>
        <w:t xml:space="preserve"> with oxic bottom waters characterised by rich and high oxygen content faunas.</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Using benthic foraminifera as oxygen index may mix up the average long-term oxygen concentration in the environment. In other settings the duration and severity of the periodica</w:t>
      </w:r>
      <w:r>
        <w:rPr>
          <w:rFonts w:ascii="Times New Roman" w:eastAsia="Calibri" w:hAnsi="Times New Roman" w:cs="Times New Roman"/>
          <w:sz w:val="24"/>
          <w:szCs w:val="24"/>
        </w:rPr>
        <w:t>l hypoxia/anoxia may easily be overestimated, for instance during oligotrophic, well-oxygenated ecosystems are affected by short-term anoxia leading to the explosive development of a few low-oxygen tolerant taxa. The minor events recorded in our fauna dist</w:t>
      </w:r>
      <w:r>
        <w:rPr>
          <w:rFonts w:ascii="Times New Roman" w:eastAsia="Calibri" w:hAnsi="Times New Roman" w:cs="Times New Roman"/>
          <w:sz w:val="24"/>
          <w:szCs w:val="24"/>
        </w:rPr>
        <w:t>ribution could be linked to the seasonal variation in phytodetrital input and oxygen concentration.</w:t>
      </w:r>
    </w:p>
    <w:p w:rsidR="0062109E" w:rsidRDefault="00CF5136">
      <w:pPr>
        <w:pStyle w:val="Heading2"/>
      </w:pPr>
      <w:r>
        <w:t xml:space="preserve">4.3.3 Trait indices in ecological function and community interaction in the  Seafloor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Functional diversity (i.e. a representation of a range of biological </w:t>
      </w:r>
      <w:r>
        <w:rPr>
          <w:rFonts w:ascii="Times New Roman" w:eastAsia="Calibri" w:hAnsi="Times New Roman" w:cs="Times New Roman"/>
          <w:sz w:val="24"/>
          <w:szCs w:val="24"/>
        </w:rPr>
        <w:t xml:space="preserve">traits and so functions) is a crucial attribute of a community as it measures the role that each organism contributes to ecosystem functioning. </w:t>
      </w:r>
      <w:r>
        <w:rPr>
          <w:rFonts w:ascii="Times New Roman" w:eastAsia="Calibri" w:hAnsi="Times New Roman" w:cs="Times New Roman"/>
          <w:sz w:val="24"/>
          <w:szCs w:val="24"/>
        </w:rPr>
        <w:t>On this note we link the biological traits of foraminifera to the ecological changes during the PETM and believe</w:t>
      </w:r>
      <w:r>
        <w:rPr>
          <w:rFonts w:ascii="Times New Roman" w:eastAsia="Calibri" w:hAnsi="Times New Roman" w:cs="Times New Roman"/>
          <w:sz w:val="24"/>
          <w:szCs w:val="24"/>
        </w:rPr>
        <w:t xml:space="preserve"> that t</w:t>
      </w:r>
      <w:r>
        <w:rPr>
          <w:rFonts w:ascii="Times New Roman" w:eastAsia="Calibri" w:hAnsi="Times New Roman" w:cs="Times New Roman"/>
          <w:sz w:val="24"/>
          <w:szCs w:val="24"/>
        </w:rPr>
        <w:t xml:space="preserve">he higher abundance of hyaline calcite tests in benthic foraminiferal trait during the pre-CIE when compared to the CIE and recovery (Figure </w:t>
      </w:r>
      <w:r>
        <w:rPr>
          <w:rFonts w:ascii="Times New Roman" w:eastAsia="Calibri" w:hAnsi="Times New Roman" w:cs="Times New Roman"/>
          <w:sz w:val="24"/>
          <w:szCs w:val="24"/>
        </w:rPr>
        <w:t>9</w:t>
      </w:r>
      <w:r>
        <w:rPr>
          <w:rFonts w:ascii="Times New Roman" w:eastAsia="Calibri" w:hAnsi="Times New Roman" w:cs="Times New Roman"/>
          <w:sz w:val="24"/>
          <w:szCs w:val="24"/>
        </w:rPr>
        <w:t xml:space="preserve">) suggest that the carbonate ion concentration in seawater and carbonate deposition in ocean floor did not </w:t>
      </w:r>
      <w:r>
        <w:rPr>
          <w:rFonts w:ascii="Times New Roman" w:eastAsia="Calibri" w:hAnsi="Times New Roman" w:cs="Times New Roman"/>
          <w:sz w:val="24"/>
          <w:szCs w:val="24"/>
        </w:rPr>
        <w:t xml:space="preserve">recover after the PETM at the Walvis Ridge. A similar circumstance has been documented in other PETM section such as the Shatsky Rise, Alamedilla and Bass River (Alegret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2009; Petrizzo, 2007; Aze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2014b; Takeda and Kaiho, 2007; Stassen </w:t>
      </w:r>
      <w:r>
        <w:rPr>
          <w:rFonts w:ascii="Times New Roman" w:eastAsia="Calibri" w:hAnsi="Times New Roman" w:cs="Times New Roman"/>
          <w:i/>
          <w:sz w:val="24"/>
          <w:szCs w:val="24"/>
        </w:rPr>
        <w:t>et al</w:t>
      </w:r>
      <w:r>
        <w:rPr>
          <w:rFonts w:ascii="Times New Roman" w:eastAsia="Calibri" w:hAnsi="Times New Roman" w:cs="Times New Roman"/>
          <w:sz w:val="24"/>
          <w:szCs w:val="24"/>
        </w:rPr>
        <w:t>., 2015). The increase in a porcelaneous trait in the benthic ecosystem during the CIE and the recovery raises the question of the solubility high magnesium calcite tests during ocean acidification. Previous studies argued that it goes into solution before</w:t>
      </w:r>
      <w:r>
        <w:rPr>
          <w:rFonts w:ascii="Times New Roman" w:eastAsia="Calibri" w:hAnsi="Times New Roman" w:cs="Times New Roman"/>
          <w:sz w:val="24"/>
          <w:szCs w:val="24"/>
        </w:rPr>
        <w:t xml:space="preserve"> the low Mg-Ca hyaline calcite but the increase in </w:t>
      </w:r>
      <w:r>
        <w:rPr>
          <w:rFonts w:ascii="Times New Roman" w:eastAsia="Calibri" w:hAnsi="Times New Roman" w:cs="Times New Roman"/>
          <w:i/>
          <w:sz w:val="24"/>
          <w:szCs w:val="24"/>
        </w:rPr>
        <w:t xml:space="preserve">Lenticulina </w:t>
      </w:r>
      <w:r>
        <w:rPr>
          <w:rFonts w:ascii="Times New Roman" w:eastAsia="Calibri" w:hAnsi="Times New Roman" w:cs="Times New Roman"/>
          <w:sz w:val="24"/>
          <w:szCs w:val="24"/>
        </w:rPr>
        <w:t xml:space="preserve">spp and </w:t>
      </w:r>
      <w:r>
        <w:rPr>
          <w:rFonts w:ascii="Times New Roman" w:eastAsia="Calibri" w:hAnsi="Times New Roman" w:cs="Times New Roman"/>
          <w:i/>
          <w:sz w:val="24"/>
          <w:szCs w:val="24"/>
        </w:rPr>
        <w:t xml:space="preserve">Praebuilima </w:t>
      </w:r>
      <w:r>
        <w:rPr>
          <w:rFonts w:ascii="Times New Roman" w:eastAsia="Calibri" w:hAnsi="Times New Roman" w:cs="Times New Roman"/>
          <w:sz w:val="24"/>
          <w:szCs w:val="24"/>
        </w:rPr>
        <w:t>spp (presumed to be porcelaneous) during the CIE suggest that foraminiferal calcification during ocean acidification may be different from what is currently known.</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Also, in </w:t>
      </w:r>
      <w:r>
        <w:rPr>
          <w:rFonts w:ascii="Times New Roman" w:eastAsia="Calibri" w:hAnsi="Times New Roman" w:cs="Times New Roman"/>
          <w:sz w:val="24"/>
          <w:szCs w:val="24"/>
        </w:rPr>
        <w:t xml:space="preserve">benthic foraminiferal traits, there was increase in spiral and trochospiral test during the CIE. These traits are linked to cosmopolitan taxa such </w:t>
      </w:r>
      <w:r>
        <w:rPr>
          <w:rFonts w:ascii="Times New Roman" w:eastAsia="Calibri" w:hAnsi="Times New Roman" w:cs="Times New Roman"/>
          <w:i/>
          <w:sz w:val="24"/>
          <w:szCs w:val="24"/>
        </w:rPr>
        <w:t>A. quadrata, N. trumpyi</w:t>
      </w:r>
      <w:r>
        <w:rPr>
          <w:rFonts w:ascii="Times New Roman" w:eastAsia="Calibri" w:hAnsi="Times New Roman" w:cs="Times New Roman"/>
          <w:sz w:val="24"/>
          <w:szCs w:val="24"/>
        </w:rPr>
        <w:t xml:space="preserve">, and </w:t>
      </w:r>
      <w:r>
        <w:rPr>
          <w:rFonts w:ascii="Times New Roman" w:eastAsia="Calibri" w:hAnsi="Times New Roman" w:cs="Times New Roman"/>
          <w:i/>
          <w:sz w:val="24"/>
          <w:szCs w:val="24"/>
        </w:rPr>
        <w:t xml:space="preserve">Q. profunda, O. umbonatus </w:t>
      </w:r>
      <w:r>
        <w:rPr>
          <w:rFonts w:ascii="Times New Roman" w:eastAsia="Calibri" w:hAnsi="Times New Roman" w:cs="Times New Roman"/>
          <w:sz w:val="24"/>
          <w:szCs w:val="24"/>
        </w:rPr>
        <w:t xml:space="preserve">and </w:t>
      </w:r>
      <w:r>
        <w:rPr>
          <w:rFonts w:ascii="Times New Roman" w:eastAsia="Calibri" w:hAnsi="Times New Roman" w:cs="Times New Roman"/>
          <w:i/>
          <w:sz w:val="24"/>
          <w:szCs w:val="24"/>
        </w:rPr>
        <w:t xml:space="preserve">Cibicidoides spp. </w:t>
      </w:r>
      <w:r>
        <w:rPr>
          <w:rFonts w:ascii="Times New Roman" w:eastAsia="Calibri" w:hAnsi="Times New Roman" w:cs="Times New Roman"/>
          <w:sz w:val="24"/>
          <w:szCs w:val="24"/>
        </w:rPr>
        <w:t>They occur in wide range of environments and may be floaters, epifaunal to deep infaunal. The relative increases in these traits during the CIE could be interpreted as the increase in opportunist taxa during the PETM (See Supplementary data). In the modern</w:t>
      </w:r>
      <w:r>
        <w:rPr>
          <w:rFonts w:ascii="Times New Roman" w:eastAsia="Calibri" w:hAnsi="Times New Roman" w:cs="Times New Roman"/>
          <w:sz w:val="24"/>
          <w:szCs w:val="24"/>
        </w:rPr>
        <w:t xml:space="preserve"> ocean, there have been wide reports of an increase in opportunistic taxa during environmental disturbances (Culver and Lipps, 2003; Bremner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2006; Frid and Caswell, 2016). Trochospiral coiling is also argued to be advantageous for floating and atta</w:t>
      </w:r>
      <w:r>
        <w:rPr>
          <w:rFonts w:ascii="Times New Roman" w:eastAsia="Calibri" w:hAnsi="Times New Roman" w:cs="Times New Roman"/>
          <w:sz w:val="24"/>
          <w:szCs w:val="24"/>
        </w:rPr>
        <w:t xml:space="preserve">chment at the sediment-water interface during the times of disturbance in the bottom water (Boltovskoy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1991; D’haenens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2012).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Significant reduction in the benthic foraminiferal wall structure was noticed during the CIE with increase in tax</w:t>
      </w:r>
      <w:r>
        <w:rPr>
          <w:rFonts w:ascii="Times New Roman" w:eastAsia="Calibri" w:hAnsi="Times New Roman" w:cs="Times New Roman"/>
          <w:sz w:val="24"/>
          <w:szCs w:val="24"/>
        </w:rPr>
        <w:t xml:space="preserve">a with no ornament, no perforation and no apertural accessory. Reduction in ornamentation in foraminifera have been reported previously in modern ocean experiencing extreme ecological condition (Dubicka </w:t>
      </w:r>
      <w:r>
        <w:rPr>
          <w:rFonts w:ascii="Times New Roman" w:eastAsia="Calibri" w:hAnsi="Times New Roman" w:cs="Times New Roman"/>
          <w:i/>
          <w:sz w:val="24"/>
          <w:szCs w:val="24"/>
        </w:rPr>
        <w:t>et al</w:t>
      </w:r>
      <w:r>
        <w:rPr>
          <w:rFonts w:ascii="Times New Roman" w:eastAsia="Calibri" w:hAnsi="Times New Roman" w:cs="Times New Roman"/>
          <w:sz w:val="24"/>
          <w:szCs w:val="24"/>
        </w:rPr>
        <w:t>., 2015) and we believe that either it is the ad</w:t>
      </w:r>
      <w:r>
        <w:rPr>
          <w:rFonts w:ascii="Times New Roman" w:eastAsia="Calibri" w:hAnsi="Times New Roman" w:cs="Times New Roman"/>
          <w:sz w:val="24"/>
          <w:szCs w:val="24"/>
        </w:rPr>
        <w:t>aptive strategy adopted by benthic foraminifera or that taxa with complex wall structure are more vulnerable during extreme environmental events than those with no ornamentation in the test. No perforation recorded the highest occurrence during the CIE sug</w:t>
      </w:r>
      <w:r>
        <w:rPr>
          <w:rFonts w:ascii="Times New Roman" w:eastAsia="Calibri" w:hAnsi="Times New Roman" w:cs="Times New Roman"/>
          <w:sz w:val="24"/>
          <w:szCs w:val="24"/>
        </w:rPr>
        <w:t>gesting that ocean acidification and ecological disturbance may lead to loss of perforation in foraminifera. More so, benthic foraminifera tends to reduce perforation during the period of decrease oxygen concentration to conserve gas exchange during metabo</w:t>
      </w:r>
      <w:r>
        <w:rPr>
          <w:rFonts w:ascii="Times New Roman" w:eastAsia="Calibri" w:hAnsi="Times New Roman" w:cs="Times New Roman"/>
          <w:sz w:val="24"/>
          <w:szCs w:val="24"/>
        </w:rPr>
        <w:t xml:space="preserve">lism and reduce the amount of oxygen required by the cells.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Our data also show that the infauna habitat, sessile and omnivorous feeding were the preferred way of living among the benthic foraminifera during the PETM (Figure </w:t>
      </w:r>
      <w:r>
        <w:rPr>
          <w:rFonts w:ascii="Times New Roman" w:eastAsia="Calibri" w:hAnsi="Times New Roman" w:cs="Times New Roman"/>
          <w:sz w:val="24"/>
          <w:szCs w:val="24"/>
        </w:rPr>
        <w:t>9</w:t>
      </w:r>
      <w:r>
        <w:rPr>
          <w:rFonts w:ascii="Times New Roman" w:eastAsia="Calibri" w:hAnsi="Times New Roman" w:cs="Times New Roman"/>
          <w:sz w:val="24"/>
          <w:szCs w:val="24"/>
        </w:rPr>
        <w:t>). Shallow epifauna recorded t</w:t>
      </w:r>
      <w:r>
        <w:rPr>
          <w:rFonts w:ascii="Times New Roman" w:eastAsia="Calibri" w:hAnsi="Times New Roman" w:cs="Times New Roman"/>
          <w:sz w:val="24"/>
          <w:szCs w:val="24"/>
        </w:rPr>
        <w:t xml:space="preserve">he lowest occurrence during the CIE while the abundance of deep infauna increased after the warming. The decrease in the occurrence of the shallow infaunal trait could be linked to the ecological stress created by the corrosive water in the upper sediment </w:t>
      </w:r>
      <w:r>
        <w:rPr>
          <w:rFonts w:ascii="Times New Roman" w:eastAsia="Calibri" w:hAnsi="Times New Roman" w:cs="Times New Roman"/>
          <w:sz w:val="24"/>
          <w:szCs w:val="24"/>
        </w:rPr>
        <w:t xml:space="preserve">layer. While the increase in the abundance of the deep infauna during the recovery could be interpreted as a reflection of more oxygen reaching the deeper layer of the bottom sediment.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relatively low abundance of taxa with terminal aperture is interpr</w:t>
      </w:r>
      <w:r>
        <w:rPr>
          <w:rFonts w:ascii="Times New Roman" w:eastAsia="Calibri" w:hAnsi="Times New Roman" w:cs="Times New Roman"/>
          <w:sz w:val="24"/>
          <w:szCs w:val="24"/>
        </w:rPr>
        <w:t>eted as evidence of nutrient scarcity in the mesopelagic zone during the PETM. The increased temperature during the period must have encouraged thorough consumption of all the nutrients in the upper water column allowing very poor nutrient supply to the in</w:t>
      </w:r>
      <w:r>
        <w:rPr>
          <w:rFonts w:ascii="Times New Roman" w:eastAsia="Calibri" w:hAnsi="Times New Roman" w:cs="Times New Roman"/>
          <w:sz w:val="24"/>
          <w:szCs w:val="24"/>
        </w:rPr>
        <w:t xml:space="preserve">termediate zone where most taxa with terminal apertures reside. As the temperature dropped and surface productivity increased resulting in a more efficient biological pump and increase of nutrient supply to the mesopelagic zone. </w:t>
      </w:r>
      <w:r>
        <w:rPr>
          <w:rFonts w:ascii="Times New Roman" w:eastAsia="Calibri" w:hAnsi="Times New Roman" w:cs="Times New Roman"/>
          <w:sz w:val="24"/>
          <w:szCs w:val="24"/>
        </w:rPr>
        <w:t>T</w:t>
      </w:r>
      <w:r>
        <w:rPr>
          <w:rFonts w:ascii="Times New Roman" w:eastAsia="Calibri" w:hAnsi="Times New Roman" w:cs="Times New Roman"/>
          <w:sz w:val="24"/>
          <w:szCs w:val="24"/>
        </w:rPr>
        <w:t>erminal aperture trait occ</w:t>
      </w:r>
      <w:r>
        <w:rPr>
          <w:rFonts w:ascii="Times New Roman" w:eastAsia="Calibri" w:hAnsi="Times New Roman" w:cs="Times New Roman"/>
          <w:sz w:val="24"/>
          <w:szCs w:val="24"/>
        </w:rPr>
        <w:t xml:space="preserve">urrence in the benthic assemblage indicates relatively low abundance before and during the CIE but significant increase during the recovery. In the benthic community, </w:t>
      </w:r>
      <w:r>
        <w:rPr>
          <w:rFonts w:ascii="Times New Roman" w:eastAsia="Calibri" w:hAnsi="Times New Roman" w:cs="Times New Roman"/>
          <w:sz w:val="24"/>
          <w:szCs w:val="24"/>
        </w:rPr>
        <w:t>taxa with</w:t>
      </w:r>
      <w:r>
        <w:rPr>
          <w:rFonts w:ascii="Times New Roman" w:eastAsia="Calibri" w:hAnsi="Times New Roman" w:cs="Times New Roman"/>
          <w:sz w:val="24"/>
          <w:szCs w:val="24"/>
        </w:rPr>
        <w:t xml:space="preserve"> terminal</w:t>
      </w:r>
      <w:r>
        <w:rPr>
          <w:rFonts w:ascii="Times New Roman" w:eastAsia="Calibri" w:hAnsi="Times New Roman" w:cs="Times New Roman"/>
          <w:sz w:val="24"/>
          <w:szCs w:val="24"/>
        </w:rPr>
        <w:t xml:space="preserve"> appertures</w:t>
      </w:r>
      <w:r>
        <w:rPr>
          <w:rFonts w:ascii="Times New Roman" w:eastAsia="Calibri" w:hAnsi="Times New Roman" w:cs="Times New Roman"/>
          <w:sz w:val="24"/>
          <w:szCs w:val="24"/>
        </w:rPr>
        <w:t xml:space="preserve"> is an indication of productivity changes. The moderate abun</w:t>
      </w:r>
      <w:r>
        <w:rPr>
          <w:rFonts w:ascii="Times New Roman" w:eastAsia="Calibri" w:hAnsi="Times New Roman" w:cs="Times New Roman"/>
          <w:sz w:val="24"/>
          <w:szCs w:val="24"/>
        </w:rPr>
        <w:t>dance of the trait during the pre-CIE and CIE period suggest that not much change occurs in seafloor productivity during those periods. But the increase in the abundance of terminal apertures at the recovery suggests an increase in export production and re</w:t>
      </w:r>
      <w:r>
        <w:rPr>
          <w:rFonts w:ascii="Times New Roman" w:eastAsia="Calibri" w:hAnsi="Times New Roman" w:cs="Times New Roman"/>
          <w:sz w:val="24"/>
          <w:szCs w:val="24"/>
        </w:rPr>
        <w:t xml:space="preserve">mineralisation after the PETM.  This is because benthic species such as </w:t>
      </w:r>
      <w:r>
        <w:rPr>
          <w:rFonts w:ascii="Times New Roman" w:eastAsia="Calibri" w:hAnsi="Times New Roman" w:cs="Times New Roman"/>
          <w:i/>
          <w:sz w:val="24"/>
          <w:szCs w:val="24"/>
        </w:rPr>
        <w:t xml:space="preserve">Bulimina, Stilostomellids </w:t>
      </w:r>
      <w:r>
        <w:rPr>
          <w:rFonts w:ascii="Times New Roman" w:eastAsia="Calibri" w:hAnsi="Times New Roman" w:cs="Times New Roman"/>
          <w:sz w:val="24"/>
          <w:szCs w:val="24"/>
        </w:rPr>
        <w:t>and</w:t>
      </w:r>
      <w:r>
        <w:rPr>
          <w:rFonts w:ascii="Times New Roman" w:eastAsia="Calibri" w:hAnsi="Times New Roman" w:cs="Times New Roman"/>
          <w:i/>
          <w:sz w:val="24"/>
          <w:szCs w:val="24"/>
        </w:rPr>
        <w:t xml:space="preserve"> Siphonodosaria</w:t>
      </w:r>
      <w:r>
        <w:rPr>
          <w:rFonts w:ascii="Times New Roman" w:eastAsia="Calibri" w:hAnsi="Times New Roman" w:cs="Times New Roman"/>
          <w:sz w:val="24"/>
          <w:szCs w:val="24"/>
        </w:rPr>
        <w:t xml:space="preserve"> are characterised by terminal apertures and the increase in their abundance reflect an increase in the rain of particulate organic matter t</w:t>
      </w:r>
      <w:r>
        <w:rPr>
          <w:rFonts w:ascii="Times New Roman" w:eastAsia="Calibri" w:hAnsi="Times New Roman" w:cs="Times New Roman"/>
          <w:sz w:val="24"/>
          <w:szCs w:val="24"/>
        </w:rPr>
        <w:t xml:space="preserve">o the ocean (Thomas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2018).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There is a</w:t>
      </w:r>
      <w:r>
        <w:rPr>
          <w:rFonts w:ascii="Times New Roman" w:eastAsia="Calibri" w:hAnsi="Times New Roman" w:cs="Times New Roman"/>
          <w:sz w:val="24"/>
          <w:szCs w:val="24"/>
        </w:rPr>
        <w:t>n</w:t>
      </w:r>
      <w:r>
        <w:rPr>
          <w:rFonts w:ascii="Times New Roman" w:eastAsia="Calibri" w:hAnsi="Times New Roman" w:cs="Times New Roman"/>
          <w:sz w:val="24"/>
          <w:szCs w:val="24"/>
        </w:rPr>
        <w:t xml:space="preserve">  increased in relative abundance</w:t>
      </w:r>
      <w:r>
        <w:rPr>
          <w:rFonts w:ascii="Times New Roman" w:eastAsia="Calibri" w:hAnsi="Times New Roman" w:cs="Times New Roman"/>
          <w:sz w:val="24"/>
          <w:szCs w:val="24"/>
        </w:rPr>
        <w:t xml:space="preserve"> of </w:t>
      </w:r>
      <w:r>
        <w:rPr>
          <w:rFonts w:ascii="Times New Roman" w:eastAsia="Calibri" w:hAnsi="Times New Roman" w:cs="Times New Roman"/>
          <w:sz w:val="24"/>
          <w:szCs w:val="24"/>
        </w:rPr>
        <w:t xml:space="preserve"> umbilical – extra umbilical apertures during the CIE. Linking traits with ecological change is not a straightforward task and more work is recommended. Nevertheless, becau</w:t>
      </w:r>
      <w:r>
        <w:rPr>
          <w:rFonts w:ascii="Times New Roman" w:eastAsia="Calibri" w:hAnsi="Times New Roman" w:cs="Times New Roman"/>
          <w:sz w:val="24"/>
          <w:szCs w:val="24"/>
        </w:rPr>
        <w:t xml:space="preserve">se extra umbilical aperture cut across both sides of the trochospiral test it may be a good adaptation for increased metabolism as a result enhanced food consumption and excretion. Taxa with these apertures are mostly opportunistic group such as </w:t>
      </w:r>
      <w:r>
        <w:rPr>
          <w:rFonts w:ascii="Times New Roman" w:eastAsia="Calibri" w:hAnsi="Times New Roman" w:cs="Times New Roman"/>
          <w:i/>
          <w:sz w:val="24"/>
          <w:szCs w:val="24"/>
        </w:rPr>
        <w:t>Acarinina,</w:t>
      </w:r>
      <w:r>
        <w:rPr>
          <w:rFonts w:ascii="Times New Roman" w:eastAsia="Calibri" w:hAnsi="Times New Roman" w:cs="Times New Roman"/>
          <w:i/>
          <w:sz w:val="24"/>
          <w:szCs w:val="24"/>
        </w:rPr>
        <w:t xml:space="preserve"> Abyssamina</w:t>
      </w:r>
      <w:r>
        <w:rPr>
          <w:rFonts w:ascii="Times New Roman" w:eastAsia="Calibri" w:hAnsi="Times New Roman" w:cs="Times New Roman"/>
          <w:sz w:val="24"/>
          <w:szCs w:val="24"/>
        </w:rPr>
        <w:t>,</w:t>
      </w:r>
      <w:r>
        <w:rPr>
          <w:rFonts w:ascii="Times New Roman" w:eastAsia="Calibri" w:hAnsi="Times New Roman" w:cs="Times New Roman"/>
          <w:i/>
          <w:sz w:val="24"/>
          <w:szCs w:val="24"/>
        </w:rPr>
        <w:t xml:space="preserve"> Oridosalis</w:t>
      </w:r>
      <w:r>
        <w:rPr>
          <w:rFonts w:ascii="Times New Roman" w:eastAsia="Calibri" w:hAnsi="Times New Roman" w:cs="Times New Roman"/>
          <w:sz w:val="24"/>
          <w:szCs w:val="24"/>
        </w:rPr>
        <w:t xml:space="preserve"> and their abundance was reduced during the recovery (Figure </w:t>
      </w:r>
      <w:r>
        <w:rPr>
          <w:rFonts w:ascii="Times New Roman" w:eastAsia="Calibri" w:hAnsi="Times New Roman" w:cs="Times New Roman"/>
          <w:sz w:val="24"/>
          <w:szCs w:val="24"/>
        </w:rPr>
        <w:t>9</w:t>
      </w:r>
      <w:r>
        <w:rPr>
          <w:rFonts w:ascii="Times New Roman" w:eastAsia="Calibri" w:hAnsi="Times New Roman" w:cs="Times New Roman"/>
          <w:sz w:val="24"/>
          <w:szCs w:val="24"/>
        </w:rPr>
        <w:t xml:space="preserve">; Supplementary data).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results from our biological trait analysis have shown some evidence of ecological stability through the way each sample ordinates within and ac</w:t>
      </w:r>
      <w:r>
        <w:rPr>
          <w:rFonts w:ascii="Times New Roman" w:eastAsia="Calibri" w:hAnsi="Times New Roman" w:cs="Times New Roman"/>
          <w:sz w:val="24"/>
          <w:szCs w:val="24"/>
        </w:rPr>
        <w:t>ross the CIE interval. The closeness or disparity between each sample in the nmMDS plot demonstrates how each trait could work together to provide ecological functioning. The tightly clustered samples indicate trait working in harmony to provide the need a</w:t>
      </w:r>
      <w:r>
        <w:rPr>
          <w:rFonts w:ascii="Times New Roman" w:eastAsia="Calibri" w:hAnsi="Times New Roman" w:cs="Times New Roman"/>
          <w:sz w:val="24"/>
          <w:szCs w:val="24"/>
        </w:rPr>
        <w:t>nd stability required for the optimal function of the ecosystem while sparsely diverse sample point to the magnitude of perturbation and hostility experienced by the fauna.  Benthic trait nmMDS showed that seafloor experienced ecological disturbance even b</w:t>
      </w:r>
      <w:r>
        <w:rPr>
          <w:rFonts w:ascii="Times New Roman" w:eastAsia="Calibri" w:hAnsi="Times New Roman" w:cs="Times New Roman"/>
          <w:sz w:val="24"/>
          <w:szCs w:val="24"/>
        </w:rPr>
        <w:t>efore onset carbon isotopic excursion and that the ecological turbulence persisted till the early part of the CaCO</w:t>
      </w:r>
      <w:r>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 xml:space="preserve"> recovery. Only the uppermost part of the recovery interval showed some level of coherence. We think that the release of methane clathrate wh</w:t>
      </w:r>
      <w:r>
        <w:rPr>
          <w:rFonts w:ascii="Times New Roman" w:eastAsia="Calibri" w:hAnsi="Times New Roman" w:cs="Times New Roman"/>
          <w:sz w:val="24"/>
          <w:szCs w:val="24"/>
        </w:rPr>
        <w:t xml:space="preserve">ich triggered the PETM started in the late Palaeocene and initiated benthic ecological disturbance which did not recover till the mid-early Eocene. The release of methane hydrate was hypothesised to have originated from the Atlantic Ocean before spreading </w:t>
      </w:r>
      <w:r>
        <w:rPr>
          <w:rFonts w:ascii="Times New Roman" w:eastAsia="Calibri" w:hAnsi="Times New Roman" w:cs="Times New Roman"/>
          <w:sz w:val="24"/>
          <w:szCs w:val="24"/>
        </w:rPr>
        <w:t xml:space="preserve">to the other regions (Zachos </w:t>
      </w:r>
      <w:r>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2005) and the disorderliness in benthic trait composition seems to support the idea. </w:t>
      </w:r>
    </w:p>
    <w:p w:rsidR="0062109E" w:rsidRDefault="00CF5136">
      <w:pPr>
        <w:pStyle w:val="Heading1"/>
        <w:rPr>
          <w:rFonts w:eastAsia="Calibri"/>
        </w:rPr>
      </w:pPr>
      <w:r>
        <w:rPr>
          <w:rFonts w:eastAsia="Calibri"/>
        </w:rPr>
        <w:t>4.4 Conclusions</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During the PETM at the Walvis Ridge, considerable faunal turnover of the foraminiferal assemblage occurred that resul</w:t>
      </w:r>
      <w:r>
        <w:rPr>
          <w:rFonts w:ascii="Times New Roman" w:eastAsia="Calibri" w:hAnsi="Times New Roman" w:cs="Times New Roman"/>
          <w:sz w:val="24"/>
          <w:szCs w:val="24"/>
        </w:rPr>
        <w:t>ted in the mortality and extinction of benthic fo</w:t>
      </w:r>
      <w:r>
        <w:rPr>
          <w:rFonts w:ascii="Times New Roman" w:eastAsia="Calibri" w:hAnsi="Times New Roman" w:cs="Times New Roman"/>
          <w:sz w:val="24"/>
          <w:szCs w:val="24"/>
        </w:rPr>
        <w:t>raminifera</w:t>
      </w:r>
      <w:r>
        <w:rPr>
          <w:rFonts w:ascii="Times New Roman" w:eastAsia="Calibri" w:hAnsi="Times New Roman" w:cs="Times New Roman"/>
          <w:sz w:val="24"/>
          <w:szCs w:val="24"/>
        </w:rPr>
        <w:t xml:space="preserve">. In general, cosmopolitan taxa dominated during the CIE indicating extreme ecological perturbation. Multivariate analyses of the assemblage composition demonstrated that the taxonomic composition </w:t>
      </w:r>
      <w:r>
        <w:rPr>
          <w:rFonts w:ascii="Times New Roman" w:eastAsia="Calibri" w:hAnsi="Times New Roman" w:cs="Times New Roman"/>
          <w:sz w:val="24"/>
          <w:szCs w:val="24"/>
        </w:rPr>
        <w:t>of the benthic assemblage was highly perturbed prior to the start of the CIE suggesting that there were environmental changes that impacted the benthos before the PETM sensu stricto. The greater disturbance of assemblages inhabiting the bottom waters sugge</w:t>
      </w:r>
      <w:r>
        <w:rPr>
          <w:rFonts w:ascii="Times New Roman" w:eastAsia="Calibri" w:hAnsi="Times New Roman" w:cs="Times New Roman"/>
          <w:sz w:val="24"/>
          <w:szCs w:val="24"/>
        </w:rPr>
        <w:t>sts that the source of the isotopically light carbon may have originated beneath sea floor causing benthic ecological disturbance and progressively reaching the surface of the ocean. Thus, supporting the methane hydrate dissociation and or subsea volcanism</w:t>
      </w:r>
      <w:r>
        <w:rPr>
          <w:rFonts w:ascii="Times New Roman" w:eastAsia="Calibri" w:hAnsi="Times New Roman" w:cs="Times New Roman"/>
          <w:sz w:val="24"/>
          <w:szCs w:val="24"/>
        </w:rPr>
        <w:t xml:space="preserve"> as the main cause of the PETM.</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high prevalence of heavily calcified benthic foraminifera during the late Palaeocene (e.g. </w:t>
      </w:r>
      <w:r>
        <w:rPr>
          <w:rFonts w:ascii="Times New Roman" w:eastAsia="Calibri" w:hAnsi="Times New Roman" w:cs="Times New Roman"/>
          <w:i/>
          <w:sz w:val="24"/>
          <w:szCs w:val="24"/>
        </w:rPr>
        <w:t>Gavelinella beccarriformis, Cibicidoides spp., Nonion havenense, Praebulimina Spp., Marsonella oxycona, Bolivina sp., Coryphostom</w:t>
      </w:r>
      <w:r>
        <w:rPr>
          <w:rFonts w:ascii="Times New Roman" w:eastAsia="Calibri" w:hAnsi="Times New Roman" w:cs="Times New Roman"/>
          <w:i/>
          <w:sz w:val="24"/>
          <w:szCs w:val="24"/>
        </w:rPr>
        <w:t xml:space="preserve">a midwayensis, Lenticulina Spp, Pleurostomella paleoceanica, Gyroidinoides globosa, Oridorsalis plummerae </w:t>
      </w:r>
      <w:r>
        <w:rPr>
          <w:rFonts w:ascii="Times New Roman" w:eastAsia="Calibri" w:hAnsi="Times New Roman" w:cs="Times New Roman"/>
          <w:sz w:val="24"/>
          <w:szCs w:val="24"/>
        </w:rPr>
        <w:t>and</w:t>
      </w:r>
      <w:r>
        <w:rPr>
          <w:rFonts w:ascii="Times New Roman" w:eastAsia="Calibri" w:hAnsi="Times New Roman" w:cs="Times New Roman"/>
          <w:i/>
          <w:sz w:val="24"/>
          <w:szCs w:val="24"/>
        </w:rPr>
        <w:t xml:space="preserve"> Anomalinoides praeacuta) </w:t>
      </w:r>
      <w:r>
        <w:rPr>
          <w:rFonts w:ascii="Times New Roman" w:eastAsia="Calibri" w:hAnsi="Times New Roman" w:cs="Times New Roman"/>
          <w:sz w:val="24"/>
          <w:szCs w:val="24"/>
        </w:rPr>
        <w:t xml:space="preserve">indicated conditions were eutrophic before the PETM. However, the presence of crisis taxa such as </w:t>
      </w:r>
      <w:r>
        <w:rPr>
          <w:rFonts w:ascii="Times New Roman" w:eastAsia="Calibri" w:hAnsi="Times New Roman" w:cs="Times New Roman"/>
          <w:i/>
          <w:sz w:val="24"/>
          <w:szCs w:val="24"/>
        </w:rPr>
        <w:t xml:space="preserve">Aragonina valescoensis, Osangularia spp. </w:t>
      </w:r>
      <w:r>
        <w:rPr>
          <w:rFonts w:ascii="Times New Roman" w:eastAsia="Calibri" w:hAnsi="Times New Roman" w:cs="Times New Roman"/>
          <w:sz w:val="24"/>
          <w:szCs w:val="24"/>
        </w:rPr>
        <w:t>and</w:t>
      </w:r>
      <w:r>
        <w:rPr>
          <w:rFonts w:ascii="Times New Roman" w:eastAsia="Calibri" w:hAnsi="Times New Roman" w:cs="Times New Roman"/>
          <w:i/>
          <w:sz w:val="24"/>
          <w:szCs w:val="24"/>
        </w:rPr>
        <w:t xml:space="preserve"> Spiroplectammina spp. </w:t>
      </w:r>
      <w:r>
        <w:rPr>
          <w:rFonts w:ascii="Times New Roman" w:eastAsia="Calibri" w:hAnsi="Times New Roman" w:cs="Times New Roman"/>
          <w:sz w:val="24"/>
          <w:szCs w:val="24"/>
        </w:rPr>
        <w:t xml:space="preserve">indicates environmental instability at the seafloor even before the PETM. There was a proliferation of opportunistic and ecological stressed fauna during the main CIE; these include </w:t>
      </w:r>
      <w:r>
        <w:rPr>
          <w:rFonts w:ascii="Times New Roman" w:eastAsia="Calibri" w:hAnsi="Times New Roman" w:cs="Times New Roman"/>
          <w:i/>
          <w:sz w:val="24"/>
          <w:szCs w:val="24"/>
        </w:rPr>
        <w:t>Aragoni</w:t>
      </w:r>
      <w:r>
        <w:rPr>
          <w:rFonts w:ascii="Times New Roman" w:eastAsia="Calibri" w:hAnsi="Times New Roman" w:cs="Times New Roman"/>
          <w:i/>
          <w:sz w:val="24"/>
          <w:szCs w:val="24"/>
        </w:rPr>
        <w:t xml:space="preserve">na aragonensis, Tappanina selmensis, Bulimina tuxpamensis, Nuttallides truempyi, Quadrimorphina profunda, Praebulimina reuss, Abyssamina quadrata, Oridorsalis umbonatus, Bulimina trihedral, Bulimina midwayensis, Abyssamina quadrata, </w:t>
      </w:r>
      <w:r>
        <w:rPr>
          <w:rFonts w:ascii="Times New Roman" w:eastAsia="Calibri" w:hAnsi="Times New Roman" w:cs="Times New Roman"/>
          <w:sz w:val="24"/>
          <w:szCs w:val="24"/>
        </w:rPr>
        <w:t xml:space="preserve">and </w:t>
      </w:r>
      <w:r>
        <w:rPr>
          <w:rFonts w:ascii="Times New Roman" w:eastAsia="Calibri" w:hAnsi="Times New Roman" w:cs="Times New Roman"/>
          <w:i/>
          <w:sz w:val="24"/>
          <w:szCs w:val="24"/>
        </w:rPr>
        <w:t>Praebulimina reuss.</w:t>
      </w:r>
      <w:r>
        <w:rPr>
          <w:rFonts w:ascii="Times New Roman" w:eastAsia="Calibri" w:hAnsi="Times New Roman" w:cs="Times New Roman"/>
          <w:i/>
          <w:sz w:val="24"/>
          <w:szCs w:val="24"/>
        </w:rPr>
        <w:t xml:space="preserve">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During the recovery, the assemblage was comprised of high proportions of heavily calcified epifauna and infaunal taxa (Table 3a – c). This suggests that near the seafloor was not entirely devoid of oxygen but was relatively stable with sufficient nutrien</w:t>
      </w:r>
      <w:r>
        <w:rPr>
          <w:rFonts w:ascii="Times New Roman" w:eastAsia="Calibri" w:hAnsi="Times New Roman" w:cs="Times New Roman"/>
          <w:sz w:val="24"/>
          <w:szCs w:val="24"/>
        </w:rPr>
        <w:t>t supply for epifaunal taxa with high oxygen and food requirements to thrive.  The biotic and trait records from our study suggest massive carbonate dissolution and relatively moderate oceanic productivity at the Walvis Ridge during the PETM. However, it i</w:t>
      </w:r>
      <w:r>
        <w:rPr>
          <w:rFonts w:ascii="Times New Roman" w:eastAsia="Calibri" w:hAnsi="Times New Roman" w:cs="Times New Roman"/>
          <w:sz w:val="24"/>
          <w:szCs w:val="24"/>
        </w:rPr>
        <w:t>s hard to interpret the amount of oxygen concentration probably because of the ridge topography with enhanced current activities including eddies and circular currents that prevail around the seamount and transport nutrient and oxygen from the surface to t</w:t>
      </w:r>
      <w:r>
        <w:rPr>
          <w:rFonts w:ascii="Times New Roman" w:eastAsia="Calibri" w:hAnsi="Times New Roman" w:cs="Times New Roman"/>
          <w:sz w:val="24"/>
          <w:szCs w:val="24"/>
        </w:rPr>
        <w:t>he seafloor (</w:t>
      </w:r>
      <w:r>
        <w:rPr>
          <w:rFonts w:ascii="Times New Roman" w:eastAsia="Calibri" w:hAnsi="Times New Roman" w:cs="Times New Roman"/>
          <w:sz w:val="24"/>
          <w:szCs w:val="24"/>
          <w:lang w:val="es-ES"/>
        </w:rPr>
        <w:t xml:space="preserve">Arreguín-Rodríguez </w:t>
      </w:r>
      <w:r>
        <w:rPr>
          <w:rFonts w:ascii="Times New Roman" w:eastAsia="Calibri" w:hAnsi="Times New Roman" w:cs="Times New Roman"/>
          <w:i/>
          <w:sz w:val="24"/>
          <w:szCs w:val="24"/>
          <w:lang w:val="es-ES"/>
        </w:rPr>
        <w:t>et al.,</w:t>
      </w:r>
      <w:r>
        <w:rPr>
          <w:rFonts w:ascii="Times New Roman" w:eastAsia="Calibri" w:hAnsi="Times New Roman" w:cs="Times New Roman"/>
          <w:sz w:val="24"/>
          <w:szCs w:val="24"/>
          <w:lang w:val="es-ES"/>
        </w:rPr>
        <w:t xml:space="preserve"> 2016</w:t>
      </w:r>
      <w:r>
        <w:rPr>
          <w:rFonts w:ascii="Times New Roman" w:eastAsia="Calibri" w:hAnsi="Times New Roman" w:cs="Times New Roman"/>
          <w:sz w:val="24"/>
          <w:szCs w:val="24"/>
        </w:rPr>
        <w:t xml:space="preserve"> ). This is also made more complicated by the behaviour of some foraminifera in the low oxygen environment as it believed that they have an alternative method of respiring nitrate in the absence of oxygen.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ge</w:t>
      </w:r>
      <w:r>
        <w:rPr>
          <w:rFonts w:ascii="Times New Roman" w:eastAsia="Calibri" w:hAnsi="Times New Roman" w:cs="Times New Roman"/>
          <w:sz w:val="24"/>
          <w:szCs w:val="24"/>
        </w:rPr>
        <w:t>neral, the BTA produced a quantitative and integrated picture of palaeoecological change at the Walvis Ridge during the PETM when compared to the conventional foraminiferal assemblage analysis and have clearly detected environmental disturbance from sample</w:t>
      </w:r>
      <w:r>
        <w:rPr>
          <w:rFonts w:ascii="Times New Roman" w:eastAsia="Calibri" w:hAnsi="Times New Roman" w:cs="Times New Roman"/>
          <w:sz w:val="24"/>
          <w:szCs w:val="24"/>
        </w:rPr>
        <w:t xml:space="preserve"> ordinations. The critical foraminiferal traits that controled the ecological function in this site include test composition, chamber arrangement/ shape ornamentation, primary aperture position, perforations and living/feeding habit (Figures </w:t>
      </w:r>
      <w:r>
        <w:rPr>
          <w:rFonts w:ascii="Times New Roman" w:eastAsia="Calibri" w:hAnsi="Times New Roman" w:cs="Times New Roman"/>
          <w:sz w:val="24"/>
          <w:szCs w:val="24"/>
        </w:rPr>
        <w:t>7&amp;9</w:t>
      </w:r>
      <w:r>
        <w:rPr>
          <w:rFonts w:ascii="Times New Roman" w:eastAsia="Calibri" w:hAnsi="Times New Roman" w:cs="Times New Roman"/>
          <w:sz w:val="24"/>
          <w:szCs w:val="24"/>
        </w:rPr>
        <w:t xml:space="preserve">). </w:t>
      </w:r>
    </w:p>
    <w:p w:rsidR="0062109E" w:rsidRDefault="0062109E">
      <w:pPr>
        <w:spacing w:line="360" w:lineRule="auto"/>
        <w:rPr>
          <w:rStyle w:val="Heading2Char"/>
        </w:rPr>
      </w:pPr>
    </w:p>
    <w:p w:rsidR="0062109E" w:rsidRDefault="00CF5136">
      <w:pPr>
        <w:spacing w:line="360" w:lineRule="auto"/>
        <w:rPr>
          <w:rFonts w:ascii="Times New Roman" w:eastAsia="Calibri" w:hAnsi="Times New Roman" w:cs="Times New Roman"/>
          <w:sz w:val="24"/>
        </w:rPr>
      </w:pPr>
      <w:r>
        <w:rPr>
          <w:rStyle w:val="Heading2Char"/>
        </w:rPr>
        <w:t>Acknow</w:t>
      </w:r>
      <w:r>
        <w:rPr>
          <w:rStyle w:val="Heading2Char"/>
        </w:rPr>
        <w:t>ledgement:</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This research used core samples provided by the International Ocean Discovery Program (IODP). </w:t>
      </w:r>
      <w:r>
        <w:rPr>
          <w:rFonts w:ascii="Times New Roman" w:eastAsia="Calibri" w:hAnsi="Times New Roman" w:cs="Times New Roman"/>
          <w:sz w:val="24"/>
        </w:rPr>
        <w:t>Ebonyi State Government, Nigeria and School of Environmental Sciences, UOL provided parts of the funding for this study.</w:t>
      </w:r>
    </w:p>
    <w:p w:rsidR="0062109E" w:rsidRDefault="00CF5136">
      <w:pPr>
        <w:pStyle w:val="Heading1"/>
        <w:rPr>
          <w:rStyle w:val="Heading2Char"/>
          <w:b/>
          <w:color w:val="0000FF"/>
        </w:rPr>
      </w:pPr>
      <w:r>
        <w:rPr>
          <w:rStyle w:val="Heading2Char"/>
          <w:b/>
          <w:color w:val="0000FF"/>
          <w:lang w:val="en-US" w:eastAsia="zh-CN"/>
        </w:rPr>
        <w:t xml:space="preserve">Conflict of Interests: </w:t>
      </w:r>
      <w:r>
        <w:rPr>
          <w:rStyle w:val="Heading2Char"/>
          <w:bCs/>
          <w:color w:val="0000FF"/>
          <w:lang w:val="en-US" w:eastAsia="zh-CN"/>
        </w:rPr>
        <w:t xml:space="preserve">The </w:t>
      </w:r>
      <w:r>
        <w:rPr>
          <w:rStyle w:val="Heading2Char"/>
          <w:bCs/>
          <w:color w:val="0000FF"/>
          <w:lang w:val="en-US" w:eastAsia="zh-CN"/>
        </w:rPr>
        <w:t>authors declare no conflict of interest.</w:t>
      </w:r>
    </w:p>
    <w:p w:rsidR="0062109E" w:rsidRDefault="00CF5136">
      <w:pPr>
        <w:pStyle w:val="Heading1"/>
        <w:rPr>
          <w:rFonts w:eastAsia="Calibri"/>
        </w:rPr>
      </w:pPr>
      <w:r>
        <w:rPr>
          <w:rFonts w:eastAsia="Calibri"/>
        </w:rPr>
        <w:t>References</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Alegret, L. and Thomas, E. (2009). Food supply to the seafloor in the Pacific Ocean after the Cretaceous/Paleogene boundary event. Marine Micropaleontology, 73(1-2), 105-116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Alegret, L., Ortiz, S and Mol</w:t>
      </w:r>
      <w:r>
        <w:rPr>
          <w:rFonts w:ascii="Times New Roman" w:eastAsia="Calibri" w:hAnsi="Times New Roman" w:cs="Times New Roman"/>
          <w:sz w:val="24"/>
          <w:szCs w:val="24"/>
        </w:rPr>
        <w:t>ina, E. (2009). Extinction and recovery of benthic foraminifera across the Paleocene- Eocene Thermal Maximum at the Alamedilla section (Southern Spain). Palaeogeogr. Palaeoclimatol. Palaeoecol. 279:186–200</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Armstrong, H. A., Brasier, M. D. (2005). Microfoss</w:t>
      </w:r>
      <w:r>
        <w:rPr>
          <w:rFonts w:ascii="Times New Roman" w:eastAsia="Calibri" w:hAnsi="Times New Roman" w:cs="Times New Roman"/>
          <w:sz w:val="24"/>
          <w:szCs w:val="24"/>
        </w:rPr>
        <w:t>ils. Second Edition. Blackwell Publishing. 304</w:t>
      </w:r>
      <w:r>
        <w:rPr>
          <w:rFonts w:ascii="Times New Roman" w:eastAsia="Calibri" w:hAnsi="Times New Roman" w:cs="Times New Roman"/>
          <w:sz w:val="24"/>
          <w:szCs w:val="24"/>
        </w:rPr>
        <w:t>p</w:t>
      </w:r>
      <w:r>
        <w:rPr>
          <w:rFonts w:ascii="Times New Roman" w:eastAsia="Calibri" w:hAnsi="Times New Roman" w:cs="Times New Roman"/>
          <w:sz w:val="24"/>
          <w:szCs w:val="24"/>
        </w:rPr>
        <w:t xml:space="preserve">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Arreguín-Rodríguez, G. J., Alegret, L. and Thomas E. (2016). Late Paleocene-middle Eocene benthic foraminifera on a Pacific seamount (Allison Guyot, ODP Site 865): Greenhouse climate and superimposed hyperth</w:t>
      </w:r>
      <w:r>
        <w:rPr>
          <w:rFonts w:ascii="Times New Roman" w:eastAsia="Calibri" w:hAnsi="Times New Roman" w:cs="Times New Roman"/>
          <w:sz w:val="24"/>
          <w:szCs w:val="24"/>
        </w:rPr>
        <w:t>ermal events, Paleoceanography, 31, 346–364</w:t>
      </w:r>
      <w:r>
        <w:rPr>
          <w:rFonts w:ascii="Times New Roman" w:eastAsia="Calibri" w:hAnsi="Times New Roman" w:cs="Times New Roman"/>
          <w:sz w:val="24"/>
          <w:szCs w:val="24"/>
        </w:rPr>
        <w: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Aze T., Pearson, P. N., Dickson, A. J., Badger, M. P. S., Bown, P. R., Pancost, R. D., Gibbs, S. J., Huber, B. T., Leng ,M. J., Coe, A. L., Cohen, A. S., Foster, G. L. (2014). Extreme warming of tropical waters </w:t>
      </w:r>
      <w:r>
        <w:rPr>
          <w:rFonts w:ascii="Times New Roman" w:eastAsia="Calibri" w:hAnsi="Times New Roman" w:cs="Times New Roman"/>
          <w:sz w:val="24"/>
          <w:szCs w:val="24"/>
        </w:rPr>
        <w:t>during the Paleocene–Eocene Thermal Maximum. Geology 42, 739–742</w:t>
      </w:r>
      <w:r>
        <w:rPr>
          <w:rFonts w:ascii="Times New Roman" w:eastAsia="Calibri" w:hAnsi="Times New Roman" w:cs="Times New Roman"/>
          <w:sz w:val="24"/>
          <w:szCs w:val="24"/>
        </w:rPr>
        <w: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Babila, T.L., Penman, D.E., Hönisch, B., Kelly, D.C., Bralower, T.J., Rosenthal, Y. and Zachos, J. C. (2018). Capturing the global signature of surface ocean acidification during the Palaeoc</w:t>
      </w:r>
      <w:r>
        <w:rPr>
          <w:rFonts w:ascii="Times New Roman" w:eastAsia="Calibri" w:hAnsi="Times New Roman" w:cs="Times New Roman"/>
          <w:sz w:val="24"/>
          <w:szCs w:val="24"/>
        </w:rPr>
        <w:t xml:space="preserve">ene–Eocene Thermal Maximum. Phil. Trans. R. Soc. A 376: 20170072. 1- 19. http://dx.doi.org/10.1098/rsta.2017.0072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Berggren, W.A., Kent, D.V., Swisher III, C.C., Aubry, M.P. (1995). A revised Cenozoic geochronology and chronostratigraphy. In: Berggren, W.A</w:t>
      </w:r>
      <w:r>
        <w:rPr>
          <w:rFonts w:ascii="Times New Roman" w:eastAsia="Calibri" w:hAnsi="Times New Roman" w:cs="Times New Roman"/>
          <w:sz w:val="24"/>
          <w:szCs w:val="24"/>
        </w:rPr>
        <w:t>., Kent, D.V., Aubry, M.P., Hardenbol, J. (Eds.), Geochronology, Time Scales and Global Stratigraphic Correlation: A Unified Temporal Framework for an Historical Geology: SEPM Spec</w:t>
      </w:r>
      <w:r>
        <w:rPr>
          <w:rFonts w:ascii="Times New Roman" w:eastAsia="Calibri" w:hAnsi="Times New Roman" w:cs="Times New Roman"/>
          <w:sz w:val="24"/>
          <w:szCs w:val="24"/>
        </w:rPr>
        <w:t>ial</w:t>
      </w:r>
      <w:r>
        <w:rPr>
          <w:rFonts w:ascii="Times New Roman" w:eastAsia="Calibri" w:hAnsi="Times New Roman" w:cs="Times New Roman"/>
          <w:sz w:val="24"/>
          <w:szCs w:val="24"/>
        </w:rPr>
        <w:t xml:space="preserve"> Publ., 54: 129–212. </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Bolli, H., Beckmann, J., and  Saunders, J.  (1994):</w:t>
      </w:r>
      <w:r>
        <w:rPr>
          <w:rFonts w:ascii="Times New Roman" w:eastAsia="Calibri" w:hAnsi="Times New Roman" w:cs="Times New Roman"/>
          <w:sz w:val="24"/>
        </w:rPr>
        <w:t xml:space="preserve">  Benthic  foraminiferal biostratigraphy  of  the South Caribbean region. Cambridge University press </w:t>
      </w:r>
      <w:r>
        <w:rPr>
          <w:rFonts w:ascii="Times New Roman" w:eastAsia="Calibri" w:hAnsi="Times New Roman" w:cs="Times New Roman"/>
          <w:sz w:val="24"/>
        </w:rPr>
        <w:t>, 408p</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Boltovskoy, E., Scott, D.B. and Medioli, F.S (1991) </w:t>
      </w:r>
      <w:r>
        <w:rPr>
          <w:rFonts w:ascii="Times New Roman" w:eastAsia="Calibri" w:hAnsi="Times New Roman" w:cs="Times New Roman"/>
          <w:bCs/>
          <w:sz w:val="24"/>
        </w:rPr>
        <w:t>Morphological variations of benthic foraminiferal tests in response to changes in ecological par</w:t>
      </w:r>
      <w:r>
        <w:rPr>
          <w:rFonts w:ascii="Times New Roman" w:eastAsia="Calibri" w:hAnsi="Times New Roman" w:cs="Times New Roman"/>
          <w:bCs/>
          <w:sz w:val="24"/>
        </w:rPr>
        <w:t xml:space="preserve">ameters: A review </w:t>
      </w:r>
      <w:r>
        <w:rPr>
          <w:rFonts w:ascii="Times New Roman" w:eastAsia="Calibri" w:hAnsi="Times New Roman" w:cs="Times New Roman"/>
          <w:sz w:val="24"/>
        </w:rPr>
        <w:t>J</w:t>
      </w:r>
      <w:r>
        <w:rPr>
          <w:rFonts w:ascii="Times New Roman" w:eastAsia="Calibri" w:hAnsi="Times New Roman" w:cs="Times New Roman"/>
          <w:sz w:val="24"/>
        </w:rPr>
        <w:t>ournal of</w:t>
      </w:r>
      <w:r>
        <w:rPr>
          <w:rFonts w:ascii="Times New Roman" w:eastAsia="Calibri" w:hAnsi="Times New Roman" w:cs="Times New Roman"/>
          <w:sz w:val="24"/>
        </w:rPr>
        <w:t xml:space="preserve"> Paleontol</w:t>
      </w:r>
      <w:r>
        <w:rPr>
          <w:rFonts w:ascii="Times New Roman" w:eastAsia="Calibri" w:hAnsi="Times New Roman" w:cs="Times New Roman"/>
          <w:sz w:val="24"/>
        </w:rPr>
        <w:t>ogy,</w:t>
      </w:r>
      <w:r>
        <w:rPr>
          <w:rFonts w:ascii="Times New Roman" w:eastAsia="Calibri" w:hAnsi="Times New Roman" w:cs="Times New Roman"/>
          <w:sz w:val="24"/>
        </w:rPr>
        <w:t> 65, 175-185</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Boscolo Galazzo, F., Thomas, E., Pagani, M., Warren, C., Luciani, V., and Giusberti, L. (2014). The middle Eocene climatic optimum (MECO): A multiproxy record of paleoceanographic changes in the southe</w:t>
      </w:r>
      <w:r>
        <w:rPr>
          <w:rFonts w:ascii="Times New Roman" w:eastAsia="Calibri" w:hAnsi="Times New Roman" w:cs="Times New Roman"/>
          <w:sz w:val="24"/>
        </w:rPr>
        <w:t>ast Atlantic (ODP Site 1263, Walvis Ridge), Paleoceanography, 29, 1143–1161.</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Boscolo Galazzo, F., Thomas, E., and Giusberti, L. (2015) Benthic foraminiferal response to the Middle Eocene Climatic Optimum (MECO) in the Southeastern Atlantic (ODP Site 1263).</w:t>
      </w:r>
      <w:r>
        <w:rPr>
          <w:rFonts w:ascii="Times New Roman" w:eastAsia="Calibri" w:hAnsi="Times New Roman" w:cs="Times New Roman"/>
          <w:sz w:val="24"/>
        </w:rPr>
        <w:t xml:space="preserve"> Palaeogeogr. Palaeocl. Palaeoecol., 417, 432–444.</w:t>
      </w:r>
    </w:p>
    <w:p w:rsidR="0062109E" w:rsidRDefault="00CF5136">
      <w:pPr>
        <w:spacing w:line="360" w:lineRule="auto"/>
        <w:jc w:val="both"/>
        <w:rPr>
          <w:rFonts w:ascii="Times New Roman" w:eastAsia="Calibri" w:hAnsi="Times New Roman"/>
          <w:sz w:val="24"/>
        </w:rPr>
      </w:pPr>
      <w:r>
        <w:rPr>
          <w:rFonts w:ascii="Times New Roman" w:eastAsia="Calibri" w:hAnsi="Times New Roman"/>
          <w:sz w:val="24"/>
        </w:rPr>
        <w:t>Bremner, J., Rogers, S.I., Frid, C.L.J. (2006). Methods for describing ecological functioning</w:t>
      </w:r>
    </w:p>
    <w:p w:rsidR="0062109E" w:rsidRDefault="00CF5136">
      <w:pPr>
        <w:spacing w:line="360" w:lineRule="auto"/>
        <w:jc w:val="both"/>
        <w:rPr>
          <w:rFonts w:ascii="Times New Roman" w:eastAsia="Calibri" w:hAnsi="Times New Roman"/>
          <w:sz w:val="24"/>
        </w:rPr>
      </w:pPr>
      <w:r>
        <w:rPr>
          <w:rFonts w:ascii="Times New Roman" w:eastAsia="Calibri" w:hAnsi="Times New Roman"/>
          <w:sz w:val="24"/>
        </w:rPr>
        <w:t>of marine benthic assemblages using biological traits analysis (BTA). Ecological Indicators</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sz w:val="24"/>
        </w:rPr>
        <w:t>6(3): 609-622.</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Buzas, M. A., Culver, S. J., and Jorissen, F. J. (1993). A statistical evaluation of the microhabitats of living (stained) infaunal benthic foraminifera, Mar. Micropaleont., 29, 73–76</w:t>
      </w:r>
    </w:p>
    <w:p w:rsidR="0062109E" w:rsidRDefault="00CF5136">
      <w:pPr>
        <w:spacing w:line="360"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Caswell, B. A. and Frid, C. L. J. (2013). Learning from the past: functi</w:t>
      </w:r>
      <w:r>
        <w:rPr>
          <w:rFonts w:ascii="Times New Roman" w:eastAsia="Calibri" w:hAnsi="Times New Roman" w:cs="Times New Roman"/>
          <w:sz w:val="24"/>
          <w:lang w:val="en-US"/>
        </w:rPr>
        <w:t xml:space="preserve">onal ecology of marine benthos during eight million years of aperiodic hypoxia, lessons from the Late Jurassic. </w:t>
      </w:r>
      <w:r>
        <w:rPr>
          <w:rFonts w:ascii="Times New Roman" w:eastAsia="Calibri" w:hAnsi="Times New Roman" w:cs="Times New Roman"/>
          <w:sz w:val="24"/>
          <w:u w:val="single"/>
          <w:lang w:val="en-US"/>
        </w:rPr>
        <w:t>Oikos</w:t>
      </w:r>
      <w:r>
        <w:rPr>
          <w:rFonts w:ascii="Times New Roman" w:eastAsia="Calibri" w:hAnsi="Times New Roman" w:cs="Times New Roman"/>
          <w:sz w:val="24"/>
          <w:lang w:val="en-US"/>
        </w:rPr>
        <w:t xml:space="preserve"> 122(12): 1687-1699.</w:t>
      </w:r>
    </w:p>
    <w:p w:rsidR="0062109E" w:rsidRDefault="00CF5136">
      <w:pPr>
        <w:spacing w:line="360" w:lineRule="auto"/>
        <w:jc w:val="both"/>
        <w:rPr>
          <w:rFonts w:ascii="Times New Roman" w:eastAsia="Calibri" w:hAnsi="Times New Roman"/>
          <w:sz w:val="24"/>
        </w:rPr>
      </w:pPr>
      <w:r>
        <w:rPr>
          <w:rFonts w:ascii="Times New Roman" w:eastAsia="Calibri" w:hAnsi="Times New Roman"/>
          <w:sz w:val="24"/>
        </w:rPr>
        <w:t>Caswell, B. A., &amp; Frid, C. L. (2017). Marine ecosystem resilience during extreme deoxygenation: the Early Jurassic oce</w:t>
      </w:r>
      <w:r>
        <w:rPr>
          <w:rFonts w:ascii="Times New Roman" w:eastAsia="Calibri" w:hAnsi="Times New Roman"/>
          <w:sz w:val="24"/>
        </w:rPr>
        <w:t xml:space="preserve">anic anoxic event. Oecologia, 183(1), 275-290. </w:t>
      </w:r>
      <w:hyperlink r:id="rId22" w:history="1">
        <w:r>
          <w:rPr>
            <w:rStyle w:val="Hyperlink"/>
            <w:rFonts w:ascii="Times New Roman" w:eastAsia="Calibri" w:hAnsi="Times New Roman"/>
            <w:sz w:val="24"/>
          </w:rPr>
          <w:t>https://doi.org/10.1007/s00442-016-3747-6</w:t>
        </w:r>
      </w:hyperlink>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Charvet, S., Kosmala, A. and Statzner, B. (1998). Biomonitoring through biological traits of benthic macroinv</w:t>
      </w:r>
      <w:r>
        <w:rPr>
          <w:rFonts w:ascii="Times New Roman" w:eastAsia="Calibri" w:hAnsi="Times New Roman" w:cs="Times New Roman"/>
          <w:sz w:val="24"/>
          <w:szCs w:val="24"/>
        </w:rPr>
        <w:t>ertebrates: perspectives for a general tool in stream management. Arch. Hydrobiol. 142, 415–432.</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Chevenet, F, Dolédec, S. and Chessel, D. (1994). A fuzzy coding approach for the analysis of long-term ecological data. Freshwater Biology 31:295–309.</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Clarke, </w:t>
      </w:r>
      <w:r>
        <w:rPr>
          <w:rFonts w:ascii="Times New Roman" w:eastAsia="Calibri" w:hAnsi="Times New Roman" w:cs="Times New Roman"/>
          <w:sz w:val="24"/>
        </w:rPr>
        <w:t xml:space="preserve">K.R. and Gorley R.N. (2006). </w:t>
      </w:r>
      <w:r>
        <w:rPr>
          <w:rFonts w:ascii="Times New Roman" w:eastAsia="Calibri" w:hAnsi="Times New Roman" w:cs="Times New Roman"/>
          <w:bCs/>
          <w:sz w:val="24"/>
        </w:rPr>
        <w:t xml:space="preserve">Primer v6 </w:t>
      </w:r>
      <w:r>
        <w:rPr>
          <w:rFonts w:ascii="Times New Roman" w:eastAsia="Calibri" w:hAnsi="Times New Roman" w:cs="Times New Roman"/>
          <w:sz w:val="24"/>
        </w:rPr>
        <w:t>Plymouth Marine Laboratory, Roborough, Plymouth, UK (2006) &lt;www.primer-e.com&gt;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Corliss, B.H. and Chen, C. (1988). Morphotype patterns of Norwegian Sea deep-sea benthic foraminifera and ecological implications: Geology,</w:t>
      </w:r>
      <w:r>
        <w:rPr>
          <w:rFonts w:ascii="Times New Roman" w:eastAsia="Calibri" w:hAnsi="Times New Roman" w:cs="Times New Roman"/>
          <w:sz w:val="24"/>
          <w:szCs w:val="24"/>
        </w:rPr>
        <w:t xml:space="preserve"> 16: 716–719.</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Culver, S.J. and Lipps, J.H. (2003). </w:t>
      </w:r>
      <w:r>
        <w:rPr>
          <w:rFonts w:ascii="Times New Roman" w:eastAsia="Calibri" w:hAnsi="Times New Roman" w:cs="Times New Roman"/>
          <w:bCs/>
          <w:sz w:val="24"/>
        </w:rPr>
        <w:t xml:space="preserve">Predation on and by Foraminifera </w:t>
      </w:r>
      <w:r>
        <w:rPr>
          <w:rFonts w:ascii="Times New Roman" w:eastAsia="Calibri" w:hAnsi="Times New Roman" w:cs="Times New Roman"/>
          <w:sz w:val="24"/>
        </w:rPr>
        <w:t>P. Kelley, M. Kowalewski, T. Hansen (Eds.), Predation in the Fossil Record, Kluwer Academic/Plenum Publishers, New York (2003), 7-32</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Cushman, J.A. (1951). Palaeocene </w:t>
      </w:r>
      <w:r>
        <w:rPr>
          <w:rFonts w:ascii="Times New Roman" w:eastAsia="Calibri" w:hAnsi="Times New Roman" w:cs="Times New Roman"/>
          <w:sz w:val="24"/>
        </w:rPr>
        <w:t>foraminifera of the Gulf Coastal region of the United States and adjacent areas. </w:t>
      </w:r>
      <w:r>
        <w:rPr>
          <w:rFonts w:ascii="Times New Roman Italic" w:eastAsia="Calibri" w:hAnsi="Times New Roman Italic" w:cs="Times New Roman"/>
          <w:iCs/>
          <w:sz w:val="24"/>
        </w:rPr>
        <w:t>U.S. Geol</w:t>
      </w:r>
      <w:r>
        <w:rPr>
          <w:rFonts w:ascii="Times New Roman Italic" w:eastAsia="Calibri" w:hAnsi="Times New Roman Italic" w:cs="Times New Roman"/>
          <w:iCs/>
          <w:sz w:val="24"/>
        </w:rPr>
        <w:t>ogical</w:t>
      </w:r>
      <w:r>
        <w:rPr>
          <w:rFonts w:ascii="Times New Roman Italic" w:eastAsia="Calibri" w:hAnsi="Times New Roman Italic" w:cs="Times New Roman"/>
          <w:iCs/>
          <w:sz w:val="24"/>
        </w:rPr>
        <w:t xml:space="preserve"> Surv</w:t>
      </w:r>
      <w:r>
        <w:rPr>
          <w:rFonts w:ascii="Times New Roman Italic" w:eastAsia="Calibri" w:hAnsi="Times New Roman Italic" w:cs="Times New Roman"/>
          <w:iCs/>
          <w:sz w:val="24"/>
        </w:rPr>
        <w:t>ey</w:t>
      </w:r>
      <w:r>
        <w:rPr>
          <w:rFonts w:ascii="Times New Roman Italic" w:eastAsia="Calibri" w:hAnsi="Times New Roman Italic" w:cs="Times New Roman"/>
          <w:iCs/>
          <w:sz w:val="24"/>
        </w:rPr>
        <w:t>. Pro</w:t>
      </w:r>
      <w:r>
        <w:rPr>
          <w:rFonts w:ascii="Times New Roman Italic" w:eastAsia="Calibri" w:hAnsi="Times New Roman Italic" w:cs="Times New Roman"/>
          <w:iCs/>
          <w:sz w:val="24"/>
        </w:rPr>
        <w:t>fessional</w:t>
      </w:r>
      <w:r>
        <w:rPr>
          <w:rFonts w:ascii="Times New Roman Italic" w:eastAsia="Calibri" w:hAnsi="Times New Roman Italic" w:cs="Times New Roman"/>
          <w:iCs/>
          <w:sz w:val="24"/>
        </w:rPr>
        <w:t>. Pap</w:t>
      </w:r>
      <w:r>
        <w:rPr>
          <w:rFonts w:ascii="Times New Roman Italic" w:eastAsia="Calibri" w:hAnsi="Times New Roman Italic" w:cs="Times New Roman"/>
          <w:iCs/>
          <w:sz w:val="24"/>
        </w:rPr>
        <w:t>er</w:t>
      </w:r>
      <w:r>
        <w:rPr>
          <w:rFonts w:ascii="Times New Roman Italic" w:eastAsia="Calibri" w:hAnsi="Times New Roman Italic" w:cs="Times New Roman"/>
          <w:iCs/>
          <w:sz w:val="24"/>
        </w:rPr>
        <w:t>,</w:t>
      </w:r>
      <w:r>
        <w:rPr>
          <w:rFonts w:ascii="Times New Roman" w:eastAsia="Calibri" w:hAnsi="Times New Roman" w:cs="Times New Roman"/>
          <w:sz w:val="24"/>
        </w:rPr>
        <w:t> 232:1–75.</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D’haenens S. Bornemann A. Stassen P. and Speijer R. (2012). Multiple early Eocene benthic foraminiferal assemblage and δ</w:t>
      </w:r>
      <w:r>
        <w:rPr>
          <w:rFonts w:ascii="Times New Roman" w:eastAsia="Calibri" w:hAnsi="Times New Roman" w:cs="Times New Roman"/>
          <w:sz w:val="24"/>
        </w:rPr>
        <w:t>13C fluctuations at DSDP Site 401 (Bay of Biscay - NE Atlantic): Marine Micropaleontology, 88</w:t>
      </w:r>
      <w:r>
        <w:rPr>
          <w:rFonts w:ascii="Times New Roman" w:eastAsia="Calibri" w:hAnsi="Times New Roman" w:cs="Times New Roman"/>
          <w:sz w:val="24"/>
        </w:rPr>
        <w:t>/</w:t>
      </w:r>
      <w:r>
        <w:rPr>
          <w:rFonts w:ascii="Times New Roman" w:eastAsia="Calibri" w:hAnsi="Times New Roman" w:cs="Times New Roman"/>
          <w:sz w:val="24"/>
        </w:rPr>
        <w:t>89</w:t>
      </w:r>
      <w:r>
        <w:rPr>
          <w:rFonts w:ascii="Times New Roman" w:eastAsia="Calibri" w:hAnsi="Times New Roman" w:cs="Times New Roman"/>
          <w:sz w:val="24"/>
        </w:rPr>
        <w:t>:</w:t>
      </w:r>
      <w:r>
        <w:rPr>
          <w:rFonts w:ascii="Times New Roman" w:eastAsia="Calibri" w:hAnsi="Times New Roman" w:cs="Times New Roman"/>
          <w:sz w:val="24"/>
        </w:rPr>
        <w:t xml:space="preserve">  15–35.</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DeConto, R.M., Galeotti, S., Pagani, M., Tracy, D., Schaefer, K., Zhang, T., Pollard, D., Beerling, D.J. (2012). Past extreme warming events linked to</w:t>
      </w:r>
      <w:r>
        <w:rPr>
          <w:rFonts w:ascii="Times New Roman" w:eastAsia="Calibri" w:hAnsi="Times New Roman" w:cs="Times New Roman"/>
          <w:sz w:val="24"/>
          <w:szCs w:val="24"/>
        </w:rPr>
        <w:t xml:space="preserve"> massive carbon release from thawing permafrost. Nature</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484 (7392): 87–91.</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Dubicka, Z., Złotnik, M. and Borszcz, T. (2015). Test morphology as a function of behavioural strategies — Inferences from benthic foraminifera. Marine Micropaleontology 116: 38–49</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Frid, C. L. J and Caswell B. A. (2015). Is long-term ecological functioning stable: The case of the marine benthos? Journal of Sea Research 98: 15-23.</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Frid, C. L. J and Caswell, B. A. (2016). Does ecological redundancy maintain functioning of marine benth</w:t>
      </w:r>
      <w:r>
        <w:rPr>
          <w:rFonts w:ascii="Times New Roman" w:eastAsia="Calibri" w:hAnsi="Times New Roman" w:cs="Times New Roman"/>
          <w:sz w:val="24"/>
          <w:szCs w:val="24"/>
        </w:rPr>
        <w:t>os on centennial to millennial time scales? Marine Ecology, 37(2): 392–410.</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Friedrich, O., Erbacher, J., Wilson, P. A, Moriya, K., and Mutterlose, J. (2009). Paleoenvironmental changes across the Mid Cenomanian Event in the tropical Atlantic Ocean (Demerar</w:t>
      </w:r>
      <w:r>
        <w:rPr>
          <w:rFonts w:ascii="Times New Roman" w:eastAsia="Calibri" w:hAnsi="Times New Roman" w:cs="Times New Roman"/>
          <w:sz w:val="24"/>
        </w:rPr>
        <w:t>a Rise, ODP Leg 207) inferred from benthic foraminiferal assemblages. </w:t>
      </w:r>
      <w:r>
        <w:rPr>
          <w:rFonts w:ascii="Times New Roman" w:eastAsia="Calibri" w:hAnsi="Times New Roman" w:cs="Times New Roman"/>
          <w:iCs/>
          <w:sz w:val="24"/>
        </w:rPr>
        <w:t>Marine Micropaleontology</w:t>
      </w:r>
      <w:r>
        <w:rPr>
          <w:rFonts w:ascii="Times New Roman" w:eastAsia="Calibri" w:hAnsi="Times New Roman" w:cs="Times New Roman"/>
          <w:sz w:val="24"/>
        </w:rPr>
        <w:t>,</w:t>
      </w:r>
      <w:r>
        <w:rPr>
          <w:rFonts w:ascii="Times New Roman" w:eastAsia="Calibri" w:hAnsi="Times New Roman" w:cs="Times New Roman"/>
          <w:sz w:val="24"/>
        </w:rPr>
        <w:t> </w:t>
      </w:r>
      <w:r>
        <w:rPr>
          <w:rFonts w:ascii="Times New Roman" w:eastAsia="Calibri" w:hAnsi="Times New Roman" w:cs="Times New Roman"/>
          <w:bCs/>
          <w:sz w:val="24"/>
        </w:rPr>
        <w:t>71(1-2)</w:t>
      </w:r>
      <w:r>
        <w:rPr>
          <w:rFonts w:ascii="Times New Roman" w:eastAsia="Calibri" w:hAnsi="Times New Roman" w:cs="Times New Roman"/>
          <w:sz w:val="24"/>
        </w:rPr>
        <w:t>:</w:t>
      </w:r>
      <w:r>
        <w:rPr>
          <w:rFonts w:ascii="Times New Roman" w:eastAsia="Calibri" w:hAnsi="Times New Roman" w:cs="Times New Roman"/>
          <w:sz w:val="24"/>
        </w:rPr>
        <w:t xml:space="preserve"> 28-40</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Giusberti L. Coccioni R. Sprovieri M. Tateo F. (2009). Perturbation at the sea floor during the Paleocene–Eocene Thermal Maximum: Evidence from </w:t>
      </w:r>
      <w:r>
        <w:rPr>
          <w:rFonts w:ascii="Times New Roman" w:eastAsia="Calibri" w:hAnsi="Times New Roman" w:cs="Times New Roman"/>
          <w:sz w:val="24"/>
        </w:rPr>
        <w:t>benthic foraminifera at Contessa Road, Italy: Marine Micropaleontology, 70</w:t>
      </w:r>
      <w:r>
        <w:rPr>
          <w:rFonts w:ascii="Times New Roman" w:eastAsia="Calibri" w:hAnsi="Times New Roman" w:cs="Times New Roman"/>
          <w:sz w:val="24"/>
        </w:rPr>
        <w:t>:</w:t>
      </w:r>
      <w:r>
        <w:rPr>
          <w:rFonts w:ascii="Times New Roman" w:eastAsia="Calibri" w:hAnsi="Times New Roman" w:cs="Times New Roman"/>
          <w:sz w:val="24"/>
        </w:rPr>
        <w:t xml:space="preserve"> 102–119.</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Giusberti, L. Boscolo Galazzo, F. and Thomas, E. (2016). Variability in climate and productivity during the Paleocene–Eocene Thermal Maximum in the western Tethys (Forada </w:t>
      </w:r>
      <w:r>
        <w:rPr>
          <w:rFonts w:ascii="Times New Roman" w:eastAsia="Calibri" w:hAnsi="Times New Roman" w:cs="Times New Roman"/>
          <w:sz w:val="24"/>
        </w:rPr>
        <w:t>section). Climate of the Past 12(2): 213-240.</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Gooday, A.J. (1994).</w:t>
      </w:r>
      <w:r>
        <w:rPr>
          <w:rFonts w:ascii="Times New Roman" w:eastAsia="Calibri" w:hAnsi="Times New Roman" w:cs="Times New Roman"/>
          <w:bCs/>
          <w:sz w:val="24"/>
        </w:rPr>
        <w:t xml:space="preserve"> The biology of deep-sea foraminifera: A review of some advances and their applications in paleoceanography, </w:t>
      </w:r>
      <w:r>
        <w:rPr>
          <w:rFonts w:ascii="Times New Roman" w:eastAsia="Calibri" w:hAnsi="Times New Roman" w:cs="Times New Roman"/>
          <w:sz w:val="24"/>
        </w:rPr>
        <w:t>Palaios, 9 (1994), pp. 14-31</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Grigoratou, M., Monteiro, F. M., Schmidt, D. N., </w:t>
      </w:r>
      <w:r>
        <w:rPr>
          <w:rFonts w:ascii="Times New Roman" w:eastAsia="Calibri" w:hAnsi="Times New Roman" w:cs="Times New Roman"/>
          <w:sz w:val="24"/>
          <w:szCs w:val="24"/>
        </w:rPr>
        <w:t>Jamie, D. W., Ben, A. and Ridgwell, A. (201</w:t>
      </w:r>
      <w:r>
        <w:rPr>
          <w:rFonts w:ascii="Times New Roman" w:eastAsia="Calibri" w:hAnsi="Times New Roman" w:cs="Times New Roman"/>
          <w:sz w:val="24"/>
          <w:szCs w:val="24"/>
        </w:rPr>
        <w:t>9</w:t>
      </w:r>
      <w:r>
        <w:rPr>
          <w:rFonts w:ascii="Times New Roman" w:eastAsia="Calibri" w:hAnsi="Times New Roman" w:cs="Times New Roman"/>
          <w:sz w:val="24"/>
          <w:szCs w:val="24"/>
        </w:rPr>
        <w:t xml:space="preserve">). A trait-based modelling approach to planktonic foraminifera ecology. </w:t>
      </w:r>
      <w:r>
        <w:rPr>
          <w:rFonts w:ascii="Times New Roman" w:eastAsia="Calibri" w:hAnsi="Times New Roman"/>
          <w:sz w:val="24"/>
          <w:szCs w:val="24"/>
        </w:rPr>
        <w:t>Biogeosciences, 16, 1469–1492.</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Holbourn A., Henderson, A.S., and Macleod N. (2013). Atlas of Benthic Foraminifera. Wiley-Blackwell. UK. 642p</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Jorissen, F. J., Fontanier, C., and Thomas, E. (2007). Paleoceanographical proxies based on deep-sea benthic foraminiferal assemblage characteristics, in: Proxies in Late Cenozoic Paleoceanography: Pt. 2: Biological tracers and biomarkers, edited by: Hill</w:t>
      </w:r>
      <w:r>
        <w:rPr>
          <w:rFonts w:ascii="Times New Roman" w:eastAsia="Calibri" w:hAnsi="Times New Roman" w:cs="Times New Roman"/>
          <w:sz w:val="24"/>
        </w:rPr>
        <w:t>aire- Marcel, C. and A. de Vernal, A., 1, Elsevier, Amsterdam, The Netherlands, 264–325</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Kaiho, K. (1994). Benthic foraminiferal dissolved-oxygen index and dissolved-oxygen levels in the modern ocean. Geology, 22(8): 719–722.</w:t>
      </w:r>
    </w:p>
    <w:p w:rsidR="0062109E" w:rsidRDefault="00CF513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Keating-Bitonti, C. R and Payne</w:t>
      </w:r>
      <w:r>
        <w:rPr>
          <w:rFonts w:ascii="Times New Roman" w:eastAsia="Calibri" w:hAnsi="Times New Roman" w:cs="Times New Roman"/>
          <w:sz w:val="24"/>
        </w:rPr>
        <w:t xml:space="preserve">, J. L. (2017). Ecophenotypic responses of benthic foraminifera to oxygen availability along an oxygen gradient in the California Borderland. </w:t>
      </w:r>
      <w:r>
        <w:rPr>
          <w:rFonts w:ascii="Times New Roman" w:eastAsia="Calibri" w:hAnsi="Times New Roman" w:cs="Times New Roman"/>
          <w:iCs/>
          <w:sz w:val="24"/>
        </w:rPr>
        <w:t>Mar</w:t>
      </w:r>
      <w:r>
        <w:rPr>
          <w:rFonts w:ascii="Times New Roman" w:eastAsia="Calibri" w:hAnsi="Times New Roman" w:cs="Times New Roman"/>
          <w:iCs/>
          <w:sz w:val="24"/>
        </w:rPr>
        <w:t>ine</w:t>
      </w:r>
      <w:r>
        <w:rPr>
          <w:rFonts w:ascii="Times New Roman" w:eastAsia="Calibri" w:hAnsi="Times New Roman" w:cs="Times New Roman"/>
          <w:iCs/>
          <w:sz w:val="24"/>
        </w:rPr>
        <w:t xml:space="preserve"> Ecol</w:t>
      </w:r>
      <w:r>
        <w:rPr>
          <w:rFonts w:ascii="Times New Roman" w:eastAsia="Calibri" w:hAnsi="Times New Roman" w:cs="Times New Roman"/>
          <w:iCs/>
          <w:sz w:val="24"/>
        </w:rPr>
        <w:t>ogy</w:t>
      </w:r>
      <w:r>
        <w:rPr>
          <w:rFonts w:ascii="Times New Roman" w:eastAsia="Calibri" w:hAnsi="Times New Roman" w:cs="Times New Roman"/>
          <w:sz w:val="24"/>
        </w:rPr>
        <w:t>.;38:e12430</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Littler, K., Röhl, U., Westerhold, T., and Zachos, J. C.</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2014</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 highresolution benthic</w:t>
      </w:r>
      <w:r>
        <w:rPr>
          <w:rFonts w:ascii="Times New Roman" w:eastAsia="Calibri" w:hAnsi="Times New Roman" w:cs="Times New Roman"/>
          <w:sz w:val="24"/>
          <w:szCs w:val="24"/>
        </w:rPr>
        <w:t xml:space="preserve"> stable-isotope record for the South Atlantic: Implications for orbital-scale changes in Late Paleocene–Early Eocene climate and carbon cycling. Palaeogeogr. Palaeocl., 401, 18–30</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Loeblich, A. R. Jr, and Tappan, H. (Eds.). (1988). </w:t>
      </w:r>
      <w:r>
        <w:rPr>
          <w:rFonts w:ascii="Times New Roman" w:eastAsia="Calibri" w:hAnsi="Times New Roman" w:cs="Times New Roman"/>
          <w:i/>
          <w:iCs/>
          <w:sz w:val="24"/>
          <w:szCs w:val="24"/>
        </w:rPr>
        <w:t xml:space="preserve">Foraminiferal genera and </w:t>
      </w:r>
      <w:r>
        <w:rPr>
          <w:rFonts w:ascii="Times New Roman" w:eastAsia="Calibri" w:hAnsi="Times New Roman" w:cs="Times New Roman"/>
          <w:i/>
          <w:iCs/>
          <w:sz w:val="24"/>
          <w:szCs w:val="24"/>
        </w:rPr>
        <w:t>their classification</w:t>
      </w:r>
      <w:r>
        <w:rPr>
          <w:rFonts w:ascii="Times New Roman" w:eastAsia="Calibri" w:hAnsi="Times New Roman" w:cs="Times New Roman"/>
          <w:sz w:val="24"/>
          <w:szCs w:val="24"/>
        </w:rPr>
        <w:t>. New York. Van Nostrand Reinhold Company, 970</w:t>
      </w:r>
      <w:r>
        <w:rPr>
          <w:rFonts w:ascii="Times New Roman" w:eastAsia="Calibri" w:hAnsi="Times New Roman" w:cs="Times New Roman"/>
          <w:sz w:val="24"/>
          <w:szCs w:val="24"/>
        </w:rPr>
        <w:t>p</w:t>
      </w:r>
      <w:r>
        <w:rPr>
          <w:rFonts w:ascii="Times New Roman" w:eastAsia="Calibri" w:hAnsi="Times New Roman" w:cs="Times New Roman"/>
          <w:sz w:val="24"/>
          <w:szCs w:val="24"/>
        </w:rPr>
        <w: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Luciani, V., Giusberti, L., Agnini, C., Backman, J., Fornaciari, E., and Rio, D. (2007) The Paleocene–Eocene Thermal Maximum as recorded by Tethyan planktonic foraminifera in the Forada s</w:t>
      </w:r>
      <w:r>
        <w:rPr>
          <w:rFonts w:ascii="Times New Roman" w:eastAsia="Calibri" w:hAnsi="Times New Roman" w:cs="Times New Roman"/>
          <w:sz w:val="24"/>
          <w:szCs w:val="24"/>
        </w:rPr>
        <w:t>ection (northern Italy): Marine Micropaleontology, 64</w:t>
      </w:r>
      <w:r>
        <w:rPr>
          <w:rFonts w:ascii="Times New Roman" w:eastAsia="Calibri" w:hAnsi="Times New Roman" w:cs="Times New Roman"/>
          <w:sz w:val="24"/>
          <w:szCs w:val="24"/>
        </w:rPr>
        <w:t>:</w:t>
      </w:r>
      <w:r>
        <w:rPr>
          <w:rFonts w:ascii="Times New Roman" w:eastAsia="Calibri" w:hAnsi="Times New Roman" w:cs="Times New Roman"/>
          <w:sz w:val="24"/>
          <w:szCs w:val="24"/>
        </w:rPr>
        <w:t>189–214.</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Lyons, S. L., Baczynski, A. A., Babila, T. L., Bralower, T. J.,   Hajek, E. A.,  Kump, L. R., Polites, E. G., Self-Trail, J. M.,  Trampush, S. M.,  Vornlocher, J.R.,  Zachos, J. C. and Freeman,</w:t>
      </w:r>
      <w:r>
        <w:rPr>
          <w:rFonts w:ascii="Times New Roman" w:eastAsia="Calibri" w:hAnsi="Times New Roman" w:cs="Times New Roman"/>
          <w:sz w:val="24"/>
          <w:szCs w:val="24"/>
        </w:rPr>
        <w:t> </w:t>
      </w:r>
      <w:r>
        <w:rPr>
          <w:rFonts w:ascii="Times New Roman" w:eastAsia="Calibri" w:hAnsi="Times New Roman" w:cs="Times New Roman"/>
          <w:sz w:val="24"/>
          <w:szCs w:val="24"/>
        </w:rPr>
        <w:t xml:space="preserve"> K. H. (2019) Palaeocene–Eocene Thermal Maximum prolonged by fossil carbon oxidation. Nature Geoscience, 12</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54–60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Mancin, N., Hayward, B. W., Trattenero, I., Cobianchi, M., and Lupi, C. (2013). Can the morphology of deep-sea benthic foraminifera reveal </w:t>
      </w:r>
      <w:r>
        <w:rPr>
          <w:rFonts w:ascii="Times New Roman" w:eastAsia="Calibri" w:hAnsi="Times New Roman" w:cs="Times New Roman"/>
          <w:sz w:val="24"/>
          <w:szCs w:val="24"/>
        </w:rPr>
        <w:t>what caused their extinction during the mid-Pleistocene Climate Transition? Mar. Micropaleont., 104, 53–70.</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Murray, J.W., (1991). Ecology and palaeoecology of benthic foraminifera. Longman, Harlow,  397</w:t>
      </w:r>
      <w:r>
        <w:rPr>
          <w:rFonts w:ascii="Times New Roman" w:eastAsia="Calibri" w:hAnsi="Times New Roman" w:cs="Times New Roman"/>
          <w:sz w:val="24"/>
          <w:szCs w:val="24"/>
        </w:rPr>
        <w:t>p</w:t>
      </w:r>
      <w:r>
        <w:rPr>
          <w:rFonts w:ascii="Times New Roman" w:eastAsia="Calibri" w:hAnsi="Times New Roman" w:cs="Times New Roman"/>
          <w:sz w:val="24"/>
          <w:szCs w:val="24"/>
        </w:rPr>
        <w:t xml:space="preserve">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Nomura, R. (1991). Paleoceanography of upper Maestr</w:t>
      </w:r>
      <w:r>
        <w:rPr>
          <w:rFonts w:ascii="Times New Roman" w:eastAsia="Calibri" w:hAnsi="Times New Roman" w:cs="Times New Roman"/>
          <w:sz w:val="24"/>
          <w:szCs w:val="24"/>
        </w:rPr>
        <w:t>ichtian to Eocene benthic foraminiferal assemblages at Sites 752, 753, and 754, Eastern Indian Ocean. </w:t>
      </w:r>
      <w:r>
        <w:rPr>
          <w:rFonts w:ascii="Times New Roman" w:eastAsia="Calibri" w:hAnsi="Times New Roman" w:cs="Times New Roman"/>
          <w:i/>
          <w:iCs/>
          <w:sz w:val="24"/>
          <w:szCs w:val="24"/>
        </w:rPr>
        <w:t>In</w:t>
      </w:r>
      <w:r>
        <w:rPr>
          <w:rFonts w:ascii="Times New Roman" w:eastAsia="Calibri" w:hAnsi="Times New Roman" w:cs="Times New Roman"/>
          <w:sz w:val="24"/>
          <w:szCs w:val="24"/>
        </w:rPr>
        <w:t> Weissel, J., Peirce, J., Taylor, E., Alt, J., et al., </w:t>
      </w:r>
      <w:r>
        <w:rPr>
          <w:rFonts w:ascii="Times New Roman" w:eastAsia="Calibri" w:hAnsi="Times New Roman" w:cs="Times New Roman"/>
          <w:i/>
          <w:iCs/>
          <w:sz w:val="24"/>
          <w:szCs w:val="24"/>
        </w:rPr>
        <w:t xml:space="preserve">Proc. ODP, </w:t>
      </w:r>
      <w:r>
        <w:rPr>
          <w:rFonts w:ascii="Times New Roman" w:eastAsia="Calibri" w:hAnsi="Times New Roman" w:cs="Times New Roman"/>
          <w:iCs/>
          <w:sz w:val="24"/>
          <w:szCs w:val="24"/>
        </w:rPr>
        <w:t>Sci</w:t>
      </w:r>
      <w:r>
        <w:rPr>
          <w:rFonts w:ascii="Times New Roman" w:eastAsia="Calibri" w:hAnsi="Times New Roman" w:cs="Times New Roman"/>
          <w:iCs/>
          <w:sz w:val="24"/>
          <w:szCs w:val="24"/>
        </w:rPr>
        <w:t>ence party</w:t>
      </w:r>
      <w:r>
        <w:rPr>
          <w:rFonts w:ascii="Times New Roman" w:eastAsia="Calibri" w:hAnsi="Times New Roman" w:cs="Times New Roman"/>
          <w:iCs/>
          <w:sz w:val="24"/>
          <w:szCs w:val="24"/>
        </w:rPr>
        <w:t>. Results,</w:t>
      </w:r>
      <w:r>
        <w:rPr>
          <w:rFonts w:ascii="Times New Roman" w:eastAsia="Calibri" w:hAnsi="Times New Roman" w:cs="Times New Roman"/>
          <w:sz w:val="24"/>
          <w:szCs w:val="24"/>
        </w:rPr>
        <w:t xml:space="preserve"> 121: College Station, TX (Ocean Drilling Program), </w:t>
      </w:r>
      <w:r>
        <w:rPr>
          <w:rFonts w:ascii="Times New Roman" w:eastAsia="Calibri" w:hAnsi="Times New Roman" w:cs="Times New Roman"/>
          <w:sz w:val="24"/>
          <w:szCs w:val="24"/>
        </w:rPr>
        <w:t>121:</w:t>
      </w:r>
      <w:r>
        <w:rPr>
          <w:rFonts w:ascii="Times New Roman" w:eastAsia="Calibri" w:hAnsi="Times New Roman" w:cs="Times New Roman"/>
          <w:sz w:val="24"/>
          <w:szCs w:val="24"/>
        </w:rPr>
        <w:t>3–30.</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Nwojiji, C. N., Osterloff, P., Okoro, A. U. &amp; Ndulue, G. (2014). Foraminiferal Stratigraphy and Paleoecological Interpretation of Sediments Penetrated by Kolmani River -1 Well, Gongola Basin, Nigeria. Journal of Geosciences and Geomatics, 2(3)</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85-93.</w:t>
      </w:r>
    </w:p>
    <w:p w:rsidR="0062109E" w:rsidRDefault="00CF5136">
      <w:pPr>
        <w:spacing w:line="360" w:lineRule="auto"/>
        <w:jc w:val="both"/>
        <w:rPr>
          <w:rFonts w:ascii="Times New Roman" w:eastAsia="Calibri" w:hAnsi="Times New Roman"/>
          <w:sz w:val="24"/>
          <w:szCs w:val="24"/>
        </w:rPr>
      </w:pPr>
      <w:r>
        <w:rPr>
          <w:rFonts w:ascii="Times New Roman" w:eastAsia="Calibri" w:hAnsi="Times New Roman"/>
          <w:sz w:val="24"/>
          <w:szCs w:val="24"/>
        </w:rPr>
        <w:t>Nwoj</w:t>
      </w:r>
      <w:r>
        <w:rPr>
          <w:rFonts w:ascii="Times New Roman" w:eastAsia="Calibri" w:hAnsi="Times New Roman"/>
          <w:sz w:val="24"/>
          <w:szCs w:val="24"/>
        </w:rPr>
        <w:t>iji, C.N., and Marret Fabienne (2019). The PETM extreme climate impact on the benthic foraminiferal traits and ecological functioning in the tropical Pacific and Tethys Oceans. Journal of Ocean Research,  4(1): 6 -19</w:t>
      </w:r>
    </w:p>
    <w:p w:rsidR="0062109E" w:rsidRDefault="00CF5136">
      <w:pPr>
        <w:spacing w:line="360" w:lineRule="auto"/>
        <w:jc w:val="both"/>
        <w:rPr>
          <w:rFonts w:ascii="Times New Roman" w:eastAsia="Calibri" w:hAnsi="Times New Roman"/>
          <w:sz w:val="24"/>
          <w:szCs w:val="24"/>
        </w:rPr>
      </w:pPr>
      <w:r>
        <w:rPr>
          <w:rFonts w:ascii="Times New Roman" w:eastAsia="Calibri" w:hAnsi="Times New Roman"/>
          <w:sz w:val="24"/>
          <w:szCs w:val="24"/>
        </w:rPr>
        <w:t>Nwojiji, C.N., Marret, F.  and Caswell,</w:t>
      </w:r>
      <w:r>
        <w:rPr>
          <w:rFonts w:ascii="Times New Roman" w:eastAsia="Calibri" w:hAnsi="Times New Roman"/>
          <w:sz w:val="24"/>
          <w:szCs w:val="24"/>
        </w:rPr>
        <w:t xml:space="preserve"> B.A. 2023. Planktonic foraminiferal turnover and trait changes across the Palaeocene-Eocene Thermal Maximum (PETM) at ODP site 1265A, Walvis Ridge, SE Atlantic Ocean (in press)</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Olsson, R.K., Berggren, W.A, Hemleben, CH., and Hubber, B.T.(eds) (1999). Atla</w:t>
      </w:r>
      <w:r>
        <w:rPr>
          <w:rFonts w:ascii="Times New Roman" w:eastAsia="Calibri" w:hAnsi="Times New Roman" w:cs="Times New Roman"/>
          <w:sz w:val="24"/>
          <w:szCs w:val="24"/>
        </w:rPr>
        <w:t>s of Palaeocene Foraminifera: Smithsonian Contributions to Palaeobiology, 85:1-252.</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Pak, D. K., and K. G. Miller. (1992). Palaeocene to Eocene benthic foraminiferal isotopes and assemblages: Implications for deep water circulation, Paleoceanography, 7, 405</w:t>
      </w:r>
      <w:r>
        <w:rPr>
          <w:rFonts w:ascii="Times New Roman" w:eastAsia="Calibri" w:hAnsi="Times New Roman" w:cs="Times New Roman"/>
          <w:sz w:val="24"/>
          <w:szCs w:val="24"/>
        </w:rPr>
        <w:t>-422,.</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Pälike, C., Delaney, M. L. and Zachos, J. C. (2014). Deep-sea redox across the Paleocene-Eocene thermal maximum, </w:t>
      </w:r>
      <w:r>
        <w:rPr>
          <w:rFonts w:ascii="Times New Roman" w:eastAsia="Calibri" w:hAnsi="Times New Roman" w:cs="Times New Roman"/>
          <w:i/>
          <w:iCs/>
          <w:sz w:val="24"/>
          <w:szCs w:val="24"/>
        </w:rPr>
        <w:t>Geochem. Geophys. Geosyst.</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eastAsia="Calibri" w:hAnsi="Times New Roman"/>
          <w:sz w:val="24"/>
          <w:szCs w:val="24"/>
        </w:rPr>
        <w:t>15(4):1038-1053</w:t>
      </w:r>
      <w:r>
        <w:rPr>
          <w:rFonts w:ascii="Times New Roman" w:eastAsia="Calibri" w:hAnsi="Times New Roman" w:cs="Times New Roman"/>
          <w:sz w:val="24"/>
          <w:szCs w:val="24"/>
        </w:rPr>
        <w:t xml:space="preserve"> doi:10.1002/2013GC005074</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Petrizzo M. R. (2007). The onset of the Palaeocene–Eocene Thermal M</w:t>
      </w:r>
      <w:r>
        <w:rPr>
          <w:rFonts w:ascii="Times New Roman" w:eastAsia="Calibri" w:hAnsi="Times New Roman" w:cs="Times New Roman"/>
          <w:sz w:val="24"/>
          <w:szCs w:val="24"/>
        </w:rPr>
        <w:t>aximum (PETM) at Sites 1209 and 1210 (Shatsky Rise, Pacific Ocean) as recorded by planktonic foraminifera. Marine Micropaleontology, 63 (3–4): 187–200</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Petrizzo, M. R. (2006). The Palaeocene-Eocene transition in the subtropical Pacific Ocean Shatsky Rise, L</w:t>
      </w:r>
      <w:r>
        <w:rPr>
          <w:rFonts w:ascii="Times New Roman" w:eastAsia="Calibri" w:hAnsi="Times New Roman" w:cs="Times New Roman"/>
          <w:sz w:val="24"/>
          <w:szCs w:val="24"/>
        </w:rPr>
        <w:t>eg 198): Inference from planktonic foraminifera. International Conference Climate &amp; Biota of the Early Paleogene</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Petrizzo, M. R., Leoni, G., Speijer, R. P., Bernardi, B. D. and Felletti, F. (2008) Dissolution susceptibility of some Paleogene planktonic for</w:t>
      </w:r>
      <w:r>
        <w:rPr>
          <w:rFonts w:ascii="Times New Roman" w:eastAsia="Calibri" w:hAnsi="Times New Roman" w:cs="Times New Roman"/>
          <w:sz w:val="24"/>
          <w:szCs w:val="24"/>
        </w:rPr>
        <w:t>aminifera from ODP site 1209 (Shatsky Rise, Pacific Ocean). Journal of Foraminiferal Research, 38</w:t>
      </w:r>
      <w:r>
        <w:rPr>
          <w:rFonts w:ascii="Times New Roman" w:eastAsia="Calibri" w:hAnsi="Times New Roman" w:cs="Times New Roman"/>
          <w:sz w:val="24"/>
          <w:szCs w:val="24"/>
        </w:rPr>
        <w:t>(</w:t>
      </w:r>
      <w:r>
        <w:rPr>
          <w:rFonts w:ascii="Times New Roman" w:eastAsia="Calibri" w:hAnsi="Times New Roman" w:cs="Times New Roman"/>
          <w:sz w:val="24"/>
          <w:szCs w:val="24"/>
        </w:rPr>
        <w:t>4</w:t>
      </w:r>
      <w:r>
        <w:rPr>
          <w:rFonts w:ascii="Times New Roman" w:eastAsia="Calibri" w:hAnsi="Times New Roman" w:cs="Times New Roman"/>
          <w:sz w:val="24"/>
          <w:szCs w:val="24"/>
        </w:rPr>
        <w:t>):</w:t>
      </w:r>
      <w:r>
        <w:rPr>
          <w:rFonts w:ascii="Times New Roman" w:eastAsia="Calibri" w:hAnsi="Times New Roman" w:cs="Times New Roman"/>
          <w:sz w:val="24"/>
          <w:szCs w:val="24"/>
        </w:rPr>
        <w:t>357–371</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Rabinowitz, P.D., and Simpson, E.S.W. (1984). Geophysical site survey results on the Walvis Ridge. </w:t>
      </w:r>
      <w:r>
        <w:rPr>
          <w:rFonts w:ascii="Times New Roman" w:eastAsia="Calibri" w:hAnsi="Times New Roman" w:cs="Times New Roman"/>
          <w:i/>
          <w:iCs/>
          <w:sz w:val="24"/>
          <w:szCs w:val="24"/>
        </w:rPr>
        <w:t>In</w:t>
      </w:r>
      <w:r>
        <w:rPr>
          <w:rFonts w:ascii="Times New Roman" w:eastAsia="Calibri" w:hAnsi="Times New Roman" w:cs="Times New Roman"/>
          <w:sz w:val="24"/>
          <w:szCs w:val="24"/>
        </w:rPr>
        <w:t> Moore, T.C., Jr., Rabinowitz, P.D., et al., </w:t>
      </w:r>
      <w:r>
        <w:rPr>
          <w:rFonts w:ascii="Times New Roman" w:eastAsia="Calibri" w:hAnsi="Times New Roman" w:cs="Times New Roman"/>
          <w:i/>
          <w:iCs/>
          <w:sz w:val="24"/>
          <w:szCs w:val="24"/>
        </w:rPr>
        <w:t>I</w:t>
      </w:r>
      <w:r>
        <w:rPr>
          <w:rFonts w:ascii="Times New Roman" w:eastAsia="Calibri" w:hAnsi="Times New Roman" w:cs="Times New Roman"/>
          <w:i/>
          <w:iCs/>
          <w:sz w:val="24"/>
          <w:szCs w:val="24"/>
        </w:rPr>
        <w:t>nit. Reports. DSDP,</w:t>
      </w:r>
      <w:r>
        <w:rPr>
          <w:rFonts w:ascii="Times New Roman" w:eastAsia="Calibri" w:hAnsi="Times New Roman" w:cs="Times New Roman"/>
          <w:sz w:val="24"/>
          <w:szCs w:val="24"/>
        </w:rPr>
        <w:t> 74: Washington (U.S. Government Printing Office), 795–825</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Schiebel, R. and Hemleben, C. (2017). Planktic Foraminifers in the Modern Ocean. Springer-Verlag Berlin Heidelberg.</w:t>
      </w:r>
      <w:r>
        <w:rPr>
          <w:rFonts w:ascii="Times New Roman" w:eastAsia="Calibri" w:hAnsi="Times New Roman" w:cs="Times New Roman"/>
          <w:sz w:val="24"/>
          <w:szCs w:val="24"/>
        </w:rPr>
        <w:t xml:space="preserve"> 358p</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Schmiedl, G., de Bovee, F., Buscail, R. Charrie`re, B., </w:t>
      </w:r>
      <w:r>
        <w:rPr>
          <w:rFonts w:ascii="Times New Roman" w:eastAsia="Calibri" w:hAnsi="Times New Roman" w:cs="Times New Roman"/>
          <w:sz w:val="24"/>
          <w:szCs w:val="24"/>
        </w:rPr>
        <w:t>Hemleben, C. and Medernach, L. (2000). Trophic control of benthic foraminiferal abundance and microhabitat in the bathyal Gulf of Lions, western Mediterranean Sea. Marine Micropaleontology, 40(3), 167-188</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Speijer, R.P. (1994). Extinction and recovery patte</w:t>
      </w:r>
      <w:r>
        <w:rPr>
          <w:rFonts w:ascii="Times New Roman" w:eastAsia="Calibri" w:hAnsi="Times New Roman" w:cs="Times New Roman"/>
          <w:sz w:val="24"/>
          <w:szCs w:val="24"/>
        </w:rPr>
        <w:t>rns in benthic foraminiferal paleocommunities across the Cretaceous/Paleogene and Paleocene/Eocene boundaries. </w:t>
      </w:r>
      <w:r>
        <w:rPr>
          <w:rFonts w:ascii="Times New Roman" w:eastAsia="Calibri" w:hAnsi="Times New Roman" w:cs="Times New Roman"/>
          <w:i/>
          <w:iCs/>
          <w:sz w:val="24"/>
          <w:szCs w:val="24"/>
        </w:rPr>
        <w:t>Geol. Ultraiectina,</w:t>
      </w:r>
      <w:r>
        <w:rPr>
          <w:rFonts w:ascii="Times New Roman" w:eastAsia="Calibri" w:hAnsi="Times New Roman" w:cs="Times New Roman"/>
          <w:sz w:val="24"/>
          <w:szCs w:val="24"/>
        </w:rPr>
        <w:t>124:1–91.</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Speijer, R. P., C. Scheibner, P. Stassen, and A.-M. M. Morsi (2012), Response of marine ecosystems to deep-time glob</w:t>
      </w:r>
      <w:r>
        <w:rPr>
          <w:rFonts w:ascii="Times New Roman" w:eastAsia="Calibri" w:hAnsi="Times New Roman" w:cs="Times New Roman"/>
          <w:sz w:val="24"/>
          <w:szCs w:val="24"/>
        </w:rPr>
        <w:t>al warming: A synthesis of biotic patterns across the Paleocene-Eocene thermal maximum (PETM), Aust. J. Earth Sci., 150(1), 6–12.</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Stassen, P., E. Thomas, and R. P. Speijer (2015), Paleocene–Eocene Thermal Maximum environmental change in the New Jersey Coas</w:t>
      </w:r>
      <w:r>
        <w:rPr>
          <w:rFonts w:ascii="Times New Roman" w:eastAsia="Calibri" w:hAnsi="Times New Roman" w:cs="Times New Roman"/>
          <w:sz w:val="24"/>
          <w:szCs w:val="24"/>
        </w:rPr>
        <w:t>tal Plain: Benthic foraminiferal biotic events, Mar. Micropaleontol., 115, 1–23</w:t>
      </w:r>
      <w:r>
        <w:rPr>
          <w:rFonts w:ascii="Times New Roman" w:eastAsia="Calibri" w:hAnsi="Times New Roman" w:cs="Times New Roman"/>
          <w:sz w:val="24"/>
          <w:szCs w:val="24"/>
        </w:rPr>
        <w:t>.</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Takeda, K., Kaiho, K. (2007). Faunal turnovers in central Pacific benthic foraminifera during the Paleocene–Eocene Thermal Maximum. Palaeogeography, Palaeoclimatology, Palaeoe</w:t>
      </w:r>
      <w:r>
        <w:rPr>
          <w:rFonts w:ascii="Times New Roman" w:eastAsia="Calibri" w:hAnsi="Times New Roman" w:cs="Times New Roman"/>
          <w:sz w:val="24"/>
          <w:szCs w:val="24"/>
        </w:rPr>
        <w:t xml:space="preserve">cology 251, 175–197. </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Thomas, E. (2003). Extinction and food at the seafloor: A high-resolution benthic foraminiferal record across the Initial Eocene Thermal Maximum, Southern Ocean Site 690, in: Causes and Consequences of Globally Warm Climates in the </w:t>
      </w:r>
      <w:r>
        <w:rPr>
          <w:rFonts w:ascii="Times New Roman" w:eastAsia="Calibri" w:hAnsi="Times New Roman" w:cs="Times New Roman"/>
          <w:sz w:val="24"/>
          <w:szCs w:val="24"/>
        </w:rPr>
        <w:t>Early Paleogene, edited by: Wing, S. L., Gingerich, P. D., Schmitz, B., and Thomas, E., Geol. S. Am. S., Boulder, Colorado, The Geological Society of America, 369</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319–332.</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Thomas, E. (2007). Cenozoic mass extinctions in the deep sea: What perturbs the lar</w:t>
      </w:r>
      <w:r>
        <w:rPr>
          <w:rFonts w:ascii="Times New Roman" w:eastAsia="Calibri" w:hAnsi="Times New Roman" w:cs="Times New Roman"/>
          <w:sz w:val="24"/>
          <w:szCs w:val="24"/>
        </w:rPr>
        <w:t>gest habitat on Earth?, in: Large Ecosystem Perturbations: Causes and Consequences, edited by: Monechi, S., Coccioni, R., and Rampino, M., Geol. S. Am. S., Boulder, Colorado, The Geological Society of America, 424</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1–23.</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Thomas, E., Boscolo-Galazzo, F., Ba</w:t>
      </w:r>
      <w:r>
        <w:rPr>
          <w:rFonts w:ascii="Times New Roman" w:eastAsia="Calibri" w:hAnsi="Times New Roman" w:cs="Times New Roman"/>
          <w:sz w:val="24"/>
          <w:szCs w:val="24"/>
        </w:rPr>
        <w:t xml:space="preserve">lestra, B., Monechi, S., Donner, B., and Röhl, U. </w:t>
      </w:r>
      <w:r>
        <w:rPr>
          <w:rFonts w:ascii="Times New Roman" w:eastAsia="Calibri" w:hAnsi="Times New Roman" w:cs="Times New Roman"/>
          <w:sz w:val="24"/>
          <w:szCs w:val="24"/>
        </w:rPr>
        <w:t>(</w:t>
      </w:r>
      <w:r>
        <w:rPr>
          <w:rFonts w:ascii="Times New Roman" w:eastAsia="Calibri" w:hAnsi="Times New Roman" w:cs="Times New Roman"/>
          <w:sz w:val="24"/>
          <w:szCs w:val="24"/>
        </w:rPr>
        <w:t>2018</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Early Eocene Thermal Maximum 3: biotic response at Walvis Ridge (SE Atlantic Ocean), </w:t>
      </w:r>
      <w:r>
        <w:rPr>
          <w:rFonts w:ascii="Times New Roman" w:eastAsia="Calibri" w:hAnsi="Times New Roman" w:cs="Times New Roman"/>
          <w:i/>
          <w:iCs/>
          <w:sz w:val="24"/>
          <w:szCs w:val="24"/>
        </w:rPr>
        <w:t>Paleoceanography and Paleoclimatology</w:t>
      </w:r>
      <w:r>
        <w:rPr>
          <w:rFonts w:ascii="Times New Roman" w:eastAsia="Calibri" w:hAnsi="Times New Roman" w:cs="Times New Roman"/>
          <w:sz w:val="24"/>
          <w:szCs w:val="24"/>
        </w:rPr>
        <w:t>, 33</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862-883</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Tjalsma, R.C., and Lohmann, G.P. (1983). </w:t>
      </w:r>
      <w:r>
        <w:rPr>
          <w:rFonts w:ascii="Times New Roman" w:eastAsia="Calibri" w:hAnsi="Times New Roman" w:cs="Times New Roman"/>
          <w:i/>
          <w:iCs/>
          <w:sz w:val="24"/>
          <w:szCs w:val="24"/>
        </w:rPr>
        <w:t>Paleocene–Eocene Bathy</w:t>
      </w:r>
      <w:r>
        <w:rPr>
          <w:rFonts w:ascii="Times New Roman" w:eastAsia="Calibri" w:hAnsi="Times New Roman" w:cs="Times New Roman"/>
          <w:i/>
          <w:iCs/>
          <w:sz w:val="24"/>
          <w:szCs w:val="24"/>
        </w:rPr>
        <w:t>al and Abyssal Benthic Foraminifera from the Atlantic Ocean.</w:t>
      </w:r>
      <w:r>
        <w:rPr>
          <w:rFonts w:ascii="Times New Roman" w:eastAsia="Calibri" w:hAnsi="Times New Roman" w:cs="Times New Roman"/>
          <w:sz w:val="24"/>
          <w:szCs w:val="24"/>
        </w:rPr>
        <w:t> Micropaleontology, Spec. Publ., 4:1–90.</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Widmark, J.G.V. (1997). Deep-sea benthic foraminifera from Cretaceous-Tertiary boundary in the South Atlantic Ocean: taxonomy and paleoecology. Fossils Str</w:t>
      </w:r>
      <w:r>
        <w:rPr>
          <w:rFonts w:ascii="Times New Roman" w:eastAsia="Calibri" w:hAnsi="Times New Roman" w:cs="Times New Roman"/>
          <w:sz w:val="24"/>
          <w:szCs w:val="24"/>
        </w:rPr>
        <w:t>ata, 43:1–94.</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Williams, M.; Haywood, A.M.; Gregory, F.J.; Schmidt, D.N. (eds.). (2007). Deep-time perspectives on climate change: marrying the signal from computer models and biological proxies. London, Geological Society. </w:t>
      </w:r>
      <w:r>
        <w:rPr>
          <w:rFonts w:ascii="Times New Roman" w:eastAsia="Calibri" w:hAnsi="Times New Roman"/>
          <w:sz w:val="24"/>
          <w:szCs w:val="24"/>
        </w:rPr>
        <w:t>592p</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Zachos, J. C., Röhl, U., Sch</w:t>
      </w:r>
      <w:r>
        <w:rPr>
          <w:rFonts w:ascii="Times New Roman" w:eastAsia="Calibri" w:hAnsi="Times New Roman" w:cs="Times New Roman"/>
          <w:sz w:val="24"/>
          <w:szCs w:val="24"/>
        </w:rPr>
        <w:t>ellenberg, S. A., Sluijs, A., Hodell, D. A., Kelly, D. C., Thomas, E., Nicolo, M., Raffi, I., Lourens, L. J., Mccarren, H., and Kroon, D. (2005). Rapid acidification of the ocean during the Paleocene-Eocene Thermal Maximum, Science, 308</w:t>
      </w:r>
      <w:r>
        <w:rPr>
          <w:rFonts w:ascii="Times New Roman" w:eastAsia="Calibri" w:hAnsi="Times New Roman" w:cs="Times New Roman"/>
          <w:sz w:val="24"/>
          <w:szCs w:val="24"/>
        </w:rPr>
        <w:t>:</w:t>
      </w:r>
      <w:r>
        <w:rPr>
          <w:rFonts w:ascii="Times New Roman" w:eastAsia="Calibri" w:hAnsi="Times New Roman" w:cs="Times New Roman"/>
          <w:sz w:val="24"/>
          <w:szCs w:val="24"/>
        </w:rPr>
        <w:t xml:space="preserve"> 1611–1615</w:t>
      </w:r>
    </w:p>
    <w:p w:rsidR="0062109E" w:rsidRDefault="00CF513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Zachos, </w:t>
      </w:r>
      <w:r>
        <w:rPr>
          <w:rFonts w:ascii="Times New Roman" w:eastAsia="Calibri" w:hAnsi="Times New Roman" w:cs="Times New Roman"/>
          <w:sz w:val="24"/>
          <w:szCs w:val="24"/>
        </w:rPr>
        <w:t>J.C., Kroon,</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D. and Blum, P.</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2004</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Leg 208 Shipboard Scientific Party  Proc</w:t>
      </w:r>
      <w:r>
        <w:rPr>
          <w:rFonts w:ascii="Times New Roman" w:eastAsia="Calibri" w:hAnsi="Times New Roman" w:cs="Times New Roman"/>
          <w:sz w:val="24"/>
          <w:szCs w:val="24"/>
        </w:rPr>
        <w:t>eeding</w:t>
      </w:r>
      <w:r>
        <w:rPr>
          <w:rFonts w:ascii="Times New Roman" w:eastAsia="Calibri" w:hAnsi="Times New Roman" w:cs="Times New Roman"/>
          <w:sz w:val="24"/>
          <w:szCs w:val="24"/>
        </w:rPr>
        <w:t xml:space="preserve"> ODP, Initial Reports, 208. College Station TX (Ocean Drilling Program), 1–112. </w:t>
      </w:r>
      <w:hyperlink r:id="rId23" w:history="1">
        <w:r>
          <w:rPr>
            <w:rFonts w:ascii="Times New Roman" w:eastAsia="Calibri" w:hAnsi="Times New Roman" w:cs="Times New Roman"/>
            <w:sz w:val="24"/>
            <w:szCs w:val="24"/>
            <w:u w:val="single"/>
          </w:rPr>
          <w:t>http://www-odp.tamu.edu/pu</w:t>
        </w:r>
        <w:r>
          <w:rPr>
            <w:rFonts w:ascii="Times New Roman" w:eastAsia="Calibri" w:hAnsi="Times New Roman" w:cs="Times New Roman"/>
            <w:sz w:val="24"/>
            <w:szCs w:val="24"/>
            <w:u w:val="single"/>
          </w:rPr>
          <w:t>blications/208_IR/208ir.htm</w:t>
        </w:r>
      </w:hyperlink>
    </w:p>
    <w:p w:rsidR="0062109E" w:rsidRDefault="00CF5136">
      <w:pPr>
        <w:spacing w:line="360" w:lineRule="auto"/>
        <w:jc w:val="both"/>
        <w:rPr>
          <w:rFonts w:ascii="Times New Roman" w:eastAsia="Calibri" w:hAnsi="Times New Roman"/>
          <w:sz w:val="24"/>
          <w:szCs w:val="24"/>
        </w:rPr>
      </w:pPr>
      <w:r>
        <w:rPr>
          <w:rFonts w:ascii="Times New Roman" w:eastAsia="Calibri" w:hAnsi="Times New Roman" w:cs="Times New Roman"/>
          <w:sz w:val="24"/>
          <w:szCs w:val="24"/>
        </w:rPr>
        <w:t>Zachos, J.C., Dickens, G.R., and Zeebe, R.E. (2008). An early Cenozoic perspective on greenhouse warming and carbon-cycle dynamics. Nature. 451(17):</w:t>
      </w:r>
      <w:r>
        <w:rPr>
          <w:rFonts w:ascii="Times New Roman" w:eastAsia="Calibri" w:hAnsi="Times New Roman"/>
          <w:sz w:val="24"/>
          <w:szCs w:val="24"/>
        </w:rPr>
        <w:t xml:space="preserve"> 279–283 </w:t>
      </w:r>
    </w:p>
    <w:sectPr w:rsidR="0062109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136" w:rsidRDefault="00CF5136">
      <w:pPr>
        <w:spacing w:line="240" w:lineRule="auto"/>
      </w:pPr>
      <w:r>
        <w:separator/>
      </w:r>
    </w:p>
  </w:endnote>
  <w:endnote w:type="continuationSeparator" w:id="0">
    <w:p w:rsidR="00CF5136" w:rsidRDefault="00CF51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0" w:usb1="0000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altName w:val="苹方-简"/>
    <w:charset w:val="00"/>
    <w:family w:val="auto"/>
    <w:pitch w:val="default"/>
  </w:font>
  <w:font w:name="Segoe UI">
    <w:altName w:val="苹方-简"/>
    <w:panose1 w:val="020B0502040204020203"/>
    <w:charset w:val="00"/>
    <w:family w:val="swiss"/>
    <w:pitch w:val="default"/>
    <w:sig w:usb0="00000000" w:usb1="00000000" w:usb2="00000009" w:usb3="00000000" w:csb0="000001FF" w:csb1="00000000"/>
  </w:font>
  <w:font w:name="Lucida Grande">
    <w:charset w:val="00"/>
    <w:family w:val="swiss"/>
    <w:pitch w:val="default"/>
  </w:font>
  <w:font w:name="Consolas">
    <w:altName w:val="苹方-简"/>
    <w:panose1 w:val="020B0609020204030204"/>
    <w:charset w:val="00"/>
    <w:family w:val="modern"/>
    <w:pitch w:val="default"/>
    <w:sig w:usb0="00000000" w:usb1="00000000" w:usb2="00000009" w:usb3="00000000" w:csb0="0000019F" w:csb1="00000000"/>
  </w:font>
  <w:font w:name="MS Mincho">
    <w:altName w:val="ＭＳ 明朝"/>
    <w:panose1 w:val="02020609040205080304"/>
    <w:charset w:val="80"/>
    <w:family w:val="modern"/>
    <w:pitch w:val="default"/>
    <w:sig w:usb0="00000000" w:usb1="00000000" w:usb2="08000012" w:usb3="00000000" w:csb0="0002009F" w:csb1="00000000"/>
  </w:font>
  <w:font w:name="Times New Roman Italic">
    <w:panose1 w:val="02020503050405090304"/>
    <w:charset w:val="00"/>
    <w:family w:val="auto"/>
    <w:pitch w:val="default"/>
  </w:font>
  <w:font w:name="Hiragino Kaku Gothic ProN W3">
    <w:charset w:val="86"/>
    <w:family w:val="auto"/>
    <w:pitch w:val="default"/>
    <w:sig w:usb0="00000000" w:usb1="00000000" w:usb2="00000000" w:usb3="00000000" w:csb0="0016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09E" w:rsidRDefault="00CF5136">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2109E" w:rsidRDefault="00CF5136">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NJWO7QAAAABQEAAA8AAAAAAAAAAQAgAAAAOAAAAGRycy9kb3ducmV2LnhtbFBL&#10;AQIUABQAAAAIAIdO4kB1j2cSIQIAAGAEAAAOAAAAAAAAAAEAIAAAADUBAABkcnMvZTJvRG9jLnht&#10;bFBLBQYAAAAABgAGAFkBAADI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136" w:rsidRDefault="00CF5136">
      <w:pPr>
        <w:spacing w:after="0"/>
      </w:pPr>
      <w:r>
        <w:separator/>
      </w:r>
    </w:p>
  </w:footnote>
  <w:footnote w:type="continuationSeparator" w:id="0">
    <w:p w:rsidR="00CF5136" w:rsidRDefault="00CF5136">
      <w:pPr>
        <w:spacing w:after="0"/>
      </w:pPr>
      <w:r>
        <w:continuationSeparator/>
      </w:r>
    </w:p>
  </w:footnote>
  <w:footnote w:id="1">
    <w:p w:rsidR="0062109E" w:rsidRDefault="00CF5136">
      <w:pPr>
        <w:pStyle w:val="FootnoteText"/>
        <w:snapToGrid w:val="0"/>
      </w:pPr>
      <w:r>
        <w:rPr>
          <w:rStyle w:val="FootnoteReference"/>
        </w:rPr>
        <w:footnoteRef/>
      </w:r>
      <w:r>
        <w:t xml:space="preserve"> </w:t>
      </w:r>
      <w:r>
        <w:rPr>
          <w:rFonts w:ascii="Times New Roman" w:eastAsia="Calibri" w:hAnsi="Times New Roman" w:cs="Times New Roman"/>
          <w:sz w:val="24"/>
          <w:szCs w:val="24"/>
        </w:rPr>
        <w:t xml:space="preserve">Biological trait analysis (BTA) </w:t>
      </w:r>
      <w:r>
        <w:rPr>
          <w:rFonts w:ascii="Times New Roman" w:eastAsia="Calibri" w:hAnsi="Times New Roman" w:cs="Times New Roman"/>
          <w:sz w:val="24"/>
          <w:szCs w:val="24"/>
        </w:rPr>
        <w:t xml:space="preserve">is </w:t>
      </w:r>
      <w:r>
        <w:rPr>
          <w:rFonts w:ascii="Times New Roman" w:eastAsia="Calibri" w:hAnsi="Times New Roman" w:cs="Times New Roman"/>
          <w:sz w:val="24"/>
          <w:szCs w:val="24"/>
        </w:rPr>
        <w:t xml:space="preserve">a procedure that allows the traits of organisms to be quantified was used to examine the foraminiferal trait changes/variability across the analysed section.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940EB2"/>
    <w:multiLevelType w:val="multilevel"/>
    <w:tmpl w:val="6D940EB2"/>
    <w:lvl w:ilvl="0">
      <w:start w:val="1"/>
      <w:numFmt w:val="decimal"/>
      <w:lvlText w:val="%1."/>
      <w:lvlJc w:val="left"/>
      <w:pPr>
        <w:ind w:left="720" w:hanging="360"/>
      </w:pPr>
      <w:rPr>
        <w:rFonts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xsTQxMzY2MzcyM7ZU0lEKTi0uzszPAykwqgUAkE/cjCwAAAA="/>
  </w:docVars>
  <w:rsids>
    <w:rsidRoot w:val="00B36D26"/>
    <w:rsid w:val="97750C74"/>
    <w:rsid w:val="ADF5D32A"/>
    <w:rsid w:val="ADF76409"/>
    <w:rsid w:val="AEFF2C22"/>
    <w:rsid w:val="B9D6986F"/>
    <w:rsid w:val="BC950AB4"/>
    <w:rsid w:val="BDD3DC6A"/>
    <w:rsid w:val="C1EF6743"/>
    <w:rsid w:val="E3FE7CAB"/>
    <w:rsid w:val="EFBD3E85"/>
    <w:rsid w:val="F1FF1DB2"/>
    <w:rsid w:val="F5FF31B6"/>
    <w:rsid w:val="F75BBA18"/>
    <w:rsid w:val="FDEFC204"/>
    <w:rsid w:val="FEBBAE14"/>
    <w:rsid w:val="FFDE19A4"/>
    <w:rsid w:val="FFF777E9"/>
    <w:rsid w:val="00012DED"/>
    <w:rsid w:val="00014592"/>
    <w:rsid w:val="0004065D"/>
    <w:rsid w:val="00082EAE"/>
    <w:rsid w:val="00095C6F"/>
    <w:rsid w:val="000B429F"/>
    <w:rsid w:val="000C1D48"/>
    <w:rsid w:val="00132803"/>
    <w:rsid w:val="001538EF"/>
    <w:rsid w:val="001634E4"/>
    <w:rsid w:val="001768BC"/>
    <w:rsid w:val="00180AFD"/>
    <w:rsid w:val="001A63BA"/>
    <w:rsid w:val="001B51D6"/>
    <w:rsid w:val="001D1673"/>
    <w:rsid w:val="001D7B24"/>
    <w:rsid w:val="001E2251"/>
    <w:rsid w:val="001F71AE"/>
    <w:rsid w:val="0022747F"/>
    <w:rsid w:val="002345E4"/>
    <w:rsid w:val="00254DB4"/>
    <w:rsid w:val="002664DD"/>
    <w:rsid w:val="00282587"/>
    <w:rsid w:val="00292D94"/>
    <w:rsid w:val="002A229E"/>
    <w:rsid w:val="002A2F10"/>
    <w:rsid w:val="002A70FA"/>
    <w:rsid w:val="002B2697"/>
    <w:rsid w:val="002D6A37"/>
    <w:rsid w:val="002E3662"/>
    <w:rsid w:val="002E372A"/>
    <w:rsid w:val="0031559D"/>
    <w:rsid w:val="00325803"/>
    <w:rsid w:val="00331D63"/>
    <w:rsid w:val="00382C00"/>
    <w:rsid w:val="003A7654"/>
    <w:rsid w:val="003C14EA"/>
    <w:rsid w:val="00404075"/>
    <w:rsid w:val="004150D9"/>
    <w:rsid w:val="00442E35"/>
    <w:rsid w:val="004532DD"/>
    <w:rsid w:val="0048596F"/>
    <w:rsid w:val="00492621"/>
    <w:rsid w:val="004D7DB4"/>
    <w:rsid w:val="004E385B"/>
    <w:rsid w:val="004F27D1"/>
    <w:rsid w:val="00540A87"/>
    <w:rsid w:val="00543B9B"/>
    <w:rsid w:val="00564081"/>
    <w:rsid w:val="005679B9"/>
    <w:rsid w:val="00592C31"/>
    <w:rsid w:val="00593267"/>
    <w:rsid w:val="005C4C58"/>
    <w:rsid w:val="0062109E"/>
    <w:rsid w:val="00646EC2"/>
    <w:rsid w:val="006570C2"/>
    <w:rsid w:val="0068793B"/>
    <w:rsid w:val="006A68FA"/>
    <w:rsid w:val="007840C3"/>
    <w:rsid w:val="007908FD"/>
    <w:rsid w:val="007977D3"/>
    <w:rsid w:val="007D01AA"/>
    <w:rsid w:val="007D2600"/>
    <w:rsid w:val="0086269A"/>
    <w:rsid w:val="008A57B3"/>
    <w:rsid w:val="008C1160"/>
    <w:rsid w:val="009141BF"/>
    <w:rsid w:val="00915A59"/>
    <w:rsid w:val="009704C4"/>
    <w:rsid w:val="009973DF"/>
    <w:rsid w:val="009A1E0B"/>
    <w:rsid w:val="009C545F"/>
    <w:rsid w:val="00A16300"/>
    <w:rsid w:val="00A54B92"/>
    <w:rsid w:val="00A87344"/>
    <w:rsid w:val="00AB3881"/>
    <w:rsid w:val="00AC09EB"/>
    <w:rsid w:val="00AF1219"/>
    <w:rsid w:val="00B36D26"/>
    <w:rsid w:val="00C03C3A"/>
    <w:rsid w:val="00C10EFB"/>
    <w:rsid w:val="00C2318A"/>
    <w:rsid w:val="00C26BD7"/>
    <w:rsid w:val="00C33015"/>
    <w:rsid w:val="00C45642"/>
    <w:rsid w:val="00C749D5"/>
    <w:rsid w:val="00C86E87"/>
    <w:rsid w:val="00CA3301"/>
    <w:rsid w:val="00CD3BA9"/>
    <w:rsid w:val="00CD652A"/>
    <w:rsid w:val="00CD7F54"/>
    <w:rsid w:val="00CE23EB"/>
    <w:rsid w:val="00CE6CCC"/>
    <w:rsid w:val="00CF5136"/>
    <w:rsid w:val="00D278D5"/>
    <w:rsid w:val="00D30E36"/>
    <w:rsid w:val="00D3727D"/>
    <w:rsid w:val="00D40C71"/>
    <w:rsid w:val="00D53EC9"/>
    <w:rsid w:val="00DA07E4"/>
    <w:rsid w:val="00E47D35"/>
    <w:rsid w:val="00E82515"/>
    <w:rsid w:val="00EB02D6"/>
    <w:rsid w:val="00EB18F1"/>
    <w:rsid w:val="00EE6C8B"/>
    <w:rsid w:val="00EE70F7"/>
    <w:rsid w:val="00EE72AF"/>
    <w:rsid w:val="00F46C45"/>
    <w:rsid w:val="00F776F7"/>
    <w:rsid w:val="00FF7AF5"/>
    <w:rsid w:val="2F5B003F"/>
    <w:rsid w:val="36F42F77"/>
    <w:rsid w:val="3DF43CE6"/>
    <w:rsid w:val="3ECF1BA6"/>
    <w:rsid w:val="3EFEC2AD"/>
    <w:rsid w:val="4FBEE0EE"/>
    <w:rsid w:val="5BFF688E"/>
    <w:rsid w:val="5E92CF90"/>
    <w:rsid w:val="5F37EE22"/>
    <w:rsid w:val="77FCA0D2"/>
    <w:rsid w:val="7A37C744"/>
    <w:rsid w:val="7CD50B87"/>
    <w:rsid w:val="7FE745F2"/>
    <w:rsid w:val="7FFAC3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A460B-E7A1-49D1-BF10-D50A4987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240" w:after="0" w:line="360" w:lineRule="auto"/>
      <w:jc w:val="both"/>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uiPriority w:val="9"/>
    <w:unhideWhenUsed/>
    <w:qFormat/>
    <w:pPr>
      <w:spacing w:line="360" w:lineRule="auto"/>
      <w:jc w:val="both"/>
      <w:outlineLvl w:val="1"/>
    </w:pPr>
    <w:rPr>
      <w:rFonts w:ascii="Times New Roman" w:eastAsia="Calibri" w:hAnsi="Times New Roman" w:cs="Times New Roman"/>
      <w:b/>
      <w:sz w:val="24"/>
      <w:szCs w:val="24"/>
    </w:rPr>
  </w:style>
  <w:style w:type="paragraph" w:styleId="Heading3">
    <w:name w:val="heading 3"/>
    <w:basedOn w:val="Normal"/>
    <w:next w:val="Normal"/>
    <w:link w:val="Heading3Char"/>
    <w:uiPriority w:val="9"/>
    <w:unhideWhenUsed/>
    <w:qFormat/>
    <w:pPr>
      <w:keepNext/>
      <w:keepLines/>
      <w:spacing w:before="40" w:after="100" w:line="360" w:lineRule="auto"/>
      <w:outlineLvl w:val="2"/>
    </w:pPr>
    <w:rPr>
      <w:rFonts w:ascii="Times New Roman" w:eastAsia="Calibri" w:hAnsi="Times New Roman" w:cs="Times New Roman"/>
      <w:b/>
      <w:i/>
      <w:sz w:val="24"/>
      <w:szCs w:val="24"/>
    </w:rPr>
  </w:style>
  <w:style w:type="paragraph" w:styleId="Heading4">
    <w:name w:val="heading 4"/>
    <w:basedOn w:val="Normal"/>
    <w:next w:val="Normal"/>
    <w:link w:val="Heading4Char"/>
    <w:uiPriority w:val="9"/>
    <w:unhideWhenUsed/>
    <w:qFormat/>
    <w:pPr>
      <w:keepNext/>
      <w:keepLines/>
      <w:spacing w:before="40" w:after="60" w:line="360" w:lineRule="auto"/>
      <w:outlineLvl w:val="3"/>
    </w:pPr>
    <w:rPr>
      <w:rFonts w:ascii="Times New Roman" w:eastAsia="Calibri" w:hAnsi="Times New Roman" w:cs="Times New Roman"/>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99"/>
    <w:semiHidden/>
    <w:unhideWhenUsed/>
    <w:qFormat/>
    <w:pPr>
      <w:spacing w:after="120"/>
    </w:pPr>
  </w:style>
  <w:style w:type="paragraph" w:styleId="Caption">
    <w:name w:val="caption"/>
    <w:basedOn w:val="Normal"/>
    <w:next w:val="BodyText"/>
    <w:uiPriority w:val="35"/>
    <w:unhideWhenUsed/>
    <w:qFormat/>
    <w:pPr>
      <w:spacing w:line="240" w:lineRule="auto"/>
      <w:jc w:val="both"/>
    </w:pPr>
    <w:rPr>
      <w:rFonts w:ascii="Times New Roman" w:hAnsi="Times New Roman" w:cs="Times New Roman"/>
      <w:i/>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DocumentMap">
    <w:name w:val="Document Map"/>
    <w:basedOn w:val="Normal"/>
    <w:link w:val="DocumentMapChar"/>
    <w:uiPriority w:val="99"/>
    <w:semiHidden/>
    <w:unhideWhenUsed/>
    <w:qFormat/>
    <w:pPr>
      <w:spacing w:after="0" w:line="240" w:lineRule="auto"/>
    </w:pPr>
    <w:rPr>
      <w:rFonts w:ascii="Lucida Grande" w:hAnsi="Lucida Grande" w:cs="Lucida Grande"/>
      <w:sz w:val="24"/>
      <w:szCs w:val="24"/>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pPr>
    <w:rPr>
      <w:rFonts w:ascii="Calibri" w:eastAsia="Calibri" w:hAnsi="Calibri" w:cs="Times New Roman"/>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qFormat/>
    <w:rPr>
      <w:rFonts w:ascii="Times New Roman" w:hAnsi="Times New Roman" w:cs="Times New Roman"/>
      <w:sz w:val="24"/>
      <w:szCs w:val="24"/>
    </w:rPr>
  </w:style>
  <w:style w:type="paragraph" w:styleId="PlainText">
    <w:name w:val="Plain Text"/>
    <w:basedOn w:val="Normal"/>
    <w:link w:val="PlainTextChar"/>
    <w:uiPriority w:val="99"/>
    <w:semiHidden/>
    <w:unhideWhenUsed/>
    <w:qFormat/>
    <w:pPr>
      <w:spacing w:after="0" w:line="240" w:lineRule="auto"/>
    </w:pPr>
    <w:rPr>
      <w:rFonts w:ascii="Consolas" w:hAnsi="Consolas"/>
      <w:sz w:val="21"/>
      <w:szCs w:val="21"/>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qFormat/>
    <w:rPr>
      <w:rFonts w:ascii="Times New Roman" w:eastAsia="Calibri" w:hAnsi="Times New Roman" w:cs="Times New Roman"/>
      <w:b/>
      <w:sz w:val="24"/>
      <w:szCs w:val="24"/>
    </w:rPr>
  </w:style>
  <w:style w:type="character" w:customStyle="1" w:styleId="Heading3Char">
    <w:name w:val="Heading 3 Char"/>
    <w:basedOn w:val="DefaultParagraphFont"/>
    <w:link w:val="Heading3"/>
    <w:uiPriority w:val="9"/>
    <w:qFormat/>
    <w:rPr>
      <w:rFonts w:ascii="Times New Roman" w:eastAsia="Calibri" w:hAnsi="Times New Roman" w:cs="Times New Roman"/>
      <w:b/>
      <w:i/>
      <w:sz w:val="24"/>
      <w:szCs w:val="24"/>
    </w:rPr>
  </w:style>
  <w:style w:type="character" w:customStyle="1" w:styleId="Heading4Char">
    <w:name w:val="Heading 4 Char"/>
    <w:basedOn w:val="DefaultParagraphFont"/>
    <w:link w:val="Heading4"/>
    <w:uiPriority w:val="9"/>
    <w:qFormat/>
    <w:rPr>
      <w:rFonts w:ascii="Times New Roman" w:eastAsia="Calibri" w:hAnsi="Times New Roman" w:cs="Times New Roman"/>
      <w:b/>
      <w:iCs/>
      <w:sz w:val="24"/>
      <w:szCs w:val="24"/>
    </w:rPr>
  </w:style>
  <w:style w:type="character" w:customStyle="1" w:styleId="FooterChar">
    <w:name w:val="Footer Char"/>
    <w:basedOn w:val="DefaultParagraphFont"/>
    <w:link w:val="Footer"/>
    <w:uiPriority w:val="99"/>
    <w:qFormat/>
    <w:rPr>
      <w:rFonts w:ascii="Calibri" w:eastAsia="Calibri" w:hAnsi="Calibri" w:cs="Times New Roman"/>
    </w:rPr>
  </w:style>
  <w:style w:type="paragraph" w:styleId="ListParagraph">
    <w:name w:val="List Paragraph"/>
    <w:basedOn w:val="Normal"/>
    <w:uiPriority w:val="34"/>
    <w:qFormat/>
    <w:pPr>
      <w:ind w:left="720"/>
      <w:contextualSpacing/>
    </w:pPr>
  </w:style>
  <w:style w:type="character" w:customStyle="1" w:styleId="Hyperlink1">
    <w:name w:val="Hyperlink1"/>
    <w:basedOn w:val="DefaultParagraphFont"/>
    <w:uiPriority w:val="99"/>
    <w:unhideWhenUsed/>
    <w:qFormat/>
    <w:rPr>
      <w:color w:val="0563C1"/>
      <w:u w:val="single"/>
    </w:rPr>
  </w:style>
  <w:style w:type="character" w:customStyle="1" w:styleId="HeaderChar">
    <w:name w:val="Header Char"/>
    <w:basedOn w:val="DefaultParagraphFont"/>
    <w:link w:val="Head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EndnoteTextChar">
    <w:name w:val="Endnote Text Char"/>
    <w:basedOn w:val="DefaultParagraphFont"/>
    <w:link w:val="EndnoteText"/>
    <w:uiPriority w:val="99"/>
    <w:semiHidden/>
    <w:qFormat/>
    <w:rPr>
      <w:sz w:val="20"/>
      <w:szCs w:val="20"/>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qFormat/>
    <w:pPr>
      <w:spacing w:before="100" w:beforeAutospacing="1" w:after="100" w:afterAutospacing="1" w:line="240" w:lineRule="auto"/>
    </w:pPr>
    <w:rPr>
      <w:rFonts w:ascii="Times New Roman" w:eastAsia="MS Mincho" w:hAnsi="Times New Roman" w:cs="Times New Roman"/>
      <w:sz w:val="24"/>
      <w:szCs w:val="24"/>
      <w:lang w:eastAsia="en-GB"/>
    </w:rPr>
  </w:style>
  <w:style w:type="paragraph" w:customStyle="1" w:styleId="Revision1">
    <w:name w:val="Revision1"/>
    <w:hidden/>
    <w:uiPriority w:val="99"/>
    <w:semiHidden/>
    <w:qFormat/>
    <w:rPr>
      <w:rFonts w:asciiTheme="minorHAnsi" w:eastAsiaTheme="minorHAnsi" w:hAnsiTheme="minorHAnsi" w:cstheme="minorBidi"/>
      <w:sz w:val="22"/>
      <w:szCs w:val="22"/>
      <w:lang w:eastAsia="en-US"/>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uiPriority w:val="99"/>
    <w:semiHidden/>
    <w:qFormat/>
    <w:rPr>
      <w:rFonts w:ascii="Lucida Grande" w:hAnsi="Lucida Grande" w:cs="Lucida Grande"/>
      <w:sz w:val="24"/>
      <w:szCs w:val="24"/>
    </w:rPr>
  </w:style>
  <w:style w:type="character" w:customStyle="1" w:styleId="PlainTextChar">
    <w:name w:val="Plain Text Char"/>
    <w:basedOn w:val="DefaultParagraphFont"/>
    <w:link w:val="PlainText"/>
    <w:uiPriority w:val="99"/>
    <w:semiHidden/>
    <w:qFormat/>
    <w:rPr>
      <w:rFonts w:ascii="Consolas" w:hAnsi="Consolas"/>
      <w:sz w:val="21"/>
      <w:szCs w:val="21"/>
    </w:rPr>
  </w:style>
  <w:style w:type="character" w:customStyle="1" w:styleId="BodyTextChar">
    <w:name w:val="Body Text Char"/>
    <w:basedOn w:val="DefaultParagraphFont"/>
    <w:link w:val="BodyText"/>
    <w:uiPriority w:val="99"/>
    <w:semiHidden/>
    <w:qFormat/>
  </w:style>
  <w:style w:type="table" w:customStyle="1" w:styleId="TableGrid4">
    <w:name w:val="Table Grid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fossilworks.or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laeodb.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odp.tamu.edu/publications/208_IR/208ir.htm" TargetMode="External"/><Relationship Id="rId10" Type="http://schemas.openxmlformats.org/officeDocument/2006/relationships/hyperlink" Target="http://www.marinespecies.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doi.org/10.1007/s00442-016-3747-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Sheet1!$C$42</c:f>
              <c:strCache>
                <c:ptCount val="1"/>
                <c:pt idx="0">
                  <c:v>Pre CIE</c:v>
                </c:pt>
              </c:strCache>
            </c:strRef>
          </c:tx>
          <c:spPr>
            <a:solidFill>
              <a:schemeClr val="bg1">
                <a:lumMod val="65000"/>
              </a:schemeClr>
            </a:solidFill>
            <a:ln>
              <a:noFill/>
            </a:ln>
            <a:effectLst/>
          </c:spPr>
          <c:invertIfNegative val="0"/>
          <c:cat>
            <c:strRef>
              <c:f>Sheet1!$B$43:$B$65</c:f>
              <c:strCache>
                <c:ptCount val="23"/>
                <c:pt idx="0">
                  <c:v>A1. Spiral</c:v>
                </c:pt>
                <c:pt idx="1">
                  <c:v>A2. Elongate</c:v>
                </c:pt>
                <c:pt idx="2">
                  <c:v>B3. Hyaline calcite</c:v>
                </c:pt>
                <c:pt idx="3">
                  <c:v>B5. Porcellanous</c:v>
                </c:pt>
                <c:pt idx="4">
                  <c:v>C3. Bi/Tri-serial</c:v>
                </c:pt>
                <c:pt idx="5">
                  <c:v>C5. Trochospiral</c:v>
                </c:pt>
                <c:pt idx="6">
                  <c:v>D1. Spherical/Oval</c:v>
                </c:pt>
                <c:pt idx="7">
                  <c:v>D3. Triangular </c:v>
                </c:pt>
                <c:pt idx="8">
                  <c:v>F1. No ornament</c:v>
                </c:pt>
                <c:pt idx="9">
                  <c:v>G2. Arcuate</c:v>
                </c:pt>
                <c:pt idx="10">
                  <c:v>G4. Slit-like</c:v>
                </c:pt>
                <c:pt idx="11">
                  <c:v>H1.Lips</c:v>
                </c:pt>
                <c:pt idx="12">
                  <c:v>H2. Bifid teeth</c:v>
                </c:pt>
                <c:pt idx="13">
                  <c:v>H5. None</c:v>
                </c:pt>
                <c:pt idx="14">
                  <c:v>I1. Terminal</c:v>
                </c:pt>
                <c:pt idx="15">
                  <c:v>I2. Basal interiomarginal</c:v>
                </c:pt>
                <c:pt idx="16">
                  <c:v>J1. Microperforation </c:v>
                </c:pt>
                <c:pt idx="17">
                  <c:v>J3. Macro-perforation</c:v>
                </c:pt>
                <c:pt idx="18">
                  <c:v>J4. no perforation</c:v>
                </c:pt>
                <c:pt idx="19">
                  <c:v>K2. Shallow-infaunal</c:v>
                </c:pt>
                <c:pt idx="20">
                  <c:v>K3. Deep- infaunal</c:v>
                </c:pt>
                <c:pt idx="21">
                  <c:v>L1. Deposit feeder</c:v>
                </c:pt>
                <c:pt idx="22">
                  <c:v>M1. Sessile</c:v>
                </c:pt>
              </c:strCache>
            </c:strRef>
          </c:cat>
          <c:val>
            <c:numRef>
              <c:f>Sheet1!$C$43:$C$65</c:f>
              <c:numCache>
                <c:formatCode>General</c:formatCode>
                <c:ptCount val="23"/>
                <c:pt idx="0">
                  <c:v>3.73</c:v>
                </c:pt>
                <c:pt idx="1">
                  <c:v>3.02</c:v>
                </c:pt>
                <c:pt idx="2">
                  <c:v>4.41</c:v>
                </c:pt>
                <c:pt idx="3">
                  <c:v>1.8</c:v>
                </c:pt>
                <c:pt idx="4">
                  <c:v>3.1</c:v>
                </c:pt>
                <c:pt idx="5">
                  <c:v>2.56</c:v>
                </c:pt>
                <c:pt idx="6">
                  <c:v>1.46</c:v>
                </c:pt>
                <c:pt idx="7">
                  <c:v>3.47</c:v>
                </c:pt>
                <c:pt idx="8">
                  <c:v>4.4400000000000004</c:v>
                </c:pt>
                <c:pt idx="9">
                  <c:v>2.46</c:v>
                </c:pt>
                <c:pt idx="10">
                  <c:v>3.89</c:v>
                </c:pt>
                <c:pt idx="11">
                  <c:v>1.92</c:v>
                </c:pt>
                <c:pt idx="12">
                  <c:v>1.49</c:v>
                </c:pt>
                <c:pt idx="13">
                  <c:v>3.78</c:v>
                </c:pt>
                <c:pt idx="14">
                  <c:v>2.3199999999999998</c:v>
                </c:pt>
                <c:pt idx="15">
                  <c:v>2.88</c:v>
                </c:pt>
                <c:pt idx="16">
                  <c:v>0.53</c:v>
                </c:pt>
                <c:pt idx="17">
                  <c:v>1.71</c:v>
                </c:pt>
                <c:pt idx="18">
                  <c:v>1.53</c:v>
                </c:pt>
                <c:pt idx="19">
                  <c:v>3.64</c:v>
                </c:pt>
                <c:pt idx="20">
                  <c:v>2.5099999999999998</c:v>
                </c:pt>
                <c:pt idx="21">
                  <c:v>4.24</c:v>
                </c:pt>
                <c:pt idx="22">
                  <c:v>5.18</c:v>
                </c:pt>
              </c:numCache>
            </c:numRef>
          </c:val>
          <c:extLst>
            <c:ext xmlns:c16="http://schemas.microsoft.com/office/drawing/2014/chart" uri="{C3380CC4-5D6E-409C-BE32-E72D297353CC}">
              <c16:uniqueId val="{00000000-7F9F-4F0C-907A-AC3E81225A11}"/>
            </c:ext>
          </c:extLst>
        </c:ser>
        <c:ser>
          <c:idx val="1"/>
          <c:order val="1"/>
          <c:tx>
            <c:strRef>
              <c:f>Sheet1!$D$42</c:f>
              <c:strCache>
                <c:ptCount val="1"/>
                <c:pt idx="0">
                  <c:v>CIE</c:v>
                </c:pt>
              </c:strCache>
            </c:strRef>
          </c:tx>
          <c:spPr>
            <a:solidFill>
              <a:srgbClr val="00FFCC"/>
            </a:solidFill>
            <a:ln>
              <a:noFill/>
            </a:ln>
            <a:effectLst/>
          </c:spPr>
          <c:invertIfNegative val="0"/>
          <c:cat>
            <c:strRef>
              <c:f>Sheet1!$B$43:$B$65</c:f>
              <c:strCache>
                <c:ptCount val="23"/>
                <c:pt idx="0">
                  <c:v>A1. Spiral</c:v>
                </c:pt>
                <c:pt idx="1">
                  <c:v>A2. Elongate</c:v>
                </c:pt>
                <c:pt idx="2">
                  <c:v>B3. Hyaline calcite</c:v>
                </c:pt>
                <c:pt idx="3">
                  <c:v>B5. Porcellanous</c:v>
                </c:pt>
                <c:pt idx="4">
                  <c:v>C3. Bi/Tri-serial</c:v>
                </c:pt>
                <c:pt idx="5">
                  <c:v>C5. Trochospiral</c:v>
                </c:pt>
                <c:pt idx="6">
                  <c:v>D1. Spherical/Oval</c:v>
                </c:pt>
                <c:pt idx="7">
                  <c:v>D3. Triangular </c:v>
                </c:pt>
                <c:pt idx="8">
                  <c:v>F1. No ornament</c:v>
                </c:pt>
                <c:pt idx="9">
                  <c:v>G2. Arcuate</c:v>
                </c:pt>
                <c:pt idx="10">
                  <c:v>G4. Slit-like</c:v>
                </c:pt>
                <c:pt idx="11">
                  <c:v>H1.Lips</c:v>
                </c:pt>
                <c:pt idx="12">
                  <c:v>H2. Bifid teeth</c:v>
                </c:pt>
                <c:pt idx="13">
                  <c:v>H5. None</c:v>
                </c:pt>
                <c:pt idx="14">
                  <c:v>I1. Terminal</c:v>
                </c:pt>
                <c:pt idx="15">
                  <c:v>I2. Basal interiomarginal</c:v>
                </c:pt>
                <c:pt idx="16">
                  <c:v>J1. Microperforation </c:v>
                </c:pt>
                <c:pt idx="17">
                  <c:v>J3. Macro-perforation</c:v>
                </c:pt>
                <c:pt idx="18">
                  <c:v>J4. no perforation</c:v>
                </c:pt>
                <c:pt idx="19">
                  <c:v>K2. Shallow-infaunal</c:v>
                </c:pt>
                <c:pt idx="20">
                  <c:v>K3. Deep- infaunal</c:v>
                </c:pt>
                <c:pt idx="21">
                  <c:v>L1. Deposit feeder</c:v>
                </c:pt>
                <c:pt idx="22">
                  <c:v>M1. Sessile</c:v>
                </c:pt>
              </c:strCache>
            </c:strRef>
          </c:cat>
          <c:val>
            <c:numRef>
              <c:f>Sheet1!$D$43:$D$65</c:f>
              <c:numCache>
                <c:formatCode>General</c:formatCode>
                <c:ptCount val="23"/>
                <c:pt idx="0">
                  <c:v>3.77</c:v>
                </c:pt>
                <c:pt idx="1">
                  <c:v>3.25</c:v>
                </c:pt>
                <c:pt idx="2">
                  <c:v>3.55</c:v>
                </c:pt>
                <c:pt idx="3">
                  <c:v>2.89</c:v>
                </c:pt>
                <c:pt idx="4">
                  <c:v>3.24</c:v>
                </c:pt>
                <c:pt idx="5">
                  <c:v>3.11</c:v>
                </c:pt>
                <c:pt idx="6">
                  <c:v>2.39</c:v>
                </c:pt>
                <c:pt idx="7">
                  <c:v>3.17</c:v>
                </c:pt>
                <c:pt idx="8">
                  <c:v>5.0199999999999996</c:v>
                </c:pt>
                <c:pt idx="9">
                  <c:v>2.79</c:v>
                </c:pt>
                <c:pt idx="10">
                  <c:v>3.83</c:v>
                </c:pt>
                <c:pt idx="11">
                  <c:v>1.92</c:v>
                </c:pt>
                <c:pt idx="12">
                  <c:v>1.49</c:v>
                </c:pt>
                <c:pt idx="13">
                  <c:v>4.5199999999999996</c:v>
                </c:pt>
                <c:pt idx="14">
                  <c:v>2.3199999999999998</c:v>
                </c:pt>
                <c:pt idx="15">
                  <c:v>3.56</c:v>
                </c:pt>
                <c:pt idx="16">
                  <c:v>0.53</c:v>
                </c:pt>
                <c:pt idx="17">
                  <c:v>1.71</c:v>
                </c:pt>
                <c:pt idx="18">
                  <c:v>2.96</c:v>
                </c:pt>
                <c:pt idx="19">
                  <c:v>3</c:v>
                </c:pt>
                <c:pt idx="20">
                  <c:v>2.5099999999999998</c:v>
                </c:pt>
                <c:pt idx="21">
                  <c:v>4.24</c:v>
                </c:pt>
                <c:pt idx="22">
                  <c:v>5.15</c:v>
                </c:pt>
              </c:numCache>
            </c:numRef>
          </c:val>
          <c:extLst>
            <c:ext xmlns:c16="http://schemas.microsoft.com/office/drawing/2014/chart" uri="{C3380CC4-5D6E-409C-BE32-E72D297353CC}">
              <c16:uniqueId val="{00000001-7F9F-4F0C-907A-AC3E81225A11}"/>
            </c:ext>
          </c:extLst>
        </c:ser>
        <c:ser>
          <c:idx val="2"/>
          <c:order val="2"/>
          <c:tx>
            <c:strRef>
              <c:f>Sheet1!$E$42</c:f>
              <c:strCache>
                <c:ptCount val="1"/>
                <c:pt idx="0">
                  <c:v>REC</c:v>
                </c:pt>
              </c:strCache>
            </c:strRef>
          </c:tx>
          <c:spPr>
            <a:solidFill>
              <a:srgbClr val="0000FF"/>
            </a:solidFill>
            <a:ln>
              <a:noFill/>
            </a:ln>
            <a:effectLst/>
          </c:spPr>
          <c:invertIfNegative val="0"/>
          <c:cat>
            <c:strRef>
              <c:f>Sheet1!$B$43:$B$65</c:f>
              <c:strCache>
                <c:ptCount val="23"/>
                <c:pt idx="0">
                  <c:v>A1. Spiral</c:v>
                </c:pt>
                <c:pt idx="1">
                  <c:v>A2. Elongate</c:v>
                </c:pt>
                <c:pt idx="2">
                  <c:v>B3. Hyaline calcite</c:v>
                </c:pt>
                <c:pt idx="3">
                  <c:v>B5. Porcellanous</c:v>
                </c:pt>
                <c:pt idx="4">
                  <c:v>C3. Bi/Tri-serial</c:v>
                </c:pt>
                <c:pt idx="5">
                  <c:v>C5. Trochospiral</c:v>
                </c:pt>
                <c:pt idx="6">
                  <c:v>D1. Spherical/Oval</c:v>
                </c:pt>
                <c:pt idx="7">
                  <c:v>D3. Triangular </c:v>
                </c:pt>
                <c:pt idx="8">
                  <c:v>F1. No ornament</c:v>
                </c:pt>
                <c:pt idx="9">
                  <c:v>G2. Arcuate</c:v>
                </c:pt>
                <c:pt idx="10">
                  <c:v>G4. Slit-like</c:v>
                </c:pt>
                <c:pt idx="11">
                  <c:v>H1.Lips</c:v>
                </c:pt>
                <c:pt idx="12">
                  <c:v>H2. Bifid teeth</c:v>
                </c:pt>
                <c:pt idx="13">
                  <c:v>H5. None</c:v>
                </c:pt>
                <c:pt idx="14">
                  <c:v>I1. Terminal</c:v>
                </c:pt>
                <c:pt idx="15">
                  <c:v>I2. Basal interiomarginal</c:v>
                </c:pt>
                <c:pt idx="16">
                  <c:v>J1. Microperforation </c:v>
                </c:pt>
                <c:pt idx="17">
                  <c:v>J3. Macro-perforation</c:v>
                </c:pt>
                <c:pt idx="18">
                  <c:v>J4. no perforation</c:v>
                </c:pt>
                <c:pt idx="19">
                  <c:v>K2. Shallow-infaunal</c:v>
                </c:pt>
                <c:pt idx="20">
                  <c:v>K3. Deep- infaunal</c:v>
                </c:pt>
                <c:pt idx="21">
                  <c:v>L1. Deposit feeder</c:v>
                </c:pt>
                <c:pt idx="22">
                  <c:v>M1. Sessile</c:v>
                </c:pt>
              </c:strCache>
            </c:strRef>
          </c:cat>
          <c:val>
            <c:numRef>
              <c:f>Sheet1!$E$43:$E$65</c:f>
              <c:numCache>
                <c:formatCode>General</c:formatCode>
                <c:ptCount val="23"/>
                <c:pt idx="0">
                  <c:v>2.91</c:v>
                </c:pt>
                <c:pt idx="1">
                  <c:v>4.45</c:v>
                </c:pt>
                <c:pt idx="2">
                  <c:v>3.83</c:v>
                </c:pt>
                <c:pt idx="3">
                  <c:v>3.19</c:v>
                </c:pt>
                <c:pt idx="4">
                  <c:v>3.55</c:v>
                </c:pt>
                <c:pt idx="5">
                  <c:v>2.2000000000000002</c:v>
                </c:pt>
                <c:pt idx="6">
                  <c:v>2.86</c:v>
                </c:pt>
                <c:pt idx="7">
                  <c:v>2.2200000000000002</c:v>
                </c:pt>
                <c:pt idx="8">
                  <c:v>4.09</c:v>
                </c:pt>
                <c:pt idx="9">
                  <c:v>3.34</c:v>
                </c:pt>
                <c:pt idx="10">
                  <c:v>2.82</c:v>
                </c:pt>
                <c:pt idx="11">
                  <c:v>0.84</c:v>
                </c:pt>
                <c:pt idx="12">
                  <c:v>2.27</c:v>
                </c:pt>
                <c:pt idx="13">
                  <c:v>3.2</c:v>
                </c:pt>
                <c:pt idx="14">
                  <c:v>3.17</c:v>
                </c:pt>
                <c:pt idx="15">
                  <c:v>2.94</c:v>
                </c:pt>
                <c:pt idx="16">
                  <c:v>1.47</c:v>
                </c:pt>
                <c:pt idx="17">
                  <c:v>0.53</c:v>
                </c:pt>
                <c:pt idx="18">
                  <c:v>1.96</c:v>
                </c:pt>
                <c:pt idx="19">
                  <c:v>3.9</c:v>
                </c:pt>
                <c:pt idx="20">
                  <c:v>2.81</c:v>
                </c:pt>
                <c:pt idx="21">
                  <c:v>5.18</c:v>
                </c:pt>
                <c:pt idx="22">
                  <c:v>5.86</c:v>
                </c:pt>
              </c:numCache>
            </c:numRef>
          </c:val>
          <c:extLst>
            <c:ext xmlns:c16="http://schemas.microsoft.com/office/drawing/2014/chart" uri="{C3380CC4-5D6E-409C-BE32-E72D297353CC}">
              <c16:uniqueId val="{00000002-7F9F-4F0C-907A-AC3E81225A11}"/>
            </c:ext>
          </c:extLst>
        </c:ser>
        <c:ser>
          <c:idx val="3"/>
          <c:order val="3"/>
          <c:tx>
            <c:strRef>
              <c:f>Sheet1!$F$42</c:f>
              <c:strCache>
                <c:ptCount val="1"/>
                <c:pt idx="0">
                  <c:v>% Contribution</c:v>
                </c:pt>
              </c:strCache>
            </c:strRef>
          </c:tx>
          <c:spPr>
            <a:solidFill>
              <a:srgbClr val="00B050"/>
            </a:solidFill>
            <a:ln>
              <a:noFill/>
            </a:ln>
            <a:effectLst/>
          </c:spPr>
          <c:invertIfNegative val="0"/>
          <c:cat>
            <c:strRef>
              <c:f>Sheet1!$B$43:$B$65</c:f>
              <c:strCache>
                <c:ptCount val="23"/>
                <c:pt idx="0">
                  <c:v>A1. Spiral</c:v>
                </c:pt>
                <c:pt idx="1">
                  <c:v>A2. Elongate</c:v>
                </c:pt>
                <c:pt idx="2">
                  <c:v>B3. Hyaline calcite</c:v>
                </c:pt>
                <c:pt idx="3">
                  <c:v>B5. Porcellanous</c:v>
                </c:pt>
                <c:pt idx="4">
                  <c:v>C3. Bi/Tri-serial</c:v>
                </c:pt>
                <c:pt idx="5">
                  <c:v>C5. Trochospiral</c:v>
                </c:pt>
                <c:pt idx="6">
                  <c:v>D1. Spherical/Oval</c:v>
                </c:pt>
                <c:pt idx="7">
                  <c:v>D3. Triangular </c:v>
                </c:pt>
                <c:pt idx="8">
                  <c:v>F1. No ornament</c:v>
                </c:pt>
                <c:pt idx="9">
                  <c:v>G2. Arcuate</c:v>
                </c:pt>
                <c:pt idx="10">
                  <c:v>G4. Slit-like</c:v>
                </c:pt>
                <c:pt idx="11">
                  <c:v>H1.Lips</c:v>
                </c:pt>
                <c:pt idx="12">
                  <c:v>H2. Bifid teeth</c:v>
                </c:pt>
                <c:pt idx="13">
                  <c:v>H5. None</c:v>
                </c:pt>
                <c:pt idx="14">
                  <c:v>I1. Terminal</c:v>
                </c:pt>
                <c:pt idx="15">
                  <c:v>I2. Basal interiomarginal</c:v>
                </c:pt>
                <c:pt idx="16">
                  <c:v>J1. Microperforation </c:v>
                </c:pt>
                <c:pt idx="17">
                  <c:v>J3. Macro-perforation</c:v>
                </c:pt>
                <c:pt idx="18">
                  <c:v>J4. no perforation</c:v>
                </c:pt>
                <c:pt idx="19">
                  <c:v>K2. Shallow-infaunal</c:v>
                </c:pt>
                <c:pt idx="20">
                  <c:v>K3. Deep- infaunal</c:v>
                </c:pt>
                <c:pt idx="21">
                  <c:v>L1. Deposit feeder</c:v>
                </c:pt>
                <c:pt idx="22">
                  <c:v>M1. Sessile</c:v>
                </c:pt>
              </c:strCache>
            </c:strRef>
          </c:cat>
          <c:val>
            <c:numRef>
              <c:f>Sheet1!$F$43:$F$65</c:f>
              <c:numCache>
                <c:formatCode>General</c:formatCode>
                <c:ptCount val="23"/>
                <c:pt idx="0">
                  <c:v>2.93</c:v>
                </c:pt>
                <c:pt idx="1">
                  <c:v>3.44</c:v>
                </c:pt>
                <c:pt idx="2">
                  <c:v>2.82</c:v>
                </c:pt>
                <c:pt idx="3">
                  <c:v>4.1100000000000003</c:v>
                </c:pt>
                <c:pt idx="4">
                  <c:v>2.5299999999999998</c:v>
                </c:pt>
                <c:pt idx="5">
                  <c:v>3.3</c:v>
                </c:pt>
                <c:pt idx="6">
                  <c:v>2.4500000000000002</c:v>
                </c:pt>
                <c:pt idx="7">
                  <c:v>3.25</c:v>
                </c:pt>
                <c:pt idx="8">
                  <c:v>2.74</c:v>
                </c:pt>
                <c:pt idx="9">
                  <c:v>2.82</c:v>
                </c:pt>
                <c:pt idx="10">
                  <c:v>3.66</c:v>
                </c:pt>
                <c:pt idx="11">
                  <c:v>2.86</c:v>
                </c:pt>
                <c:pt idx="12">
                  <c:v>2.54</c:v>
                </c:pt>
                <c:pt idx="13">
                  <c:v>3.51</c:v>
                </c:pt>
                <c:pt idx="14">
                  <c:v>3.02</c:v>
                </c:pt>
                <c:pt idx="15">
                  <c:v>2.39</c:v>
                </c:pt>
                <c:pt idx="16">
                  <c:v>2.8</c:v>
                </c:pt>
                <c:pt idx="17">
                  <c:v>3.11</c:v>
                </c:pt>
                <c:pt idx="18">
                  <c:v>3.13</c:v>
                </c:pt>
                <c:pt idx="19">
                  <c:v>2.74</c:v>
                </c:pt>
                <c:pt idx="20">
                  <c:v>2.44</c:v>
                </c:pt>
                <c:pt idx="21">
                  <c:v>2.5</c:v>
                </c:pt>
                <c:pt idx="22">
                  <c:v>3.22</c:v>
                </c:pt>
              </c:numCache>
            </c:numRef>
          </c:val>
          <c:extLst>
            <c:ext xmlns:c16="http://schemas.microsoft.com/office/drawing/2014/chart" uri="{C3380CC4-5D6E-409C-BE32-E72D297353CC}">
              <c16:uniqueId val="{00000003-7F9F-4F0C-907A-AC3E81225A11}"/>
            </c:ext>
          </c:extLst>
        </c:ser>
        <c:dLbls>
          <c:showLegendKey val="0"/>
          <c:showVal val="0"/>
          <c:showCatName val="0"/>
          <c:showSerName val="0"/>
          <c:showPercent val="0"/>
          <c:showBubbleSize val="0"/>
        </c:dLbls>
        <c:gapWidth val="50"/>
        <c:axId val="-674687104"/>
        <c:axId val="-674683840"/>
      </c:barChart>
      <c:catAx>
        <c:axId val="-674687104"/>
        <c:scaling>
          <c:orientation val="maxMin"/>
        </c:scaling>
        <c:delete val="0"/>
        <c:axPos val="l"/>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74683840"/>
        <c:crosses val="autoZero"/>
        <c:auto val="1"/>
        <c:lblAlgn val="ctr"/>
        <c:lblOffset val="100"/>
        <c:noMultiLvlLbl val="0"/>
      </c:catAx>
      <c:valAx>
        <c:axId val="-674683840"/>
        <c:scaling>
          <c:orientation val="minMax"/>
        </c:scaling>
        <c:delete val="0"/>
        <c:axPos val="t"/>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lang="en-US" sz="1600" b="1" i="0" u="none" strike="noStrike" kern="1200" baseline="0">
                <a:solidFill>
                  <a:sysClr val="windowText" lastClr="000000"/>
                </a:solidFill>
                <a:latin typeface="+mn-lt"/>
                <a:ea typeface="+mn-ea"/>
                <a:cs typeface="+mn-cs"/>
              </a:defRPr>
            </a:pPr>
            <a:endParaRPr lang="en-US"/>
          </a:p>
        </c:txPr>
        <c:crossAx val="-67468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4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0.01119</cdr:x>
      <cdr:y>0.01728</cdr:y>
    </cdr:from>
    <cdr:to>
      <cdr:x>0.20799</cdr:x>
      <cdr:y>0.05741</cdr:y>
    </cdr:to>
    <cdr:sp macro="" textlink="">
      <cdr:nvSpPr>
        <cdr:cNvPr id="2" name="Rectangles 1"/>
        <cdr:cNvSpPr/>
      </cdr:nvSpPr>
      <cdr:spPr>
        <a:xfrm xmlns:a="http://schemas.openxmlformats.org/drawingml/2006/main">
          <a:off x="69301" y="148386"/>
          <a:ext cx="1218810" cy="344596"/>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400" b="1"/>
            <a:t>1265 Benthic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11008</Words>
  <Characters>62752</Characters>
  <Application>Microsoft Office Word</Application>
  <DocSecurity>0</DocSecurity>
  <Lines>522</Lines>
  <Paragraphs>147</Paragraphs>
  <ScaleCrop>false</ScaleCrop>
  <Company>The University of Liverpool</Company>
  <LinksUpToDate>false</LinksUpToDate>
  <CharactersWithSpaces>73613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Nwojiji, Celestine</dc:creator>
  <cp:lastModifiedBy>Marret-Davies, Fabienne</cp:lastModifiedBy>
  <cp:revision>2</cp:revision>
  <dcterms:created xsi:type="dcterms:W3CDTF">2023-05-02T10:19:00Z</dcterms:created>
  <dcterms:modified xsi:type="dcterms:W3CDTF">2023-05-02T10:19:00Z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1033-4.7.0.7770</vt:lpwstr>
  </property>
</Properties>
</file>