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6B7F55" w14:textId="36402C76" w:rsidR="00E15E38" w:rsidRPr="004A7284" w:rsidRDefault="00E15E38" w:rsidP="007420DD">
      <w:pPr>
        <w:rPr>
          <w:rFonts w:cstheme="minorHAnsi"/>
          <w:lang w:val="en-GB"/>
        </w:rPr>
      </w:pPr>
      <w:bookmarkStart w:id="0" w:name="_GoBack"/>
      <w:bookmarkEnd w:id="0"/>
      <w:r w:rsidRPr="004A7284">
        <w:rPr>
          <w:rFonts w:cstheme="minorHAnsi"/>
          <w:u w:val="single"/>
          <w:lang w:val="en-GB"/>
        </w:rPr>
        <w:t>Prevalence and Incidence of Alcohol Dependence: Cross-sectional primary care analysis in Liverpool</w:t>
      </w:r>
      <w:r w:rsidR="00015B40" w:rsidRPr="004A7284">
        <w:rPr>
          <w:rFonts w:cstheme="minorHAnsi"/>
          <w:u w:val="single"/>
          <w:lang w:val="en-GB"/>
        </w:rPr>
        <w:t>, UK.</w:t>
      </w:r>
      <w:r w:rsidRPr="004A7284">
        <w:rPr>
          <w:rFonts w:cstheme="minorHAnsi"/>
          <w:lang w:val="en-GB"/>
        </w:rPr>
        <w:t xml:space="preserve"> </w:t>
      </w:r>
    </w:p>
    <w:p w14:paraId="4BA81C1A" w14:textId="77777777" w:rsidR="00E15E38" w:rsidRPr="004A7284" w:rsidRDefault="00E15E38" w:rsidP="007420DD">
      <w:pPr>
        <w:rPr>
          <w:rFonts w:cstheme="minorHAnsi"/>
          <w:lang w:val="en-GB"/>
        </w:rPr>
      </w:pPr>
    </w:p>
    <w:p w14:paraId="4BDF169E" w14:textId="77777777" w:rsidR="00E31366" w:rsidRPr="004A7284" w:rsidRDefault="00E31366" w:rsidP="007420DD">
      <w:pPr>
        <w:rPr>
          <w:rFonts w:cstheme="minorHAnsi"/>
          <w:lang w:val="en-GB"/>
        </w:rPr>
      </w:pPr>
    </w:p>
    <w:p w14:paraId="4337CFC3" w14:textId="0CE0C28A" w:rsidR="00CD4D8C" w:rsidRPr="004A7284" w:rsidRDefault="007420DD" w:rsidP="007420DD">
      <w:pPr>
        <w:rPr>
          <w:rFonts w:cstheme="minorHAnsi"/>
          <w:vertAlign w:val="superscript"/>
          <w:lang w:val="en-GB"/>
        </w:rPr>
      </w:pPr>
      <w:r w:rsidRPr="004A7284">
        <w:rPr>
          <w:rFonts w:cstheme="minorHAnsi"/>
          <w:lang w:val="en-GB"/>
        </w:rPr>
        <w:t>Authors: Catharine</w:t>
      </w:r>
      <w:r w:rsidR="00CD4D8C" w:rsidRPr="004A7284">
        <w:rPr>
          <w:rFonts w:cstheme="minorHAnsi"/>
          <w:lang w:val="en-GB"/>
        </w:rPr>
        <w:t xml:space="preserve"> Montgomery</w:t>
      </w:r>
      <w:r w:rsidR="009E7575" w:rsidRPr="004A7284">
        <w:rPr>
          <w:rFonts w:cstheme="minorHAnsi"/>
          <w:vertAlign w:val="superscript"/>
          <w:lang w:val="en-GB"/>
        </w:rPr>
        <w:t>1</w:t>
      </w:r>
      <w:r w:rsidR="00CD4D8C" w:rsidRPr="004A7284">
        <w:rPr>
          <w:rFonts w:cstheme="minorHAnsi"/>
          <w:lang w:val="en-GB"/>
        </w:rPr>
        <w:t xml:space="preserve">, </w:t>
      </w:r>
      <w:r w:rsidRPr="004A7284">
        <w:rPr>
          <w:rFonts w:cstheme="minorHAnsi"/>
          <w:lang w:val="en-GB"/>
        </w:rPr>
        <w:t>Christine Schoetensack</w:t>
      </w:r>
      <w:r w:rsidR="009E7575" w:rsidRPr="004A7284">
        <w:rPr>
          <w:rFonts w:cstheme="minorHAnsi"/>
          <w:vertAlign w:val="superscript"/>
          <w:lang w:val="en-GB"/>
        </w:rPr>
        <w:t>1</w:t>
      </w:r>
      <w:r w:rsidRPr="004A7284">
        <w:rPr>
          <w:rFonts w:cstheme="minorHAnsi"/>
          <w:lang w:val="en-GB"/>
        </w:rPr>
        <w:t>, Pooja Saini</w:t>
      </w:r>
      <w:r w:rsidR="009E7575" w:rsidRPr="004A7284">
        <w:rPr>
          <w:rFonts w:cstheme="minorHAnsi"/>
          <w:vertAlign w:val="superscript"/>
          <w:lang w:val="en-GB"/>
        </w:rPr>
        <w:t>1</w:t>
      </w:r>
      <w:r w:rsidRPr="004A7284">
        <w:rPr>
          <w:rFonts w:cstheme="minorHAnsi"/>
          <w:lang w:val="en-GB"/>
        </w:rPr>
        <w:t>, Lynn Owens</w:t>
      </w:r>
      <w:r w:rsidR="00620970" w:rsidRPr="004A7284">
        <w:rPr>
          <w:rFonts w:cstheme="minorHAnsi"/>
          <w:vertAlign w:val="superscript"/>
          <w:lang w:val="en-GB"/>
        </w:rPr>
        <w:t>2</w:t>
      </w:r>
      <w:r w:rsidRPr="004A7284">
        <w:rPr>
          <w:rFonts w:cstheme="minorHAnsi"/>
          <w:lang w:val="en-GB"/>
        </w:rPr>
        <w:t>, Nadja Van Ginneken</w:t>
      </w:r>
      <w:r w:rsidR="00E31366" w:rsidRPr="004A7284">
        <w:rPr>
          <w:rFonts w:cstheme="minorHAnsi"/>
          <w:vertAlign w:val="superscript"/>
          <w:lang w:val="en-GB"/>
        </w:rPr>
        <w:t>3</w:t>
      </w:r>
      <w:r w:rsidRPr="004A7284">
        <w:rPr>
          <w:rFonts w:cstheme="minorHAnsi"/>
          <w:lang w:val="en-GB"/>
        </w:rPr>
        <w:t>, Melissa Rice</w:t>
      </w:r>
      <w:r w:rsidR="00E31366" w:rsidRPr="004A7284">
        <w:rPr>
          <w:rFonts w:cstheme="minorHAnsi"/>
          <w:vertAlign w:val="superscript"/>
          <w:lang w:val="en-GB"/>
        </w:rPr>
        <w:t>4</w:t>
      </w:r>
      <w:r w:rsidRPr="004A7284">
        <w:rPr>
          <w:rFonts w:cstheme="minorHAnsi"/>
          <w:lang w:val="en-GB"/>
        </w:rPr>
        <w:t xml:space="preserve">, </w:t>
      </w:r>
      <w:r w:rsidR="00620970" w:rsidRPr="004A7284">
        <w:rPr>
          <w:rFonts w:cstheme="minorHAnsi"/>
          <w:lang w:val="en-GB"/>
        </w:rPr>
        <w:t>Ryan Young</w:t>
      </w:r>
      <w:r w:rsidR="00E31366" w:rsidRPr="004A7284">
        <w:rPr>
          <w:rFonts w:cstheme="minorHAnsi"/>
          <w:vertAlign w:val="superscript"/>
          <w:lang w:val="en-GB"/>
        </w:rPr>
        <w:t>3</w:t>
      </w:r>
      <w:r w:rsidR="00620970" w:rsidRPr="004A7284">
        <w:rPr>
          <w:rFonts w:cstheme="minorHAnsi"/>
          <w:lang w:val="en-GB"/>
        </w:rPr>
        <w:t xml:space="preserve">, </w:t>
      </w:r>
      <w:r w:rsidR="00005374" w:rsidRPr="004A7284">
        <w:rPr>
          <w:rFonts w:cstheme="minorHAnsi"/>
          <w:lang w:val="en-GB"/>
        </w:rPr>
        <w:t>Andrew Jones</w:t>
      </w:r>
      <w:r w:rsidR="00005374" w:rsidRPr="004A7284">
        <w:rPr>
          <w:rFonts w:cstheme="minorHAnsi"/>
          <w:vertAlign w:val="superscript"/>
          <w:lang w:val="en-GB"/>
        </w:rPr>
        <w:t>1</w:t>
      </w:r>
    </w:p>
    <w:p w14:paraId="4F2A478D" w14:textId="77777777" w:rsidR="00142E5B" w:rsidRPr="004A7284" w:rsidRDefault="00142E5B" w:rsidP="007420DD">
      <w:pPr>
        <w:rPr>
          <w:rFonts w:cstheme="minorHAnsi"/>
          <w:lang w:val="en-GB"/>
        </w:rPr>
      </w:pPr>
      <w:r w:rsidRPr="004A7284">
        <w:rPr>
          <w:rFonts w:cstheme="minorHAnsi"/>
          <w:u w:val="single"/>
          <w:lang w:val="en-GB"/>
        </w:rPr>
        <w:t>Corresponding author:</w:t>
      </w:r>
      <w:r w:rsidRPr="004A7284">
        <w:rPr>
          <w:rFonts w:cstheme="minorHAnsi"/>
          <w:lang w:val="en-GB"/>
        </w:rPr>
        <w:t xml:space="preserve"> C Montgomery</w:t>
      </w:r>
      <w:r w:rsidR="006837B0" w:rsidRPr="004A7284">
        <w:rPr>
          <w:rFonts w:cstheme="minorHAnsi"/>
          <w:lang w:val="en-GB"/>
        </w:rPr>
        <w:t xml:space="preserve">, </w:t>
      </w:r>
      <w:hyperlink r:id="rId11" w:history="1">
        <w:r w:rsidR="006837B0" w:rsidRPr="004A7284">
          <w:rPr>
            <w:rStyle w:val="Hyperlink"/>
            <w:rFonts w:cstheme="minorHAnsi"/>
            <w:lang w:val="en-GB"/>
          </w:rPr>
          <w:t>C.A.Montgomery@ljmu.ac.uk</w:t>
        </w:r>
      </w:hyperlink>
      <w:r w:rsidR="006837B0" w:rsidRPr="004A7284">
        <w:rPr>
          <w:rFonts w:cstheme="minorHAnsi"/>
          <w:lang w:val="en-GB"/>
        </w:rPr>
        <w:t xml:space="preserve"> </w:t>
      </w:r>
    </w:p>
    <w:p w14:paraId="2407D2A7" w14:textId="77777777" w:rsidR="007420DD" w:rsidRPr="004A7284" w:rsidRDefault="007420DD" w:rsidP="007420DD">
      <w:pPr>
        <w:rPr>
          <w:rFonts w:cstheme="minorHAnsi"/>
          <w:u w:val="single"/>
          <w:lang w:val="en-GB"/>
        </w:rPr>
      </w:pPr>
      <w:r w:rsidRPr="004A7284">
        <w:rPr>
          <w:rFonts w:cstheme="minorHAnsi"/>
          <w:u w:val="single"/>
          <w:lang w:val="en-GB"/>
        </w:rPr>
        <w:t xml:space="preserve">Affiliations: </w:t>
      </w:r>
    </w:p>
    <w:p w14:paraId="5B290FC2" w14:textId="77777777" w:rsidR="007420DD" w:rsidRPr="004A7284" w:rsidRDefault="00122B4C" w:rsidP="00B07989">
      <w:pPr>
        <w:pStyle w:val="ListParagraph"/>
        <w:numPr>
          <w:ilvl w:val="0"/>
          <w:numId w:val="1"/>
        </w:numPr>
        <w:rPr>
          <w:rFonts w:cstheme="minorHAnsi"/>
          <w:lang w:val="en-GB"/>
        </w:rPr>
      </w:pPr>
      <w:r w:rsidRPr="004A7284">
        <w:rPr>
          <w:rFonts w:cstheme="minorHAnsi"/>
          <w:lang w:val="en-GB"/>
        </w:rPr>
        <w:t xml:space="preserve">School of Psychology, Faculty of Health, </w:t>
      </w:r>
      <w:r w:rsidR="007420DD" w:rsidRPr="004A7284">
        <w:rPr>
          <w:rFonts w:cstheme="minorHAnsi"/>
          <w:lang w:val="en-GB"/>
        </w:rPr>
        <w:t xml:space="preserve">Liverpool John </w:t>
      </w:r>
      <w:proofErr w:type="spellStart"/>
      <w:r w:rsidR="007420DD" w:rsidRPr="004A7284">
        <w:rPr>
          <w:rFonts w:cstheme="minorHAnsi"/>
          <w:lang w:val="en-GB"/>
        </w:rPr>
        <w:t>Moores</w:t>
      </w:r>
      <w:proofErr w:type="spellEnd"/>
      <w:r w:rsidR="007420DD" w:rsidRPr="004A7284">
        <w:rPr>
          <w:rFonts w:cstheme="minorHAnsi"/>
          <w:lang w:val="en-GB"/>
        </w:rPr>
        <w:t xml:space="preserve"> University</w:t>
      </w:r>
      <w:r w:rsidR="00B07989" w:rsidRPr="004A7284">
        <w:rPr>
          <w:rFonts w:cstheme="minorHAnsi"/>
          <w:lang w:val="en-GB"/>
        </w:rPr>
        <w:t>, Liverpool</w:t>
      </w:r>
      <w:r w:rsidR="003F25E8" w:rsidRPr="004A7284">
        <w:rPr>
          <w:rFonts w:cstheme="minorHAnsi"/>
          <w:lang w:val="en-GB"/>
        </w:rPr>
        <w:t>, UK</w:t>
      </w:r>
    </w:p>
    <w:p w14:paraId="46553BFA" w14:textId="77777777" w:rsidR="007420DD" w:rsidRPr="004A7284" w:rsidRDefault="00563361" w:rsidP="006810EA">
      <w:pPr>
        <w:pStyle w:val="ListParagraph"/>
        <w:numPr>
          <w:ilvl w:val="0"/>
          <w:numId w:val="1"/>
        </w:numPr>
        <w:rPr>
          <w:rFonts w:cstheme="minorHAnsi"/>
          <w:lang w:val="en-GB"/>
        </w:rPr>
      </w:pPr>
      <w:r w:rsidRPr="004A7284">
        <w:rPr>
          <w:rFonts w:cstheme="minorHAnsi"/>
          <w:lang w:val="en-GB"/>
        </w:rPr>
        <w:t>Institute of Systems, Molecular and Integrative Biology, University of Liverpool, Biosciences Building, Crown Street, Liverpool, L69 7BE</w:t>
      </w:r>
      <w:r w:rsidR="003F25E8" w:rsidRPr="004A7284">
        <w:rPr>
          <w:rFonts w:cstheme="minorHAnsi"/>
          <w:lang w:val="en-GB"/>
        </w:rPr>
        <w:t xml:space="preserve">, UK </w:t>
      </w:r>
      <w:r w:rsidR="009E7575" w:rsidRPr="004A7284">
        <w:rPr>
          <w:rFonts w:cstheme="minorHAnsi"/>
          <w:lang w:val="en-GB"/>
        </w:rPr>
        <w:t>and Liverpool University Hospitals NHS Foundation Trust</w:t>
      </w:r>
      <w:r w:rsidR="006810EA" w:rsidRPr="004A7284">
        <w:rPr>
          <w:rFonts w:cstheme="minorHAnsi"/>
          <w:lang w:val="en-GB"/>
        </w:rPr>
        <w:t xml:space="preserve">, The Royal Liverpool and Broadgreen University Hospitals, </w:t>
      </w:r>
    </w:p>
    <w:p w14:paraId="1FFDFA1A" w14:textId="77777777" w:rsidR="007420DD" w:rsidRPr="004A7284" w:rsidRDefault="00A40422" w:rsidP="006810EA">
      <w:pPr>
        <w:pStyle w:val="ListParagraph"/>
        <w:numPr>
          <w:ilvl w:val="0"/>
          <w:numId w:val="1"/>
        </w:numPr>
        <w:rPr>
          <w:rFonts w:cstheme="minorHAnsi"/>
          <w:lang w:val="en-GB"/>
        </w:rPr>
      </w:pPr>
      <w:r w:rsidRPr="004A7284">
        <w:rPr>
          <w:rFonts w:cstheme="minorHAnsi"/>
          <w:lang w:val="en-GB"/>
        </w:rPr>
        <w:t>B</w:t>
      </w:r>
      <w:r w:rsidR="006810EA" w:rsidRPr="004A7284">
        <w:rPr>
          <w:rFonts w:cstheme="minorHAnsi"/>
          <w:lang w:val="en-GB"/>
        </w:rPr>
        <w:t>rownlow Health Central, Princes Park Health Centre, Bentley Road, Liverpool, L8 0SY</w:t>
      </w:r>
      <w:r w:rsidR="003F25E8" w:rsidRPr="004A7284">
        <w:rPr>
          <w:rFonts w:cstheme="minorHAnsi"/>
          <w:lang w:val="en-GB"/>
        </w:rPr>
        <w:t>, UK</w:t>
      </w:r>
    </w:p>
    <w:p w14:paraId="6D7079C1" w14:textId="77777777" w:rsidR="00A40422" w:rsidRPr="004A7284" w:rsidRDefault="00A40422" w:rsidP="00186E7E">
      <w:pPr>
        <w:pStyle w:val="ListParagraph"/>
        <w:numPr>
          <w:ilvl w:val="0"/>
          <w:numId w:val="1"/>
        </w:numPr>
        <w:rPr>
          <w:rFonts w:cstheme="minorHAnsi"/>
          <w:lang w:val="en-GB"/>
        </w:rPr>
      </w:pPr>
      <w:r w:rsidRPr="004A7284">
        <w:rPr>
          <w:rFonts w:cstheme="minorHAnsi"/>
          <w:lang w:val="en-GB"/>
        </w:rPr>
        <w:t>U</w:t>
      </w:r>
      <w:r w:rsidR="006810EA" w:rsidRPr="004A7284">
        <w:rPr>
          <w:rFonts w:cstheme="minorHAnsi"/>
          <w:lang w:val="en-GB"/>
        </w:rPr>
        <w:t xml:space="preserve">K Parliament, </w:t>
      </w:r>
      <w:r w:rsidR="00186E7E" w:rsidRPr="004A7284">
        <w:rPr>
          <w:rFonts w:cstheme="minorHAnsi"/>
          <w:lang w:val="en-GB"/>
        </w:rPr>
        <w:t>Houses of Parliament, Westminster, SW1a 0AA</w:t>
      </w:r>
      <w:r w:rsidR="003F25E8" w:rsidRPr="004A7284">
        <w:rPr>
          <w:rFonts w:cstheme="minorHAnsi"/>
          <w:lang w:val="en-GB"/>
        </w:rPr>
        <w:t>, UK</w:t>
      </w:r>
    </w:p>
    <w:p w14:paraId="5C9C7FE0" w14:textId="77777777" w:rsidR="003C02CF" w:rsidRPr="004A7284" w:rsidRDefault="003C02CF" w:rsidP="00A40422">
      <w:pPr>
        <w:rPr>
          <w:rFonts w:cstheme="minorHAnsi"/>
          <w:lang w:val="en-GB"/>
        </w:rPr>
      </w:pPr>
    </w:p>
    <w:p w14:paraId="6E92A285" w14:textId="4A87F3B0" w:rsidR="00A40422" w:rsidRPr="004A7284" w:rsidRDefault="00A40422" w:rsidP="00A40422">
      <w:pPr>
        <w:rPr>
          <w:rFonts w:cstheme="minorHAnsi"/>
          <w:u w:val="single"/>
          <w:lang w:val="en-GB"/>
        </w:rPr>
      </w:pPr>
      <w:r w:rsidRPr="004A7284">
        <w:rPr>
          <w:rFonts w:cstheme="minorHAnsi"/>
          <w:u w:val="single"/>
          <w:lang w:val="en-GB"/>
        </w:rPr>
        <w:t xml:space="preserve">Qualifications and Titles: </w:t>
      </w:r>
    </w:p>
    <w:p w14:paraId="0A71BA5C" w14:textId="56FB4190" w:rsidR="00A40422" w:rsidRPr="004A7284" w:rsidRDefault="00B66E9F" w:rsidP="00A40422">
      <w:pPr>
        <w:rPr>
          <w:rFonts w:cstheme="minorHAnsi"/>
          <w:lang w:val="en-GB"/>
        </w:rPr>
      </w:pPr>
      <w:r w:rsidRPr="004A7284">
        <w:rPr>
          <w:rFonts w:cstheme="minorHAnsi"/>
          <w:lang w:val="en-GB"/>
        </w:rPr>
        <w:t>C Montgomery: PhD, PgCert LTHE, BSc (Hons)</w:t>
      </w:r>
      <w:r w:rsidR="00951F50" w:rsidRPr="004A7284">
        <w:rPr>
          <w:rFonts w:cstheme="minorHAnsi"/>
          <w:lang w:val="en-GB"/>
        </w:rPr>
        <w:t>, Reader in Psychopharmacology</w:t>
      </w:r>
      <w:r w:rsidR="003C02CF" w:rsidRPr="004A7284">
        <w:rPr>
          <w:rFonts w:cstheme="minorHAnsi"/>
          <w:lang w:val="en-GB"/>
        </w:rPr>
        <w:t xml:space="preserve">, Head of Institute for Health Research. </w:t>
      </w:r>
    </w:p>
    <w:p w14:paraId="48072095" w14:textId="77777777" w:rsidR="00B66E9F" w:rsidRPr="004A7284" w:rsidRDefault="00B66E9F" w:rsidP="00A40422">
      <w:pPr>
        <w:rPr>
          <w:rFonts w:cstheme="minorHAnsi"/>
          <w:lang w:val="en-GB"/>
        </w:rPr>
      </w:pPr>
      <w:r w:rsidRPr="004A7284">
        <w:rPr>
          <w:rFonts w:cstheme="minorHAnsi"/>
          <w:lang w:val="en-GB"/>
        </w:rPr>
        <w:t>C Schoetensack: MSc, MA, BA</w:t>
      </w:r>
      <w:r w:rsidR="00951F50" w:rsidRPr="004A7284">
        <w:rPr>
          <w:rFonts w:cstheme="minorHAnsi"/>
          <w:lang w:val="en-GB"/>
        </w:rPr>
        <w:t xml:space="preserve">, Alcohol Research Support Assistant </w:t>
      </w:r>
    </w:p>
    <w:p w14:paraId="5479C0B4" w14:textId="77777777" w:rsidR="00B66E9F" w:rsidRPr="004A7284" w:rsidRDefault="00B66E9F" w:rsidP="00A40422">
      <w:pPr>
        <w:rPr>
          <w:rFonts w:cstheme="minorHAnsi"/>
          <w:lang w:val="en-GB"/>
        </w:rPr>
      </w:pPr>
      <w:r w:rsidRPr="004A7284">
        <w:rPr>
          <w:rFonts w:cstheme="minorHAnsi"/>
          <w:lang w:val="en-GB"/>
        </w:rPr>
        <w:t>P Saini:</w:t>
      </w:r>
      <w:r w:rsidR="00BA11E5" w:rsidRPr="004A7284">
        <w:rPr>
          <w:rFonts w:cstheme="minorHAnsi"/>
          <w:lang w:val="en-GB"/>
        </w:rPr>
        <w:t xml:space="preserve"> </w:t>
      </w:r>
      <w:r w:rsidR="00905DBF" w:rsidRPr="004A7284">
        <w:rPr>
          <w:rFonts w:cstheme="minorHAnsi"/>
          <w:lang w:val="en-GB"/>
        </w:rPr>
        <w:t>FHEA, PhD, MSc, BSc</w:t>
      </w:r>
      <w:r w:rsidR="00951F50" w:rsidRPr="004A7284">
        <w:rPr>
          <w:rFonts w:cstheme="minorHAnsi"/>
          <w:lang w:val="en-GB"/>
        </w:rPr>
        <w:t>, Reader in Suicide and Self-Harm Prevention</w:t>
      </w:r>
    </w:p>
    <w:p w14:paraId="5BE025F2" w14:textId="77777777" w:rsidR="00B66E9F" w:rsidRPr="004A7284" w:rsidRDefault="00B66E9F" w:rsidP="00A40422">
      <w:pPr>
        <w:rPr>
          <w:rFonts w:cstheme="minorHAnsi"/>
          <w:lang w:val="en-GB"/>
        </w:rPr>
      </w:pPr>
      <w:r w:rsidRPr="004A7284">
        <w:rPr>
          <w:rFonts w:cstheme="minorHAnsi"/>
          <w:lang w:val="en-GB"/>
        </w:rPr>
        <w:t>L Owens:</w:t>
      </w:r>
      <w:r w:rsidR="00FA0C3D" w:rsidRPr="004A7284">
        <w:rPr>
          <w:rFonts w:cstheme="minorHAnsi"/>
          <w:lang w:val="en-GB"/>
        </w:rPr>
        <w:t xml:space="preserve"> </w:t>
      </w:r>
      <w:r w:rsidR="001361CB" w:rsidRPr="004A7284">
        <w:rPr>
          <w:rFonts w:cstheme="minorHAnsi"/>
          <w:lang w:val="en-GB"/>
        </w:rPr>
        <w:t>PhD, BA (Hons), RGN, Honorary Research Fellow at University of Liverpool, Nurse Consultant at Liverpool University Hospitals NHS Foundation Trust</w:t>
      </w:r>
    </w:p>
    <w:p w14:paraId="6D3D8128" w14:textId="7C6E1AC2" w:rsidR="00B66E9F" w:rsidRPr="004A7284" w:rsidRDefault="00B66E9F" w:rsidP="00A40422">
      <w:pPr>
        <w:rPr>
          <w:rFonts w:cstheme="minorHAnsi"/>
          <w:lang w:val="en-GB"/>
        </w:rPr>
      </w:pPr>
      <w:r w:rsidRPr="004A7284">
        <w:rPr>
          <w:rFonts w:cstheme="minorHAnsi"/>
          <w:lang w:val="en-GB"/>
        </w:rPr>
        <w:t>N Van Ginneken:</w:t>
      </w:r>
      <w:r w:rsidR="00862C65" w:rsidRPr="004A7284">
        <w:rPr>
          <w:rFonts w:cstheme="minorHAnsi"/>
          <w:lang w:val="en-GB"/>
        </w:rPr>
        <w:t xml:space="preserve"> PhD, MBChB, BSc, Clinical Partner and Research Lead</w:t>
      </w:r>
    </w:p>
    <w:p w14:paraId="6B90CA33" w14:textId="18A625A2" w:rsidR="00B66E9F" w:rsidRPr="004A7284" w:rsidRDefault="00B66E9F" w:rsidP="00A40422">
      <w:pPr>
        <w:rPr>
          <w:rFonts w:cstheme="minorHAnsi"/>
          <w:lang w:val="en-GB"/>
        </w:rPr>
      </w:pPr>
      <w:r w:rsidRPr="004A7284">
        <w:rPr>
          <w:rFonts w:cstheme="minorHAnsi"/>
          <w:lang w:val="en-GB"/>
        </w:rPr>
        <w:t>M Rice</w:t>
      </w:r>
      <w:r w:rsidR="00862C65" w:rsidRPr="004A7284">
        <w:rPr>
          <w:rFonts w:cstheme="minorHAnsi"/>
          <w:lang w:val="en-GB"/>
        </w:rPr>
        <w:t xml:space="preserve">: </w:t>
      </w:r>
      <w:r w:rsidR="00162087" w:rsidRPr="004A7284">
        <w:rPr>
          <w:rFonts w:cstheme="minorHAnsi"/>
          <w:lang w:val="en-GB"/>
        </w:rPr>
        <w:t>PGCE, Policy Assistant</w:t>
      </w:r>
      <w:r w:rsidR="005D4552" w:rsidRPr="004A7284">
        <w:rPr>
          <w:rFonts w:cstheme="minorHAnsi"/>
          <w:lang w:val="en-GB"/>
        </w:rPr>
        <w:t xml:space="preserve"> to Dan Carden MP</w:t>
      </w:r>
    </w:p>
    <w:p w14:paraId="38FE8614" w14:textId="343414C5" w:rsidR="00B13191" w:rsidRPr="004A7284" w:rsidRDefault="00B13191" w:rsidP="00A40422">
      <w:pPr>
        <w:rPr>
          <w:rFonts w:cstheme="minorHAnsi"/>
          <w:lang w:val="en-GB"/>
        </w:rPr>
      </w:pPr>
      <w:r w:rsidRPr="004A7284">
        <w:rPr>
          <w:rFonts w:cstheme="minorHAnsi"/>
          <w:lang w:val="en-GB"/>
        </w:rPr>
        <w:t>Ryan Young</w:t>
      </w:r>
      <w:r w:rsidR="00D64A20" w:rsidRPr="004A7284">
        <w:rPr>
          <w:rFonts w:cstheme="minorHAnsi"/>
          <w:lang w:val="en-GB"/>
        </w:rPr>
        <w:t>: MBChB, BSc.</w:t>
      </w:r>
    </w:p>
    <w:p w14:paraId="2184F39C" w14:textId="3831C907" w:rsidR="00B13191" w:rsidRPr="004A7284" w:rsidRDefault="00B13191" w:rsidP="00A40422">
      <w:pPr>
        <w:rPr>
          <w:rFonts w:cstheme="minorHAnsi"/>
          <w:lang w:val="en-GB"/>
        </w:rPr>
      </w:pPr>
      <w:r w:rsidRPr="004A7284">
        <w:rPr>
          <w:rFonts w:cstheme="minorHAnsi"/>
          <w:lang w:val="en-GB"/>
        </w:rPr>
        <w:t>Andrew Jones</w:t>
      </w:r>
      <w:r w:rsidR="001F2C26" w:rsidRPr="004A7284">
        <w:rPr>
          <w:rFonts w:cstheme="minorHAnsi"/>
          <w:lang w:val="en-GB"/>
        </w:rPr>
        <w:t xml:space="preserve">: PhD, Senior Lecturer in Psychology. </w:t>
      </w:r>
    </w:p>
    <w:p w14:paraId="0DB4F504" w14:textId="77777777" w:rsidR="00B66E9F" w:rsidRPr="004A7284" w:rsidRDefault="00B66E9F" w:rsidP="00A40422">
      <w:pPr>
        <w:rPr>
          <w:rFonts w:cstheme="minorHAnsi"/>
          <w:lang w:val="en-GB"/>
        </w:rPr>
      </w:pPr>
    </w:p>
    <w:p w14:paraId="72286095" w14:textId="3D667CF8" w:rsidR="00142E5B" w:rsidRPr="004A7284" w:rsidRDefault="00142E5B" w:rsidP="00A40422">
      <w:pPr>
        <w:rPr>
          <w:rFonts w:cstheme="minorHAnsi"/>
          <w:u w:val="single"/>
          <w:lang w:val="en-GB"/>
        </w:rPr>
      </w:pPr>
      <w:r w:rsidRPr="004A7284">
        <w:rPr>
          <w:rFonts w:cstheme="minorHAnsi"/>
          <w:u w:val="single"/>
          <w:lang w:val="en-GB"/>
        </w:rPr>
        <w:t>ORCID</w:t>
      </w:r>
      <w:r w:rsidR="00E31366" w:rsidRPr="004A7284">
        <w:rPr>
          <w:rFonts w:cstheme="minorHAnsi"/>
          <w:u w:val="single"/>
          <w:lang w:val="en-GB"/>
        </w:rPr>
        <w:t xml:space="preserve"> IDs</w:t>
      </w:r>
      <w:r w:rsidRPr="004A7284">
        <w:rPr>
          <w:rFonts w:cstheme="minorHAnsi"/>
          <w:u w:val="single"/>
          <w:lang w:val="en-GB"/>
        </w:rPr>
        <w:t>:</w:t>
      </w:r>
    </w:p>
    <w:p w14:paraId="120E34EF" w14:textId="77777777" w:rsidR="006837B0" w:rsidRPr="004A7284" w:rsidRDefault="006837B0" w:rsidP="006837B0">
      <w:pPr>
        <w:rPr>
          <w:rFonts w:cstheme="minorHAnsi"/>
          <w:lang w:val="en-GB"/>
        </w:rPr>
      </w:pPr>
      <w:r w:rsidRPr="004A7284">
        <w:rPr>
          <w:rFonts w:cstheme="minorHAnsi"/>
          <w:lang w:val="en-GB"/>
        </w:rPr>
        <w:t xml:space="preserve">Catharine Montgomery: 0000-0003-2805-5807 </w:t>
      </w:r>
    </w:p>
    <w:p w14:paraId="46117197" w14:textId="77777777" w:rsidR="001B707F" w:rsidRPr="004A7284" w:rsidRDefault="006837B0" w:rsidP="001B707F">
      <w:pPr>
        <w:rPr>
          <w:rFonts w:cstheme="minorHAnsi"/>
          <w:lang w:val="en-GB"/>
        </w:rPr>
      </w:pPr>
      <w:r w:rsidRPr="004A7284">
        <w:rPr>
          <w:rFonts w:cstheme="minorHAnsi"/>
          <w:lang w:val="en-GB"/>
        </w:rPr>
        <w:t>Pooja Saini</w:t>
      </w:r>
      <w:r w:rsidR="001B707F" w:rsidRPr="004A7284">
        <w:rPr>
          <w:rFonts w:cstheme="minorHAnsi"/>
          <w:lang w:val="en-GB"/>
        </w:rPr>
        <w:t>: 0000-0002-4981-7914</w:t>
      </w:r>
    </w:p>
    <w:p w14:paraId="64666075" w14:textId="477EE2E7" w:rsidR="001B3687" w:rsidRPr="004A7284" w:rsidRDefault="006837B0" w:rsidP="00A40422">
      <w:pPr>
        <w:rPr>
          <w:rFonts w:cstheme="minorHAnsi"/>
          <w:lang w:val="en-GB"/>
        </w:rPr>
      </w:pPr>
      <w:r w:rsidRPr="004A7284">
        <w:rPr>
          <w:rFonts w:cstheme="minorHAnsi"/>
          <w:lang w:val="en-GB"/>
        </w:rPr>
        <w:t>Lynn Owens</w:t>
      </w:r>
      <w:r w:rsidR="00CB4A0E" w:rsidRPr="004A7284">
        <w:rPr>
          <w:rFonts w:cstheme="minorHAnsi"/>
          <w:lang w:val="en-GB"/>
        </w:rPr>
        <w:t xml:space="preserve">: </w:t>
      </w:r>
      <w:r w:rsidR="00134E24" w:rsidRPr="004A7284">
        <w:rPr>
          <w:rFonts w:cstheme="minorHAnsi"/>
          <w:lang w:val="en-GB"/>
        </w:rPr>
        <w:t>0000-0001-7549-9350</w:t>
      </w:r>
    </w:p>
    <w:p w14:paraId="69D383E5" w14:textId="4D15C76A" w:rsidR="00B13191" w:rsidRPr="004A7284" w:rsidRDefault="00B13191" w:rsidP="00A40422">
      <w:pPr>
        <w:rPr>
          <w:rFonts w:cstheme="minorHAnsi"/>
          <w:lang w:val="en-GB"/>
        </w:rPr>
      </w:pPr>
      <w:r w:rsidRPr="004A7284">
        <w:rPr>
          <w:rFonts w:cstheme="minorHAnsi"/>
          <w:lang w:val="en-GB"/>
        </w:rPr>
        <w:t>Andrew Jones</w:t>
      </w:r>
      <w:r w:rsidR="001F2C26" w:rsidRPr="004A7284">
        <w:rPr>
          <w:rFonts w:cstheme="minorHAnsi"/>
          <w:lang w:val="en-GB"/>
        </w:rPr>
        <w:t>: 0000-0001-5951-889X</w:t>
      </w:r>
    </w:p>
    <w:p w14:paraId="5790191B" w14:textId="0FBD6E71" w:rsidR="00401585" w:rsidRPr="004A7284" w:rsidRDefault="00401585" w:rsidP="00A40422">
      <w:pPr>
        <w:rPr>
          <w:rFonts w:cstheme="minorHAnsi"/>
          <w:lang w:val="en-GB"/>
        </w:rPr>
      </w:pPr>
      <w:r w:rsidRPr="004A7284">
        <w:rPr>
          <w:rFonts w:cstheme="minorHAnsi"/>
          <w:b/>
          <w:bCs/>
          <w:lang w:val="en-GB"/>
        </w:rPr>
        <w:t>Word Count:</w:t>
      </w:r>
      <w:r w:rsidRPr="004A7284">
        <w:rPr>
          <w:rFonts w:cstheme="minorHAnsi"/>
          <w:lang w:val="en-GB"/>
        </w:rPr>
        <w:t xml:space="preserve"> 3472 words</w:t>
      </w:r>
    </w:p>
    <w:p w14:paraId="22198FF9" w14:textId="77777777" w:rsidR="003C02CF" w:rsidRPr="004A7284" w:rsidRDefault="003C02CF">
      <w:pPr>
        <w:rPr>
          <w:rFonts w:cstheme="minorHAnsi"/>
          <w:b/>
          <w:lang w:val="en-GB"/>
        </w:rPr>
      </w:pPr>
      <w:r w:rsidRPr="004A7284">
        <w:rPr>
          <w:rFonts w:cstheme="minorHAnsi"/>
          <w:b/>
          <w:lang w:val="en-GB"/>
        </w:rPr>
        <w:br w:type="page"/>
      </w:r>
    </w:p>
    <w:p w14:paraId="468F4AE2" w14:textId="3D4F310D" w:rsidR="001B3687" w:rsidRPr="004A7284" w:rsidRDefault="001B3687" w:rsidP="00BB71AB">
      <w:pPr>
        <w:spacing w:after="120" w:line="480" w:lineRule="auto"/>
        <w:rPr>
          <w:rFonts w:cstheme="minorHAnsi"/>
          <w:b/>
          <w:lang w:val="en-GB"/>
        </w:rPr>
      </w:pPr>
      <w:r w:rsidRPr="004A7284">
        <w:rPr>
          <w:rFonts w:cstheme="minorHAnsi"/>
          <w:b/>
          <w:lang w:val="en-GB"/>
        </w:rPr>
        <w:lastRenderedPageBreak/>
        <w:t>Abstract:</w:t>
      </w:r>
    </w:p>
    <w:p w14:paraId="0238ACE7" w14:textId="17CC996F" w:rsidR="00A31E97" w:rsidRPr="004A7284" w:rsidRDefault="0024009B" w:rsidP="00B13191">
      <w:pPr>
        <w:spacing w:after="120" w:line="480" w:lineRule="auto"/>
        <w:rPr>
          <w:rFonts w:cstheme="minorHAnsi"/>
          <w:lang w:val="en-GB"/>
        </w:rPr>
      </w:pPr>
      <w:r w:rsidRPr="004A7284">
        <w:rPr>
          <w:rFonts w:cstheme="minorHAnsi"/>
          <w:lang w:val="en-GB"/>
        </w:rPr>
        <w:t>Objectives</w:t>
      </w:r>
      <w:r w:rsidR="00062FA8" w:rsidRPr="004A7284">
        <w:rPr>
          <w:rFonts w:cstheme="minorHAnsi"/>
          <w:lang w:val="en-GB"/>
        </w:rPr>
        <w:t xml:space="preserve">: Liverpool </w:t>
      </w:r>
      <w:r w:rsidR="00EE76B9" w:rsidRPr="004A7284">
        <w:rPr>
          <w:rFonts w:cstheme="minorHAnsi"/>
          <w:lang w:val="en-GB"/>
        </w:rPr>
        <w:t>has</w:t>
      </w:r>
      <w:r w:rsidR="00BC5AEB" w:rsidRPr="004A7284">
        <w:rPr>
          <w:rFonts w:cstheme="minorHAnsi"/>
          <w:lang w:val="en-GB"/>
        </w:rPr>
        <w:t xml:space="preserve"> high prevalence of alcohol use disorders</w:t>
      </w:r>
      <w:r w:rsidR="001F2C26" w:rsidRPr="004A7284">
        <w:rPr>
          <w:rFonts w:cstheme="minorHAnsi"/>
          <w:lang w:val="en-GB"/>
        </w:rPr>
        <w:t xml:space="preserve"> </w:t>
      </w:r>
      <w:r w:rsidR="00401585" w:rsidRPr="004A7284">
        <w:rPr>
          <w:rFonts w:cstheme="minorHAnsi"/>
          <w:lang w:val="en-GB"/>
        </w:rPr>
        <w:t xml:space="preserve">(AUD) </w:t>
      </w:r>
      <w:r w:rsidR="001F2C26" w:rsidRPr="004A7284">
        <w:rPr>
          <w:rFonts w:cstheme="minorHAnsi"/>
          <w:lang w:val="en-GB"/>
        </w:rPr>
        <w:t xml:space="preserve">compared to the rest of the </w:t>
      </w:r>
      <w:r w:rsidR="00401585" w:rsidRPr="004A7284">
        <w:rPr>
          <w:rFonts w:cstheme="minorHAnsi"/>
          <w:lang w:val="en-GB"/>
        </w:rPr>
        <w:t>UK</w:t>
      </w:r>
      <w:r w:rsidR="00EE76B9" w:rsidRPr="004A7284">
        <w:rPr>
          <w:rFonts w:cstheme="minorHAnsi"/>
          <w:lang w:val="en-GB"/>
        </w:rPr>
        <w:t xml:space="preserve">. </w:t>
      </w:r>
      <w:r w:rsidR="00BC5AEB" w:rsidRPr="004A7284">
        <w:rPr>
          <w:rFonts w:cstheme="minorHAnsi"/>
          <w:lang w:val="en-GB"/>
        </w:rPr>
        <w:t xml:space="preserve">Early identification and referral in primary care would improve treatment for people with </w:t>
      </w:r>
      <w:r w:rsidR="00401585" w:rsidRPr="004A7284">
        <w:rPr>
          <w:rFonts w:cstheme="minorHAnsi"/>
          <w:lang w:val="en-GB"/>
        </w:rPr>
        <w:t>AUD</w:t>
      </w:r>
      <w:r w:rsidR="00BC5AEB" w:rsidRPr="004A7284">
        <w:rPr>
          <w:rFonts w:cstheme="minorHAnsi"/>
          <w:lang w:val="en-GB"/>
        </w:rPr>
        <w:t xml:space="preserve">. This study aimed to identify changes in prevalence and incidence </w:t>
      </w:r>
      <w:r w:rsidR="00401585" w:rsidRPr="004A7284">
        <w:rPr>
          <w:rFonts w:cstheme="minorHAnsi"/>
          <w:lang w:val="en-GB"/>
        </w:rPr>
        <w:t>of AUD</w:t>
      </w:r>
      <w:r w:rsidR="00BC5AEB" w:rsidRPr="004A7284">
        <w:rPr>
          <w:rFonts w:cstheme="minorHAnsi"/>
          <w:lang w:val="en-GB"/>
        </w:rPr>
        <w:t xml:space="preserve"> in primary care in Liverpool, to identify local need for specialist services. </w:t>
      </w:r>
    </w:p>
    <w:p w14:paraId="534DC381" w14:textId="5F07C2D0" w:rsidR="00A31E97" w:rsidRPr="004A7284" w:rsidRDefault="0024009B" w:rsidP="00BC5AEB">
      <w:pPr>
        <w:spacing w:after="120" w:line="480" w:lineRule="auto"/>
        <w:rPr>
          <w:rFonts w:cstheme="minorHAnsi"/>
          <w:lang w:val="en-GB"/>
        </w:rPr>
      </w:pPr>
      <w:r w:rsidRPr="004A7284">
        <w:rPr>
          <w:rFonts w:cstheme="minorHAnsi"/>
          <w:lang w:val="en-GB"/>
        </w:rPr>
        <w:t>Design</w:t>
      </w:r>
      <w:r w:rsidR="00BC5AEB" w:rsidRPr="004A7284">
        <w:rPr>
          <w:rFonts w:cstheme="minorHAnsi"/>
          <w:lang w:val="en-GB"/>
        </w:rPr>
        <w:t xml:space="preserve">: </w:t>
      </w:r>
      <w:r w:rsidR="001F2C26" w:rsidRPr="004A7284">
        <w:rPr>
          <w:rFonts w:cstheme="minorHAnsi"/>
          <w:lang w:val="en-GB"/>
        </w:rPr>
        <w:t>C</w:t>
      </w:r>
      <w:r w:rsidR="00BC5AEB" w:rsidRPr="004A7284">
        <w:rPr>
          <w:rFonts w:cstheme="minorHAnsi"/>
          <w:lang w:val="en-GB"/>
        </w:rPr>
        <w:t xml:space="preserve">ross-sectional retrospective analysis of electronic health records. </w:t>
      </w:r>
    </w:p>
    <w:p w14:paraId="6951FE6F" w14:textId="40F2DD43" w:rsidR="00A31E97" w:rsidRPr="004A7284" w:rsidRDefault="0024009B" w:rsidP="00BC5AEB">
      <w:pPr>
        <w:spacing w:after="120" w:line="480" w:lineRule="auto"/>
        <w:rPr>
          <w:rFonts w:cstheme="minorHAnsi"/>
          <w:lang w:val="en-GB"/>
        </w:rPr>
      </w:pPr>
      <w:r w:rsidRPr="004A7284">
        <w:rPr>
          <w:rFonts w:cstheme="minorHAnsi"/>
          <w:lang w:val="en-GB"/>
        </w:rPr>
        <w:t>Setting</w:t>
      </w:r>
      <w:r w:rsidR="00BC5AEB" w:rsidRPr="004A7284">
        <w:rPr>
          <w:rFonts w:cstheme="minorHAnsi"/>
          <w:lang w:val="en-GB"/>
        </w:rPr>
        <w:t>: NHS Liverpool CCG primary care. Sixty-two of 8</w:t>
      </w:r>
      <w:r w:rsidR="00EE76B9" w:rsidRPr="004A7284">
        <w:rPr>
          <w:rFonts w:cstheme="minorHAnsi"/>
          <w:lang w:val="en-GB"/>
        </w:rPr>
        <w:t>6</w:t>
      </w:r>
      <w:r w:rsidR="00BC5AEB" w:rsidRPr="004A7284">
        <w:rPr>
          <w:rFonts w:cstheme="minorHAnsi"/>
          <w:lang w:val="en-GB"/>
        </w:rPr>
        <w:t xml:space="preserve"> GP practices agreed to share their anonymised EMIS data from </w:t>
      </w:r>
      <w:r w:rsidR="00EE76B9" w:rsidRPr="004A7284">
        <w:rPr>
          <w:rFonts w:cstheme="minorHAnsi"/>
          <w:lang w:val="en-GB"/>
        </w:rPr>
        <w:t>01/01/2017</w:t>
      </w:r>
      <w:r w:rsidR="00BC5AEB" w:rsidRPr="004A7284">
        <w:rPr>
          <w:rFonts w:cstheme="minorHAnsi"/>
          <w:lang w:val="en-GB"/>
        </w:rPr>
        <w:t xml:space="preserve"> – </w:t>
      </w:r>
      <w:r w:rsidR="00EE76B9" w:rsidRPr="004A7284">
        <w:rPr>
          <w:rFonts w:cstheme="minorHAnsi"/>
          <w:lang w:val="en-GB"/>
        </w:rPr>
        <w:t>31/12/2021</w:t>
      </w:r>
      <w:r w:rsidR="00BC5AEB" w:rsidRPr="004A7284">
        <w:rPr>
          <w:rFonts w:cstheme="minorHAnsi"/>
          <w:lang w:val="en-GB"/>
        </w:rPr>
        <w:t xml:space="preserve">. </w:t>
      </w:r>
    </w:p>
    <w:p w14:paraId="57D106C9" w14:textId="21DCE14C" w:rsidR="00D6381A" w:rsidRPr="004A7284" w:rsidRDefault="0024009B" w:rsidP="00BC5AEB">
      <w:pPr>
        <w:spacing w:after="120" w:line="480" w:lineRule="auto"/>
        <w:rPr>
          <w:rFonts w:cstheme="minorHAnsi"/>
          <w:lang w:val="en-GB"/>
        </w:rPr>
      </w:pPr>
      <w:r w:rsidRPr="004A7284">
        <w:rPr>
          <w:rFonts w:cstheme="minorHAnsi"/>
          <w:lang w:val="en-GB"/>
        </w:rPr>
        <w:t>Participants</w:t>
      </w:r>
      <w:r w:rsidR="00BC5AEB" w:rsidRPr="004A7284">
        <w:rPr>
          <w:rFonts w:cstheme="minorHAnsi"/>
          <w:lang w:val="en-GB"/>
        </w:rPr>
        <w:t xml:space="preserve">: </w:t>
      </w:r>
      <w:r w:rsidR="009F37CC" w:rsidRPr="004A7284">
        <w:rPr>
          <w:rFonts w:cstheme="minorHAnsi"/>
          <w:lang w:val="en-GB"/>
        </w:rPr>
        <w:t>P</w:t>
      </w:r>
      <w:r w:rsidR="00BC5AEB" w:rsidRPr="004A7284">
        <w:rPr>
          <w:rFonts w:cstheme="minorHAnsi"/>
          <w:lang w:val="en-GB"/>
        </w:rPr>
        <w:t>atients aged over 18 years with a SNOMED code for alcohol dependence</w:t>
      </w:r>
      <w:r w:rsidR="00EE76B9" w:rsidRPr="004A7284">
        <w:rPr>
          <w:rFonts w:cstheme="minorHAnsi"/>
          <w:lang w:val="en-GB"/>
        </w:rPr>
        <w:t xml:space="preserve"> or hazardous drinking </w:t>
      </w:r>
      <w:r w:rsidR="00BC5AEB" w:rsidRPr="004A7284">
        <w:rPr>
          <w:rFonts w:cstheme="minorHAnsi"/>
          <w:lang w:val="en-GB"/>
        </w:rPr>
        <w:t xml:space="preserve">(N = 4936). Patients were excluded if they had requested that their data was not shared; Practices were excluded if they opted out (N = 2) or did not respond to the data sharing request (N = 22). </w:t>
      </w:r>
    </w:p>
    <w:p w14:paraId="6E08DBCF" w14:textId="7C0B2235" w:rsidR="00D6381A" w:rsidRPr="004A7284" w:rsidRDefault="00D6381A" w:rsidP="00D6381A">
      <w:pPr>
        <w:spacing w:after="120" w:line="480" w:lineRule="auto"/>
        <w:rPr>
          <w:rFonts w:cstheme="minorHAnsi"/>
          <w:lang w:val="en-GB"/>
        </w:rPr>
      </w:pPr>
      <w:r w:rsidRPr="004A7284">
        <w:rPr>
          <w:rFonts w:cstheme="minorHAnsi"/>
          <w:lang w:val="en-GB"/>
        </w:rPr>
        <w:t xml:space="preserve">Primary &amp; Secondary outcomes: Prevalence and Incidence of </w:t>
      </w:r>
      <w:r w:rsidR="00CB2113" w:rsidRPr="004A7284">
        <w:rPr>
          <w:rFonts w:cstheme="minorHAnsi"/>
          <w:lang w:val="en-GB"/>
        </w:rPr>
        <w:t>AUD</w:t>
      </w:r>
      <w:r w:rsidRPr="004A7284">
        <w:rPr>
          <w:rFonts w:cstheme="minorHAnsi"/>
          <w:lang w:val="en-GB"/>
        </w:rPr>
        <w:t xml:space="preserve"> diagnoses in primary care over the 5-year period; Demographic profile of patients (Sex, age, ethnicity, occupation); GP postcode; alcohol-related medications; psychiatric and physical comorbidities. </w:t>
      </w:r>
    </w:p>
    <w:p w14:paraId="1581441C" w14:textId="10FCA2C4" w:rsidR="00A31E97" w:rsidRPr="004A7284" w:rsidRDefault="0024009B" w:rsidP="00BC5AEB">
      <w:pPr>
        <w:spacing w:after="120" w:line="480" w:lineRule="auto"/>
        <w:rPr>
          <w:rFonts w:cstheme="minorHAnsi"/>
          <w:lang w:val="en-GB"/>
        </w:rPr>
      </w:pPr>
      <w:r w:rsidRPr="004A7284">
        <w:rPr>
          <w:rFonts w:cstheme="minorHAnsi"/>
          <w:lang w:val="en-GB"/>
        </w:rPr>
        <w:t>Results</w:t>
      </w:r>
      <w:r w:rsidR="00D6381A" w:rsidRPr="004A7284">
        <w:rPr>
          <w:rFonts w:cstheme="minorHAnsi"/>
          <w:lang w:val="en-GB"/>
        </w:rPr>
        <w:t>: There were significant decreases in incidence of alcohol dependence and hazardous drinking diagnoses over the 5 years (p</w:t>
      </w:r>
      <w:r w:rsidR="001F2C26" w:rsidRPr="004A7284">
        <w:rPr>
          <w:rFonts w:cstheme="minorHAnsi"/>
          <w:lang w:val="en-GB"/>
        </w:rPr>
        <w:t xml:space="preserve"> </w:t>
      </w:r>
      <w:r w:rsidR="00D6381A" w:rsidRPr="004A7284">
        <w:rPr>
          <w:rFonts w:cstheme="minorHAnsi"/>
          <w:lang w:val="en-GB"/>
        </w:rPr>
        <w:t>&lt;</w:t>
      </w:r>
      <w:r w:rsidR="001F2C26" w:rsidRPr="004A7284">
        <w:rPr>
          <w:rFonts w:cstheme="minorHAnsi"/>
          <w:lang w:val="en-GB"/>
        </w:rPr>
        <w:t xml:space="preserve"> </w:t>
      </w:r>
      <w:r w:rsidR="00D6381A" w:rsidRPr="004A7284">
        <w:rPr>
          <w:rFonts w:cstheme="minorHAnsi"/>
          <w:lang w:val="en-GB"/>
        </w:rPr>
        <w:t xml:space="preserve">.001 in all cases). Prevalence </w:t>
      </w:r>
      <w:r w:rsidR="00EE76B9" w:rsidRPr="004A7284">
        <w:rPr>
          <w:rFonts w:cstheme="minorHAnsi"/>
          <w:lang w:val="en-GB"/>
        </w:rPr>
        <w:t>showed less change over time. Diagnoses were significantly higher in more deprived areas (IMD decile 1 vs 2-10)</w:t>
      </w:r>
      <w:r w:rsidR="00D76630" w:rsidRPr="004A7284">
        <w:rPr>
          <w:rFonts w:cstheme="minorHAnsi"/>
          <w:lang w:val="en-GB"/>
        </w:rPr>
        <w:t>.</w:t>
      </w:r>
      <w:r w:rsidR="00EE76B9" w:rsidRPr="004A7284">
        <w:rPr>
          <w:rFonts w:cstheme="minorHAnsi"/>
          <w:lang w:val="en-GB"/>
        </w:rPr>
        <w:t xml:space="preserve"> Overall pharmacotherapy prescriptions were lower than national estimates. </w:t>
      </w:r>
    </w:p>
    <w:p w14:paraId="1B1E90E2" w14:textId="0483E05F" w:rsidR="003F6D0F" w:rsidRPr="004A7284" w:rsidRDefault="003F6D0F" w:rsidP="00EE76B9">
      <w:pPr>
        <w:spacing w:after="120" w:line="480" w:lineRule="auto"/>
        <w:rPr>
          <w:rFonts w:cstheme="minorHAnsi"/>
          <w:lang w:val="en-GB"/>
        </w:rPr>
      </w:pPr>
      <w:r w:rsidRPr="004A7284">
        <w:rPr>
          <w:rFonts w:cstheme="minorHAnsi"/>
          <w:lang w:val="en-GB"/>
        </w:rPr>
        <w:t>Conclusion</w:t>
      </w:r>
      <w:r w:rsidR="0024009B" w:rsidRPr="004A7284">
        <w:rPr>
          <w:rFonts w:cstheme="minorHAnsi"/>
          <w:lang w:val="en-GB"/>
        </w:rPr>
        <w:t>s</w:t>
      </w:r>
      <w:r w:rsidR="00EE76B9" w:rsidRPr="004A7284">
        <w:rPr>
          <w:rFonts w:cstheme="minorHAnsi"/>
          <w:lang w:val="en-GB"/>
        </w:rPr>
        <w:t xml:space="preserve">: There are low levels of identification of alcohol use disorders in primary care in Liverpool, and this is decreasing year on year. </w:t>
      </w:r>
      <w:r w:rsidR="00AC5F25" w:rsidRPr="004A7284">
        <w:rPr>
          <w:rFonts w:cstheme="minorHAnsi"/>
          <w:lang w:val="en-GB"/>
        </w:rPr>
        <w:t>There was weak evidence to suggest p</w:t>
      </w:r>
      <w:r w:rsidR="00EE76B9" w:rsidRPr="004A7284">
        <w:rPr>
          <w:rFonts w:cstheme="minorHAnsi"/>
          <w:lang w:val="en-GB"/>
        </w:rPr>
        <w:t xml:space="preserve">atients in the most deprived areas are less likely to receive pharmacotherapy once diagnosed. Future research should seek to investigate practitioner and patient perspectives on barriers and facilitators to management of alcohol use disorders in primary care.  </w:t>
      </w:r>
    </w:p>
    <w:p w14:paraId="7EA8F61B" w14:textId="5DD5BAC0" w:rsidR="001B3687" w:rsidRPr="004A7284" w:rsidRDefault="003F6D0F" w:rsidP="00BB71AB">
      <w:pPr>
        <w:spacing w:after="120" w:line="480" w:lineRule="auto"/>
        <w:rPr>
          <w:rFonts w:cstheme="minorHAnsi"/>
          <w:lang w:val="en-GB"/>
        </w:rPr>
      </w:pPr>
      <w:r w:rsidRPr="004A7284">
        <w:rPr>
          <w:rFonts w:cstheme="minorHAnsi"/>
          <w:b/>
          <w:lang w:val="en-GB"/>
        </w:rPr>
        <w:t>Keywords</w:t>
      </w:r>
      <w:r w:rsidR="00C54605" w:rsidRPr="004A7284">
        <w:rPr>
          <w:rFonts w:cstheme="minorHAnsi"/>
          <w:b/>
          <w:lang w:val="en-GB"/>
        </w:rPr>
        <w:t xml:space="preserve">: </w:t>
      </w:r>
      <w:r w:rsidR="00C54605" w:rsidRPr="004A7284">
        <w:rPr>
          <w:rFonts w:cstheme="minorHAnsi"/>
          <w:lang w:val="en-GB"/>
        </w:rPr>
        <w:t xml:space="preserve">Primary health care, </w:t>
      </w:r>
      <w:r w:rsidR="00296534" w:rsidRPr="004A7284">
        <w:rPr>
          <w:rFonts w:cstheme="minorHAnsi"/>
          <w:lang w:val="en-GB"/>
        </w:rPr>
        <w:t xml:space="preserve">general practice, </w:t>
      </w:r>
      <w:r w:rsidR="00C54605" w:rsidRPr="004A7284">
        <w:rPr>
          <w:rFonts w:cstheme="minorHAnsi"/>
          <w:lang w:val="en-GB"/>
        </w:rPr>
        <w:t>alcohol</w:t>
      </w:r>
      <w:r w:rsidR="00E202DE" w:rsidRPr="004A7284">
        <w:rPr>
          <w:rFonts w:cstheme="minorHAnsi"/>
          <w:lang w:val="en-GB"/>
        </w:rPr>
        <w:t xml:space="preserve"> dependence</w:t>
      </w:r>
      <w:r w:rsidR="00296534" w:rsidRPr="004A7284">
        <w:rPr>
          <w:rFonts w:cstheme="minorHAnsi"/>
          <w:lang w:val="en-GB"/>
        </w:rPr>
        <w:t>, treatment, incidence</w:t>
      </w:r>
      <w:r w:rsidR="00E202DE" w:rsidRPr="004A7284">
        <w:rPr>
          <w:rFonts w:cstheme="minorHAnsi"/>
          <w:lang w:val="en-GB"/>
        </w:rPr>
        <w:t xml:space="preserve">. </w:t>
      </w:r>
      <w:r w:rsidR="00296534" w:rsidRPr="004A7284">
        <w:rPr>
          <w:rFonts w:cstheme="minorHAnsi"/>
          <w:lang w:val="en-GB"/>
        </w:rPr>
        <w:t xml:space="preserve"> </w:t>
      </w:r>
    </w:p>
    <w:p w14:paraId="5A2CFED0" w14:textId="0C8E7F1D" w:rsidR="00A67A17" w:rsidRPr="004A7284" w:rsidRDefault="00A67A17" w:rsidP="00BB71AB">
      <w:pPr>
        <w:spacing w:after="120" w:line="480" w:lineRule="auto"/>
        <w:rPr>
          <w:rFonts w:cstheme="minorHAnsi"/>
          <w:b/>
          <w:lang w:val="en-GB"/>
        </w:rPr>
      </w:pPr>
      <w:r w:rsidRPr="004A7284">
        <w:rPr>
          <w:rFonts w:cstheme="minorHAnsi"/>
          <w:b/>
          <w:lang w:val="en-GB"/>
        </w:rPr>
        <w:lastRenderedPageBreak/>
        <w:t>Article Summary</w:t>
      </w:r>
    </w:p>
    <w:p w14:paraId="2FC1441F" w14:textId="5BC47CB0" w:rsidR="004904C2" w:rsidRPr="004A7284" w:rsidRDefault="00E02C30" w:rsidP="00BB71AB">
      <w:pPr>
        <w:spacing w:after="120" w:line="480" w:lineRule="auto"/>
        <w:rPr>
          <w:rFonts w:cstheme="minorHAnsi"/>
          <w:bCs/>
          <w:lang w:val="en-GB"/>
        </w:rPr>
      </w:pPr>
      <w:r w:rsidRPr="004A7284">
        <w:rPr>
          <w:rFonts w:cstheme="minorHAnsi"/>
          <w:bCs/>
          <w:lang w:val="en-GB"/>
        </w:rPr>
        <w:t xml:space="preserve">Strengths and Limitations of </w:t>
      </w:r>
      <w:r w:rsidR="00A67A17" w:rsidRPr="004A7284">
        <w:rPr>
          <w:rFonts w:cstheme="minorHAnsi"/>
          <w:bCs/>
          <w:lang w:val="en-GB"/>
        </w:rPr>
        <w:t>this</w:t>
      </w:r>
      <w:r w:rsidRPr="004A7284">
        <w:rPr>
          <w:rFonts w:cstheme="minorHAnsi"/>
          <w:bCs/>
          <w:lang w:val="en-GB"/>
        </w:rPr>
        <w:t xml:space="preserve"> study</w:t>
      </w:r>
    </w:p>
    <w:p w14:paraId="618F4552" w14:textId="4C5E703B" w:rsidR="00E249CD" w:rsidRPr="004A7284" w:rsidRDefault="0085495F" w:rsidP="00E249CD">
      <w:pPr>
        <w:pStyle w:val="ListParagraph"/>
        <w:numPr>
          <w:ilvl w:val="0"/>
          <w:numId w:val="10"/>
        </w:numPr>
        <w:spacing w:after="120" w:line="480" w:lineRule="auto"/>
        <w:rPr>
          <w:rFonts w:cstheme="minorHAnsi"/>
          <w:bCs/>
          <w:lang w:val="en-GB"/>
        </w:rPr>
      </w:pPr>
      <w:r w:rsidRPr="004A7284">
        <w:rPr>
          <w:rFonts w:cstheme="minorHAnsi"/>
          <w:bCs/>
          <w:lang w:val="en-GB"/>
        </w:rPr>
        <w:t xml:space="preserve">This study used local primary care data which allowed us to capture seldom heard populations (e.g. people who are homeless) in comparison to larger data sets where these populations are under-represented (e.g. UK Biobank, CRPD). </w:t>
      </w:r>
    </w:p>
    <w:p w14:paraId="5E0474D4" w14:textId="2FA0DFE1" w:rsidR="0085495F" w:rsidRPr="004A7284" w:rsidRDefault="0085495F" w:rsidP="00E249CD">
      <w:pPr>
        <w:pStyle w:val="ListParagraph"/>
        <w:numPr>
          <w:ilvl w:val="0"/>
          <w:numId w:val="10"/>
        </w:numPr>
        <w:spacing w:after="120" w:line="480" w:lineRule="auto"/>
        <w:rPr>
          <w:rFonts w:cstheme="minorHAnsi"/>
          <w:bCs/>
          <w:lang w:val="en-GB"/>
        </w:rPr>
      </w:pPr>
      <w:r w:rsidRPr="004A7284">
        <w:rPr>
          <w:rFonts w:cstheme="minorHAnsi"/>
          <w:bCs/>
          <w:lang w:val="en-GB"/>
        </w:rPr>
        <w:t>This study use</w:t>
      </w:r>
      <w:r w:rsidR="00DA7179" w:rsidRPr="004A7284">
        <w:rPr>
          <w:rFonts w:cstheme="minorHAnsi"/>
          <w:bCs/>
          <w:lang w:val="en-GB"/>
        </w:rPr>
        <w:t>d</w:t>
      </w:r>
      <w:r w:rsidRPr="004A7284">
        <w:rPr>
          <w:rFonts w:cstheme="minorHAnsi"/>
          <w:bCs/>
          <w:lang w:val="en-GB"/>
        </w:rPr>
        <w:t xml:space="preserve"> GP practice size when calculating incidence and prevalence to allow us to account for variations due to numbers of registered patients. </w:t>
      </w:r>
    </w:p>
    <w:p w14:paraId="49B98E82" w14:textId="763DF6BD" w:rsidR="00DA7179" w:rsidRPr="004A7284" w:rsidRDefault="00A0734E" w:rsidP="00E249CD">
      <w:pPr>
        <w:pStyle w:val="ListParagraph"/>
        <w:numPr>
          <w:ilvl w:val="0"/>
          <w:numId w:val="10"/>
        </w:numPr>
        <w:spacing w:after="120" w:line="480" w:lineRule="auto"/>
        <w:rPr>
          <w:rFonts w:cstheme="minorHAnsi"/>
          <w:bCs/>
          <w:lang w:val="en-GB"/>
        </w:rPr>
      </w:pPr>
      <w:r w:rsidRPr="004A7284">
        <w:rPr>
          <w:rFonts w:cstheme="minorHAnsi"/>
          <w:bCs/>
          <w:lang w:val="en-GB"/>
        </w:rPr>
        <w:t xml:space="preserve">We used both </w:t>
      </w:r>
      <w:r w:rsidR="008356FD" w:rsidRPr="004A7284">
        <w:rPr>
          <w:rFonts w:cstheme="minorHAnsi"/>
          <w:bCs/>
          <w:lang w:val="en-GB"/>
        </w:rPr>
        <w:t xml:space="preserve">GP postcode </w:t>
      </w:r>
      <w:r w:rsidRPr="004A7284">
        <w:rPr>
          <w:rFonts w:cstheme="minorHAnsi"/>
          <w:bCs/>
          <w:lang w:val="en-GB"/>
        </w:rPr>
        <w:t>and indivi</w:t>
      </w:r>
      <w:r w:rsidR="009A09CA" w:rsidRPr="004A7284">
        <w:rPr>
          <w:rFonts w:cstheme="minorHAnsi"/>
          <w:bCs/>
          <w:lang w:val="en-GB"/>
        </w:rPr>
        <w:t xml:space="preserve">dual patient-level residential location </w:t>
      </w:r>
      <w:r w:rsidR="0023373D" w:rsidRPr="004A7284">
        <w:rPr>
          <w:rFonts w:cstheme="minorHAnsi"/>
          <w:bCs/>
          <w:lang w:val="en-GB"/>
        </w:rPr>
        <w:t>Indices of Multiple Deprivation</w:t>
      </w:r>
      <w:r w:rsidR="008356FD" w:rsidRPr="004A7284">
        <w:rPr>
          <w:rFonts w:cstheme="minorHAnsi"/>
          <w:bCs/>
          <w:lang w:val="en-GB"/>
        </w:rPr>
        <w:t xml:space="preserve"> decile</w:t>
      </w:r>
      <w:r w:rsidR="009A09CA" w:rsidRPr="004A7284">
        <w:rPr>
          <w:rFonts w:cstheme="minorHAnsi"/>
          <w:bCs/>
          <w:lang w:val="en-GB"/>
        </w:rPr>
        <w:t>s</w:t>
      </w:r>
      <w:r w:rsidR="008356FD" w:rsidRPr="004A7284">
        <w:rPr>
          <w:rFonts w:cstheme="minorHAnsi"/>
          <w:bCs/>
          <w:lang w:val="en-GB"/>
        </w:rPr>
        <w:t xml:space="preserve"> </w:t>
      </w:r>
      <w:r w:rsidR="009A09CA" w:rsidRPr="004A7284">
        <w:rPr>
          <w:rFonts w:cstheme="minorHAnsi"/>
          <w:bCs/>
          <w:lang w:val="en-GB"/>
        </w:rPr>
        <w:t xml:space="preserve">to calculate associations between </w:t>
      </w:r>
      <w:r w:rsidR="007E29DB" w:rsidRPr="004A7284">
        <w:rPr>
          <w:rFonts w:cstheme="minorHAnsi"/>
          <w:bCs/>
          <w:lang w:val="en-GB"/>
        </w:rPr>
        <w:t>social deprivation, incidence of hazardous and dependent drinking</w:t>
      </w:r>
      <w:r w:rsidR="00DA77FA" w:rsidRPr="004A7284">
        <w:rPr>
          <w:rFonts w:cstheme="minorHAnsi"/>
          <w:bCs/>
          <w:lang w:val="en-GB"/>
        </w:rPr>
        <w:t>,</w:t>
      </w:r>
      <w:r w:rsidR="007E29DB" w:rsidRPr="004A7284">
        <w:rPr>
          <w:rFonts w:cstheme="minorHAnsi"/>
          <w:bCs/>
          <w:lang w:val="en-GB"/>
        </w:rPr>
        <w:t xml:space="preserve"> and receipt of pharmacotherapy. </w:t>
      </w:r>
    </w:p>
    <w:p w14:paraId="767330CA" w14:textId="1CE2AE54" w:rsidR="00E249CD" w:rsidRPr="004A7284" w:rsidRDefault="00DA7179" w:rsidP="00E74E70">
      <w:pPr>
        <w:pStyle w:val="ListParagraph"/>
        <w:numPr>
          <w:ilvl w:val="0"/>
          <w:numId w:val="10"/>
        </w:numPr>
        <w:spacing w:after="120" w:line="480" w:lineRule="auto"/>
        <w:rPr>
          <w:rFonts w:cstheme="minorHAnsi"/>
          <w:bCs/>
          <w:lang w:val="en-GB"/>
        </w:rPr>
      </w:pPr>
      <w:r w:rsidRPr="004A7284">
        <w:rPr>
          <w:rFonts w:cstheme="minorHAnsi"/>
          <w:bCs/>
          <w:lang w:val="en-GB"/>
        </w:rPr>
        <w:t xml:space="preserve">The data is limited in that it cannot tell us if patients were offered and declined pharmacotherapy and the study </w:t>
      </w:r>
      <w:r w:rsidR="00E249CD" w:rsidRPr="004A7284">
        <w:rPr>
          <w:rFonts w:cstheme="minorHAnsi"/>
          <w:bCs/>
          <w:lang w:val="en-GB"/>
        </w:rPr>
        <w:t xml:space="preserve">cannot tell us </w:t>
      </w:r>
      <w:r w:rsidR="00E249CD" w:rsidRPr="004A7284">
        <w:rPr>
          <w:rFonts w:cstheme="minorHAnsi"/>
          <w:bCs/>
          <w:i/>
          <w:iCs/>
          <w:lang w:val="en-GB"/>
        </w:rPr>
        <w:t xml:space="preserve">why </w:t>
      </w:r>
      <w:r w:rsidR="00E249CD" w:rsidRPr="004A7284">
        <w:rPr>
          <w:rFonts w:cstheme="minorHAnsi"/>
          <w:bCs/>
          <w:lang w:val="en-GB"/>
        </w:rPr>
        <w:t xml:space="preserve">the incidence of alcohol use disorder diagnoses in primary care have decreased over the last 5-years. </w:t>
      </w:r>
      <w:r w:rsidR="001101FB" w:rsidRPr="004A7284">
        <w:rPr>
          <w:rFonts w:cstheme="minorHAnsi"/>
          <w:bCs/>
          <w:lang w:val="en-GB"/>
        </w:rPr>
        <w:t xml:space="preserve">It should also be noted that </w:t>
      </w:r>
      <w:r w:rsidR="00477282" w:rsidRPr="004A7284">
        <w:rPr>
          <w:rFonts w:cstheme="minorHAnsi"/>
          <w:bCs/>
          <w:lang w:val="en-GB"/>
        </w:rPr>
        <w:t xml:space="preserve">the final 2 years in the analyses were during the COVID-19 pandemic, and changes in identification during this period </w:t>
      </w:r>
      <w:r w:rsidR="006E6A1E" w:rsidRPr="004A7284">
        <w:rPr>
          <w:rFonts w:cstheme="minorHAnsi"/>
          <w:bCs/>
          <w:lang w:val="en-GB"/>
        </w:rPr>
        <w:t>could</w:t>
      </w:r>
      <w:r w:rsidR="00477282" w:rsidRPr="004A7284">
        <w:rPr>
          <w:rFonts w:cstheme="minorHAnsi"/>
          <w:bCs/>
          <w:lang w:val="en-GB"/>
        </w:rPr>
        <w:t xml:space="preserve"> be affected </w:t>
      </w:r>
      <w:r w:rsidR="006E6A1E" w:rsidRPr="004A7284">
        <w:rPr>
          <w:rFonts w:cstheme="minorHAnsi"/>
          <w:bCs/>
          <w:lang w:val="en-GB"/>
        </w:rPr>
        <w:t>by restrictions in health care settings</w:t>
      </w:r>
      <w:r w:rsidR="00477282" w:rsidRPr="004A7284">
        <w:rPr>
          <w:rFonts w:cstheme="minorHAnsi"/>
          <w:bCs/>
          <w:lang w:val="en-GB"/>
        </w:rPr>
        <w:t xml:space="preserve">. </w:t>
      </w:r>
    </w:p>
    <w:p w14:paraId="2F0C427C" w14:textId="045F5196" w:rsidR="00E02C30" w:rsidRPr="004A7284" w:rsidRDefault="00E02C30" w:rsidP="00BB71AB">
      <w:pPr>
        <w:spacing w:after="120" w:line="480" w:lineRule="auto"/>
        <w:rPr>
          <w:rFonts w:cstheme="minorHAnsi"/>
          <w:b/>
          <w:lang w:val="en-GB"/>
        </w:rPr>
      </w:pPr>
    </w:p>
    <w:p w14:paraId="57C9A65B" w14:textId="77777777" w:rsidR="00E02C30" w:rsidRPr="004A7284" w:rsidRDefault="00E02C30" w:rsidP="00BB71AB">
      <w:pPr>
        <w:spacing w:after="120" w:line="480" w:lineRule="auto"/>
        <w:rPr>
          <w:rFonts w:cstheme="minorHAnsi"/>
          <w:b/>
          <w:lang w:val="en-GB"/>
        </w:rPr>
      </w:pPr>
    </w:p>
    <w:p w14:paraId="1F4B77C6" w14:textId="77777777" w:rsidR="00E7344A" w:rsidRPr="004A7284" w:rsidRDefault="00E7344A">
      <w:pPr>
        <w:rPr>
          <w:rFonts w:cstheme="minorHAnsi"/>
          <w:b/>
          <w:lang w:val="en-GB"/>
        </w:rPr>
      </w:pPr>
      <w:r w:rsidRPr="004A7284">
        <w:rPr>
          <w:rFonts w:cstheme="minorHAnsi"/>
          <w:b/>
          <w:lang w:val="en-GB"/>
        </w:rPr>
        <w:br w:type="page"/>
      </w:r>
    </w:p>
    <w:p w14:paraId="245F1B0D" w14:textId="1786893C" w:rsidR="00C529BE" w:rsidRPr="004A7284" w:rsidRDefault="002D47C2" w:rsidP="00BB71AB">
      <w:pPr>
        <w:spacing w:after="120" w:line="480" w:lineRule="auto"/>
        <w:jc w:val="both"/>
        <w:rPr>
          <w:rFonts w:ascii="ArialMT" w:hAnsi="ArialMT" w:cs="ArialMT"/>
          <w:b/>
          <w:sz w:val="18"/>
          <w:szCs w:val="18"/>
          <w:lang w:val="en-GB"/>
        </w:rPr>
      </w:pPr>
      <w:r w:rsidRPr="004A7284">
        <w:rPr>
          <w:rFonts w:cstheme="minorHAnsi"/>
          <w:b/>
          <w:lang w:val="en-GB"/>
        </w:rPr>
        <w:lastRenderedPageBreak/>
        <w:t>Introduction</w:t>
      </w:r>
    </w:p>
    <w:p w14:paraId="6F9D87A1" w14:textId="127A3A72" w:rsidR="00C529BE" w:rsidRPr="004A7284" w:rsidRDefault="00C529BE" w:rsidP="00BC0290">
      <w:pPr>
        <w:spacing w:after="120" w:line="480" w:lineRule="auto"/>
        <w:ind w:firstLine="708"/>
        <w:jc w:val="both"/>
        <w:rPr>
          <w:lang w:val="en-GB"/>
        </w:rPr>
      </w:pPr>
      <w:r w:rsidRPr="004A7284">
        <w:rPr>
          <w:lang w:val="en-GB"/>
        </w:rPr>
        <w:t>Harmful alcohol use (a pattern of alcohol use that causes damage to health) is a leading factor in premature death and disability worldwide</w:t>
      </w:r>
      <w:r w:rsidR="006F1348" w:rsidRPr="004A7284">
        <w:rPr>
          <w:lang w:val="en-GB"/>
        </w:rPr>
        <w:t xml:space="preserve"> [1]</w:t>
      </w:r>
      <w:r w:rsidRPr="004A7284">
        <w:rPr>
          <w:lang w:val="en-GB"/>
        </w:rPr>
        <w:t>. In the UK, despite a small reduction in alcohol</w:t>
      </w:r>
      <w:r w:rsidR="00AD40E6" w:rsidRPr="004A7284">
        <w:rPr>
          <w:lang w:val="en-GB"/>
        </w:rPr>
        <w:t>-</w:t>
      </w:r>
      <w:r w:rsidRPr="004A7284">
        <w:rPr>
          <w:lang w:val="en-GB"/>
        </w:rPr>
        <w:t xml:space="preserve">related hospital admissions in 2020 during the </w:t>
      </w:r>
      <w:r w:rsidR="00220E23" w:rsidRPr="004A7284">
        <w:rPr>
          <w:lang w:val="en-GB"/>
        </w:rPr>
        <w:t>COVID</w:t>
      </w:r>
      <w:r w:rsidRPr="004A7284">
        <w:rPr>
          <w:lang w:val="en-GB"/>
        </w:rPr>
        <w:t>-19 restrictions, there was a 20% increase in alcohol</w:t>
      </w:r>
      <w:r w:rsidR="00AD40E6" w:rsidRPr="004A7284">
        <w:rPr>
          <w:lang w:val="en-GB"/>
        </w:rPr>
        <w:t>-</w:t>
      </w:r>
      <w:r w:rsidRPr="004A7284">
        <w:rPr>
          <w:lang w:val="en-GB"/>
        </w:rPr>
        <w:t xml:space="preserve">related deaths from 2019 </w:t>
      </w:r>
      <w:r w:rsidR="00AC5F25" w:rsidRPr="004A7284">
        <w:rPr>
          <w:lang w:val="en-GB"/>
        </w:rPr>
        <w:t>–</w:t>
      </w:r>
      <w:r w:rsidRPr="004A7284">
        <w:rPr>
          <w:lang w:val="en-GB"/>
        </w:rPr>
        <w:t xml:space="preserve"> the second highest number ever recorded. In addition, alcohol</w:t>
      </w:r>
      <w:r w:rsidR="00F405A6" w:rsidRPr="004A7284">
        <w:rPr>
          <w:lang w:val="en-GB"/>
        </w:rPr>
        <w:t>-related</w:t>
      </w:r>
      <w:r w:rsidRPr="004A7284">
        <w:rPr>
          <w:lang w:val="en-GB"/>
        </w:rPr>
        <w:t xml:space="preserve"> liver disease deaths increase</w:t>
      </w:r>
      <w:r w:rsidR="006D2492" w:rsidRPr="004A7284">
        <w:rPr>
          <w:lang w:val="en-GB"/>
        </w:rPr>
        <w:t xml:space="preserve">d by 58% compared to baseline </w:t>
      </w:r>
      <w:r w:rsidR="006F1348" w:rsidRPr="004A7284">
        <w:rPr>
          <w:lang w:val="en-GB"/>
        </w:rPr>
        <w:t xml:space="preserve">[2]. </w:t>
      </w:r>
      <w:r w:rsidR="00E07F96" w:rsidRPr="004A7284">
        <w:rPr>
          <w:lang w:val="en-GB"/>
        </w:rPr>
        <w:t xml:space="preserve">Early identification of patients in primary care settings (e.g. General Practitioners; GPs) and robust referral and support pathways would facilitate treatment access, with those who remain abstinent for a year or more after treatment presenting a low relapse risk </w:t>
      </w:r>
      <w:r w:rsidR="006F1348" w:rsidRPr="004A7284">
        <w:rPr>
          <w:lang w:val="en-GB"/>
        </w:rPr>
        <w:t>[3]</w:t>
      </w:r>
      <w:r w:rsidR="00E07F96" w:rsidRPr="004A7284">
        <w:rPr>
          <w:lang w:val="en-GB"/>
        </w:rPr>
        <w:t xml:space="preserve">. </w:t>
      </w:r>
      <w:r w:rsidR="00900889" w:rsidRPr="004A7284">
        <w:rPr>
          <w:lang w:val="en-GB"/>
        </w:rPr>
        <w:t xml:space="preserve">However, identification of alcohol use disorders in primary care across the UK is low </w:t>
      </w:r>
      <w:r w:rsidR="006F1348" w:rsidRPr="004A7284">
        <w:rPr>
          <w:lang w:val="en-GB"/>
        </w:rPr>
        <w:t>[4,5].</w:t>
      </w:r>
      <w:r w:rsidR="00900889" w:rsidRPr="004A7284">
        <w:rPr>
          <w:lang w:val="en-GB"/>
        </w:rPr>
        <w:t xml:space="preserve">  </w:t>
      </w:r>
    </w:p>
    <w:p w14:paraId="1FB2FA06" w14:textId="2382FAAD" w:rsidR="00F652F9" w:rsidRPr="004A7284" w:rsidRDefault="00F405A6" w:rsidP="00BC0290">
      <w:pPr>
        <w:spacing w:after="120" w:line="480" w:lineRule="auto"/>
        <w:ind w:firstLine="708"/>
        <w:jc w:val="both"/>
        <w:rPr>
          <w:rFonts w:cs="Calibri"/>
          <w:lang w:val="en-GB"/>
        </w:rPr>
      </w:pPr>
      <w:r w:rsidRPr="004A7284">
        <w:rPr>
          <w:lang w:val="en-GB"/>
        </w:rPr>
        <w:t>There are numerous social and psychological factors which can affect alcohol</w:t>
      </w:r>
      <w:r w:rsidR="00AD40E6" w:rsidRPr="004A7284">
        <w:rPr>
          <w:lang w:val="en-GB"/>
        </w:rPr>
        <w:t>-</w:t>
      </w:r>
      <w:r w:rsidRPr="004A7284">
        <w:rPr>
          <w:lang w:val="en-GB"/>
        </w:rPr>
        <w:t xml:space="preserve">related harm, treatment </w:t>
      </w:r>
      <w:r w:rsidR="00AD0283" w:rsidRPr="004A7284">
        <w:rPr>
          <w:lang w:val="en-GB"/>
        </w:rPr>
        <w:t>seeking/</w:t>
      </w:r>
      <w:r w:rsidRPr="004A7284">
        <w:rPr>
          <w:lang w:val="en-GB"/>
        </w:rPr>
        <w:t xml:space="preserve">access and completion. </w:t>
      </w:r>
      <w:r w:rsidR="003F33EF" w:rsidRPr="004A7284">
        <w:rPr>
          <w:lang w:val="en-GB"/>
        </w:rPr>
        <w:t xml:space="preserve">Globally, people </w:t>
      </w:r>
      <w:r w:rsidR="001F2C26" w:rsidRPr="004A7284">
        <w:rPr>
          <w:lang w:val="en-GB"/>
        </w:rPr>
        <w:t xml:space="preserve">of </w:t>
      </w:r>
      <w:r w:rsidR="003F33EF" w:rsidRPr="004A7284">
        <w:rPr>
          <w:lang w:val="en-GB"/>
        </w:rPr>
        <w:t xml:space="preserve">lower socioeconomic status (SES) are more likely to die or suffer from alcohol-related disease </w:t>
      </w:r>
      <w:r w:rsidR="00527565" w:rsidRPr="004A7284">
        <w:rPr>
          <w:lang w:val="en-GB"/>
        </w:rPr>
        <w:t>[6-8]</w:t>
      </w:r>
      <w:r w:rsidR="003F33EF" w:rsidRPr="004A7284">
        <w:rPr>
          <w:lang w:val="en-GB"/>
        </w:rPr>
        <w:t>. In the UK, s</w:t>
      </w:r>
      <w:r w:rsidR="00F652F9" w:rsidRPr="004A7284">
        <w:rPr>
          <w:lang w:val="en-GB"/>
        </w:rPr>
        <w:t>ocial deprivation has been recognised as an important factor in alcohol</w:t>
      </w:r>
      <w:r w:rsidR="00AD40E6" w:rsidRPr="004A7284">
        <w:rPr>
          <w:lang w:val="en-GB"/>
        </w:rPr>
        <w:t>-</w:t>
      </w:r>
      <w:r w:rsidR="00F652F9" w:rsidRPr="004A7284">
        <w:rPr>
          <w:lang w:val="en-GB"/>
        </w:rPr>
        <w:t xml:space="preserve">related harm, prevalence, and treatment of alcohol dependence (AD) in previous research interrogating large databases (e.g. </w:t>
      </w:r>
      <w:r w:rsidR="00BC0290" w:rsidRPr="004A7284">
        <w:rPr>
          <w:lang w:val="en-GB"/>
        </w:rPr>
        <w:t>the Clinical Research Practice Database</w:t>
      </w:r>
      <w:r w:rsidR="00F652F9" w:rsidRPr="004A7284">
        <w:rPr>
          <w:lang w:val="en-GB"/>
        </w:rPr>
        <w:t xml:space="preserve"> and UK Biobank), with one study finding deprived areas have higher rates of AD diagnoses, higher mortality, and less support</w:t>
      </w:r>
      <w:r w:rsidR="00D65F0B" w:rsidRPr="004A7284">
        <w:rPr>
          <w:lang w:val="en-GB"/>
        </w:rPr>
        <w:t xml:space="preserve"> for patients once diagnosed </w:t>
      </w:r>
      <w:r w:rsidR="00527565" w:rsidRPr="004A7284">
        <w:rPr>
          <w:lang w:val="en-GB"/>
        </w:rPr>
        <w:t>[9]</w:t>
      </w:r>
      <w:r w:rsidR="00F652F9" w:rsidRPr="004A7284">
        <w:rPr>
          <w:lang w:val="en-GB"/>
        </w:rPr>
        <w:t xml:space="preserve">. </w:t>
      </w:r>
      <w:r w:rsidR="000E3233" w:rsidRPr="004A7284">
        <w:rPr>
          <w:lang w:val="en-GB"/>
        </w:rPr>
        <w:t xml:space="preserve">In this study, only 11.7% of participants were prescribed a relevant pharmacotherapy treatment, and those in the most deprived areas were less likely to be prescribed pharmacotherapy. </w:t>
      </w:r>
      <w:r w:rsidR="009705ED" w:rsidRPr="004A7284">
        <w:rPr>
          <w:lang w:val="en-GB"/>
        </w:rPr>
        <w:t xml:space="preserve">The </w:t>
      </w:r>
      <w:r w:rsidR="00220E23" w:rsidRPr="004A7284">
        <w:rPr>
          <w:lang w:val="en-GB"/>
        </w:rPr>
        <w:t>COVID-</w:t>
      </w:r>
      <w:r w:rsidR="009705ED" w:rsidRPr="004A7284">
        <w:rPr>
          <w:lang w:val="en-GB"/>
        </w:rPr>
        <w:t xml:space="preserve">19 pandemic is likely to have further exacerbated social inequalities in access to AD treatment as services were forced to cancel face-to-face contact for individuals with AD, and </w:t>
      </w:r>
      <w:r w:rsidR="000154BC" w:rsidRPr="004A7284">
        <w:rPr>
          <w:lang w:val="en-GB"/>
        </w:rPr>
        <w:t>the proportion of individual</w:t>
      </w:r>
      <w:r w:rsidR="00D82197" w:rsidRPr="004A7284">
        <w:rPr>
          <w:lang w:val="en-GB"/>
        </w:rPr>
        <w:t>s</w:t>
      </w:r>
      <w:r w:rsidR="000154BC" w:rsidRPr="004A7284">
        <w:rPr>
          <w:lang w:val="en-GB"/>
        </w:rPr>
        <w:t xml:space="preserve"> drinking at higher risk levels </w:t>
      </w:r>
      <w:r w:rsidR="009705ED" w:rsidRPr="004A7284">
        <w:rPr>
          <w:lang w:val="en-GB"/>
        </w:rPr>
        <w:t>reportedly increased over the course of the 12 months between March 2020 -2021</w:t>
      </w:r>
      <w:r w:rsidR="003F33EF" w:rsidRPr="004A7284">
        <w:rPr>
          <w:lang w:val="en-GB"/>
        </w:rPr>
        <w:t xml:space="preserve"> </w:t>
      </w:r>
      <w:r w:rsidR="000154BC" w:rsidRPr="004A7284">
        <w:rPr>
          <w:lang w:val="en-GB"/>
        </w:rPr>
        <w:t>[10]</w:t>
      </w:r>
      <w:r w:rsidR="009705ED" w:rsidRPr="004A7284">
        <w:rPr>
          <w:lang w:val="en-GB"/>
        </w:rPr>
        <w:t>.</w:t>
      </w:r>
      <w:r w:rsidR="00BC0290" w:rsidRPr="004A7284">
        <w:rPr>
          <w:lang w:val="en-GB"/>
        </w:rPr>
        <w:t xml:space="preserve"> </w:t>
      </w:r>
      <w:r w:rsidR="009705ED" w:rsidRPr="004A7284">
        <w:rPr>
          <w:rFonts w:cs="Calibri"/>
          <w:lang w:val="en-GB"/>
        </w:rPr>
        <w:t>Liverpool</w:t>
      </w:r>
      <w:r w:rsidR="00E7344A" w:rsidRPr="004A7284">
        <w:rPr>
          <w:rFonts w:cs="Calibri"/>
          <w:lang w:val="en-GB"/>
        </w:rPr>
        <w:t>, UK,</w:t>
      </w:r>
      <w:r w:rsidR="009705ED" w:rsidRPr="004A7284">
        <w:rPr>
          <w:rFonts w:cs="Calibri"/>
          <w:lang w:val="en-GB"/>
        </w:rPr>
        <w:t xml:space="preserve"> is an example of a city likely to have been affected by these social inequalities as it has the 3rd highest prevalence (2.53 ca</w:t>
      </w:r>
      <w:r w:rsidR="006D55A8" w:rsidRPr="004A7284">
        <w:rPr>
          <w:rFonts w:cs="Calibri"/>
          <w:lang w:val="en-GB"/>
        </w:rPr>
        <w:t>ses/100</w:t>
      </w:r>
      <w:r w:rsidR="006056E7" w:rsidRPr="004A7284">
        <w:rPr>
          <w:rFonts w:cs="Calibri"/>
          <w:lang w:val="en-GB"/>
        </w:rPr>
        <w:t xml:space="preserve"> people</w:t>
      </w:r>
      <w:r w:rsidR="006D55A8" w:rsidRPr="004A7284">
        <w:rPr>
          <w:rFonts w:cs="Calibri"/>
          <w:lang w:val="en-GB"/>
        </w:rPr>
        <w:t xml:space="preserve">) of AD in England </w:t>
      </w:r>
      <w:r w:rsidR="000154BC" w:rsidRPr="004A7284">
        <w:rPr>
          <w:rFonts w:cs="Calibri"/>
          <w:lang w:val="en-GB"/>
        </w:rPr>
        <w:t xml:space="preserve">[11] </w:t>
      </w:r>
      <w:r w:rsidR="009705ED" w:rsidRPr="004A7284">
        <w:rPr>
          <w:rFonts w:cs="Calibri"/>
          <w:lang w:val="en-GB"/>
        </w:rPr>
        <w:t>and is also ranked as the 3</w:t>
      </w:r>
      <w:r w:rsidR="009705ED" w:rsidRPr="004A7284">
        <w:rPr>
          <w:rFonts w:cs="Calibri"/>
          <w:vertAlign w:val="superscript"/>
          <w:lang w:val="en-GB"/>
        </w:rPr>
        <w:t>rd</w:t>
      </w:r>
      <w:r w:rsidR="009705ED" w:rsidRPr="004A7284">
        <w:rPr>
          <w:rFonts w:cs="Calibri"/>
          <w:lang w:val="en-GB"/>
        </w:rPr>
        <w:t xml:space="preserve"> most deprived local author</w:t>
      </w:r>
      <w:r w:rsidR="00282160" w:rsidRPr="004A7284">
        <w:rPr>
          <w:rFonts w:cs="Calibri"/>
          <w:lang w:val="en-GB"/>
        </w:rPr>
        <w:t xml:space="preserve">ity out of 317 across England </w:t>
      </w:r>
      <w:r w:rsidR="000154BC" w:rsidRPr="004A7284">
        <w:rPr>
          <w:rFonts w:cs="Calibri"/>
          <w:lang w:val="en-GB"/>
        </w:rPr>
        <w:t>[12]</w:t>
      </w:r>
      <w:r w:rsidR="009705ED" w:rsidRPr="004A7284">
        <w:rPr>
          <w:rFonts w:cs="Calibri"/>
          <w:lang w:val="en-GB"/>
        </w:rPr>
        <w:t xml:space="preserve">. </w:t>
      </w:r>
      <w:r w:rsidR="0046786F" w:rsidRPr="004A7284">
        <w:rPr>
          <w:rFonts w:cs="Calibri"/>
          <w:lang w:val="en-GB"/>
        </w:rPr>
        <w:t xml:space="preserve">As most of the UK population is registered with a GP, GPs are uniquely placed to identify patients with alcohol use disorders and treat or refer to </w:t>
      </w:r>
      <w:r w:rsidR="0046786F" w:rsidRPr="004A7284">
        <w:rPr>
          <w:rFonts w:cs="Calibri"/>
          <w:lang w:val="en-GB"/>
        </w:rPr>
        <w:lastRenderedPageBreak/>
        <w:t xml:space="preserve">appropriate services and a </w:t>
      </w:r>
      <w:r w:rsidR="00FB3ABC" w:rsidRPr="004A7284">
        <w:rPr>
          <w:rFonts w:cs="Calibri"/>
          <w:lang w:val="en-GB"/>
        </w:rPr>
        <w:t xml:space="preserve">clear picture of the incidence </w:t>
      </w:r>
      <w:r w:rsidR="00E7344A" w:rsidRPr="004A7284">
        <w:rPr>
          <w:rFonts w:cs="Calibri"/>
          <w:lang w:val="en-GB"/>
        </w:rPr>
        <w:t xml:space="preserve">and prevalence </w:t>
      </w:r>
      <w:r w:rsidR="00FB3ABC" w:rsidRPr="004A7284">
        <w:rPr>
          <w:rFonts w:cs="Calibri"/>
          <w:lang w:val="en-GB"/>
        </w:rPr>
        <w:t xml:space="preserve">of </w:t>
      </w:r>
      <w:r w:rsidR="0046786F" w:rsidRPr="004A7284">
        <w:rPr>
          <w:rFonts w:cs="Calibri"/>
          <w:lang w:val="en-GB"/>
        </w:rPr>
        <w:t>alcohol presentations in primary care,</w:t>
      </w:r>
      <w:r w:rsidR="00FB3ABC" w:rsidRPr="004A7284">
        <w:rPr>
          <w:rFonts w:cs="Calibri"/>
          <w:lang w:val="en-GB"/>
        </w:rPr>
        <w:t xml:space="preserve"> as well as associated sociodemographic variables</w:t>
      </w:r>
      <w:r w:rsidR="0046786F" w:rsidRPr="004A7284">
        <w:rPr>
          <w:rFonts w:cs="Calibri"/>
          <w:lang w:val="en-GB"/>
        </w:rPr>
        <w:t>,</w:t>
      </w:r>
      <w:r w:rsidR="00FB3ABC" w:rsidRPr="004A7284">
        <w:rPr>
          <w:rFonts w:cs="Calibri"/>
          <w:lang w:val="en-GB"/>
        </w:rPr>
        <w:t xml:space="preserve"> is needed</w:t>
      </w:r>
      <w:r w:rsidR="009705ED" w:rsidRPr="004A7284">
        <w:rPr>
          <w:rFonts w:cs="Calibri"/>
          <w:lang w:val="en-GB"/>
        </w:rPr>
        <w:t xml:space="preserve"> </w:t>
      </w:r>
      <w:r w:rsidR="00FB3ABC" w:rsidRPr="004A7284">
        <w:rPr>
          <w:rFonts w:cs="Calibri"/>
          <w:lang w:val="en-GB"/>
        </w:rPr>
        <w:t>to</w:t>
      </w:r>
      <w:r w:rsidR="009705ED" w:rsidRPr="004A7284">
        <w:rPr>
          <w:rFonts w:cs="Calibri"/>
          <w:lang w:val="en-GB"/>
        </w:rPr>
        <w:t xml:space="preserve"> understand the impact of the </w:t>
      </w:r>
      <w:r w:rsidR="00220E23" w:rsidRPr="004A7284">
        <w:rPr>
          <w:rFonts w:cs="Calibri"/>
          <w:lang w:val="en-GB"/>
        </w:rPr>
        <w:t>COVID-</w:t>
      </w:r>
      <w:r w:rsidR="009705ED" w:rsidRPr="004A7284">
        <w:rPr>
          <w:rFonts w:cs="Calibri"/>
          <w:lang w:val="en-GB"/>
        </w:rPr>
        <w:t xml:space="preserve">19 pandemic on </w:t>
      </w:r>
      <w:r w:rsidR="0046786F" w:rsidRPr="004A7284">
        <w:rPr>
          <w:rFonts w:cs="Calibri"/>
          <w:lang w:val="en-GB"/>
        </w:rPr>
        <w:t>identification of alcohol use disorders</w:t>
      </w:r>
      <w:r w:rsidR="009705ED" w:rsidRPr="004A7284">
        <w:rPr>
          <w:rFonts w:cs="Calibri"/>
          <w:lang w:val="en-GB"/>
        </w:rPr>
        <w:t xml:space="preserve"> but </w:t>
      </w:r>
      <w:r w:rsidR="004468C1" w:rsidRPr="004A7284">
        <w:rPr>
          <w:rFonts w:cs="Calibri"/>
          <w:lang w:val="en-GB"/>
        </w:rPr>
        <w:t>also</w:t>
      </w:r>
      <w:r w:rsidR="009705ED" w:rsidRPr="004A7284">
        <w:rPr>
          <w:rFonts w:cs="Calibri"/>
          <w:lang w:val="en-GB"/>
        </w:rPr>
        <w:t xml:space="preserve"> </w:t>
      </w:r>
      <w:r w:rsidR="00FB3ABC" w:rsidRPr="004A7284">
        <w:rPr>
          <w:rFonts w:cs="Calibri"/>
          <w:lang w:val="en-GB"/>
        </w:rPr>
        <w:t xml:space="preserve">to </w:t>
      </w:r>
      <w:r w:rsidR="009705ED" w:rsidRPr="004A7284">
        <w:rPr>
          <w:rFonts w:cs="Calibri"/>
          <w:lang w:val="en-GB"/>
        </w:rPr>
        <w:t xml:space="preserve">elucidate </w:t>
      </w:r>
      <w:r w:rsidR="0046786F" w:rsidRPr="004A7284">
        <w:rPr>
          <w:rFonts w:cs="Calibri"/>
          <w:lang w:val="en-GB"/>
        </w:rPr>
        <w:t>local</w:t>
      </w:r>
      <w:r w:rsidR="009705ED" w:rsidRPr="004A7284">
        <w:rPr>
          <w:rFonts w:cs="Calibri"/>
          <w:lang w:val="en-GB"/>
        </w:rPr>
        <w:t xml:space="preserve"> inequalities in A</w:t>
      </w:r>
      <w:r w:rsidR="00DB19A6" w:rsidRPr="004A7284">
        <w:rPr>
          <w:rFonts w:cs="Calibri"/>
          <w:lang w:val="en-GB"/>
        </w:rPr>
        <w:t>U</w:t>
      </w:r>
      <w:r w:rsidR="009705ED" w:rsidRPr="004A7284">
        <w:rPr>
          <w:rFonts w:cs="Calibri"/>
          <w:lang w:val="en-GB"/>
        </w:rPr>
        <w:t>D presentations.</w:t>
      </w:r>
      <w:r w:rsidR="004468C1" w:rsidRPr="004A7284">
        <w:rPr>
          <w:rFonts w:cs="Calibri"/>
          <w:lang w:val="en-GB"/>
        </w:rPr>
        <w:t xml:space="preserve"> </w:t>
      </w:r>
    </w:p>
    <w:p w14:paraId="119CCEF0" w14:textId="464EA5D0" w:rsidR="006F3A8E" w:rsidRPr="004A7284" w:rsidRDefault="006D0124" w:rsidP="00BC0290">
      <w:pPr>
        <w:spacing w:after="120" w:line="480" w:lineRule="auto"/>
        <w:ind w:firstLine="708"/>
        <w:jc w:val="both"/>
        <w:rPr>
          <w:rFonts w:cs="Calibri"/>
          <w:lang w:val="en-GB"/>
        </w:rPr>
      </w:pPr>
      <w:r w:rsidRPr="004A7284">
        <w:rPr>
          <w:rFonts w:cs="Calibri"/>
          <w:lang w:val="en-GB"/>
        </w:rPr>
        <w:t xml:space="preserve">While the benefits of </w:t>
      </w:r>
      <w:r w:rsidR="00A9415A" w:rsidRPr="004A7284">
        <w:rPr>
          <w:rFonts w:cs="Calibri"/>
          <w:lang w:val="en-GB"/>
        </w:rPr>
        <w:t xml:space="preserve">improving access to treatment are clear, </w:t>
      </w:r>
      <w:r w:rsidR="00094399" w:rsidRPr="004A7284">
        <w:rPr>
          <w:rFonts w:cs="Calibri"/>
          <w:lang w:val="en-GB"/>
        </w:rPr>
        <w:t xml:space="preserve">the development of </w:t>
      </w:r>
      <w:r w:rsidR="00AD695C" w:rsidRPr="004A7284">
        <w:rPr>
          <w:rFonts w:cs="Calibri"/>
          <w:lang w:val="en-GB"/>
        </w:rPr>
        <w:t xml:space="preserve">improvements </w:t>
      </w:r>
      <w:r w:rsidR="006F3A8E" w:rsidRPr="004A7284">
        <w:rPr>
          <w:rFonts w:cs="Calibri"/>
          <w:lang w:val="en-GB"/>
        </w:rPr>
        <w:t xml:space="preserve">that reduce social inequalities </w:t>
      </w:r>
      <w:r w:rsidR="008252DA" w:rsidRPr="004A7284">
        <w:rPr>
          <w:rFonts w:cs="Calibri"/>
          <w:lang w:val="en-GB"/>
        </w:rPr>
        <w:t>requires</w:t>
      </w:r>
      <w:r w:rsidR="00AD695C" w:rsidRPr="004A7284">
        <w:rPr>
          <w:rFonts w:cs="Calibri"/>
          <w:lang w:val="en-GB"/>
        </w:rPr>
        <w:t xml:space="preserve"> </w:t>
      </w:r>
      <w:r w:rsidR="00FB4BFC" w:rsidRPr="004A7284">
        <w:rPr>
          <w:rFonts w:cs="Calibri"/>
          <w:lang w:val="en-GB"/>
        </w:rPr>
        <w:t>a careful prior analysis of AD incidenc</w:t>
      </w:r>
      <w:r w:rsidR="00BE1041" w:rsidRPr="004A7284">
        <w:rPr>
          <w:rFonts w:cs="Calibri"/>
          <w:lang w:val="en-GB"/>
        </w:rPr>
        <w:t xml:space="preserve">e and AD </w:t>
      </w:r>
      <w:r w:rsidR="006C24AD" w:rsidRPr="004A7284">
        <w:rPr>
          <w:rFonts w:cs="Calibri"/>
          <w:lang w:val="en-GB"/>
        </w:rPr>
        <w:t xml:space="preserve">sociodemographic </w:t>
      </w:r>
      <w:r w:rsidR="00BE1041" w:rsidRPr="004A7284">
        <w:rPr>
          <w:rFonts w:cs="Calibri"/>
          <w:lang w:val="en-GB"/>
        </w:rPr>
        <w:t>patient profiles</w:t>
      </w:r>
      <w:r w:rsidR="00E4470C" w:rsidRPr="004A7284">
        <w:rPr>
          <w:rFonts w:cs="Calibri"/>
          <w:lang w:val="en-GB"/>
        </w:rPr>
        <w:t xml:space="preserve"> that also </w:t>
      </w:r>
      <w:proofErr w:type="gramStart"/>
      <w:r w:rsidR="00E4470C" w:rsidRPr="004A7284">
        <w:rPr>
          <w:rFonts w:cs="Calibri"/>
          <w:lang w:val="en-GB"/>
        </w:rPr>
        <w:t>takes into account</w:t>
      </w:r>
      <w:proofErr w:type="gramEnd"/>
      <w:r w:rsidR="00E4470C" w:rsidRPr="004A7284">
        <w:rPr>
          <w:rFonts w:cs="Calibri"/>
          <w:lang w:val="en-GB"/>
        </w:rPr>
        <w:t xml:space="preserve"> differences between GP practices</w:t>
      </w:r>
      <w:r w:rsidR="006F3A8E" w:rsidRPr="004A7284">
        <w:rPr>
          <w:rFonts w:cs="Calibri"/>
          <w:lang w:val="en-GB"/>
        </w:rPr>
        <w:t xml:space="preserve">. </w:t>
      </w:r>
      <w:r w:rsidR="00BE1041" w:rsidRPr="004A7284">
        <w:rPr>
          <w:rFonts w:cs="Calibri"/>
          <w:lang w:val="en-GB"/>
        </w:rPr>
        <w:t>Our</w:t>
      </w:r>
      <w:r w:rsidR="006F3A8E" w:rsidRPr="004A7284">
        <w:rPr>
          <w:rFonts w:cs="Calibri"/>
          <w:lang w:val="en-GB"/>
        </w:rPr>
        <w:t xml:space="preserve"> study sought to </w:t>
      </w:r>
      <w:r w:rsidR="00BE1041" w:rsidRPr="004A7284">
        <w:rPr>
          <w:rFonts w:cs="Calibri"/>
          <w:lang w:val="en-GB"/>
        </w:rPr>
        <w:t xml:space="preserve">accomplish this by </w:t>
      </w:r>
      <w:r w:rsidR="006F3A8E" w:rsidRPr="004A7284">
        <w:rPr>
          <w:rFonts w:cs="Calibri"/>
          <w:lang w:val="en-GB"/>
        </w:rPr>
        <w:t>identify</w:t>
      </w:r>
      <w:r w:rsidR="00BE1041" w:rsidRPr="004A7284">
        <w:rPr>
          <w:rFonts w:cs="Calibri"/>
          <w:lang w:val="en-GB"/>
        </w:rPr>
        <w:t>ing</w:t>
      </w:r>
      <w:r w:rsidR="006F3A8E" w:rsidRPr="004A7284">
        <w:rPr>
          <w:rFonts w:cs="Calibri"/>
          <w:lang w:val="en-GB"/>
        </w:rPr>
        <w:t xml:space="preserve"> the incidence of AD presentations in primary care in Liverpool, sociodemographic characteristics of patients, temporal trends in these variables and the association between sociodemographic characteristics a</w:t>
      </w:r>
      <w:r w:rsidR="00BE1041" w:rsidRPr="004A7284">
        <w:rPr>
          <w:rFonts w:cs="Calibri"/>
          <w:lang w:val="en-GB"/>
        </w:rPr>
        <w:t>nd AD presentations and comparing</w:t>
      </w:r>
      <w:r w:rsidR="006F3A8E" w:rsidRPr="004A7284">
        <w:rPr>
          <w:rFonts w:cs="Calibri"/>
          <w:lang w:val="en-GB"/>
        </w:rPr>
        <w:t xml:space="preserve"> these observations between Primary Care Networks in LCCG. </w:t>
      </w:r>
    </w:p>
    <w:p w14:paraId="7E95BE2B" w14:textId="77777777" w:rsidR="002D47C2" w:rsidRPr="004A7284" w:rsidRDefault="002D47C2" w:rsidP="00BB71AB">
      <w:pPr>
        <w:spacing w:after="120" w:line="480" w:lineRule="auto"/>
        <w:jc w:val="both"/>
        <w:rPr>
          <w:rFonts w:cstheme="minorHAnsi"/>
          <w:b/>
          <w:lang w:val="en-GB"/>
        </w:rPr>
      </w:pPr>
      <w:r w:rsidRPr="004A7284">
        <w:rPr>
          <w:rFonts w:cstheme="minorHAnsi"/>
          <w:b/>
          <w:lang w:val="en-GB"/>
        </w:rPr>
        <w:t>Method</w:t>
      </w:r>
    </w:p>
    <w:p w14:paraId="51AD78F2" w14:textId="5EFEBD3D" w:rsidR="00F418ED" w:rsidRPr="004A7284" w:rsidRDefault="00753886" w:rsidP="00BB71AB">
      <w:pPr>
        <w:spacing w:after="120" w:line="480" w:lineRule="auto"/>
        <w:jc w:val="both"/>
        <w:rPr>
          <w:rFonts w:cstheme="minorHAnsi"/>
          <w:lang w:val="en-GB"/>
        </w:rPr>
      </w:pPr>
      <w:r w:rsidRPr="004A7284">
        <w:rPr>
          <w:rFonts w:cstheme="minorHAnsi"/>
          <w:i/>
          <w:iCs/>
          <w:lang w:val="en-GB"/>
        </w:rPr>
        <w:t xml:space="preserve">Design, Setting and </w:t>
      </w:r>
      <w:r w:rsidR="0067427E" w:rsidRPr="004A7284">
        <w:rPr>
          <w:rFonts w:cstheme="minorHAnsi"/>
          <w:i/>
          <w:iCs/>
          <w:lang w:val="en-GB"/>
        </w:rPr>
        <w:t xml:space="preserve">Study </w:t>
      </w:r>
      <w:r w:rsidRPr="004A7284">
        <w:rPr>
          <w:rFonts w:cstheme="minorHAnsi"/>
          <w:i/>
          <w:iCs/>
          <w:lang w:val="en-GB"/>
        </w:rPr>
        <w:t>Populatio</w:t>
      </w:r>
      <w:r w:rsidRPr="004A7284">
        <w:rPr>
          <w:rFonts w:cstheme="minorHAnsi"/>
          <w:lang w:val="en-GB"/>
        </w:rPr>
        <w:t>n</w:t>
      </w:r>
    </w:p>
    <w:p w14:paraId="47C555F9" w14:textId="0DC0D09F" w:rsidR="00455A8B" w:rsidRPr="004A7284" w:rsidRDefault="00DF63D9" w:rsidP="00620970">
      <w:pPr>
        <w:spacing w:after="120" w:line="480" w:lineRule="auto"/>
        <w:ind w:firstLine="360"/>
        <w:jc w:val="both"/>
        <w:rPr>
          <w:rFonts w:cstheme="minorHAnsi"/>
          <w:lang w:val="en-GB"/>
        </w:rPr>
      </w:pPr>
      <w:r w:rsidRPr="004A7284">
        <w:rPr>
          <w:rFonts w:cstheme="minorHAnsi"/>
          <w:lang w:val="en-GB"/>
        </w:rPr>
        <w:t>We</w:t>
      </w:r>
      <w:r w:rsidR="005E29E9" w:rsidRPr="004A7284">
        <w:rPr>
          <w:rFonts w:cstheme="minorHAnsi"/>
          <w:lang w:val="en-GB"/>
        </w:rPr>
        <w:t xml:space="preserve"> conducted a</w:t>
      </w:r>
      <w:r w:rsidRPr="004A7284">
        <w:rPr>
          <w:rFonts w:cstheme="minorHAnsi"/>
          <w:lang w:val="en-GB"/>
        </w:rPr>
        <w:t xml:space="preserve"> cross-sectional </w:t>
      </w:r>
      <w:r w:rsidR="0067427E" w:rsidRPr="004A7284">
        <w:rPr>
          <w:rFonts w:cstheme="minorHAnsi"/>
          <w:lang w:val="en-GB"/>
        </w:rPr>
        <w:t>analysis</w:t>
      </w:r>
      <w:r w:rsidR="005E29E9" w:rsidRPr="004A7284">
        <w:rPr>
          <w:rFonts w:cstheme="minorHAnsi"/>
          <w:lang w:val="en-GB"/>
        </w:rPr>
        <w:t xml:space="preserve"> of </w:t>
      </w:r>
      <w:r w:rsidR="00733B1A" w:rsidRPr="004A7284">
        <w:rPr>
          <w:rFonts w:cstheme="minorHAnsi"/>
          <w:lang w:val="en-GB"/>
        </w:rPr>
        <w:t>anonymis</w:t>
      </w:r>
      <w:r w:rsidR="0097620B" w:rsidRPr="004A7284">
        <w:rPr>
          <w:rFonts w:cstheme="minorHAnsi"/>
          <w:lang w:val="en-GB"/>
        </w:rPr>
        <w:t xml:space="preserve">ed </w:t>
      </w:r>
      <w:r w:rsidR="0067427E" w:rsidRPr="004A7284">
        <w:rPr>
          <w:rFonts w:cstheme="minorHAnsi"/>
          <w:lang w:val="en-GB"/>
        </w:rPr>
        <w:t xml:space="preserve">GP </w:t>
      </w:r>
      <w:r w:rsidR="005E29E9" w:rsidRPr="004A7284">
        <w:rPr>
          <w:rFonts w:cstheme="minorHAnsi"/>
          <w:lang w:val="en-GB"/>
        </w:rPr>
        <w:t xml:space="preserve">electronic health records </w:t>
      </w:r>
      <w:r w:rsidR="0067427E" w:rsidRPr="004A7284">
        <w:rPr>
          <w:rFonts w:cstheme="minorHAnsi"/>
          <w:lang w:val="en-GB"/>
        </w:rPr>
        <w:t>in Liverpool Clinical Commissioning Group</w:t>
      </w:r>
      <w:r w:rsidR="00455A8B" w:rsidRPr="004A7284">
        <w:rPr>
          <w:rFonts w:cstheme="minorHAnsi"/>
          <w:lang w:val="en-GB"/>
        </w:rPr>
        <w:t xml:space="preserve"> and requested data from the 86 GP practices within the CCG</w:t>
      </w:r>
      <w:r w:rsidR="00881C9F" w:rsidRPr="004A7284">
        <w:rPr>
          <w:rFonts w:cstheme="minorHAnsi"/>
          <w:lang w:val="en-GB"/>
        </w:rPr>
        <w:t xml:space="preserve">. </w:t>
      </w:r>
      <w:r w:rsidR="00455A8B" w:rsidRPr="004A7284">
        <w:rPr>
          <w:rFonts w:cstheme="minorHAnsi"/>
          <w:lang w:val="en-GB"/>
        </w:rPr>
        <w:t>P</w:t>
      </w:r>
      <w:r w:rsidR="00030055" w:rsidRPr="004A7284">
        <w:rPr>
          <w:rFonts w:cstheme="minorHAnsi"/>
          <w:lang w:val="en-GB"/>
        </w:rPr>
        <w:t xml:space="preserve">ractices provided us with routinely collected patient health data </w:t>
      </w:r>
      <w:r w:rsidR="00D26452" w:rsidRPr="004A7284">
        <w:rPr>
          <w:rFonts w:cstheme="minorHAnsi"/>
          <w:lang w:val="en-GB"/>
        </w:rPr>
        <w:t xml:space="preserve">recorded via </w:t>
      </w:r>
      <w:proofErr w:type="spellStart"/>
      <w:r w:rsidR="00455A8B" w:rsidRPr="004A7284">
        <w:rPr>
          <w:rFonts w:cstheme="minorHAnsi"/>
          <w:lang w:val="en-GB"/>
        </w:rPr>
        <w:t>Egton</w:t>
      </w:r>
      <w:proofErr w:type="spellEnd"/>
      <w:r w:rsidR="00455A8B" w:rsidRPr="004A7284">
        <w:rPr>
          <w:rFonts w:cstheme="minorHAnsi"/>
          <w:lang w:val="en-GB"/>
        </w:rPr>
        <w:t xml:space="preserve"> Medical Information Systems (EMIS)</w:t>
      </w:r>
      <w:r w:rsidR="00D26452" w:rsidRPr="004A7284">
        <w:rPr>
          <w:rFonts w:cstheme="minorHAnsi"/>
          <w:lang w:val="en-GB"/>
        </w:rPr>
        <w:t xml:space="preserve">. Following the case definition of Alcohol Dependence developed by Thompson and co-workers </w:t>
      </w:r>
      <w:r w:rsidR="000154BC" w:rsidRPr="004A7284">
        <w:rPr>
          <w:rFonts w:cstheme="minorHAnsi"/>
          <w:lang w:val="en-GB"/>
        </w:rPr>
        <w:t>[13]</w:t>
      </w:r>
      <w:r w:rsidR="00D26452" w:rsidRPr="004A7284">
        <w:rPr>
          <w:rFonts w:cstheme="minorHAnsi"/>
          <w:lang w:val="en-GB"/>
        </w:rPr>
        <w:t xml:space="preserve">, </w:t>
      </w:r>
      <w:r w:rsidR="00B22233" w:rsidRPr="004A7284">
        <w:rPr>
          <w:rFonts w:cstheme="minorHAnsi"/>
          <w:lang w:val="en-GB"/>
        </w:rPr>
        <w:t>records of</w:t>
      </w:r>
      <w:r w:rsidR="0045473E" w:rsidRPr="004A7284">
        <w:rPr>
          <w:rFonts w:cstheme="minorHAnsi"/>
          <w:lang w:val="en-GB"/>
        </w:rPr>
        <w:t xml:space="preserve"> individuals</w:t>
      </w:r>
      <w:r w:rsidR="005776B2" w:rsidRPr="004A7284">
        <w:rPr>
          <w:rFonts w:cstheme="minorHAnsi"/>
          <w:lang w:val="en-GB"/>
        </w:rPr>
        <w:t xml:space="preserve"> who</w:t>
      </w:r>
      <w:r w:rsidR="00455A8B" w:rsidRPr="004A7284">
        <w:rPr>
          <w:rFonts w:cstheme="minorHAnsi"/>
          <w:lang w:val="en-GB"/>
        </w:rPr>
        <w:t xml:space="preserve">: </w:t>
      </w:r>
    </w:p>
    <w:p w14:paraId="78473D39" w14:textId="19A83DAF" w:rsidR="005776B2" w:rsidRPr="004A7284" w:rsidRDefault="005776B2" w:rsidP="0023373D">
      <w:pPr>
        <w:pStyle w:val="ListParagraph"/>
        <w:numPr>
          <w:ilvl w:val="0"/>
          <w:numId w:val="6"/>
        </w:numPr>
        <w:spacing w:after="120" w:line="480" w:lineRule="auto"/>
        <w:ind w:left="357" w:firstLine="0"/>
        <w:jc w:val="both"/>
        <w:rPr>
          <w:rFonts w:cstheme="minorHAnsi"/>
          <w:lang w:val="en-GB"/>
        </w:rPr>
      </w:pPr>
      <w:r w:rsidRPr="004A7284">
        <w:rPr>
          <w:rFonts w:cstheme="minorHAnsi"/>
          <w:lang w:val="en-GB"/>
        </w:rPr>
        <w:t>Were a</w:t>
      </w:r>
      <w:r w:rsidR="0045473E" w:rsidRPr="004A7284">
        <w:rPr>
          <w:rFonts w:cstheme="minorHAnsi"/>
          <w:lang w:val="en-GB"/>
        </w:rPr>
        <w:t xml:space="preserve">ged 18 years or </w:t>
      </w:r>
      <w:r w:rsidRPr="004A7284">
        <w:rPr>
          <w:rFonts w:cstheme="minorHAnsi"/>
          <w:lang w:val="en-GB"/>
        </w:rPr>
        <w:t>over</w:t>
      </w:r>
    </w:p>
    <w:p w14:paraId="1D92D61C" w14:textId="72D78AD2" w:rsidR="005776B2" w:rsidRPr="004A7284" w:rsidRDefault="005776B2" w:rsidP="0023373D">
      <w:pPr>
        <w:pStyle w:val="ListParagraph"/>
        <w:numPr>
          <w:ilvl w:val="0"/>
          <w:numId w:val="6"/>
        </w:numPr>
        <w:spacing w:after="120" w:line="480" w:lineRule="auto"/>
        <w:ind w:left="357" w:firstLine="0"/>
        <w:jc w:val="both"/>
        <w:rPr>
          <w:rFonts w:cstheme="minorHAnsi"/>
          <w:lang w:val="en-GB"/>
        </w:rPr>
      </w:pPr>
      <w:r w:rsidRPr="004A7284">
        <w:rPr>
          <w:rFonts w:cstheme="minorHAnsi"/>
          <w:lang w:val="en-GB"/>
        </w:rPr>
        <w:t>Had a SNOMED code</w:t>
      </w:r>
      <w:r w:rsidR="0045473E" w:rsidRPr="004A7284">
        <w:rPr>
          <w:rFonts w:cstheme="minorHAnsi"/>
          <w:lang w:val="en-GB"/>
        </w:rPr>
        <w:t xml:space="preserve"> </w:t>
      </w:r>
      <w:r w:rsidRPr="004A7284">
        <w:rPr>
          <w:rFonts w:cstheme="minorHAnsi"/>
          <w:lang w:val="en-GB"/>
        </w:rPr>
        <w:t>for alcohol dependence</w:t>
      </w:r>
      <w:r w:rsidR="00030055" w:rsidRPr="004A7284">
        <w:rPr>
          <w:rFonts w:cstheme="minorHAnsi"/>
          <w:lang w:val="en-GB"/>
        </w:rPr>
        <w:t xml:space="preserve"> or consequences of </w:t>
      </w:r>
      <w:r w:rsidRPr="004A7284">
        <w:rPr>
          <w:rFonts w:cstheme="minorHAnsi"/>
          <w:lang w:val="en-GB"/>
        </w:rPr>
        <w:t>alcohol dependence</w:t>
      </w:r>
      <w:r w:rsidR="00BB71AB" w:rsidRPr="004A7284">
        <w:rPr>
          <w:rFonts w:cstheme="minorHAnsi"/>
          <w:lang w:val="en-GB"/>
        </w:rPr>
        <w:t xml:space="preserve"> (e.g.</w:t>
      </w:r>
      <w:r w:rsidR="00A06B4D" w:rsidRPr="004A7284">
        <w:rPr>
          <w:rFonts w:cstheme="minorHAnsi"/>
          <w:lang w:val="en-GB"/>
        </w:rPr>
        <w:t xml:space="preserve"> </w:t>
      </w:r>
      <w:r w:rsidR="0045473E" w:rsidRPr="004A7284">
        <w:rPr>
          <w:rFonts w:cstheme="minorHAnsi"/>
          <w:lang w:val="en-GB"/>
        </w:rPr>
        <w:t>alcoholic cirrhosis of the liver</w:t>
      </w:r>
      <w:r w:rsidR="00BB71AB" w:rsidRPr="004A7284">
        <w:rPr>
          <w:rFonts w:cstheme="minorHAnsi"/>
          <w:lang w:val="en-GB"/>
        </w:rPr>
        <w:t>)</w:t>
      </w:r>
      <w:r w:rsidR="00B22233" w:rsidRPr="004A7284">
        <w:rPr>
          <w:rFonts w:cstheme="minorHAnsi"/>
          <w:lang w:val="en-GB"/>
        </w:rPr>
        <w:t xml:space="preserve"> </w:t>
      </w:r>
      <w:r w:rsidRPr="004A7284">
        <w:rPr>
          <w:rFonts w:cstheme="minorHAnsi"/>
          <w:lang w:val="en-GB"/>
        </w:rPr>
        <w:t>between 1</w:t>
      </w:r>
      <w:r w:rsidRPr="004A7284">
        <w:rPr>
          <w:rFonts w:cstheme="minorHAnsi"/>
          <w:vertAlign w:val="superscript"/>
          <w:lang w:val="en-GB"/>
        </w:rPr>
        <w:t>st</w:t>
      </w:r>
      <w:r w:rsidRPr="004A7284">
        <w:rPr>
          <w:rFonts w:cstheme="minorHAnsi"/>
          <w:lang w:val="en-GB"/>
        </w:rPr>
        <w:t xml:space="preserve"> January 2017 and 31</w:t>
      </w:r>
      <w:r w:rsidRPr="004A7284">
        <w:rPr>
          <w:rFonts w:cstheme="minorHAnsi"/>
          <w:vertAlign w:val="superscript"/>
          <w:lang w:val="en-GB"/>
        </w:rPr>
        <w:t>st</w:t>
      </w:r>
      <w:r w:rsidRPr="004A7284">
        <w:rPr>
          <w:rFonts w:cstheme="minorHAnsi"/>
          <w:lang w:val="en-GB"/>
        </w:rPr>
        <w:t xml:space="preserve"> December 2021</w:t>
      </w:r>
      <w:r w:rsidR="00A06B4D" w:rsidRPr="004A7284">
        <w:rPr>
          <w:rFonts w:cstheme="minorHAnsi"/>
          <w:lang w:val="en-GB"/>
        </w:rPr>
        <w:t xml:space="preserve"> were selected.  </w:t>
      </w:r>
    </w:p>
    <w:p w14:paraId="26BE97F0" w14:textId="64B3BFE7" w:rsidR="005776B2" w:rsidRPr="004A7284" w:rsidRDefault="005776B2" w:rsidP="00881C9F">
      <w:pPr>
        <w:spacing w:after="120" w:line="480" w:lineRule="auto"/>
        <w:jc w:val="both"/>
        <w:rPr>
          <w:rFonts w:cstheme="minorHAnsi"/>
          <w:lang w:val="en-GB"/>
        </w:rPr>
      </w:pPr>
      <w:r w:rsidRPr="004A7284">
        <w:rPr>
          <w:rFonts w:cstheme="minorHAnsi"/>
          <w:lang w:val="en-GB"/>
        </w:rPr>
        <w:t xml:space="preserve">Patients were excluded if they had requested that their data was not shared (N = </w:t>
      </w:r>
      <w:r w:rsidR="00F63E4A" w:rsidRPr="004A7284">
        <w:rPr>
          <w:rFonts w:cstheme="minorHAnsi"/>
          <w:lang w:val="en-GB"/>
        </w:rPr>
        <w:t>406</w:t>
      </w:r>
      <w:r w:rsidR="009063F0" w:rsidRPr="004A7284">
        <w:rPr>
          <w:rFonts w:cstheme="minorHAnsi"/>
          <w:lang w:val="en-GB"/>
        </w:rPr>
        <w:t xml:space="preserve"> citywide</w:t>
      </w:r>
      <w:r w:rsidRPr="004A7284">
        <w:rPr>
          <w:rFonts w:cstheme="minorHAnsi"/>
          <w:lang w:val="en-GB"/>
        </w:rPr>
        <w:t>)</w:t>
      </w:r>
      <w:r w:rsidR="00B8659D" w:rsidRPr="004A7284">
        <w:rPr>
          <w:rFonts w:cstheme="minorHAnsi"/>
          <w:lang w:val="en-GB"/>
        </w:rPr>
        <w:t>; P</w:t>
      </w:r>
      <w:r w:rsidR="009063F0" w:rsidRPr="004A7284">
        <w:rPr>
          <w:rFonts w:cstheme="minorHAnsi"/>
          <w:lang w:val="en-GB"/>
        </w:rPr>
        <w:t>ractices were excluded if they opted out (N = 2) or did not respond to the data sharing request (N = 22)</w:t>
      </w:r>
      <w:r w:rsidR="00881C9F" w:rsidRPr="004A7284">
        <w:rPr>
          <w:rFonts w:cstheme="minorHAnsi"/>
          <w:lang w:val="en-GB"/>
        </w:rPr>
        <w:t>, resulting in data being shared by 62 practices in total</w:t>
      </w:r>
      <w:r w:rsidRPr="004A7284">
        <w:rPr>
          <w:rFonts w:cstheme="minorHAnsi"/>
          <w:lang w:val="en-GB"/>
        </w:rPr>
        <w:t xml:space="preserve">. Variables extracted from the EMIS system were: </w:t>
      </w:r>
      <w:r w:rsidR="00881C9F" w:rsidRPr="004A7284">
        <w:rPr>
          <w:rFonts w:cstheme="minorHAnsi"/>
          <w:lang w:val="en-GB"/>
        </w:rPr>
        <w:t>A</w:t>
      </w:r>
      <w:r w:rsidRPr="004A7284">
        <w:rPr>
          <w:rFonts w:cstheme="minorHAnsi"/>
          <w:lang w:val="en-GB"/>
        </w:rPr>
        <w:t>nonymised identifier</w:t>
      </w:r>
      <w:r w:rsidR="00881C9F" w:rsidRPr="004A7284">
        <w:rPr>
          <w:rFonts w:cstheme="minorHAnsi"/>
          <w:lang w:val="en-GB"/>
        </w:rPr>
        <w:t xml:space="preserve">; </w:t>
      </w:r>
      <w:r w:rsidRPr="004A7284">
        <w:rPr>
          <w:rFonts w:cstheme="minorHAnsi"/>
          <w:lang w:val="en-GB"/>
        </w:rPr>
        <w:t>Sex</w:t>
      </w:r>
      <w:r w:rsidR="00881C9F" w:rsidRPr="004A7284">
        <w:rPr>
          <w:rFonts w:cstheme="minorHAnsi"/>
          <w:lang w:val="en-GB"/>
        </w:rPr>
        <w:t xml:space="preserve">; </w:t>
      </w:r>
      <w:r w:rsidRPr="004A7284">
        <w:rPr>
          <w:rFonts w:cstheme="minorHAnsi"/>
          <w:lang w:val="en-GB"/>
        </w:rPr>
        <w:t>Age</w:t>
      </w:r>
      <w:r w:rsidR="00881C9F" w:rsidRPr="004A7284">
        <w:rPr>
          <w:rFonts w:cstheme="minorHAnsi"/>
          <w:lang w:val="en-GB"/>
        </w:rPr>
        <w:t xml:space="preserve">; </w:t>
      </w:r>
      <w:r w:rsidRPr="004A7284">
        <w:rPr>
          <w:rFonts w:cstheme="minorHAnsi"/>
          <w:lang w:val="en-GB"/>
        </w:rPr>
        <w:t>Ethnicity</w:t>
      </w:r>
      <w:r w:rsidR="00881C9F" w:rsidRPr="004A7284">
        <w:rPr>
          <w:rFonts w:cstheme="minorHAnsi"/>
          <w:lang w:val="en-GB"/>
        </w:rPr>
        <w:t xml:space="preserve">; </w:t>
      </w:r>
      <w:r w:rsidRPr="004A7284">
        <w:rPr>
          <w:rFonts w:cstheme="minorHAnsi"/>
          <w:lang w:val="en-GB"/>
        </w:rPr>
        <w:t>Postcode of registered GP practice</w:t>
      </w:r>
      <w:r w:rsidR="00881C9F" w:rsidRPr="004A7284">
        <w:rPr>
          <w:rFonts w:cstheme="minorHAnsi"/>
          <w:lang w:val="en-GB"/>
        </w:rPr>
        <w:t xml:space="preserve">; </w:t>
      </w:r>
      <w:r w:rsidRPr="004A7284">
        <w:rPr>
          <w:rFonts w:cstheme="minorHAnsi"/>
          <w:lang w:val="en-GB"/>
        </w:rPr>
        <w:t>Occupation</w:t>
      </w:r>
      <w:r w:rsidR="00881C9F" w:rsidRPr="004A7284">
        <w:rPr>
          <w:rFonts w:cstheme="minorHAnsi"/>
          <w:lang w:val="en-GB"/>
        </w:rPr>
        <w:t xml:space="preserve">; </w:t>
      </w:r>
      <w:r w:rsidRPr="004A7284">
        <w:rPr>
          <w:rFonts w:cstheme="minorHAnsi"/>
          <w:lang w:val="en-GB"/>
        </w:rPr>
        <w:lastRenderedPageBreak/>
        <w:t>Alcohol use metrics (related diagnoses e.g. Wernicke’s encephalopathy, alcohol consumption, Alcohol Brief Interventions, onwards referrals)</w:t>
      </w:r>
      <w:r w:rsidR="00881C9F" w:rsidRPr="004A7284">
        <w:rPr>
          <w:rFonts w:cstheme="minorHAnsi"/>
          <w:lang w:val="en-GB"/>
        </w:rPr>
        <w:t xml:space="preserve">; </w:t>
      </w:r>
      <w:r w:rsidRPr="004A7284">
        <w:rPr>
          <w:rFonts w:cstheme="minorHAnsi"/>
          <w:lang w:val="en-GB"/>
        </w:rPr>
        <w:t>Medications to treat alcohol dependence (Disulfiram</w:t>
      </w:r>
      <w:r w:rsidR="00F405A6" w:rsidRPr="004A7284">
        <w:rPr>
          <w:rFonts w:cstheme="minorHAnsi"/>
          <w:lang w:val="en-GB"/>
        </w:rPr>
        <w:t>;</w:t>
      </w:r>
      <w:r w:rsidRPr="004A7284">
        <w:rPr>
          <w:rFonts w:cstheme="minorHAnsi"/>
          <w:lang w:val="en-GB"/>
        </w:rPr>
        <w:t xml:space="preserve"> </w:t>
      </w:r>
      <w:r w:rsidR="00F405A6" w:rsidRPr="004A7284">
        <w:rPr>
          <w:rFonts w:cstheme="minorHAnsi"/>
          <w:lang w:val="en-GB"/>
        </w:rPr>
        <w:t>Topiramate; Acamprosate; Baclofen; Naltrexone</w:t>
      </w:r>
      <w:r w:rsidRPr="004A7284">
        <w:rPr>
          <w:rFonts w:cstheme="minorHAnsi"/>
          <w:lang w:val="en-GB"/>
        </w:rPr>
        <w:t>)</w:t>
      </w:r>
      <w:r w:rsidR="00881C9F" w:rsidRPr="004A7284">
        <w:rPr>
          <w:rFonts w:cstheme="minorHAnsi"/>
          <w:lang w:val="en-GB"/>
        </w:rPr>
        <w:t xml:space="preserve">; </w:t>
      </w:r>
      <w:r w:rsidRPr="004A7284">
        <w:rPr>
          <w:rFonts w:cstheme="minorHAnsi"/>
          <w:lang w:val="en-GB"/>
        </w:rPr>
        <w:t>Major psychiatric and physical comorbidities.</w:t>
      </w:r>
      <w:r w:rsidR="0005547C" w:rsidRPr="004A7284">
        <w:rPr>
          <w:rFonts w:cstheme="minorHAnsi"/>
          <w:lang w:val="en-GB"/>
        </w:rPr>
        <w:t xml:space="preserve"> </w:t>
      </w:r>
      <w:r w:rsidRPr="004A7284">
        <w:rPr>
          <w:rFonts w:cstheme="minorHAnsi"/>
          <w:lang w:val="en-GB"/>
        </w:rPr>
        <w:t xml:space="preserve"> </w:t>
      </w:r>
    </w:p>
    <w:p w14:paraId="2D1CAAFE" w14:textId="77777777" w:rsidR="0003646B" w:rsidRPr="004A7284" w:rsidRDefault="0003646B" w:rsidP="00BB71AB">
      <w:pPr>
        <w:spacing w:after="120" w:line="480" w:lineRule="auto"/>
        <w:jc w:val="both"/>
        <w:rPr>
          <w:rFonts w:cstheme="minorHAnsi"/>
          <w:i/>
          <w:iCs/>
          <w:lang w:val="en-GB"/>
        </w:rPr>
      </w:pPr>
      <w:r w:rsidRPr="004A7284">
        <w:rPr>
          <w:rFonts w:cstheme="minorHAnsi"/>
          <w:i/>
          <w:iCs/>
          <w:lang w:val="en-GB"/>
        </w:rPr>
        <w:t>Patient and Public Involvement</w:t>
      </w:r>
    </w:p>
    <w:p w14:paraId="7386C647" w14:textId="28349DFA" w:rsidR="0003646B" w:rsidRPr="004A7284" w:rsidRDefault="0003646B" w:rsidP="00BB71AB">
      <w:pPr>
        <w:spacing w:after="120" w:line="480" w:lineRule="auto"/>
        <w:jc w:val="both"/>
        <w:rPr>
          <w:rFonts w:cstheme="minorHAnsi"/>
          <w:lang w:val="en-GB"/>
        </w:rPr>
      </w:pPr>
      <w:r w:rsidRPr="004A7284">
        <w:rPr>
          <w:rFonts w:cstheme="minorHAnsi"/>
          <w:lang w:val="en-GB"/>
        </w:rPr>
        <w:t>The research team are active members of Liverpool Centre for Alcohol Research (LCAR). Through our engagement with local patients and stakeholders in LCAR, we invited Melissa Rice to join our team</w:t>
      </w:r>
      <w:r w:rsidR="00BE3E94" w:rsidRPr="004A7284">
        <w:rPr>
          <w:rFonts w:cstheme="minorHAnsi"/>
          <w:lang w:val="en-GB"/>
        </w:rPr>
        <w:t xml:space="preserve"> as an expert-by-experience</w:t>
      </w:r>
      <w:r w:rsidRPr="004A7284">
        <w:rPr>
          <w:rFonts w:cstheme="minorHAnsi"/>
          <w:lang w:val="en-GB"/>
        </w:rPr>
        <w:t xml:space="preserve">. </w:t>
      </w:r>
      <w:r w:rsidR="00BE3E94" w:rsidRPr="004A7284">
        <w:rPr>
          <w:rFonts w:cstheme="minorHAnsi"/>
          <w:lang w:val="en-GB"/>
        </w:rPr>
        <w:t>Through</w:t>
      </w:r>
      <w:r w:rsidR="00584120" w:rsidRPr="004A7284">
        <w:rPr>
          <w:rFonts w:cstheme="minorHAnsi"/>
          <w:lang w:val="en-GB"/>
        </w:rPr>
        <w:t xml:space="preserve"> steering group meetings </w:t>
      </w:r>
      <w:r w:rsidR="00C21F35" w:rsidRPr="004A7284">
        <w:rPr>
          <w:rFonts w:cstheme="minorHAnsi"/>
          <w:lang w:val="en-GB"/>
        </w:rPr>
        <w:t xml:space="preserve">and project development updates, </w:t>
      </w:r>
      <w:r w:rsidRPr="004A7284">
        <w:rPr>
          <w:rFonts w:cstheme="minorHAnsi"/>
          <w:lang w:val="en-GB"/>
        </w:rPr>
        <w:t>Melissa has been involved in the design of the study</w:t>
      </w:r>
      <w:r w:rsidR="00915318" w:rsidRPr="004A7284">
        <w:rPr>
          <w:rFonts w:cstheme="minorHAnsi"/>
          <w:lang w:val="en-GB"/>
        </w:rPr>
        <w:t xml:space="preserve"> (offering expertise on the personal experience of accessing treat</w:t>
      </w:r>
      <w:r w:rsidR="00960B45" w:rsidRPr="004A7284">
        <w:rPr>
          <w:rFonts w:cstheme="minorHAnsi"/>
          <w:lang w:val="en-GB"/>
        </w:rPr>
        <w:t>ment in primary care and associated factors)</w:t>
      </w:r>
      <w:r w:rsidRPr="004A7284">
        <w:rPr>
          <w:rFonts w:cstheme="minorHAnsi"/>
          <w:lang w:val="en-GB"/>
        </w:rPr>
        <w:t>, has reviewed the manuscript and will be the PPI chair on our future work</w:t>
      </w:r>
      <w:r w:rsidR="00BE3E94" w:rsidRPr="004A7284">
        <w:rPr>
          <w:rFonts w:cstheme="minorHAnsi"/>
          <w:lang w:val="en-GB"/>
        </w:rPr>
        <w:t xml:space="preserve">. </w:t>
      </w:r>
    </w:p>
    <w:p w14:paraId="7923780D" w14:textId="3FD89988" w:rsidR="0067427E" w:rsidRPr="004A7284" w:rsidRDefault="0067427E" w:rsidP="00BB71AB">
      <w:pPr>
        <w:spacing w:after="120" w:line="480" w:lineRule="auto"/>
        <w:jc w:val="both"/>
        <w:rPr>
          <w:rFonts w:cstheme="minorHAnsi"/>
          <w:i/>
          <w:iCs/>
          <w:lang w:val="en-GB"/>
        </w:rPr>
      </w:pPr>
      <w:r w:rsidRPr="004A7284">
        <w:rPr>
          <w:rFonts w:cstheme="minorHAnsi"/>
          <w:i/>
          <w:iCs/>
          <w:lang w:val="en-GB"/>
        </w:rPr>
        <w:t>Procedure</w:t>
      </w:r>
    </w:p>
    <w:p w14:paraId="06BCCC44" w14:textId="2C643C9B" w:rsidR="00B87850" w:rsidRPr="004A7284" w:rsidRDefault="00B87850" w:rsidP="00620970">
      <w:pPr>
        <w:spacing w:after="120" w:line="480" w:lineRule="auto"/>
        <w:ind w:firstLine="708"/>
        <w:jc w:val="both"/>
        <w:rPr>
          <w:rFonts w:cstheme="minorHAnsi"/>
          <w:lang w:val="en-GB"/>
        </w:rPr>
      </w:pPr>
      <w:r w:rsidRPr="004A7284">
        <w:rPr>
          <w:rFonts w:cstheme="minorHAnsi"/>
          <w:lang w:val="en-GB"/>
        </w:rPr>
        <w:t xml:space="preserve">After gaining institutional ethical approval, a Data Sharing Agreement was established between </w:t>
      </w:r>
      <w:r w:rsidR="0023373D" w:rsidRPr="004A7284">
        <w:rPr>
          <w:rFonts w:cstheme="minorHAnsi"/>
          <w:lang w:val="en-GB"/>
        </w:rPr>
        <w:t xml:space="preserve">Liverpool John </w:t>
      </w:r>
      <w:proofErr w:type="spellStart"/>
      <w:r w:rsidR="0023373D" w:rsidRPr="004A7284">
        <w:rPr>
          <w:rFonts w:cstheme="minorHAnsi"/>
          <w:lang w:val="en-GB"/>
        </w:rPr>
        <w:t>Moores</w:t>
      </w:r>
      <w:proofErr w:type="spellEnd"/>
      <w:r w:rsidR="0023373D" w:rsidRPr="004A7284">
        <w:rPr>
          <w:rFonts w:cstheme="minorHAnsi"/>
          <w:lang w:val="en-GB"/>
        </w:rPr>
        <w:t xml:space="preserve"> University (LJMU)</w:t>
      </w:r>
      <w:r w:rsidRPr="004A7284">
        <w:rPr>
          <w:rFonts w:cstheme="minorHAnsi"/>
          <w:lang w:val="en-GB"/>
        </w:rPr>
        <w:t xml:space="preserve"> and NHS Liverpool CCG and reviewe</w:t>
      </w:r>
      <w:r w:rsidR="00076F2F" w:rsidRPr="004A7284">
        <w:rPr>
          <w:rFonts w:cstheme="minorHAnsi"/>
          <w:lang w:val="en-GB"/>
        </w:rPr>
        <w:t xml:space="preserve">d </w:t>
      </w:r>
      <w:r w:rsidRPr="004A7284">
        <w:rPr>
          <w:rFonts w:cstheme="minorHAnsi"/>
          <w:lang w:val="en-GB"/>
        </w:rPr>
        <w:t xml:space="preserve">and approved by the NHS Liverpool CCG </w:t>
      </w:r>
      <w:r w:rsidR="00076F2F" w:rsidRPr="004A7284">
        <w:rPr>
          <w:rFonts w:cstheme="minorHAnsi"/>
          <w:lang w:val="en-GB"/>
        </w:rPr>
        <w:t>Information Governance</w:t>
      </w:r>
      <w:r w:rsidRPr="004A7284">
        <w:rPr>
          <w:rFonts w:cstheme="minorHAnsi"/>
          <w:lang w:val="en-GB"/>
        </w:rPr>
        <w:t xml:space="preserve"> board. Individual practices were contacted by LCCG Business Intelligence team with a brief outline of the study and asked for consent to share their EMIS data with the research team on </w:t>
      </w:r>
      <w:r w:rsidR="0023373D" w:rsidRPr="004A7284">
        <w:rPr>
          <w:rFonts w:cstheme="minorHAnsi"/>
          <w:lang w:val="en-GB"/>
        </w:rPr>
        <w:t xml:space="preserve">the </w:t>
      </w:r>
      <w:r w:rsidRPr="004A7284">
        <w:rPr>
          <w:rFonts w:cstheme="minorHAnsi"/>
          <w:lang w:val="en-GB"/>
        </w:rPr>
        <w:t>25</w:t>
      </w:r>
      <w:r w:rsidRPr="004A7284">
        <w:rPr>
          <w:rFonts w:cstheme="minorHAnsi"/>
          <w:vertAlign w:val="superscript"/>
          <w:lang w:val="en-GB"/>
        </w:rPr>
        <w:t>th</w:t>
      </w:r>
      <w:r w:rsidRPr="004A7284">
        <w:rPr>
          <w:rFonts w:cstheme="minorHAnsi"/>
          <w:lang w:val="en-GB"/>
        </w:rPr>
        <w:t>April 2022, with fortnightly reminders sent until the request closed on 23</w:t>
      </w:r>
      <w:r w:rsidRPr="004A7284">
        <w:rPr>
          <w:rFonts w:cstheme="minorHAnsi"/>
          <w:vertAlign w:val="superscript"/>
          <w:lang w:val="en-GB"/>
        </w:rPr>
        <w:t>rd</w:t>
      </w:r>
      <w:r w:rsidRPr="004A7284">
        <w:rPr>
          <w:rFonts w:cstheme="minorHAnsi"/>
          <w:lang w:val="en-GB"/>
        </w:rPr>
        <w:t xml:space="preserve"> June 2022. Anonymised data for identified cases from 1</w:t>
      </w:r>
      <w:r w:rsidRPr="004A7284">
        <w:rPr>
          <w:rFonts w:cstheme="minorHAnsi"/>
          <w:vertAlign w:val="superscript"/>
          <w:lang w:val="en-GB"/>
        </w:rPr>
        <w:t>st</w:t>
      </w:r>
      <w:r w:rsidRPr="004A7284">
        <w:rPr>
          <w:rFonts w:cstheme="minorHAnsi"/>
          <w:lang w:val="en-GB"/>
        </w:rPr>
        <w:t xml:space="preserve"> January 2017 – </w:t>
      </w:r>
      <w:r w:rsidR="00CA74AA" w:rsidRPr="004A7284">
        <w:rPr>
          <w:rFonts w:cstheme="minorHAnsi"/>
          <w:lang w:val="en-GB"/>
        </w:rPr>
        <w:t>3</w:t>
      </w:r>
      <w:r w:rsidRPr="004A7284">
        <w:rPr>
          <w:rFonts w:cstheme="minorHAnsi"/>
          <w:lang w:val="en-GB"/>
        </w:rPr>
        <w:t>1</w:t>
      </w:r>
      <w:r w:rsidRPr="004A7284">
        <w:rPr>
          <w:rFonts w:cstheme="minorHAnsi"/>
          <w:vertAlign w:val="superscript"/>
          <w:lang w:val="en-GB"/>
        </w:rPr>
        <w:t>st</w:t>
      </w:r>
      <w:r w:rsidRPr="004A7284">
        <w:rPr>
          <w:rFonts w:cstheme="minorHAnsi"/>
          <w:lang w:val="en-GB"/>
        </w:rPr>
        <w:t xml:space="preserve"> December 2021 were extracted </w:t>
      </w:r>
      <w:r w:rsidR="00613689" w:rsidRPr="004A7284">
        <w:rPr>
          <w:rFonts w:cstheme="minorHAnsi"/>
          <w:lang w:val="en-GB"/>
        </w:rPr>
        <w:t xml:space="preserve">from 62 practices </w:t>
      </w:r>
      <w:r w:rsidRPr="004A7284">
        <w:rPr>
          <w:rFonts w:cstheme="minorHAnsi"/>
          <w:lang w:val="en-GB"/>
        </w:rPr>
        <w:t xml:space="preserve">by Liverpool CCG </w:t>
      </w:r>
      <w:r w:rsidR="0024009B" w:rsidRPr="004A7284">
        <w:rPr>
          <w:rFonts w:cstheme="minorHAnsi"/>
          <w:lang w:val="en-GB"/>
        </w:rPr>
        <w:t>into</w:t>
      </w:r>
      <w:r w:rsidR="009063F0" w:rsidRPr="004A7284">
        <w:rPr>
          <w:rFonts w:cstheme="minorHAnsi"/>
          <w:lang w:val="en-GB"/>
        </w:rPr>
        <w:t xml:space="preserve"> an </w:t>
      </w:r>
      <w:r w:rsidR="00613689" w:rsidRPr="004A7284">
        <w:rPr>
          <w:rFonts w:cstheme="minorHAnsi"/>
          <w:lang w:val="en-GB"/>
        </w:rPr>
        <w:t xml:space="preserve">CSV Microsoft Excel file </w:t>
      </w:r>
      <w:r w:rsidRPr="004A7284">
        <w:rPr>
          <w:rFonts w:cstheme="minorHAnsi"/>
          <w:lang w:val="en-GB"/>
        </w:rPr>
        <w:t>and sent to an NHS.net account belonging to a member of the research team</w:t>
      </w:r>
      <w:r w:rsidR="00663556" w:rsidRPr="004A7284">
        <w:rPr>
          <w:rFonts w:cstheme="minorHAnsi"/>
          <w:lang w:val="en-GB"/>
        </w:rPr>
        <w:t xml:space="preserve"> (LO)</w:t>
      </w:r>
      <w:r w:rsidRPr="004A7284">
        <w:rPr>
          <w:rFonts w:cstheme="minorHAnsi"/>
          <w:lang w:val="en-GB"/>
        </w:rPr>
        <w:t xml:space="preserve">. </w:t>
      </w:r>
      <w:r w:rsidR="00F455BE" w:rsidRPr="004A7284">
        <w:rPr>
          <w:rFonts w:cstheme="minorHAnsi"/>
          <w:lang w:val="en-GB"/>
        </w:rPr>
        <w:t>Data was stored on</w:t>
      </w:r>
      <w:r w:rsidRPr="004A7284">
        <w:rPr>
          <w:rFonts w:cstheme="minorHAnsi"/>
          <w:lang w:val="en-GB"/>
        </w:rPr>
        <w:t xml:space="preserve"> a secure server only accessible </w:t>
      </w:r>
      <w:r w:rsidR="00F455BE" w:rsidRPr="004A7284">
        <w:rPr>
          <w:rFonts w:cstheme="minorHAnsi"/>
          <w:lang w:val="en-GB"/>
        </w:rPr>
        <w:t xml:space="preserve">to </w:t>
      </w:r>
      <w:r w:rsidRPr="004A7284">
        <w:rPr>
          <w:rFonts w:cstheme="minorHAnsi"/>
          <w:lang w:val="en-GB"/>
        </w:rPr>
        <w:t xml:space="preserve">the research team and downloaded to a password protected network drive at LJMU. </w:t>
      </w:r>
      <w:r w:rsidR="006C7B41" w:rsidRPr="004A7284">
        <w:rPr>
          <w:rFonts w:cstheme="minorHAnsi"/>
          <w:lang w:val="en-GB"/>
        </w:rPr>
        <w:t xml:space="preserve">Figure 1 displays the data acquisition and processing figures. </w:t>
      </w:r>
    </w:p>
    <w:p w14:paraId="033430D2" w14:textId="72AA53FE" w:rsidR="00B87850" w:rsidRPr="004A7284" w:rsidRDefault="006C7B41" w:rsidP="006C7B41">
      <w:pPr>
        <w:spacing w:after="120" w:line="480" w:lineRule="auto"/>
        <w:jc w:val="center"/>
        <w:rPr>
          <w:rFonts w:cstheme="minorHAnsi"/>
          <w:lang w:val="en-GB"/>
        </w:rPr>
      </w:pPr>
      <w:r w:rsidRPr="004A7284">
        <w:rPr>
          <w:rFonts w:cstheme="minorHAnsi"/>
          <w:lang w:val="en-GB"/>
        </w:rPr>
        <w:t>&lt;&lt;Insert Figure 1 about here&gt;&gt;</w:t>
      </w:r>
    </w:p>
    <w:p w14:paraId="291BF18C" w14:textId="4EFE6957" w:rsidR="003502F1" w:rsidRPr="004A7284" w:rsidRDefault="003502F1" w:rsidP="00BB71AB">
      <w:pPr>
        <w:spacing w:after="120" w:line="480" w:lineRule="auto"/>
        <w:jc w:val="both"/>
        <w:rPr>
          <w:rFonts w:cstheme="minorHAnsi"/>
          <w:i/>
          <w:iCs/>
          <w:lang w:val="en-GB"/>
        </w:rPr>
      </w:pPr>
      <w:r w:rsidRPr="004A7284">
        <w:rPr>
          <w:rFonts w:cstheme="minorHAnsi"/>
          <w:i/>
          <w:iCs/>
          <w:lang w:val="en-GB"/>
        </w:rPr>
        <w:t>Data analysis</w:t>
      </w:r>
    </w:p>
    <w:p w14:paraId="4B6AC156" w14:textId="638DE1C6" w:rsidR="009B13EA" w:rsidRPr="004A7284" w:rsidRDefault="0002193B" w:rsidP="00663556">
      <w:pPr>
        <w:spacing w:after="120" w:line="480" w:lineRule="auto"/>
        <w:jc w:val="both"/>
        <w:rPr>
          <w:rFonts w:cstheme="minorHAnsi"/>
          <w:lang w:val="en-GB"/>
        </w:rPr>
      </w:pPr>
      <w:r w:rsidRPr="004A7284">
        <w:rPr>
          <w:rFonts w:cstheme="minorHAnsi"/>
          <w:lang w:val="en-GB"/>
        </w:rPr>
        <w:t xml:space="preserve">All analyses were performed in R Studio [14]. </w:t>
      </w:r>
      <w:r w:rsidR="00CC58B3" w:rsidRPr="004A7284">
        <w:rPr>
          <w:rFonts w:cstheme="minorHAnsi"/>
          <w:lang w:val="en-GB"/>
        </w:rPr>
        <w:t>For a more detailed description of database construction</w:t>
      </w:r>
      <w:r w:rsidR="00414983" w:rsidRPr="004A7284">
        <w:rPr>
          <w:rFonts w:cstheme="minorHAnsi"/>
          <w:lang w:val="en-GB"/>
        </w:rPr>
        <w:t xml:space="preserve"> and SNOMED and free text codes for hazardous drinking</w:t>
      </w:r>
      <w:r w:rsidR="00CC58B3" w:rsidRPr="004A7284">
        <w:rPr>
          <w:rFonts w:cstheme="minorHAnsi"/>
          <w:lang w:val="en-GB"/>
        </w:rPr>
        <w:t xml:space="preserve">, please see readme file accompanying open </w:t>
      </w:r>
      <w:r w:rsidR="00CC58B3" w:rsidRPr="004A7284">
        <w:rPr>
          <w:rFonts w:cstheme="minorHAnsi"/>
          <w:lang w:val="en-GB"/>
        </w:rPr>
        <w:lastRenderedPageBreak/>
        <w:t>access dataset (</w:t>
      </w:r>
      <w:r w:rsidR="00494734" w:rsidRPr="004A7284">
        <w:rPr>
          <w:rFonts w:cstheme="minorHAnsi"/>
          <w:lang w:val="en-GB"/>
        </w:rPr>
        <w:t>https://doi.org/10.24377/LJMU.d.00000140</w:t>
      </w:r>
      <w:r w:rsidR="00CC58B3" w:rsidRPr="004A7284">
        <w:rPr>
          <w:rFonts w:cstheme="minorHAnsi"/>
          <w:lang w:val="en-GB"/>
        </w:rPr>
        <w:t>)</w:t>
      </w:r>
      <w:r w:rsidR="007231D1" w:rsidRPr="004A7284">
        <w:rPr>
          <w:rFonts w:cstheme="minorHAnsi"/>
          <w:lang w:val="en-GB"/>
        </w:rPr>
        <w:t xml:space="preserve">. </w:t>
      </w:r>
      <w:r w:rsidR="005C70F9" w:rsidRPr="004A7284">
        <w:rPr>
          <w:rFonts w:cstheme="minorHAnsi"/>
          <w:lang w:val="en-GB"/>
        </w:rPr>
        <w:t xml:space="preserve">All alcohol codes were reviewed by </w:t>
      </w:r>
      <w:r w:rsidR="00DB1B28" w:rsidRPr="004A7284">
        <w:rPr>
          <w:rFonts w:cstheme="minorHAnsi"/>
          <w:lang w:val="en-GB"/>
        </w:rPr>
        <w:t>two</w:t>
      </w:r>
      <w:r w:rsidR="005C70F9" w:rsidRPr="004A7284">
        <w:rPr>
          <w:rFonts w:cstheme="minorHAnsi"/>
          <w:lang w:val="en-GB"/>
        </w:rPr>
        <w:t xml:space="preserve"> researchers (CM; CK</w:t>
      </w:r>
      <w:r w:rsidR="00DB1B28" w:rsidRPr="004A7284">
        <w:rPr>
          <w:rFonts w:cstheme="minorHAnsi"/>
          <w:lang w:val="en-GB"/>
        </w:rPr>
        <w:t xml:space="preserve">) and </w:t>
      </w:r>
      <w:r w:rsidR="00312165" w:rsidRPr="004A7284">
        <w:rPr>
          <w:rFonts w:cstheme="minorHAnsi"/>
          <w:lang w:val="en-GB"/>
        </w:rPr>
        <w:t>confirmed to</w:t>
      </w:r>
      <w:r w:rsidR="00A10912" w:rsidRPr="004A7284">
        <w:rPr>
          <w:rFonts w:cstheme="minorHAnsi"/>
          <w:lang w:val="en-GB"/>
        </w:rPr>
        <w:t xml:space="preserve"> </w:t>
      </w:r>
      <w:r w:rsidR="00312165" w:rsidRPr="004A7284">
        <w:rPr>
          <w:rFonts w:cstheme="minorHAnsi"/>
          <w:lang w:val="en-GB"/>
        </w:rPr>
        <w:t>indicate</w:t>
      </w:r>
      <w:r w:rsidR="00DB1B28" w:rsidRPr="004A7284">
        <w:rPr>
          <w:rFonts w:cstheme="minorHAnsi"/>
          <w:lang w:val="en-GB"/>
        </w:rPr>
        <w:t xml:space="preserve"> either alcohol dependence (using </w:t>
      </w:r>
      <w:r w:rsidR="006A23CF" w:rsidRPr="004A7284">
        <w:rPr>
          <w:rFonts w:cstheme="minorHAnsi"/>
          <w:lang w:val="en-GB"/>
        </w:rPr>
        <w:t>the case definition in Thompson and co-workers [13])</w:t>
      </w:r>
      <w:r w:rsidR="005C2A78" w:rsidRPr="004A7284">
        <w:rPr>
          <w:rFonts w:cstheme="minorHAnsi"/>
          <w:lang w:val="en-GB"/>
        </w:rPr>
        <w:t xml:space="preserve">, or </w:t>
      </w:r>
      <w:r w:rsidR="00DE79AE" w:rsidRPr="004A7284">
        <w:rPr>
          <w:rFonts w:cstheme="minorHAnsi"/>
          <w:lang w:val="en-GB"/>
        </w:rPr>
        <w:t>harmful</w:t>
      </w:r>
      <w:r w:rsidR="004B4644" w:rsidRPr="004A7284">
        <w:rPr>
          <w:rFonts w:cstheme="minorHAnsi"/>
          <w:lang w:val="en-GB"/>
        </w:rPr>
        <w:t xml:space="preserve"> drinking</w:t>
      </w:r>
      <w:r w:rsidR="00FA6273" w:rsidRPr="004A7284">
        <w:rPr>
          <w:rFonts w:cstheme="minorHAnsi"/>
          <w:lang w:val="en-GB"/>
        </w:rPr>
        <w:t xml:space="preserve"> [</w:t>
      </w:r>
      <w:r w:rsidR="009B352E" w:rsidRPr="004A7284">
        <w:rPr>
          <w:rFonts w:cstheme="minorHAnsi"/>
          <w:lang w:val="en-GB"/>
        </w:rPr>
        <w:t>15</w:t>
      </w:r>
      <w:r w:rsidR="00FA6273" w:rsidRPr="004A7284">
        <w:rPr>
          <w:rFonts w:cstheme="minorHAnsi"/>
          <w:lang w:val="en-GB"/>
        </w:rPr>
        <w:t>]</w:t>
      </w:r>
      <w:r w:rsidR="00312165" w:rsidRPr="004A7284">
        <w:rPr>
          <w:rFonts w:cstheme="minorHAnsi"/>
          <w:lang w:val="en-GB"/>
        </w:rPr>
        <w:t>. Where ther</w:t>
      </w:r>
      <w:r w:rsidR="00277206" w:rsidRPr="004A7284">
        <w:rPr>
          <w:rFonts w:cstheme="minorHAnsi"/>
          <w:lang w:val="en-GB"/>
        </w:rPr>
        <w:t>e</w:t>
      </w:r>
      <w:r w:rsidR="00312165" w:rsidRPr="004A7284">
        <w:rPr>
          <w:rFonts w:cstheme="minorHAnsi"/>
          <w:lang w:val="en-GB"/>
        </w:rPr>
        <w:t xml:space="preserve"> was uncertainty, </w:t>
      </w:r>
      <w:r w:rsidR="00223E88" w:rsidRPr="004A7284">
        <w:rPr>
          <w:rFonts w:cstheme="minorHAnsi"/>
          <w:lang w:val="en-GB"/>
        </w:rPr>
        <w:t>cases were discussed in the t</w:t>
      </w:r>
      <w:r w:rsidR="00D40D33" w:rsidRPr="004A7284">
        <w:rPr>
          <w:rFonts w:cstheme="minorHAnsi"/>
          <w:lang w:val="en-GB"/>
        </w:rPr>
        <w:t xml:space="preserve">eam and </w:t>
      </w:r>
      <w:r w:rsidR="00312165" w:rsidRPr="004A7284">
        <w:rPr>
          <w:rFonts w:cstheme="minorHAnsi"/>
          <w:lang w:val="en-GB"/>
        </w:rPr>
        <w:t xml:space="preserve">the clinical opinion of LO and CK was used </w:t>
      </w:r>
      <w:r w:rsidR="00277206" w:rsidRPr="004A7284">
        <w:rPr>
          <w:rFonts w:cstheme="minorHAnsi"/>
          <w:lang w:val="en-GB"/>
        </w:rPr>
        <w:t>assign cases</w:t>
      </w:r>
      <w:r w:rsidR="002D5968" w:rsidRPr="004A7284">
        <w:rPr>
          <w:rFonts w:cstheme="minorHAnsi"/>
          <w:lang w:val="en-GB"/>
        </w:rPr>
        <w:t xml:space="preserve"> to each category</w:t>
      </w:r>
      <w:r w:rsidR="003448A6" w:rsidRPr="004A7284">
        <w:rPr>
          <w:rStyle w:val="CommentReference"/>
        </w:rPr>
        <w:t xml:space="preserve">. </w:t>
      </w:r>
      <w:r w:rsidR="005C2A78" w:rsidRPr="004A7284">
        <w:rPr>
          <w:rStyle w:val="CommentReference"/>
        </w:rPr>
        <w:t xml:space="preserve"> </w:t>
      </w:r>
      <w:r w:rsidR="0018580B" w:rsidRPr="004A7284">
        <w:rPr>
          <w:rFonts w:cstheme="minorHAnsi"/>
          <w:lang w:val="en-GB"/>
        </w:rPr>
        <w:t>Anonymised data was recoded to reflect: UK Census 20</w:t>
      </w:r>
      <w:r w:rsidR="0023373D" w:rsidRPr="004A7284">
        <w:rPr>
          <w:rFonts w:cstheme="minorHAnsi"/>
          <w:lang w:val="en-GB"/>
        </w:rPr>
        <w:t>21</w:t>
      </w:r>
      <w:r w:rsidR="0018580B" w:rsidRPr="004A7284">
        <w:rPr>
          <w:rFonts w:cstheme="minorHAnsi"/>
          <w:lang w:val="en-GB"/>
        </w:rPr>
        <w:t xml:space="preserve"> ethnic categories (ethnicity), Diagnostic Statistical Manual for Mental Disorders 5 classifications (DSM-5) (psychiatric comorbidities)</w:t>
      </w:r>
      <w:r w:rsidR="005D336C" w:rsidRPr="004A7284">
        <w:rPr>
          <w:rFonts w:cstheme="minorHAnsi"/>
          <w:lang w:val="en-GB"/>
        </w:rPr>
        <w:t xml:space="preserve"> </w:t>
      </w:r>
      <w:r w:rsidR="0018580B" w:rsidRPr="004A7284">
        <w:rPr>
          <w:rFonts w:cstheme="minorHAnsi"/>
          <w:lang w:val="en-GB"/>
        </w:rPr>
        <w:t xml:space="preserve">and year of first occurrence (2017 – 2021) of anonymised identifier (for incidence). </w:t>
      </w:r>
      <w:r w:rsidR="005D336C" w:rsidRPr="004A7284">
        <w:rPr>
          <w:rFonts w:cstheme="minorHAnsi"/>
          <w:lang w:val="en-GB"/>
        </w:rPr>
        <w:t>GP postcode was recoded to reflect the 2019 Indices of Multiple Deprivation for England (IMD) deciles</w:t>
      </w:r>
      <w:r w:rsidR="002739B3" w:rsidRPr="004A7284">
        <w:rPr>
          <w:rFonts w:cstheme="minorHAnsi"/>
          <w:lang w:val="en-GB"/>
        </w:rPr>
        <w:t>, based on the Lower Layer Super Output Area (LSOA) of the GP postcode</w:t>
      </w:r>
      <w:r w:rsidR="005D336C" w:rsidRPr="004A7284">
        <w:rPr>
          <w:rFonts w:cstheme="minorHAnsi"/>
          <w:lang w:val="en-GB"/>
        </w:rPr>
        <w:t xml:space="preserve">. The IMD gives a single weighted score for the relative deprivation of a small geographical area </w:t>
      </w:r>
      <w:r w:rsidR="00C525EF" w:rsidRPr="004A7284">
        <w:rPr>
          <w:rFonts w:cstheme="minorHAnsi"/>
          <w:lang w:val="en-GB"/>
        </w:rPr>
        <w:t xml:space="preserve">(the LSOA) </w:t>
      </w:r>
      <w:r w:rsidR="005D336C" w:rsidRPr="004A7284">
        <w:rPr>
          <w:rFonts w:cstheme="minorHAnsi"/>
          <w:lang w:val="en-GB"/>
        </w:rPr>
        <w:t xml:space="preserve">based on seven domains (income, employment, education, health, crime, barriers to housing and services, living environment). </w:t>
      </w:r>
      <w:r w:rsidR="00C525EF" w:rsidRPr="004A7284">
        <w:rPr>
          <w:rFonts w:cstheme="minorHAnsi"/>
          <w:lang w:val="en-GB"/>
        </w:rPr>
        <w:t xml:space="preserve">We also received patient level LSOA codes, which were recoded to reflect the IMD decile of that LSOA. </w:t>
      </w:r>
      <w:r w:rsidR="005D336C" w:rsidRPr="004A7284">
        <w:rPr>
          <w:rFonts w:cstheme="minorHAnsi"/>
          <w:lang w:val="en-GB"/>
        </w:rPr>
        <w:t xml:space="preserve">In the current study IMD deciles were used in the main analyses with 1 = most deprived – 10 = least deprived. </w:t>
      </w:r>
      <w:r w:rsidR="0062295D" w:rsidRPr="004A7284">
        <w:rPr>
          <w:rFonts w:cstheme="minorHAnsi"/>
          <w:lang w:val="en-GB"/>
        </w:rPr>
        <w:t xml:space="preserve">Descriptive data for all variables is presented as counts and percentages in Table 1. </w:t>
      </w:r>
      <w:r w:rsidR="009B13EA" w:rsidRPr="004A7284">
        <w:rPr>
          <w:rFonts w:cstheme="minorHAnsi"/>
          <w:lang w:val="en-GB"/>
        </w:rPr>
        <w:t xml:space="preserve">We used count data for each category (hazardous drinking; alcohol dependence) in each year (2017; 2018; 2019; 2020; 2021) and Chi Square goodness of fit test to compare incidence (new occurrence) and prevalence (total count) between each paired year, applying a correction for 10 multiple comparisons in each set (0.05/10). </w:t>
      </w:r>
    </w:p>
    <w:p w14:paraId="7DBD4DD4" w14:textId="2955DC48" w:rsidR="001F2C26" w:rsidRPr="004A7284" w:rsidRDefault="00663556" w:rsidP="00620970">
      <w:pPr>
        <w:spacing w:after="120" w:line="480" w:lineRule="auto"/>
        <w:ind w:firstLine="708"/>
        <w:jc w:val="both"/>
        <w:rPr>
          <w:rFonts w:cstheme="minorHAnsi"/>
          <w:lang w:val="en-GB"/>
        </w:rPr>
      </w:pPr>
      <w:r w:rsidRPr="004A7284">
        <w:rPr>
          <w:rFonts w:cstheme="minorHAnsi"/>
          <w:lang w:val="en-GB"/>
        </w:rPr>
        <w:t>We computed the proportion of individuals presenting to their GP practice with alcohol dependence</w:t>
      </w:r>
      <w:r w:rsidR="003C0118" w:rsidRPr="004A7284">
        <w:rPr>
          <w:rFonts w:cstheme="minorHAnsi"/>
          <w:lang w:val="en-GB"/>
        </w:rPr>
        <w:t xml:space="preserve"> or hazardous use</w:t>
      </w:r>
      <w:r w:rsidRPr="004A7284">
        <w:rPr>
          <w:rFonts w:cstheme="minorHAnsi"/>
          <w:lang w:val="en-GB"/>
        </w:rPr>
        <w:t xml:space="preserve"> from the number of individual</w:t>
      </w:r>
      <w:r w:rsidR="0018580B" w:rsidRPr="004A7284">
        <w:rPr>
          <w:rFonts w:cstheme="minorHAnsi"/>
          <w:lang w:val="en-GB"/>
        </w:rPr>
        <w:t>s aged over 18 years</w:t>
      </w:r>
      <w:r w:rsidRPr="004A7284">
        <w:rPr>
          <w:rFonts w:cstheme="minorHAnsi"/>
          <w:lang w:val="en-GB"/>
        </w:rPr>
        <w:t xml:space="preserve"> registered to that practice, and the variance of this proportion using the ‘</w:t>
      </w:r>
      <w:proofErr w:type="spellStart"/>
      <w:r w:rsidRPr="004A7284">
        <w:rPr>
          <w:rFonts w:cstheme="minorHAnsi"/>
          <w:lang w:val="en-GB"/>
        </w:rPr>
        <w:t>escalc</w:t>
      </w:r>
      <w:proofErr w:type="spellEnd"/>
      <w:r w:rsidRPr="004A7284">
        <w:rPr>
          <w:rFonts w:cstheme="minorHAnsi"/>
          <w:lang w:val="en-GB"/>
        </w:rPr>
        <w:t>’ function from the ‘</w:t>
      </w:r>
      <w:proofErr w:type="spellStart"/>
      <w:r w:rsidRPr="004A7284">
        <w:rPr>
          <w:rFonts w:cstheme="minorHAnsi"/>
          <w:lang w:val="en-GB"/>
        </w:rPr>
        <w:t>metafor</w:t>
      </w:r>
      <w:proofErr w:type="spellEnd"/>
      <w:r w:rsidRPr="004A7284">
        <w:rPr>
          <w:rFonts w:cstheme="minorHAnsi"/>
          <w:lang w:val="en-GB"/>
        </w:rPr>
        <w:t>’ package in R</w:t>
      </w:r>
      <w:r w:rsidR="0002193B" w:rsidRPr="004A7284">
        <w:rPr>
          <w:rFonts w:cstheme="minorHAnsi"/>
          <w:lang w:val="en-GB"/>
        </w:rPr>
        <w:t xml:space="preserve">. </w:t>
      </w:r>
      <w:r w:rsidRPr="004A7284">
        <w:rPr>
          <w:rFonts w:cstheme="minorHAnsi"/>
          <w:lang w:val="en-GB"/>
        </w:rPr>
        <w:t xml:space="preserve">We conducted a random-effects meta-analysis on the proportion of alcohol dependence cases across 62 GP surgeries we had data for. </w:t>
      </w:r>
      <w:r w:rsidR="001F2C26" w:rsidRPr="004A7284">
        <w:rPr>
          <w:rFonts w:cstheme="minorHAnsi"/>
          <w:lang w:val="en-GB"/>
        </w:rPr>
        <w:t>In line with recommendations</w:t>
      </w:r>
      <w:r w:rsidR="00D82197" w:rsidRPr="004A7284">
        <w:rPr>
          <w:rFonts w:cstheme="minorHAnsi"/>
          <w:lang w:val="en-GB"/>
        </w:rPr>
        <w:t xml:space="preserve"> [1</w:t>
      </w:r>
      <w:r w:rsidR="00F95F4E" w:rsidRPr="004A7284">
        <w:rPr>
          <w:rFonts w:cstheme="minorHAnsi"/>
          <w:lang w:val="en-GB"/>
        </w:rPr>
        <w:t>6</w:t>
      </w:r>
      <w:r w:rsidR="00D82197" w:rsidRPr="004A7284">
        <w:rPr>
          <w:rFonts w:cstheme="minorHAnsi"/>
          <w:lang w:val="en-GB"/>
        </w:rPr>
        <w:t>]</w:t>
      </w:r>
      <w:r w:rsidR="001F2C26" w:rsidRPr="004A7284">
        <w:rPr>
          <w:rFonts w:cstheme="minorHAnsi"/>
          <w:lang w:val="en-GB"/>
        </w:rPr>
        <w:t xml:space="preserve"> we transformed raw proportions using the arcsine square root transformation (</w:t>
      </w:r>
      <w:proofErr w:type="spellStart"/>
      <w:r w:rsidR="001F2C26" w:rsidRPr="004A7284">
        <w:rPr>
          <w:rFonts w:cstheme="minorHAnsi"/>
          <w:lang w:val="en-GB"/>
        </w:rPr>
        <w:t>escalc</w:t>
      </w:r>
      <w:proofErr w:type="spellEnd"/>
      <w:r w:rsidR="001F2C26" w:rsidRPr="004A7284">
        <w:rPr>
          <w:rFonts w:cstheme="minorHAnsi"/>
          <w:lang w:val="en-GB"/>
        </w:rPr>
        <w:t xml:space="preserve"> function ‘PAS’), which serves to improve normality and stabilise variances in smaller samples. We report back-transformed proportions </w:t>
      </w:r>
      <w:r w:rsidR="001F2C26" w:rsidRPr="004A7284">
        <w:rPr>
          <w:rFonts w:cstheme="minorHAnsi"/>
          <w:lang w:val="en-GB"/>
        </w:rPr>
        <w:lastRenderedPageBreak/>
        <w:t>in text</w:t>
      </w:r>
      <w:r w:rsidR="00393748" w:rsidRPr="004A7284">
        <w:rPr>
          <w:rFonts w:cstheme="minorHAnsi"/>
          <w:lang w:val="en-GB"/>
        </w:rPr>
        <w:t xml:space="preserve"> and raw proportions in figures to aid interpretation</w:t>
      </w:r>
      <w:r w:rsidR="001F2C26" w:rsidRPr="004A7284">
        <w:rPr>
          <w:rFonts w:cstheme="minorHAnsi"/>
          <w:lang w:val="en-GB"/>
        </w:rPr>
        <w:t>.</w:t>
      </w:r>
      <w:r w:rsidR="00AC5F25" w:rsidRPr="004A7284">
        <w:rPr>
          <w:rFonts w:cstheme="minorHAnsi"/>
          <w:lang w:val="en-GB"/>
        </w:rPr>
        <w:t xml:space="preserve"> The analysis script can be found here [</w:t>
      </w:r>
      <w:r w:rsidR="00167A41" w:rsidRPr="004A7284">
        <w:rPr>
          <w:rFonts w:cstheme="minorHAnsi"/>
          <w:lang w:val="en-GB"/>
        </w:rPr>
        <w:t>https://osf.io/7ywdz/</w:t>
      </w:r>
      <w:r w:rsidR="00AC5F25" w:rsidRPr="004A7284">
        <w:rPr>
          <w:rFonts w:cstheme="minorHAnsi"/>
          <w:lang w:val="en-GB"/>
        </w:rPr>
        <w:t>]</w:t>
      </w:r>
      <w:r w:rsidR="00167A41" w:rsidRPr="004A7284">
        <w:rPr>
          <w:rFonts w:cstheme="minorHAnsi"/>
          <w:lang w:val="en-GB"/>
        </w:rPr>
        <w:t>.</w:t>
      </w:r>
      <w:r w:rsidR="00393748" w:rsidRPr="004A7284">
        <w:rPr>
          <w:rFonts w:cstheme="minorHAnsi"/>
          <w:lang w:val="en-GB"/>
        </w:rPr>
        <w:t xml:space="preserve"> </w:t>
      </w:r>
    </w:p>
    <w:p w14:paraId="6841EAA3" w14:textId="700D841A" w:rsidR="002752FA" w:rsidRPr="004A7284" w:rsidRDefault="00663556" w:rsidP="00B05771">
      <w:pPr>
        <w:spacing w:after="120" w:line="480" w:lineRule="auto"/>
        <w:ind w:firstLine="708"/>
        <w:jc w:val="both"/>
        <w:rPr>
          <w:rFonts w:cstheme="minorHAnsi"/>
          <w:lang w:val="en-GB"/>
        </w:rPr>
      </w:pPr>
      <w:r w:rsidRPr="004A7284">
        <w:rPr>
          <w:rFonts w:cstheme="minorHAnsi"/>
          <w:lang w:val="en-GB"/>
        </w:rPr>
        <w:t>To examine whether deprivation was associated with the proportion of alcohol-dependence cases we used the GP surgery postcode</w:t>
      </w:r>
      <w:r w:rsidR="005E2FF5" w:rsidRPr="004A7284">
        <w:rPr>
          <w:rFonts w:cstheme="minorHAnsi"/>
          <w:lang w:val="en-GB"/>
        </w:rPr>
        <w:t>, we</w:t>
      </w:r>
      <w:r w:rsidRPr="004A7284">
        <w:rPr>
          <w:rFonts w:cstheme="minorHAnsi"/>
          <w:lang w:val="en-GB"/>
        </w:rPr>
        <w:t xml:space="preserve"> first used meta-regression analyses to examine whether IMD was associated with the proportion of alcohol-dependent cases</w:t>
      </w:r>
      <w:r w:rsidR="002752FA" w:rsidRPr="004A7284">
        <w:rPr>
          <w:rFonts w:cstheme="minorHAnsi"/>
          <w:lang w:val="en-GB"/>
        </w:rPr>
        <w:t>, as well as hazardous drinking</w:t>
      </w:r>
      <w:r w:rsidRPr="004A7284">
        <w:rPr>
          <w:rFonts w:cstheme="minorHAnsi"/>
          <w:lang w:val="en-GB"/>
        </w:rPr>
        <w:t>. Then, owing to a large number IMDs = 1</w:t>
      </w:r>
      <w:r w:rsidR="00214B25" w:rsidRPr="004A7284">
        <w:rPr>
          <w:rFonts w:cstheme="minorHAnsi"/>
          <w:lang w:val="en-GB"/>
        </w:rPr>
        <w:t xml:space="preserve"> (N = 37, 59.7%)</w:t>
      </w:r>
      <w:r w:rsidRPr="004A7284">
        <w:rPr>
          <w:rFonts w:cstheme="minorHAnsi"/>
          <w:lang w:val="en-GB"/>
        </w:rPr>
        <w:t xml:space="preserve"> we conducted a subgroup analysis in which we compared IMD = 1 vs IMD = 2:10.  </w:t>
      </w:r>
      <w:r w:rsidR="00393748" w:rsidRPr="004A7284">
        <w:rPr>
          <w:rFonts w:cstheme="minorHAnsi"/>
          <w:lang w:val="en-GB"/>
        </w:rPr>
        <w:t>We provide R</w:t>
      </w:r>
      <w:r w:rsidR="00393748" w:rsidRPr="004A7284">
        <w:rPr>
          <w:rFonts w:cstheme="minorHAnsi"/>
          <w:vertAlign w:val="superscript"/>
          <w:lang w:val="en-GB"/>
        </w:rPr>
        <w:t>2</w:t>
      </w:r>
      <w:r w:rsidR="00393748" w:rsidRPr="004A7284">
        <w:rPr>
          <w:rFonts w:cstheme="minorHAnsi"/>
          <w:lang w:val="en-GB"/>
        </w:rPr>
        <w:t xml:space="preserve"> values for meta-regressions, which </w:t>
      </w:r>
      <w:r w:rsidR="003C0118" w:rsidRPr="004A7284">
        <w:rPr>
          <w:rFonts w:cstheme="minorHAnsi"/>
          <w:lang w:val="en-GB"/>
        </w:rPr>
        <w:t xml:space="preserve">indicate </w:t>
      </w:r>
      <w:r w:rsidR="00393748" w:rsidRPr="004A7284">
        <w:rPr>
          <w:rFonts w:cstheme="minorHAnsi"/>
          <w:lang w:val="en-GB"/>
        </w:rPr>
        <w:t>the amount of heterogeneity in the models accounted for by the predictor</w:t>
      </w:r>
      <w:r w:rsidR="006E66D0" w:rsidRPr="004A7284">
        <w:rPr>
          <w:rFonts w:cstheme="minorHAnsi"/>
          <w:lang w:val="en-GB"/>
        </w:rPr>
        <w:t xml:space="preserve"> (IMD)</w:t>
      </w:r>
      <w:r w:rsidR="00393748" w:rsidRPr="004A7284">
        <w:rPr>
          <w:rFonts w:cstheme="minorHAnsi"/>
          <w:lang w:val="en-GB"/>
        </w:rPr>
        <w:t xml:space="preserve">. </w:t>
      </w:r>
      <w:r w:rsidR="00214B25" w:rsidRPr="004A7284">
        <w:rPr>
          <w:rFonts w:cstheme="minorHAnsi"/>
          <w:lang w:val="en-GB"/>
        </w:rPr>
        <w:t>T</w:t>
      </w:r>
      <w:r w:rsidR="001E6765" w:rsidRPr="004A7284">
        <w:rPr>
          <w:rFonts w:cstheme="minorHAnsi"/>
          <w:lang w:val="en-GB"/>
        </w:rPr>
        <w:t>o examine whether any associations between IMD and alcohol</w:t>
      </w:r>
      <w:r w:rsidR="00412C4C" w:rsidRPr="004A7284">
        <w:rPr>
          <w:rFonts w:cstheme="minorHAnsi"/>
          <w:lang w:val="en-GB"/>
        </w:rPr>
        <w:t>-dependence</w:t>
      </w:r>
      <w:r w:rsidR="001E6765" w:rsidRPr="004A7284">
        <w:rPr>
          <w:rFonts w:cstheme="minorHAnsi"/>
          <w:lang w:val="en-GB"/>
        </w:rPr>
        <w:t xml:space="preserve"> were partially explained by </w:t>
      </w:r>
      <w:r w:rsidR="00F217F2" w:rsidRPr="004A7284">
        <w:rPr>
          <w:rFonts w:cstheme="minorHAnsi"/>
          <w:lang w:val="en-GB"/>
        </w:rPr>
        <w:t>demographic</w:t>
      </w:r>
      <w:r w:rsidR="001E6765" w:rsidRPr="004A7284">
        <w:rPr>
          <w:rFonts w:cstheme="minorHAnsi"/>
          <w:lang w:val="en-GB"/>
        </w:rPr>
        <w:t xml:space="preserve"> characteristics of the patient samples we re-ran our meta-regressions to include the percentage of male (vs female) </w:t>
      </w:r>
      <w:r w:rsidR="00AC5F25" w:rsidRPr="004A7284">
        <w:rPr>
          <w:rFonts w:cstheme="minorHAnsi"/>
          <w:lang w:val="en-GB"/>
        </w:rPr>
        <w:t xml:space="preserve">patients </w:t>
      </w:r>
      <w:r w:rsidR="001E6765" w:rsidRPr="004A7284">
        <w:rPr>
          <w:rFonts w:cstheme="minorHAnsi"/>
          <w:lang w:val="en-GB"/>
        </w:rPr>
        <w:t xml:space="preserve">aged 18+ </w:t>
      </w:r>
      <w:r w:rsidR="00AC5F25" w:rsidRPr="004A7284">
        <w:rPr>
          <w:rFonts w:cstheme="minorHAnsi"/>
          <w:lang w:val="en-GB"/>
        </w:rPr>
        <w:t>registered in</w:t>
      </w:r>
      <w:r w:rsidR="001E6765" w:rsidRPr="004A7284">
        <w:rPr>
          <w:rFonts w:cstheme="minorHAnsi"/>
          <w:lang w:val="en-GB"/>
        </w:rPr>
        <w:t xml:space="preserve"> each surgery (Mean = 50.8%, Min = 46.1%, </w:t>
      </w:r>
      <w:proofErr w:type="gramStart"/>
      <w:r w:rsidR="001E6765" w:rsidRPr="004A7284">
        <w:rPr>
          <w:rFonts w:cstheme="minorHAnsi"/>
          <w:lang w:val="en-GB"/>
        </w:rPr>
        <w:t>Max  =</w:t>
      </w:r>
      <w:proofErr w:type="gramEnd"/>
      <w:r w:rsidR="001E6765" w:rsidRPr="004A7284">
        <w:rPr>
          <w:rFonts w:cstheme="minorHAnsi"/>
          <w:lang w:val="en-GB"/>
        </w:rPr>
        <w:t xml:space="preserve"> 59.3%). We also examined the % of males and females who identified as ‘British or Mixed British’ as their ethnicity (vs other possible ethnicities)</w:t>
      </w:r>
      <w:r w:rsidR="006E66D0" w:rsidRPr="004A7284">
        <w:rPr>
          <w:rFonts w:cstheme="minorHAnsi"/>
          <w:lang w:val="en-GB"/>
        </w:rPr>
        <w:t xml:space="preserve"> within that surgery</w:t>
      </w:r>
      <w:r w:rsidR="001E6765" w:rsidRPr="004A7284">
        <w:rPr>
          <w:rFonts w:cstheme="minorHAnsi"/>
          <w:lang w:val="en-GB"/>
        </w:rPr>
        <w:t xml:space="preserve">. We chose this as it was the most commonly reported ethnicity. </w:t>
      </w:r>
      <w:r w:rsidR="00CE1CE1" w:rsidRPr="004A7284">
        <w:rPr>
          <w:rFonts w:cstheme="minorHAnsi"/>
          <w:lang w:val="en-GB"/>
        </w:rPr>
        <w:t xml:space="preserve">However, this analysis is exploratory as the quality of ethnicity reporting was poor (many surgeries reported missing ethnicity data). </w:t>
      </w:r>
    </w:p>
    <w:p w14:paraId="3DD6DCCC" w14:textId="1BDFC8E5" w:rsidR="00B05771" w:rsidRPr="004A7284" w:rsidRDefault="00B05771" w:rsidP="00B05771">
      <w:pPr>
        <w:spacing w:after="120" w:line="480" w:lineRule="auto"/>
        <w:ind w:firstLine="708"/>
        <w:jc w:val="both"/>
        <w:rPr>
          <w:rFonts w:cstheme="minorHAnsi"/>
          <w:lang w:val="en-GB"/>
        </w:rPr>
      </w:pPr>
      <w:r w:rsidRPr="004A7284">
        <w:rPr>
          <w:rFonts w:cstheme="minorHAnsi"/>
          <w:lang w:val="en-GB"/>
        </w:rPr>
        <w:t xml:space="preserve">Finally, </w:t>
      </w:r>
      <w:r w:rsidR="002752FA" w:rsidRPr="004A7284">
        <w:rPr>
          <w:rFonts w:cstheme="minorHAnsi"/>
          <w:lang w:val="en-GB"/>
        </w:rPr>
        <w:t xml:space="preserve">in order to triangulate evidence </w:t>
      </w:r>
      <w:r w:rsidRPr="004A7284">
        <w:rPr>
          <w:rFonts w:cstheme="minorHAnsi"/>
          <w:lang w:val="en-GB"/>
        </w:rPr>
        <w:t>we</w:t>
      </w:r>
      <w:r w:rsidR="002752FA" w:rsidRPr="004A7284">
        <w:rPr>
          <w:rFonts w:cstheme="minorHAnsi"/>
          <w:lang w:val="en-GB"/>
        </w:rPr>
        <w:t xml:space="preserve"> also</w:t>
      </w:r>
      <w:r w:rsidRPr="004A7284">
        <w:rPr>
          <w:rFonts w:cstheme="minorHAnsi"/>
          <w:lang w:val="en-GB"/>
        </w:rPr>
        <w:t xml:space="preserve"> examined whether patient-level deprivation (using patient </w:t>
      </w:r>
      <w:r w:rsidR="007262E4" w:rsidRPr="004A7284">
        <w:rPr>
          <w:rFonts w:cstheme="minorHAnsi"/>
          <w:lang w:val="en-GB"/>
        </w:rPr>
        <w:t xml:space="preserve">level </w:t>
      </w:r>
      <w:r w:rsidR="0049188D" w:rsidRPr="004A7284">
        <w:rPr>
          <w:rFonts w:cstheme="minorHAnsi"/>
          <w:lang w:val="en-GB"/>
        </w:rPr>
        <w:t>IMD data</w:t>
      </w:r>
      <w:r w:rsidRPr="004A7284">
        <w:rPr>
          <w:rFonts w:cstheme="minorHAnsi"/>
          <w:lang w:val="en-GB"/>
        </w:rPr>
        <w:t>), average age and proportion of male patients, was associated with prevalence of dependence</w:t>
      </w:r>
      <w:r w:rsidR="002752FA" w:rsidRPr="004A7284">
        <w:rPr>
          <w:rFonts w:cstheme="minorHAnsi"/>
          <w:lang w:val="en-GB"/>
        </w:rPr>
        <w:t xml:space="preserve">, medication </w:t>
      </w:r>
      <w:proofErr w:type="gramStart"/>
      <w:r w:rsidR="002752FA" w:rsidRPr="004A7284">
        <w:rPr>
          <w:rFonts w:cstheme="minorHAnsi"/>
          <w:lang w:val="en-GB"/>
        </w:rPr>
        <w:t xml:space="preserve">prescribing, </w:t>
      </w:r>
      <w:r w:rsidRPr="004A7284">
        <w:rPr>
          <w:rFonts w:cstheme="minorHAnsi"/>
          <w:lang w:val="en-GB"/>
        </w:rPr>
        <w:t xml:space="preserve"> and</w:t>
      </w:r>
      <w:proofErr w:type="gramEnd"/>
      <w:r w:rsidRPr="004A7284">
        <w:rPr>
          <w:rFonts w:cstheme="minorHAnsi"/>
          <w:lang w:val="en-GB"/>
        </w:rPr>
        <w:t xml:space="preserve"> hazardous drinking using meta-regressions. </w:t>
      </w:r>
    </w:p>
    <w:p w14:paraId="300E45E7" w14:textId="2ED896AA" w:rsidR="003502F1" w:rsidRPr="004A7284" w:rsidRDefault="003502F1" w:rsidP="00BB71AB">
      <w:pPr>
        <w:spacing w:after="120" w:line="480" w:lineRule="auto"/>
        <w:jc w:val="both"/>
        <w:rPr>
          <w:rFonts w:cstheme="minorHAnsi"/>
          <w:b/>
          <w:lang w:val="en-GB"/>
        </w:rPr>
      </w:pPr>
      <w:r w:rsidRPr="004A7284">
        <w:rPr>
          <w:rFonts w:cstheme="minorHAnsi"/>
          <w:b/>
          <w:lang w:val="en-GB"/>
        </w:rPr>
        <w:t>Results</w:t>
      </w:r>
    </w:p>
    <w:p w14:paraId="4618B8DF" w14:textId="74486B5B" w:rsidR="002661C6" w:rsidRPr="004A7284" w:rsidRDefault="00F00D36" w:rsidP="00BB71AB">
      <w:pPr>
        <w:spacing w:after="120" w:line="480" w:lineRule="auto"/>
        <w:jc w:val="both"/>
        <w:rPr>
          <w:rFonts w:cstheme="minorHAnsi"/>
          <w:bCs/>
          <w:i/>
          <w:iCs/>
          <w:lang w:val="en-GB"/>
        </w:rPr>
      </w:pPr>
      <w:r w:rsidRPr="004A7284">
        <w:rPr>
          <w:rFonts w:cstheme="minorHAnsi"/>
          <w:bCs/>
          <w:i/>
          <w:iCs/>
          <w:lang w:val="en-GB"/>
        </w:rPr>
        <w:t xml:space="preserve">Demographic characteristics of participants: </w:t>
      </w:r>
    </w:p>
    <w:p w14:paraId="3A567063" w14:textId="59F2CA7C" w:rsidR="00E31366" w:rsidRPr="004A7284" w:rsidRDefault="005E1FFD" w:rsidP="00BB71AB">
      <w:pPr>
        <w:spacing w:after="120" w:line="480" w:lineRule="auto"/>
        <w:jc w:val="both"/>
        <w:rPr>
          <w:rFonts w:cstheme="minorHAnsi"/>
          <w:bCs/>
          <w:u w:val="single"/>
          <w:lang w:val="en-GB"/>
        </w:rPr>
      </w:pPr>
      <w:r w:rsidRPr="004A7284">
        <w:rPr>
          <w:rFonts w:cstheme="minorHAnsi"/>
          <w:bCs/>
          <w:lang w:val="en-GB"/>
        </w:rPr>
        <w:t xml:space="preserve">The majority of alcohol diagnoses in primary care in Liverpool over the 5-year period were </w:t>
      </w:r>
      <w:r w:rsidR="00F455BE" w:rsidRPr="004A7284">
        <w:rPr>
          <w:rFonts w:cstheme="minorHAnsi"/>
          <w:bCs/>
          <w:lang w:val="en-GB"/>
        </w:rPr>
        <w:t xml:space="preserve">for </w:t>
      </w:r>
      <w:r w:rsidRPr="004A7284">
        <w:rPr>
          <w:rFonts w:cstheme="minorHAnsi"/>
          <w:bCs/>
          <w:lang w:val="en-GB"/>
        </w:rPr>
        <w:t xml:space="preserve">male </w:t>
      </w:r>
      <w:r w:rsidR="00F455BE" w:rsidRPr="004A7284">
        <w:rPr>
          <w:rFonts w:cstheme="minorHAnsi"/>
          <w:bCs/>
          <w:lang w:val="en-GB"/>
        </w:rPr>
        <w:t xml:space="preserve">patients </w:t>
      </w:r>
      <w:r w:rsidRPr="004A7284">
        <w:rPr>
          <w:rFonts w:cstheme="minorHAnsi"/>
          <w:bCs/>
          <w:lang w:val="en-GB"/>
        </w:rPr>
        <w:t xml:space="preserve">(64%) and </w:t>
      </w:r>
      <w:r w:rsidR="00F455BE" w:rsidRPr="004A7284">
        <w:rPr>
          <w:rFonts w:cstheme="minorHAnsi"/>
          <w:bCs/>
          <w:lang w:val="en-GB"/>
        </w:rPr>
        <w:t xml:space="preserve">most </w:t>
      </w:r>
      <w:r w:rsidRPr="004A7284">
        <w:rPr>
          <w:rFonts w:cstheme="minorHAnsi"/>
          <w:bCs/>
          <w:lang w:val="en-GB"/>
        </w:rPr>
        <w:t xml:space="preserve">described their ethnicity as white British, white Irish or white other (84%). </w:t>
      </w:r>
      <w:r w:rsidR="004B3556" w:rsidRPr="004A7284">
        <w:rPr>
          <w:rFonts w:cstheme="minorHAnsi"/>
          <w:bCs/>
          <w:lang w:val="en-GB"/>
        </w:rPr>
        <w:t xml:space="preserve">Across the sample, </w:t>
      </w:r>
      <w:r w:rsidR="0098084B" w:rsidRPr="004A7284">
        <w:rPr>
          <w:rFonts w:cstheme="minorHAnsi"/>
          <w:bCs/>
          <w:lang w:val="en-GB"/>
        </w:rPr>
        <w:t>six</w:t>
      </w:r>
      <w:r w:rsidRPr="004A7284">
        <w:rPr>
          <w:rFonts w:cstheme="minorHAnsi"/>
          <w:bCs/>
          <w:lang w:val="en-GB"/>
        </w:rPr>
        <w:t xml:space="preserve"> percent were currently prescribed medication to manage their </w:t>
      </w:r>
      <w:r w:rsidR="0098084B" w:rsidRPr="004A7284">
        <w:rPr>
          <w:rFonts w:cstheme="minorHAnsi"/>
          <w:bCs/>
          <w:lang w:val="en-GB"/>
        </w:rPr>
        <w:t>drinking</w:t>
      </w:r>
      <w:r w:rsidRPr="004A7284">
        <w:rPr>
          <w:rFonts w:cstheme="minorHAnsi"/>
          <w:bCs/>
          <w:lang w:val="en-GB"/>
        </w:rPr>
        <w:t xml:space="preserve">, with Acamprosate most commonly prescribed (3.9%). Coding of information relating to indices of alcohol use (using some variation of the AUDIT or a consumption score) and referral to other services was </w:t>
      </w:r>
      <w:r w:rsidRPr="004A7284">
        <w:rPr>
          <w:rFonts w:cstheme="minorHAnsi"/>
          <w:bCs/>
          <w:lang w:val="en-GB"/>
        </w:rPr>
        <w:lastRenderedPageBreak/>
        <w:t xml:space="preserve">variable; while 14% or patients were coded as “referral to community”, the majority of patients did not have onward referral information. A small proportion (0.3%) declined referral to other alcohol services. </w:t>
      </w:r>
      <w:r w:rsidR="00061A77" w:rsidRPr="004A7284">
        <w:rPr>
          <w:rFonts w:cstheme="minorHAnsi"/>
          <w:bCs/>
          <w:lang w:val="en-GB"/>
        </w:rPr>
        <w:t xml:space="preserve">Inspection of Table 1 also shows that cooccurring mental health diagnoses were common, with 45.6% of patients having a SNOMED code for a co-existing mental health concern, and Anxiety states or Anxiety Disorders (30%) emerging as the most common concern. </w:t>
      </w:r>
    </w:p>
    <w:p w14:paraId="6B7BD23B" w14:textId="77777777" w:rsidR="00F44D3C" w:rsidRPr="004A7284" w:rsidRDefault="00F44D3C">
      <w:pPr>
        <w:rPr>
          <w:rFonts w:cstheme="minorHAnsi"/>
          <w:bCs/>
          <w:u w:val="single"/>
          <w:lang w:val="en-GB"/>
        </w:rPr>
      </w:pPr>
      <w:r w:rsidRPr="004A7284">
        <w:rPr>
          <w:rFonts w:cstheme="minorHAnsi"/>
          <w:bCs/>
          <w:u w:val="single"/>
          <w:lang w:val="en-GB"/>
        </w:rPr>
        <w:br w:type="page"/>
      </w:r>
    </w:p>
    <w:p w14:paraId="65F35998" w14:textId="2B04A006" w:rsidR="00B26EB2" w:rsidRPr="004A7284" w:rsidRDefault="00B26EB2" w:rsidP="00BB71AB">
      <w:pPr>
        <w:spacing w:after="120" w:line="480" w:lineRule="auto"/>
        <w:jc w:val="both"/>
        <w:rPr>
          <w:rFonts w:cstheme="minorHAnsi"/>
          <w:bCs/>
          <w:i/>
          <w:iCs/>
          <w:lang w:val="en-GB"/>
        </w:rPr>
      </w:pPr>
      <w:r w:rsidRPr="004A7284">
        <w:rPr>
          <w:rFonts w:cstheme="minorHAnsi"/>
          <w:bCs/>
          <w:u w:val="single"/>
          <w:lang w:val="en-GB"/>
        </w:rPr>
        <w:lastRenderedPageBreak/>
        <w:t xml:space="preserve">Table 1: Demographic information, prescribed medications and cooccurring mental health diagnoses. </w:t>
      </w:r>
    </w:p>
    <w:tbl>
      <w:tblPr>
        <w:tblStyle w:val="TableGrid"/>
        <w:tblW w:w="0" w:type="auto"/>
        <w:tblLook w:val="04A0" w:firstRow="1" w:lastRow="0" w:firstColumn="1" w:lastColumn="0" w:noHBand="0" w:noVBand="1"/>
      </w:tblPr>
      <w:tblGrid>
        <w:gridCol w:w="4106"/>
        <w:gridCol w:w="1276"/>
        <w:gridCol w:w="1276"/>
        <w:gridCol w:w="1275"/>
        <w:gridCol w:w="1083"/>
      </w:tblGrid>
      <w:tr w:rsidR="00B26EB2" w:rsidRPr="004A7284" w14:paraId="724920F6" w14:textId="77777777" w:rsidTr="00D2205B">
        <w:tc>
          <w:tcPr>
            <w:tcW w:w="4106" w:type="dxa"/>
            <w:tcBorders>
              <w:top w:val="single" w:sz="4" w:space="0" w:color="auto"/>
              <w:left w:val="nil"/>
              <w:bottom w:val="single" w:sz="4" w:space="0" w:color="auto"/>
              <w:right w:val="nil"/>
            </w:tcBorders>
          </w:tcPr>
          <w:p w14:paraId="43C112D5" w14:textId="77777777" w:rsidR="00B26EB2" w:rsidRPr="004A7284" w:rsidRDefault="00B26EB2" w:rsidP="00D2205B">
            <w:pPr>
              <w:rPr>
                <w:lang w:val="en-GB"/>
              </w:rPr>
            </w:pPr>
          </w:p>
        </w:tc>
        <w:tc>
          <w:tcPr>
            <w:tcW w:w="1276" w:type="dxa"/>
            <w:tcBorders>
              <w:top w:val="single" w:sz="4" w:space="0" w:color="auto"/>
              <w:left w:val="nil"/>
              <w:bottom w:val="single" w:sz="4" w:space="0" w:color="auto"/>
              <w:right w:val="nil"/>
            </w:tcBorders>
          </w:tcPr>
          <w:p w14:paraId="60FC3D75" w14:textId="77777777" w:rsidR="00B26EB2" w:rsidRPr="004A7284" w:rsidRDefault="00B26EB2" w:rsidP="00D2205B">
            <w:pPr>
              <w:jc w:val="center"/>
              <w:rPr>
                <w:b/>
                <w:bCs/>
              </w:rPr>
            </w:pPr>
            <w:r w:rsidRPr="004A7284">
              <w:rPr>
                <w:b/>
                <w:bCs/>
              </w:rPr>
              <w:t>Male (N)</w:t>
            </w:r>
          </w:p>
        </w:tc>
        <w:tc>
          <w:tcPr>
            <w:tcW w:w="1276" w:type="dxa"/>
            <w:tcBorders>
              <w:top w:val="single" w:sz="4" w:space="0" w:color="auto"/>
              <w:left w:val="nil"/>
              <w:bottom w:val="single" w:sz="4" w:space="0" w:color="auto"/>
              <w:right w:val="nil"/>
            </w:tcBorders>
          </w:tcPr>
          <w:p w14:paraId="47CEA7AA" w14:textId="77777777" w:rsidR="00B26EB2" w:rsidRPr="004A7284" w:rsidRDefault="00B26EB2" w:rsidP="00D2205B">
            <w:pPr>
              <w:jc w:val="center"/>
              <w:rPr>
                <w:b/>
                <w:bCs/>
              </w:rPr>
            </w:pPr>
            <w:r w:rsidRPr="004A7284">
              <w:rPr>
                <w:b/>
                <w:bCs/>
              </w:rPr>
              <w:t>%</w:t>
            </w:r>
          </w:p>
        </w:tc>
        <w:tc>
          <w:tcPr>
            <w:tcW w:w="1275" w:type="dxa"/>
            <w:tcBorders>
              <w:top w:val="single" w:sz="4" w:space="0" w:color="auto"/>
              <w:left w:val="nil"/>
              <w:bottom w:val="single" w:sz="4" w:space="0" w:color="auto"/>
              <w:right w:val="nil"/>
            </w:tcBorders>
          </w:tcPr>
          <w:p w14:paraId="5E030FC1" w14:textId="77777777" w:rsidR="00B26EB2" w:rsidRPr="004A7284" w:rsidRDefault="00B26EB2" w:rsidP="00D2205B">
            <w:pPr>
              <w:jc w:val="center"/>
              <w:rPr>
                <w:b/>
                <w:bCs/>
              </w:rPr>
            </w:pPr>
            <w:r w:rsidRPr="004A7284">
              <w:rPr>
                <w:b/>
                <w:bCs/>
              </w:rPr>
              <w:t>Female (N)</w:t>
            </w:r>
          </w:p>
        </w:tc>
        <w:tc>
          <w:tcPr>
            <w:tcW w:w="1083" w:type="dxa"/>
            <w:tcBorders>
              <w:top w:val="single" w:sz="4" w:space="0" w:color="auto"/>
              <w:left w:val="nil"/>
              <w:bottom w:val="single" w:sz="4" w:space="0" w:color="auto"/>
              <w:right w:val="nil"/>
            </w:tcBorders>
          </w:tcPr>
          <w:p w14:paraId="368047A4" w14:textId="77777777" w:rsidR="00B26EB2" w:rsidRPr="004A7284" w:rsidRDefault="00B26EB2" w:rsidP="00D2205B">
            <w:pPr>
              <w:jc w:val="center"/>
              <w:rPr>
                <w:b/>
                <w:bCs/>
              </w:rPr>
            </w:pPr>
            <w:r w:rsidRPr="004A7284">
              <w:rPr>
                <w:b/>
                <w:bCs/>
              </w:rPr>
              <w:t>%</w:t>
            </w:r>
          </w:p>
        </w:tc>
      </w:tr>
      <w:tr w:rsidR="00B26EB2" w:rsidRPr="004A7284" w14:paraId="3703E7BC" w14:textId="77777777" w:rsidTr="00C40F08">
        <w:tc>
          <w:tcPr>
            <w:tcW w:w="4106" w:type="dxa"/>
            <w:tcBorders>
              <w:top w:val="single" w:sz="4" w:space="0" w:color="auto"/>
              <w:left w:val="nil"/>
              <w:bottom w:val="single" w:sz="4" w:space="0" w:color="auto"/>
              <w:right w:val="nil"/>
            </w:tcBorders>
          </w:tcPr>
          <w:p w14:paraId="7A827B05" w14:textId="77777777" w:rsidR="00B26EB2" w:rsidRPr="004A7284" w:rsidRDefault="00B26EB2" w:rsidP="00D2205B">
            <w:pPr>
              <w:rPr>
                <w:b/>
                <w:bCs/>
              </w:rPr>
            </w:pPr>
            <w:r w:rsidRPr="004A7284">
              <w:rPr>
                <w:b/>
                <w:bCs/>
              </w:rPr>
              <w:t>Gender</w:t>
            </w:r>
          </w:p>
        </w:tc>
        <w:tc>
          <w:tcPr>
            <w:tcW w:w="1276" w:type="dxa"/>
            <w:tcBorders>
              <w:top w:val="single" w:sz="4" w:space="0" w:color="auto"/>
              <w:left w:val="nil"/>
              <w:bottom w:val="single" w:sz="4" w:space="0" w:color="auto"/>
              <w:right w:val="nil"/>
            </w:tcBorders>
          </w:tcPr>
          <w:p w14:paraId="7AB6602E" w14:textId="77777777" w:rsidR="00B26EB2" w:rsidRPr="004A7284" w:rsidRDefault="00B26EB2" w:rsidP="00D2205B">
            <w:pPr>
              <w:jc w:val="center"/>
            </w:pPr>
            <w:r w:rsidRPr="004A7284">
              <w:t>3173</w:t>
            </w:r>
          </w:p>
        </w:tc>
        <w:tc>
          <w:tcPr>
            <w:tcW w:w="1276" w:type="dxa"/>
            <w:tcBorders>
              <w:top w:val="single" w:sz="4" w:space="0" w:color="auto"/>
              <w:left w:val="nil"/>
              <w:bottom w:val="single" w:sz="4" w:space="0" w:color="auto"/>
              <w:right w:val="nil"/>
            </w:tcBorders>
          </w:tcPr>
          <w:p w14:paraId="4194BE2C" w14:textId="77777777" w:rsidR="00B26EB2" w:rsidRPr="004A7284" w:rsidRDefault="00B26EB2" w:rsidP="00D2205B">
            <w:pPr>
              <w:jc w:val="center"/>
            </w:pPr>
            <w:r w:rsidRPr="004A7284">
              <w:t>64.30</w:t>
            </w:r>
          </w:p>
        </w:tc>
        <w:tc>
          <w:tcPr>
            <w:tcW w:w="1275" w:type="dxa"/>
            <w:tcBorders>
              <w:top w:val="single" w:sz="4" w:space="0" w:color="auto"/>
              <w:left w:val="nil"/>
              <w:bottom w:val="single" w:sz="4" w:space="0" w:color="auto"/>
              <w:right w:val="nil"/>
            </w:tcBorders>
          </w:tcPr>
          <w:p w14:paraId="02506266" w14:textId="77777777" w:rsidR="00B26EB2" w:rsidRPr="004A7284" w:rsidRDefault="00B26EB2" w:rsidP="00D2205B">
            <w:pPr>
              <w:jc w:val="center"/>
            </w:pPr>
            <w:r w:rsidRPr="004A7284">
              <w:t>1763</w:t>
            </w:r>
          </w:p>
        </w:tc>
        <w:tc>
          <w:tcPr>
            <w:tcW w:w="1083" w:type="dxa"/>
            <w:tcBorders>
              <w:top w:val="single" w:sz="4" w:space="0" w:color="auto"/>
              <w:left w:val="nil"/>
              <w:bottom w:val="single" w:sz="4" w:space="0" w:color="auto"/>
              <w:right w:val="nil"/>
            </w:tcBorders>
          </w:tcPr>
          <w:p w14:paraId="60DB904F" w14:textId="77777777" w:rsidR="00B26EB2" w:rsidRPr="004A7284" w:rsidRDefault="00B26EB2" w:rsidP="00D2205B">
            <w:pPr>
              <w:jc w:val="center"/>
            </w:pPr>
            <w:r w:rsidRPr="004A7284">
              <w:t>35.70</w:t>
            </w:r>
          </w:p>
          <w:p w14:paraId="623C1BD0" w14:textId="77777777" w:rsidR="00B26EB2" w:rsidRPr="004A7284" w:rsidRDefault="00B26EB2" w:rsidP="00D2205B">
            <w:pPr>
              <w:jc w:val="center"/>
            </w:pPr>
          </w:p>
        </w:tc>
      </w:tr>
      <w:tr w:rsidR="00894E3A" w:rsidRPr="004A7284" w14:paraId="12515A60" w14:textId="77777777" w:rsidTr="00C40F08">
        <w:tc>
          <w:tcPr>
            <w:tcW w:w="4106" w:type="dxa"/>
            <w:tcBorders>
              <w:top w:val="single" w:sz="4" w:space="0" w:color="auto"/>
              <w:left w:val="nil"/>
              <w:bottom w:val="single" w:sz="4" w:space="0" w:color="auto"/>
              <w:right w:val="nil"/>
            </w:tcBorders>
          </w:tcPr>
          <w:p w14:paraId="2CD7B3F7" w14:textId="3B6E02C5" w:rsidR="00894E3A" w:rsidRPr="004A7284" w:rsidRDefault="00894E3A" w:rsidP="00D2205B">
            <w:pPr>
              <w:rPr>
                <w:b/>
                <w:bCs/>
              </w:rPr>
            </w:pPr>
            <w:r w:rsidRPr="004A7284">
              <w:rPr>
                <w:b/>
                <w:bCs/>
              </w:rPr>
              <w:t xml:space="preserve">Age </w:t>
            </w:r>
          </w:p>
        </w:tc>
        <w:tc>
          <w:tcPr>
            <w:tcW w:w="1276" w:type="dxa"/>
            <w:tcBorders>
              <w:top w:val="single" w:sz="4" w:space="0" w:color="auto"/>
              <w:left w:val="nil"/>
              <w:bottom w:val="single" w:sz="4" w:space="0" w:color="auto"/>
              <w:right w:val="nil"/>
            </w:tcBorders>
          </w:tcPr>
          <w:p w14:paraId="6A1FDE93" w14:textId="77777777" w:rsidR="00894E3A" w:rsidRPr="004A7284" w:rsidRDefault="00894E3A" w:rsidP="00D2205B">
            <w:pPr>
              <w:jc w:val="center"/>
            </w:pPr>
          </w:p>
        </w:tc>
        <w:tc>
          <w:tcPr>
            <w:tcW w:w="1276" w:type="dxa"/>
            <w:tcBorders>
              <w:top w:val="single" w:sz="4" w:space="0" w:color="auto"/>
              <w:left w:val="nil"/>
              <w:bottom w:val="single" w:sz="4" w:space="0" w:color="auto"/>
              <w:right w:val="nil"/>
            </w:tcBorders>
          </w:tcPr>
          <w:p w14:paraId="63AA910E" w14:textId="77777777" w:rsidR="00894E3A" w:rsidRPr="004A7284" w:rsidRDefault="00894E3A" w:rsidP="00D2205B">
            <w:pPr>
              <w:jc w:val="center"/>
            </w:pPr>
          </w:p>
        </w:tc>
        <w:tc>
          <w:tcPr>
            <w:tcW w:w="1275" w:type="dxa"/>
            <w:tcBorders>
              <w:top w:val="single" w:sz="4" w:space="0" w:color="auto"/>
              <w:left w:val="nil"/>
              <w:bottom w:val="single" w:sz="4" w:space="0" w:color="auto"/>
              <w:right w:val="nil"/>
            </w:tcBorders>
          </w:tcPr>
          <w:p w14:paraId="218BB641" w14:textId="77777777" w:rsidR="00894E3A" w:rsidRPr="004A7284" w:rsidRDefault="00894E3A" w:rsidP="00D2205B">
            <w:pPr>
              <w:jc w:val="center"/>
            </w:pPr>
          </w:p>
        </w:tc>
        <w:tc>
          <w:tcPr>
            <w:tcW w:w="1083" w:type="dxa"/>
            <w:tcBorders>
              <w:top w:val="single" w:sz="4" w:space="0" w:color="auto"/>
              <w:left w:val="nil"/>
              <w:bottom w:val="single" w:sz="4" w:space="0" w:color="auto"/>
              <w:right w:val="nil"/>
            </w:tcBorders>
          </w:tcPr>
          <w:p w14:paraId="07DBB23C" w14:textId="77777777" w:rsidR="00894E3A" w:rsidRPr="004A7284" w:rsidRDefault="00894E3A" w:rsidP="00D2205B">
            <w:pPr>
              <w:jc w:val="center"/>
            </w:pPr>
          </w:p>
        </w:tc>
      </w:tr>
      <w:tr w:rsidR="00C40F08" w:rsidRPr="004A7284" w14:paraId="2CEB34D9" w14:textId="77777777" w:rsidTr="00C40F08">
        <w:tc>
          <w:tcPr>
            <w:tcW w:w="4106" w:type="dxa"/>
            <w:tcBorders>
              <w:top w:val="single" w:sz="4" w:space="0" w:color="auto"/>
              <w:left w:val="nil"/>
              <w:bottom w:val="nil"/>
              <w:right w:val="nil"/>
            </w:tcBorders>
          </w:tcPr>
          <w:p w14:paraId="248729EA" w14:textId="59B8120B" w:rsidR="00C40F08" w:rsidRPr="004A7284" w:rsidRDefault="00C40F08" w:rsidP="00D2205B">
            <w:pPr>
              <w:rPr>
                <w:i/>
                <w:iCs/>
              </w:rPr>
            </w:pPr>
            <w:r w:rsidRPr="004A7284">
              <w:rPr>
                <w:i/>
                <w:iCs/>
              </w:rPr>
              <w:t>18 - 24</w:t>
            </w:r>
          </w:p>
        </w:tc>
        <w:tc>
          <w:tcPr>
            <w:tcW w:w="1276" w:type="dxa"/>
            <w:tcBorders>
              <w:top w:val="single" w:sz="4" w:space="0" w:color="auto"/>
              <w:left w:val="nil"/>
              <w:bottom w:val="nil"/>
              <w:right w:val="nil"/>
            </w:tcBorders>
          </w:tcPr>
          <w:p w14:paraId="705FBA91" w14:textId="2F25E391" w:rsidR="00C40F08" w:rsidRPr="004A7284" w:rsidRDefault="00C40F08" w:rsidP="00C40F08">
            <w:pPr>
              <w:jc w:val="center"/>
            </w:pPr>
            <w:r w:rsidRPr="004A7284">
              <w:t>30</w:t>
            </w:r>
          </w:p>
        </w:tc>
        <w:tc>
          <w:tcPr>
            <w:tcW w:w="1276" w:type="dxa"/>
            <w:tcBorders>
              <w:top w:val="single" w:sz="4" w:space="0" w:color="auto"/>
              <w:left w:val="nil"/>
              <w:bottom w:val="nil"/>
              <w:right w:val="nil"/>
            </w:tcBorders>
          </w:tcPr>
          <w:p w14:paraId="23852E3C" w14:textId="5B97F483" w:rsidR="00C40F08" w:rsidRPr="004A7284" w:rsidRDefault="00C40F08" w:rsidP="00C40F08">
            <w:pPr>
              <w:jc w:val="center"/>
            </w:pPr>
            <w:r w:rsidRPr="004A7284">
              <w:t>1</w:t>
            </w:r>
          </w:p>
        </w:tc>
        <w:tc>
          <w:tcPr>
            <w:tcW w:w="1275" w:type="dxa"/>
            <w:tcBorders>
              <w:top w:val="single" w:sz="4" w:space="0" w:color="auto"/>
              <w:left w:val="nil"/>
              <w:bottom w:val="nil"/>
              <w:right w:val="nil"/>
            </w:tcBorders>
          </w:tcPr>
          <w:p w14:paraId="474B7A74" w14:textId="357A6556" w:rsidR="00C40F08" w:rsidRPr="004A7284" w:rsidRDefault="00C40F08" w:rsidP="00C40F08">
            <w:pPr>
              <w:jc w:val="center"/>
            </w:pPr>
            <w:r w:rsidRPr="004A7284">
              <w:t>26</w:t>
            </w:r>
          </w:p>
        </w:tc>
        <w:tc>
          <w:tcPr>
            <w:tcW w:w="1083" w:type="dxa"/>
            <w:tcBorders>
              <w:top w:val="single" w:sz="4" w:space="0" w:color="auto"/>
              <w:left w:val="nil"/>
              <w:bottom w:val="nil"/>
              <w:right w:val="nil"/>
            </w:tcBorders>
          </w:tcPr>
          <w:p w14:paraId="35A598FF" w14:textId="4D57C536" w:rsidR="00C40F08" w:rsidRPr="004A7284" w:rsidRDefault="00C40F08" w:rsidP="00D2205B">
            <w:pPr>
              <w:jc w:val="center"/>
            </w:pPr>
            <w:r w:rsidRPr="004A7284">
              <w:t>1.5</w:t>
            </w:r>
          </w:p>
        </w:tc>
      </w:tr>
      <w:tr w:rsidR="00894E3A" w:rsidRPr="004A7284" w14:paraId="09F68157" w14:textId="77777777" w:rsidTr="00C40F08">
        <w:tc>
          <w:tcPr>
            <w:tcW w:w="4106" w:type="dxa"/>
            <w:tcBorders>
              <w:top w:val="nil"/>
              <w:left w:val="nil"/>
              <w:bottom w:val="nil"/>
              <w:right w:val="nil"/>
            </w:tcBorders>
          </w:tcPr>
          <w:p w14:paraId="1F92E209" w14:textId="04D9DF32" w:rsidR="00894E3A" w:rsidRPr="004A7284" w:rsidRDefault="00894E3A" w:rsidP="00D2205B">
            <w:pPr>
              <w:rPr>
                <w:i/>
                <w:iCs/>
              </w:rPr>
            </w:pPr>
            <w:r w:rsidRPr="004A7284">
              <w:rPr>
                <w:i/>
                <w:iCs/>
              </w:rPr>
              <w:t>25 – 34</w:t>
            </w:r>
          </w:p>
        </w:tc>
        <w:tc>
          <w:tcPr>
            <w:tcW w:w="1276" w:type="dxa"/>
            <w:tcBorders>
              <w:top w:val="nil"/>
              <w:left w:val="nil"/>
              <w:bottom w:val="nil"/>
              <w:right w:val="nil"/>
            </w:tcBorders>
          </w:tcPr>
          <w:p w14:paraId="60F636EE" w14:textId="3E9B4501" w:rsidR="00894E3A" w:rsidRPr="004A7284" w:rsidRDefault="00C40F08" w:rsidP="00C40F08">
            <w:pPr>
              <w:jc w:val="center"/>
            </w:pPr>
            <w:r w:rsidRPr="004A7284">
              <w:t>316</w:t>
            </w:r>
          </w:p>
        </w:tc>
        <w:tc>
          <w:tcPr>
            <w:tcW w:w="1276" w:type="dxa"/>
            <w:tcBorders>
              <w:top w:val="nil"/>
              <w:left w:val="nil"/>
              <w:bottom w:val="nil"/>
              <w:right w:val="nil"/>
            </w:tcBorders>
          </w:tcPr>
          <w:p w14:paraId="60A6231F" w14:textId="6F7A4B44" w:rsidR="00894E3A" w:rsidRPr="004A7284" w:rsidRDefault="00C40F08" w:rsidP="00C40F08">
            <w:pPr>
              <w:jc w:val="center"/>
            </w:pPr>
            <w:r w:rsidRPr="004A7284">
              <w:t>10</w:t>
            </w:r>
          </w:p>
        </w:tc>
        <w:tc>
          <w:tcPr>
            <w:tcW w:w="1275" w:type="dxa"/>
            <w:tcBorders>
              <w:top w:val="nil"/>
              <w:left w:val="nil"/>
              <w:bottom w:val="nil"/>
              <w:right w:val="nil"/>
            </w:tcBorders>
          </w:tcPr>
          <w:p w14:paraId="609E5438" w14:textId="28700113" w:rsidR="00894E3A" w:rsidRPr="004A7284" w:rsidRDefault="00C40F08" w:rsidP="00C40F08">
            <w:pPr>
              <w:jc w:val="center"/>
            </w:pPr>
            <w:r w:rsidRPr="004A7284">
              <w:t>150</w:t>
            </w:r>
          </w:p>
        </w:tc>
        <w:tc>
          <w:tcPr>
            <w:tcW w:w="1083" w:type="dxa"/>
            <w:tcBorders>
              <w:top w:val="nil"/>
              <w:left w:val="nil"/>
              <w:bottom w:val="nil"/>
              <w:right w:val="nil"/>
            </w:tcBorders>
          </w:tcPr>
          <w:p w14:paraId="3511E121" w14:textId="450146C6" w:rsidR="00894E3A" w:rsidRPr="004A7284" w:rsidRDefault="00C40F08" w:rsidP="00D2205B">
            <w:pPr>
              <w:jc w:val="center"/>
            </w:pPr>
            <w:r w:rsidRPr="004A7284">
              <w:t>8.5</w:t>
            </w:r>
          </w:p>
        </w:tc>
      </w:tr>
      <w:tr w:rsidR="00894E3A" w:rsidRPr="004A7284" w14:paraId="28981202" w14:textId="77777777" w:rsidTr="00C40F08">
        <w:tc>
          <w:tcPr>
            <w:tcW w:w="4106" w:type="dxa"/>
            <w:tcBorders>
              <w:top w:val="nil"/>
              <w:left w:val="nil"/>
              <w:bottom w:val="nil"/>
              <w:right w:val="nil"/>
            </w:tcBorders>
          </w:tcPr>
          <w:p w14:paraId="661B9580" w14:textId="4FF653E5" w:rsidR="00894E3A" w:rsidRPr="004A7284" w:rsidRDefault="00894E3A" w:rsidP="00D2205B">
            <w:pPr>
              <w:rPr>
                <w:i/>
                <w:iCs/>
              </w:rPr>
            </w:pPr>
            <w:r w:rsidRPr="004A7284">
              <w:rPr>
                <w:i/>
                <w:iCs/>
              </w:rPr>
              <w:t>35 – 44</w:t>
            </w:r>
          </w:p>
        </w:tc>
        <w:tc>
          <w:tcPr>
            <w:tcW w:w="1276" w:type="dxa"/>
            <w:tcBorders>
              <w:top w:val="nil"/>
              <w:left w:val="nil"/>
              <w:bottom w:val="nil"/>
              <w:right w:val="nil"/>
            </w:tcBorders>
          </w:tcPr>
          <w:p w14:paraId="4B43467C" w14:textId="66CEF9C0" w:rsidR="00894E3A" w:rsidRPr="004A7284" w:rsidRDefault="00C40F08" w:rsidP="00C40F08">
            <w:pPr>
              <w:jc w:val="center"/>
            </w:pPr>
            <w:r w:rsidRPr="004A7284">
              <w:t>626</w:t>
            </w:r>
          </w:p>
        </w:tc>
        <w:tc>
          <w:tcPr>
            <w:tcW w:w="1276" w:type="dxa"/>
            <w:tcBorders>
              <w:top w:val="nil"/>
              <w:left w:val="nil"/>
              <w:bottom w:val="nil"/>
              <w:right w:val="nil"/>
            </w:tcBorders>
          </w:tcPr>
          <w:p w14:paraId="6EF3EDF8" w14:textId="1A398CD7" w:rsidR="00894E3A" w:rsidRPr="004A7284" w:rsidRDefault="00C40F08" w:rsidP="00C40F08">
            <w:pPr>
              <w:jc w:val="center"/>
            </w:pPr>
            <w:r w:rsidRPr="004A7284">
              <w:t>19.7</w:t>
            </w:r>
          </w:p>
        </w:tc>
        <w:tc>
          <w:tcPr>
            <w:tcW w:w="1275" w:type="dxa"/>
            <w:tcBorders>
              <w:top w:val="nil"/>
              <w:left w:val="nil"/>
              <w:bottom w:val="nil"/>
              <w:right w:val="nil"/>
            </w:tcBorders>
          </w:tcPr>
          <w:p w14:paraId="1EFD24A7" w14:textId="5C54A3A1" w:rsidR="00894E3A" w:rsidRPr="004A7284" w:rsidRDefault="00C40F08" w:rsidP="00C40F08">
            <w:pPr>
              <w:jc w:val="center"/>
            </w:pPr>
            <w:r w:rsidRPr="004A7284">
              <w:t>386</w:t>
            </w:r>
          </w:p>
        </w:tc>
        <w:tc>
          <w:tcPr>
            <w:tcW w:w="1083" w:type="dxa"/>
            <w:tcBorders>
              <w:top w:val="nil"/>
              <w:left w:val="nil"/>
              <w:bottom w:val="nil"/>
              <w:right w:val="nil"/>
            </w:tcBorders>
          </w:tcPr>
          <w:p w14:paraId="7073E153" w14:textId="01E7FFD2" w:rsidR="00894E3A" w:rsidRPr="004A7284" w:rsidRDefault="00C40F08" w:rsidP="00D2205B">
            <w:pPr>
              <w:jc w:val="center"/>
            </w:pPr>
            <w:r w:rsidRPr="004A7284">
              <w:t>21.9</w:t>
            </w:r>
          </w:p>
        </w:tc>
      </w:tr>
      <w:tr w:rsidR="00894E3A" w:rsidRPr="004A7284" w14:paraId="645BF21E" w14:textId="77777777" w:rsidTr="00C40F08">
        <w:tc>
          <w:tcPr>
            <w:tcW w:w="4106" w:type="dxa"/>
            <w:tcBorders>
              <w:top w:val="nil"/>
              <w:left w:val="nil"/>
              <w:bottom w:val="nil"/>
              <w:right w:val="nil"/>
            </w:tcBorders>
          </w:tcPr>
          <w:p w14:paraId="64E5FE03" w14:textId="1B8181C3" w:rsidR="00894E3A" w:rsidRPr="004A7284" w:rsidRDefault="00894E3A" w:rsidP="00D2205B">
            <w:pPr>
              <w:rPr>
                <w:i/>
                <w:iCs/>
              </w:rPr>
            </w:pPr>
            <w:r w:rsidRPr="004A7284">
              <w:rPr>
                <w:i/>
                <w:iCs/>
              </w:rPr>
              <w:t>45 - 54</w:t>
            </w:r>
          </w:p>
        </w:tc>
        <w:tc>
          <w:tcPr>
            <w:tcW w:w="1276" w:type="dxa"/>
            <w:tcBorders>
              <w:top w:val="nil"/>
              <w:left w:val="nil"/>
              <w:bottom w:val="nil"/>
              <w:right w:val="nil"/>
            </w:tcBorders>
          </w:tcPr>
          <w:p w14:paraId="664EACED" w14:textId="18AAD8B8" w:rsidR="00894E3A" w:rsidRPr="004A7284" w:rsidRDefault="00C40F08" w:rsidP="00C40F08">
            <w:pPr>
              <w:jc w:val="center"/>
            </w:pPr>
            <w:r w:rsidRPr="004A7284">
              <w:t>878</w:t>
            </w:r>
          </w:p>
        </w:tc>
        <w:tc>
          <w:tcPr>
            <w:tcW w:w="1276" w:type="dxa"/>
            <w:tcBorders>
              <w:top w:val="nil"/>
              <w:left w:val="nil"/>
              <w:bottom w:val="nil"/>
              <w:right w:val="nil"/>
            </w:tcBorders>
          </w:tcPr>
          <w:p w14:paraId="734CF941" w14:textId="51B48B2B" w:rsidR="00894E3A" w:rsidRPr="004A7284" w:rsidRDefault="00C40F08" w:rsidP="00C40F08">
            <w:pPr>
              <w:jc w:val="center"/>
            </w:pPr>
            <w:r w:rsidRPr="004A7284">
              <w:t>27.6</w:t>
            </w:r>
          </w:p>
        </w:tc>
        <w:tc>
          <w:tcPr>
            <w:tcW w:w="1275" w:type="dxa"/>
            <w:tcBorders>
              <w:top w:val="nil"/>
              <w:left w:val="nil"/>
              <w:bottom w:val="nil"/>
              <w:right w:val="nil"/>
            </w:tcBorders>
          </w:tcPr>
          <w:p w14:paraId="6B0327CC" w14:textId="130F2687" w:rsidR="00894E3A" w:rsidRPr="004A7284" w:rsidRDefault="00C40F08" w:rsidP="00C40F08">
            <w:pPr>
              <w:jc w:val="center"/>
            </w:pPr>
            <w:r w:rsidRPr="004A7284">
              <w:t>497</w:t>
            </w:r>
          </w:p>
        </w:tc>
        <w:tc>
          <w:tcPr>
            <w:tcW w:w="1083" w:type="dxa"/>
            <w:tcBorders>
              <w:top w:val="nil"/>
              <w:left w:val="nil"/>
              <w:bottom w:val="nil"/>
              <w:right w:val="nil"/>
            </w:tcBorders>
          </w:tcPr>
          <w:p w14:paraId="731AC09B" w14:textId="50525732" w:rsidR="00894E3A" w:rsidRPr="004A7284" w:rsidRDefault="00C40F08" w:rsidP="00D2205B">
            <w:pPr>
              <w:jc w:val="center"/>
            </w:pPr>
            <w:r w:rsidRPr="004A7284">
              <w:t>28.2</w:t>
            </w:r>
          </w:p>
        </w:tc>
      </w:tr>
      <w:tr w:rsidR="00894E3A" w:rsidRPr="004A7284" w14:paraId="05DD7036" w14:textId="77777777" w:rsidTr="00C40F08">
        <w:tc>
          <w:tcPr>
            <w:tcW w:w="4106" w:type="dxa"/>
            <w:tcBorders>
              <w:top w:val="nil"/>
              <w:left w:val="nil"/>
              <w:bottom w:val="nil"/>
              <w:right w:val="nil"/>
            </w:tcBorders>
          </w:tcPr>
          <w:p w14:paraId="641E64D0" w14:textId="1F4E8E66" w:rsidR="00894E3A" w:rsidRPr="004A7284" w:rsidRDefault="00894E3A" w:rsidP="00D2205B">
            <w:pPr>
              <w:rPr>
                <w:i/>
                <w:iCs/>
              </w:rPr>
            </w:pPr>
            <w:r w:rsidRPr="004A7284">
              <w:rPr>
                <w:i/>
                <w:iCs/>
              </w:rPr>
              <w:t>55 – 64</w:t>
            </w:r>
          </w:p>
        </w:tc>
        <w:tc>
          <w:tcPr>
            <w:tcW w:w="1276" w:type="dxa"/>
            <w:tcBorders>
              <w:top w:val="nil"/>
              <w:left w:val="nil"/>
              <w:bottom w:val="nil"/>
              <w:right w:val="nil"/>
            </w:tcBorders>
          </w:tcPr>
          <w:p w14:paraId="7D0E60D1" w14:textId="16BE5B7A" w:rsidR="00894E3A" w:rsidRPr="004A7284" w:rsidRDefault="00C40F08" w:rsidP="00C40F08">
            <w:pPr>
              <w:jc w:val="center"/>
            </w:pPr>
            <w:r w:rsidRPr="004A7284">
              <w:t>857</w:t>
            </w:r>
          </w:p>
        </w:tc>
        <w:tc>
          <w:tcPr>
            <w:tcW w:w="1276" w:type="dxa"/>
            <w:tcBorders>
              <w:top w:val="nil"/>
              <w:left w:val="nil"/>
              <w:bottom w:val="nil"/>
              <w:right w:val="nil"/>
            </w:tcBorders>
          </w:tcPr>
          <w:p w14:paraId="2BA5294A" w14:textId="7D4DA8EF" w:rsidR="00894E3A" w:rsidRPr="004A7284" w:rsidRDefault="00C40F08" w:rsidP="00C40F08">
            <w:pPr>
              <w:jc w:val="center"/>
            </w:pPr>
            <w:r w:rsidRPr="004A7284">
              <w:t>27.0</w:t>
            </w:r>
          </w:p>
        </w:tc>
        <w:tc>
          <w:tcPr>
            <w:tcW w:w="1275" w:type="dxa"/>
            <w:tcBorders>
              <w:top w:val="nil"/>
              <w:left w:val="nil"/>
              <w:bottom w:val="nil"/>
              <w:right w:val="nil"/>
            </w:tcBorders>
          </w:tcPr>
          <w:p w14:paraId="7A2DBCFE" w14:textId="62475AB2" w:rsidR="00894E3A" w:rsidRPr="004A7284" w:rsidRDefault="00C40F08" w:rsidP="00C40F08">
            <w:pPr>
              <w:jc w:val="center"/>
            </w:pPr>
            <w:r w:rsidRPr="004A7284">
              <w:t>441</w:t>
            </w:r>
          </w:p>
        </w:tc>
        <w:tc>
          <w:tcPr>
            <w:tcW w:w="1083" w:type="dxa"/>
            <w:tcBorders>
              <w:top w:val="nil"/>
              <w:left w:val="nil"/>
              <w:bottom w:val="nil"/>
              <w:right w:val="nil"/>
            </w:tcBorders>
          </w:tcPr>
          <w:p w14:paraId="47B8568E" w14:textId="6AF96DE8" w:rsidR="00894E3A" w:rsidRPr="004A7284" w:rsidRDefault="00C40F08" w:rsidP="00D2205B">
            <w:pPr>
              <w:jc w:val="center"/>
            </w:pPr>
            <w:r w:rsidRPr="004A7284">
              <w:t>25.0</w:t>
            </w:r>
          </w:p>
        </w:tc>
      </w:tr>
      <w:tr w:rsidR="00894E3A" w:rsidRPr="004A7284" w14:paraId="68877610" w14:textId="77777777" w:rsidTr="00C40F08">
        <w:tc>
          <w:tcPr>
            <w:tcW w:w="4106" w:type="dxa"/>
            <w:tcBorders>
              <w:top w:val="nil"/>
              <w:left w:val="nil"/>
              <w:bottom w:val="single" w:sz="4" w:space="0" w:color="auto"/>
              <w:right w:val="nil"/>
            </w:tcBorders>
          </w:tcPr>
          <w:p w14:paraId="3DC30C7D" w14:textId="4B504D45" w:rsidR="00894E3A" w:rsidRPr="004A7284" w:rsidRDefault="00894E3A" w:rsidP="00D2205B">
            <w:pPr>
              <w:rPr>
                <w:i/>
                <w:iCs/>
              </w:rPr>
            </w:pPr>
            <w:r w:rsidRPr="004A7284">
              <w:rPr>
                <w:i/>
                <w:iCs/>
              </w:rPr>
              <w:t>64+</w:t>
            </w:r>
          </w:p>
        </w:tc>
        <w:tc>
          <w:tcPr>
            <w:tcW w:w="1276" w:type="dxa"/>
            <w:tcBorders>
              <w:top w:val="nil"/>
              <w:left w:val="nil"/>
              <w:bottom w:val="single" w:sz="4" w:space="0" w:color="auto"/>
              <w:right w:val="nil"/>
            </w:tcBorders>
          </w:tcPr>
          <w:p w14:paraId="7EC2F31E" w14:textId="0B4FDBFC" w:rsidR="00894E3A" w:rsidRPr="004A7284" w:rsidRDefault="00C40F08" w:rsidP="00C40F08">
            <w:pPr>
              <w:jc w:val="center"/>
            </w:pPr>
            <w:r w:rsidRPr="004A7284">
              <w:t>465</w:t>
            </w:r>
          </w:p>
        </w:tc>
        <w:tc>
          <w:tcPr>
            <w:tcW w:w="1276" w:type="dxa"/>
            <w:tcBorders>
              <w:top w:val="nil"/>
              <w:left w:val="nil"/>
              <w:bottom w:val="single" w:sz="4" w:space="0" w:color="auto"/>
              <w:right w:val="nil"/>
            </w:tcBorders>
          </w:tcPr>
          <w:p w14:paraId="17F5D2B1" w14:textId="502E50B4" w:rsidR="00894E3A" w:rsidRPr="004A7284" w:rsidRDefault="00C40F08" w:rsidP="00C40F08">
            <w:pPr>
              <w:jc w:val="center"/>
            </w:pPr>
            <w:r w:rsidRPr="004A7284">
              <w:t>14.7</w:t>
            </w:r>
          </w:p>
        </w:tc>
        <w:tc>
          <w:tcPr>
            <w:tcW w:w="1275" w:type="dxa"/>
            <w:tcBorders>
              <w:top w:val="nil"/>
              <w:left w:val="nil"/>
              <w:bottom w:val="single" w:sz="4" w:space="0" w:color="auto"/>
              <w:right w:val="nil"/>
            </w:tcBorders>
          </w:tcPr>
          <w:p w14:paraId="4CA08F77" w14:textId="7F133C11" w:rsidR="00894E3A" w:rsidRPr="004A7284" w:rsidRDefault="00C40F08" w:rsidP="00C40F08">
            <w:pPr>
              <w:jc w:val="center"/>
            </w:pPr>
            <w:r w:rsidRPr="004A7284">
              <w:t>263</w:t>
            </w:r>
          </w:p>
        </w:tc>
        <w:tc>
          <w:tcPr>
            <w:tcW w:w="1083" w:type="dxa"/>
            <w:tcBorders>
              <w:top w:val="nil"/>
              <w:left w:val="nil"/>
              <w:bottom w:val="single" w:sz="4" w:space="0" w:color="auto"/>
              <w:right w:val="nil"/>
            </w:tcBorders>
          </w:tcPr>
          <w:p w14:paraId="46ACA6CA" w14:textId="08FF0BA2" w:rsidR="00894E3A" w:rsidRPr="004A7284" w:rsidRDefault="00C40F08" w:rsidP="00D2205B">
            <w:pPr>
              <w:jc w:val="center"/>
            </w:pPr>
            <w:r w:rsidRPr="004A7284">
              <w:t>14.9</w:t>
            </w:r>
          </w:p>
        </w:tc>
      </w:tr>
      <w:tr w:rsidR="00B26EB2" w:rsidRPr="004A7284" w14:paraId="2B633524" w14:textId="77777777" w:rsidTr="00D2205B">
        <w:tc>
          <w:tcPr>
            <w:tcW w:w="4106" w:type="dxa"/>
            <w:tcBorders>
              <w:top w:val="single" w:sz="4" w:space="0" w:color="auto"/>
              <w:left w:val="nil"/>
              <w:bottom w:val="single" w:sz="4" w:space="0" w:color="auto"/>
              <w:right w:val="nil"/>
            </w:tcBorders>
          </w:tcPr>
          <w:p w14:paraId="2BDDE3BA" w14:textId="77777777" w:rsidR="00B26EB2" w:rsidRPr="004A7284" w:rsidRDefault="00B26EB2" w:rsidP="00D2205B">
            <w:pPr>
              <w:rPr>
                <w:b/>
                <w:bCs/>
              </w:rPr>
            </w:pPr>
            <w:r w:rsidRPr="004A7284">
              <w:rPr>
                <w:b/>
                <w:bCs/>
              </w:rPr>
              <w:t>Ethnicity</w:t>
            </w:r>
          </w:p>
        </w:tc>
        <w:tc>
          <w:tcPr>
            <w:tcW w:w="2552" w:type="dxa"/>
            <w:gridSpan w:val="2"/>
            <w:tcBorders>
              <w:top w:val="single" w:sz="4" w:space="0" w:color="auto"/>
              <w:left w:val="nil"/>
              <w:bottom w:val="single" w:sz="4" w:space="0" w:color="auto"/>
              <w:right w:val="nil"/>
            </w:tcBorders>
          </w:tcPr>
          <w:p w14:paraId="7A761488" w14:textId="77777777" w:rsidR="00B26EB2" w:rsidRPr="004A7284" w:rsidRDefault="00B26EB2" w:rsidP="00D2205B">
            <w:pPr>
              <w:jc w:val="center"/>
              <w:rPr>
                <w:b/>
                <w:bCs/>
              </w:rPr>
            </w:pPr>
            <w:r w:rsidRPr="004A7284">
              <w:rPr>
                <w:b/>
                <w:bCs/>
              </w:rPr>
              <w:t>N</w:t>
            </w:r>
          </w:p>
        </w:tc>
        <w:tc>
          <w:tcPr>
            <w:tcW w:w="2358" w:type="dxa"/>
            <w:gridSpan w:val="2"/>
            <w:tcBorders>
              <w:top w:val="single" w:sz="4" w:space="0" w:color="auto"/>
              <w:left w:val="nil"/>
              <w:bottom w:val="single" w:sz="4" w:space="0" w:color="auto"/>
              <w:right w:val="nil"/>
            </w:tcBorders>
          </w:tcPr>
          <w:p w14:paraId="1EFEADEE" w14:textId="77777777" w:rsidR="00B26EB2" w:rsidRPr="004A7284" w:rsidRDefault="00B26EB2" w:rsidP="00D2205B">
            <w:pPr>
              <w:jc w:val="center"/>
              <w:rPr>
                <w:b/>
                <w:bCs/>
              </w:rPr>
            </w:pPr>
            <w:r w:rsidRPr="004A7284">
              <w:rPr>
                <w:b/>
                <w:bCs/>
              </w:rPr>
              <w:t>%</w:t>
            </w:r>
          </w:p>
        </w:tc>
      </w:tr>
      <w:tr w:rsidR="00B26EB2" w:rsidRPr="004A7284" w14:paraId="2E5A87C8" w14:textId="77777777" w:rsidTr="00D2205B">
        <w:tc>
          <w:tcPr>
            <w:tcW w:w="4106" w:type="dxa"/>
            <w:tcBorders>
              <w:top w:val="single" w:sz="4" w:space="0" w:color="auto"/>
              <w:left w:val="nil"/>
              <w:bottom w:val="nil"/>
              <w:right w:val="nil"/>
            </w:tcBorders>
          </w:tcPr>
          <w:p w14:paraId="17FA69F7" w14:textId="77777777" w:rsidR="00B26EB2" w:rsidRPr="004A7284" w:rsidRDefault="00B26EB2" w:rsidP="00D2205B">
            <w:pPr>
              <w:rPr>
                <w:i/>
                <w:iCs/>
              </w:rPr>
            </w:pPr>
            <w:r w:rsidRPr="004A7284">
              <w:rPr>
                <w:i/>
                <w:iCs/>
              </w:rPr>
              <w:t>Asian or Asian British</w:t>
            </w:r>
          </w:p>
        </w:tc>
        <w:tc>
          <w:tcPr>
            <w:tcW w:w="2552" w:type="dxa"/>
            <w:gridSpan w:val="2"/>
            <w:tcBorders>
              <w:top w:val="single" w:sz="4" w:space="0" w:color="auto"/>
              <w:left w:val="nil"/>
              <w:bottom w:val="nil"/>
              <w:right w:val="nil"/>
            </w:tcBorders>
          </w:tcPr>
          <w:p w14:paraId="7CBFF1EF" w14:textId="77777777" w:rsidR="00B26EB2" w:rsidRPr="004A7284" w:rsidRDefault="00B26EB2" w:rsidP="00D2205B">
            <w:pPr>
              <w:jc w:val="center"/>
            </w:pPr>
            <w:r w:rsidRPr="004A7284">
              <w:t>47</w:t>
            </w:r>
          </w:p>
        </w:tc>
        <w:tc>
          <w:tcPr>
            <w:tcW w:w="2358" w:type="dxa"/>
            <w:gridSpan w:val="2"/>
            <w:tcBorders>
              <w:top w:val="single" w:sz="4" w:space="0" w:color="auto"/>
              <w:left w:val="nil"/>
              <w:bottom w:val="nil"/>
              <w:right w:val="nil"/>
            </w:tcBorders>
          </w:tcPr>
          <w:p w14:paraId="6AB1496B" w14:textId="77777777" w:rsidR="00B26EB2" w:rsidRPr="004A7284" w:rsidRDefault="00B26EB2" w:rsidP="00D2205B">
            <w:pPr>
              <w:jc w:val="center"/>
            </w:pPr>
            <w:r w:rsidRPr="004A7284">
              <w:t>1</w:t>
            </w:r>
          </w:p>
        </w:tc>
      </w:tr>
      <w:tr w:rsidR="00B26EB2" w:rsidRPr="004A7284" w14:paraId="4E854637" w14:textId="77777777" w:rsidTr="00D2205B">
        <w:tc>
          <w:tcPr>
            <w:tcW w:w="4106" w:type="dxa"/>
            <w:tcBorders>
              <w:top w:val="nil"/>
              <w:left w:val="nil"/>
              <w:bottom w:val="nil"/>
              <w:right w:val="nil"/>
            </w:tcBorders>
          </w:tcPr>
          <w:p w14:paraId="6217CB70" w14:textId="77777777" w:rsidR="00B26EB2" w:rsidRPr="004A7284" w:rsidRDefault="00B26EB2" w:rsidP="00D2205B">
            <w:pPr>
              <w:rPr>
                <w:i/>
                <w:iCs/>
                <w:lang w:val="en-GB"/>
              </w:rPr>
            </w:pPr>
            <w:r w:rsidRPr="004A7284">
              <w:rPr>
                <w:i/>
                <w:iCs/>
                <w:lang w:val="en-GB"/>
              </w:rPr>
              <w:t>Black, Black British, Caribbean or African</w:t>
            </w:r>
          </w:p>
        </w:tc>
        <w:tc>
          <w:tcPr>
            <w:tcW w:w="2552" w:type="dxa"/>
            <w:gridSpan w:val="2"/>
            <w:tcBorders>
              <w:top w:val="nil"/>
              <w:left w:val="nil"/>
              <w:bottom w:val="nil"/>
              <w:right w:val="nil"/>
            </w:tcBorders>
          </w:tcPr>
          <w:p w14:paraId="45E461FA" w14:textId="77777777" w:rsidR="00B26EB2" w:rsidRPr="004A7284" w:rsidRDefault="00B26EB2" w:rsidP="00D2205B">
            <w:pPr>
              <w:jc w:val="center"/>
            </w:pPr>
            <w:r w:rsidRPr="004A7284">
              <w:t>83</w:t>
            </w:r>
          </w:p>
        </w:tc>
        <w:tc>
          <w:tcPr>
            <w:tcW w:w="2358" w:type="dxa"/>
            <w:gridSpan w:val="2"/>
            <w:tcBorders>
              <w:top w:val="nil"/>
              <w:left w:val="nil"/>
              <w:bottom w:val="nil"/>
              <w:right w:val="nil"/>
            </w:tcBorders>
          </w:tcPr>
          <w:p w14:paraId="658F88F0" w14:textId="77777777" w:rsidR="00B26EB2" w:rsidRPr="004A7284" w:rsidRDefault="00B26EB2" w:rsidP="00D2205B">
            <w:pPr>
              <w:jc w:val="center"/>
            </w:pPr>
            <w:r w:rsidRPr="004A7284">
              <w:t>1.7</w:t>
            </w:r>
          </w:p>
        </w:tc>
      </w:tr>
      <w:tr w:rsidR="00B26EB2" w:rsidRPr="004A7284" w14:paraId="2FFDBF5B" w14:textId="77777777" w:rsidTr="00D2205B">
        <w:tc>
          <w:tcPr>
            <w:tcW w:w="4106" w:type="dxa"/>
            <w:tcBorders>
              <w:top w:val="nil"/>
              <w:left w:val="nil"/>
              <w:bottom w:val="nil"/>
              <w:right w:val="nil"/>
            </w:tcBorders>
          </w:tcPr>
          <w:p w14:paraId="69E37C74" w14:textId="77777777" w:rsidR="00B26EB2" w:rsidRPr="004A7284" w:rsidRDefault="00B26EB2" w:rsidP="00D2205B">
            <w:pPr>
              <w:rPr>
                <w:i/>
                <w:iCs/>
                <w:lang w:val="en-GB"/>
              </w:rPr>
            </w:pPr>
            <w:r w:rsidRPr="004A7284">
              <w:rPr>
                <w:i/>
                <w:iCs/>
                <w:lang w:val="en-GB"/>
              </w:rPr>
              <w:t>Mixed or multiple ethnic groups</w:t>
            </w:r>
          </w:p>
        </w:tc>
        <w:tc>
          <w:tcPr>
            <w:tcW w:w="2552" w:type="dxa"/>
            <w:gridSpan w:val="2"/>
            <w:tcBorders>
              <w:top w:val="nil"/>
              <w:left w:val="nil"/>
              <w:bottom w:val="nil"/>
              <w:right w:val="nil"/>
            </w:tcBorders>
          </w:tcPr>
          <w:p w14:paraId="572A4B20" w14:textId="77777777" w:rsidR="00B26EB2" w:rsidRPr="004A7284" w:rsidRDefault="00B26EB2" w:rsidP="00D2205B">
            <w:pPr>
              <w:jc w:val="center"/>
            </w:pPr>
            <w:r w:rsidRPr="004A7284">
              <w:t>65</w:t>
            </w:r>
          </w:p>
        </w:tc>
        <w:tc>
          <w:tcPr>
            <w:tcW w:w="2358" w:type="dxa"/>
            <w:gridSpan w:val="2"/>
            <w:tcBorders>
              <w:top w:val="nil"/>
              <w:left w:val="nil"/>
              <w:bottom w:val="nil"/>
              <w:right w:val="nil"/>
            </w:tcBorders>
          </w:tcPr>
          <w:p w14:paraId="0C90F46D" w14:textId="77777777" w:rsidR="00B26EB2" w:rsidRPr="004A7284" w:rsidRDefault="00B26EB2" w:rsidP="00D2205B">
            <w:pPr>
              <w:jc w:val="center"/>
            </w:pPr>
            <w:r w:rsidRPr="004A7284">
              <w:t>1.3</w:t>
            </w:r>
          </w:p>
        </w:tc>
      </w:tr>
      <w:tr w:rsidR="00B26EB2" w:rsidRPr="004A7284" w14:paraId="243E863F" w14:textId="77777777" w:rsidTr="00D2205B">
        <w:tc>
          <w:tcPr>
            <w:tcW w:w="4106" w:type="dxa"/>
            <w:tcBorders>
              <w:top w:val="nil"/>
              <w:left w:val="nil"/>
              <w:bottom w:val="nil"/>
              <w:right w:val="nil"/>
            </w:tcBorders>
          </w:tcPr>
          <w:p w14:paraId="34A2E405" w14:textId="77777777" w:rsidR="00B26EB2" w:rsidRPr="004A7284" w:rsidRDefault="00B26EB2" w:rsidP="00D2205B">
            <w:pPr>
              <w:rPr>
                <w:i/>
                <w:iCs/>
              </w:rPr>
            </w:pPr>
            <w:r w:rsidRPr="004A7284">
              <w:rPr>
                <w:i/>
                <w:iCs/>
              </w:rPr>
              <w:t>White British or Irish</w:t>
            </w:r>
          </w:p>
        </w:tc>
        <w:tc>
          <w:tcPr>
            <w:tcW w:w="2552" w:type="dxa"/>
            <w:gridSpan w:val="2"/>
            <w:tcBorders>
              <w:top w:val="nil"/>
              <w:left w:val="nil"/>
              <w:bottom w:val="nil"/>
              <w:right w:val="nil"/>
            </w:tcBorders>
          </w:tcPr>
          <w:p w14:paraId="6812651D" w14:textId="77777777" w:rsidR="00B26EB2" w:rsidRPr="004A7284" w:rsidRDefault="00B26EB2" w:rsidP="00D2205B">
            <w:pPr>
              <w:jc w:val="center"/>
            </w:pPr>
            <w:r w:rsidRPr="004A7284">
              <w:t>3997</w:t>
            </w:r>
          </w:p>
        </w:tc>
        <w:tc>
          <w:tcPr>
            <w:tcW w:w="2358" w:type="dxa"/>
            <w:gridSpan w:val="2"/>
            <w:tcBorders>
              <w:top w:val="nil"/>
              <w:left w:val="nil"/>
              <w:bottom w:val="nil"/>
              <w:right w:val="nil"/>
            </w:tcBorders>
          </w:tcPr>
          <w:p w14:paraId="24BDE673" w14:textId="77777777" w:rsidR="00B26EB2" w:rsidRPr="004A7284" w:rsidRDefault="00B26EB2" w:rsidP="00D2205B">
            <w:pPr>
              <w:jc w:val="center"/>
            </w:pPr>
            <w:r w:rsidRPr="004A7284">
              <w:t>81</w:t>
            </w:r>
          </w:p>
        </w:tc>
      </w:tr>
      <w:tr w:rsidR="00B26EB2" w:rsidRPr="004A7284" w14:paraId="57C2AC0B" w14:textId="77777777" w:rsidTr="00D2205B">
        <w:tc>
          <w:tcPr>
            <w:tcW w:w="4106" w:type="dxa"/>
            <w:tcBorders>
              <w:top w:val="nil"/>
              <w:left w:val="nil"/>
              <w:bottom w:val="nil"/>
              <w:right w:val="nil"/>
            </w:tcBorders>
          </w:tcPr>
          <w:p w14:paraId="0DB0E8C5" w14:textId="77777777" w:rsidR="00B26EB2" w:rsidRPr="004A7284" w:rsidRDefault="00B26EB2" w:rsidP="00D2205B">
            <w:pPr>
              <w:rPr>
                <w:i/>
                <w:iCs/>
              </w:rPr>
            </w:pPr>
            <w:r w:rsidRPr="004A7284">
              <w:rPr>
                <w:i/>
                <w:iCs/>
              </w:rPr>
              <w:t>White European or other</w:t>
            </w:r>
          </w:p>
        </w:tc>
        <w:tc>
          <w:tcPr>
            <w:tcW w:w="2552" w:type="dxa"/>
            <w:gridSpan w:val="2"/>
            <w:tcBorders>
              <w:top w:val="nil"/>
              <w:left w:val="nil"/>
              <w:bottom w:val="nil"/>
              <w:right w:val="nil"/>
            </w:tcBorders>
          </w:tcPr>
          <w:p w14:paraId="56DE84CA" w14:textId="77777777" w:rsidR="00B26EB2" w:rsidRPr="004A7284" w:rsidRDefault="00B26EB2" w:rsidP="00D2205B">
            <w:pPr>
              <w:jc w:val="center"/>
            </w:pPr>
            <w:r w:rsidRPr="004A7284">
              <w:t>159</w:t>
            </w:r>
          </w:p>
        </w:tc>
        <w:tc>
          <w:tcPr>
            <w:tcW w:w="2358" w:type="dxa"/>
            <w:gridSpan w:val="2"/>
            <w:tcBorders>
              <w:top w:val="nil"/>
              <w:left w:val="nil"/>
              <w:bottom w:val="nil"/>
              <w:right w:val="nil"/>
            </w:tcBorders>
          </w:tcPr>
          <w:p w14:paraId="31990E34" w14:textId="77777777" w:rsidR="00B26EB2" w:rsidRPr="004A7284" w:rsidRDefault="00B26EB2" w:rsidP="00D2205B">
            <w:pPr>
              <w:jc w:val="center"/>
            </w:pPr>
            <w:r w:rsidRPr="004A7284">
              <w:t>3.2</w:t>
            </w:r>
          </w:p>
        </w:tc>
      </w:tr>
      <w:tr w:rsidR="00B26EB2" w:rsidRPr="004A7284" w14:paraId="492B1A0B" w14:textId="77777777" w:rsidTr="00D2205B">
        <w:tc>
          <w:tcPr>
            <w:tcW w:w="4106" w:type="dxa"/>
            <w:tcBorders>
              <w:top w:val="nil"/>
              <w:left w:val="nil"/>
              <w:bottom w:val="nil"/>
              <w:right w:val="nil"/>
            </w:tcBorders>
          </w:tcPr>
          <w:p w14:paraId="624F02F4" w14:textId="77777777" w:rsidR="00B26EB2" w:rsidRPr="004A7284" w:rsidRDefault="00B26EB2" w:rsidP="00D2205B">
            <w:pPr>
              <w:rPr>
                <w:i/>
                <w:iCs/>
              </w:rPr>
            </w:pPr>
            <w:r w:rsidRPr="004A7284">
              <w:rPr>
                <w:i/>
                <w:iCs/>
              </w:rPr>
              <w:t>Other Ethnic Group</w:t>
            </w:r>
          </w:p>
        </w:tc>
        <w:tc>
          <w:tcPr>
            <w:tcW w:w="2552" w:type="dxa"/>
            <w:gridSpan w:val="2"/>
            <w:tcBorders>
              <w:top w:val="nil"/>
              <w:left w:val="nil"/>
              <w:bottom w:val="nil"/>
              <w:right w:val="nil"/>
            </w:tcBorders>
          </w:tcPr>
          <w:p w14:paraId="0C312622" w14:textId="77777777" w:rsidR="00B26EB2" w:rsidRPr="004A7284" w:rsidRDefault="00B26EB2" w:rsidP="00D2205B">
            <w:pPr>
              <w:jc w:val="center"/>
            </w:pPr>
            <w:r w:rsidRPr="004A7284">
              <w:t>33</w:t>
            </w:r>
          </w:p>
        </w:tc>
        <w:tc>
          <w:tcPr>
            <w:tcW w:w="2358" w:type="dxa"/>
            <w:gridSpan w:val="2"/>
            <w:tcBorders>
              <w:top w:val="nil"/>
              <w:left w:val="nil"/>
              <w:bottom w:val="nil"/>
              <w:right w:val="nil"/>
            </w:tcBorders>
          </w:tcPr>
          <w:p w14:paraId="54909182" w14:textId="77777777" w:rsidR="00B26EB2" w:rsidRPr="004A7284" w:rsidRDefault="00B26EB2" w:rsidP="00D2205B">
            <w:pPr>
              <w:jc w:val="center"/>
            </w:pPr>
            <w:r w:rsidRPr="004A7284">
              <w:t>0.7</w:t>
            </w:r>
          </w:p>
        </w:tc>
      </w:tr>
      <w:tr w:rsidR="00B26EB2" w:rsidRPr="004A7284" w14:paraId="55F30BA8" w14:textId="77777777" w:rsidTr="00D2205B">
        <w:tc>
          <w:tcPr>
            <w:tcW w:w="4106" w:type="dxa"/>
            <w:tcBorders>
              <w:top w:val="nil"/>
              <w:left w:val="nil"/>
              <w:bottom w:val="nil"/>
              <w:right w:val="nil"/>
            </w:tcBorders>
          </w:tcPr>
          <w:p w14:paraId="1592EE77" w14:textId="77777777" w:rsidR="00B26EB2" w:rsidRPr="004A7284" w:rsidRDefault="00B26EB2" w:rsidP="00D2205B">
            <w:pPr>
              <w:rPr>
                <w:i/>
                <w:iCs/>
              </w:rPr>
            </w:pPr>
            <w:r w:rsidRPr="004A7284">
              <w:rPr>
                <w:i/>
                <w:iCs/>
              </w:rPr>
              <w:t>Missing</w:t>
            </w:r>
          </w:p>
        </w:tc>
        <w:tc>
          <w:tcPr>
            <w:tcW w:w="2552" w:type="dxa"/>
            <w:gridSpan w:val="2"/>
            <w:tcBorders>
              <w:top w:val="nil"/>
              <w:left w:val="nil"/>
              <w:bottom w:val="nil"/>
              <w:right w:val="nil"/>
            </w:tcBorders>
          </w:tcPr>
          <w:p w14:paraId="40D3163C" w14:textId="77777777" w:rsidR="00B26EB2" w:rsidRPr="004A7284" w:rsidRDefault="00B26EB2" w:rsidP="00D2205B">
            <w:pPr>
              <w:jc w:val="center"/>
            </w:pPr>
            <w:r w:rsidRPr="004A7284">
              <w:t>552</w:t>
            </w:r>
          </w:p>
        </w:tc>
        <w:tc>
          <w:tcPr>
            <w:tcW w:w="2358" w:type="dxa"/>
            <w:gridSpan w:val="2"/>
            <w:tcBorders>
              <w:top w:val="nil"/>
              <w:left w:val="nil"/>
              <w:bottom w:val="nil"/>
              <w:right w:val="nil"/>
            </w:tcBorders>
          </w:tcPr>
          <w:p w14:paraId="7D08CED0" w14:textId="77777777" w:rsidR="00B26EB2" w:rsidRPr="004A7284" w:rsidRDefault="00B26EB2" w:rsidP="00D2205B">
            <w:pPr>
              <w:jc w:val="center"/>
            </w:pPr>
            <w:r w:rsidRPr="004A7284">
              <w:t>11.1</w:t>
            </w:r>
          </w:p>
        </w:tc>
      </w:tr>
      <w:tr w:rsidR="00B26EB2" w:rsidRPr="004A7284" w14:paraId="7A29F89F" w14:textId="77777777" w:rsidTr="00D2205B">
        <w:tc>
          <w:tcPr>
            <w:tcW w:w="4106" w:type="dxa"/>
            <w:tcBorders>
              <w:top w:val="nil"/>
              <w:left w:val="nil"/>
              <w:bottom w:val="single" w:sz="4" w:space="0" w:color="auto"/>
              <w:right w:val="nil"/>
            </w:tcBorders>
          </w:tcPr>
          <w:p w14:paraId="6812FCE0" w14:textId="77777777" w:rsidR="00B26EB2" w:rsidRPr="004A7284" w:rsidRDefault="00B26EB2" w:rsidP="00D2205B">
            <w:pPr>
              <w:rPr>
                <w:b/>
                <w:bCs/>
              </w:rPr>
            </w:pPr>
          </w:p>
        </w:tc>
        <w:tc>
          <w:tcPr>
            <w:tcW w:w="2552" w:type="dxa"/>
            <w:gridSpan w:val="2"/>
            <w:tcBorders>
              <w:top w:val="nil"/>
              <w:left w:val="nil"/>
              <w:bottom w:val="single" w:sz="4" w:space="0" w:color="auto"/>
              <w:right w:val="nil"/>
            </w:tcBorders>
          </w:tcPr>
          <w:p w14:paraId="3B7C1D34" w14:textId="77777777" w:rsidR="00B26EB2" w:rsidRPr="004A7284" w:rsidRDefault="00B26EB2" w:rsidP="00D2205B">
            <w:pPr>
              <w:jc w:val="center"/>
            </w:pPr>
          </w:p>
        </w:tc>
        <w:tc>
          <w:tcPr>
            <w:tcW w:w="2358" w:type="dxa"/>
            <w:gridSpan w:val="2"/>
            <w:tcBorders>
              <w:top w:val="nil"/>
              <w:left w:val="nil"/>
              <w:bottom w:val="single" w:sz="4" w:space="0" w:color="auto"/>
              <w:right w:val="nil"/>
            </w:tcBorders>
          </w:tcPr>
          <w:p w14:paraId="23792916" w14:textId="77777777" w:rsidR="00B26EB2" w:rsidRPr="004A7284" w:rsidRDefault="00B26EB2" w:rsidP="00D2205B">
            <w:pPr>
              <w:jc w:val="center"/>
            </w:pPr>
          </w:p>
        </w:tc>
      </w:tr>
      <w:tr w:rsidR="00B26EB2" w:rsidRPr="004A7284" w14:paraId="27BCD4D2" w14:textId="77777777" w:rsidTr="00D2205B">
        <w:tc>
          <w:tcPr>
            <w:tcW w:w="4106" w:type="dxa"/>
            <w:tcBorders>
              <w:top w:val="single" w:sz="4" w:space="0" w:color="auto"/>
              <w:left w:val="nil"/>
              <w:bottom w:val="single" w:sz="4" w:space="0" w:color="auto"/>
              <w:right w:val="nil"/>
            </w:tcBorders>
          </w:tcPr>
          <w:p w14:paraId="3733DE7A" w14:textId="77777777" w:rsidR="00B26EB2" w:rsidRPr="004A7284" w:rsidRDefault="00B26EB2" w:rsidP="00D2205B">
            <w:pPr>
              <w:rPr>
                <w:b/>
                <w:bCs/>
              </w:rPr>
            </w:pPr>
            <w:r w:rsidRPr="004A7284">
              <w:rPr>
                <w:b/>
                <w:bCs/>
              </w:rPr>
              <w:t>Medication (total)</w:t>
            </w:r>
          </w:p>
        </w:tc>
        <w:tc>
          <w:tcPr>
            <w:tcW w:w="2552" w:type="dxa"/>
            <w:gridSpan w:val="2"/>
            <w:tcBorders>
              <w:top w:val="single" w:sz="4" w:space="0" w:color="auto"/>
              <w:left w:val="nil"/>
              <w:bottom w:val="single" w:sz="4" w:space="0" w:color="auto"/>
              <w:right w:val="nil"/>
            </w:tcBorders>
          </w:tcPr>
          <w:p w14:paraId="5BEACBC1" w14:textId="77777777" w:rsidR="00B26EB2" w:rsidRPr="004A7284" w:rsidRDefault="00B26EB2" w:rsidP="00D2205B">
            <w:pPr>
              <w:jc w:val="center"/>
            </w:pPr>
            <w:r w:rsidRPr="004A7284">
              <w:t>311</w:t>
            </w:r>
          </w:p>
        </w:tc>
        <w:tc>
          <w:tcPr>
            <w:tcW w:w="2358" w:type="dxa"/>
            <w:gridSpan w:val="2"/>
            <w:tcBorders>
              <w:top w:val="single" w:sz="4" w:space="0" w:color="auto"/>
              <w:left w:val="nil"/>
              <w:bottom w:val="single" w:sz="4" w:space="0" w:color="auto"/>
              <w:right w:val="nil"/>
            </w:tcBorders>
          </w:tcPr>
          <w:p w14:paraId="5997985C" w14:textId="77777777" w:rsidR="00B26EB2" w:rsidRPr="004A7284" w:rsidRDefault="00B26EB2" w:rsidP="00D2205B">
            <w:pPr>
              <w:jc w:val="center"/>
            </w:pPr>
            <w:r w:rsidRPr="004A7284">
              <w:t>6.3</w:t>
            </w:r>
          </w:p>
        </w:tc>
      </w:tr>
      <w:tr w:rsidR="00B26EB2" w:rsidRPr="004A7284" w14:paraId="2592EBAA" w14:textId="77777777" w:rsidTr="00D2205B">
        <w:tc>
          <w:tcPr>
            <w:tcW w:w="4106" w:type="dxa"/>
            <w:tcBorders>
              <w:top w:val="single" w:sz="4" w:space="0" w:color="auto"/>
              <w:left w:val="nil"/>
              <w:bottom w:val="nil"/>
              <w:right w:val="nil"/>
            </w:tcBorders>
          </w:tcPr>
          <w:p w14:paraId="123D3623" w14:textId="77777777" w:rsidR="00B26EB2" w:rsidRPr="004A7284" w:rsidRDefault="00B26EB2" w:rsidP="00D2205B">
            <w:pPr>
              <w:rPr>
                <w:i/>
                <w:iCs/>
              </w:rPr>
            </w:pPr>
            <w:r w:rsidRPr="004A7284">
              <w:rPr>
                <w:i/>
                <w:iCs/>
              </w:rPr>
              <w:t>Topiramate</w:t>
            </w:r>
          </w:p>
        </w:tc>
        <w:tc>
          <w:tcPr>
            <w:tcW w:w="2552" w:type="dxa"/>
            <w:gridSpan w:val="2"/>
            <w:tcBorders>
              <w:top w:val="single" w:sz="4" w:space="0" w:color="auto"/>
              <w:left w:val="nil"/>
              <w:bottom w:val="nil"/>
              <w:right w:val="nil"/>
            </w:tcBorders>
          </w:tcPr>
          <w:p w14:paraId="515298E2" w14:textId="77777777" w:rsidR="00B26EB2" w:rsidRPr="004A7284" w:rsidRDefault="00B26EB2" w:rsidP="00D2205B">
            <w:pPr>
              <w:jc w:val="center"/>
            </w:pPr>
            <w:r w:rsidRPr="004A7284">
              <w:t>11</w:t>
            </w:r>
          </w:p>
        </w:tc>
        <w:tc>
          <w:tcPr>
            <w:tcW w:w="2358" w:type="dxa"/>
            <w:gridSpan w:val="2"/>
            <w:tcBorders>
              <w:top w:val="single" w:sz="4" w:space="0" w:color="auto"/>
              <w:left w:val="nil"/>
              <w:bottom w:val="nil"/>
              <w:right w:val="nil"/>
            </w:tcBorders>
          </w:tcPr>
          <w:p w14:paraId="68BFEA78" w14:textId="77777777" w:rsidR="00B26EB2" w:rsidRPr="004A7284" w:rsidRDefault="00B26EB2" w:rsidP="00D2205B">
            <w:pPr>
              <w:jc w:val="center"/>
            </w:pPr>
            <w:r w:rsidRPr="004A7284">
              <w:t>0.2</w:t>
            </w:r>
          </w:p>
        </w:tc>
      </w:tr>
      <w:tr w:rsidR="00B26EB2" w:rsidRPr="004A7284" w14:paraId="6CE6FF18" w14:textId="77777777" w:rsidTr="00D2205B">
        <w:tc>
          <w:tcPr>
            <w:tcW w:w="4106" w:type="dxa"/>
            <w:tcBorders>
              <w:top w:val="nil"/>
              <w:left w:val="nil"/>
              <w:bottom w:val="nil"/>
              <w:right w:val="nil"/>
            </w:tcBorders>
          </w:tcPr>
          <w:p w14:paraId="1067AC15" w14:textId="77777777" w:rsidR="00B26EB2" w:rsidRPr="004A7284" w:rsidRDefault="00B26EB2" w:rsidP="00D2205B">
            <w:pPr>
              <w:rPr>
                <w:i/>
                <w:iCs/>
              </w:rPr>
            </w:pPr>
            <w:r w:rsidRPr="004A7284">
              <w:rPr>
                <w:i/>
                <w:iCs/>
              </w:rPr>
              <w:t>Acamprosate</w:t>
            </w:r>
          </w:p>
        </w:tc>
        <w:tc>
          <w:tcPr>
            <w:tcW w:w="2552" w:type="dxa"/>
            <w:gridSpan w:val="2"/>
            <w:tcBorders>
              <w:top w:val="nil"/>
              <w:left w:val="nil"/>
              <w:bottom w:val="nil"/>
              <w:right w:val="nil"/>
            </w:tcBorders>
          </w:tcPr>
          <w:p w14:paraId="74415481" w14:textId="77777777" w:rsidR="00B26EB2" w:rsidRPr="004A7284" w:rsidRDefault="00B26EB2" w:rsidP="00D2205B">
            <w:pPr>
              <w:jc w:val="center"/>
            </w:pPr>
            <w:r w:rsidRPr="004A7284">
              <w:t>194</w:t>
            </w:r>
          </w:p>
        </w:tc>
        <w:tc>
          <w:tcPr>
            <w:tcW w:w="2358" w:type="dxa"/>
            <w:gridSpan w:val="2"/>
            <w:tcBorders>
              <w:top w:val="nil"/>
              <w:left w:val="nil"/>
              <w:bottom w:val="nil"/>
              <w:right w:val="nil"/>
            </w:tcBorders>
          </w:tcPr>
          <w:p w14:paraId="0953BF85" w14:textId="77777777" w:rsidR="00B26EB2" w:rsidRPr="004A7284" w:rsidRDefault="00B26EB2" w:rsidP="00D2205B">
            <w:pPr>
              <w:jc w:val="center"/>
            </w:pPr>
            <w:r w:rsidRPr="004A7284">
              <w:t>3.9</w:t>
            </w:r>
          </w:p>
        </w:tc>
      </w:tr>
      <w:tr w:rsidR="00B26EB2" w:rsidRPr="004A7284" w14:paraId="678CA909" w14:textId="77777777" w:rsidTr="00D2205B">
        <w:tc>
          <w:tcPr>
            <w:tcW w:w="4106" w:type="dxa"/>
            <w:tcBorders>
              <w:top w:val="nil"/>
              <w:left w:val="nil"/>
              <w:bottom w:val="nil"/>
              <w:right w:val="nil"/>
            </w:tcBorders>
          </w:tcPr>
          <w:p w14:paraId="74D53B3E" w14:textId="77777777" w:rsidR="00B26EB2" w:rsidRPr="004A7284" w:rsidRDefault="00B26EB2" w:rsidP="00D2205B">
            <w:pPr>
              <w:rPr>
                <w:i/>
                <w:iCs/>
              </w:rPr>
            </w:pPr>
            <w:r w:rsidRPr="004A7284">
              <w:rPr>
                <w:i/>
                <w:iCs/>
              </w:rPr>
              <w:t>Baclofen</w:t>
            </w:r>
          </w:p>
        </w:tc>
        <w:tc>
          <w:tcPr>
            <w:tcW w:w="2552" w:type="dxa"/>
            <w:gridSpan w:val="2"/>
            <w:tcBorders>
              <w:top w:val="nil"/>
              <w:left w:val="nil"/>
              <w:bottom w:val="nil"/>
              <w:right w:val="nil"/>
            </w:tcBorders>
          </w:tcPr>
          <w:p w14:paraId="334EBFB9" w14:textId="77777777" w:rsidR="00B26EB2" w:rsidRPr="004A7284" w:rsidRDefault="00B26EB2" w:rsidP="00D2205B">
            <w:pPr>
              <w:jc w:val="center"/>
            </w:pPr>
            <w:r w:rsidRPr="004A7284">
              <w:t>97</w:t>
            </w:r>
          </w:p>
        </w:tc>
        <w:tc>
          <w:tcPr>
            <w:tcW w:w="2358" w:type="dxa"/>
            <w:gridSpan w:val="2"/>
            <w:tcBorders>
              <w:top w:val="nil"/>
              <w:left w:val="nil"/>
              <w:bottom w:val="nil"/>
              <w:right w:val="nil"/>
            </w:tcBorders>
          </w:tcPr>
          <w:p w14:paraId="6F1DDBF8" w14:textId="77777777" w:rsidR="00B26EB2" w:rsidRPr="004A7284" w:rsidRDefault="00B26EB2" w:rsidP="00D2205B">
            <w:pPr>
              <w:jc w:val="center"/>
            </w:pPr>
            <w:r w:rsidRPr="004A7284">
              <w:t>2.0</w:t>
            </w:r>
          </w:p>
        </w:tc>
      </w:tr>
      <w:tr w:rsidR="00B26EB2" w:rsidRPr="004A7284" w14:paraId="20873B15" w14:textId="77777777" w:rsidTr="00D2205B">
        <w:tc>
          <w:tcPr>
            <w:tcW w:w="4106" w:type="dxa"/>
            <w:tcBorders>
              <w:top w:val="nil"/>
              <w:left w:val="nil"/>
              <w:bottom w:val="nil"/>
              <w:right w:val="nil"/>
            </w:tcBorders>
          </w:tcPr>
          <w:p w14:paraId="1A3DA67F" w14:textId="77777777" w:rsidR="00B26EB2" w:rsidRPr="004A7284" w:rsidRDefault="00B26EB2" w:rsidP="00D2205B">
            <w:pPr>
              <w:rPr>
                <w:i/>
                <w:iCs/>
              </w:rPr>
            </w:pPr>
            <w:r w:rsidRPr="004A7284">
              <w:rPr>
                <w:i/>
                <w:iCs/>
              </w:rPr>
              <w:t>Disulfiram</w:t>
            </w:r>
          </w:p>
        </w:tc>
        <w:tc>
          <w:tcPr>
            <w:tcW w:w="2552" w:type="dxa"/>
            <w:gridSpan w:val="2"/>
            <w:tcBorders>
              <w:top w:val="nil"/>
              <w:left w:val="nil"/>
              <w:bottom w:val="nil"/>
              <w:right w:val="nil"/>
            </w:tcBorders>
          </w:tcPr>
          <w:p w14:paraId="4A292303" w14:textId="77777777" w:rsidR="00B26EB2" w:rsidRPr="004A7284" w:rsidRDefault="00B26EB2" w:rsidP="00D2205B">
            <w:pPr>
              <w:jc w:val="center"/>
            </w:pPr>
            <w:r w:rsidRPr="004A7284">
              <w:t>4</w:t>
            </w:r>
          </w:p>
        </w:tc>
        <w:tc>
          <w:tcPr>
            <w:tcW w:w="2358" w:type="dxa"/>
            <w:gridSpan w:val="2"/>
            <w:tcBorders>
              <w:top w:val="nil"/>
              <w:left w:val="nil"/>
              <w:bottom w:val="nil"/>
              <w:right w:val="nil"/>
            </w:tcBorders>
          </w:tcPr>
          <w:p w14:paraId="273111DE" w14:textId="74C67C4D" w:rsidR="00B26EB2" w:rsidRPr="004A7284" w:rsidRDefault="00D75952" w:rsidP="00D2205B">
            <w:pPr>
              <w:jc w:val="center"/>
            </w:pPr>
            <w:r w:rsidRPr="004A7284">
              <w:t>-</w:t>
            </w:r>
          </w:p>
        </w:tc>
      </w:tr>
      <w:tr w:rsidR="00B26EB2" w:rsidRPr="004A7284" w14:paraId="58B5BCAE" w14:textId="77777777" w:rsidTr="00D2205B">
        <w:tc>
          <w:tcPr>
            <w:tcW w:w="4106" w:type="dxa"/>
            <w:tcBorders>
              <w:top w:val="nil"/>
              <w:left w:val="nil"/>
              <w:bottom w:val="nil"/>
              <w:right w:val="nil"/>
            </w:tcBorders>
          </w:tcPr>
          <w:p w14:paraId="7EF24867" w14:textId="77777777" w:rsidR="00B26EB2" w:rsidRPr="004A7284" w:rsidRDefault="00B26EB2" w:rsidP="00D2205B">
            <w:pPr>
              <w:rPr>
                <w:i/>
                <w:iCs/>
              </w:rPr>
            </w:pPr>
            <w:r w:rsidRPr="004A7284">
              <w:rPr>
                <w:i/>
                <w:iCs/>
              </w:rPr>
              <w:t>Naltrexone</w:t>
            </w:r>
          </w:p>
        </w:tc>
        <w:tc>
          <w:tcPr>
            <w:tcW w:w="2552" w:type="dxa"/>
            <w:gridSpan w:val="2"/>
            <w:tcBorders>
              <w:top w:val="nil"/>
              <w:left w:val="nil"/>
              <w:bottom w:val="nil"/>
              <w:right w:val="nil"/>
            </w:tcBorders>
          </w:tcPr>
          <w:p w14:paraId="2FD084F7" w14:textId="77777777" w:rsidR="00B26EB2" w:rsidRPr="004A7284" w:rsidRDefault="00B26EB2" w:rsidP="00D2205B">
            <w:pPr>
              <w:jc w:val="center"/>
            </w:pPr>
            <w:r w:rsidRPr="004A7284">
              <w:t>5</w:t>
            </w:r>
          </w:p>
        </w:tc>
        <w:tc>
          <w:tcPr>
            <w:tcW w:w="2358" w:type="dxa"/>
            <w:gridSpan w:val="2"/>
            <w:tcBorders>
              <w:top w:val="nil"/>
              <w:left w:val="nil"/>
              <w:bottom w:val="nil"/>
              <w:right w:val="nil"/>
            </w:tcBorders>
          </w:tcPr>
          <w:p w14:paraId="6D89C0C8" w14:textId="64ED0ADC" w:rsidR="00B26EB2" w:rsidRPr="004A7284" w:rsidRDefault="00D75952" w:rsidP="00D2205B">
            <w:pPr>
              <w:jc w:val="center"/>
            </w:pPr>
            <w:r w:rsidRPr="004A7284">
              <w:t>-</w:t>
            </w:r>
          </w:p>
        </w:tc>
      </w:tr>
      <w:tr w:rsidR="00B26EB2" w:rsidRPr="004A7284" w14:paraId="2C344688" w14:textId="77777777" w:rsidTr="00D2205B">
        <w:tc>
          <w:tcPr>
            <w:tcW w:w="4106" w:type="dxa"/>
            <w:tcBorders>
              <w:top w:val="nil"/>
              <w:left w:val="nil"/>
              <w:bottom w:val="single" w:sz="4" w:space="0" w:color="auto"/>
              <w:right w:val="nil"/>
            </w:tcBorders>
          </w:tcPr>
          <w:p w14:paraId="4F143B26" w14:textId="77777777" w:rsidR="00B26EB2" w:rsidRPr="004A7284" w:rsidRDefault="00B26EB2" w:rsidP="00D2205B"/>
        </w:tc>
        <w:tc>
          <w:tcPr>
            <w:tcW w:w="2552" w:type="dxa"/>
            <w:gridSpan w:val="2"/>
            <w:tcBorders>
              <w:top w:val="nil"/>
              <w:left w:val="nil"/>
              <w:bottom w:val="single" w:sz="4" w:space="0" w:color="auto"/>
              <w:right w:val="nil"/>
            </w:tcBorders>
          </w:tcPr>
          <w:p w14:paraId="562DF5C6" w14:textId="77777777" w:rsidR="00B26EB2" w:rsidRPr="004A7284" w:rsidRDefault="00B26EB2" w:rsidP="00D2205B">
            <w:pPr>
              <w:jc w:val="center"/>
            </w:pPr>
          </w:p>
        </w:tc>
        <w:tc>
          <w:tcPr>
            <w:tcW w:w="2358" w:type="dxa"/>
            <w:gridSpan w:val="2"/>
            <w:tcBorders>
              <w:top w:val="nil"/>
              <w:left w:val="nil"/>
              <w:bottom w:val="single" w:sz="4" w:space="0" w:color="auto"/>
              <w:right w:val="nil"/>
            </w:tcBorders>
          </w:tcPr>
          <w:p w14:paraId="3C3A8605" w14:textId="77777777" w:rsidR="00B26EB2" w:rsidRPr="004A7284" w:rsidRDefault="00B26EB2" w:rsidP="00D2205B">
            <w:pPr>
              <w:jc w:val="center"/>
            </w:pPr>
          </w:p>
        </w:tc>
      </w:tr>
      <w:tr w:rsidR="00B26EB2" w:rsidRPr="004A7284" w14:paraId="65708822" w14:textId="77777777" w:rsidTr="00D2205B">
        <w:tc>
          <w:tcPr>
            <w:tcW w:w="4106" w:type="dxa"/>
            <w:tcBorders>
              <w:top w:val="single" w:sz="4" w:space="0" w:color="auto"/>
              <w:left w:val="nil"/>
              <w:bottom w:val="single" w:sz="4" w:space="0" w:color="auto"/>
              <w:right w:val="nil"/>
            </w:tcBorders>
          </w:tcPr>
          <w:p w14:paraId="6C82ABA4" w14:textId="77777777" w:rsidR="00B26EB2" w:rsidRPr="004A7284" w:rsidRDefault="00B26EB2" w:rsidP="00D2205B">
            <w:pPr>
              <w:rPr>
                <w:b/>
                <w:bCs/>
              </w:rPr>
            </w:pPr>
            <w:r w:rsidRPr="004A7284">
              <w:rPr>
                <w:b/>
                <w:bCs/>
              </w:rPr>
              <w:t xml:space="preserve">Onwards referral </w:t>
            </w:r>
          </w:p>
        </w:tc>
        <w:tc>
          <w:tcPr>
            <w:tcW w:w="2552" w:type="dxa"/>
            <w:gridSpan w:val="2"/>
            <w:tcBorders>
              <w:top w:val="single" w:sz="4" w:space="0" w:color="auto"/>
              <w:left w:val="nil"/>
              <w:bottom w:val="single" w:sz="4" w:space="0" w:color="auto"/>
              <w:right w:val="nil"/>
            </w:tcBorders>
          </w:tcPr>
          <w:p w14:paraId="6BFFA36B" w14:textId="77777777" w:rsidR="00B26EB2" w:rsidRPr="004A7284" w:rsidRDefault="00B26EB2" w:rsidP="00D2205B">
            <w:pPr>
              <w:jc w:val="center"/>
            </w:pPr>
          </w:p>
        </w:tc>
        <w:tc>
          <w:tcPr>
            <w:tcW w:w="2358" w:type="dxa"/>
            <w:gridSpan w:val="2"/>
            <w:tcBorders>
              <w:top w:val="single" w:sz="4" w:space="0" w:color="auto"/>
              <w:left w:val="nil"/>
              <w:bottom w:val="single" w:sz="4" w:space="0" w:color="auto"/>
              <w:right w:val="nil"/>
            </w:tcBorders>
          </w:tcPr>
          <w:p w14:paraId="492D2EFD" w14:textId="77777777" w:rsidR="00B26EB2" w:rsidRPr="004A7284" w:rsidRDefault="00B26EB2" w:rsidP="00D2205B">
            <w:pPr>
              <w:jc w:val="center"/>
            </w:pPr>
          </w:p>
        </w:tc>
      </w:tr>
      <w:tr w:rsidR="00B26EB2" w:rsidRPr="004A7284" w14:paraId="42C57B4C" w14:textId="77777777" w:rsidTr="00D2205B">
        <w:tc>
          <w:tcPr>
            <w:tcW w:w="4106" w:type="dxa"/>
            <w:tcBorders>
              <w:top w:val="single" w:sz="4" w:space="0" w:color="auto"/>
              <w:left w:val="nil"/>
              <w:bottom w:val="nil"/>
              <w:right w:val="nil"/>
            </w:tcBorders>
          </w:tcPr>
          <w:p w14:paraId="29237398" w14:textId="77777777" w:rsidR="00B26EB2" w:rsidRPr="004A7284" w:rsidRDefault="00B26EB2" w:rsidP="00D2205B">
            <w:pPr>
              <w:rPr>
                <w:i/>
                <w:iCs/>
              </w:rPr>
            </w:pPr>
            <w:r w:rsidRPr="004A7284">
              <w:rPr>
                <w:i/>
                <w:iCs/>
              </w:rPr>
              <w:t>Referral to community</w:t>
            </w:r>
          </w:p>
        </w:tc>
        <w:tc>
          <w:tcPr>
            <w:tcW w:w="2552" w:type="dxa"/>
            <w:gridSpan w:val="2"/>
            <w:tcBorders>
              <w:top w:val="single" w:sz="4" w:space="0" w:color="auto"/>
              <w:left w:val="nil"/>
              <w:bottom w:val="nil"/>
              <w:right w:val="nil"/>
            </w:tcBorders>
          </w:tcPr>
          <w:p w14:paraId="50164FA1" w14:textId="77777777" w:rsidR="00B26EB2" w:rsidRPr="004A7284" w:rsidRDefault="00B26EB2" w:rsidP="00D2205B">
            <w:pPr>
              <w:jc w:val="center"/>
            </w:pPr>
            <w:r w:rsidRPr="004A7284">
              <w:t>704</w:t>
            </w:r>
          </w:p>
        </w:tc>
        <w:tc>
          <w:tcPr>
            <w:tcW w:w="2358" w:type="dxa"/>
            <w:gridSpan w:val="2"/>
            <w:tcBorders>
              <w:top w:val="single" w:sz="4" w:space="0" w:color="auto"/>
              <w:left w:val="nil"/>
              <w:bottom w:val="nil"/>
              <w:right w:val="nil"/>
            </w:tcBorders>
          </w:tcPr>
          <w:p w14:paraId="02F9C349" w14:textId="77777777" w:rsidR="00B26EB2" w:rsidRPr="004A7284" w:rsidRDefault="00B26EB2" w:rsidP="00D2205B">
            <w:pPr>
              <w:jc w:val="center"/>
            </w:pPr>
            <w:r w:rsidRPr="004A7284">
              <w:t>14.2</w:t>
            </w:r>
          </w:p>
        </w:tc>
      </w:tr>
      <w:tr w:rsidR="00B26EB2" w:rsidRPr="004A7284" w14:paraId="385EABCB" w14:textId="77777777" w:rsidTr="00D2205B">
        <w:tc>
          <w:tcPr>
            <w:tcW w:w="4106" w:type="dxa"/>
            <w:tcBorders>
              <w:top w:val="nil"/>
              <w:left w:val="nil"/>
              <w:bottom w:val="nil"/>
              <w:right w:val="nil"/>
            </w:tcBorders>
          </w:tcPr>
          <w:p w14:paraId="2D17D9CC" w14:textId="77777777" w:rsidR="00B26EB2" w:rsidRPr="004A7284" w:rsidRDefault="00B26EB2" w:rsidP="00D2205B">
            <w:pPr>
              <w:rPr>
                <w:i/>
                <w:iCs/>
              </w:rPr>
            </w:pPr>
            <w:r w:rsidRPr="004A7284">
              <w:rPr>
                <w:i/>
                <w:iCs/>
              </w:rPr>
              <w:t xml:space="preserve">Referral declined </w:t>
            </w:r>
          </w:p>
        </w:tc>
        <w:tc>
          <w:tcPr>
            <w:tcW w:w="2552" w:type="dxa"/>
            <w:gridSpan w:val="2"/>
            <w:tcBorders>
              <w:top w:val="nil"/>
              <w:left w:val="nil"/>
              <w:bottom w:val="nil"/>
              <w:right w:val="nil"/>
            </w:tcBorders>
          </w:tcPr>
          <w:p w14:paraId="070B20A8" w14:textId="77777777" w:rsidR="00B26EB2" w:rsidRPr="004A7284" w:rsidRDefault="00B26EB2" w:rsidP="00D2205B">
            <w:pPr>
              <w:jc w:val="center"/>
            </w:pPr>
            <w:r w:rsidRPr="004A7284">
              <w:t>117</w:t>
            </w:r>
          </w:p>
        </w:tc>
        <w:tc>
          <w:tcPr>
            <w:tcW w:w="2358" w:type="dxa"/>
            <w:gridSpan w:val="2"/>
            <w:tcBorders>
              <w:top w:val="nil"/>
              <w:left w:val="nil"/>
              <w:bottom w:val="nil"/>
              <w:right w:val="nil"/>
            </w:tcBorders>
          </w:tcPr>
          <w:p w14:paraId="50F093B0" w14:textId="77777777" w:rsidR="00B26EB2" w:rsidRPr="004A7284" w:rsidRDefault="00B26EB2" w:rsidP="00D2205B">
            <w:pPr>
              <w:jc w:val="center"/>
            </w:pPr>
            <w:r w:rsidRPr="004A7284">
              <w:t>0.3</w:t>
            </w:r>
          </w:p>
        </w:tc>
      </w:tr>
      <w:tr w:rsidR="00B26EB2" w:rsidRPr="004A7284" w14:paraId="2B014D68" w14:textId="77777777" w:rsidTr="00D2205B">
        <w:tc>
          <w:tcPr>
            <w:tcW w:w="4106" w:type="dxa"/>
            <w:tcBorders>
              <w:top w:val="nil"/>
              <w:left w:val="nil"/>
              <w:bottom w:val="nil"/>
              <w:right w:val="nil"/>
            </w:tcBorders>
          </w:tcPr>
          <w:p w14:paraId="22F150F5" w14:textId="77777777" w:rsidR="00B26EB2" w:rsidRPr="004A7284" w:rsidRDefault="00B26EB2" w:rsidP="00D2205B">
            <w:pPr>
              <w:rPr>
                <w:i/>
                <w:iCs/>
              </w:rPr>
            </w:pPr>
            <w:r w:rsidRPr="004A7284">
              <w:rPr>
                <w:i/>
                <w:iCs/>
              </w:rPr>
              <w:t>No referral information</w:t>
            </w:r>
          </w:p>
        </w:tc>
        <w:tc>
          <w:tcPr>
            <w:tcW w:w="2552" w:type="dxa"/>
            <w:gridSpan w:val="2"/>
            <w:tcBorders>
              <w:top w:val="nil"/>
              <w:left w:val="nil"/>
              <w:bottom w:val="nil"/>
              <w:right w:val="nil"/>
            </w:tcBorders>
          </w:tcPr>
          <w:p w14:paraId="1EBB820D" w14:textId="77777777" w:rsidR="00B26EB2" w:rsidRPr="004A7284" w:rsidRDefault="00B26EB2" w:rsidP="00D2205B">
            <w:pPr>
              <w:jc w:val="center"/>
            </w:pPr>
            <w:r w:rsidRPr="004A7284">
              <w:t>4115</w:t>
            </w:r>
          </w:p>
        </w:tc>
        <w:tc>
          <w:tcPr>
            <w:tcW w:w="2358" w:type="dxa"/>
            <w:gridSpan w:val="2"/>
            <w:tcBorders>
              <w:top w:val="nil"/>
              <w:left w:val="nil"/>
              <w:bottom w:val="nil"/>
              <w:right w:val="nil"/>
            </w:tcBorders>
          </w:tcPr>
          <w:p w14:paraId="1A78E54C" w14:textId="77777777" w:rsidR="00B26EB2" w:rsidRPr="004A7284" w:rsidRDefault="00B26EB2" w:rsidP="00D2205B">
            <w:pPr>
              <w:jc w:val="center"/>
            </w:pPr>
            <w:r w:rsidRPr="004A7284">
              <w:t>83.3</w:t>
            </w:r>
          </w:p>
        </w:tc>
      </w:tr>
      <w:tr w:rsidR="00B26EB2" w:rsidRPr="004A7284" w14:paraId="34BCBDDC" w14:textId="77777777" w:rsidTr="00D2205B">
        <w:tc>
          <w:tcPr>
            <w:tcW w:w="4106" w:type="dxa"/>
            <w:tcBorders>
              <w:top w:val="nil"/>
              <w:left w:val="nil"/>
              <w:bottom w:val="single" w:sz="4" w:space="0" w:color="auto"/>
              <w:right w:val="nil"/>
            </w:tcBorders>
          </w:tcPr>
          <w:p w14:paraId="6C035C7B" w14:textId="77777777" w:rsidR="00B26EB2" w:rsidRPr="004A7284" w:rsidRDefault="00B26EB2" w:rsidP="00D2205B">
            <w:pPr>
              <w:rPr>
                <w:b/>
                <w:bCs/>
              </w:rPr>
            </w:pPr>
          </w:p>
        </w:tc>
        <w:tc>
          <w:tcPr>
            <w:tcW w:w="2552" w:type="dxa"/>
            <w:gridSpan w:val="2"/>
            <w:tcBorders>
              <w:top w:val="nil"/>
              <w:left w:val="nil"/>
              <w:bottom w:val="single" w:sz="4" w:space="0" w:color="auto"/>
              <w:right w:val="nil"/>
            </w:tcBorders>
          </w:tcPr>
          <w:p w14:paraId="57FFC262" w14:textId="77777777" w:rsidR="00B26EB2" w:rsidRPr="004A7284" w:rsidRDefault="00B26EB2" w:rsidP="00D2205B">
            <w:pPr>
              <w:jc w:val="center"/>
            </w:pPr>
          </w:p>
        </w:tc>
        <w:tc>
          <w:tcPr>
            <w:tcW w:w="2358" w:type="dxa"/>
            <w:gridSpan w:val="2"/>
            <w:tcBorders>
              <w:top w:val="nil"/>
              <w:left w:val="nil"/>
              <w:bottom w:val="single" w:sz="4" w:space="0" w:color="auto"/>
              <w:right w:val="nil"/>
            </w:tcBorders>
          </w:tcPr>
          <w:p w14:paraId="09D1126E" w14:textId="77777777" w:rsidR="00B26EB2" w:rsidRPr="004A7284" w:rsidRDefault="00B26EB2" w:rsidP="00D2205B">
            <w:pPr>
              <w:jc w:val="center"/>
            </w:pPr>
          </w:p>
        </w:tc>
      </w:tr>
      <w:tr w:rsidR="00B26EB2" w:rsidRPr="004A7284" w14:paraId="0A1565E9" w14:textId="77777777" w:rsidTr="00D2205B">
        <w:tc>
          <w:tcPr>
            <w:tcW w:w="4106" w:type="dxa"/>
            <w:tcBorders>
              <w:top w:val="single" w:sz="4" w:space="0" w:color="auto"/>
              <w:left w:val="nil"/>
              <w:bottom w:val="single" w:sz="4" w:space="0" w:color="auto"/>
              <w:right w:val="nil"/>
            </w:tcBorders>
          </w:tcPr>
          <w:p w14:paraId="47CC67BB" w14:textId="77777777" w:rsidR="00B26EB2" w:rsidRPr="004A7284" w:rsidRDefault="00B26EB2" w:rsidP="00D2205B">
            <w:pPr>
              <w:rPr>
                <w:b/>
                <w:bCs/>
              </w:rPr>
            </w:pPr>
            <w:r w:rsidRPr="004A7284">
              <w:rPr>
                <w:b/>
                <w:bCs/>
              </w:rPr>
              <w:t>Cooccurring mental health diagnoses</w:t>
            </w:r>
          </w:p>
        </w:tc>
        <w:tc>
          <w:tcPr>
            <w:tcW w:w="2552" w:type="dxa"/>
            <w:gridSpan w:val="2"/>
            <w:tcBorders>
              <w:top w:val="single" w:sz="4" w:space="0" w:color="auto"/>
              <w:left w:val="nil"/>
              <w:bottom w:val="single" w:sz="4" w:space="0" w:color="auto"/>
              <w:right w:val="nil"/>
            </w:tcBorders>
          </w:tcPr>
          <w:p w14:paraId="07B43D5D" w14:textId="77777777" w:rsidR="00B26EB2" w:rsidRPr="004A7284" w:rsidRDefault="00B26EB2" w:rsidP="00D2205B">
            <w:pPr>
              <w:jc w:val="center"/>
            </w:pPr>
            <w:r w:rsidRPr="004A7284">
              <w:t>2250</w:t>
            </w:r>
          </w:p>
        </w:tc>
        <w:tc>
          <w:tcPr>
            <w:tcW w:w="2358" w:type="dxa"/>
            <w:gridSpan w:val="2"/>
            <w:tcBorders>
              <w:top w:val="single" w:sz="4" w:space="0" w:color="auto"/>
              <w:left w:val="nil"/>
              <w:bottom w:val="single" w:sz="4" w:space="0" w:color="auto"/>
              <w:right w:val="nil"/>
            </w:tcBorders>
          </w:tcPr>
          <w:p w14:paraId="28A2D6C1" w14:textId="77777777" w:rsidR="00B26EB2" w:rsidRPr="004A7284" w:rsidRDefault="00B26EB2" w:rsidP="00D2205B">
            <w:pPr>
              <w:jc w:val="center"/>
            </w:pPr>
            <w:r w:rsidRPr="004A7284">
              <w:t>45.6</w:t>
            </w:r>
          </w:p>
        </w:tc>
      </w:tr>
      <w:tr w:rsidR="00B26EB2" w:rsidRPr="004A7284" w14:paraId="7A8AD9EE" w14:textId="77777777" w:rsidTr="00D2205B">
        <w:tc>
          <w:tcPr>
            <w:tcW w:w="4106" w:type="dxa"/>
            <w:tcBorders>
              <w:top w:val="single" w:sz="4" w:space="0" w:color="auto"/>
              <w:left w:val="nil"/>
              <w:bottom w:val="nil"/>
              <w:right w:val="nil"/>
            </w:tcBorders>
          </w:tcPr>
          <w:p w14:paraId="71F34D2B" w14:textId="77777777" w:rsidR="00B26EB2" w:rsidRPr="004A7284" w:rsidRDefault="00B26EB2" w:rsidP="00D2205B">
            <w:pPr>
              <w:rPr>
                <w:i/>
                <w:iCs/>
              </w:rPr>
            </w:pPr>
            <w:r w:rsidRPr="004A7284">
              <w:rPr>
                <w:i/>
                <w:iCs/>
              </w:rPr>
              <w:t>Depression/depressive disorders</w:t>
            </w:r>
          </w:p>
        </w:tc>
        <w:tc>
          <w:tcPr>
            <w:tcW w:w="2552" w:type="dxa"/>
            <w:gridSpan w:val="2"/>
            <w:tcBorders>
              <w:top w:val="single" w:sz="4" w:space="0" w:color="auto"/>
              <w:left w:val="nil"/>
              <w:bottom w:val="nil"/>
              <w:right w:val="nil"/>
            </w:tcBorders>
          </w:tcPr>
          <w:p w14:paraId="1DE46D4C" w14:textId="77777777" w:rsidR="00B26EB2" w:rsidRPr="004A7284" w:rsidRDefault="00B26EB2" w:rsidP="00D2205B">
            <w:pPr>
              <w:jc w:val="center"/>
            </w:pPr>
            <w:r w:rsidRPr="004A7284">
              <w:t>36</w:t>
            </w:r>
          </w:p>
        </w:tc>
        <w:tc>
          <w:tcPr>
            <w:tcW w:w="2358" w:type="dxa"/>
            <w:gridSpan w:val="2"/>
            <w:tcBorders>
              <w:top w:val="single" w:sz="4" w:space="0" w:color="auto"/>
              <w:left w:val="nil"/>
              <w:bottom w:val="nil"/>
              <w:right w:val="nil"/>
            </w:tcBorders>
          </w:tcPr>
          <w:p w14:paraId="5F41CE0E" w14:textId="77777777" w:rsidR="00B26EB2" w:rsidRPr="004A7284" w:rsidRDefault="00B26EB2" w:rsidP="00D2205B">
            <w:pPr>
              <w:jc w:val="center"/>
            </w:pPr>
            <w:r w:rsidRPr="004A7284">
              <w:t>0.7</w:t>
            </w:r>
          </w:p>
        </w:tc>
      </w:tr>
      <w:tr w:rsidR="00B26EB2" w:rsidRPr="004A7284" w14:paraId="1D7F15D7" w14:textId="77777777" w:rsidTr="00D2205B">
        <w:tc>
          <w:tcPr>
            <w:tcW w:w="4106" w:type="dxa"/>
            <w:tcBorders>
              <w:top w:val="nil"/>
              <w:left w:val="nil"/>
              <w:bottom w:val="nil"/>
              <w:right w:val="nil"/>
            </w:tcBorders>
          </w:tcPr>
          <w:p w14:paraId="3BD7806A" w14:textId="77777777" w:rsidR="00B26EB2" w:rsidRPr="004A7284" w:rsidRDefault="00B26EB2" w:rsidP="00D2205B">
            <w:pPr>
              <w:rPr>
                <w:i/>
                <w:iCs/>
              </w:rPr>
            </w:pPr>
            <w:r w:rsidRPr="004A7284">
              <w:rPr>
                <w:i/>
                <w:iCs/>
              </w:rPr>
              <w:t>Anxiety states/anxiety disorders</w:t>
            </w:r>
          </w:p>
        </w:tc>
        <w:tc>
          <w:tcPr>
            <w:tcW w:w="2552" w:type="dxa"/>
            <w:gridSpan w:val="2"/>
            <w:tcBorders>
              <w:top w:val="nil"/>
              <w:left w:val="nil"/>
              <w:bottom w:val="nil"/>
              <w:right w:val="nil"/>
            </w:tcBorders>
          </w:tcPr>
          <w:p w14:paraId="55662D36" w14:textId="77777777" w:rsidR="00B26EB2" w:rsidRPr="004A7284" w:rsidRDefault="00B26EB2" w:rsidP="00D2205B">
            <w:pPr>
              <w:jc w:val="center"/>
            </w:pPr>
            <w:r w:rsidRPr="004A7284">
              <w:t>1484</w:t>
            </w:r>
          </w:p>
        </w:tc>
        <w:tc>
          <w:tcPr>
            <w:tcW w:w="2358" w:type="dxa"/>
            <w:gridSpan w:val="2"/>
            <w:tcBorders>
              <w:top w:val="nil"/>
              <w:left w:val="nil"/>
              <w:bottom w:val="nil"/>
              <w:right w:val="nil"/>
            </w:tcBorders>
          </w:tcPr>
          <w:p w14:paraId="4BE14E21" w14:textId="77777777" w:rsidR="00B26EB2" w:rsidRPr="004A7284" w:rsidRDefault="00B26EB2" w:rsidP="00D2205B">
            <w:pPr>
              <w:jc w:val="center"/>
            </w:pPr>
            <w:r w:rsidRPr="004A7284">
              <w:t>30.0</w:t>
            </w:r>
          </w:p>
        </w:tc>
      </w:tr>
      <w:tr w:rsidR="00B26EB2" w:rsidRPr="004A7284" w14:paraId="3BB49DBD" w14:textId="77777777" w:rsidTr="00D2205B">
        <w:tc>
          <w:tcPr>
            <w:tcW w:w="4106" w:type="dxa"/>
            <w:tcBorders>
              <w:top w:val="nil"/>
              <w:left w:val="nil"/>
              <w:bottom w:val="nil"/>
              <w:right w:val="nil"/>
            </w:tcBorders>
          </w:tcPr>
          <w:p w14:paraId="2F75A862" w14:textId="77777777" w:rsidR="00B26EB2" w:rsidRPr="004A7284" w:rsidRDefault="00B26EB2" w:rsidP="00D2205B">
            <w:pPr>
              <w:rPr>
                <w:i/>
                <w:iCs/>
              </w:rPr>
            </w:pPr>
            <w:r w:rsidRPr="004A7284">
              <w:rPr>
                <w:i/>
                <w:iCs/>
              </w:rPr>
              <w:t>Mixed Depression &amp; Anxiety</w:t>
            </w:r>
          </w:p>
        </w:tc>
        <w:tc>
          <w:tcPr>
            <w:tcW w:w="2552" w:type="dxa"/>
            <w:gridSpan w:val="2"/>
            <w:tcBorders>
              <w:top w:val="nil"/>
              <w:left w:val="nil"/>
              <w:bottom w:val="nil"/>
              <w:right w:val="nil"/>
            </w:tcBorders>
          </w:tcPr>
          <w:p w14:paraId="4FC971D2" w14:textId="77777777" w:rsidR="00B26EB2" w:rsidRPr="004A7284" w:rsidRDefault="00B26EB2" w:rsidP="00D2205B">
            <w:pPr>
              <w:jc w:val="center"/>
            </w:pPr>
            <w:r w:rsidRPr="004A7284">
              <w:t>272</w:t>
            </w:r>
          </w:p>
        </w:tc>
        <w:tc>
          <w:tcPr>
            <w:tcW w:w="2358" w:type="dxa"/>
            <w:gridSpan w:val="2"/>
            <w:tcBorders>
              <w:top w:val="nil"/>
              <w:left w:val="nil"/>
              <w:bottom w:val="nil"/>
              <w:right w:val="nil"/>
            </w:tcBorders>
          </w:tcPr>
          <w:p w14:paraId="7E20644B" w14:textId="77777777" w:rsidR="00B26EB2" w:rsidRPr="004A7284" w:rsidRDefault="00B26EB2" w:rsidP="00D2205B">
            <w:pPr>
              <w:jc w:val="center"/>
            </w:pPr>
            <w:r w:rsidRPr="004A7284">
              <w:t>5.5</w:t>
            </w:r>
          </w:p>
        </w:tc>
      </w:tr>
      <w:tr w:rsidR="00B26EB2" w:rsidRPr="004A7284" w14:paraId="777A9B60" w14:textId="77777777" w:rsidTr="00D2205B">
        <w:tc>
          <w:tcPr>
            <w:tcW w:w="4106" w:type="dxa"/>
            <w:tcBorders>
              <w:top w:val="nil"/>
              <w:left w:val="nil"/>
              <w:bottom w:val="nil"/>
              <w:right w:val="nil"/>
            </w:tcBorders>
          </w:tcPr>
          <w:p w14:paraId="1B142551" w14:textId="77777777" w:rsidR="00B26EB2" w:rsidRPr="004A7284" w:rsidRDefault="00B26EB2" w:rsidP="00D2205B">
            <w:pPr>
              <w:rPr>
                <w:i/>
                <w:iCs/>
              </w:rPr>
            </w:pPr>
            <w:r w:rsidRPr="004A7284">
              <w:rPr>
                <w:i/>
                <w:iCs/>
              </w:rPr>
              <w:t>Obsessive Compulsive Disorders</w:t>
            </w:r>
          </w:p>
        </w:tc>
        <w:tc>
          <w:tcPr>
            <w:tcW w:w="2552" w:type="dxa"/>
            <w:gridSpan w:val="2"/>
            <w:tcBorders>
              <w:top w:val="nil"/>
              <w:left w:val="nil"/>
              <w:bottom w:val="nil"/>
              <w:right w:val="nil"/>
            </w:tcBorders>
          </w:tcPr>
          <w:p w14:paraId="6EE85D1B" w14:textId="77777777" w:rsidR="00B26EB2" w:rsidRPr="004A7284" w:rsidRDefault="00B26EB2" w:rsidP="00D2205B">
            <w:pPr>
              <w:jc w:val="center"/>
            </w:pPr>
            <w:r w:rsidRPr="004A7284">
              <w:t>26</w:t>
            </w:r>
          </w:p>
        </w:tc>
        <w:tc>
          <w:tcPr>
            <w:tcW w:w="2358" w:type="dxa"/>
            <w:gridSpan w:val="2"/>
            <w:tcBorders>
              <w:top w:val="nil"/>
              <w:left w:val="nil"/>
              <w:bottom w:val="nil"/>
              <w:right w:val="nil"/>
            </w:tcBorders>
          </w:tcPr>
          <w:p w14:paraId="6348B5FD" w14:textId="77777777" w:rsidR="00B26EB2" w:rsidRPr="004A7284" w:rsidRDefault="00B26EB2" w:rsidP="00D2205B">
            <w:pPr>
              <w:jc w:val="center"/>
            </w:pPr>
            <w:r w:rsidRPr="004A7284">
              <w:t>0.5</w:t>
            </w:r>
          </w:p>
        </w:tc>
      </w:tr>
      <w:tr w:rsidR="00B26EB2" w:rsidRPr="004A7284" w14:paraId="40820109" w14:textId="77777777" w:rsidTr="00D2205B">
        <w:tc>
          <w:tcPr>
            <w:tcW w:w="4106" w:type="dxa"/>
            <w:tcBorders>
              <w:top w:val="nil"/>
              <w:left w:val="nil"/>
              <w:bottom w:val="nil"/>
              <w:right w:val="nil"/>
            </w:tcBorders>
          </w:tcPr>
          <w:p w14:paraId="35A7A45E" w14:textId="77777777" w:rsidR="00B26EB2" w:rsidRPr="004A7284" w:rsidRDefault="00B26EB2" w:rsidP="00D2205B">
            <w:pPr>
              <w:rPr>
                <w:i/>
                <w:iCs/>
                <w:lang w:val="en-GB"/>
              </w:rPr>
            </w:pPr>
            <w:r w:rsidRPr="004A7284">
              <w:rPr>
                <w:i/>
                <w:iCs/>
                <w:lang w:val="en-GB"/>
              </w:rPr>
              <w:t>Feeding &amp; eating disorders or problems</w:t>
            </w:r>
          </w:p>
        </w:tc>
        <w:tc>
          <w:tcPr>
            <w:tcW w:w="2552" w:type="dxa"/>
            <w:gridSpan w:val="2"/>
            <w:tcBorders>
              <w:top w:val="nil"/>
              <w:left w:val="nil"/>
              <w:bottom w:val="nil"/>
              <w:right w:val="nil"/>
            </w:tcBorders>
          </w:tcPr>
          <w:p w14:paraId="7B59729A" w14:textId="77777777" w:rsidR="00B26EB2" w:rsidRPr="004A7284" w:rsidRDefault="00B26EB2" w:rsidP="00D2205B">
            <w:pPr>
              <w:jc w:val="center"/>
            </w:pPr>
            <w:r w:rsidRPr="004A7284">
              <w:t>37</w:t>
            </w:r>
          </w:p>
        </w:tc>
        <w:tc>
          <w:tcPr>
            <w:tcW w:w="2358" w:type="dxa"/>
            <w:gridSpan w:val="2"/>
            <w:tcBorders>
              <w:top w:val="nil"/>
              <w:left w:val="nil"/>
              <w:bottom w:val="nil"/>
              <w:right w:val="nil"/>
            </w:tcBorders>
          </w:tcPr>
          <w:p w14:paraId="318E7096" w14:textId="77777777" w:rsidR="00B26EB2" w:rsidRPr="004A7284" w:rsidRDefault="00B26EB2" w:rsidP="00D2205B">
            <w:pPr>
              <w:jc w:val="center"/>
            </w:pPr>
            <w:r w:rsidRPr="004A7284">
              <w:t>0.7</w:t>
            </w:r>
          </w:p>
        </w:tc>
      </w:tr>
      <w:tr w:rsidR="00B26EB2" w:rsidRPr="004A7284" w14:paraId="23B306DC" w14:textId="77777777" w:rsidTr="00D2205B">
        <w:tc>
          <w:tcPr>
            <w:tcW w:w="4106" w:type="dxa"/>
            <w:tcBorders>
              <w:top w:val="nil"/>
              <w:left w:val="nil"/>
              <w:bottom w:val="nil"/>
              <w:right w:val="nil"/>
            </w:tcBorders>
          </w:tcPr>
          <w:p w14:paraId="566E883D" w14:textId="77777777" w:rsidR="00B26EB2" w:rsidRPr="004A7284" w:rsidRDefault="00B26EB2" w:rsidP="00D2205B">
            <w:pPr>
              <w:rPr>
                <w:i/>
                <w:iCs/>
              </w:rPr>
            </w:pPr>
            <w:r w:rsidRPr="004A7284">
              <w:rPr>
                <w:i/>
                <w:iCs/>
              </w:rPr>
              <w:t>Bipolar &amp; related disorders</w:t>
            </w:r>
          </w:p>
        </w:tc>
        <w:tc>
          <w:tcPr>
            <w:tcW w:w="2552" w:type="dxa"/>
            <w:gridSpan w:val="2"/>
            <w:tcBorders>
              <w:top w:val="nil"/>
              <w:left w:val="nil"/>
              <w:bottom w:val="nil"/>
              <w:right w:val="nil"/>
            </w:tcBorders>
          </w:tcPr>
          <w:p w14:paraId="696D816C" w14:textId="77777777" w:rsidR="00B26EB2" w:rsidRPr="004A7284" w:rsidRDefault="00B26EB2" w:rsidP="00D2205B">
            <w:pPr>
              <w:jc w:val="center"/>
            </w:pPr>
            <w:r w:rsidRPr="004A7284">
              <w:t>62</w:t>
            </w:r>
          </w:p>
        </w:tc>
        <w:tc>
          <w:tcPr>
            <w:tcW w:w="2358" w:type="dxa"/>
            <w:gridSpan w:val="2"/>
            <w:tcBorders>
              <w:top w:val="nil"/>
              <w:left w:val="nil"/>
              <w:bottom w:val="nil"/>
              <w:right w:val="nil"/>
            </w:tcBorders>
          </w:tcPr>
          <w:p w14:paraId="290AF057" w14:textId="77777777" w:rsidR="00B26EB2" w:rsidRPr="004A7284" w:rsidRDefault="00B26EB2" w:rsidP="00D2205B">
            <w:pPr>
              <w:jc w:val="center"/>
            </w:pPr>
            <w:r w:rsidRPr="004A7284">
              <w:t>1.3</w:t>
            </w:r>
          </w:p>
        </w:tc>
      </w:tr>
      <w:tr w:rsidR="00B26EB2" w:rsidRPr="004A7284" w14:paraId="500CB6C7" w14:textId="77777777" w:rsidTr="00D2205B">
        <w:tc>
          <w:tcPr>
            <w:tcW w:w="4106" w:type="dxa"/>
            <w:tcBorders>
              <w:top w:val="nil"/>
              <w:left w:val="nil"/>
              <w:bottom w:val="nil"/>
              <w:right w:val="nil"/>
            </w:tcBorders>
          </w:tcPr>
          <w:p w14:paraId="261AE3D1" w14:textId="77777777" w:rsidR="00B26EB2" w:rsidRPr="004A7284" w:rsidRDefault="00B26EB2" w:rsidP="00D2205B">
            <w:pPr>
              <w:rPr>
                <w:i/>
                <w:iCs/>
                <w:lang w:val="en-GB"/>
              </w:rPr>
            </w:pPr>
            <w:r w:rsidRPr="004A7284">
              <w:rPr>
                <w:i/>
                <w:iCs/>
                <w:lang w:val="en-GB"/>
              </w:rPr>
              <w:t>Schizophrenia spectrum &amp; other psychotic disorder or problems</w:t>
            </w:r>
          </w:p>
        </w:tc>
        <w:tc>
          <w:tcPr>
            <w:tcW w:w="2552" w:type="dxa"/>
            <w:gridSpan w:val="2"/>
            <w:tcBorders>
              <w:top w:val="nil"/>
              <w:left w:val="nil"/>
              <w:bottom w:val="nil"/>
              <w:right w:val="nil"/>
            </w:tcBorders>
          </w:tcPr>
          <w:p w14:paraId="70A27DBF" w14:textId="77777777" w:rsidR="00B26EB2" w:rsidRPr="004A7284" w:rsidRDefault="00B26EB2" w:rsidP="00D2205B">
            <w:pPr>
              <w:jc w:val="center"/>
            </w:pPr>
            <w:r w:rsidRPr="004A7284">
              <w:t>158</w:t>
            </w:r>
          </w:p>
        </w:tc>
        <w:tc>
          <w:tcPr>
            <w:tcW w:w="2358" w:type="dxa"/>
            <w:gridSpan w:val="2"/>
            <w:tcBorders>
              <w:top w:val="nil"/>
              <w:left w:val="nil"/>
              <w:bottom w:val="nil"/>
              <w:right w:val="nil"/>
            </w:tcBorders>
          </w:tcPr>
          <w:p w14:paraId="24BF0AC4" w14:textId="77777777" w:rsidR="00B26EB2" w:rsidRPr="004A7284" w:rsidRDefault="00B26EB2" w:rsidP="00D2205B">
            <w:pPr>
              <w:jc w:val="center"/>
            </w:pPr>
            <w:r w:rsidRPr="004A7284">
              <w:t>3.2</w:t>
            </w:r>
          </w:p>
        </w:tc>
      </w:tr>
      <w:tr w:rsidR="00B26EB2" w:rsidRPr="004A7284" w14:paraId="0DBD6116" w14:textId="77777777" w:rsidTr="00D2205B">
        <w:tc>
          <w:tcPr>
            <w:tcW w:w="4106" w:type="dxa"/>
            <w:tcBorders>
              <w:top w:val="nil"/>
              <w:left w:val="nil"/>
              <w:bottom w:val="nil"/>
              <w:right w:val="nil"/>
            </w:tcBorders>
          </w:tcPr>
          <w:p w14:paraId="12CCC544" w14:textId="77777777" w:rsidR="00B26EB2" w:rsidRPr="004A7284" w:rsidRDefault="00B26EB2" w:rsidP="00D2205B">
            <w:pPr>
              <w:rPr>
                <w:i/>
                <w:iCs/>
              </w:rPr>
            </w:pPr>
            <w:r w:rsidRPr="004A7284">
              <w:rPr>
                <w:i/>
                <w:iCs/>
              </w:rPr>
              <w:t>Personality disorders</w:t>
            </w:r>
          </w:p>
        </w:tc>
        <w:tc>
          <w:tcPr>
            <w:tcW w:w="2552" w:type="dxa"/>
            <w:gridSpan w:val="2"/>
            <w:tcBorders>
              <w:top w:val="nil"/>
              <w:left w:val="nil"/>
              <w:bottom w:val="nil"/>
              <w:right w:val="nil"/>
            </w:tcBorders>
          </w:tcPr>
          <w:p w14:paraId="54B8746E" w14:textId="77777777" w:rsidR="00B26EB2" w:rsidRPr="004A7284" w:rsidRDefault="00B26EB2" w:rsidP="00D2205B">
            <w:pPr>
              <w:jc w:val="center"/>
            </w:pPr>
            <w:r w:rsidRPr="004A7284">
              <w:t>6</w:t>
            </w:r>
          </w:p>
        </w:tc>
        <w:tc>
          <w:tcPr>
            <w:tcW w:w="2358" w:type="dxa"/>
            <w:gridSpan w:val="2"/>
            <w:tcBorders>
              <w:top w:val="nil"/>
              <w:left w:val="nil"/>
              <w:bottom w:val="nil"/>
              <w:right w:val="nil"/>
            </w:tcBorders>
          </w:tcPr>
          <w:p w14:paraId="435778AD" w14:textId="77777777" w:rsidR="00B26EB2" w:rsidRPr="004A7284" w:rsidRDefault="00B26EB2" w:rsidP="00D2205B">
            <w:pPr>
              <w:jc w:val="center"/>
            </w:pPr>
            <w:r w:rsidRPr="004A7284">
              <w:t>0.1</w:t>
            </w:r>
          </w:p>
        </w:tc>
      </w:tr>
      <w:tr w:rsidR="00B26EB2" w:rsidRPr="004A7284" w14:paraId="0B225832" w14:textId="77777777" w:rsidTr="00D2205B">
        <w:tc>
          <w:tcPr>
            <w:tcW w:w="4106" w:type="dxa"/>
            <w:tcBorders>
              <w:top w:val="nil"/>
              <w:left w:val="nil"/>
              <w:bottom w:val="nil"/>
              <w:right w:val="nil"/>
            </w:tcBorders>
          </w:tcPr>
          <w:p w14:paraId="35425379" w14:textId="77777777" w:rsidR="00B26EB2" w:rsidRPr="004A7284" w:rsidRDefault="00B26EB2" w:rsidP="00D2205B">
            <w:pPr>
              <w:rPr>
                <w:i/>
                <w:iCs/>
              </w:rPr>
            </w:pPr>
            <w:r w:rsidRPr="004A7284">
              <w:rPr>
                <w:i/>
                <w:iCs/>
              </w:rPr>
              <w:t>Trauma&amp; stressor related disorders &amp; states</w:t>
            </w:r>
          </w:p>
        </w:tc>
        <w:tc>
          <w:tcPr>
            <w:tcW w:w="2552" w:type="dxa"/>
            <w:gridSpan w:val="2"/>
            <w:tcBorders>
              <w:top w:val="nil"/>
              <w:left w:val="nil"/>
              <w:bottom w:val="nil"/>
              <w:right w:val="nil"/>
            </w:tcBorders>
          </w:tcPr>
          <w:p w14:paraId="4C891190" w14:textId="77777777" w:rsidR="00B26EB2" w:rsidRPr="004A7284" w:rsidRDefault="00B26EB2" w:rsidP="00D2205B">
            <w:pPr>
              <w:jc w:val="center"/>
            </w:pPr>
            <w:r w:rsidRPr="004A7284">
              <w:t>136</w:t>
            </w:r>
          </w:p>
        </w:tc>
        <w:tc>
          <w:tcPr>
            <w:tcW w:w="2358" w:type="dxa"/>
            <w:gridSpan w:val="2"/>
            <w:tcBorders>
              <w:top w:val="nil"/>
              <w:left w:val="nil"/>
              <w:bottom w:val="nil"/>
              <w:right w:val="nil"/>
            </w:tcBorders>
          </w:tcPr>
          <w:p w14:paraId="41739B87" w14:textId="77777777" w:rsidR="00B26EB2" w:rsidRPr="004A7284" w:rsidRDefault="00B26EB2" w:rsidP="00D2205B">
            <w:pPr>
              <w:jc w:val="center"/>
            </w:pPr>
            <w:r w:rsidRPr="004A7284">
              <w:t>2.8</w:t>
            </w:r>
          </w:p>
        </w:tc>
      </w:tr>
      <w:tr w:rsidR="00B26EB2" w:rsidRPr="004A7284" w14:paraId="20D48AA5" w14:textId="77777777" w:rsidTr="00D2205B">
        <w:tc>
          <w:tcPr>
            <w:tcW w:w="4106" w:type="dxa"/>
            <w:tcBorders>
              <w:top w:val="nil"/>
              <w:left w:val="nil"/>
              <w:bottom w:val="nil"/>
              <w:right w:val="nil"/>
            </w:tcBorders>
          </w:tcPr>
          <w:p w14:paraId="3F9E3AF3" w14:textId="77777777" w:rsidR="00B26EB2" w:rsidRPr="004A7284" w:rsidRDefault="00B26EB2" w:rsidP="00D2205B">
            <w:pPr>
              <w:rPr>
                <w:i/>
                <w:iCs/>
              </w:rPr>
            </w:pPr>
            <w:r w:rsidRPr="004A7284">
              <w:rPr>
                <w:i/>
                <w:iCs/>
              </w:rPr>
              <w:t>Alcohol-related mental disorders</w:t>
            </w:r>
          </w:p>
        </w:tc>
        <w:tc>
          <w:tcPr>
            <w:tcW w:w="2552" w:type="dxa"/>
            <w:gridSpan w:val="2"/>
            <w:tcBorders>
              <w:top w:val="nil"/>
              <w:left w:val="nil"/>
              <w:bottom w:val="nil"/>
              <w:right w:val="nil"/>
            </w:tcBorders>
          </w:tcPr>
          <w:p w14:paraId="34484C60" w14:textId="77777777" w:rsidR="00B26EB2" w:rsidRPr="004A7284" w:rsidRDefault="00B26EB2" w:rsidP="00D2205B">
            <w:pPr>
              <w:jc w:val="center"/>
            </w:pPr>
            <w:r w:rsidRPr="004A7284">
              <w:t>20</w:t>
            </w:r>
          </w:p>
        </w:tc>
        <w:tc>
          <w:tcPr>
            <w:tcW w:w="2358" w:type="dxa"/>
            <w:gridSpan w:val="2"/>
            <w:tcBorders>
              <w:top w:val="nil"/>
              <w:left w:val="nil"/>
              <w:bottom w:val="nil"/>
              <w:right w:val="nil"/>
            </w:tcBorders>
          </w:tcPr>
          <w:p w14:paraId="54A6DF62" w14:textId="77777777" w:rsidR="00B26EB2" w:rsidRPr="004A7284" w:rsidRDefault="00B26EB2" w:rsidP="00D2205B">
            <w:pPr>
              <w:jc w:val="center"/>
            </w:pPr>
            <w:r w:rsidRPr="004A7284">
              <w:t>0.4</w:t>
            </w:r>
          </w:p>
        </w:tc>
      </w:tr>
      <w:tr w:rsidR="00B26EB2" w:rsidRPr="004A7284" w14:paraId="31E83D19" w14:textId="77777777" w:rsidTr="00D2205B">
        <w:tc>
          <w:tcPr>
            <w:tcW w:w="4106" w:type="dxa"/>
            <w:tcBorders>
              <w:top w:val="nil"/>
              <w:left w:val="nil"/>
              <w:bottom w:val="nil"/>
              <w:right w:val="nil"/>
            </w:tcBorders>
          </w:tcPr>
          <w:p w14:paraId="14D79FD4" w14:textId="77777777" w:rsidR="00B26EB2" w:rsidRPr="004A7284" w:rsidRDefault="00B26EB2" w:rsidP="00D2205B">
            <w:pPr>
              <w:rPr>
                <w:i/>
                <w:iCs/>
              </w:rPr>
            </w:pPr>
            <w:r w:rsidRPr="004A7284">
              <w:rPr>
                <w:i/>
                <w:iCs/>
              </w:rPr>
              <w:t xml:space="preserve">Other </w:t>
            </w:r>
          </w:p>
        </w:tc>
        <w:tc>
          <w:tcPr>
            <w:tcW w:w="2552" w:type="dxa"/>
            <w:gridSpan w:val="2"/>
            <w:tcBorders>
              <w:top w:val="nil"/>
              <w:left w:val="nil"/>
              <w:bottom w:val="nil"/>
              <w:right w:val="nil"/>
            </w:tcBorders>
          </w:tcPr>
          <w:p w14:paraId="2F1B5139" w14:textId="77777777" w:rsidR="00B26EB2" w:rsidRPr="004A7284" w:rsidRDefault="00B26EB2" w:rsidP="00D2205B">
            <w:pPr>
              <w:jc w:val="center"/>
            </w:pPr>
            <w:r w:rsidRPr="004A7284">
              <w:t>11</w:t>
            </w:r>
          </w:p>
        </w:tc>
        <w:tc>
          <w:tcPr>
            <w:tcW w:w="2358" w:type="dxa"/>
            <w:gridSpan w:val="2"/>
            <w:tcBorders>
              <w:top w:val="nil"/>
              <w:left w:val="nil"/>
              <w:bottom w:val="nil"/>
              <w:right w:val="nil"/>
            </w:tcBorders>
          </w:tcPr>
          <w:p w14:paraId="4607BCF1" w14:textId="77777777" w:rsidR="00B26EB2" w:rsidRPr="004A7284" w:rsidRDefault="00B26EB2" w:rsidP="00D2205B">
            <w:pPr>
              <w:jc w:val="center"/>
            </w:pPr>
            <w:r w:rsidRPr="004A7284">
              <w:t>0.2</w:t>
            </w:r>
          </w:p>
        </w:tc>
      </w:tr>
      <w:tr w:rsidR="00B26EB2" w:rsidRPr="004A7284" w14:paraId="23C9E458" w14:textId="77777777" w:rsidTr="00D2205B">
        <w:tc>
          <w:tcPr>
            <w:tcW w:w="4106" w:type="dxa"/>
            <w:tcBorders>
              <w:top w:val="nil"/>
              <w:left w:val="nil"/>
              <w:bottom w:val="single" w:sz="4" w:space="0" w:color="auto"/>
              <w:right w:val="nil"/>
            </w:tcBorders>
          </w:tcPr>
          <w:p w14:paraId="357CAFDD" w14:textId="77777777" w:rsidR="00B26EB2" w:rsidRPr="004A7284" w:rsidRDefault="00B26EB2" w:rsidP="00D2205B">
            <w:pPr>
              <w:rPr>
                <w:b/>
                <w:bCs/>
              </w:rPr>
            </w:pPr>
          </w:p>
        </w:tc>
        <w:tc>
          <w:tcPr>
            <w:tcW w:w="2552" w:type="dxa"/>
            <w:gridSpan w:val="2"/>
            <w:tcBorders>
              <w:top w:val="nil"/>
              <w:left w:val="nil"/>
              <w:bottom w:val="single" w:sz="4" w:space="0" w:color="auto"/>
              <w:right w:val="nil"/>
            </w:tcBorders>
          </w:tcPr>
          <w:p w14:paraId="0B738B94" w14:textId="77777777" w:rsidR="00B26EB2" w:rsidRPr="004A7284" w:rsidRDefault="00B26EB2" w:rsidP="00D2205B">
            <w:pPr>
              <w:jc w:val="center"/>
            </w:pPr>
          </w:p>
        </w:tc>
        <w:tc>
          <w:tcPr>
            <w:tcW w:w="2358" w:type="dxa"/>
            <w:gridSpan w:val="2"/>
            <w:tcBorders>
              <w:top w:val="nil"/>
              <w:left w:val="nil"/>
              <w:bottom w:val="single" w:sz="4" w:space="0" w:color="auto"/>
              <w:right w:val="nil"/>
            </w:tcBorders>
          </w:tcPr>
          <w:p w14:paraId="6ABE5B85" w14:textId="77777777" w:rsidR="00B26EB2" w:rsidRPr="004A7284" w:rsidRDefault="00B26EB2" w:rsidP="00D2205B">
            <w:pPr>
              <w:jc w:val="center"/>
            </w:pPr>
          </w:p>
        </w:tc>
      </w:tr>
      <w:tr w:rsidR="00B26EB2" w:rsidRPr="004A7284" w14:paraId="55421F4C" w14:textId="77777777" w:rsidTr="00D2205B">
        <w:tc>
          <w:tcPr>
            <w:tcW w:w="4106" w:type="dxa"/>
            <w:tcBorders>
              <w:top w:val="single" w:sz="4" w:space="0" w:color="auto"/>
              <w:left w:val="nil"/>
              <w:bottom w:val="nil"/>
              <w:right w:val="nil"/>
            </w:tcBorders>
          </w:tcPr>
          <w:p w14:paraId="1349D472" w14:textId="77777777" w:rsidR="00B26EB2" w:rsidRPr="004A7284" w:rsidRDefault="00B26EB2" w:rsidP="00D2205B">
            <w:pPr>
              <w:rPr>
                <w:b/>
                <w:bCs/>
              </w:rPr>
            </w:pPr>
            <w:r w:rsidRPr="004A7284">
              <w:rPr>
                <w:b/>
                <w:bCs/>
              </w:rPr>
              <w:t>Physical disability</w:t>
            </w:r>
          </w:p>
        </w:tc>
        <w:tc>
          <w:tcPr>
            <w:tcW w:w="2552" w:type="dxa"/>
            <w:gridSpan w:val="2"/>
            <w:tcBorders>
              <w:top w:val="single" w:sz="4" w:space="0" w:color="auto"/>
              <w:left w:val="nil"/>
              <w:bottom w:val="nil"/>
              <w:right w:val="nil"/>
            </w:tcBorders>
          </w:tcPr>
          <w:p w14:paraId="1267D00A" w14:textId="77777777" w:rsidR="00B26EB2" w:rsidRPr="004A7284" w:rsidRDefault="00B26EB2" w:rsidP="00D2205B">
            <w:pPr>
              <w:jc w:val="center"/>
            </w:pPr>
            <w:r w:rsidRPr="004A7284">
              <w:t>24</w:t>
            </w:r>
          </w:p>
        </w:tc>
        <w:tc>
          <w:tcPr>
            <w:tcW w:w="2358" w:type="dxa"/>
            <w:gridSpan w:val="2"/>
            <w:tcBorders>
              <w:top w:val="single" w:sz="4" w:space="0" w:color="auto"/>
              <w:left w:val="nil"/>
              <w:bottom w:val="nil"/>
              <w:right w:val="nil"/>
            </w:tcBorders>
          </w:tcPr>
          <w:p w14:paraId="33A4D312" w14:textId="77777777" w:rsidR="00B26EB2" w:rsidRPr="004A7284" w:rsidRDefault="00B26EB2" w:rsidP="00D2205B">
            <w:pPr>
              <w:jc w:val="center"/>
            </w:pPr>
            <w:r w:rsidRPr="004A7284">
              <w:t>0.5</w:t>
            </w:r>
          </w:p>
        </w:tc>
      </w:tr>
      <w:tr w:rsidR="00B26EB2" w:rsidRPr="004A7284" w14:paraId="224AD100" w14:textId="77777777" w:rsidTr="00D2205B">
        <w:tc>
          <w:tcPr>
            <w:tcW w:w="4106" w:type="dxa"/>
            <w:tcBorders>
              <w:top w:val="nil"/>
              <w:left w:val="nil"/>
              <w:bottom w:val="single" w:sz="4" w:space="0" w:color="auto"/>
              <w:right w:val="nil"/>
            </w:tcBorders>
          </w:tcPr>
          <w:p w14:paraId="64B78491" w14:textId="77777777" w:rsidR="00B26EB2" w:rsidRPr="004A7284" w:rsidRDefault="00B26EB2" w:rsidP="00D2205B">
            <w:pPr>
              <w:rPr>
                <w:b/>
                <w:bCs/>
              </w:rPr>
            </w:pPr>
          </w:p>
        </w:tc>
        <w:tc>
          <w:tcPr>
            <w:tcW w:w="2552" w:type="dxa"/>
            <w:gridSpan w:val="2"/>
            <w:tcBorders>
              <w:top w:val="nil"/>
              <w:left w:val="nil"/>
              <w:bottom w:val="single" w:sz="4" w:space="0" w:color="auto"/>
              <w:right w:val="nil"/>
            </w:tcBorders>
          </w:tcPr>
          <w:p w14:paraId="6F65A655" w14:textId="77777777" w:rsidR="00B26EB2" w:rsidRPr="004A7284" w:rsidRDefault="00B26EB2" w:rsidP="00D2205B">
            <w:pPr>
              <w:jc w:val="center"/>
            </w:pPr>
          </w:p>
        </w:tc>
        <w:tc>
          <w:tcPr>
            <w:tcW w:w="2358" w:type="dxa"/>
            <w:gridSpan w:val="2"/>
            <w:tcBorders>
              <w:top w:val="nil"/>
              <w:left w:val="nil"/>
              <w:bottom w:val="single" w:sz="4" w:space="0" w:color="auto"/>
              <w:right w:val="nil"/>
            </w:tcBorders>
          </w:tcPr>
          <w:p w14:paraId="29AB0E28" w14:textId="77777777" w:rsidR="00B26EB2" w:rsidRPr="004A7284" w:rsidRDefault="00B26EB2" w:rsidP="00D2205B">
            <w:pPr>
              <w:jc w:val="center"/>
            </w:pPr>
          </w:p>
        </w:tc>
      </w:tr>
    </w:tbl>
    <w:p w14:paraId="403BFB33" w14:textId="3E47DCEE" w:rsidR="00A55E84" w:rsidRPr="004A7284" w:rsidRDefault="00B26EB2" w:rsidP="00BB71AB">
      <w:pPr>
        <w:spacing w:after="120" w:line="480" w:lineRule="auto"/>
        <w:jc w:val="both"/>
        <w:rPr>
          <w:rFonts w:cstheme="minorHAnsi"/>
          <w:bCs/>
          <w:i/>
          <w:iCs/>
          <w:lang w:val="en-GB"/>
        </w:rPr>
      </w:pPr>
      <w:r w:rsidRPr="004A7284">
        <w:rPr>
          <w:rFonts w:cstheme="minorHAnsi"/>
          <w:bCs/>
          <w:i/>
          <w:iCs/>
          <w:lang w:val="en-GB"/>
        </w:rPr>
        <w:t xml:space="preserve"> </w:t>
      </w:r>
    </w:p>
    <w:p w14:paraId="69E28036" w14:textId="69E2B422" w:rsidR="00F00D36" w:rsidRPr="004A7284" w:rsidRDefault="00F00D36" w:rsidP="00BB71AB">
      <w:pPr>
        <w:spacing w:after="120" w:line="480" w:lineRule="auto"/>
        <w:jc w:val="both"/>
        <w:rPr>
          <w:rFonts w:cstheme="minorHAnsi"/>
          <w:bCs/>
          <w:i/>
          <w:iCs/>
          <w:lang w:val="en-GB"/>
        </w:rPr>
      </w:pPr>
      <w:r w:rsidRPr="004A7284">
        <w:rPr>
          <w:rFonts w:cstheme="minorHAnsi"/>
          <w:bCs/>
          <w:i/>
          <w:iCs/>
          <w:lang w:val="en-GB"/>
        </w:rPr>
        <w:lastRenderedPageBreak/>
        <w:t xml:space="preserve">Changes in Prevalence and Incidence: </w:t>
      </w:r>
    </w:p>
    <w:p w14:paraId="392569E6" w14:textId="1BC83A40" w:rsidR="002255F9" w:rsidRPr="004A7284" w:rsidRDefault="002255F9" w:rsidP="00BB71AB">
      <w:pPr>
        <w:spacing w:after="120" w:line="480" w:lineRule="auto"/>
        <w:jc w:val="both"/>
        <w:rPr>
          <w:rFonts w:cstheme="minorHAnsi"/>
          <w:bCs/>
          <w:lang w:val="en-GB"/>
        </w:rPr>
      </w:pPr>
      <w:r w:rsidRPr="004A7284">
        <w:rPr>
          <w:rFonts w:cstheme="minorHAnsi"/>
          <w:bCs/>
          <w:lang w:val="en-GB"/>
        </w:rPr>
        <w:t xml:space="preserve">Figure 2 displays the incidence and prevalence counts for alcohol dependence and hazardous drinking in each year. The slope of the lines suggests that while there </w:t>
      </w:r>
      <w:proofErr w:type="gramStart"/>
      <w:r w:rsidR="0023373D" w:rsidRPr="004A7284">
        <w:rPr>
          <w:rFonts w:cstheme="minorHAnsi"/>
          <w:bCs/>
          <w:lang w:val="en-GB"/>
        </w:rPr>
        <w:t>were</w:t>
      </w:r>
      <w:proofErr w:type="gramEnd"/>
      <w:r w:rsidR="0023373D" w:rsidRPr="004A7284">
        <w:rPr>
          <w:rFonts w:cstheme="minorHAnsi"/>
          <w:bCs/>
          <w:lang w:val="en-GB"/>
        </w:rPr>
        <w:t xml:space="preserve"> </w:t>
      </w:r>
      <w:r w:rsidRPr="004A7284">
        <w:rPr>
          <w:rFonts w:cstheme="minorHAnsi"/>
          <w:bCs/>
          <w:lang w:val="en-GB"/>
        </w:rPr>
        <w:t>year on year decreases in new incidence from 2017</w:t>
      </w:r>
      <w:r w:rsidR="00F6276B" w:rsidRPr="004A7284">
        <w:rPr>
          <w:rFonts w:cstheme="minorHAnsi"/>
          <w:bCs/>
          <w:lang w:val="en-GB"/>
        </w:rPr>
        <w:t>-20</w:t>
      </w:r>
      <w:r w:rsidRPr="004A7284">
        <w:rPr>
          <w:rFonts w:cstheme="minorHAnsi"/>
          <w:bCs/>
          <w:lang w:val="en-GB"/>
        </w:rPr>
        <w:t xml:space="preserve">, there was less change in prevalence over the 5 years. </w:t>
      </w:r>
    </w:p>
    <w:p w14:paraId="68FA83DB" w14:textId="0718D0F7" w:rsidR="002255F9" w:rsidRPr="004A7284" w:rsidRDefault="002255F9" w:rsidP="002255F9">
      <w:pPr>
        <w:spacing w:after="120" w:line="480" w:lineRule="auto"/>
        <w:jc w:val="center"/>
        <w:rPr>
          <w:rFonts w:cstheme="minorHAnsi"/>
          <w:bCs/>
          <w:lang w:val="en-GB"/>
        </w:rPr>
      </w:pPr>
      <w:r w:rsidRPr="004A7284">
        <w:rPr>
          <w:rFonts w:cstheme="minorHAnsi"/>
          <w:bCs/>
          <w:lang w:val="en-GB"/>
        </w:rPr>
        <w:t>&lt;&lt;Insert Figure 2 about here&gt;&gt;</w:t>
      </w:r>
    </w:p>
    <w:p w14:paraId="5E154601" w14:textId="2C532594" w:rsidR="002255F9" w:rsidRPr="004A7284" w:rsidRDefault="002255F9" w:rsidP="00BB71AB">
      <w:pPr>
        <w:spacing w:after="120" w:line="480" w:lineRule="auto"/>
        <w:jc w:val="both"/>
        <w:rPr>
          <w:rFonts w:cstheme="minorHAnsi"/>
          <w:bCs/>
          <w:lang w:val="en-GB"/>
        </w:rPr>
      </w:pPr>
      <w:r w:rsidRPr="004A7284">
        <w:rPr>
          <w:rFonts w:cstheme="minorHAnsi"/>
          <w:bCs/>
          <w:lang w:val="en-GB"/>
        </w:rPr>
        <w:t>To assess if these changes in incidence and prevalence were significant between each year</w:t>
      </w:r>
      <w:r w:rsidR="0023373D" w:rsidRPr="004A7284">
        <w:rPr>
          <w:rFonts w:cstheme="minorHAnsi"/>
          <w:bCs/>
          <w:lang w:val="en-GB"/>
        </w:rPr>
        <w:t>,</w:t>
      </w:r>
      <w:r w:rsidRPr="004A7284">
        <w:rPr>
          <w:rFonts w:cstheme="minorHAnsi"/>
          <w:bCs/>
          <w:lang w:val="en-GB"/>
        </w:rPr>
        <w:t xml:space="preserve"> we conducted Chi Square goodness of fit tests between each paired year (corrected for multiple comparisons). Test statistics and significance levels are displayed in Table 2 below. Incidence of hazardous drinking diagnoses in primary care significantly decreased year on year from 2017</w:t>
      </w:r>
      <w:r w:rsidR="00624FDB" w:rsidRPr="004A7284">
        <w:rPr>
          <w:rFonts w:cstheme="minorHAnsi"/>
          <w:bCs/>
          <w:lang w:val="en-GB"/>
        </w:rPr>
        <w:t>-</w:t>
      </w:r>
      <w:r w:rsidRPr="004A7284">
        <w:rPr>
          <w:rFonts w:cstheme="minorHAnsi"/>
          <w:bCs/>
          <w:lang w:val="en-GB"/>
        </w:rPr>
        <w:t xml:space="preserve">20, with no significant difference between 2020-21. Incidence of hazardous drinking </w:t>
      </w:r>
      <w:r w:rsidR="00624FDB" w:rsidRPr="004A7284">
        <w:rPr>
          <w:rFonts w:cstheme="minorHAnsi"/>
          <w:bCs/>
          <w:lang w:val="en-GB"/>
        </w:rPr>
        <w:t>decreased significantly year on year from 2017-20, with a significant increase from 2020-21. For prevalence of alcohol dependence, there was a significant increase in prevalence between 2017-19, and significant decreases in prevalence between 2018-20 and 20</w:t>
      </w:r>
      <w:r w:rsidR="006E2E86" w:rsidRPr="004A7284">
        <w:rPr>
          <w:rFonts w:cstheme="minorHAnsi"/>
          <w:bCs/>
          <w:lang w:val="en-GB"/>
        </w:rPr>
        <w:t>19</w:t>
      </w:r>
      <w:r w:rsidR="00624FDB" w:rsidRPr="004A7284">
        <w:rPr>
          <w:rFonts w:cstheme="minorHAnsi"/>
          <w:bCs/>
          <w:lang w:val="en-GB"/>
        </w:rPr>
        <w:t>-21</w:t>
      </w:r>
      <w:r w:rsidR="006E2E86" w:rsidRPr="004A7284">
        <w:rPr>
          <w:rFonts w:cstheme="minorHAnsi"/>
          <w:bCs/>
          <w:lang w:val="en-GB"/>
        </w:rPr>
        <w:t xml:space="preserve">. For prevalence of hazardous drinking diagnoses, 2020 was significantly lower than all other years. </w:t>
      </w:r>
      <w:r w:rsidRPr="004A7284">
        <w:rPr>
          <w:rFonts w:cstheme="minorHAnsi"/>
          <w:bCs/>
          <w:lang w:val="en-GB"/>
        </w:rPr>
        <w:t xml:space="preserve"> </w:t>
      </w:r>
    </w:p>
    <w:p w14:paraId="31BBD2E9" w14:textId="77777777" w:rsidR="00E31366" w:rsidRPr="004A7284" w:rsidRDefault="00E31366" w:rsidP="00BB71AB">
      <w:pPr>
        <w:spacing w:after="120" w:line="480" w:lineRule="auto"/>
        <w:jc w:val="both"/>
        <w:rPr>
          <w:rFonts w:cstheme="minorHAnsi"/>
          <w:bCs/>
          <w:u w:val="single"/>
          <w:lang w:val="en-GB"/>
        </w:rPr>
      </w:pPr>
    </w:p>
    <w:p w14:paraId="767843B3" w14:textId="77777777" w:rsidR="00E31366" w:rsidRPr="004A7284" w:rsidRDefault="00E31366" w:rsidP="00BB71AB">
      <w:pPr>
        <w:spacing w:after="120" w:line="480" w:lineRule="auto"/>
        <w:jc w:val="both"/>
        <w:rPr>
          <w:rFonts w:cstheme="minorHAnsi"/>
          <w:bCs/>
          <w:u w:val="single"/>
          <w:lang w:val="en-GB"/>
        </w:rPr>
      </w:pPr>
    </w:p>
    <w:p w14:paraId="2B8C7926" w14:textId="77777777" w:rsidR="00E31366" w:rsidRPr="004A7284" w:rsidRDefault="00E31366" w:rsidP="00BB71AB">
      <w:pPr>
        <w:spacing w:after="120" w:line="480" w:lineRule="auto"/>
        <w:jc w:val="both"/>
        <w:rPr>
          <w:rFonts w:cstheme="minorHAnsi"/>
          <w:bCs/>
          <w:u w:val="single"/>
          <w:lang w:val="en-GB"/>
        </w:rPr>
      </w:pPr>
    </w:p>
    <w:p w14:paraId="5DD69A9D" w14:textId="77777777" w:rsidR="00E31366" w:rsidRPr="004A7284" w:rsidRDefault="00E31366" w:rsidP="00BB71AB">
      <w:pPr>
        <w:spacing w:after="120" w:line="480" w:lineRule="auto"/>
        <w:jc w:val="both"/>
        <w:rPr>
          <w:rFonts w:cstheme="minorHAnsi"/>
          <w:bCs/>
          <w:u w:val="single"/>
          <w:lang w:val="en-GB"/>
        </w:rPr>
      </w:pPr>
    </w:p>
    <w:p w14:paraId="636B4F4D" w14:textId="77777777" w:rsidR="00E31366" w:rsidRPr="004A7284" w:rsidRDefault="00E31366" w:rsidP="00BB71AB">
      <w:pPr>
        <w:spacing w:after="120" w:line="480" w:lineRule="auto"/>
        <w:jc w:val="both"/>
        <w:rPr>
          <w:rFonts w:cstheme="minorHAnsi"/>
          <w:bCs/>
          <w:u w:val="single"/>
          <w:lang w:val="en-GB"/>
        </w:rPr>
      </w:pPr>
    </w:p>
    <w:p w14:paraId="4CEBE89C" w14:textId="77777777" w:rsidR="00E31366" w:rsidRPr="004A7284" w:rsidRDefault="00E31366" w:rsidP="00BB71AB">
      <w:pPr>
        <w:spacing w:after="120" w:line="480" w:lineRule="auto"/>
        <w:jc w:val="both"/>
        <w:rPr>
          <w:rFonts w:cstheme="minorHAnsi"/>
          <w:bCs/>
          <w:u w:val="single"/>
          <w:lang w:val="en-GB"/>
        </w:rPr>
      </w:pPr>
    </w:p>
    <w:p w14:paraId="02634ADD" w14:textId="77777777" w:rsidR="00E31366" w:rsidRPr="004A7284" w:rsidRDefault="00E31366" w:rsidP="00BB71AB">
      <w:pPr>
        <w:spacing w:after="120" w:line="480" w:lineRule="auto"/>
        <w:jc w:val="both"/>
        <w:rPr>
          <w:rFonts w:cstheme="minorHAnsi"/>
          <w:bCs/>
          <w:u w:val="single"/>
          <w:lang w:val="en-GB"/>
        </w:rPr>
      </w:pPr>
    </w:p>
    <w:p w14:paraId="2DCD7619" w14:textId="77777777" w:rsidR="00E31366" w:rsidRPr="004A7284" w:rsidRDefault="00E31366" w:rsidP="00BB71AB">
      <w:pPr>
        <w:spacing w:after="120" w:line="480" w:lineRule="auto"/>
        <w:jc w:val="both"/>
        <w:rPr>
          <w:rFonts w:cstheme="minorHAnsi"/>
          <w:bCs/>
          <w:u w:val="single"/>
          <w:lang w:val="en-GB"/>
        </w:rPr>
      </w:pPr>
    </w:p>
    <w:p w14:paraId="1625F9B2" w14:textId="77777777" w:rsidR="00E31366" w:rsidRPr="004A7284" w:rsidRDefault="00E31366" w:rsidP="00BB71AB">
      <w:pPr>
        <w:spacing w:after="120" w:line="480" w:lineRule="auto"/>
        <w:jc w:val="both"/>
        <w:rPr>
          <w:rFonts w:cstheme="minorHAnsi"/>
          <w:bCs/>
          <w:u w:val="single"/>
          <w:lang w:val="en-GB"/>
        </w:rPr>
      </w:pPr>
    </w:p>
    <w:p w14:paraId="26C4657F" w14:textId="3E386FCE" w:rsidR="00A562B5" w:rsidRPr="004A7284" w:rsidRDefault="00A562B5" w:rsidP="00BB71AB">
      <w:pPr>
        <w:spacing w:after="120" w:line="480" w:lineRule="auto"/>
        <w:jc w:val="both"/>
        <w:rPr>
          <w:rFonts w:cstheme="minorHAnsi"/>
          <w:bCs/>
          <w:u w:val="single"/>
          <w:lang w:val="en-GB"/>
        </w:rPr>
      </w:pPr>
      <w:r w:rsidRPr="004A7284">
        <w:rPr>
          <w:rFonts w:cstheme="minorHAnsi"/>
          <w:bCs/>
          <w:u w:val="single"/>
          <w:lang w:val="en-GB"/>
        </w:rPr>
        <w:lastRenderedPageBreak/>
        <w:t xml:space="preserve">Table 2: Chi square test statistics and significant for paired year comparisons in incidence and prevalence. </w:t>
      </w:r>
    </w:p>
    <w:tbl>
      <w:tblPr>
        <w:tblStyle w:val="TableGrid"/>
        <w:tblW w:w="896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9"/>
        <w:gridCol w:w="941"/>
        <w:gridCol w:w="1096"/>
        <w:gridCol w:w="941"/>
        <w:gridCol w:w="1040"/>
        <w:gridCol w:w="706"/>
        <w:gridCol w:w="843"/>
        <w:gridCol w:w="814"/>
        <w:gridCol w:w="1096"/>
      </w:tblGrid>
      <w:tr w:rsidR="00380961" w:rsidRPr="004A7284" w14:paraId="6F0F70FF" w14:textId="043CBAFF" w:rsidTr="00917AB9">
        <w:trPr>
          <w:trHeight w:val="620"/>
        </w:trPr>
        <w:tc>
          <w:tcPr>
            <w:tcW w:w="0" w:type="auto"/>
            <w:tcBorders>
              <w:top w:val="single" w:sz="4" w:space="0" w:color="auto"/>
              <w:bottom w:val="single" w:sz="4" w:space="0" w:color="auto"/>
            </w:tcBorders>
          </w:tcPr>
          <w:p w14:paraId="0F354B17" w14:textId="66652457" w:rsidR="00380961" w:rsidRPr="004A7284" w:rsidRDefault="00380961" w:rsidP="00380961">
            <w:pPr>
              <w:spacing w:after="120"/>
              <w:jc w:val="both"/>
              <w:rPr>
                <w:rFonts w:cstheme="minorHAnsi"/>
                <w:b/>
                <w:lang w:val="en-GB"/>
              </w:rPr>
            </w:pPr>
            <w:r w:rsidRPr="004A7284">
              <w:rPr>
                <w:rFonts w:cstheme="minorHAnsi"/>
                <w:b/>
                <w:lang w:val="en-GB"/>
              </w:rPr>
              <w:t>Comparison</w:t>
            </w:r>
          </w:p>
        </w:tc>
        <w:tc>
          <w:tcPr>
            <w:tcW w:w="0" w:type="auto"/>
            <w:gridSpan w:val="4"/>
            <w:tcBorders>
              <w:top w:val="single" w:sz="4" w:space="0" w:color="auto"/>
              <w:bottom w:val="single" w:sz="4" w:space="0" w:color="auto"/>
            </w:tcBorders>
          </w:tcPr>
          <w:p w14:paraId="18BD7C47" w14:textId="1C6DE4E8" w:rsidR="00380961" w:rsidRPr="004A7284" w:rsidRDefault="00380961" w:rsidP="00237737">
            <w:pPr>
              <w:spacing w:after="120"/>
              <w:jc w:val="center"/>
              <w:rPr>
                <w:rFonts w:cstheme="minorHAnsi"/>
                <w:b/>
                <w:lang w:val="en-GB"/>
              </w:rPr>
            </w:pPr>
            <w:r w:rsidRPr="004A7284">
              <w:rPr>
                <w:rFonts w:cstheme="minorHAnsi"/>
                <w:b/>
                <w:lang w:val="en-GB"/>
              </w:rPr>
              <w:t>Incidence</w:t>
            </w:r>
          </w:p>
        </w:tc>
        <w:tc>
          <w:tcPr>
            <w:tcW w:w="0" w:type="auto"/>
            <w:gridSpan w:val="4"/>
            <w:tcBorders>
              <w:top w:val="single" w:sz="4" w:space="0" w:color="auto"/>
              <w:bottom w:val="single" w:sz="4" w:space="0" w:color="auto"/>
            </w:tcBorders>
          </w:tcPr>
          <w:p w14:paraId="28DE7033" w14:textId="6473679D" w:rsidR="00380961" w:rsidRPr="004A7284" w:rsidRDefault="00380961" w:rsidP="00237737">
            <w:pPr>
              <w:spacing w:after="120"/>
              <w:jc w:val="center"/>
              <w:rPr>
                <w:rFonts w:cstheme="minorHAnsi"/>
                <w:b/>
                <w:lang w:val="en-GB"/>
              </w:rPr>
            </w:pPr>
            <w:r w:rsidRPr="004A7284">
              <w:rPr>
                <w:rFonts w:cstheme="minorHAnsi"/>
                <w:b/>
                <w:lang w:val="en-GB"/>
              </w:rPr>
              <w:t>Prevalence</w:t>
            </w:r>
          </w:p>
        </w:tc>
      </w:tr>
      <w:tr w:rsidR="00380961" w:rsidRPr="004A7284" w14:paraId="12ED8343" w14:textId="77777777" w:rsidTr="00917AB9">
        <w:trPr>
          <w:trHeight w:val="620"/>
        </w:trPr>
        <w:tc>
          <w:tcPr>
            <w:tcW w:w="0" w:type="auto"/>
            <w:tcBorders>
              <w:top w:val="single" w:sz="4" w:space="0" w:color="auto"/>
            </w:tcBorders>
          </w:tcPr>
          <w:p w14:paraId="3339759F" w14:textId="77777777" w:rsidR="00380961" w:rsidRPr="004A7284" w:rsidRDefault="00380961" w:rsidP="00380961">
            <w:pPr>
              <w:spacing w:after="120"/>
              <w:jc w:val="both"/>
              <w:rPr>
                <w:rFonts w:cstheme="minorHAnsi"/>
                <w:b/>
                <w:lang w:val="en-GB"/>
              </w:rPr>
            </w:pPr>
          </w:p>
        </w:tc>
        <w:tc>
          <w:tcPr>
            <w:tcW w:w="0" w:type="auto"/>
            <w:gridSpan w:val="2"/>
            <w:tcBorders>
              <w:top w:val="single" w:sz="4" w:space="0" w:color="auto"/>
              <w:bottom w:val="single" w:sz="4" w:space="0" w:color="auto"/>
            </w:tcBorders>
          </w:tcPr>
          <w:p w14:paraId="7FA5F642" w14:textId="1BDAC736" w:rsidR="00380961" w:rsidRPr="004A7284" w:rsidRDefault="00380961" w:rsidP="00237737">
            <w:pPr>
              <w:spacing w:after="120"/>
              <w:jc w:val="center"/>
              <w:rPr>
                <w:rFonts w:cstheme="minorHAnsi"/>
                <w:b/>
                <w:lang w:val="en-GB"/>
              </w:rPr>
            </w:pPr>
            <w:r w:rsidRPr="004A7284">
              <w:rPr>
                <w:rFonts w:cstheme="minorHAnsi"/>
                <w:b/>
                <w:lang w:val="en-GB"/>
              </w:rPr>
              <w:t>Dependence</w:t>
            </w:r>
          </w:p>
        </w:tc>
        <w:tc>
          <w:tcPr>
            <w:tcW w:w="0" w:type="auto"/>
            <w:gridSpan w:val="2"/>
            <w:tcBorders>
              <w:top w:val="single" w:sz="4" w:space="0" w:color="auto"/>
              <w:bottom w:val="single" w:sz="4" w:space="0" w:color="auto"/>
            </w:tcBorders>
          </w:tcPr>
          <w:p w14:paraId="3E62138D" w14:textId="1656CFF8" w:rsidR="00380961" w:rsidRPr="004A7284" w:rsidRDefault="00380961" w:rsidP="00237737">
            <w:pPr>
              <w:spacing w:after="120"/>
              <w:jc w:val="center"/>
              <w:rPr>
                <w:rFonts w:cstheme="minorHAnsi"/>
                <w:b/>
                <w:lang w:val="en-GB"/>
              </w:rPr>
            </w:pPr>
            <w:r w:rsidRPr="004A7284">
              <w:rPr>
                <w:rFonts w:cstheme="minorHAnsi"/>
                <w:b/>
                <w:lang w:val="en-GB"/>
              </w:rPr>
              <w:t>Hazardous</w:t>
            </w:r>
          </w:p>
        </w:tc>
        <w:tc>
          <w:tcPr>
            <w:tcW w:w="0" w:type="auto"/>
            <w:gridSpan w:val="2"/>
            <w:tcBorders>
              <w:top w:val="single" w:sz="4" w:space="0" w:color="auto"/>
              <w:bottom w:val="single" w:sz="4" w:space="0" w:color="auto"/>
            </w:tcBorders>
          </w:tcPr>
          <w:p w14:paraId="6FDA33B7" w14:textId="61B910E5" w:rsidR="00380961" w:rsidRPr="004A7284" w:rsidRDefault="00380961" w:rsidP="00237737">
            <w:pPr>
              <w:spacing w:after="120"/>
              <w:jc w:val="center"/>
              <w:rPr>
                <w:rFonts w:cstheme="minorHAnsi"/>
                <w:b/>
                <w:lang w:val="en-GB"/>
              </w:rPr>
            </w:pPr>
            <w:r w:rsidRPr="004A7284">
              <w:rPr>
                <w:rFonts w:cstheme="minorHAnsi"/>
                <w:b/>
                <w:lang w:val="en-GB"/>
              </w:rPr>
              <w:t>Dependence</w:t>
            </w:r>
          </w:p>
        </w:tc>
        <w:tc>
          <w:tcPr>
            <w:tcW w:w="0" w:type="auto"/>
            <w:gridSpan w:val="2"/>
            <w:tcBorders>
              <w:top w:val="single" w:sz="4" w:space="0" w:color="auto"/>
              <w:bottom w:val="single" w:sz="4" w:space="0" w:color="auto"/>
            </w:tcBorders>
          </w:tcPr>
          <w:p w14:paraId="5394EA4E" w14:textId="216F3B07" w:rsidR="00380961" w:rsidRPr="004A7284" w:rsidRDefault="00380961" w:rsidP="00237737">
            <w:pPr>
              <w:spacing w:after="120"/>
              <w:jc w:val="center"/>
              <w:rPr>
                <w:rFonts w:cstheme="minorHAnsi"/>
                <w:b/>
                <w:lang w:val="en-GB"/>
              </w:rPr>
            </w:pPr>
            <w:r w:rsidRPr="004A7284">
              <w:rPr>
                <w:rFonts w:cstheme="minorHAnsi"/>
                <w:b/>
                <w:lang w:val="en-GB"/>
              </w:rPr>
              <w:t>Hazardous</w:t>
            </w:r>
          </w:p>
        </w:tc>
      </w:tr>
      <w:tr w:rsidR="00380961" w:rsidRPr="004A7284" w14:paraId="4162D3BE" w14:textId="77777777" w:rsidTr="00917AB9">
        <w:trPr>
          <w:trHeight w:val="620"/>
        </w:trPr>
        <w:tc>
          <w:tcPr>
            <w:tcW w:w="0" w:type="auto"/>
            <w:tcBorders>
              <w:bottom w:val="single" w:sz="4" w:space="0" w:color="auto"/>
            </w:tcBorders>
          </w:tcPr>
          <w:p w14:paraId="5536F9AA" w14:textId="77777777" w:rsidR="00380961" w:rsidRPr="004A7284" w:rsidRDefault="00380961" w:rsidP="00380961">
            <w:pPr>
              <w:spacing w:after="120"/>
              <w:jc w:val="both"/>
              <w:rPr>
                <w:rFonts w:cstheme="minorHAnsi"/>
                <w:b/>
                <w:lang w:val="en-GB"/>
              </w:rPr>
            </w:pPr>
          </w:p>
        </w:tc>
        <w:tc>
          <w:tcPr>
            <w:tcW w:w="0" w:type="auto"/>
            <w:tcBorders>
              <w:top w:val="single" w:sz="4" w:space="0" w:color="auto"/>
              <w:bottom w:val="single" w:sz="4" w:space="0" w:color="auto"/>
            </w:tcBorders>
          </w:tcPr>
          <w:p w14:paraId="7713C780" w14:textId="16DA972C" w:rsidR="00380961" w:rsidRPr="004A7284" w:rsidRDefault="00380961" w:rsidP="00237737">
            <w:pPr>
              <w:spacing w:after="120"/>
              <w:jc w:val="center"/>
              <w:rPr>
                <w:rFonts w:cstheme="minorHAnsi"/>
                <w:b/>
                <w:vertAlign w:val="superscript"/>
                <w:lang w:val="en-GB"/>
              </w:rPr>
            </w:pPr>
            <w:r w:rsidRPr="004A7284">
              <w:rPr>
                <w:rFonts w:cstheme="minorHAnsi"/>
                <w:b/>
                <w:lang w:val="en-GB"/>
              </w:rPr>
              <w:t>χ</w:t>
            </w:r>
            <w:r w:rsidRPr="004A7284">
              <w:rPr>
                <w:rFonts w:cstheme="minorHAnsi"/>
                <w:b/>
                <w:vertAlign w:val="superscript"/>
                <w:lang w:val="en-GB"/>
              </w:rPr>
              <w:t>2</w:t>
            </w:r>
          </w:p>
        </w:tc>
        <w:tc>
          <w:tcPr>
            <w:tcW w:w="0" w:type="auto"/>
            <w:tcBorders>
              <w:top w:val="single" w:sz="4" w:space="0" w:color="auto"/>
              <w:bottom w:val="single" w:sz="4" w:space="0" w:color="auto"/>
            </w:tcBorders>
          </w:tcPr>
          <w:p w14:paraId="3914C873" w14:textId="62594253" w:rsidR="00380961" w:rsidRPr="004A7284" w:rsidRDefault="00237737" w:rsidP="00237737">
            <w:pPr>
              <w:spacing w:after="120"/>
              <w:jc w:val="center"/>
              <w:rPr>
                <w:rFonts w:cstheme="minorHAnsi"/>
                <w:b/>
                <w:lang w:val="en-GB"/>
              </w:rPr>
            </w:pPr>
            <w:r w:rsidRPr="004A7284">
              <w:rPr>
                <w:rFonts w:cstheme="minorHAnsi"/>
                <w:b/>
                <w:lang w:val="en-GB"/>
              </w:rPr>
              <w:t>p</w:t>
            </w:r>
          </w:p>
        </w:tc>
        <w:tc>
          <w:tcPr>
            <w:tcW w:w="0" w:type="auto"/>
            <w:tcBorders>
              <w:top w:val="single" w:sz="4" w:space="0" w:color="auto"/>
              <w:bottom w:val="single" w:sz="4" w:space="0" w:color="auto"/>
            </w:tcBorders>
          </w:tcPr>
          <w:p w14:paraId="4007B493" w14:textId="14EAB553" w:rsidR="00380961" w:rsidRPr="004A7284" w:rsidRDefault="00237737" w:rsidP="00237737">
            <w:pPr>
              <w:spacing w:after="120"/>
              <w:jc w:val="center"/>
              <w:rPr>
                <w:rFonts w:cstheme="minorHAnsi"/>
                <w:b/>
                <w:lang w:val="en-GB"/>
              </w:rPr>
            </w:pPr>
            <w:r w:rsidRPr="004A7284">
              <w:rPr>
                <w:rFonts w:cstheme="minorHAnsi"/>
                <w:b/>
                <w:lang w:val="en-GB"/>
              </w:rPr>
              <w:t>χ</w:t>
            </w:r>
            <w:r w:rsidRPr="004A7284">
              <w:rPr>
                <w:rFonts w:cstheme="minorHAnsi"/>
                <w:b/>
                <w:vertAlign w:val="superscript"/>
                <w:lang w:val="en-GB"/>
              </w:rPr>
              <w:t>2</w:t>
            </w:r>
          </w:p>
        </w:tc>
        <w:tc>
          <w:tcPr>
            <w:tcW w:w="0" w:type="auto"/>
            <w:tcBorders>
              <w:top w:val="single" w:sz="4" w:space="0" w:color="auto"/>
              <w:bottom w:val="single" w:sz="4" w:space="0" w:color="auto"/>
            </w:tcBorders>
          </w:tcPr>
          <w:p w14:paraId="6D5AA783" w14:textId="15525261" w:rsidR="00380961" w:rsidRPr="004A7284" w:rsidRDefault="00237737" w:rsidP="00237737">
            <w:pPr>
              <w:spacing w:after="120"/>
              <w:jc w:val="center"/>
              <w:rPr>
                <w:rFonts w:cstheme="minorHAnsi"/>
                <w:b/>
                <w:lang w:val="en-GB"/>
              </w:rPr>
            </w:pPr>
            <w:r w:rsidRPr="004A7284">
              <w:rPr>
                <w:rFonts w:cstheme="minorHAnsi"/>
                <w:b/>
                <w:lang w:val="en-GB"/>
              </w:rPr>
              <w:t>p</w:t>
            </w:r>
          </w:p>
        </w:tc>
        <w:tc>
          <w:tcPr>
            <w:tcW w:w="0" w:type="auto"/>
            <w:tcBorders>
              <w:top w:val="single" w:sz="4" w:space="0" w:color="auto"/>
              <w:bottom w:val="single" w:sz="4" w:space="0" w:color="auto"/>
            </w:tcBorders>
          </w:tcPr>
          <w:p w14:paraId="26F15166" w14:textId="0B3AF929" w:rsidR="00380961" w:rsidRPr="004A7284" w:rsidRDefault="00237737" w:rsidP="00237737">
            <w:pPr>
              <w:spacing w:after="120"/>
              <w:jc w:val="center"/>
              <w:rPr>
                <w:rFonts w:cstheme="minorHAnsi"/>
                <w:b/>
                <w:lang w:val="en-GB"/>
              </w:rPr>
            </w:pPr>
            <w:r w:rsidRPr="004A7284">
              <w:rPr>
                <w:rFonts w:cstheme="minorHAnsi"/>
                <w:b/>
                <w:lang w:val="en-GB"/>
              </w:rPr>
              <w:t>χ</w:t>
            </w:r>
            <w:r w:rsidRPr="004A7284">
              <w:rPr>
                <w:rFonts w:cstheme="minorHAnsi"/>
                <w:b/>
                <w:vertAlign w:val="superscript"/>
                <w:lang w:val="en-GB"/>
              </w:rPr>
              <w:t>2</w:t>
            </w:r>
          </w:p>
        </w:tc>
        <w:tc>
          <w:tcPr>
            <w:tcW w:w="0" w:type="auto"/>
            <w:tcBorders>
              <w:top w:val="single" w:sz="4" w:space="0" w:color="auto"/>
              <w:bottom w:val="single" w:sz="4" w:space="0" w:color="auto"/>
            </w:tcBorders>
          </w:tcPr>
          <w:p w14:paraId="49D92E39" w14:textId="122F201E" w:rsidR="00380961" w:rsidRPr="004A7284" w:rsidRDefault="00237737" w:rsidP="00237737">
            <w:pPr>
              <w:spacing w:after="120"/>
              <w:jc w:val="center"/>
              <w:rPr>
                <w:rFonts w:cstheme="minorHAnsi"/>
                <w:b/>
                <w:lang w:val="en-GB"/>
              </w:rPr>
            </w:pPr>
            <w:r w:rsidRPr="004A7284">
              <w:rPr>
                <w:rFonts w:cstheme="minorHAnsi"/>
                <w:b/>
                <w:lang w:val="en-GB"/>
              </w:rPr>
              <w:t>p</w:t>
            </w:r>
          </w:p>
        </w:tc>
        <w:tc>
          <w:tcPr>
            <w:tcW w:w="0" w:type="auto"/>
            <w:tcBorders>
              <w:top w:val="single" w:sz="4" w:space="0" w:color="auto"/>
              <w:bottom w:val="single" w:sz="4" w:space="0" w:color="auto"/>
            </w:tcBorders>
          </w:tcPr>
          <w:p w14:paraId="32C9AA17" w14:textId="707562B9" w:rsidR="00380961" w:rsidRPr="004A7284" w:rsidRDefault="00237737" w:rsidP="00237737">
            <w:pPr>
              <w:spacing w:after="120"/>
              <w:jc w:val="center"/>
              <w:rPr>
                <w:rFonts w:cstheme="minorHAnsi"/>
                <w:b/>
                <w:lang w:val="en-GB"/>
              </w:rPr>
            </w:pPr>
            <w:r w:rsidRPr="004A7284">
              <w:rPr>
                <w:rFonts w:cstheme="minorHAnsi"/>
                <w:b/>
                <w:lang w:val="en-GB"/>
              </w:rPr>
              <w:t>χ</w:t>
            </w:r>
            <w:r w:rsidRPr="004A7284">
              <w:rPr>
                <w:rFonts w:cstheme="minorHAnsi"/>
                <w:b/>
                <w:vertAlign w:val="superscript"/>
                <w:lang w:val="en-GB"/>
              </w:rPr>
              <w:t>2</w:t>
            </w:r>
          </w:p>
        </w:tc>
        <w:tc>
          <w:tcPr>
            <w:tcW w:w="0" w:type="auto"/>
            <w:tcBorders>
              <w:top w:val="single" w:sz="4" w:space="0" w:color="auto"/>
              <w:bottom w:val="single" w:sz="4" w:space="0" w:color="auto"/>
            </w:tcBorders>
          </w:tcPr>
          <w:p w14:paraId="2BCF0E42" w14:textId="34EFE050" w:rsidR="00380961" w:rsidRPr="004A7284" w:rsidRDefault="00237737" w:rsidP="00237737">
            <w:pPr>
              <w:spacing w:after="120"/>
              <w:jc w:val="center"/>
              <w:rPr>
                <w:rFonts w:cstheme="minorHAnsi"/>
                <w:b/>
                <w:lang w:val="en-GB"/>
              </w:rPr>
            </w:pPr>
            <w:r w:rsidRPr="004A7284">
              <w:rPr>
                <w:rFonts w:cstheme="minorHAnsi"/>
                <w:b/>
                <w:lang w:val="en-GB"/>
              </w:rPr>
              <w:t>p</w:t>
            </w:r>
          </w:p>
        </w:tc>
      </w:tr>
      <w:tr w:rsidR="00157806" w:rsidRPr="004A7284" w14:paraId="634C0752" w14:textId="78832AC4" w:rsidTr="00917AB9">
        <w:trPr>
          <w:trHeight w:val="620"/>
        </w:trPr>
        <w:tc>
          <w:tcPr>
            <w:tcW w:w="0" w:type="auto"/>
            <w:tcBorders>
              <w:top w:val="single" w:sz="4" w:space="0" w:color="auto"/>
            </w:tcBorders>
          </w:tcPr>
          <w:p w14:paraId="3E6ED202" w14:textId="1B096105" w:rsidR="00380961" w:rsidRPr="004A7284" w:rsidRDefault="00380961" w:rsidP="00380961">
            <w:pPr>
              <w:spacing w:after="120"/>
              <w:jc w:val="both"/>
              <w:rPr>
                <w:rFonts w:cstheme="minorHAnsi"/>
                <w:bCs/>
                <w:i/>
                <w:iCs/>
                <w:lang w:val="en-GB"/>
              </w:rPr>
            </w:pPr>
            <w:r w:rsidRPr="004A7284">
              <w:rPr>
                <w:rFonts w:cstheme="minorHAnsi"/>
                <w:bCs/>
                <w:i/>
                <w:iCs/>
                <w:lang w:val="en-GB"/>
              </w:rPr>
              <w:t>2017v2018</w:t>
            </w:r>
          </w:p>
        </w:tc>
        <w:tc>
          <w:tcPr>
            <w:tcW w:w="0" w:type="auto"/>
            <w:tcBorders>
              <w:top w:val="single" w:sz="4" w:space="0" w:color="auto"/>
            </w:tcBorders>
          </w:tcPr>
          <w:p w14:paraId="3C7B7BCE" w14:textId="51A44C2D" w:rsidR="00237737" w:rsidRPr="004A7284" w:rsidRDefault="00237737" w:rsidP="00A55E84">
            <w:pPr>
              <w:spacing w:after="120"/>
              <w:jc w:val="center"/>
              <w:rPr>
                <w:rFonts w:cstheme="minorHAnsi"/>
                <w:bCs/>
                <w:lang w:val="en-GB"/>
              </w:rPr>
            </w:pPr>
            <w:r w:rsidRPr="004A7284">
              <w:rPr>
                <w:rFonts w:cstheme="minorHAnsi"/>
                <w:bCs/>
                <w:lang w:val="en-GB"/>
              </w:rPr>
              <w:t>80.77</w:t>
            </w:r>
          </w:p>
        </w:tc>
        <w:tc>
          <w:tcPr>
            <w:tcW w:w="0" w:type="auto"/>
            <w:tcBorders>
              <w:top w:val="single" w:sz="4" w:space="0" w:color="auto"/>
            </w:tcBorders>
          </w:tcPr>
          <w:p w14:paraId="684968F2" w14:textId="4F50F897" w:rsidR="00380961" w:rsidRPr="004A7284" w:rsidRDefault="00237737" w:rsidP="00A55E84">
            <w:pPr>
              <w:spacing w:after="120"/>
              <w:jc w:val="center"/>
              <w:rPr>
                <w:rFonts w:cstheme="minorHAnsi"/>
                <w:b/>
                <w:lang w:val="en-GB"/>
              </w:rPr>
            </w:pPr>
            <w:r w:rsidRPr="004A7284">
              <w:rPr>
                <w:rFonts w:cstheme="minorHAnsi"/>
                <w:b/>
                <w:lang w:val="en-GB"/>
              </w:rPr>
              <w:t>.0001</w:t>
            </w:r>
            <w:r w:rsidR="0032646E" w:rsidRPr="004A7284">
              <w:rPr>
                <w:rFonts w:cstheme="minorHAnsi"/>
                <w:b/>
                <w:lang w:val="en-GB"/>
              </w:rPr>
              <w:t xml:space="preserve"> </w:t>
            </w:r>
            <w:r w:rsidR="005A1D22" w:rsidRPr="004A7284">
              <w:sym w:font="Wingdings" w:char="F0E2"/>
            </w:r>
          </w:p>
        </w:tc>
        <w:tc>
          <w:tcPr>
            <w:tcW w:w="0" w:type="auto"/>
            <w:tcBorders>
              <w:top w:val="single" w:sz="4" w:space="0" w:color="auto"/>
            </w:tcBorders>
          </w:tcPr>
          <w:p w14:paraId="14806FC6" w14:textId="2DD9C4A9" w:rsidR="00380961" w:rsidRPr="004A7284" w:rsidRDefault="00157806" w:rsidP="00A55E84">
            <w:pPr>
              <w:spacing w:after="120"/>
              <w:jc w:val="center"/>
              <w:rPr>
                <w:rFonts w:cstheme="minorHAnsi"/>
                <w:bCs/>
                <w:lang w:val="en-GB"/>
              </w:rPr>
            </w:pPr>
            <w:r w:rsidRPr="004A7284">
              <w:rPr>
                <w:rFonts w:cstheme="minorHAnsi"/>
                <w:bCs/>
                <w:lang w:val="en-GB"/>
              </w:rPr>
              <w:t>48.07</w:t>
            </w:r>
          </w:p>
        </w:tc>
        <w:tc>
          <w:tcPr>
            <w:tcW w:w="0" w:type="auto"/>
            <w:tcBorders>
              <w:top w:val="single" w:sz="4" w:space="0" w:color="auto"/>
            </w:tcBorders>
          </w:tcPr>
          <w:p w14:paraId="4088CBD3" w14:textId="0B93E9EE" w:rsidR="00380961" w:rsidRPr="004A7284" w:rsidRDefault="00157806" w:rsidP="00A55E84">
            <w:pPr>
              <w:spacing w:after="120"/>
              <w:jc w:val="center"/>
              <w:rPr>
                <w:rFonts w:cstheme="minorHAnsi"/>
                <w:b/>
                <w:lang w:val="en-GB"/>
              </w:rPr>
            </w:pPr>
            <w:r w:rsidRPr="004A7284">
              <w:rPr>
                <w:rFonts w:cstheme="minorHAnsi"/>
                <w:b/>
                <w:lang w:val="en-GB"/>
              </w:rPr>
              <w:t>.0001</w:t>
            </w:r>
            <w:r w:rsidR="005A1D22" w:rsidRPr="004A7284">
              <w:sym w:font="Wingdings" w:char="F0E2"/>
            </w:r>
          </w:p>
        </w:tc>
        <w:tc>
          <w:tcPr>
            <w:tcW w:w="0" w:type="auto"/>
            <w:tcBorders>
              <w:top w:val="single" w:sz="4" w:space="0" w:color="auto"/>
            </w:tcBorders>
          </w:tcPr>
          <w:p w14:paraId="72728EEF" w14:textId="5ED1E853" w:rsidR="00380961" w:rsidRPr="004A7284" w:rsidRDefault="00157806" w:rsidP="00A55E84">
            <w:pPr>
              <w:spacing w:after="120"/>
              <w:jc w:val="center"/>
              <w:rPr>
                <w:rFonts w:cstheme="minorHAnsi"/>
                <w:bCs/>
                <w:lang w:val="en-GB"/>
              </w:rPr>
            </w:pPr>
            <w:r w:rsidRPr="004A7284">
              <w:rPr>
                <w:rFonts w:cstheme="minorHAnsi"/>
                <w:bCs/>
                <w:lang w:val="en-GB"/>
              </w:rPr>
              <w:t>3.68</w:t>
            </w:r>
          </w:p>
        </w:tc>
        <w:tc>
          <w:tcPr>
            <w:tcW w:w="0" w:type="auto"/>
            <w:tcBorders>
              <w:top w:val="single" w:sz="4" w:space="0" w:color="auto"/>
            </w:tcBorders>
          </w:tcPr>
          <w:p w14:paraId="7838B551" w14:textId="405E7586" w:rsidR="00380961" w:rsidRPr="004A7284" w:rsidRDefault="00157806" w:rsidP="00A55E84">
            <w:pPr>
              <w:spacing w:after="120"/>
              <w:jc w:val="center"/>
              <w:rPr>
                <w:rFonts w:cstheme="minorHAnsi"/>
                <w:bCs/>
                <w:lang w:val="en-GB"/>
              </w:rPr>
            </w:pPr>
            <w:r w:rsidRPr="004A7284">
              <w:rPr>
                <w:rFonts w:cstheme="minorHAnsi"/>
                <w:bCs/>
                <w:lang w:val="en-GB"/>
              </w:rPr>
              <w:t>.06</w:t>
            </w:r>
          </w:p>
        </w:tc>
        <w:tc>
          <w:tcPr>
            <w:tcW w:w="0" w:type="auto"/>
            <w:tcBorders>
              <w:top w:val="single" w:sz="4" w:space="0" w:color="auto"/>
            </w:tcBorders>
          </w:tcPr>
          <w:p w14:paraId="14378E5D" w14:textId="107E6901" w:rsidR="00380961" w:rsidRPr="004A7284" w:rsidRDefault="00157806" w:rsidP="00A55E84">
            <w:pPr>
              <w:spacing w:after="120"/>
              <w:jc w:val="center"/>
              <w:rPr>
                <w:rFonts w:cstheme="minorHAnsi"/>
                <w:bCs/>
                <w:lang w:val="en-GB"/>
              </w:rPr>
            </w:pPr>
            <w:r w:rsidRPr="004A7284">
              <w:rPr>
                <w:rFonts w:cstheme="minorHAnsi"/>
                <w:bCs/>
                <w:lang w:val="en-GB"/>
              </w:rPr>
              <w:t>.45</w:t>
            </w:r>
          </w:p>
        </w:tc>
        <w:tc>
          <w:tcPr>
            <w:tcW w:w="0" w:type="auto"/>
            <w:tcBorders>
              <w:top w:val="single" w:sz="4" w:space="0" w:color="auto"/>
            </w:tcBorders>
          </w:tcPr>
          <w:p w14:paraId="5B0CA407" w14:textId="04E4691D" w:rsidR="00380961" w:rsidRPr="004A7284" w:rsidRDefault="00157806" w:rsidP="00A55E84">
            <w:pPr>
              <w:spacing w:after="120"/>
              <w:jc w:val="center"/>
              <w:rPr>
                <w:rFonts w:cstheme="minorHAnsi"/>
                <w:bCs/>
                <w:lang w:val="en-GB"/>
              </w:rPr>
            </w:pPr>
            <w:r w:rsidRPr="004A7284">
              <w:rPr>
                <w:rFonts w:cstheme="minorHAnsi"/>
                <w:bCs/>
                <w:lang w:val="en-GB"/>
              </w:rPr>
              <w:t>.50</w:t>
            </w:r>
          </w:p>
        </w:tc>
      </w:tr>
      <w:tr w:rsidR="00157806" w:rsidRPr="004A7284" w14:paraId="04D74D73" w14:textId="0EFD8014" w:rsidTr="00917AB9">
        <w:trPr>
          <w:trHeight w:val="620"/>
        </w:trPr>
        <w:tc>
          <w:tcPr>
            <w:tcW w:w="0" w:type="auto"/>
          </w:tcPr>
          <w:p w14:paraId="76C1B4D8" w14:textId="4E42162C" w:rsidR="00380961" w:rsidRPr="004A7284" w:rsidRDefault="00380961" w:rsidP="00380961">
            <w:pPr>
              <w:spacing w:after="120"/>
              <w:jc w:val="both"/>
              <w:rPr>
                <w:rFonts w:cstheme="minorHAnsi"/>
                <w:bCs/>
                <w:i/>
                <w:iCs/>
                <w:lang w:val="en-GB"/>
              </w:rPr>
            </w:pPr>
            <w:r w:rsidRPr="004A7284">
              <w:rPr>
                <w:rFonts w:cstheme="minorHAnsi"/>
                <w:bCs/>
                <w:i/>
                <w:iCs/>
                <w:lang w:val="en-GB"/>
              </w:rPr>
              <w:t>2017v2019</w:t>
            </w:r>
          </w:p>
        </w:tc>
        <w:tc>
          <w:tcPr>
            <w:tcW w:w="0" w:type="auto"/>
          </w:tcPr>
          <w:p w14:paraId="0043BD6E" w14:textId="4CD23838" w:rsidR="00380961" w:rsidRPr="004A7284" w:rsidRDefault="00237737" w:rsidP="00A55E84">
            <w:pPr>
              <w:spacing w:after="120"/>
              <w:jc w:val="center"/>
              <w:rPr>
                <w:rFonts w:cstheme="minorHAnsi"/>
                <w:bCs/>
                <w:lang w:val="en-GB"/>
              </w:rPr>
            </w:pPr>
            <w:r w:rsidRPr="004A7284">
              <w:rPr>
                <w:rFonts w:cstheme="minorHAnsi"/>
                <w:bCs/>
                <w:lang w:val="en-GB"/>
              </w:rPr>
              <w:t>134.70</w:t>
            </w:r>
          </w:p>
        </w:tc>
        <w:tc>
          <w:tcPr>
            <w:tcW w:w="0" w:type="auto"/>
          </w:tcPr>
          <w:p w14:paraId="41C6DB49" w14:textId="47BA4095" w:rsidR="00380961" w:rsidRPr="004A7284" w:rsidRDefault="00237737" w:rsidP="00A55E84">
            <w:pPr>
              <w:spacing w:after="120"/>
              <w:jc w:val="center"/>
              <w:rPr>
                <w:rFonts w:cstheme="minorHAnsi"/>
                <w:b/>
                <w:lang w:val="en-GB"/>
              </w:rPr>
            </w:pPr>
            <w:r w:rsidRPr="004A7284">
              <w:rPr>
                <w:rFonts w:cstheme="minorHAnsi"/>
                <w:b/>
                <w:lang w:val="en-GB"/>
              </w:rPr>
              <w:t>.0001</w:t>
            </w:r>
            <w:r w:rsidR="005A1D22" w:rsidRPr="004A7284">
              <w:sym w:font="Wingdings" w:char="F0E2"/>
            </w:r>
          </w:p>
        </w:tc>
        <w:tc>
          <w:tcPr>
            <w:tcW w:w="0" w:type="auto"/>
          </w:tcPr>
          <w:p w14:paraId="7E317F4A" w14:textId="0E90159E" w:rsidR="00380961" w:rsidRPr="004A7284" w:rsidRDefault="00157806" w:rsidP="00A55E84">
            <w:pPr>
              <w:spacing w:after="120"/>
              <w:jc w:val="center"/>
              <w:rPr>
                <w:rFonts w:cstheme="minorHAnsi"/>
                <w:bCs/>
                <w:lang w:val="en-GB"/>
              </w:rPr>
            </w:pPr>
            <w:r w:rsidRPr="004A7284">
              <w:rPr>
                <w:rFonts w:cstheme="minorHAnsi"/>
                <w:bCs/>
                <w:lang w:val="en-GB"/>
              </w:rPr>
              <w:t>75.79</w:t>
            </w:r>
          </w:p>
        </w:tc>
        <w:tc>
          <w:tcPr>
            <w:tcW w:w="0" w:type="auto"/>
          </w:tcPr>
          <w:p w14:paraId="2F2D532D" w14:textId="13D8E827" w:rsidR="00380961" w:rsidRPr="004A7284" w:rsidRDefault="00157806" w:rsidP="00A55E84">
            <w:pPr>
              <w:spacing w:after="120"/>
              <w:jc w:val="center"/>
              <w:rPr>
                <w:rFonts w:cstheme="minorHAnsi"/>
                <w:b/>
                <w:lang w:val="en-GB"/>
              </w:rPr>
            </w:pPr>
            <w:r w:rsidRPr="004A7284">
              <w:rPr>
                <w:rFonts w:cstheme="minorHAnsi"/>
                <w:b/>
                <w:lang w:val="en-GB"/>
              </w:rPr>
              <w:t>.0001</w:t>
            </w:r>
            <w:r w:rsidR="005A1D22" w:rsidRPr="004A7284">
              <w:sym w:font="Wingdings" w:char="F0E2"/>
            </w:r>
          </w:p>
        </w:tc>
        <w:tc>
          <w:tcPr>
            <w:tcW w:w="0" w:type="auto"/>
          </w:tcPr>
          <w:p w14:paraId="17F3F332" w14:textId="5E9BC48D" w:rsidR="00380961" w:rsidRPr="004A7284" w:rsidRDefault="00157806" w:rsidP="00A55E84">
            <w:pPr>
              <w:spacing w:after="120"/>
              <w:jc w:val="center"/>
              <w:rPr>
                <w:rFonts w:cstheme="minorHAnsi"/>
                <w:bCs/>
                <w:lang w:val="en-GB"/>
              </w:rPr>
            </w:pPr>
            <w:r w:rsidRPr="004A7284">
              <w:rPr>
                <w:rFonts w:cstheme="minorHAnsi"/>
                <w:bCs/>
                <w:lang w:val="en-GB"/>
              </w:rPr>
              <w:t>5.13</w:t>
            </w:r>
          </w:p>
        </w:tc>
        <w:tc>
          <w:tcPr>
            <w:tcW w:w="0" w:type="auto"/>
          </w:tcPr>
          <w:p w14:paraId="79949DC5" w14:textId="224F28E0" w:rsidR="00380961" w:rsidRPr="004A7284" w:rsidRDefault="00157806" w:rsidP="00A55E84">
            <w:pPr>
              <w:spacing w:after="120"/>
              <w:jc w:val="center"/>
              <w:rPr>
                <w:rFonts w:cstheme="minorHAnsi"/>
                <w:b/>
                <w:lang w:val="en-GB"/>
              </w:rPr>
            </w:pPr>
            <w:r w:rsidRPr="004A7284">
              <w:rPr>
                <w:rFonts w:cstheme="minorHAnsi"/>
                <w:b/>
                <w:lang w:val="en-GB"/>
              </w:rPr>
              <w:t>.02</w:t>
            </w:r>
            <w:r w:rsidR="005A1D22" w:rsidRPr="004A7284">
              <w:rPr>
                <w:rFonts w:cstheme="minorHAnsi"/>
                <w:b/>
                <w:lang w:val="en-GB"/>
              </w:rPr>
              <w:t xml:space="preserve"> </w:t>
            </w:r>
            <w:r w:rsidR="005A1D22" w:rsidRPr="004A7284">
              <w:sym w:font="Wingdings" w:char="F0E1"/>
            </w:r>
          </w:p>
        </w:tc>
        <w:tc>
          <w:tcPr>
            <w:tcW w:w="0" w:type="auto"/>
          </w:tcPr>
          <w:p w14:paraId="41922129" w14:textId="7D868E4C" w:rsidR="00380961" w:rsidRPr="004A7284" w:rsidRDefault="00157806" w:rsidP="00A55E84">
            <w:pPr>
              <w:spacing w:after="120"/>
              <w:jc w:val="center"/>
              <w:rPr>
                <w:rFonts w:cstheme="minorHAnsi"/>
                <w:bCs/>
                <w:lang w:val="en-GB"/>
              </w:rPr>
            </w:pPr>
            <w:r w:rsidRPr="004A7284">
              <w:rPr>
                <w:rFonts w:cstheme="minorHAnsi"/>
                <w:bCs/>
                <w:lang w:val="en-GB"/>
              </w:rPr>
              <w:t>.09</w:t>
            </w:r>
          </w:p>
        </w:tc>
        <w:tc>
          <w:tcPr>
            <w:tcW w:w="0" w:type="auto"/>
          </w:tcPr>
          <w:p w14:paraId="2E274972" w14:textId="75B21F73" w:rsidR="00380961" w:rsidRPr="004A7284" w:rsidRDefault="00157806" w:rsidP="00A55E84">
            <w:pPr>
              <w:spacing w:after="120"/>
              <w:jc w:val="center"/>
              <w:rPr>
                <w:rFonts w:cstheme="minorHAnsi"/>
                <w:bCs/>
                <w:lang w:val="en-GB"/>
              </w:rPr>
            </w:pPr>
            <w:r w:rsidRPr="004A7284">
              <w:rPr>
                <w:rFonts w:cstheme="minorHAnsi"/>
                <w:bCs/>
                <w:lang w:val="en-GB"/>
              </w:rPr>
              <w:t>.76</w:t>
            </w:r>
          </w:p>
        </w:tc>
      </w:tr>
      <w:tr w:rsidR="00157806" w:rsidRPr="004A7284" w14:paraId="0DEEAA12" w14:textId="34396D83" w:rsidTr="00917AB9">
        <w:trPr>
          <w:trHeight w:val="604"/>
        </w:trPr>
        <w:tc>
          <w:tcPr>
            <w:tcW w:w="0" w:type="auto"/>
          </w:tcPr>
          <w:p w14:paraId="52C2F30B" w14:textId="74BF1C0D" w:rsidR="00380961" w:rsidRPr="004A7284" w:rsidRDefault="00380961" w:rsidP="00380961">
            <w:pPr>
              <w:spacing w:after="120"/>
              <w:jc w:val="both"/>
              <w:rPr>
                <w:rFonts w:cstheme="minorHAnsi"/>
                <w:bCs/>
                <w:i/>
                <w:iCs/>
                <w:lang w:val="en-GB"/>
              </w:rPr>
            </w:pPr>
            <w:r w:rsidRPr="004A7284">
              <w:rPr>
                <w:rFonts w:cstheme="minorHAnsi"/>
                <w:bCs/>
                <w:i/>
                <w:iCs/>
                <w:lang w:val="en-GB"/>
              </w:rPr>
              <w:t>2017v2020</w:t>
            </w:r>
          </w:p>
        </w:tc>
        <w:tc>
          <w:tcPr>
            <w:tcW w:w="0" w:type="auto"/>
          </w:tcPr>
          <w:p w14:paraId="1BF2C4AA" w14:textId="1773BA8B" w:rsidR="00380961" w:rsidRPr="004A7284" w:rsidRDefault="00237737" w:rsidP="00A55E84">
            <w:pPr>
              <w:spacing w:after="120"/>
              <w:jc w:val="center"/>
              <w:rPr>
                <w:rFonts w:cstheme="minorHAnsi"/>
                <w:bCs/>
                <w:lang w:val="en-GB"/>
              </w:rPr>
            </w:pPr>
            <w:r w:rsidRPr="004A7284">
              <w:rPr>
                <w:rFonts w:cstheme="minorHAnsi"/>
                <w:bCs/>
                <w:lang w:val="en-GB"/>
              </w:rPr>
              <w:t>261.06</w:t>
            </w:r>
          </w:p>
        </w:tc>
        <w:tc>
          <w:tcPr>
            <w:tcW w:w="0" w:type="auto"/>
          </w:tcPr>
          <w:p w14:paraId="4B6F752A" w14:textId="29298E6E" w:rsidR="00380961" w:rsidRPr="004A7284" w:rsidRDefault="00237737" w:rsidP="00A55E84">
            <w:pPr>
              <w:spacing w:after="120"/>
              <w:jc w:val="center"/>
              <w:rPr>
                <w:rFonts w:cstheme="minorHAnsi"/>
                <w:b/>
                <w:lang w:val="en-GB"/>
              </w:rPr>
            </w:pPr>
            <w:r w:rsidRPr="004A7284">
              <w:rPr>
                <w:rFonts w:cstheme="minorHAnsi"/>
                <w:b/>
                <w:lang w:val="en-GB"/>
              </w:rPr>
              <w:t>.0001</w:t>
            </w:r>
            <w:r w:rsidR="005A1D22" w:rsidRPr="004A7284">
              <w:sym w:font="Wingdings" w:char="F0E2"/>
            </w:r>
          </w:p>
        </w:tc>
        <w:tc>
          <w:tcPr>
            <w:tcW w:w="0" w:type="auto"/>
          </w:tcPr>
          <w:p w14:paraId="63E07215" w14:textId="549F7E57" w:rsidR="00380961" w:rsidRPr="004A7284" w:rsidRDefault="00157806" w:rsidP="00A55E84">
            <w:pPr>
              <w:spacing w:after="120"/>
              <w:jc w:val="center"/>
              <w:rPr>
                <w:rFonts w:cstheme="minorHAnsi"/>
                <w:bCs/>
                <w:lang w:val="en-GB"/>
              </w:rPr>
            </w:pPr>
            <w:r w:rsidRPr="004A7284">
              <w:rPr>
                <w:rFonts w:cstheme="minorHAnsi"/>
                <w:bCs/>
                <w:lang w:val="en-GB"/>
              </w:rPr>
              <w:t>174.71</w:t>
            </w:r>
          </w:p>
        </w:tc>
        <w:tc>
          <w:tcPr>
            <w:tcW w:w="0" w:type="auto"/>
          </w:tcPr>
          <w:p w14:paraId="44B9C77A" w14:textId="5ACD7691" w:rsidR="00380961" w:rsidRPr="004A7284" w:rsidRDefault="00157806" w:rsidP="00A55E84">
            <w:pPr>
              <w:spacing w:after="120"/>
              <w:jc w:val="center"/>
              <w:rPr>
                <w:rFonts w:cstheme="minorHAnsi"/>
                <w:b/>
                <w:lang w:val="en-GB"/>
              </w:rPr>
            </w:pPr>
            <w:r w:rsidRPr="004A7284">
              <w:rPr>
                <w:rFonts w:cstheme="minorHAnsi"/>
                <w:b/>
                <w:lang w:val="en-GB"/>
              </w:rPr>
              <w:t>.0001</w:t>
            </w:r>
            <w:r w:rsidR="005A1D22" w:rsidRPr="004A7284">
              <w:sym w:font="Wingdings" w:char="F0E2"/>
            </w:r>
          </w:p>
        </w:tc>
        <w:tc>
          <w:tcPr>
            <w:tcW w:w="0" w:type="auto"/>
          </w:tcPr>
          <w:p w14:paraId="268C9EEF" w14:textId="5783CF7A" w:rsidR="00380961" w:rsidRPr="004A7284" w:rsidRDefault="00157806" w:rsidP="00A55E84">
            <w:pPr>
              <w:spacing w:after="120"/>
              <w:jc w:val="center"/>
              <w:rPr>
                <w:rFonts w:cstheme="minorHAnsi"/>
                <w:bCs/>
                <w:lang w:val="en-GB"/>
              </w:rPr>
            </w:pPr>
            <w:r w:rsidRPr="004A7284">
              <w:rPr>
                <w:rFonts w:cstheme="minorHAnsi"/>
                <w:bCs/>
                <w:lang w:val="en-GB"/>
              </w:rPr>
              <w:t>.21</w:t>
            </w:r>
          </w:p>
        </w:tc>
        <w:tc>
          <w:tcPr>
            <w:tcW w:w="0" w:type="auto"/>
          </w:tcPr>
          <w:p w14:paraId="1857DFBC" w14:textId="5E504E82" w:rsidR="00380961" w:rsidRPr="004A7284" w:rsidRDefault="00157806" w:rsidP="00A55E84">
            <w:pPr>
              <w:spacing w:after="120"/>
              <w:jc w:val="center"/>
              <w:rPr>
                <w:rFonts w:cstheme="minorHAnsi"/>
                <w:bCs/>
                <w:lang w:val="en-GB"/>
              </w:rPr>
            </w:pPr>
            <w:r w:rsidRPr="004A7284">
              <w:rPr>
                <w:rFonts w:cstheme="minorHAnsi"/>
                <w:bCs/>
                <w:lang w:val="en-GB"/>
              </w:rPr>
              <w:t>.64</w:t>
            </w:r>
          </w:p>
        </w:tc>
        <w:tc>
          <w:tcPr>
            <w:tcW w:w="0" w:type="auto"/>
          </w:tcPr>
          <w:p w14:paraId="41409CEF" w14:textId="311EEB9B" w:rsidR="00380961" w:rsidRPr="004A7284" w:rsidRDefault="00157806" w:rsidP="00A55E84">
            <w:pPr>
              <w:spacing w:after="120"/>
              <w:jc w:val="center"/>
              <w:rPr>
                <w:rFonts w:cstheme="minorHAnsi"/>
                <w:bCs/>
                <w:lang w:val="en-GB"/>
              </w:rPr>
            </w:pPr>
            <w:r w:rsidRPr="004A7284">
              <w:rPr>
                <w:rFonts w:cstheme="minorHAnsi"/>
                <w:bCs/>
                <w:lang w:val="en-GB"/>
              </w:rPr>
              <w:t>15.75</w:t>
            </w:r>
          </w:p>
        </w:tc>
        <w:tc>
          <w:tcPr>
            <w:tcW w:w="0" w:type="auto"/>
          </w:tcPr>
          <w:p w14:paraId="1A2AFEED" w14:textId="13B96011" w:rsidR="00380961" w:rsidRPr="004A7284" w:rsidRDefault="00157806" w:rsidP="00A55E84">
            <w:pPr>
              <w:spacing w:after="120"/>
              <w:jc w:val="center"/>
              <w:rPr>
                <w:rFonts w:cstheme="minorHAnsi"/>
                <w:b/>
                <w:lang w:val="en-GB"/>
              </w:rPr>
            </w:pPr>
            <w:r w:rsidRPr="004A7284">
              <w:rPr>
                <w:rFonts w:cstheme="minorHAnsi"/>
                <w:b/>
                <w:lang w:val="en-GB"/>
              </w:rPr>
              <w:t>.00</w:t>
            </w:r>
            <w:r w:rsidR="005A1D22" w:rsidRPr="004A7284">
              <w:sym w:font="Wingdings" w:char="F0E2"/>
            </w:r>
          </w:p>
        </w:tc>
      </w:tr>
      <w:tr w:rsidR="00157806" w:rsidRPr="004A7284" w14:paraId="0BEA8EAB" w14:textId="7E8296BF" w:rsidTr="00917AB9">
        <w:trPr>
          <w:trHeight w:val="620"/>
        </w:trPr>
        <w:tc>
          <w:tcPr>
            <w:tcW w:w="0" w:type="auto"/>
          </w:tcPr>
          <w:p w14:paraId="17FF37E7" w14:textId="12088D8F" w:rsidR="00380961" w:rsidRPr="004A7284" w:rsidRDefault="00380961" w:rsidP="00380961">
            <w:pPr>
              <w:spacing w:after="120"/>
              <w:jc w:val="both"/>
              <w:rPr>
                <w:rFonts w:cstheme="minorHAnsi"/>
                <w:bCs/>
                <w:i/>
                <w:iCs/>
                <w:lang w:val="en-GB"/>
              </w:rPr>
            </w:pPr>
            <w:r w:rsidRPr="004A7284">
              <w:rPr>
                <w:rFonts w:cstheme="minorHAnsi"/>
                <w:bCs/>
                <w:i/>
                <w:iCs/>
                <w:lang w:val="en-GB"/>
              </w:rPr>
              <w:t>2017v2021</w:t>
            </w:r>
          </w:p>
        </w:tc>
        <w:tc>
          <w:tcPr>
            <w:tcW w:w="0" w:type="auto"/>
          </w:tcPr>
          <w:p w14:paraId="351057B5" w14:textId="78BE7347" w:rsidR="00380961" w:rsidRPr="004A7284" w:rsidRDefault="00237737" w:rsidP="00A55E84">
            <w:pPr>
              <w:spacing w:after="120"/>
              <w:jc w:val="center"/>
              <w:rPr>
                <w:rFonts w:cstheme="minorHAnsi"/>
                <w:bCs/>
                <w:lang w:val="en-GB"/>
              </w:rPr>
            </w:pPr>
            <w:r w:rsidRPr="004A7284">
              <w:rPr>
                <w:rFonts w:cstheme="minorHAnsi"/>
                <w:bCs/>
                <w:lang w:val="en-GB"/>
              </w:rPr>
              <w:t>247.32</w:t>
            </w:r>
          </w:p>
        </w:tc>
        <w:tc>
          <w:tcPr>
            <w:tcW w:w="0" w:type="auto"/>
          </w:tcPr>
          <w:p w14:paraId="4F019CD6" w14:textId="6E066E65" w:rsidR="00380961" w:rsidRPr="004A7284" w:rsidRDefault="00237737" w:rsidP="00A55E84">
            <w:pPr>
              <w:spacing w:after="120"/>
              <w:jc w:val="center"/>
              <w:rPr>
                <w:rFonts w:cstheme="minorHAnsi"/>
                <w:b/>
                <w:lang w:val="en-GB"/>
              </w:rPr>
            </w:pPr>
            <w:r w:rsidRPr="004A7284">
              <w:rPr>
                <w:rFonts w:cstheme="minorHAnsi"/>
                <w:b/>
                <w:lang w:val="en-GB"/>
              </w:rPr>
              <w:t>.0001</w:t>
            </w:r>
            <w:r w:rsidR="005A1D22" w:rsidRPr="004A7284">
              <w:sym w:font="Wingdings" w:char="F0E2"/>
            </w:r>
          </w:p>
        </w:tc>
        <w:tc>
          <w:tcPr>
            <w:tcW w:w="0" w:type="auto"/>
          </w:tcPr>
          <w:p w14:paraId="01E05C15" w14:textId="0B3295AF" w:rsidR="00380961" w:rsidRPr="004A7284" w:rsidRDefault="00157806" w:rsidP="00A55E84">
            <w:pPr>
              <w:spacing w:after="120"/>
              <w:jc w:val="center"/>
              <w:rPr>
                <w:rFonts w:cstheme="minorHAnsi"/>
                <w:bCs/>
                <w:lang w:val="en-GB"/>
              </w:rPr>
            </w:pPr>
            <w:r w:rsidRPr="004A7284">
              <w:rPr>
                <w:rFonts w:cstheme="minorHAnsi"/>
                <w:bCs/>
                <w:lang w:val="en-GB"/>
              </w:rPr>
              <w:t>115.63</w:t>
            </w:r>
          </w:p>
        </w:tc>
        <w:tc>
          <w:tcPr>
            <w:tcW w:w="0" w:type="auto"/>
          </w:tcPr>
          <w:p w14:paraId="2981A33A" w14:textId="029552B1" w:rsidR="00380961" w:rsidRPr="004A7284" w:rsidRDefault="00157806" w:rsidP="00A55E84">
            <w:pPr>
              <w:spacing w:after="120"/>
              <w:jc w:val="center"/>
              <w:rPr>
                <w:rFonts w:cstheme="minorHAnsi"/>
                <w:b/>
                <w:lang w:val="en-GB"/>
              </w:rPr>
            </w:pPr>
            <w:r w:rsidRPr="004A7284">
              <w:rPr>
                <w:rFonts w:cstheme="minorHAnsi"/>
                <w:b/>
                <w:lang w:val="en-GB"/>
              </w:rPr>
              <w:t>.0001</w:t>
            </w:r>
            <w:r w:rsidR="005A1D22" w:rsidRPr="004A7284">
              <w:sym w:font="Wingdings" w:char="F0E2"/>
            </w:r>
          </w:p>
        </w:tc>
        <w:tc>
          <w:tcPr>
            <w:tcW w:w="0" w:type="auto"/>
          </w:tcPr>
          <w:p w14:paraId="2894A42B" w14:textId="342E51CC" w:rsidR="00380961" w:rsidRPr="004A7284" w:rsidRDefault="00157806" w:rsidP="00A55E84">
            <w:pPr>
              <w:spacing w:after="120"/>
              <w:jc w:val="center"/>
              <w:rPr>
                <w:rFonts w:cstheme="minorHAnsi"/>
                <w:bCs/>
                <w:lang w:val="en-GB"/>
              </w:rPr>
            </w:pPr>
            <w:r w:rsidRPr="004A7284">
              <w:rPr>
                <w:rFonts w:cstheme="minorHAnsi"/>
                <w:bCs/>
                <w:lang w:val="en-GB"/>
              </w:rPr>
              <w:t>.00</w:t>
            </w:r>
          </w:p>
        </w:tc>
        <w:tc>
          <w:tcPr>
            <w:tcW w:w="0" w:type="auto"/>
          </w:tcPr>
          <w:p w14:paraId="69C12073" w14:textId="54744507" w:rsidR="00380961" w:rsidRPr="004A7284" w:rsidRDefault="00157806" w:rsidP="00A55E84">
            <w:pPr>
              <w:spacing w:after="120"/>
              <w:jc w:val="center"/>
              <w:rPr>
                <w:rFonts w:cstheme="minorHAnsi"/>
                <w:bCs/>
                <w:lang w:val="en-GB"/>
              </w:rPr>
            </w:pPr>
            <w:r w:rsidRPr="004A7284">
              <w:rPr>
                <w:rFonts w:cstheme="minorHAnsi"/>
                <w:bCs/>
                <w:lang w:val="en-GB"/>
              </w:rPr>
              <w:t>1.00</w:t>
            </w:r>
          </w:p>
        </w:tc>
        <w:tc>
          <w:tcPr>
            <w:tcW w:w="0" w:type="auto"/>
          </w:tcPr>
          <w:p w14:paraId="060DDF6B" w14:textId="5B43E097" w:rsidR="00380961" w:rsidRPr="004A7284" w:rsidRDefault="00157806" w:rsidP="00A55E84">
            <w:pPr>
              <w:spacing w:after="120"/>
              <w:jc w:val="center"/>
              <w:rPr>
                <w:rFonts w:cstheme="minorHAnsi"/>
                <w:bCs/>
                <w:lang w:val="en-GB"/>
              </w:rPr>
            </w:pPr>
            <w:r w:rsidRPr="004A7284">
              <w:rPr>
                <w:rFonts w:cstheme="minorHAnsi"/>
                <w:bCs/>
                <w:lang w:val="en-GB"/>
              </w:rPr>
              <w:t>.00</w:t>
            </w:r>
          </w:p>
        </w:tc>
        <w:tc>
          <w:tcPr>
            <w:tcW w:w="0" w:type="auto"/>
          </w:tcPr>
          <w:p w14:paraId="72DE169E" w14:textId="7B684F82" w:rsidR="00380961" w:rsidRPr="004A7284" w:rsidRDefault="00157806" w:rsidP="00A55E84">
            <w:pPr>
              <w:spacing w:after="120"/>
              <w:jc w:val="center"/>
              <w:rPr>
                <w:rFonts w:cstheme="minorHAnsi"/>
                <w:bCs/>
                <w:lang w:val="en-GB"/>
              </w:rPr>
            </w:pPr>
            <w:r w:rsidRPr="004A7284">
              <w:rPr>
                <w:rFonts w:cstheme="minorHAnsi"/>
                <w:bCs/>
                <w:lang w:val="en-GB"/>
              </w:rPr>
              <w:t>.98</w:t>
            </w:r>
          </w:p>
        </w:tc>
      </w:tr>
      <w:tr w:rsidR="00157806" w:rsidRPr="004A7284" w14:paraId="5E32E56E" w14:textId="4D16A7B4" w:rsidTr="00917AB9">
        <w:trPr>
          <w:trHeight w:val="620"/>
        </w:trPr>
        <w:tc>
          <w:tcPr>
            <w:tcW w:w="0" w:type="auto"/>
          </w:tcPr>
          <w:p w14:paraId="406FF031" w14:textId="2C6FA839" w:rsidR="00380961" w:rsidRPr="004A7284" w:rsidRDefault="00380961" w:rsidP="00380961">
            <w:pPr>
              <w:spacing w:after="120"/>
              <w:jc w:val="both"/>
              <w:rPr>
                <w:rFonts w:cstheme="minorHAnsi"/>
                <w:bCs/>
                <w:i/>
                <w:iCs/>
                <w:lang w:val="en-GB"/>
              </w:rPr>
            </w:pPr>
            <w:r w:rsidRPr="004A7284">
              <w:rPr>
                <w:rFonts w:cstheme="minorHAnsi"/>
                <w:bCs/>
                <w:i/>
                <w:iCs/>
                <w:lang w:val="en-GB"/>
              </w:rPr>
              <w:t>2018v2019</w:t>
            </w:r>
          </w:p>
        </w:tc>
        <w:tc>
          <w:tcPr>
            <w:tcW w:w="0" w:type="auto"/>
          </w:tcPr>
          <w:p w14:paraId="215E58E0" w14:textId="12E24E52" w:rsidR="00380961" w:rsidRPr="004A7284" w:rsidRDefault="00237737" w:rsidP="00A55E84">
            <w:pPr>
              <w:spacing w:after="120"/>
              <w:jc w:val="center"/>
              <w:rPr>
                <w:rFonts w:cstheme="minorHAnsi"/>
                <w:bCs/>
                <w:lang w:val="en-GB"/>
              </w:rPr>
            </w:pPr>
            <w:r w:rsidRPr="004A7284">
              <w:rPr>
                <w:rFonts w:cstheme="minorHAnsi"/>
                <w:bCs/>
                <w:lang w:val="en-GB"/>
              </w:rPr>
              <w:t>7.40</w:t>
            </w:r>
          </w:p>
        </w:tc>
        <w:tc>
          <w:tcPr>
            <w:tcW w:w="0" w:type="auto"/>
          </w:tcPr>
          <w:p w14:paraId="3B845162" w14:textId="1E64266B" w:rsidR="00380961" w:rsidRPr="004A7284" w:rsidRDefault="00237737" w:rsidP="00A55E84">
            <w:pPr>
              <w:spacing w:after="120"/>
              <w:jc w:val="center"/>
              <w:rPr>
                <w:rFonts w:cstheme="minorHAnsi"/>
                <w:b/>
                <w:lang w:val="en-GB"/>
              </w:rPr>
            </w:pPr>
            <w:r w:rsidRPr="004A7284">
              <w:rPr>
                <w:rFonts w:cstheme="minorHAnsi"/>
                <w:b/>
                <w:lang w:val="en-GB"/>
              </w:rPr>
              <w:t>.007</w:t>
            </w:r>
            <w:r w:rsidR="005A1D22" w:rsidRPr="004A7284">
              <w:sym w:font="Wingdings" w:char="F0E2"/>
            </w:r>
          </w:p>
        </w:tc>
        <w:tc>
          <w:tcPr>
            <w:tcW w:w="0" w:type="auto"/>
          </w:tcPr>
          <w:p w14:paraId="0AFD4FE9" w14:textId="61102E6B" w:rsidR="00380961" w:rsidRPr="004A7284" w:rsidRDefault="00157806" w:rsidP="00A55E84">
            <w:pPr>
              <w:spacing w:after="120"/>
              <w:jc w:val="center"/>
              <w:rPr>
                <w:rFonts w:cstheme="minorHAnsi"/>
                <w:bCs/>
                <w:lang w:val="en-GB"/>
              </w:rPr>
            </w:pPr>
            <w:r w:rsidRPr="004A7284">
              <w:rPr>
                <w:rFonts w:cstheme="minorHAnsi"/>
                <w:bCs/>
                <w:lang w:val="en-GB"/>
              </w:rPr>
              <w:t>3.25</w:t>
            </w:r>
          </w:p>
        </w:tc>
        <w:tc>
          <w:tcPr>
            <w:tcW w:w="0" w:type="auto"/>
          </w:tcPr>
          <w:p w14:paraId="09B0C696" w14:textId="75E1DCE8" w:rsidR="00380961" w:rsidRPr="004A7284" w:rsidRDefault="00157806" w:rsidP="00A55E84">
            <w:pPr>
              <w:spacing w:after="120"/>
              <w:jc w:val="center"/>
              <w:rPr>
                <w:rFonts w:cstheme="minorHAnsi"/>
                <w:bCs/>
                <w:lang w:val="en-GB"/>
              </w:rPr>
            </w:pPr>
            <w:r w:rsidRPr="004A7284">
              <w:rPr>
                <w:rFonts w:cstheme="minorHAnsi"/>
                <w:bCs/>
                <w:lang w:val="en-GB"/>
              </w:rPr>
              <w:t>.07</w:t>
            </w:r>
          </w:p>
        </w:tc>
        <w:tc>
          <w:tcPr>
            <w:tcW w:w="0" w:type="auto"/>
          </w:tcPr>
          <w:p w14:paraId="430E8EEB" w14:textId="06A2CCC8" w:rsidR="00380961" w:rsidRPr="004A7284" w:rsidRDefault="00157806" w:rsidP="00A55E84">
            <w:pPr>
              <w:spacing w:after="120"/>
              <w:jc w:val="center"/>
              <w:rPr>
                <w:rFonts w:cstheme="minorHAnsi"/>
                <w:bCs/>
                <w:lang w:val="en-GB"/>
              </w:rPr>
            </w:pPr>
            <w:r w:rsidRPr="004A7284">
              <w:rPr>
                <w:rFonts w:cstheme="minorHAnsi"/>
                <w:bCs/>
                <w:lang w:val="en-GB"/>
              </w:rPr>
              <w:t>.12</w:t>
            </w:r>
          </w:p>
        </w:tc>
        <w:tc>
          <w:tcPr>
            <w:tcW w:w="0" w:type="auto"/>
          </w:tcPr>
          <w:p w14:paraId="6DD34DA1" w14:textId="708F8E3C" w:rsidR="00380961" w:rsidRPr="004A7284" w:rsidRDefault="00157806" w:rsidP="00A55E84">
            <w:pPr>
              <w:spacing w:after="120"/>
              <w:jc w:val="center"/>
              <w:rPr>
                <w:rFonts w:cstheme="minorHAnsi"/>
                <w:bCs/>
                <w:lang w:val="en-GB"/>
              </w:rPr>
            </w:pPr>
            <w:r w:rsidRPr="004A7284">
              <w:rPr>
                <w:rFonts w:cstheme="minorHAnsi"/>
                <w:bCs/>
                <w:lang w:val="en-GB"/>
              </w:rPr>
              <w:t>.73</w:t>
            </w:r>
          </w:p>
        </w:tc>
        <w:tc>
          <w:tcPr>
            <w:tcW w:w="0" w:type="auto"/>
          </w:tcPr>
          <w:p w14:paraId="19697A74" w14:textId="01DB80A5" w:rsidR="00380961" w:rsidRPr="004A7284" w:rsidRDefault="00157806" w:rsidP="00A55E84">
            <w:pPr>
              <w:spacing w:after="120"/>
              <w:jc w:val="center"/>
              <w:rPr>
                <w:rFonts w:cstheme="minorHAnsi"/>
                <w:bCs/>
                <w:lang w:val="en-GB"/>
              </w:rPr>
            </w:pPr>
            <w:r w:rsidRPr="004A7284">
              <w:rPr>
                <w:rFonts w:cstheme="minorHAnsi"/>
                <w:bCs/>
                <w:lang w:val="en-GB"/>
              </w:rPr>
              <w:t>.14</w:t>
            </w:r>
          </w:p>
        </w:tc>
        <w:tc>
          <w:tcPr>
            <w:tcW w:w="0" w:type="auto"/>
          </w:tcPr>
          <w:p w14:paraId="792C8B6A" w14:textId="10BF9D51" w:rsidR="00380961" w:rsidRPr="004A7284" w:rsidRDefault="00157806" w:rsidP="00A55E84">
            <w:pPr>
              <w:spacing w:after="120"/>
              <w:jc w:val="center"/>
              <w:rPr>
                <w:rFonts w:cstheme="minorHAnsi"/>
                <w:bCs/>
                <w:lang w:val="en-GB"/>
              </w:rPr>
            </w:pPr>
            <w:r w:rsidRPr="004A7284">
              <w:rPr>
                <w:rFonts w:cstheme="minorHAnsi"/>
                <w:bCs/>
                <w:lang w:val="en-GB"/>
              </w:rPr>
              <w:t>.71</w:t>
            </w:r>
          </w:p>
        </w:tc>
      </w:tr>
      <w:tr w:rsidR="00157806" w:rsidRPr="004A7284" w14:paraId="4717FF31" w14:textId="3CED5858" w:rsidTr="00917AB9">
        <w:trPr>
          <w:trHeight w:val="620"/>
        </w:trPr>
        <w:tc>
          <w:tcPr>
            <w:tcW w:w="0" w:type="auto"/>
          </w:tcPr>
          <w:p w14:paraId="61989C14" w14:textId="27B35EFE" w:rsidR="00380961" w:rsidRPr="004A7284" w:rsidRDefault="00380961" w:rsidP="00380961">
            <w:pPr>
              <w:spacing w:after="120"/>
              <w:jc w:val="both"/>
              <w:rPr>
                <w:rFonts w:cstheme="minorHAnsi"/>
                <w:bCs/>
                <w:i/>
                <w:iCs/>
                <w:lang w:val="en-GB"/>
              </w:rPr>
            </w:pPr>
            <w:r w:rsidRPr="004A7284">
              <w:rPr>
                <w:rFonts w:cstheme="minorHAnsi"/>
                <w:bCs/>
                <w:i/>
                <w:iCs/>
                <w:lang w:val="en-GB"/>
              </w:rPr>
              <w:t>2018v2020</w:t>
            </w:r>
          </w:p>
        </w:tc>
        <w:tc>
          <w:tcPr>
            <w:tcW w:w="0" w:type="auto"/>
          </w:tcPr>
          <w:p w14:paraId="36A8936B" w14:textId="56105B08" w:rsidR="00380961" w:rsidRPr="004A7284" w:rsidRDefault="00237737" w:rsidP="00A55E84">
            <w:pPr>
              <w:spacing w:after="120"/>
              <w:jc w:val="center"/>
              <w:rPr>
                <w:rFonts w:cstheme="minorHAnsi"/>
                <w:bCs/>
                <w:lang w:val="en-GB"/>
              </w:rPr>
            </w:pPr>
            <w:r w:rsidRPr="004A7284">
              <w:rPr>
                <w:rFonts w:cstheme="minorHAnsi"/>
                <w:bCs/>
                <w:lang w:val="en-GB"/>
              </w:rPr>
              <w:t>57.80</w:t>
            </w:r>
          </w:p>
        </w:tc>
        <w:tc>
          <w:tcPr>
            <w:tcW w:w="0" w:type="auto"/>
          </w:tcPr>
          <w:p w14:paraId="7C2C35C7" w14:textId="72328016" w:rsidR="00380961" w:rsidRPr="004A7284" w:rsidRDefault="00237737" w:rsidP="00A55E84">
            <w:pPr>
              <w:spacing w:after="120"/>
              <w:jc w:val="center"/>
              <w:rPr>
                <w:rFonts w:cstheme="minorHAnsi"/>
                <w:b/>
                <w:lang w:val="en-GB"/>
              </w:rPr>
            </w:pPr>
            <w:r w:rsidRPr="004A7284">
              <w:rPr>
                <w:rFonts w:cstheme="minorHAnsi"/>
                <w:b/>
                <w:lang w:val="en-GB"/>
              </w:rPr>
              <w:t>.0001</w:t>
            </w:r>
            <w:r w:rsidR="005A1D22" w:rsidRPr="004A7284">
              <w:sym w:font="Wingdings" w:char="F0E2"/>
            </w:r>
          </w:p>
        </w:tc>
        <w:tc>
          <w:tcPr>
            <w:tcW w:w="0" w:type="auto"/>
          </w:tcPr>
          <w:p w14:paraId="20B4B332" w14:textId="602C16B6" w:rsidR="00380961" w:rsidRPr="004A7284" w:rsidRDefault="00157806" w:rsidP="00A55E84">
            <w:pPr>
              <w:spacing w:after="120"/>
              <w:jc w:val="center"/>
              <w:rPr>
                <w:rFonts w:cstheme="minorHAnsi"/>
                <w:bCs/>
                <w:lang w:val="en-GB"/>
              </w:rPr>
            </w:pPr>
            <w:r w:rsidRPr="004A7284">
              <w:rPr>
                <w:rFonts w:cstheme="minorHAnsi"/>
                <w:bCs/>
                <w:lang w:val="en-GB"/>
              </w:rPr>
              <w:t>41.87</w:t>
            </w:r>
          </w:p>
        </w:tc>
        <w:tc>
          <w:tcPr>
            <w:tcW w:w="0" w:type="auto"/>
          </w:tcPr>
          <w:p w14:paraId="053F6630" w14:textId="0C9FE904" w:rsidR="00380961" w:rsidRPr="004A7284" w:rsidRDefault="00157806" w:rsidP="00A55E84">
            <w:pPr>
              <w:spacing w:after="120"/>
              <w:jc w:val="center"/>
              <w:rPr>
                <w:rFonts w:cstheme="minorHAnsi"/>
                <w:b/>
                <w:lang w:val="en-GB"/>
              </w:rPr>
            </w:pPr>
            <w:r w:rsidRPr="004A7284">
              <w:rPr>
                <w:rFonts w:cstheme="minorHAnsi"/>
                <w:b/>
                <w:lang w:val="en-GB"/>
              </w:rPr>
              <w:t>.0001</w:t>
            </w:r>
            <w:r w:rsidR="005A1D22" w:rsidRPr="004A7284">
              <w:sym w:font="Wingdings" w:char="F0E2"/>
            </w:r>
          </w:p>
        </w:tc>
        <w:tc>
          <w:tcPr>
            <w:tcW w:w="0" w:type="auto"/>
          </w:tcPr>
          <w:p w14:paraId="77DE370F" w14:textId="6726D408" w:rsidR="00380961" w:rsidRPr="004A7284" w:rsidRDefault="00157806" w:rsidP="00A55E84">
            <w:pPr>
              <w:spacing w:after="120"/>
              <w:jc w:val="center"/>
              <w:rPr>
                <w:rFonts w:cstheme="minorHAnsi"/>
                <w:bCs/>
                <w:lang w:val="en-GB"/>
              </w:rPr>
            </w:pPr>
            <w:r w:rsidRPr="004A7284">
              <w:rPr>
                <w:rFonts w:cstheme="minorHAnsi"/>
                <w:bCs/>
                <w:lang w:val="en-GB"/>
              </w:rPr>
              <w:t>5.67</w:t>
            </w:r>
          </w:p>
        </w:tc>
        <w:tc>
          <w:tcPr>
            <w:tcW w:w="0" w:type="auto"/>
          </w:tcPr>
          <w:p w14:paraId="28AE66D7" w14:textId="04ED1475" w:rsidR="00380961" w:rsidRPr="004A7284" w:rsidRDefault="00157806" w:rsidP="00A55E84">
            <w:pPr>
              <w:spacing w:after="120"/>
              <w:jc w:val="center"/>
              <w:rPr>
                <w:rFonts w:cstheme="minorHAnsi"/>
                <w:b/>
                <w:lang w:val="en-GB"/>
              </w:rPr>
            </w:pPr>
            <w:r w:rsidRPr="004A7284">
              <w:rPr>
                <w:rFonts w:cstheme="minorHAnsi"/>
                <w:b/>
                <w:lang w:val="en-GB"/>
              </w:rPr>
              <w:t>.02</w:t>
            </w:r>
            <w:r w:rsidR="005A1D22" w:rsidRPr="004A7284">
              <w:sym w:font="Wingdings" w:char="F0E2"/>
            </w:r>
          </w:p>
        </w:tc>
        <w:tc>
          <w:tcPr>
            <w:tcW w:w="0" w:type="auto"/>
          </w:tcPr>
          <w:p w14:paraId="46719A4B" w14:textId="62FE969E" w:rsidR="00380961" w:rsidRPr="004A7284" w:rsidRDefault="00157806" w:rsidP="00A55E84">
            <w:pPr>
              <w:spacing w:after="120"/>
              <w:jc w:val="center"/>
              <w:rPr>
                <w:rFonts w:cstheme="minorHAnsi"/>
                <w:bCs/>
                <w:lang w:val="en-GB"/>
              </w:rPr>
            </w:pPr>
            <w:r w:rsidRPr="004A7284">
              <w:rPr>
                <w:rFonts w:cstheme="minorHAnsi"/>
                <w:bCs/>
                <w:lang w:val="en-GB"/>
              </w:rPr>
              <w:t>10.88</w:t>
            </w:r>
          </w:p>
        </w:tc>
        <w:tc>
          <w:tcPr>
            <w:tcW w:w="0" w:type="auto"/>
          </w:tcPr>
          <w:p w14:paraId="7863051A" w14:textId="07CD157E" w:rsidR="00380961" w:rsidRPr="004A7284" w:rsidRDefault="00157806" w:rsidP="00A55E84">
            <w:pPr>
              <w:spacing w:after="120"/>
              <w:jc w:val="center"/>
              <w:rPr>
                <w:rFonts w:cstheme="minorHAnsi"/>
                <w:b/>
                <w:lang w:val="en-GB"/>
              </w:rPr>
            </w:pPr>
            <w:r w:rsidRPr="004A7284">
              <w:rPr>
                <w:rFonts w:cstheme="minorHAnsi"/>
                <w:b/>
                <w:lang w:val="en-GB"/>
              </w:rPr>
              <w:t>.001</w:t>
            </w:r>
            <w:r w:rsidR="005A1D22" w:rsidRPr="004A7284">
              <w:sym w:font="Wingdings" w:char="F0E2"/>
            </w:r>
          </w:p>
        </w:tc>
      </w:tr>
      <w:tr w:rsidR="00157806" w:rsidRPr="004A7284" w14:paraId="6DF6151F" w14:textId="09C7AE2F" w:rsidTr="00917AB9">
        <w:trPr>
          <w:trHeight w:val="620"/>
        </w:trPr>
        <w:tc>
          <w:tcPr>
            <w:tcW w:w="0" w:type="auto"/>
          </w:tcPr>
          <w:p w14:paraId="7EA5C3DA" w14:textId="3412DB00" w:rsidR="00380961" w:rsidRPr="004A7284" w:rsidRDefault="00380961" w:rsidP="00380961">
            <w:pPr>
              <w:spacing w:after="120"/>
              <w:jc w:val="both"/>
              <w:rPr>
                <w:rFonts w:cstheme="minorHAnsi"/>
                <w:bCs/>
                <w:i/>
                <w:iCs/>
                <w:lang w:val="en-GB"/>
              </w:rPr>
            </w:pPr>
            <w:r w:rsidRPr="004A7284">
              <w:rPr>
                <w:rFonts w:cstheme="minorHAnsi"/>
                <w:bCs/>
                <w:i/>
                <w:iCs/>
                <w:lang w:val="en-GB"/>
              </w:rPr>
              <w:t>2018v2021</w:t>
            </w:r>
          </w:p>
        </w:tc>
        <w:tc>
          <w:tcPr>
            <w:tcW w:w="0" w:type="auto"/>
          </w:tcPr>
          <w:p w14:paraId="38578638" w14:textId="3FFF6951" w:rsidR="00380961" w:rsidRPr="004A7284" w:rsidRDefault="00237737" w:rsidP="00A55E84">
            <w:pPr>
              <w:spacing w:after="120"/>
              <w:jc w:val="center"/>
              <w:rPr>
                <w:rFonts w:cstheme="minorHAnsi"/>
                <w:bCs/>
                <w:lang w:val="en-GB"/>
              </w:rPr>
            </w:pPr>
            <w:r w:rsidRPr="004A7284">
              <w:rPr>
                <w:rFonts w:cstheme="minorHAnsi"/>
                <w:bCs/>
                <w:lang w:val="en-GB"/>
              </w:rPr>
              <w:t>50.85</w:t>
            </w:r>
          </w:p>
        </w:tc>
        <w:tc>
          <w:tcPr>
            <w:tcW w:w="0" w:type="auto"/>
          </w:tcPr>
          <w:p w14:paraId="10C4EE49" w14:textId="6F04F027" w:rsidR="00380961" w:rsidRPr="004A7284" w:rsidRDefault="00237737" w:rsidP="00A55E84">
            <w:pPr>
              <w:spacing w:after="120"/>
              <w:jc w:val="center"/>
              <w:rPr>
                <w:rFonts w:cstheme="minorHAnsi"/>
                <w:b/>
                <w:lang w:val="en-GB"/>
              </w:rPr>
            </w:pPr>
            <w:r w:rsidRPr="004A7284">
              <w:rPr>
                <w:rFonts w:cstheme="minorHAnsi"/>
                <w:b/>
                <w:lang w:val="en-GB"/>
              </w:rPr>
              <w:t>.0001</w:t>
            </w:r>
            <w:r w:rsidR="005A1D22" w:rsidRPr="004A7284">
              <w:sym w:font="Wingdings" w:char="F0E2"/>
            </w:r>
          </w:p>
        </w:tc>
        <w:tc>
          <w:tcPr>
            <w:tcW w:w="0" w:type="auto"/>
          </w:tcPr>
          <w:p w14:paraId="179A1148" w14:textId="158E5001" w:rsidR="00380961" w:rsidRPr="004A7284" w:rsidRDefault="00157806" w:rsidP="00A55E84">
            <w:pPr>
              <w:spacing w:after="120"/>
              <w:jc w:val="center"/>
              <w:rPr>
                <w:rFonts w:cstheme="minorHAnsi"/>
                <w:bCs/>
                <w:lang w:val="en-GB"/>
              </w:rPr>
            </w:pPr>
            <w:r w:rsidRPr="004A7284">
              <w:rPr>
                <w:rFonts w:cstheme="minorHAnsi"/>
                <w:bCs/>
                <w:lang w:val="en-GB"/>
              </w:rPr>
              <w:t>15.27</w:t>
            </w:r>
          </w:p>
        </w:tc>
        <w:tc>
          <w:tcPr>
            <w:tcW w:w="0" w:type="auto"/>
          </w:tcPr>
          <w:p w14:paraId="6AF81C75" w14:textId="70BC7DF4" w:rsidR="00380961" w:rsidRPr="004A7284" w:rsidRDefault="00157806" w:rsidP="00A55E84">
            <w:pPr>
              <w:spacing w:after="120"/>
              <w:jc w:val="center"/>
              <w:rPr>
                <w:rFonts w:cstheme="minorHAnsi"/>
                <w:b/>
                <w:lang w:val="en-GB"/>
              </w:rPr>
            </w:pPr>
            <w:r w:rsidRPr="004A7284">
              <w:rPr>
                <w:rFonts w:cstheme="minorHAnsi"/>
                <w:b/>
                <w:lang w:val="en-GB"/>
              </w:rPr>
              <w:t>.0001</w:t>
            </w:r>
            <w:r w:rsidR="005A1D22" w:rsidRPr="004A7284">
              <w:sym w:font="Wingdings" w:char="F0E2"/>
            </w:r>
          </w:p>
        </w:tc>
        <w:tc>
          <w:tcPr>
            <w:tcW w:w="0" w:type="auto"/>
          </w:tcPr>
          <w:p w14:paraId="66747D8E" w14:textId="60BC4985" w:rsidR="00380961" w:rsidRPr="004A7284" w:rsidRDefault="00157806" w:rsidP="00A55E84">
            <w:pPr>
              <w:spacing w:after="120"/>
              <w:jc w:val="center"/>
              <w:rPr>
                <w:rFonts w:cstheme="minorHAnsi"/>
                <w:bCs/>
                <w:lang w:val="en-GB"/>
              </w:rPr>
            </w:pPr>
            <w:r w:rsidRPr="004A7284">
              <w:rPr>
                <w:rFonts w:cstheme="minorHAnsi"/>
                <w:bCs/>
                <w:lang w:val="en-GB"/>
              </w:rPr>
              <w:t>3.68</w:t>
            </w:r>
          </w:p>
        </w:tc>
        <w:tc>
          <w:tcPr>
            <w:tcW w:w="0" w:type="auto"/>
          </w:tcPr>
          <w:p w14:paraId="776677AD" w14:textId="07CA8393" w:rsidR="00380961" w:rsidRPr="004A7284" w:rsidRDefault="00157806" w:rsidP="00A55E84">
            <w:pPr>
              <w:spacing w:after="120"/>
              <w:jc w:val="center"/>
              <w:rPr>
                <w:rFonts w:cstheme="minorHAnsi"/>
                <w:bCs/>
                <w:lang w:val="en-GB"/>
              </w:rPr>
            </w:pPr>
            <w:r w:rsidRPr="004A7284">
              <w:rPr>
                <w:rFonts w:cstheme="minorHAnsi"/>
                <w:bCs/>
                <w:lang w:val="en-GB"/>
              </w:rPr>
              <w:t>.06</w:t>
            </w:r>
          </w:p>
        </w:tc>
        <w:tc>
          <w:tcPr>
            <w:tcW w:w="0" w:type="auto"/>
          </w:tcPr>
          <w:p w14:paraId="1971EA6D" w14:textId="1D1AAB4D" w:rsidR="00380961" w:rsidRPr="004A7284" w:rsidRDefault="00157806" w:rsidP="00A55E84">
            <w:pPr>
              <w:spacing w:after="120"/>
              <w:jc w:val="center"/>
              <w:rPr>
                <w:rFonts w:cstheme="minorHAnsi"/>
                <w:bCs/>
                <w:lang w:val="en-GB"/>
              </w:rPr>
            </w:pPr>
            <w:r w:rsidRPr="004A7284">
              <w:rPr>
                <w:rFonts w:cstheme="minorHAnsi"/>
                <w:bCs/>
                <w:lang w:val="en-GB"/>
              </w:rPr>
              <w:t>.48</w:t>
            </w:r>
          </w:p>
        </w:tc>
        <w:tc>
          <w:tcPr>
            <w:tcW w:w="0" w:type="auto"/>
          </w:tcPr>
          <w:p w14:paraId="4C71FEBD" w14:textId="57345244" w:rsidR="00380961" w:rsidRPr="004A7284" w:rsidRDefault="00157806" w:rsidP="00A55E84">
            <w:pPr>
              <w:spacing w:after="120"/>
              <w:jc w:val="center"/>
              <w:rPr>
                <w:rFonts w:cstheme="minorHAnsi"/>
                <w:bCs/>
                <w:lang w:val="en-GB"/>
              </w:rPr>
            </w:pPr>
            <w:r w:rsidRPr="004A7284">
              <w:rPr>
                <w:rFonts w:cstheme="minorHAnsi"/>
                <w:bCs/>
                <w:lang w:val="en-GB"/>
              </w:rPr>
              <w:t>.49</w:t>
            </w:r>
          </w:p>
        </w:tc>
      </w:tr>
      <w:tr w:rsidR="00157806" w:rsidRPr="004A7284" w14:paraId="4F129E4D" w14:textId="4C46854E" w:rsidTr="00917AB9">
        <w:trPr>
          <w:trHeight w:val="620"/>
        </w:trPr>
        <w:tc>
          <w:tcPr>
            <w:tcW w:w="0" w:type="auto"/>
          </w:tcPr>
          <w:p w14:paraId="294EA707" w14:textId="1548D2E2" w:rsidR="00380961" w:rsidRPr="004A7284" w:rsidRDefault="00380961" w:rsidP="00380961">
            <w:pPr>
              <w:spacing w:after="120"/>
              <w:jc w:val="both"/>
              <w:rPr>
                <w:rFonts w:cstheme="minorHAnsi"/>
                <w:bCs/>
                <w:i/>
                <w:iCs/>
                <w:lang w:val="en-GB"/>
              </w:rPr>
            </w:pPr>
            <w:r w:rsidRPr="004A7284">
              <w:rPr>
                <w:rFonts w:cstheme="minorHAnsi"/>
                <w:bCs/>
                <w:i/>
                <w:iCs/>
                <w:lang w:val="en-GB"/>
              </w:rPr>
              <w:t>2019v2020</w:t>
            </w:r>
          </w:p>
        </w:tc>
        <w:tc>
          <w:tcPr>
            <w:tcW w:w="0" w:type="auto"/>
          </w:tcPr>
          <w:p w14:paraId="496A8984" w14:textId="11ABC001" w:rsidR="00380961" w:rsidRPr="004A7284" w:rsidRDefault="00237737" w:rsidP="00A55E84">
            <w:pPr>
              <w:spacing w:after="120"/>
              <w:jc w:val="center"/>
              <w:rPr>
                <w:rFonts w:cstheme="minorHAnsi"/>
                <w:bCs/>
                <w:lang w:val="en-GB"/>
              </w:rPr>
            </w:pPr>
            <w:r w:rsidRPr="004A7284">
              <w:rPr>
                <w:rFonts w:cstheme="minorHAnsi"/>
                <w:bCs/>
                <w:lang w:val="en-GB"/>
              </w:rPr>
              <w:t>24.36</w:t>
            </w:r>
          </w:p>
        </w:tc>
        <w:tc>
          <w:tcPr>
            <w:tcW w:w="0" w:type="auto"/>
          </w:tcPr>
          <w:p w14:paraId="172A5BDB" w14:textId="3085289F" w:rsidR="00380961" w:rsidRPr="004A7284" w:rsidRDefault="00237737" w:rsidP="00A55E84">
            <w:pPr>
              <w:spacing w:after="120"/>
              <w:jc w:val="center"/>
              <w:rPr>
                <w:rFonts w:cstheme="minorHAnsi"/>
                <w:b/>
                <w:lang w:val="en-GB"/>
              </w:rPr>
            </w:pPr>
            <w:r w:rsidRPr="004A7284">
              <w:rPr>
                <w:rFonts w:cstheme="minorHAnsi"/>
                <w:b/>
                <w:lang w:val="en-GB"/>
              </w:rPr>
              <w:t>.0001</w:t>
            </w:r>
            <w:r w:rsidR="005A1D22" w:rsidRPr="004A7284">
              <w:sym w:font="Wingdings" w:char="F0E2"/>
            </w:r>
          </w:p>
        </w:tc>
        <w:tc>
          <w:tcPr>
            <w:tcW w:w="0" w:type="auto"/>
          </w:tcPr>
          <w:p w14:paraId="676BFBBE" w14:textId="531E3A7A" w:rsidR="00380961" w:rsidRPr="004A7284" w:rsidRDefault="00157806" w:rsidP="00A55E84">
            <w:pPr>
              <w:spacing w:after="120"/>
              <w:jc w:val="center"/>
              <w:rPr>
                <w:rFonts w:cstheme="minorHAnsi"/>
                <w:bCs/>
                <w:lang w:val="en-GB"/>
              </w:rPr>
            </w:pPr>
            <w:r w:rsidRPr="004A7284">
              <w:rPr>
                <w:rFonts w:cstheme="minorHAnsi"/>
                <w:bCs/>
                <w:lang w:val="en-GB"/>
              </w:rPr>
              <w:t>21.97</w:t>
            </w:r>
          </w:p>
        </w:tc>
        <w:tc>
          <w:tcPr>
            <w:tcW w:w="0" w:type="auto"/>
          </w:tcPr>
          <w:p w14:paraId="05B39183" w14:textId="31FE523F" w:rsidR="00380961" w:rsidRPr="004A7284" w:rsidRDefault="00157806" w:rsidP="00A55E84">
            <w:pPr>
              <w:spacing w:after="120"/>
              <w:jc w:val="center"/>
              <w:rPr>
                <w:rFonts w:cstheme="minorHAnsi"/>
                <w:b/>
                <w:lang w:val="en-GB"/>
              </w:rPr>
            </w:pPr>
            <w:r w:rsidRPr="004A7284">
              <w:rPr>
                <w:rFonts w:cstheme="minorHAnsi"/>
                <w:b/>
                <w:lang w:val="en-GB"/>
              </w:rPr>
              <w:t>.0001</w:t>
            </w:r>
            <w:r w:rsidR="005A1D22" w:rsidRPr="004A7284">
              <w:sym w:font="Wingdings" w:char="F0E2"/>
            </w:r>
          </w:p>
        </w:tc>
        <w:tc>
          <w:tcPr>
            <w:tcW w:w="0" w:type="auto"/>
          </w:tcPr>
          <w:p w14:paraId="3C8CE4BE" w14:textId="4BA4A930" w:rsidR="00380961" w:rsidRPr="004A7284" w:rsidRDefault="00157806" w:rsidP="00A55E84">
            <w:pPr>
              <w:spacing w:after="120"/>
              <w:jc w:val="center"/>
              <w:rPr>
                <w:rFonts w:cstheme="minorHAnsi"/>
                <w:bCs/>
                <w:lang w:val="en-GB"/>
              </w:rPr>
            </w:pPr>
            <w:r w:rsidRPr="004A7284">
              <w:rPr>
                <w:rFonts w:cstheme="minorHAnsi"/>
                <w:bCs/>
                <w:lang w:val="en-GB"/>
              </w:rPr>
              <w:t>.12</w:t>
            </w:r>
          </w:p>
        </w:tc>
        <w:tc>
          <w:tcPr>
            <w:tcW w:w="0" w:type="auto"/>
          </w:tcPr>
          <w:p w14:paraId="6F0B1CBE" w14:textId="522A6988" w:rsidR="00380961" w:rsidRPr="004A7284" w:rsidRDefault="00157806" w:rsidP="00A55E84">
            <w:pPr>
              <w:spacing w:after="120"/>
              <w:jc w:val="center"/>
              <w:rPr>
                <w:rFonts w:cstheme="minorHAnsi"/>
                <w:bCs/>
                <w:lang w:val="en-GB"/>
              </w:rPr>
            </w:pPr>
            <w:r w:rsidRPr="004A7284">
              <w:rPr>
                <w:rFonts w:cstheme="minorHAnsi"/>
                <w:bCs/>
                <w:lang w:val="en-GB"/>
              </w:rPr>
              <w:t>.73</w:t>
            </w:r>
          </w:p>
        </w:tc>
        <w:tc>
          <w:tcPr>
            <w:tcW w:w="0" w:type="auto"/>
          </w:tcPr>
          <w:p w14:paraId="70A2CCDC" w14:textId="50962FD8" w:rsidR="00380961" w:rsidRPr="004A7284" w:rsidRDefault="00157806" w:rsidP="00A55E84">
            <w:pPr>
              <w:spacing w:after="120"/>
              <w:jc w:val="center"/>
              <w:rPr>
                <w:rFonts w:cstheme="minorHAnsi"/>
                <w:bCs/>
                <w:lang w:val="en-GB"/>
              </w:rPr>
            </w:pPr>
            <w:r w:rsidRPr="004A7284">
              <w:rPr>
                <w:rFonts w:cstheme="minorHAnsi"/>
                <w:bCs/>
                <w:lang w:val="en-GB"/>
              </w:rPr>
              <w:t>13.46</w:t>
            </w:r>
          </w:p>
        </w:tc>
        <w:tc>
          <w:tcPr>
            <w:tcW w:w="0" w:type="auto"/>
          </w:tcPr>
          <w:p w14:paraId="4874E9B6" w14:textId="7929BE85" w:rsidR="00380961" w:rsidRPr="004A7284" w:rsidRDefault="00157806" w:rsidP="00A55E84">
            <w:pPr>
              <w:spacing w:after="120"/>
              <w:jc w:val="center"/>
              <w:rPr>
                <w:rFonts w:cstheme="minorHAnsi"/>
                <w:b/>
                <w:lang w:val="en-GB"/>
              </w:rPr>
            </w:pPr>
            <w:r w:rsidRPr="004A7284">
              <w:rPr>
                <w:rFonts w:cstheme="minorHAnsi"/>
                <w:b/>
                <w:lang w:val="en-GB"/>
              </w:rPr>
              <w:t>.0002</w:t>
            </w:r>
            <w:r w:rsidR="005A1D22" w:rsidRPr="004A7284">
              <w:sym w:font="Wingdings" w:char="F0E2"/>
            </w:r>
          </w:p>
        </w:tc>
      </w:tr>
      <w:tr w:rsidR="00157806" w:rsidRPr="004A7284" w14:paraId="3308A39C" w14:textId="4836C5EE" w:rsidTr="00917AB9">
        <w:trPr>
          <w:trHeight w:val="620"/>
        </w:trPr>
        <w:tc>
          <w:tcPr>
            <w:tcW w:w="0" w:type="auto"/>
          </w:tcPr>
          <w:p w14:paraId="11C20A9A" w14:textId="59D8EB35" w:rsidR="00380961" w:rsidRPr="004A7284" w:rsidRDefault="00380961" w:rsidP="00380961">
            <w:pPr>
              <w:spacing w:after="120"/>
              <w:jc w:val="both"/>
              <w:rPr>
                <w:rFonts w:cstheme="minorHAnsi"/>
                <w:bCs/>
                <w:i/>
                <w:iCs/>
                <w:lang w:val="en-GB"/>
              </w:rPr>
            </w:pPr>
            <w:r w:rsidRPr="004A7284">
              <w:rPr>
                <w:rFonts w:cstheme="minorHAnsi"/>
                <w:bCs/>
                <w:i/>
                <w:iCs/>
                <w:lang w:val="en-GB"/>
              </w:rPr>
              <w:t>2019v2021</w:t>
            </w:r>
          </w:p>
        </w:tc>
        <w:tc>
          <w:tcPr>
            <w:tcW w:w="0" w:type="auto"/>
          </w:tcPr>
          <w:p w14:paraId="5C1D6B85" w14:textId="420D508A" w:rsidR="00380961" w:rsidRPr="004A7284" w:rsidRDefault="00237737" w:rsidP="00A55E84">
            <w:pPr>
              <w:spacing w:after="120"/>
              <w:jc w:val="center"/>
              <w:rPr>
                <w:rFonts w:cstheme="minorHAnsi"/>
                <w:bCs/>
                <w:lang w:val="en-GB"/>
              </w:rPr>
            </w:pPr>
            <w:r w:rsidRPr="004A7284">
              <w:rPr>
                <w:rFonts w:cstheme="minorHAnsi"/>
                <w:bCs/>
                <w:lang w:val="en-GB"/>
              </w:rPr>
              <w:t>19.85</w:t>
            </w:r>
          </w:p>
        </w:tc>
        <w:tc>
          <w:tcPr>
            <w:tcW w:w="0" w:type="auto"/>
          </w:tcPr>
          <w:p w14:paraId="6FB2A248" w14:textId="1EF91A43" w:rsidR="00380961" w:rsidRPr="004A7284" w:rsidRDefault="00237737" w:rsidP="00A55E84">
            <w:pPr>
              <w:spacing w:after="120"/>
              <w:jc w:val="center"/>
              <w:rPr>
                <w:rFonts w:cstheme="minorHAnsi"/>
                <w:b/>
                <w:lang w:val="en-GB"/>
              </w:rPr>
            </w:pPr>
            <w:r w:rsidRPr="004A7284">
              <w:rPr>
                <w:rFonts w:cstheme="minorHAnsi"/>
                <w:b/>
                <w:lang w:val="en-GB"/>
              </w:rPr>
              <w:t>.0001</w:t>
            </w:r>
            <w:r w:rsidR="005A1D22" w:rsidRPr="004A7284">
              <w:sym w:font="Wingdings" w:char="F0E2"/>
            </w:r>
          </w:p>
        </w:tc>
        <w:tc>
          <w:tcPr>
            <w:tcW w:w="0" w:type="auto"/>
          </w:tcPr>
          <w:p w14:paraId="4EE0B106" w14:textId="614F1C95" w:rsidR="00380961" w:rsidRPr="004A7284" w:rsidRDefault="00157806" w:rsidP="00A55E84">
            <w:pPr>
              <w:spacing w:after="120"/>
              <w:jc w:val="center"/>
              <w:rPr>
                <w:rFonts w:cstheme="minorHAnsi"/>
                <w:bCs/>
                <w:lang w:val="en-GB"/>
              </w:rPr>
            </w:pPr>
            <w:r w:rsidRPr="004A7284">
              <w:rPr>
                <w:rFonts w:cstheme="minorHAnsi"/>
                <w:bCs/>
                <w:lang w:val="en-GB"/>
              </w:rPr>
              <w:t>4.4</w:t>
            </w:r>
          </w:p>
        </w:tc>
        <w:tc>
          <w:tcPr>
            <w:tcW w:w="0" w:type="auto"/>
          </w:tcPr>
          <w:p w14:paraId="7D8A36F0" w14:textId="0DE52AD0" w:rsidR="00380961" w:rsidRPr="004A7284" w:rsidRDefault="00157806" w:rsidP="00A55E84">
            <w:pPr>
              <w:spacing w:after="120"/>
              <w:jc w:val="center"/>
              <w:rPr>
                <w:rFonts w:cstheme="minorHAnsi"/>
                <w:b/>
                <w:lang w:val="en-GB"/>
              </w:rPr>
            </w:pPr>
            <w:r w:rsidRPr="004A7284">
              <w:rPr>
                <w:rFonts w:cstheme="minorHAnsi"/>
                <w:b/>
                <w:lang w:val="en-GB"/>
              </w:rPr>
              <w:t>.04</w:t>
            </w:r>
            <w:r w:rsidR="005A1D22" w:rsidRPr="004A7284">
              <w:sym w:font="Wingdings" w:char="F0E2"/>
            </w:r>
          </w:p>
        </w:tc>
        <w:tc>
          <w:tcPr>
            <w:tcW w:w="0" w:type="auto"/>
          </w:tcPr>
          <w:p w14:paraId="47A00ED3" w14:textId="62FD8BFB" w:rsidR="00380961" w:rsidRPr="004A7284" w:rsidRDefault="00157806" w:rsidP="00A55E84">
            <w:pPr>
              <w:spacing w:after="120"/>
              <w:jc w:val="center"/>
              <w:rPr>
                <w:rFonts w:cstheme="minorHAnsi"/>
                <w:bCs/>
                <w:lang w:val="en-GB"/>
              </w:rPr>
            </w:pPr>
            <w:r w:rsidRPr="004A7284">
              <w:rPr>
                <w:rFonts w:cstheme="minorHAnsi"/>
                <w:bCs/>
                <w:lang w:val="en-GB"/>
              </w:rPr>
              <w:t>5.13</w:t>
            </w:r>
          </w:p>
        </w:tc>
        <w:tc>
          <w:tcPr>
            <w:tcW w:w="0" w:type="auto"/>
          </w:tcPr>
          <w:p w14:paraId="68731489" w14:textId="3B124E96" w:rsidR="00380961" w:rsidRPr="004A7284" w:rsidRDefault="00157806" w:rsidP="00A55E84">
            <w:pPr>
              <w:spacing w:after="120"/>
              <w:jc w:val="center"/>
              <w:rPr>
                <w:rFonts w:cstheme="minorHAnsi"/>
                <w:b/>
                <w:lang w:val="en-GB"/>
              </w:rPr>
            </w:pPr>
            <w:r w:rsidRPr="004A7284">
              <w:rPr>
                <w:rFonts w:cstheme="minorHAnsi"/>
                <w:b/>
                <w:lang w:val="en-GB"/>
              </w:rPr>
              <w:t>.02</w:t>
            </w:r>
            <w:r w:rsidR="005A1D22" w:rsidRPr="004A7284">
              <w:sym w:font="Wingdings" w:char="F0E2"/>
            </w:r>
          </w:p>
        </w:tc>
        <w:tc>
          <w:tcPr>
            <w:tcW w:w="0" w:type="auto"/>
          </w:tcPr>
          <w:p w14:paraId="22D1D810" w14:textId="49063D86" w:rsidR="00380961" w:rsidRPr="004A7284" w:rsidRDefault="00157806" w:rsidP="00A55E84">
            <w:pPr>
              <w:spacing w:after="120"/>
              <w:jc w:val="center"/>
              <w:rPr>
                <w:rFonts w:cstheme="minorHAnsi"/>
                <w:bCs/>
                <w:lang w:val="en-GB"/>
              </w:rPr>
            </w:pPr>
            <w:r w:rsidRPr="004A7284">
              <w:rPr>
                <w:rFonts w:cstheme="minorHAnsi"/>
                <w:bCs/>
                <w:lang w:val="en-GB"/>
              </w:rPr>
              <w:t>.10</w:t>
            </w:r>
          </w:p>
        </w:tc>
        <w:tc>
          <w:tcPr>
            <w:tcW w:w="0" w:type="auto"/>
          </w:tcPr>
          <w:p w14:paraId="78541AFE" w14:textId="616539ED" w:rsidR="00380961" w:rsidRPr="004A7284" w:rsidRDefault="00157806" w:rsidP="00A55E84">
            <w:pPr>
              <w:spacing w:after="120"/>
              <w:jc w:val="center"/>
              <w:rPr>
                <w:rFonts w:cstheme="minorHAnsi"/>
                <w:bCs/>
                <w:lang w:val="en-GB"/>
              </w:rPr>
            </w:pPr>
            <w:r w:rsidRPr="004A7284">
              <w:rPr>
                <w:rFonts w:cstheme="minorHAnsi"/>
                <w:bCs/>
                <w:lang w:val="en-GB"/>
              </w:rPr>
              <w:t>.75</w:t>
            </w:r>
          </w:p>
        </w:tc>
      </w:tr>
      <w:tr w:rsidR="00157806" w:rsidRPr="004A7284" w14:paraId="2AD60BE1" w14:textId="4D9C72D1" w:rsidTr="00917AB9">
        <w:trPr>
          <w:trHeight w:val="604"/>
        </w:trPr>
        <w:tc>
          <w:tcPr>
            <w:tcW w:w="0" w:type="auto"/>
          </w:tcPr>
          <w:p w14:paraId="5F076852" w14:textId="6797FB42" w:rsidR="00380961" w:rsidRPr="004A7284" w:rsidRDefault="00380961" w:rsidP="00380961">
            <w:pPr>
              <w:spacing w:after="120"/>
              <w:jc w:val="both"/>
              <w:rPr>
                <w:rFonts w:cstheme="minorHAnsi"/>
                <w:bCs/>
                <w:i/>
                <w:iCs/>
                <w:lang w:val="en-GB"/>
              </w:rPr>
            </w:pPr>
            <w:r w:rsidRPr="004A7284">
              <w:rPr>
                <w:rFonts w:cstheme="minorHAnsi"/>
                <w:bCs/>
                <w:i/>
                <w:iCs/>
                <w:lang w:val="en-GB"/>
              </w:rPr>
              <w:t>2020v2021</w:t>
            </w:r>
          </w:p>
        </w:tc>
        <w:tc>
          <w:tcPr>
            <w:tcW w:w="0" w:type="auto"/>
          </w:tcPr>
          <w:p w14:paraId="3A39E87B" w14:textId="110A9740" w:rsidR="00380961" w:rsidRPr="004A7284" w:rsidRDefault="00237737" w:rsidP="00A55E84">
            <w:pPr>
              <w:spacing w:after="120"/>
              <w:jc w:val="center"/>
              <w:rPr>
                <w:rFonts w:cstheme="minorHAnsi"/>
                <w:bCs/>
                <w:lang w:val="en-GB"/>
              </w:rPr>
            </w:pPr>
            <w:r w:rsidRPr="004A7284">
              <w:rPr>
                <w:rFonts w:cstheme="minorHAnsi"/>
                <w:bCs/>
                <w:lang w:val="en-GB"/>
              </w:rPr>
              <w:t>.23</w:t>
            </w:r>
          </w:p>
        </w:tc>
        <w:tc>
          <w:tcPr>
            <w:tcW w:w="0" w:type="auto"/>
          </w:tcPr>
          <w:p w14:paraId="5A989697" w14:textId="7724D38A" w:rsidR="00380961" w:rsidRPr="004A7284" w:rsidRDefault="00237737" w:rsidP="00A55E84">
            <w:pPr>
              <w:spacing w:after="120"/>
              <w:jc w:val="center"/>
              <w:rPr>
                <w:rFonts w:cstheme="minorHAnsi"/>
                <w:bCs/>
                <w:lang w:val="en-GB"/>
              </w:rPr>
            </w:pPr>
            <w:r w:rsidRPr="004A7284">
              <w:rPr>
                <w:rFonts w:cstheme="minorHAnsi"/>
                <w:bCs/>
                <w:lang w:val="en-GB"/>
              </w:rPr>
              <w:t>.63</w:t>
            </w:r>
          </w:p>
        </w:tc>
        <w:tc>
          <w:tcPr>
            <w:tcW w:w="0" w:type="auto"/>
          </w:tcPr>
          <w:p w14:paraId="586818B7" w14:textId="01999432" w:rsidR="00380961" w:rsidRPr="004A7284" w:rsidRDefault="00157806" w:rsidP="00A55E84">
            <w:pPr>
              <w:spacing w:after="120"/>
              <w:jc w:val="center"/>
              <w:rPr>
                <w:rFonts w:cstheme="minorHAnsi"/>
                <w:bCs/>
                <w:lang w:val="en-GB"/>
              </w:rPr>
            </w:pPr>
            <w:r w:rsidRPr="004A7284">
              <w:rPr>
                <w:rFonts w:cstheme="minorHAnsi"/>
                <w:bCs/>
                <w:lang w:val="en-GB"/>
              </w:rPr>
              <w:t>6.70</w:t>
            </w:r>
          </w:p>
        </w:tc>
        <w:tc>
          <w:tcPr>
            <w:tcW w:w="0" w:type="auto"/>
          </w:tcPr>
          <w:p w14:paraId="274DBF5A" w14:textId="1218D1D1" w:rsidR="00380961" w:rsidRPr="004A7284" w:rsidRDefault="00157806" w:rsidP="00A55E84">
            <w:pPr>
              <w:spacing w:after="120"/>
              <w:jc w:val="center"/>
              <w:rPr>
                <w:rFonts w:cstheme="minorHAnsi"/>
                <w:b/>
                <w:lang w:val="en-GB"/>
              </w:rPr>
            </w:pPr>
            <w:r w:rsidRPr="004A7284">
              <w:rPr>
                <w:rFonts w:cstheme="minorHAnsi"/>
                <w:b/>
                <w:lang w:val="en-GB"/>
              </w:rPr>
              <w:t>.001</w:t>
            </w:r>
            <w:r w:rsidR="005A1D22" w:rsidRPr="004A7284">
              <w:rPr>
                <w:rFonts w:cstheme="minorHAnsi"/>
                <w:b/>
                <w:lang w:val="en-GB"/>
              </w:rPr>
              <w:t xml:space="preserve"> </w:t>
            </w:r>
            <w:r w:rsidR="005A1D22" w:rsidRPr="004A7284">
              <w:sym w:font="Wingdings" w:char="F0E1"/>
            </w:r>
          </w:p>
        </w:tc>
        <w:tc>
          <w:tcPr>
            <w:tcW w:w="0" w:type="auto"/>
          </w:tcPr>
          <w:p w14:paraId="6F824DA3" w14:textId="1113FCC1" w:rsidR="00380961" w:rsidRPr="004A7284" w:rsidRDefault="00157806" w:rsidP="00A55E84">
            <w:pPr>
              <w:spacing w:after="120"/>
              <w:jc w:val="center"/>
              <w:rPr>
                <w:rFonts w:cstheme="minorHAnsi"/>
                <w:bCs/>
                <w:lang w:val="en-GB"/>
              </w:rPr>
            </w:pPr>
            <w:r w:rsidRPr="004A7284">
              <w:rPr>
                <w:rFonts w:cstheme="minorHAnsi"/>
                <w:bCs/>
                <w:lang w:val="en-GB"/>
              </w:rPr>
              <w:t>.21</w:t>
            </w:r>
          </w:p>
        </w:tc>
        <w:tc>
          <w:tcPr>
            <w:tcW w:w="0" w:type="auto"/>
          </w:tcPr>
          <w:p w14:paraId="53E50880" w14:textId="2D00C176" w:rsidR="00380961" w:rsidRPr="004A7284" w:rsidRDefault="00157806" w:rsidP="00A55E84">
            <w:pPr>
              <w:spacing w:after="120"/>
              <w:jc w:val="center"/>
              <w:rPr>
                <w:rFonts w:cstheme="minorHAnsi"/>
                <w:bCs/>
                <w:lang w:val="en-GB"/>
              </w:rPr>
            </w:pPr>
            <w:r w:rsidRPr="004A7284">
              <w:rPr>
                <w:rFonts w:cstheme="minorHAnsi"/>
                <w:bCs/>
                <w:lang w:val="en-GB"/>
              </w:rPr>
              <w:t>.64</w:t>
            </w:r>
          </w:p>
        </w:tc>
        <w:tc>
          <w:tcPr>
            <w:tcW w:w="0" w:type="auto"/>
          </w:tcPr>
          <w:p w14:paraId="1B0598B8" w14:textId="6409DA0F" w:rsidR="00380961" w:rsidRPr="004A7284" w:rsidRDefault="00157806" w:rsidP="00A55E84">
            <w:pPr>
              <w:spacing w:after="120"/>
              <w:jc w:val="center"/>
              <w:rPr>
                <w:rFonts w:cstheme="minorHAnsi"/>
                <w:bCs/>
                <w:lang w:val="en-GB"/>
              </w:rPr>
            </w:pPr>
            <w:r w:rsidRPr="004A7284">
              <w:rPr>
                <w:rFonts w:cstheme="minorHAnsi"/>
                <w:bCs/>
                <w:lang w:val="en-GB"/>
              </w:rPr>
              <w:t>15.93</w:t>
            </w:r>
          </w:p>
        </w:tc>
        <w:tc>
          <w:tcPr>
            <w:tcW w:w="0" w:type="auto"/>
          </w:tcPr>
          <w:p w14:paraId="05ED8F2D" w14:textId="4CACF4F3" w:rsidR="00380961" w:rsidRPr="004A7284" w:rsidRDefault="00157806" w:rsidP="00A55E84">
            <w:pPr>
              <w:spacing w:after="120"/>
              <w:jc w:val="center"/>
              <w:rPr>
                <w:rFonts w:cstheme="minorHAnsi"/>
                <w:b/>
                <w:lang w:val="en-GB"/>
              </w:rPr>
            </w:pPr>
            <w:r w:rsidRPr="004A7284">
              <w:rPr>
                <w:rFonts w:cstheme="minorHAnsi"/>
                <w:b/>
                <w:lang w:val="en-GB"/>
              </w:rPr>
              <w:t>.0001</w:t>
            </w:r>
            <w:r w:rsidR="005A1D22" w:rsidRPr="004A7284">
              <w:rPr>
                <w:rFonts w:cstheme="minorHAnsi"/>
                <w:b/>
                <w:lang w:val="en-GB"/>
              </w:rPr>
              <w:t xml:space="preserve"> </w:t>
            </w:r>
            <w:r w:rsidR="005A1D22" w:rsidRPr="004A7284">
              <w:sym w:font="Wingdings" w:char="F0E1"/>
            </w:r>
          </w:p>
        </w:tc>
      </w:tr>
    </w:tbl>
    <w:p w14:paraId="0242C15C" w14:textId="49BAC01D" w:rsidR="00F00D36" w:rsidRPr="004A7284" w:rsidRDefault="00F818FE" w:rsidP="00BB71AB">
      <w:pPr>
        <w:spacing w:after="120" w:line="480" w:lineRule="auto"/>
        <w:jc w:val="both"/>
        <w:rPr>
          <w:rFonts w:cstheme="minorHAnsi"/>
          <w:bCs/>
          <w:lang w:val="en-GB"/>
        </w:rPr>
      </w:pPr>
      <w:r w:rsidRPr="004A7284">
        <w:rPr>
          <w:rFonts w:cstheme="minorHAnsi"/>
          <w:bCs/>
          <w:lang w:val="en-GB"/>
        </w:rPr>
        <w:t xml:space="preserve">* </w:t>
      </w:r>
      <w:r w:rsidR="00914F6A" w:rsidRPr="004A7284">
        <w:rPr>
          <w:rFonts w:cstheme="minorHAnsi"/>
          <w:bCs/>
          <w:lang w:val="en-GB"/>
        </w:rPr>
        <w:t xml:space="preserve">Arrows in Table indicate direction </w:t>
      </w:r>
      <w:r w:rsidR="001C287D" w:rsidRPr="004A7284">
        <w:rPr>
          <w:rFonts w:cstheme="minorHAnsi"/>
          <w:bCs/>
          <w:lang w:val="en-GB"/>
        </w:rPr>
        <w:t xml:space="preserve">(increase or decrease) </w:t>
      </w:r>
      <w:r w:rsidR="00914F6A" w:rsidRPr="004A7284">
        <w:rPr>
          <w:rFonts w:cstheme="minorHAnsi"/>
          <w:bCs/>
          <w:lang w:val="en-GB"/>
        </w:rPr>
        <w:t>of significant change from previous year</w:t>
      </w:r>
      <w:r w:rsidR="001C287D" w:rsidRPr="004A7284">
        <w:rPr>
          <w:rFonts w:cstheme="minorHAnsi"/>
          <w:bCs/>
          <w:lang w:val="en-GB"/>
        </w:rPr>
        <w:t>.</w:t>
      </w:r>
    </w:p>
    <w:p w14:paraId="2C6B987C" w14:textId="0A90CD27" w:rsidR="00C366E3" w:rsidRPr="004A7284" w:rsidRDefault="00C366E3" w:rsidP="00BB71AB">
      <w:pPr>
        <w:spacing w:after="120" w:line="480" w:lineRule="auto"/>
        <w:jc w:val="both"/>
        <w:rPr>
          <w:rFonts w:cstheme="minorHAnsi"/>
          <w:bCs/>
          <w:i/>
          <w:iCs/>
          <w:lang w:val="en-GB"/>
        </w:rPr>
      </w:pPr>
      <w:r w:rsidRPr="004A7284">
        <w:rPr>
          <w:rFonts w:cstheme="minorHAnsi"/>
          <w:bCs/>
          <w:i/>
          <w:iCs/>
          <w:lang w:val="en-GB"/>
        </w:rPr>
        <w:t xml:space="preserve">Relationship </w:t>
      </w:r>
      <w:r w:rsidR="00F00D36" w:rsidRPr="004A7284">
        <w:rPr>
          <w:rFonts w:cstheme="minorHAnsi"/>
          <w:bCs/>
          <w:i/>
          <w:iCs/>
          <w:lang w:val="en-GB"/>
        </w:rPr>
        <w:t>between prevalence</w:t>
      </w:r>
      <w:r w:rsidR="008E4B31" w:rsidRPr="004A7284">
        <w:rPr>
          <w:rFonts w:cstheme="minorHAnsi"/>
          <w:bCs/>
          <w:i/>
          <w:iCs/>
          <w:lang w:val="en-GB"/>
        </w:rPr>
        <w:t>, alcohol-related prescriptions</w:t>
      </w:r>
      <w:r w:rsidR="00F00D36" w:rsidRPr="004A7284">
        <w:rPr>
          <w:rFonts w:cstheme="minorHAnsi"/>
          <w:bCs/>
          <w:i/>
          <w:iCs/>
          <w:lang w:val="en-GB"/>
        </w:rPr>
        <w:t xml:space="preserve"> and </w:t>
      </w:r>
      <w:r w:rsidR="00BE0893" w:rsidRPr="004A7284">
        <w:rPr>
          <w:rFonts w:cstheme="minorHAnsi"/>
          <w:bCs/>
          <w:i/>
          <w:iCs/>
          <w:lang w:val="en-GB"/>
        </w:rPr>
        <w:t>GP</w:t>
      </w:r>
      <w:r w:rsidR="00B571E3" w:rsidRPr="004A7284">
        <w:rPr>
          <w:rFonts w:cstheme="minorHAnsi"/>
          <w:bCs/>
          <w:i/>
          <w:iCs/>
          <w:lang w:val="en-GB"/>
        </w:rPr>
        <w:t xml:space="preserve"> surgery-level deprivation</w:t>
      </w:r>
      <w:r w:rsidRPr="004A7284">
        <w:rPr>
          <w:rFonts w:cstheme="minorHAnsi"/>
          <w:bCs/>
          <w:i/>
          <w:iCs/>
          <w:lang w:val="en-GB"/>
        </w:rPr>
        <w:t xml:space="preserve">: </w:t>
      </w:r>
    </w:p>
    <w:p w14:paraId="4C84BBC8" w14:textId="1C39F4E5" w:rsidR="00F00D36" w:rsidRPr="004A7284" w:rsidRDefault="00061A77" w:rsidP="00441C6A">
      <w:pPr>
        <w:spacing w:after="120" w:line="480" w:lineRule="auto"/>
        <w:ind w:firstLine="708"/>
        <w:jc w:val="both"/>
        <w:rPr>
          <w:rFonts w:cstheme="minorHAnsi"/>
          <w:bCs/>
          <w:lang w:val="en-GB"/>
        </w:rPr>
      </w:pPr>
      <w:r w:rsidRPr="004A7284">
        <w:rPr>
          <w:rFonts w:cstheme="minorHAnsi"/>
          <w:bCs/>
          <w:lang w:val="en-GB"/>
        </w:rPr>
        <w:t xml:space="preserve">To assess the relationship between social deprivation and </w:t>
      </w:r>
      <w:r w:rsidR="003B28CA" w:rsidRPr="004A7284">
        <w:rPr>
          <w:rFonts w:cstheme="minorHAnsi"/>
          <w:bCs/>
          <w:lang w:val="en-GB"/>
        </w:rPr>
        <w:t>prevalence of dependence diagnoses (reflecting overall GP caseload for alcohol dependence in these areas), we used meta regression analys</w:t>
      </w:r>
      <w:r w:rsidR="002752FA" w:rsidRPr="004A7284">
        <w:rPr>
          <w:rFonts w:cstheme="minorHAnsi"/>
          <w:bCs/>
          <w:lang w:val="en-GB"/>
        </w:rPr>
        <w:t>e</w:t>
      </w:r>
      <w:r w:rsidR="003B28CA" w:rsidRPr="004A7284">
        <w:rPr>
          <w:rFonts w:cstheme="minorHAnsi"/>
          <w:bCs/>
          <w:lang w:val="en-GB"/>
        </w:rPr>
        <w:t xml:space="preserve">s. Figure 3 displays the prevalence of alcohol dependence in GP surgeries as a function of the </w:t>
      </w:r>
      <w:r w:rsidR="00790C9C" w:rsidRPr="004A7284">
        <w:rPr>
          <w:rFonts w:cstheme="minorHAnsi"/>
          <w:bCs/>
          <w:lang w:val="en-GB"/>
        </w:rPr>
        <w:t xml:space="preserve">GP </w:t>
      </w:r>
      <w:r w:rsidR="00D4740F" w:rsidRPr="004A7284">
        <w:rPr>
          <w:rFonts w:cstheme="minorHAnsi"/>
          <w:bCs/>
          <w:lang w:val="en-GB"/>
        </w:rPr>
        <w:t xml:space="preserve">Surgery </w:t>
      </w:r>
      <w:r w:rsidR="003B28CA" w:rsidRPr="004A7284">
        <w:rPr>
          <w:rFonts w:cstheme="minorHAnsi"/>
          <w:bCs/>
          <w:lang w:val="en-GB"/>
        </w:rPr>
        <w:t xml:space="preserve">IMD </w:t>
      </w:r>
      <w:r w:rsidR="00D4740F" w:rsidRPr="004A7284">
        <w:rPr>
          <w:rFonts w:cstheme="minorHAnsi"/>
          <w:bCs/>
          <w:lang w:val="en-GB"/>
        </w:rPr>
        <w:t>decile</w:t>
      </w:r>
      <w:r w:rsidR="003B28CA" w:rsidRPr="004A7284">
        <w:rPr>
          <w:rFonts w:cstheme="minorHAnsi"/>
          <w:bCs/>
          <w:lang w:val="en-GB"/>
        </w:rPr>
        <w:t xml:space="preserve">, with the size of the points indicative of the number of patients </w:t>
      </w:r>
      <w:r w:rsidR="002D2022" w:rsidRPr="004A7284">
        <w:rPr>
          <w:rFonts w:cstheme="minorHAnsi"/>
          <w:bCs/>
          <w:lang w:val="en-GB"/>
        </w:rPr>
        <w:t xml:space="preserve">(aged over 18) </w:t>
      </w:r>
      <w:r w:rsidR="003B28CA" w:rsidRPr="004A7284">
        <w:rPr>
          <w:rFonts w:cstheme="minorHAnsi"/>
          <w:bCs/>
          <w:lang w:val="en-GB"/>
        </w:rPr>
        <w:t xml:space="preserve">registered in that surgery. </w:t>
      </w:r>
      <w:r w:rsidR="00C366E3" w:rsidRPr="004A7284">
        <w:rPr>
          <w:rFonts w:cstheme="minorHAnsi"/>
          <w:bCs/>
          <w:lang w:val="en-GB"/>
        </w:rPr>
        <w:t xml:space="preserve">The pooled prevalence of alcohol-dependent cases across the </w:t>
      </w:r>
      <w:r w:rsidR="005A767B" w:rsidRPr="004A7284">
        <w:rPr>
          <w:rFonts w:cstheme="minorHAnsi"/>
          <w:bCs/>
          <w:lang w:val="en-GB"/>
        </w:rPr>
        <w:t xml:space="preserve">62 </w:t>
      </w:r>
      <w:r w:rsidR="00C366E3" w:rsidRPr="004A7284">
        <w:rPr>
          <w:rFonts w:cstheme="minorHAnsi"/>
          <w:bCs/>
          <w:lang w:val="en-GB"/>
        </w:rPr>
        <w:t>GP surgeries was .</w:t>
      </w:r>
      <w:r w:rsidR="005A767B" w:rsidRPr="004A7284">
        <w:rPr>
          <w:rFonts w:cstheme="minorHAnsi"/>
          <w:bCs/>
          <w:lang w:val="en-GB"/>
        </w:rPr>
        <w:t>0</w:t>
      </w:r>
      <w:r w:rsidR="0054161F" w:rsidRPr="004A7284">
        <w:rPr>
          <w:rFonts w:cstheme="minorHAnsi"/>
          <w:bCs/>
          <w:lang w:val="en-GB"/>
        </w:rPr>
        <w:t>059</w:t>
      </w:r>
      <w:r w:rsidR="005A767B" w:rsidRPr="004A7284">
        <w:rPr>
          <w:rFonts w:cstheme="minorHAnsi"/>
          <w:bCs/>
          <w:lang w:val="en-GB"/>
        </w:rPr>
        <w:t xml:space="preserve"> </w:t>
      </w:r>
      <w:r w:rsidR="00C366E3" w:rsidRPr="004A7284">
        <w:rPr>
          <w:rFonts w:cstheme="minorHAnsi"/>
          <w:bCs/>
          <w:lang w:val="en-GB"/>
        </w:rPr>
        <w:t>[95% CI: .</w:t>
      </w:r>
      <w:r w:rsidR="00866B84" w:rsidRPr="004A7284">
        <w:rPr>
          <w:rFonts w:cstheme="minorHAnsi"/>
          <w:bCs/>
          <w:lang w:val="en-GB"/>
        </w:rPr>
        <w:t>0</w:t>
      </w:r>
      <w:r w:rsidR="0054161F" w:rsidRPr="004A7284">
        <w:rPr>
          <w:rFonts w:cstheme="minorHAnsi"/>
          <w:bCs/>
          <w:lang w:val="en-GB"/>
        </w:rPr>
        <w:t>052</w:t>
      </w:r>
      <w:r w:rsidR="00866B84" w:rsidRPr="004A7284">
        <w:rPr>
          <w:rFonts w:cstheme="minorHAnsi"/>
          <w:bCs/>
          <w:lang w:val="en-GB"/>
        </w:rPr>
        <w:t xml:space="preserve"> </w:t>
      </w:r>
      <w:r w:rsidR="00C366E3" w:rsidRPr="004A7284">
        <w:rPr>
          <w:rFonts w:cstheme="minorHAnsi"/>
          <w:bCs/>
          <w:lang w:val="en-GB"/>
        </w:rPr>
        <w:t>to .</w:t>
      </w:r>
      <w:r w:rsidR="005A767B" w:rsidRPr="004A7284">
        <w:rPr>
          <w:rFonts w:cstheme="minorHAnsi"/>
          <w:bCs/>
          <w:lang w:val="en-GB"/>
        </w:rPr>
        <w:t>0</w:t>
      </w:r>
      <w:r w:rsidR="0054161F" w:rsidRPr="004A7284">
        <w:rPr>
          <w:rFonts w:cstheme="minorHAnsi"/>
          <w:bCs/>
          <w:lang w:val="en-GB"/>
        </w:rPr>
        <w:t>06</w:t>
      </w:r>
      <w:r w:rsidR="005A767B" w:rsidRPr="004A7284">
        <w:rPr>
          <w:rFonts w:cstheme="minorHAnsi"/>
          <w:bCs/>
          <w:lang w:val="en-GB"/>
        </w:rPr>
        <w:t>7</w:t>
      </w:r>
      <w:r w:rsidR="00866B84" w:rsidRPr="004A7284">
        <w:rPr>
          <w:rFonts w:cstheme="minorHAnsi"/>
          <w:bCs/>
          <w:lang w:val="en-GB"/>
        </w:rPr>
        <w:t>; I</w:t>
      </w:r>
      <w:r w:rsidR="00866B84" w:rsidRPr="004A7284">
        <w:rPr>
          <w:rFonts w:cstheme="minorHAnsi"/>
          <w:bCs/>
          <w:vertAlign w:val="superscript"/>
          <w:lang w:val="en-GB"/>
        </w:rPr>
        <w:t xml:space="preserve">2 </w:t>
      </w:r>
      <w:r w:rsidR="00866B84" w:rsidRPr="004A7284">
        <w:rPr>
          <w:rFonts w:cstheme="minorHAnsi"/>
          <w:bCs/>
          <w:lang w:val="en-GB"/>
        </w:rPr>
        <w:t xml:space="preserve">= </w:t>
      </w:r>
      <w:r w:rsidR="0054161F" w:rsidRPr="004A7284">
        <w:rPr>
          <w:rFonts w:cstheme="minorHAnsi"/>
          <w:bCs/>
          <w:lang w:val="en-GB"/>
        </w:rPr>
        <w:t>87.6</w:t>
      </w:r>
      <w:r w:rsidR="00866B84" w:rsidRPr="004A7284">
        <w:rPr>
          <w:rFonts w:cstheme="minorHAnsi"/>
          <w:bCs/>
          <w:lang w:val="en-GB"/>
        </w:rPr>
        <w:t>%</w:t>
      </w:r>
      <w:r w:rsidR="00C366E3" w:rsidRPr="004A7284">
        <w:rPr>
          <w:rFonts w:cstheme="minorHAnsi"/>
          <w:bCs/>
          <w:lang w:val="en-GB"/>
        </w:rPr>
        <w:t>]</w:t>
      </w:r>
      <w:r w:rsidR="002752FA" w:rsidRPr="004A7284">
        <w:rPr>
          <w:rFonts w:cstheme="minorHAnsi"/>
          <w:bCs/>
          <w:lang w:val="en-GB"/>
        </w:rPr>
        <w:t>, or approximately 0.6%</w:t>
      </w:r>
      <w:r w:rsidR="00C366E3" w:rsidRPr="004A7284">
        <w:rPr>
          <w:rFonts w:cstheme="minorHAnsi"/>
          <w:bCs/>
          <w:lang w:val="en-GB"/>
        </w:rPr>
        <w:t xml:space="preserve">. There was a significant association between </w:t>
      </w:r>
      <w:r w:rsidR="002752FA" w:rsidRPr="004A7284">
        <w:rPr>
          <w:rFonts w:cstheme="minorHAnsi"/>
          <w:bCs/>
          <w:lang w:val="en-GB"/>
        </w:rPr>
        <w:t xml:space="preserve">GP surgery </w:t>
      </w:r>
      <w:r w:rsidR="00C366E3" w:rsidRPr="004A7284">
        <w:rPr>
          <w:rFonts w:cstheme="minorHAnsi"/>
          <w:bCs/>
          <w:lang w:val="en-GB"/>
        </w:rPr>
        <w:t>IMD and prevalence rates (B = -.</w:t>
      </w:r>
      <w:r w:rsidR="005A767B" w:rsidRPr="004A7284">
        <w:rPr>
          <w:rFonts w:cstheme="minorHAnsi"/>
          <w:bCs/>
          <w:lang w:val="en-GB"/>
        </w:rPr>
        <w:t>00</w:t>
      </w:r>
      <w:r w:rsidR="00214B25" w:rsidRPr="004A7284">
        <w:rPr>
          <w:rFonts w:cstheme="minorHAnsi"/>
          <w:bCs/>
          <w:lang w:val="en-GB"/>
        </w:rPr>
        <w:t>6</w:t>
      </w:r>
      <w:r w:rsidR="0054161F" w:rsidRPr="004A7284">
        <w:rPr>
          <w:rFonts w:cstheme="minorHAnsi"/>
          <w:bCs/>
          <w:lang w:val="en-GB"/>
        </w:rPr>
        <w:t>8</w:t>
      </w:r>
      <w:r w:rsidR="005A767B" w:rsidRPr="004A7284">
        <w:rPr>
          <w:rFonts w:cstheme="minorHAnsi"/>
          <w:bCs/>
          <w:lang w:val="en-GB"/>
        </w:rPr>
        <w:t xml:space="preserve"> </w:t>
      </w:r>
      <w:r w:rsidR="00C366E3" w:rsidRPr="004A7284">
        <w:rPr>
          <w:rFonts w:cstheme="minorHAnsi"/>
          <w:bCs/>
          <w:lang w:val="en-GB"/>
        </w:rPr>
        <w:t>[95% CI: -.</w:t>
      </w:r>
      <w:r w:rsidR="005A767B" w:rsidRPr="004A7284">
        <w:rPr>
          <w:rFonts w:cstheme="minorHAnsi"/>
          <w:bCs/>
          <w:lang w:val="en-GB"/>
        </w:rPr>
        <w:t>0</w:t>
      </w:r>
      <w:r w:rsidR="0054161F" w:rsidRPr="004A7284">
        <w:rPr>
          <w:rFonts w:cstheme="minorHAnsi"/>
          <w:bCs/>
          <w:lang w:val="en-GB"/>
        </w:rPr>
        <w:t>0</w:t>
      </w:r>
      <w:r w:rsidR="009C3EC4" w:rsidRPr="004A7284">
        <w:rPr>
          <w:rFonts w:cstheme="minorHAnsi"/>
          <w:bCs/>
          <w:lang w:val="en-GB"/>
        </w:rPr>
        <w:t>9</w:t>
      </w:r>
      <w:r w:rsidR="00214B25" w:rsidRPr="004A7284">
        <w:rPr>
          <w:rFonts w:cstheme="minorHAnsi"/>
          <w:bCs/>
          <w:lang w:val="en-GB"/>
        </w:rPr>
        <w:t>3</w:t>
      </w:r>
      <w:r w:rsidR="005A767B" w:rsidRPr="004A7284">
        <w:rPr>
          <w:rFonts w:cstheme="minorHAnsi"/>
          <w:bCs/>
          <w:lang w:val="en-GB"/>
        </w:rPr>
        <w:t xml:space="preserve"> </w:t>
      </w:r>
      <w:proofErr w:type="gramStart"/>
      <w:r w:rsidR="00C366E3" w:rsidRPr="004A7284">
        <w:rPr>
          <w:rFonts w:cstheme="minorHAnsi"/>
          <w:bCs/>
          <w:lang w:val="en-GB"/>
        </w:rPr>
        <w:t xml:space="preserve">to </w:t>
      </w:r>
      <w:r w:rsidR="00C366E3" w:rsidRPr="004A7284">
        <w:rPr>
          <w:rFonts w:cstheme="minorHAnsi"/>
          <w:bCs/>
          <w:lang w:val="en-GB"/>
        </w:rPr>
        <w:lastRenderedPageBreak/>
        <w:t>.</w:t>
      </w:r>
      <w:proofErr w:type="gramEnd"/>
      <w:r w:rsidR="00C366E3" w:rsidRPr="004A7284">
        <w:rPr>
          <w:rFonts w:cstheme="minorHAnsi"/>
          <w:bCs/>
          <w:lang w:val="en-GB"/>
        </w:rPr>
        <w:t>-</w:t>
      </w:r>
      <w:r w:rsidR="005A767B" w:rsidRPr="004A7284">
        <w:rPr>
          <w:rFonts w:cstheme="minorHAnsi"/>
          <w:bCs/>
          <w:lang w:val="en-GB"/>
        </w:rPr>
        <w:t>00</w:t>
      </w:r>
      <w:r w:rsidR="00214B25" w:rsidRPr="004A7284">
        <w:rPr>
          <w:rFonts w:cstheme="minorHAnsi"/>
          <w:bCs/>
          <w:lang w:val="en-GB"/>
        </w:rPr>
        <w:t>42</w:t>
      </w:r>
      <w:r w:rsidR="00A3581A" w:rsidRPr="004A7284">
        <w:rPr>
          <w:rFonts w:cstheme="minorHAnsi"/>
          <w:bCs/>
          <w:lang w:val="en-GB"/>
        </w:rPr>
        <w:t>]</w:t>
      </w:r>
      <w:r w:rsidR="00C366E3" w:rsidRPr="004A7284">
        <w:rPr>
          <w:rFonts w:cstheme="minorHAnsi"/>
          <w:bCs/>
          <w:lang w:val="en-GB"/>
        </w:rPr>
        <w:t xml:space="preserve">; Z = </w:t>
      </w:r>
      <w:r w:rsidR="00214B25" w:rsidRPr="004A7284">
        <w:rPr>
          <w:rFonts w:cstheme="minorHAnsi"/>
          <w:bCs/>
          <w:lang w:val="en-GB"/>
        </w:rPr>
        <w:t>5.21</w:t>
      </w:r>
      <w:r w:rsidR="00C366E3" w:rsidRPr="004A7284">
        <w:rPr>
          <w:rFonts w:cstheme="minorHAnsi"/>
          <w:bCs/>
          <w:lang w:val="en-GB"/>
        </w:rPr>
        <w:t>, p &lt; .001</w:t>
      </w:r>
      <w:r w:rsidR="00866B84" w:rsidRPr="004A7284">
        <w:rPr>
          <w:rFonts w:cstheme="minorHAnsi"/>
          <w:bCs/>
          <w:lang w:val="en-GB"/>
        </w:rPr>
        <w:t>: R</w:t>
      </w:r>
      <w:r w:rsidR="00866B84" w:rsidRPr="004A7284">
        <w:rPr>
          <w:rFonts w:cstheme="minorHAnsi"/>
          <w:bCs/>
          <w:vertAlign w:val="superscript"/>
          <w:lang w:val="en-GB"/>
        </w:rPr>
        <w:t>2</w:t>
      </w:r>
      <w:r w:rsidR="00866B84" w:rsidRPr="004A7284">
        <w:rPr>
          <w:rFonts w:cstheme="minorHAnsi"/>
          <w:bCs/>
          <w:lang w:val="en-GB"/>
        </w:rPr>
        <w:t xml:space="preserve"> = </w:t>
      </w:r>
      <w:r w:rsidR="00214B25" w:rsidRPr="004A7284">
        <w:rPr>
          <w:rFonts w:cstheme="minorHAnsi"/>
          <w:bCs/>
          <w:lang w:val="en-GB"/>
        </w:rPr>
        <w:t>3</w:t>
      </w:r>
      <w:r w:rsidR="0054161F" w:rsidRPr="004A7284">
        <w:rPr>
          <w:rFonts w:cstheme="minorHAnsi"/>
          <w:bCs/>
          <w:lang w:val="en-GB"/>
        </w:rPr>
        <w:t>6</w:t>
      </w:r>
      <w:r w:rsidR="00866B84" w:rsidRPr="004A7284">
        <w:rPr>
          <w:rFonts w:cstheme="minorHAnsi"/>
          <w:bCs/>
          <w:lang w:val="en-GB"/>
        </w:rPr>
        <w:t>.</w:t>
      </w:r>
      <w:r w:rsidR="0054161F" w:rsidRPr="004A7284">
        <w:rPr>
          <w:rFonts w:cstheme="minorHAnsi"/>
          <w:bCs/>
          <w:lang w:val="en-GB"/>
        </w:rPr>
        <w:t>9</w:t>
      </w:r>
      <w:r w:rsidR="00866B84" w:rsidRPr="004A7284">
        <w:rPr>
          <w:rFonts w:cstheme="minorHAnsi"/>
          <w:bCs/>
          <w:lang w:val="en-GB"/>
        </w:rPr>
        <w:t>%</w:t>
      </w:r>
      <w:r w:rsidR="00C366E3" w:rsidRPr="004A7284">
        <w:rPr>
          <w:rFonts w:cstheme="minorHAnsi"/>
          <w:bCs/>
          <w:lang w:val="en-GB"/>
        </w:rPr>
        <w:t xml:space="preserve">). </w:t>
      </w:r>
      <w:r w:rsidR="00791580" w:rsidRPr="004A7284">
        <w:rPr>
          <w:rFonts w:cstheme="minorHAnsi"/>
          <w:bCs/>
          <w:lang w:val="en-GB"/>
        </w:rPr>
        <w:t>The inclusion</w:t>
      </w:r>
      <w:r w:rsidR="005A767B" w:rsidRPr="004A7284">
        <w:rPr>
          <w:rFonts w:cstheme="minorHAnsi"/>
          <w:bCs/>
          <w:lang w:val="en-GB"/>
        </w:rPr>
        <w:t xml:space="preserve"> of %males (vs females) registered to the surgery into the model was not a statistically significant predictor (B = .0</w:t>
      </w:r>
      <w:r w:rsidR="00214B25" w:rsidRPr="004A7284">
        <w:rPr>
          <w:rFonts w:cstheme="minorHAnsi"/>
          <w:bCs/>
          <w:lang w:val="en-GB"/>
        </w:rPr>
        <w:t>941</w:t>
      </w:r>
      <w:r w:rsidR="005A767B" w:rsidRPr="004A7284">
        <w:rPr>
          <w:rFonts w:cstheme="minorHAnsi"/>
          <w:bCs/>
          <w:lang w:val="en-GB"/>
        </w:rPr>
        <w:t xml:space="preserve"> [95% CI: -.</w:t>
      </w:r>
      <w:r w:rsidR="0054161F" w:rsidRPr="004A7284">
        <w:rPr>
          <w:rFonts w:cstheme="minorHAnsi"/>
          <w:bCs/>
          <w:lang w:val="en-GB"/>
        </w:rPr>
        <w:t>0</w:t>
      </w:r>
      <w:r w:rsidR="00214B25" w:rsidRPr="004A7284">
        <w:rPr>
          <w:rFonts w:cstheme="minorHAnsi"/>
          <w:bCs/>
          <w:lang w:val="en-GB"/>
        </w:rPr>
        <w:t>335</w:t>
      </w:r>
      <w:r w:rsidR="005A767B" w:rsidRPr="004A7284">
        <w:rPr>
          <w:rFonts w:cstheme="minorHAnsi"/>
          <w:bCs/>
          <w:lang w:val="en-GB"/>
        </w:rPr>
        <w:t xml:space="preserve"> to .</w:t>
      </w:r>
      <w:r w:rsidR="00214B25" w:rsidRPr="004A7284">
        <w:rPr>
          <w:rFonts w:cstheme="minorHAnsi"/>
          <w:bCs/>
          <w:lang w:val="en-GB"/>
        </w:rPr>
        <w:t>2218</w:t>
      </w:r>
      <w:r w:rsidR="005A767B" w:rsidRPr="004A7284">
        <w:rPr>
          <w:rFonts w:cstheme="minorHAnsi"/>
          <w:bCs/>
          <w:lang w:val="en-GB"/>
        </w:rPr>
        <w:t>]</w:t>
      </w:r>
      <w:r w:rsidR="001C08F5" w:rsidRPr="004A7284">
        <w:rPr>
          <w:rFonts w:cstheme="minorHAnsi"/>
          <w:bCs/>
          <w:lang w:val="en-GB"/>
        </w:rPr>
        <w:t>;</w:t>
      </w:r>
      <w:r w:rsidR="005A767B" w:rsidRPr="004A7284">
        <w:rPr>
          <w:rFonts w:cstheme="minorHAnsi"/>
          <w:bCs/>
          <w:lang w:val="en-GB"/>
        </w:rPr>
        <w:t xml:space="preserve"> Z </w:t>
      </w:r>
      <w:r w:rsidR="00214B25" w:rsidRPr="004A7284">
        <w:rPr>
          <w:rFonts w:cstheme="minorHAnsi"/>
          <w:bCs/>
          <w:lang w:val="en-GB"/>
        </w:rPr>
        <w:t>= 1.45</w:t>
      </w:r>
      <w:r w:rsidR="005A767B" w:rsidRPr="004A7284">
        <w:rPr>
          <w:rFonts w:cstheme="minorHAnsi"/>
          <w:bCs/>
          <w:lang w:val="en-GB"/>
        </w:rPr>
        <w:t>, p = .</w:t>
      </w:r>
      <w:r w:rsidR="00214B25" w:rsidRPr="004A7284">
        <w:rPr>
          <w:rFonts w:cstheme="minorHAnsi"/>
          <w:bCs/>
          <w:lang w:val="en-GB"/>
        </w:rPr>
        <w:t>148</w:t>
      </w:r>
      <w:r w:rsidR="00276DD8" w:rsidRPr="004A7284">
        <w:rPr>
          <w:rFonts w:cstheme="minorHAnsi"/>
          <w:bCs/>
          <w:lang w:val="en-GB"/>
        </w:rPr>
        <w:t>), and did not explain any additional variance in the model (</w:t>
      </w:r>
      <w:r w:rsidR="006E66D0" w:rsidRPr="004A7284">
        <w:rPr>
          <w:rFonts w:cstheme="minorHAnsi"/>
          <w:bCs/>
          <w:lang w:val="en-GB"/>
        </w:rPr>
        <w:t xml:space="preserve">model </w:t>
      </w:r>
      <w:r w:rsidR="00276DD8" w:rsidRPr="004A7284">
        <w:rPr>
          <w:rFonts w:cstheme="minorHAnsi"/>
          <w:bCs/>
          <w:lang w:val="en-GB"/>
        </w:rPr>
        <w:t>R</w:t>
      </w:r>
      <w:r w:rsidR="00276DD8" w:rsidRPr="004A7284">
        <w:rPr>
          <w:rFonts w:cstheme="minorHAnsi"/>
          <w:bCs/>
          <w:vertAlign w:val="superscript"/>
          <w:lang w:val="en-GB"/>
        </w:rPr>
        <w:t xml:space="preserve">2 </w:t>
      </w:r>
      <w:r w:rsidR="00276DD8" w:rsidRPr="004A7284">
        <w:rPr>
          <w:rFonts w:cstheme="minorHAnsi"/>
          <w:bCs/>
          <w:lang w:val="en-GB"/>
        </w:rPr>
        <w:t xml:space="preserve">= </w:t>
      </w:r>
      <w:r w:rsidR="00214B25" w:rsidRPr="004A7284">
        <w:rPr>
          <w:rFonts w:cstheme="minorHAnsi"/>
          <w:bCs/>
          <w:lang w:val="en-GB"/>
        </w:rPr>
        <w:t>37.9</w:t>
      </w:r>
      <w:r w:rsidR="00276DD8" w:rsidRPr="004A7284">
        <w:rPr>
          <w:rFonts w:cstheme="minorHAnsi"/>
          <w:bCs/>
          <w:lang w:val="en-GB"/>
        </w:rPr>
        <w:t>%).</w:t>
      </w:r>
      <w:r w:rsidR="00CE1CE1" w:rsidRPr="004A7284">
        <w:rPr>
          <w:rFonts w:cstheme="minorHAnsi"/>
          <w:bCs/>
          <w:lang w:val="en-GB"/>
        </w:rPr>
        <w:t xml:space="preserve"> Similarly, neither % males (B = .000</w:t>
      </w:r>
      <w:r w:rsidR="001B4B29" w:rsidRPr="004A7284">
        <w:rPr>
          <w:rFonts w:cstheme="minorHAnsi"/>
          <w:bCs/>
          <w:lang w:val="en-GB"/>
        </w:rPr>
        <w:t>2</w:t>
      </w:r>
      <w:r w:rsidR="00CE1CE1" w:rsidRPr="004A7284">
        <w:rPr>
          <w:rFonts w:cstheme="minorHAnsi"/>
          <w:bCs/>
          <w:lang w:val="en-GB"/>
        </w:rPr>
        <w:t xml:space="preserve"> [95% CI: -.00</w:t>
      </w:r>
      <w:r w:rsidR="001B4B29" w:rsidRPr="004A7284">
        <w:rPr>
          <w:rFonts w:cstheme="minorHAnsi"/>
          <w:bCs/>
          <w:lang w:val="en-GB"/>
        </w:rPr>
        <w:t>06</w:t>
      </w:r>
      <w:r w:rsidR="00CE1CE1" w:rsidRPr="004A7284">
        <w:rPr>
          <w:rFonts w:cstheme="minorHAnsi"/>
          <w:bCs/>
          <w:lang w:val="en-GB"/>
        </w:rPr>
        <w:t xml:space="preserve"> to .00</w:t>
      </w:r>
      <w:r w:rsidR="001B4B29" w:rsidRPr="004A7284">
        <w:rPr>
          <w:rFonts w:cstheme="minorHAnsi"/>
          <w:bCs/>
          <w:lang w:val="en-GB"/>
        </w:rPr>
        <w:t>10</w:t>
      </w:r>
      <w:r w:rsidR="00CE1CE1" w:rsidRPr="004A7284">
        <w:rPr>
          <w:rFonts w:cstheme="minorHAnsi"/>
          <w:bCs/>
          <w:lang w:val="en-GB"/>
        </w:rPr>
        <w:t>]</w:t>
      </w:r>
      <w:r w:rsidR="001C08F5" w:rsidRPr="004A7284">
        <w:rPr>
          <w:rFonts w:cstheme="minorHAnsi"/>
          <w:bCs/>
          <w:lang w:val="en-GB"/>
        </w:rPr>
        <w:t>;</w:t>
      </w:r>
      <w:r w:rsidR="00CE1CE1" w:rsidRPr="004A7284">
        <w:rPr>
          <w:rFonts w:cstheme="minorHAnsi"/>
          <w:bCs/>
          <w:lang w:val="en-GB"/>
        </w:rPr>
        <w:t xml:space="preserve"> Z = 0.</w:t>
      </w:r>
      <w:r w:rsidR="001B4B29" w:rsidRPr="004A7284">
        <w:rPr>
          <w:rFonts w:cstheme="minorHAnsi"/>
          <w:bCs/>
          <w:lang w:val="en-GB"/>
        </w:rPr>
        <w:t>4</w:t>
      </w:r>
      <w:r w:rsidR="006508AC" w:rsidRPr="004A7284">
        <w:rPr>
          <w:rFonts w:cstheme="minorHAnsi"/>
          <w:bCs/>
          <w:lang w:val="en-GB"/>
        </w:rPr>
        <w:t>2</w:t>
      </w:r>
      <w:r w:rsidR="00CE1CE1" w:rsidRPr="004A7284">
        <w:rPr>
          <w:rFonts w:cstheme="minorHAnsi"/>
          <w:bCs/>
          <w:lang w:val="en-GB"/>
        </w:rPr>
        <w:t>, p = .</w:t>
      </w:r>
      <w:r w:rsidR="001B4B29" w:rsidRPr="004A7284">
        <w:rPr>
          <w:rFonts w:cstheme="minorHAnsi"/>
          <w:bCs/>
          <w:lang w:val="en-GB"/>
        </w:rPr>
        <w:t>678</w:t>
      </w:r>
      <w:r w:rsidR="00CE1CE1" w:rsidRPr="004A7284">
        <w:rPr>
          <w:rFonts w:cstheme="minorHAnsi"/>
          <w:bCs/>
          <w:lang w:val="en-GB"/>
        </w:rPr>
        <w:t>) nor % females (B = -.000</w:t>
      </w:r>
      <w:r w:rsidR="001B4B29" w:rsidRPr="004A7284">
        <w:rPr>
          <w:rFonts w:cstheme="minorHAnsi"/>
          <w:bCs/>
          <w:lang w:val="en-GB"/>
        </w:rPr>
        <w:t>2</w:t>
      </w:r>
      <w:r w:rsidR="00CE1CE1" w:rsidRPr="004A7284">
        <w:rPr>
          <w:rFonts w:cstheme="minorHAnsi"/>
          <w:bCs/>
          <w:lang w:val="en-GB"/>
        </w:rPr>
        <w:t xml:space="preserve"> [95% CI: -.00</w:t>
      </w:r>
      <w:r w:rsidR="001B4B29" w:rsidRPr="004A7284">
        <w:rPr>
          <w:rFonts w:cstheme="minorHAnsi"/>
          <w:bCs/>
          <w:lang w:val="en-GB"/>
        </w:rPr>
        <w:t>10</w:t>
      </w:r>
      <w:r w:rsidR="00CE1CE1" w:rsidRPr="004A7284">
        <w:rPr>
          <w:rFonts w:cstheme="minorHAnsi"/>
          <w:bCs/>
          <w:lang w:val="en-GB"/>
        </w:rPr>
        <w:t xml:space="preserve"> to .000</w:t>
      </w:r>
      <w:r w:rsidR="001B4B29" w:rsidRPr="004A7284">
        <w:rPr>
          <w:rFonts w:cstheme="minorHAnsi"/>
          <w:bCs/>
          <w:lang w:val="en-GB"/>
        </w:rPr>
        <w:t>5</w:t>
      </w:r>
      <w:r w:rsidR="00CE1CE1" w:rsidRPr="004A7284">
        <w:rPr>
          <w:rFonts w:cstheme="minorHAnsi"/>
          <w:bCs/>
          <w:lang w:val="en-GB"/>
        </w:rPr>
        <w:t>]</w:t>
      </w:r>
      <w:r w:rsidR="001C08F5" w:rsidRPr="004A7284">
        <w:rPr>
          <w:rFonts w:cstheme="minorHAnsi"/>
          <w:bCs/>
          <w:lang w:val="en-GB"/>
        </w:rPr>
        <w:t>;</w:t>
      </w:r>
      <w:r w:rsidR="00CE1CE1" w:rsidRPr="004A7284">
        <w:rPr>
          <w:rFonts w:cstheme="minorHAnsi"/>
          <w:bCs/>
          <w:lang w:val="en-GB"/>
        </w:rPr>
        <w:t xml:space="preserve"> Z = </w:t>
      </w:r>
      <w:r w:rsidR="001B4B29" w:rsidRPr="004A7284">
        <w:rPr>
          <w:rFonts w:cstheme="minorHAnsi"/>
          <w:bCs/>
          <w:lang w:val="en-GB"/>
        </w:rPr>
        <w:t>0.62</w:t>
      </w:r>
      <w:r w:rsidR="00CE1CE1" w:rsidRPr="004A7284">
        <w:rPr>
          <w:rFonts w:cstheme="minorHAnsi"/>
          <w:bCs/>
          <w:lang w:val="en-GB"/>
        </w:rPr>
        <w:t>, p = .</w:t>
      </w:r>
      <w:r w:rsidR="001B4B29" w:rsidRPr="004A7284">
        <w:rPr>
          <w:rFonts w:cstheme="minorHAnsi"/>
          <w:bCs/>
          <w:lang w:val="en-GB"/>
        </w:rPr>
        <w:t>533</w:t>
      </w:r>
      <w:r w:rsidR="00CE1CE1" w:rsidRPr="004A7284">
        <w:rPr>
          <w:rFonts w:cstheme="minorHAnsi"/>
          <w:bCs/>
          <w:lang w:val="en-GB"/>
        </w:rPr>
        <w:t xml:space="preserve">) reporting as </w:t>
      </w:r>
      <w:r w:rsidR="00AE70CB" w:rsidRPr="004A7284">
        <w:rPr>
          <w:rFonts w:cstheme="minorHAnsi"/>
          <w:bCs/>
          <w:lang w:val="en-GB"/>
        </w:rPr>
        <w:t xml:space="preserve">White </w:t>
      </w:r>
      <w:r w:rsidR="00CE1CE1" w:rsidRPr="004A7284">
        <w:rPr>
          <w:rFonts w:cstheme="minorHAnsi"/>
          <w:bCs/>
          <w:lang w:val="en-GB"/>
        </w:rPr>
        <w:t>British or Mixed British were associated with dependen</w:t>
      </w:r>
      <w:r w:rsidR="00B5099A" w:rsidRPr="004A7284">
        <w:rPr>
          <w:rFonts w:cstheme="minorHAnsi"/>
          <w:bCs/>
          <w:lang w:val="en-GB"/>
        </w:rPr>
        <w:t>ce</w:t>
      </w:r>
      <w:r w:rsidR="00CE1CE1" w:rsidRPr="004A7284">
        <w:rPr>
          <w:rFonts w:cstheme="minorHAnsi"/>
          <w:bCs/>
          <w:lang w:val="en-GB"/>
        </w:rPr>
        <w:t xml:space="preserve"> prevalence. </w:t>
      </w:r>
      <w:r w:rsidR="00C366E3" w:rsidRPr="004A7284">
        <w:rPr>
          <w:rFonts w:cstheme="minorHAnsi"/>
          <w:bCs/>
          <w:lang w:val="en-GB"/>
        </w:rPr>
        <w:t xml:space="preserve">Prevalence rates </w:t>
      </w:r>
      <w:r w:rsidR="00791580" w:rsidRPr="004A7284">
        <w:rPr>
          <w:rFonts w:cstheme="minorHAnsi"/>
          <w:bCs/>
          <w:lang w:val="en-GB"/>
        </w:rPr>
        <w:t xml:space="preserve">of dependence </w:t>
      </w:r>
      <w:r w:rsidR="00C366E3" w:rsidRPr="004A7284">
        <w:rPr>
          <w:rFonts w:cstheme="minorHAnsi"/>
          <w:bCs/>
          <w:lang w:val="en-GB"/>
        </w:rPr>
        <w:t>in the most deprived GP surgeries (IMD = 1: prevalence = .</w:t>
      </w:r>
      <w:r w:rsidR="007D28C1" w:rsidRPr="004A7284">
        <w:rPr>
          <w:rFonts w:cstheme="minorHAnsi"/>
          <w:bCs/>
          <w:lang w:val="en-GB"/>
        </w:rPr>
        <w:t>0</w:t>
      </w:r>
      <w:r w:rsidR="006C4B15" w:rsidRPr="004A7284">
        <w:rPr>
          <w:rFonts w:cstheme="minorHAnsi"/>
          <w:bCs/>
          <w:lang w:val="en-GB"/>
        </w:rPr>
        <w:t>0</w:t>
      </w:r>
      <w:r w:rsidR="001B078B" w:rsidRPr="004A7284">
        <w:rPr>
          <w:rFonts w:cstheme="minorHAnsi"/>
          <w:bCs/>
          <w:lang w:val="en-GB"/>
        </w:rPr>
        <w:t>74</w:t>
      </w:r>
      <w:r w:rsidR="007D28C1" w:rsidRPr="004A7284">
        <w:rPr>
          <w:rFonts w:cstheme="minorHAnsi"/>
          <w:bCs/>
          <w:lang w:val="en-GB"/>
        </w:rPr>
        <w:t xml:space="preserve"> </w:t>
      </w:r>
      <w:r w:rsidR="00C366E3" w:rsidRPr="004A7284">
        <w:rPr>
          <w:rFonts w:cstheme="minorHAnsi"/>
          <w:bCs/>
          <w:lang w:val="en-GB"/>
        </w:rPr>
        <w:t>[95% CI: .</w:t>
      </w:r>
      <w:r w:rsidR="007D28C1" w:rsidRPr="004A7284">
        <w:rPr>
          <w:rFonts w:cstheme="minorHAnsi"/>
          <w:bCs/>
          <w:lang w:val="en-GB"/>
        </w:rPr>
        <w:t>0</w:t>
      </w:r>
      <w:r w:rsidR="006C4B15" w:rsidRPr="004A7284">
        <w:rPr>
          <w:rFonts w:cstheme="minorHAnsi"/>
          <w:bCs/>
          <w:lang w:val="en-GB"/>
        </w:rPr>
        <w:t>0</w:t>
      </w:r>
      <w:r w:rsidR="001B078B" w:rsidRPr="004A7284">
        <w:rPr>
          <w:rFonts w:cstheme="minorHAnsi"/>
          <w:bCs/>
          <w:lang w:val="en-GB"/>
        </w:rPr>
        <w:t>6</w:t>
      </w:r>
      <w:r w:rsidR="006C4B15" w:rsidRPr="004A7284">
        <w:rPr>
          <w:rFonts w:cstheme="minorHAnsi"/>
          <w:bCs/>
          <w:lang w:val="en-GB"/>
        </w:rPr>
        <w:t>4</w:t>
      </w:r>
      <w:r w:rsidR="007D28C1" w:rsidRPr="004A7284">
        <w:rPr>
          <w:rFonts w:cstheme="minorHAnsi"/>
          <w:bCs/>
          <w:lang w:val="en-GB"/>
        </w:rPr>
        <w:t xml:space="preserve"> </w:t>
      </w:r>
      <w:r w:rsidR="00C366E3" w:rsidRPr="004A7284">
        <w:rPr>
          <w:rFonts w:cstheme="minorHAnsi"/>
          <w:bCs/>
          <w:lang w:val="en-GB"/>
        </w:rPr>
        <w:t>to .</w:t>
      </w:r>
      <w:r w:rsidR="007D28C1" w:rsidRPr="004A7284">
        <w:rPr>
          <w:rFonts w:cstheme="minorHAnsi"/>
          <w:bCs/>
          <w:lang w:val="en-GB"/>
        </w:rPr>
        <w:t>0</w:t>
      </w:r>
      <w:r w:rsidR="001B078B" w:rsidRPr="004A7284">
        <w:rPr>
          <w:rFonts w:cstheme="minorHAnsi"/>
          <w:bCs/>
          <w:lang w:val="en-GB"/>
        </w:rPr>
        <w:t>083</w:t>
      </w:r>
      <w:r w:rsidR="00C366E3" w:rsidRPr="004A7284">
        <w:rPr>
          <w:rFonts w:cstheme="minorHAnsi"/>
          <w:bCs/>
          <w:lang w:val="en-GB"/>
        </w:rPr>
        <w:t>) were significantly higher than other GP surgeries (IMDs 2 – 10: prevalence = .</w:t>
      </w:r>
      <w:r w:rsidR="007D28C1" w:rsidRPr="004A7284">
        <w:rPr>
          <w:rFonts w:cstheme="minorHAnsi"/>
          <w:bCs/>
          <w:lang w:val="en-GB"/>
        </w:rPr>
        <w:t>00</w:t>
      </w:r>
      <w:r w:rsidR="001B078B" w:rsidRPr="004A7284">
        <w:rPr>
          <w:rFonts w:cstheme="minorHAnsi"/>
          <w:bCs/>
          <w:lang w:val="en-GB"/>
        </w:rPr>
        <w:t>40</w:t>
      </w:r>
      <w:r w:rsidR="007D28C1" w:rsidRPr="004A7284">
        <w:rPr>
          <w:rFonts w:cstheme="minorHAnsi"/>
          <w:bCs/>
          <w:lang w:val="en-GB"/>
        </w:rPr>
        <w:t xml:space="preserve"> </w:t>
      </w:r>
      <w:r w:rsidR="00C366E3" w:rsidRPr="004A7284">
        <w:rPr>
          <w:rFonts w:cstheme="minorHAnsi"/>
          <w:bCs/>
          <w:lang w:val="en-GB"/>
        </w:rPr>
        <w:t>[95% CI: .</w:t>
      </w:r>
      <w:r w:rsidR="007D28C1" w:rsidRPr="004A7284">
        <w:rPr>
          <w:rFonts w:cstheme="minorHAnsi"/>
          <w:bCs/>
          <w:lang w:val="en-GB"/>
        </w:rPr>
        <w:t>00</w:t>
      </w:r>
      <w:r w:rsidR="001B078B" w:rsidRPr="004A7284">
        <w:rPr>
          <w:rFonts w:cstheme="minorHAnsi"/>
          <w:bCs/>
          <w:lang w:val="en-GB"/>
        </w:rPr>
        <w:t>3</w:t>
      </w:r>
      <w:r w:rsidR="006C4B15" w:rsidRPr="004A7284">
        <w:rPr>
          <w:rFonts w:cstheme="minorHAnsi"/>
          <w:bCs/>
          <w:lang w:val="en-GB"/>
        </w:rPr>
        <w:t>3</w:t>
      </w:r>
      <w:r w:rsidR="007D28C1" w:rsidRPr="004A7284">
        <w:rPr>
          <w:rFonts w:cstheme="minorHAnsi"/>
          <w:bCs/>
          <w:lang w:val="en-GB"/>
        </w:rPr>
        <w:t xml:space="preserve"> </w:t>
      </w:r>
      <w:r w:rsidR="00C366E3" w:rsidRPr="004A7284">
        <w:rPr>
          <w:rFonts w:cstheme="minorHAnsi"/>
          <w:bCs/>
          <w:lang w:val="en-GB"/>
        </w:rPr>
        <w:t>to .</w:t>
      </w:r>
      <w:r w:rsidR="007D28C1" w:rsidRPr="004A7284">
        <w:rPr>
          <w:rFonts w:cstheme="minorHAnsi"/>
          <w:bCs/>
          <w:lang w:val="en-GB"/>
        </w:rPr>
        <w:t>0</w:t>
      </w:r>
      <w:r w:rsidR="006C4B15" w:rsidRPr="004A7284">
        <w:rPr>
          <w:rFonts w:cstheme="minorHAnsi"/>
          <w:bCs/>
          <w:lang w:val="en-GB"/>
        </w:rPr>
        <w:t>0</w:t>
      </w:r>
      <w:r w:rsidR="001B078B" w:rsidRPr="004A7284">
        <w:rPr>
          <w:rFonts w:cstheme="minorHAnsi"/>
          <w:bCs/>
          <w:lang w:val="en-GB"/>
        </w:rPr>
        <w:t>48</w:t>
      </w:r>
      <w:r w:rsidR="00C366E3" w:rsidRPr="004A7284">
        <w:rPr>
          <w:rFonts w:cstheme="minorHAnsi"/>
          <w:bCs/>
          <w:lang w:val="en-GB"/>
        </w:rPr>
        <w:t>]; X</w:t>
      </w:r>
      <w:r w:rsidR="00C366E3" w:rsidRPr="004A7284">
        <w:rPr>
          <w:rFonts w:cstheme="minorHAnsi"/>
          <w:bCs/>
          <w:vertAlign w:val="superscript"/>
          <w:lang w:val="en-GB"/>
        </w:rPr>
        <w:t>2</w:t>
      </w:r>
      <w:r w:rsidR="00C366E3" w:rsidRPr="004A7284">
        <w:rPr>
          <w:rFonts w:cstheme="minorHAnsi"/>
          <w:bCs/>
          <w:lang w:val="en-GB"/>
        </w:rPr>
        <w:t xml:space="preserve"> = </w:t>
      </w:r>
      <w:r w:rsidR="001B078B" w:rsidRPr="004A7284">
        <w:rPr>
          <w:rFonts w:cstheme="minorHAnsi"/>
          <w:bCs/>
          <w:lang w:val="en-GB"/>
        </w:rPr>
        <w:t>28.50</w:t>
      </w:r>
      <w:r w:rsidR="00C366E3" w:rsidRPr="004A7284">
        <w:rPr>
          <w:rFonts w:cstheme="minorHAnsi"/>
          <w:bCs/>
          <w:lang w:val="en-GB"/>
        </w:rPr>
        <w:t xml:space="preserve">, p &lt; .001). This is indicative of a </w:t>
      </w:r>
      <w:r w:rsidR="00D75BD8" w:rsidRPr="004A7284">
        <w:rPr>
          <w:rFonts w:cstheme="minorHAnsi"/>
          <w:bCs/>
          <w:lang w:val="en-GB"/>
        </w:rPr>
        <w:t>~</w:t>
      </w:r>
      <w:r w:rsidR="007C1E08" w:rsidRPr="004A7284">
        <w:rPr>
          <w:rFonts w:cstheme="minorHAnsi"/>
          <w:bCs/>
          <w:lang w:val="en-GB"/>
        </w:rPr>
        <w:t>84</w:t>
      </w:r>
      <w:r w:rsidR="00C366E3" w:rsidRPr="004A7284">
        <w:rPr>
          <w:rFonts w:cstheme="minorHAnsi"/>
          <w:bCs/>
          <w:lang w:val="en-GB"/>
        </w:rPr>
        <w:t xml:space="preserve">% increase in the prevalence of dependence </w:t>
      </w:r>
      <w:r w:rsidR="00390BF1" w:rsidRPr="004A7284">
        <w:rPr>
          <w:rFonts w:cstheme="minorHAnsi"/>
          <w:bCs/>
          <w:lang w:val="en-GB"/>
        </w:rPr>
        <w:t xml:space="preserve">diagnoses </w:t>
      </w:r>
      <w:r w:rsidR="00C366E3" w:rsidRPr="004A7284">
        <w:rPr>
          <w:rFonts w:cstheme="minorHAnsi"/>
          <w:bCs/>
          <w:lang w:val="en-GB"/>
        </w:rPr>
        <w:t xml:space="preserve">in GP surgeries </w:t>
      </w:r>
      <w:r w:rsidR="003B28CA" w:rsidRPr="004A7284">
        <w:rPr>
          <w:rFonts w:cstheme="minorHAnsi"/>
          <w:bCs/>
          <w:lang w:val="en-GB"/>
        </w:rPr>
        <w:t xml:space="preserve">in the areas </w:t>
      </w:r>
      <w:r w:rsidR="00C366E3" w:rsidRPr="004A7284">
        <w:rPr>
          <w:rFonts w:cstheme="minorHAnsi"/>
          <w:bCs/>
          <w:lang w:val="en-GB"/>
        </w:rPr>
        <w:t xml:space="preserve">of highest deprivation.  </w:t>
      </w:r>
      <w:r w:rsidR="007C1E08" w:rsidRPr="004A7284">
        <w:rPr>
          <w:rFonts w:cstheme="minorHAnsi"/>
          <w:bCs/>
          <w:lang w:val="en-GB"/>
        </w:rPr>
        <w:t>See figure 3.</w:t>
      </w:r>
      <w:r w:rsidR="009C3EC4" w:rsidRPr="004A7284">
        <w:rPr>
          <w:rStyle w:val="FootnoteReference"/>
          <w:rFonts w:cstheme="minorHAnsi"/>
          <w:bCs/>
          <w:lang w:val="en-GB"/>
        </w:rPr>
        <w:footnoteReference w:id="1"/>
      </w:r>
    </w:p>
    <w:p w14:paraId="1D35A26E" w14:textId="3562ECB3" w:rsidR="009F5F33" w:rsidRPr="004A7284" w:rsidRDefault="009F5F33" w:rsidP="009F5F33">
      <w:pPr>
        <w:spacing w:after="120" w:line="480" w:lineRule="auto"/>
        <w:jc w:val="center"/>
        <w:rPr>
          <w:rFonts w:cstheme="minorHAnsi"/>
          <w:bCs/>
          <w:lang w:val="en-GB"/>
        </w:rPr>
      </w:pPr>
      <w:r w:rsidRPr="004A7284">
        <w:rPr>
          <w:rFonts w:cstheme="minorHAnsi"/>
          <w:bCs/>
          <w:lang w:val="en-GB"/>
        </w:rPr>
        <w:t>&lt;&lt; Insert Figure 3 About Here&gt;&gt;</w:t>
      </w:r>
    </w:p>
    <w:p w14:paraId="05F7DEE3" w14:textId="533EDDED" w:rsidR="00CE1CE1" w:rsidRPr="004A7284" w:rsidRDefault="006C4B15" w:rsidP="000853B9">
      <w:pPr>
        <w:spacing w:after="120" w:line="480" w:lineRule="auto"/>
        <w:ind w:firstLine="708"/>
        <w:jc w:val="both"/>
        <w:rPr>
          <w:rFonts w:cstheme="minorHAnsi"/>
          <w:bCs/>
          <w:lang w:val="en-GB"/>
        </w:rPr>
      </w:pPr>
      <w:r w:rsidRPr="004A7284">
        <w:rPr>
          <w:rFonts w:cstheme="minorHAnsi"/>
          <w:bCs/>
          <w:lang w:val="en-GB"/>
        </w:rPr>
        <w:t xml:space="preserve">The pooled prevalence for hazardous drinking across the 62 GP surgeries was </w:t>
      </w:r>
      <w:r w:rsidR="00F720D1" w:rsidRPr="004A7284">
        <w:rPr>
          <w:rFonts w:cstheme="minorHAnsi"/>
          <w:bCs/>
          <w:lang w:val="en-GB"/>
        </w:rPr>
        <w:t>.0</w:t>
      </w:r>
      <w:r w:rsidR="00A3581A" w:rsidRPr="004A7284">
        <w:rPr>
          <w:rFonts w:cstheme="minorHAnsi"/>
          <w:bCs/>
          <w:lang w:val="en-GB"/>
        </w:rPr>
        <w:t>0</w:t>
      </w:r>
      <w:r w:rsidR="00F720D1" w:rsidRPr="004A7284">
        <w:rPr>
          <w:rFonts w:cstheme="minorHAnsi"/>
          <w:bCs/>
          <w:lang w:val="en-GB"/>
        </w:rPr>
        <w:t>7</w:t>
      </w:r>
      <w:r w:rsidR="00A3581A" w:rsidRPr="004A7284">
        <w:rPr>
          <w:rFonts w:cstheme="minorHAnsi"/>
          <w:bCs/>
          <w:lang w:val="en-GB"/>
        </w:rPr>
        <w:t>8 [95% CI: .0069 to .0089, I</w:t>
      </w:r>
      <w:r w:rsidR="00A3581A" w:rsidRPr="004A7284">
        <w:rPr>
          <w:rFonts w:cstheme="minorHAnsi"/>
          <w:bCs/>
          <w:vertAlign w:val="superscript"/>
          <w:lang w:val="en-GB"/>
        </w:rPr>
        <w:t>2</w:t>
      </w:r>
      <w:r w:rsidR="00A3581A" w:rsidRPr="004A7284">
        <w:rPr>
          <w:rFonts w:cstheme="minorHAnsi"/>
          <w:bCs/>
          <w:lang w:val="en-GB"/>
        </w:rPr>
        <w:t xml:space="preserve"> = 90.8%]</w:t>
      </w:r>
      <w:r w:rsidR="002752FA" w:rsidRPr="004A7284">
        <w:rPr>
          <w:rFonts w:cstheme="minorHAnsi"/>
          <w:bCs/>
          <w:lang w:val="en-GB"/>
        </w:rPr>
        <w:t>, or approximately 0.8%</w:t>
      </w:r>
      <w:r w:rsidR="00A3581A" w:rsidRPr="004A7284">
        <w:rPr>
          <w:rFonts w:cstheme="minorHAnsi"/>
          <w:bCs/>
          <w:lang w:val="en-GB"/>
        </w:rPr>
        <w:t>. There was a significant association between IMD and prevalence rates (B = -.005</w:t>
      </w:r>
      <w:r w:rsidR="00E4697C" w:rsidRPr="004A7284">
        <w:rPr>
          <w:rFonts w:cstheme="minorHAnsi"/>
          <w:bCs/>
          <w:lang w:val="en-GB"/>
        </w:rPr>
        <w:t>9</w:t>
      </w:r>
      <w:r w:rsidR="00A3581A" w:rsidRPr="004A7284">
        <w:rPr>
          <w:rFonts w:cstheme="minorHAnsi"/>
          <w:bCs/>
          <w:lang w:val="en-GB"/>
        </w:rPr>
        <w:t xml:space="preserve"> [95% CI: -.00</w:t>
      </w:r>
      <w:r w:rsidR="00E4697C" w:rsidRPr="004A7284">
        <w:rPr>
          <w:rFonts w:cstheme="minorHAnsi"/>
          <w:bCs/>
          <w:lang w:val="en-GB"/>
        </w:rPr>
        <w:t>92</w:t>
      </w:r>
      <w:r w:rsidR="00A3581A" w:rsidRPr="004A7284">
        <w:rPr>
          <w:rFonts w:cstheme="minorHAnsi"/>
          <w:bCs/>
          <w:lang w:val="en-GB"/>
        </w:rPr>
        <w:t xml:space="preserve"> to -.00</w:t>
      </w:r>
      <w:r w:rsidR="00E4697C" w:rsidRPr="004A7284">
        <w:rPr>
          <w:rFonts w:cstheme="minorHAnsi"/>
          <w:bCs/>
          <w:lang w:val="en-GB"/>
        </w:rPr>
        <w:t>2</w:t>
      </w:r>
      <w:r w:rsidR="00A3581A" w:rsidRPr="004A7284">
        <w:rPr>
          <w:rFonts w:cstheme="minorHAnsi"/>
          <w:bCs/>
          <w:lang w:val="en-GB"/>
        </w:rPr>
        <w:t>7], Z = 3.</w:t>
      </w:r>
      <w:r w:rsidR="00E4697C" w:rsidRPr="004A7284">
        <w:rPr>
          <w:rFonts w:cstheme="minorHAnsi"/>
          <w:bCs/>
          <w:lang w:val="en-GB"/>
        </w:rPr>
        <w:t>59</w:t>
      </w:r>
      <w:r w:rsidR="00A3581A" w:rsidRPr="004A7284">
        <w:rPr>
          <w:rFonts w:cstheme="minorHAnsi"/>
          <w:bCs/>
          <w:lang w:val="en-GB"/>
        </w:rPr>
        <w:t xml:space="preserve">, p </w:t>
      </w:r>
      <w:r w:rsidR="00E4697C" w:rsidRPr="004A7284">
        <w:rPr>
          <w:rFonts w:cstheme="minorHAnsi"/>
          <w:bCs/>
          <w:lang w:val="en-GB"/>
        </w:rPr>
        <w:t>&lt;</w:t>
      </w:r>
      <w:r w:rsidR="00A3581A" w:rsidRPr="004A7284">
        <w:rPr>
          <w:rFonts w:cstheme="minorHAnsi"/>
          <w:bCs/>
          <w:lang w:val="en-GB"/>
        </w:rPr>
        <w:t xml:space="preserve"> .00</w:t>
      </w:r>
      <w:r w:rsidR="00E4697C" w:rsidRPr="004A7284">
        <w:rPr>
          <w:rFonts w:cstheme="minorHAnsi"/>
          <w:bCs/>
          <w:lang w:val="en-GB"/>
        </w:rPr>
        <w:t>1</w:t>
      </w:r>
      <w:r w:rsidR="002B03D2" w:rsidRPr="004A7284">
        <w:rPr>
          <w:rFonts w:cstheme="minorHAnsi"/>
          <w:bCs/>
          <w:lang w:val="en-GB"/>
        </w:rPr>
        <w:t>: R</w:t>
      </w:r>
      <w:r w:rsidR="002B03D2" w:rsidRPr="004A7284">
        <w:rPr>
          <w:rFonts w:cstheme="minorHAnsi"/>
          <w:bCs/>
          <w:vertAlign w:val="superscript"/>
          <w:lang w:val="en-GB"/>
        </w:rPr>
        <w:t>2</w:t>
      </w:r>
      <w:r w:rsidR="002B03D2" w:rsidRPr="004A7284">
        <w:rPr>
          <w:rFonts w:cstheme="minorHAnsi"/>
          <w:bCs/>
          <w:lang w:val="en-GB"/>
        </w:rPr>
        <w:t xml:space="preserve"> = </w:t>
      </w:r>
      <w:r w:rsidR="00E4697C" w:rsidRPr="004A7284">
        <w:rPr>
          <w:rFonts w:cstheme="minorHAnsi"/>
          <w:bCs/>
          <w:lang w:val="en-GB"/>
        </w:rPr>
        <w:t>19.1</w:t>
      </w:r>
      <w:r w:rsidR="002B03D2" w:rsidRPr="004A7284">
        <w:rPr>
          <w:rFonts w:cstheme="minorHAnsi"/>
          <w:bCs/>
          <w:lang w:val="en-GB"/>
        </w:rPr>
        <w:t>%</w:t>
      </w:r>
      <w:r w:rsidR="00A3581A" w:rsidRPr="004A7284">
        <w:rPr>
          <w:rFonts w:cstheme="minorHAnsi"/>
          <w:bCs/>
          <w:lang w:val="en-GB"/>
        </w:rPr>
        <w:t xml:space="preserve">). </w:t>
      </w:r>
      <w:r w:rsidR="002B03D2" w:rsidRPr="004A7284">
        <w:rPr>
          <w:rFonts w:cstheme="minorHAnsi"/>
          <w:bCs/>
          <w:lang w:val="en-GB"/>
        </w:rPr>
        <w:t>The inclusion</w:t>
      </w:r>
      <w:r w:rsidR="00A3581A" w:rsidRPr="004A7284">
        <w:rPr>
          <w:rFonts w:cstheme="minorHAnsi"/>
          <w:bCs/>
          <w:lang w:val="en-GB"/>
        </w:rPr>
        <w:t xml:space="preserve"> of %males (vs females) re</w:t>
      </w:r>
      <w:r w:rsidR="001C08F5" w:rsidRPr="004A7284">
        <w:rPr>
          <w:rFonts w:cstheme="minorHAnsi"/>
          <w:bCs/>
          <w:lang w:val="en-GB"/>
        </w:rPr>
        <w:t>gistered to the surgery was not a statistically significant predictor (B =</w:t>
      </w:r>
      <w:r w:rsidR="00E4697C" w:rsidRPr="004A7284">
        <w:rPr>
          <w:rFonts w:cstheme="minorHAnsi"/>
          <w:bCs/>
          <w:lang w:val="en-GB"/>
        </w:rPr>
        <w:t xml:space="preserve"> </w:t>
      </w:r>
      <w:r w:rsidR="001C08F5" w:rsidRPr="004A7284">
        <w:rPr>
          <w:rFonts w:cstheme="minorHAnsi"/>
          <w:bCs/>
          <w:lang w:val="en-GB"/>
        </w:rPr>
        <w:t>.0</w:t>
      </w:r>
      <w:r w:rsidR="00E4697C" w:rsidRPr="004A7284">
        <w:rPr>
          <w:rFonts w:cstheme="minorHAnsi"/>
          <w:bCs/>
          <w:lang w:val="en-GB"/>
        </w:rPr>
        <w:t>064</w:t>
      </w:r>
      <w:r w:rsidR="001C08F5" w:rsidRPr="004A7284">
        <w:rPr>
          <w:rFonts w:cstheme="minorHAnsi"/>
          <w:bCs/>
          <w:lang w:val="en-GB"/>
        </w:rPr>
        <w:t xml:space="preserve"> [95% CI: -.</w:t>
      </w:r>
      <w:r w:rsidR="00E4697C" w:rsidRPr="004A7284">
        <w:rPr>
          <w:rFonts w:cstheme="minorHAnsi"/>
          <w:bCs/>
          <w:lang w:val="en-GB"/>
        </w:rPr>
        <w:t>1573</w:t>
      </w:r>
      <w:r w:rsidR="001C08F5" w:rsidRPr="004A7284">
        <w:rPr>
          <w:rFonts w:cstheme="minorHAnsi"/>
          <w:bCs/>
          <w:lang w:val="en-GB"/>
        </w:rPr>
        <w:t xml:space="preserve"> to .</w:t>
      </w:r>
      <w:r w:rsidR="00E4697C" w:rsidRPr="004A7284">
        <w:rPr>
          <w:rFonts w:cstheme="minorHAnsi"/>
          <w:bCs/>
          <w:lang w:val="en-GB"/>
        </w:rPr>
        <w:t>1702</w:t>
      </w:r>
      <w:r w:rsidR="001C08F5" w:rsidRPr="004A7284">
        <w:rPr>
          <w:rFonts w:cstheme="minorHAnsi"/>
          <w:bCs/>
          <w:lang w:val="en-GB"/>
        </w:rPr>
        <w:t xml:space="preserve">]; Z = </w:t>
      </w:r>
      <w:r w:rsidR="002B03D2" w:rsidRPr="004A7284">
        <w:rPr>
          <w:rFonts w:cstheme="minorHAnsi"/>
          <w:bCs/>
          <w:lang w:val="en-GB"/>
        </w:rPr>
        <w:t>0.</w:t>
      </w:r>
      <w:r w:rsidR="00E4697C" w:rsidRPr="004A7284">
        <w:rPr>
          <w:rFonts w:cstheme="minorHAnsi"/>
          <w:bCs/>
          <w:lang w:val="en-GB"/>
        </w:rPr>
        <w:t>08</w:t>
      </w:r>
      <w:r w:rsidR="002B03D2" w:rsidRPr="004A7284">
        <w:rPr>
          <w:rFonts w:cstheme="minorHAnsi"/>
          <w:bCs/>
          <w:lang w:val="en-GB"/>
        </w:rPr>
        <w:t>, p = .</w:t>
      </w:r>
      <w:r w:rsidR="00E4697C" w:rsidRPr="004A7284">
        <w:rPr>
          <w:rFonts w:cstheme="minorHAnsi"/>
          <w:bCs/>
          <w:lang w:val="en-GB"/>
        </w:rPr>
        <w:t>939</w:t>
      </w:r>
      <w:r w:rsidR="002B03D2" w:rsidRPr="004A7284">
        <w:rPr>
          <w:rFonts w:cstheme="minorHAnsi"/>
          <w:bCs/>
          <w:lang w:val="en-GB"/>
        </w:rPr>
        <w:t>), and did not explain any additional variance in the model (</w:t>
      </w:r>
      <w:r w:rsidR="006E66D0" w:rsidRPr="004A7284">
        <w:rPr>
          <w:rFonts w:cstheme="minorHAnsi"/>
          <w:bCs/>
          <w:lang w:val="en-GB"/>
        </w:rPr>
        <w:t xml:space="preserve">model </w:t>
      </w:r>
      <w:r w:rsidR="002B03D2" w:rsidRPr="004A7284">
        <w:rPr>
          <w:rFonts w:cstheme="minorHAnsi"/>
          <w:bCs/>
          <w:lang w:val="en-GB"/>
        </w:rPr>
        <w:t>R</w:t>
      </w:r>
      <w:r w:rsidR="002B03D2" w:rsidRPr="004A7284">
        <w:rPr>
          <w:rFonts w:cstheme="minorHAnsi"/>
          <w:bCs/>
          <w:vertAlign w:val="superscript"/>
          <w:lang w:val="en-GB"/>
        </w:rPr>
        <w:t xml:space="preserve">2 </w:t>
      </w:r>
      <w:r w:rsidR="002B03D2" w:rsidRPr="004A7284">
        <w:rPr>
          <w:rFonts w:cstheme="minorHAnsi"/>
          <w:bCs/>
          <w:lang w:val="en-GB"/>
        </w:rPr>
        <w:t xml:space="preserve">= </w:t>
      </w:r>
      <w:r w:rsidR="00E4697C" w:rsidRPr="004A7284">
        <w:rPr>
          <w:rFonts w:cstheme="minorHAnsi"/>
          <w:bCs/>
          <w:lang w:val="en-GB"/>
        </w:rPr>
        <w:t>17.5</w:t>
      </w:r>
      <w:r w:rsidR="002B03D2" w:rsidRPr="004A7284">
        <w:rPr>
          <w:rFonts w:cstheme="minorHAnsi"/>
          <w:bCs/>
          <w:lang w:val="en-GB"/>
        </w:rPr>
        <w:t>%). Similarly, neither % males (B = .000</w:t>
      </w:r>
      <w:r w:rsidR="00E4697C" w:rsidRPr="004A7284">
        <w:rPr>
          <w:rFonts w:cstheme="minorHAnsi"/>
          <w:bCs/>
          <w:lang w:val="en-GB"/>
        </w:rPr>
        <w:t>3</w:t>
      </w:r>
      <w:r w:rsidR="002B03D2" w:rsidRPr="004A7284">
        <w:rPr>
          <w:rFonts w:cstheme="minorHAnsi"/>
          <w:bCs/>
          <w:lang w:val="en-GB"/>
        </w:rPr>
        <w:t xml:space="preserve"> [95% CI: -.0008 to .001</w:t>
      </w:r>
      <w:r w:rsidR="00E4697C" w:rsidRPr="004A7284">
        <w:rPr>
          <w:rFonts w:cstheme="minorHAnsi"/>
          <w:bCs/>
          <w:lang w:val="en-GB"/>
        </w:rPr>
        <w:t>4</w:t>
      </w:r>
      <w:r w:rsidR="002B03D2" w:rsidRPr="004A7284">
        <w:rPr>
          <w:rFonts w:cstheme="minorHAnsi"/>
          <w:bCs/>
          <w:lang w:val="en-GB"/>
        </w:rPr>
        <w:t>]; Z = 0.63, p = .5</w:t>
      </w:r>
      <w:r w:rsidR="00E4697C" w:rsidRPr="004A7284">
        <w:rPr>
          <w:rFonts w:cstheme="minorHAnsi"/>
          <w:bCs/>
          <w:lang w:val="en-GB"/>
        </w:rPr>
        <w:t>97</w:t>
      </w:r>
      <w:r w:rsidR="002B03D2" w:rsidRPr="004A7284">
        <w:rPr>
          <w:rFonts w:cstheme="minorHAnsi"/>
          <w:bCs/>
          <w:lang w:val="en-GB"/>
        </w:rPr>
        <w:t>) nor % females (B = -.000</w:t>
      </w:r>
      <w:r w:rsidR="00E4697C" w:rsidRPr="004A7284">
        <w:rPr>
          <w:rFonts w:cstheme="minorHAnsi"/>
          <w:bCs/>
          <w:lang w:val="en-GB"/>
        </w:rPr>
        <w:t>1</w:t>
      </w:r>
      <w:r w:rsidR="002B03D2" w:rsidRPr="004A7284">
        <w:rPr>
          <w:rFonts w:cstheme="minorHAnsi"/>
          <w:bCs/>
          <w:lang w:val="en-GB"/>
        </w:rPr>
        <w:t xml:space="preserve"> [95% CI: -.001</w:t>
      </w:r>
      <w:r w:rsidR="00E4697C" w:rsidRPr="004A7284">
        <w:rPr>
          <w:rFonts w:cstheme="minorHAnsi"/>
          <w:bCs/>
          <w:lang w:val="en-GB"/>
        </w:rPr>
        <w:t>1</w:t>
      </w:r>
      <w:r w:rsidR="002B03D2" w:rsidRPr="004A7284">
        <w:rPr>
          <w:rFonts w:cstheme="minorHAnsi"/>
          <w:bCs/>
          <w:lang w:val="en-GB"/>
        </w:rPr>
        <w:t xml:space="preserve"> to .000</w:t>
      </w:r>
      <w:r w:rsidR="00E4697C" w:rsidRPr="004A7284">
        <w:rPr>
          <w:rFonts w:cstheme="minorHAnsi"/>
          <w:bCs/>
          <w:lang w:val="en-GB"/>
        </w:rPr>
        <w:t>9</w:t>
      </w:r>
      <w:r w:rsidR="002B03D2" w:rsidRPr="004A7284">
        <w:rPr>
          <w:rFonts w:cstheme="minorHAnsi"/>
          <w:bCs/>
          <w:lang w:val="en-GB"/>
        </w:rPr>
        <w:t>]; Z = 0.</w:t>
      </w:r>
      <w:r w:rsidR="00E4697C" w:rsidRPr="004A7284">
        <w:rPr>
          <w:rFonts w:cstheme="minorHAnsi"/>
          <w:bCs/>
          <w:lang w:val="en-GB"/>
        </w:rPr>
        <w:t>19</w:t>
      </w:r>
      <w:r w:rsidR="002B03D2" w:rsidRPr="004A7284">
        <w:rPr>
          <w:rFonts w:cstheme="minorHAnsi"/>
          <w:bCs/>
          <w:lang w:val="en-GB"/>
        </w:rPr>
        <w:t>, p = .</w:t>
      </w:r>
      <w:r w:rsidR="00E4697C" w:rsidRPr="004A7284">
        <w:rPr>
          <w:rFonts w:cstheme="minorHAnsi"/>
          <w:bCs/>
          <w:lang w:val="en-GB"/>
        </w:rPr>
        <w:t>850</w:t>
      </w:r>
      <w:r w:rsidR="002B03D2" w:rsidRPr="004A7284">
        <w:rPr>
          <w:rFonts w:cstheme="minorHAnsi"/>
          <w:bCs/>
          <w:lang w:val="en-GB"/>
        </w:rPr>
        <w:t xml:space="preserve">) reporting as </w:t>
      </w:r>
      <w:r w:rsidR="00AE70CB" w:rsidRPr="004A7284">
        <w:rPr>
          <w:rFonts w:cstheme="minorHAnsi"/>
          <w:bCs/>
          <w:lang w:val="en-GB"/>
        </w:rPr>
        <w:t xml:space="preserve">White </w:t>
      </w:r>
      <w:r w:rsidR="002B03D2" w:rsidRPr="004A7284">
        <w:rPr>
          <w:rFonts w:cstheme="minorHAnsi"/>
          <w:bCs/>
          <w:lang w:val="en-GB"/>
        </w:rPr>
        <w:t xml:space="preserve">British or Mixed British were associated with </w:t>
      </w:r>
      <w:r w:rsidR="009F4BD0" w:rsidRPr="004A7284">
        <w:rPr>
          <w:rFonts w:cstheme="minorHAnsi"/>
          <w:bCs/>
          <w:lang w:val="en-GB"/>
        </w:rPr>
        <w:t>hazardous</w:t>
      </w:r>
      <w:r w:rsidR="002B03D2" w:rsidRPr="004A7284">
        <w:rPr>
          <w:rFonts w:cstheme="minorHAnsi"/>
          <w:bCs/>
          <w:lang w:val="en-GB"/>
        </w:rPr>
        <w:t xml:space="preserve"> prevalence. </w:t>
      </w:r>
      <w:r w:rsidR="00791580" w:rsidRPr="004A7284">
        <w:rPr>
          <w:rFonts w:cstheme="minorHAnsi"/>
          <w:bCs/>
          <w:lang w:val="en-GB"/>
        </w:rPr>
        <w:t>Prevalence rates of hazardous drinking in the most deprived GP surgeries (IMD = 1: prevalence = .00</w:t>
      </w:r>
      <w:r w:rsidR="007C1E08" w:rsidRPr="004A7284">
        <w:rPr>
          <w:rFonts w:cstheme="minorHAnsi"/>
          <w:bCs/>
          <w:lang w:val="en-GB"/>
        </w:rPr>
        <w:t xml:space="preserve">95 </w:t>
      </w:r>
      <w:r w:rsidR="00791580" w:rsidRPr="004A7284">
        <w:rPr>
          <w:rFonts w:cstheme="minorHAnsi"/>
          <w:bCs/>
          <w:lang w:val="en-GB"/>
        </w:rPr>
        <w:t>[95% CI: .00</w:t>
      </w:r>
      <w:r w:rsidR="007C1E08" w:rsidRPr="004A7284">
        <w:rPr>
          <w:rFonts w:cstheme="minorHAnsi"/>
          <w:bCs/>
          <w:lang w:val="en-GB"/>
        </w:rPr>
        <w:t>32</w:t>
      </w:r>
      <w:r w:rsidR="00791580" w:rsidRPr="004A7284">
        <w:rPr>
          <w:rFonts w:cstheme="minorHAnsi"/>
          <w:bCs/>
          <w:lang w:val="en-GB"/>
        </w:rPr>
        <w:t xml:space="preserve"> to .01</w:t>
      </w:r>
      <w:r w:rsidR="007C1E08" w:rsidRPr="004A7284">
        <w:rPr>
          <w:rFonts w:cstheme="minorHAnsi"/>
          <w:bCs/>
          <w:lang w:val="en-GB"/>
        </w:rPr>
        <w:t>90</w:t>
      </w:r>
      <w:r w:rsidR="00791580" w:rsidRPr="004A7284">
        <w:rPr>
          <w:rFonts w:cstheme="minorHAnsi"/>
          <w:bCs/>
          <w:lang w:val="en-GB"/>
        </w:rPr>
        <w:t>) were significantly higher than other GP surgeries (IMDs 2 – 10: prevalence = .005</w:t>
      </w:r>
      <w:r w:rsidR="007C1E08" w:rsidRPr="004A7284">
        <w:rPr>
          <w:rFonts w:cstheme="minorHAnsi"/>
          <w:bCs/>
          <w:lang w:val="en-GB"/>
        </w:rPr>
        <w:t>7</w:t>
      </w:r>
      <w:r w:rsidR="00791580" w:rsidRPr="004A7284">
        <w:rPr>
          <w:rFonts w:cstheme="minorHAnsi"/>
          <w:bCs/>
          <w:lang w:val="en-GB"/>
        </w:rPr>
        <w:t xml:space="preserve"> [95% CI: .00</w:t>
      </w:r>
      <w:r w:rsidR="007C1E08" w:rsidRPr="004A7284">
        <w:rPr>
          <w:rFonts w:cstheme="minorHAnsi"/>
          <w:bCs/>
          <w:lang w:val="en-GB"/>
        </w:rPr>
        <w:t>47</w:t>
      </w:r>
      <w:r w:rsidR="00791580" w:rsidRPr="004A7284">
        <w:rPr>
          <w:rFonts w:cstheme="minorHAnsi"/>
          <w:bCs/>
          <w:lang w:val="en-GB"/>
        </w:rPr>
        <w:t xml:space="preserve"> to .0</w:t>
      </w:r>
      <w:r w:rsidR="007C1E08" w:rsidRPr="004A7284">
        <w:rPr>
          <w:rFonts w:cstheme="minorHAnsi"/>
          <w:bCs/>
          <w:lang w:val="en-GB"/>
        </w:rPr>
        <w:t>067</w:t>
      </w:r>
      <w:r w:rsidR="00791580" w:rsidRPr="004A7284">
        <w:rPr>
          <w:rFonts w:cstheme="minorHAnsi"/>
          <w:bCs/>
          <w:lang w:val="en-GB"/>
        </w:rPr>
        <w:t>]; X</w:t>
      </w:r>
      <w:r w:rsidR="00791580" w:rsidRPr="004A7284">
        <w:rPr>
          <w:rFonts w:cstheme="minorHAnsi"/>
          <w:bCs/>
          <w:vertAlign w:val="superscript"/>
          <w:lang w:val="en-GB"/>
        </w:rPr>
        <w:t>2</w:t>
      </w:r>
      <w:r w:rsidR="00791580" w:rsidRPr="004A7284">
        <w:rPr>
          <w:rFonts w:cstheme="minorHAnsi"/>
          <w:bCs/>
          <w:lang w:val="en-GB"/>
        </w:rPr>
        <w:t xml:space="preserve"> = </w:t>
      </w:r>
      <w:r w:rsidR="007C1E08" w:rsidRPr="004A7284">
        <w:rPr>
          <w:rFonts w:cstheme="minorHAnsi"/>
          <w:bCs/>
          <w:lang w:val="en-GB"/>
        </w:rPr>
        <w:t>19.01</w:t>
      </w:r>
      <w:r w:rsidR="00791580" w:rsidRPr="004A7284">
        <w:rPr>
          <w:rFonts w:cstheme="minorHAnsi"/>
          <w:bCs/>
          <w:lang w:val="en-GB"/>
        </w:rPr>
        <w:t>, p &lt; .001). This is indicative of a ~6</w:t>
      </w:r>
      <w:r w:rsidR="007C1E08" w:rsidRPr="004A7284">
        <w:rPr>
          <w:rFonts w:cstheme="minorHAnsi"/>
          <w:bCs/>
          <w:lang w:val="en-GB"/>
        </w:rPr>
        <w:t>6</w:t>
      </w:r>
      <w:r w:rsidR="00791580" w:rsidRPr="004A7284">
        <w:rPr>
          <w:rFonts w:cstheme="minorHAnsi"/>
          <w:bCs/>
          <w:lang w:val="en-GB"/>
        </w:rPr>
        <w:t xml:space="preserve">% increase in the prevalence of </w:t>
      </w:r>
      <w:r w:rsidR="009F4BD0" w:rsidRPr="004A7284">
        <w:rPr>
          <w:rFonts w:cstheme="minorHAnsi"/>
          <w:bCs/>
          <w:lang w:val="en-GB"/>
        </w:rPr>
        <w:t>hazardous drinking</w:t>
      </w:r>
      <w:r w:rsidR="00CD597E" w:rsidRPr="004A7284">
        <w:rPr>
          <w:rFonts w:cstheme="minorHAnsi"/>
          <w:bCs/>
          <w:lang w:val="en-GB"/>
        </w:rPr>
        <w:t xml:space="preserve"> di</w:t>
      </w:r>
      <w:r w:rsidR="00390BF1" w:rsidRPr="004A7284">
        <w:rPr>
          <w:rFonts w:cstheme="minorHAnsi"/>
          <w:bCs/>
          <w:lang w:val="en-GB"/>
        </w:rPr>
        <w:t>agnoses</w:t>
      </w:r>
      <w:r w:rsidR="00791580" w:rsidRPr="004A7284">
        <w:rPr>
          <w:rFonts w:cstheme="minorHAnsi"/>
          <w:bCs/>
          <w:lang w:val="en-GB"/>
        </w:rPr>
        <w:t xml:space="preserve"> in GP surgeries in the areas of highest deprivation. </w:t>
      </w:r>
    </w:p>
    <w:p w14:paraId="155AA60D" w14:textId="73D2D5ED" w:rsidR="00C43E2C" w:rsidRPr="004A7284" w:rsidRDefault="008E4B31" w:rsidP="00C97BB1">
      <w:pPr>
        <w:spacing w:after="120" w:line="480" w:lineRule="auto"/>
        <w:ind w:firstLine="708"/>
        <w:rPr>
          <w:rFonts w:cstheme="minorHAnsi"/>
          <w:bCs/>
          <w:lang w:val="en-GB"/>
        </w:rPr>
      </w:pPr>
      <w:r w:rsidRPr="004A7284">
        <w:rPr>
          <w:rFonts w:cstheme="minorHAnsi"/>
          <w:bCs/>
          <w:lang w:val="en-GB"/>
        </w:rPr>
        <w:lastRenderedPageBreak/>
        <w:t xml:space="preserve">We also used </w:t>
      </w:r>
      <w:r w:rsidR="00393748" w:rsidRPr="004A7284">
        <w:rPr>
          <w:rFonts w:cstheme="minorHAnsi"/>
          <w:bCs/>
          <w:lang w:val="en-GB"/>
        </w:rPr>
        <w:t>meta-regression</w:t>
      </w:r>
      <w:r w:rsidRPr="004A7284">
        <w:rPr>
          <w:rFonts w:cstheme="minorHAnsi"/>
          <w:bCs/>
          <w:lang w:val="en-GB"/>
        </w:rPr>
        <w:t xml:space="preserve"> to assess the relationship between social deprivation and receipt of alcohol-related </w:t>
      </w:r>
      <w:r w:rsidR="00393748" w:rsidRPr="004A7284">
        <w:rPr>
          <w:rFonts w:cstheme="minorHAnsi"/>
          <w:bCs/>
          <w:lang w:val="en-GB"/>
        </w:rPr>
        <w:t>prescriptions</w:t>
      </w:r>
      <w:r w:rsidRPr="004A7284">
        <w:rPr>
          <w:rFonts w:cstheme="minorHAnsi"/>
          <w:bCs/>
          <w:lang w:val="en-GB"/>
        </w:rPr>
        <w:t xml:space="preserve"> in those who have a diagnosis of alcohol dependence. Figure </w:t>
      </w:r>
      <w:r w:rsidR="00EC42EC" w:rsidRPr="004A7284">
        <w:rPr>
          <w:rFonts w:cstheme="minorHAnsi"/>
          <w:bCs/>
          <w:lang w:val="en-GB"/>
        </w:rPr>
        <w:t>4</w:t>
      </w:r>
      <w:r w:rsidRPr="004A7284">
        <w:rPr>
          <w:rFonts w:cstheme="minorHAnsi"/>
          <w:bCs/>
          <w:lang w:val="en-GB"/>
        </w:rPr>
        <w:t xml:space="preserve"> displays the number of alcohol-related prescriptions as a function of </w:t>
      </w:r>
      <w:r w:rsidR="00790C9C" w:rsidRPr="004A7284">
        <w:rPr>
          <w:rFonts w:cstheme="minorHAnsi"/>
          <w:bCs/>
          <w:lang w:val="en-GB"/>
        </w:rPr>
        <w:t>GP</w:t>
      </w:r>
      <w:r w:rsidR="003E7180" w:rsidRPr="004A7284">
        <w:rPr>
          <w:rFonts w:cstheme="minorHAnsi"/>
          <w:bCs/>
          <w:lang w:val="en-GB"/>
        </w:rPr>
        <w:t xml:space="preserve"> surgery</w:t>
      </w:r>
      <w:r w:rsidR="00790C9C" w:rsidRPr="004A7284">
        <w:rPr>
          <w:rFonts w:cstheme="minorHAnsi"/>
          <w:bCs/>
          <w:lang w:val="en-GB"/>
        </w:rPr>
        <w:t xml:space="preserve"> </w:t>
      </w:r>
      <w:r w:rsidRPr="004A7284">
        <w:rPr>
          <w:rFonts w:cstheme="minorHAnsi"/>
          <w:bCs/>
          <w:lang w:val="en-GB"/>
        </w:rPr>
        <w:t xml:space="preserve">IMD </w:t>
      </w:r>
      <w:r w:rsidR="003E7180" w:rsidRPr="004A7284">
        <w:rPr>
          <w:rFonts w:cstheme="minorHAnsi"/>
          <w:bCs/>
          <w:lang w:val="en-GB"/>
        </w:rPr>
        <w:t>decile</w:t>
      </w:r>
      <w:r w:rsidR="002D2022" w:rsidRPr="004A7284">
        <w:rPr>
          <w:rFonts w:cstheme="minorHAnsi"/>
          <w:bCs/>
          <w:lang w:val="en-GB"/>
        </w:rPr>
        <w:t xml:space="preserve">, with size of points indicative of number of alcohol dependence diagnoses in that surgery. The pooled prevalence of alcohol-related prescriptions in patients diagnosed with alcohol dependence across GP surgeries was </w:t>
      </w:r>
      <w:r w:rsidR="003E67C6" w:rsidRPr="004A7284">
        <w:rPr>
          <w:rFonts w:cstheme="minorHAnsi"/>
          <w:bCs/>
          <w:lang w:val="en-GB"/>
        </w:rPr>
        <w:t>.</w:t>
      </w:r>
      <w:r w:rsidR="0080592D" w:rsidRPr="004A7284">
        <w:rPr>
          <w:rFonts w:cstheme="minorHAnsi"/>
          <w:bCs/>
          <w:lang w:val="en-GB"/>
        </w:rPr>
        <w:t>0663</w:t>
      </w:r>
      <w:r w:rsidR="00EA3072" w:rsidRPr="004A7284">
        <w:rPr>
          <w:rFonts w:cstheme="minorHAnsi"/>
          <w:bCs/>
          <w:lang w:val="en-GB"/>
        </w:rPr>
        <w:t xml:space="preserve"> </w:t>
      </w:r>
      <w:r w:rsidR="003E67C6" w:rsidRPr="004A7284">
        <w:rPr>
          <w:rFonts w:cstheme="minorHAnsi"/>
          <w:bCs/>
          <w:lang w:val="en-GB"/>
        </w:rPr>
        <w:t>[95% CI: .</w:t>
      </w:r>
      <w:r w:rsidR="0080592D" w:rsidRPr="004A7284">
        <w:rPr>
          <w:rFonts w:cstheme="minorHAnsi"/>
          <w:bCs/>
          <w:lang w:val="en-GB"/>
        </w:rPr>
        <w:t>0528</w:t>
      </w:r>
      <w:r w:rsidR="00EA3072" w:rsidRPr="004A7284">
        <w:rPr>
          <w:rFonts w:cstheme="minorHAnsi"/>
          <w:bCs/>
          <w:lang w:val="en-GB"/>
        </w:rPr>
        <w:t xml:space="preserve"> </w:t>
      </w:r>
      <w:r w:rsidR="003E67C6" w:rsidRPr="004A7284">
        <w:rPr>
          <w:rFonts w:cstheme="minorHAnsi"/>
          <w:bCs/>
          <w:lang w:val="en-GB"/>
        </w:rPr>
        <w:t>to .</w:t>
      </w:r>
      <w:r w:rsidR="0080592D" w:rsidRPr="004A7284">
        <w:rPr>
          <w:rFonts w:cstheme="minorHAnsi"/>
          <w:bCs/>
          <w:lang w:val="en-GB"/>
        </w:rPr>
        <w:t>0814</w:t>
      </w:r>
      <w:r w:rsidR="00393748" w:rsidRPr="004A7284">
        <w:rPr>
          <w:rFonts w:cstheme="minorHAnsi"/>
          <w:bCs/>
          <w:lang w:val="en-GB"/>
        </w:rPr>
        <w:t>: I</w:t>
      </w:r>
      <w:r w:rsidR="00393748" w:rsidRPr="004A7284">
        <w:rPr>
          <w:rFonts w:cstheme="minorHAnsi"/>
          <w:bCs/>
          <w:vertAlign w:val="superscript"/>
          <w:lang w:val="en-GB"/>
        </w:rPr>
        <w:t>2</w:t>
      </w:r>
      <w:r w:rsidR="00393748" w:rsidRPr="004A7284">
        <w:rPr>
          <w:rFonts w:cstheme="minorHAnsi"/>
          <w:bCs/>
          <w:lang w:val="en-GB"/>
        </w:rPr>
        <w:t xml:space="preserve"> = </w:t>
      </w:r>
      <w:r w:rsidR="0080592D" w:rsidRPr="004A7284">
        <w:rPr>
          <w:rFonts w:cstheme="minorHAnsi"/>
          <w:bCs/>
          <w:lang w:val="en-GB"/>
        </w:rPr>
        <w:t>36.4</w:t>
      </w:r>
      <w:r w:rsidR="00393748" w:rsidRPr="004A7284">
        <w:rPr>
          <w:rFonts w:cstheme="minorHAnsi"/>
          <w:bCs/>
          <w:lang w:val="en-GB"/>
        </w:rPr>
        <w:t>%</w:t>
      </w:r>
      <w:r w:rsidR="003E67C6" w:rsidRPr="004A7284">
        <w:rPr>
          <w:rFonts w:cstheme="minorHAnsi"/>
          <w:bCs/>
          <w:lang w:val="en-GB"/>
        </w:rPr>
        <w:t>]</w:t>
      </w:r>
      <w:r w:rsidR="008A1FDC" w:rsidRPr="004A7284">
        <w:rPr>
          <w:rFonts w:cstheme="minorHAnsi"/>
          <w:bCs/>
          <w:lang w:val="en-GB"/>
        </w:rPr>
        <w:t>, approximately 6.6%</w:t>
      </w:r>
      <w:r w:rsidR="003E67C6" w:rsidRPr="004A7284">
        <w:rPr>
          <w:rFonts w:cstheme="minorHAnsi"/>
          <w:bCs/>
          <w:lang w:val="en-GB"/>
        </w:rPr>
        <w:t xml:space="preserve">. There was </w:t>
      </w:r>
      <w:r w:rsidR="007C1E08" w:rsidRPr="004A7284">
        <w:rPr>
          <w:rFonts w:cstheme="minorHAnsi"/>
          <w:bCs/>
          <w:lang w:val="en-GB"/>
        </w:rPr>
        <w:t xml:space="preserve">no </w:t>
      </w:r>
      <w:r w:rsidR="003E67C6" w:rsidRPr="004A7284">
        <w:rPr>
          <w:rFonts w:cstheme="minorHAnsi"/>
          <w:bCs/>
          <w:lang w:val="en-GB"/>
        </w:rPr>
        <w:t xml:space="preserve">significant association between </w:t>
      </w:r>
      <w:r w:rsidR="00B920B8" w:rsidRPr="004A7284">
        <w:rPr>
          <w:rFonts w:cstheme="minorHAnsi"/>
          <w:bCs/>
          <w:lang w:val="en-GB"/>
        </w:rPr>
        <w:t xml:space="preserve">GP-level </w:t>
      </w:r>
      <w:r w:rsidR="003E67C6" w:rsidRPr="004A7284">
        <w:rPr>
          <w:rFonts w:cstheme="minorHAnsi"/>
          <w:bCs/>
          <w:lang w:val="en-GB"/>
        </w:rPr>
        <w:t xml:space="preserve">IMD and receipt of alcohol-related </w:t>
      </w:r>
      <w:r w:rsidR="007C1E08" w:rsidRPr="004A7284">
        <w:rPr>
          <w:rFonts w:cstheme="minorHAnsi"/>
          <w:bCs/>
          <w:lang w:val="en-GB"/>
        </w:rPr>
        <w:t>prescriptions</w:t>
      </w:r>
      <w:r w:rsidR="00393748" w:rsidRPr="004A7284">
        <w:rPr>
          <w:rFonts w:cstheme="minorHAnsi"/>
          <w:bCs/>
          <w:lang w:val="en-GB"/>
        </w:rPr>
        <w:t xml:space="preserve"> (B = .</w:t>
      </w:r>
      <w:r w:rsidR="00EA3072" w:rsidRPr="004A7284">
        <w:rPr>
          <w:rFonts w:cstheme="minorHAnsi"/>
          <w:bCs/>
          <w:lang w:val="en-GB"/>
        </w:rPr>
        <w:t>0</w:t>
      </w:r>
      <w:r w:rsidR="007C1E08" w:rsidRPr="004A7284">
        <w:rPr>
          <w:rFonts w:cstheme="minorHAnsi"/>
          <w:bCs/>
          <w:lang w:val="en-GB"/>
        </w:rPr>
        <w:t>01</w:t>
      </w:r>
      <w:r w:rsidR="0080592D" w:rsidRPr="004A7284">
        <w:rPr>
          <w:rFonts w:cstheme="minorHAnsi"/>
          <w:bCs/>
          <w:lang w:val="en-GB"/>
        </w:rPr>
        <w:t>2</w:t>
      </w:r>
      <w:r w:rsidR="00EA3072" w:rsidRPr="004A7284">
        <w:rPr>
          <w:rFonts w:cstheme="minorHAnsi"/>
          <w:bCs/>
          <w:lang w:val="en-GB"/>
        </w:rPr>
        <w:t xml:space="preserve"> </w:t>
      </w:r>
      <w:r w:rsidR="00393748" w:rsidRPr="004A7284">
        <w:rPr>
          <w:rFonts w:cstheme="minorHAnsi"/>
          <w:bCs/>
          <w:lang w:val="en-GB"/>
        </w:rPr>
        <w:t xml:space="preserve">[95% CI: </w:t>
      </w:r>
      <w:r w:rsidR="007C1E08" w:rsidRPr="004A7284">
        <w:rPr>
          <w:rFonts w:cstheme="minorHAnsi"/>
          <w:bCs/>
          <w:lang w:val="en-GB"/>
        </w:rPr>
        <w:t>-</w:t>
      </w:r>
      <w:r w:rsidR="00393748" w:rsidRPr="004A7284">
        <w:rPr>
          <w:rFonts w:cstheme="minorHAnsi"/>
          <w:bCs/>
          <w:lang w:val="en-GB"/>
        </w:rPr>
        <w:t>.0</w:t>
      </w:r>
      <w:r w:rsidR="0080592D" w:rsidRPr="004A7284">
        <w:rPr>
          <w:rFonts w:cstheme="minorHAnsi"/>
          <w:bCs/>
          <w:lang w:val="en-GB"/>
        </w:rPr>
        <w:t>185</w:t>
      </w:r>
      <w:r w:rsidR="00393748" w:rsidRPr="004A7284">
        <w:rPr>
          <w:rFonts w:cstheme="minorHAnsi"/>
          <w:bCs/>
          <w:lang w:val="en-GB"/>
        </w:rPr>
        <w:t xml:space="preserve"> to .0</w:t>
      </w:r>
      <w:r w:rsidR="0080592D" w:rsidRPr="004A7284">
        <w:rPr>
          <w:rFonts w:cstheme="minorHAnsi"/>
          <w:bCs/>
          <w:lang w:val="en-GB"/>
        </w:rPr>
        <w:t>209</w:t>
      </w:r>
      <w:r w:rsidR="00C43E2C" w:rsidRPr="004A7284">
        <w:rPr>
          <w:rFonts w:cstheme="minorHAnsi"/>
          <w:bCs/>
          <w:lang w:val="en-GB"/>
        </w:rPr>
        <w:t>]</w:t>
      </w:r>
      <w:r w:rsidR="00393748" w:rsidRPr="004A7284">
        <w:rPr>
          <w:rFonts w:cstheme="minorHAnsi"/>
          <w:bCs/>
          <w:lang w:val="en-GB"/>
        </w:rPr>
        <w:t xml:space="preserve">; Z = </w:t>
      </w:r>
      <w:r w:rsidR="007C1E08" w:rsidRPr="004A7284">
        <w:rPr>
          <w:rFonts w:cstheme="minorHAnsi"/>
          <w:bCs/>
          <w:lang w:val="en-GB"/>
        </w:rPr>
        <w:t>0.</w:t>
      </w:r>
      <w:r w:rsidR="0080592D" w:rsidRPr="004A7284">
        <w:rPr>
          <w:rFonts w:cstheme="minorHAnsi"/>
          <w:bCs/>
          <w:lang w:val="en-GB"/>
        </w:rPr>
        <w:t>12</w:t>
      </w:r>
      <w:r w:rsidR="00393748" w:rsidRPr="004A7284">
        <w:rPr>
          <w:rFonts w:cstheme="minorHAnsi"/>
          <w:bCs/>
          <w:lang w:val="en-GB"/>
        </w:rPr>
        <w:t xml:space="preserve">, p </w:t>
      </w:r>
      <w:r w:rsidR="00EA3072" w:rsidRPr="004A7284">
        <w:rPr>
          <w:rFonts w:cstheme="minorHAnsi"/>
          <w:bCs/>
          <w:lang w:val="en-GB"/>
        </w:rPr>
        <w:t xml:space="preserve">= </w:t>
      </w:r>
      <w:r w:rsidR="00393748" w:rsidRPr="004A7284">
        <w:rPr>
          <w:rFonts w:cstheme="minorHAnsi"/>
          <w:bCs/>
          <w:lang w:val="en-GB"/>
        </w:rPr>
        <w:t>.</w:t>
      </w:r>
      <w:r w:rsidR="0080592D" w:rsidRPr="004A7284">
        <w:rPr>
          <w:rFonts w:cstheme="minorHAnsi"/>
          <w:bCs/>
          <w:lang w:val="en-GB"/>
        </w:rPr>
        <w:t>905</w:t>
      </w:r>
      <w:r w:rsidR="00393748" w:rsidRPr="004A7284">
        <w:rPr>
          <w:rFonts w:cstheme="minorHAnsi"/>
          <w:bCs/>
          <w:lang w:val="en-GB"/>
        </w:rPr>
        <w:t>: R</w:t>
      </w:r>
      <w:r w:rsidR="00393748" w:rsidRPr="004A7284">
        <w:rPr>
          <w:rFonts w:cstheme="minorHAnsi"/>
          <w:bCs/>
          <w:vertAlign w:val="superscript"/>
          <w:lang w:val="en-GB"/>
        </w:rPr>
        <w:t>2</w:t>
      </w:r>
      <w:r w:rsidR="00393748" w:rsidRPr="004A7284">
        <w:rPr>
          <w:rFonts w:cstheme="minorHAnsi"/>
          <w:bCs/>
          <w:lang w:val="en-GB"/>
        </w:rPr>
        <w:t xml:space="preserve"> = </w:t>
      </w:r>
      <w:r w:rsidR="007C1E08" w:rsidRPr="004A7284">
        <w:rPr>
          <w:rFonts w:cstheme="minorHAnsi"/>
          <w:bCs/>
          <w:lang w:val="en-GB"/>
        </w:rPr>
        <w:t>0.0</w:t>
      </w:r>
      <w:r w:rsidR="00393748" w:rsidRPr="004A7284">
        <w:rPr>
          <w:rFonts w:cstheme="minorHAnsi"/>
          <w:bCs/>
          <w:lang w:val="en-GB"/>
        </w:rPr>
        <w:t>%</w:t>
      </w:r>
      <w:r w:rsidR="00C43E2C" w:rsidRPr="004A7284">
        <w:rPr>
          <w:rFonts w:cstheme="minorHAnsi"/>
          <w:bCs/>
          <w:lang w:val="en-GB"/>
        </w:rPr>
        <w:t>)</w:t>
      </w:r>
      <w:r w:rsidR="00393748" w:rsidRPr="004A7284">
        <w:rPr>
          <w:rFonts w:cstheme="minorHAnsi"/>
          <w:bCs/>
          <w:lang w:val="en-GB"/>
        </w:rPr>
        <w:t>. The prevalence of alcohol-related prescriptions was</w:t>
      </w:r>
      <w:r w:rsidR="001B4F6D" w:rsidRPr="004A7284">
        <w:rPr>
          <w:rFonts w:cstheme="minorHAnsi"/>
          <w:bCs/>
          <w:lang w:val="en-GB"/>
        </w:rPr>
        <w:t xml:space="preserve"> not significantly different</w:t>
      </w:r>
      <w:r w:rsidR="00393748" w:rsidRPr="004A7284">
        <w:rPr>
          <w:rFonts w:cstheme="minorHAnsi"/>
          <w:bCs/>
          <w:lang w:val="en-GB"/>
        </w:rPr>
        <w:t xml:space="preserve"> (X</w:t>
      </w:r>
      <w:r w:rsidR="00393748" w:rsidRPr="004A7284">
        <w:rPr>
          <w:rFonts w:cstheme="minorHAnsi"/>
          <w:bCs/>
          <w:vertAlign w:val="superscript"/>
          <w:lang w:val="en-GB"/>
        </w:rPr>
        <w:t>2</w:t>
      </w:r>
      <w:r w:rsidR="00C43E2C" w:rsidRPr="004A7284">
        <w:rPr>
          <w:rFonts w:cstheme="minorHAnsi"/>
          <w:bCs/>
          <w:lang w:val="en-GB"/>
        </w:rPr>
        <w:t>(1)</w:t>
      </w:r>
      <w:r w:rsidR="00393748" w:rsidRPr="004A7284">
        <w:rPr>
          <w:rFonts w:cstheme="minorHAnsi"/>
          <w:bCs/>
          <w:vertAlign w:val="superscript"/>
          <w:lang w:val="en-GB"/>
        </w:rPr>
        <w:t xml:space="preserve"> </w:t>
      </w:r>
      <w:r w:rsidR="00393748" w:rsidRPr="004A7284">
        <w:rPr>
          <w:rFonts w:cstheme="minorHAnsi"/>
          <w:bCs/>
          <w:lang w:val="en-GB"/>
        </w:rPr>
        <w:t xml:space="preserve">= </w:t>
      </w:r>
      <w:r w:rsidR="007C1E08" w:rsidRPr="004A7284">
        <w:rPr>
          <w:rFonts w:cstheme="minorHAnsi"/>
          <w:bCs/>
          <w:lang w:val="en-GB"/>
        </w:rPr>
        <w:t>0.</w:t>
      </w:r>
      <w:r w:rsidR="0080592D" w:rsidRPr="004A7284">
        <w:rPr>
          <w:rFonts w:cstheme="minorHAnsi"/>
          <w:bCs/>
          <w:lang w:val="en-GB"/>
        </w:rPr>
        <w:t>15</w:t>
      </w:r>
      <w:r w:rsidR="00393748" w:rsidRPr="004A7284">
        <w:rPr>
          <w:rFonts w:cstheme="minorHAnsi"/>
          <w:bCs/>
          <w:lang w:val="en-GB"/>
        </w:rPr>
        <w:t>, p = .</w:t>
      </w:r>
      <w:r w:rsidR="0080592D" w:rsidRPr="004A7284">
        <w:rPr>
          <w:rFonts w:cstheme="minorHAnsi"/>
          <w:bCs/>
          <w:lang w:val="en-GB"/>
        </w:rPr>
        <w:t>706</w:t>
      </w:r>
      <w:r w:rsidR="00393748" w:rsidRPr="004A7284">
        <w:rPr>
          <w:rFonts w:cstheme="minorHAnsi"/>
          <w:bCs/>
          <w:lang w:val="en-GB"/>
        </w:rPr>
        <w:t>)</w:t>
      </w:r>
      <w:r w:rsidR="00393748" w:rsidRPr="004A7284">
        <w:rPr>
          <w:rFonts w:cstheme="minorHAnsi"/>
          <w:bCs/>
          <w:vertAlign w:val="superscript"/>
          <w:lang w:val="en-GB"/>
        </w:rPr>
        <w:t xml:space="preserve"> </w:t>
      </w:r>
      <w:r w:rsidR="00F66B43" w:rsidRPr="004A7284">
        <w:rPr>
          <w:rFonts w:cstheme="minorHAnsi"/>
          <w:bCs/>
          <w:lang w:val="en-GB"/>
        </w:rPr>
        <w:t>between the</w:t>
      </w:r>
      <w:r w:rsidR="00393748" w:rsidRPr="004A7284">
        <w:rPr>
          <w:rFonts w:cstheme="minorHAnsi"/>
          <w:bCs/>
          <w:lang w:val="en-GB"/>
        </w:rPr>
        <w:t xml:space="preserve"> most deprived GP surgeries (IMD = 1: prevalence = .</w:t>
      </w:r>
      <w:r w:rsidR="0080592D" w:rsidRPr="004A7284">
        <w:rPr>
          <w:rFonts w:cstheme="minorHAnsi"/>
          <w:bCs/>
          <w:lang w:val="en-GB"/>
        </w:rPr>
        <w:t>0644</w:t>
      </w:r>
      <w:r w:rsidR="009B5172" w:rsidRPr="004A7284">
        <w:rPr>
          <w:rFonts w:cstheme="minorHAnsi"/>
          <w:bCs/>
          <w:lang w:val="en-GB"/>
        </w:rPr>
        <w:t xml:space="preserve"> </w:t>
      </w:r>
      <w:r w:rsidR="00393748" w:rsidRPr="004A7284">
        <w:rPr>
          <w:rFonts w:cstheme="minorHAnsi"/>
          <w:bCs/>
          <w:lang w:val="en-GB"/>
        </w:rPr>
        <w:t>[95% CI: .</w:t>
      </w:r>
      <w:r w:rsidR="0080592D" w:rsidRPr="004A7284">
        <w:rPr>
          <w:rFonts w:cstheme="minorHAnsi"/>
          <w:bCs/>
          <w:lang w:val="en-GB"/>
        </w:rPr>
        <w:t>0491</w:t>
      </w:r>
      <w:r w:rsidR="009B5172" w:rsidRPr="004A7284">
        <w:rPr>
          <w:rFonts w:cstheme="minorHAnsi"/>
          <w:bCs/>
          <w:lang w:val="en-GB"/>
        </w:rPr>
        <w:t xml:space="preserve"> </w:t>
      </w:r>
      <w:r w:rsidR="00393748" w:rsidRPr="004A7284">
        <w:rPr>
          <w:rFonts w:cstheme="minorHAnsi"/>
          <w:bCs/>
          <w:lang w:val="en-GB"/>
        </w:rPr>
        <w:t>to .</w:t>
      </w:r>
      <w:r w:rsidR="0080592D" w:rsidRPr="004A7284">
        <w:rPr>
          <w:rFonts w:cstheme="minorHAnsi"/>
          <w:bCs/>
          <w:lang w:val="en-GB"/>
        </w:rPr>
        <w:t>0817</w:t>
      </w:r>
      <w:r w:rsidR="00393748" w:rsidRPr="004A7284">
        <w:rPr>
          <w:rFonts w:cstheme="minorHAnsi"/>
          <w:bCs/>
          <w:lang w:val="en-GB"/>
        </w:rPr>
        <w:t xml:space="preserve">]) </w:t>
      </w:r>
      <w:r w:rsidR="000635D2" w:rsidRPr="004A7284">
        <w:rPr>
          <w:rFonts w:cstheme="minorHAnsi"/>
          <w:bCs/>
          <w:lang w:val="en-GB"/>
        </w:rPr>
        <w:t>and</w:t>
      </w:r>
      <w:r w:rsidR="00393748" w:rsidRPr="004A7284">
        <w:rPr>
          <w:rFonts w:cstheme="minorHAnsi"/>
          <w:bCs/>
          <w:lang w:val="en-GB"/>
        </w:rPr>
        <w:t xml:space="preserve"> other GP surgeries (IMDs 2 – 10: prevalence = .</w:t>
      </w:r>
      <w:r w:rsidR="0080592D" w:rsidRPr="004A7284">
        <w:rPr>
          <w:rFonts w:cstheme="minorHAnsi"/>
          <w:bCs/>
          <w:lang w:val="en-GB"/>
        </w:rPr>
        <w:t>0700</w:t>
      </w:r>
      <w:r w:rsidR="009B5172" w:rsidRPr="004A7284">
        <w:rPr>
          <w:rFonts w:cstheme="minorHAnsi"/>
          <w:bCs/>
          <w:lang w:val="en-GB"/>
        </w:rPr>
        <w:t xml:space="preserve"> </w:t>
      </w:r>
      <w:r w:rsidR="00393748" w:rsidRPr="004A7284">
        <w:rPr>
          <w:rFonts w:cstheme="minorHAnsi"/>
          <w:bCs/>
          <w:lang w:val="en-GB"/>
        </w:rPr>
        <w:t>[95% CI: .</w:t>
      </w:r>
      <w:r w:rsidR="0080592D" w:rsidRPr="004A7284">
        <w:rPr>
          <w:rFonts w:cstheme="minorHAnsi"/>
          <w:bCs/>
          <w:lang w:val="en-GB"/>
        </w:rPr>
        <w:t>0420</w:t>
      </w:r>
      <w:r w:rsidR="009B5172" w:rsidRPr="004A7284">
        <w:rPr>
          <w:rFonts w:cstheme="minorHAnsi"/>
          <w:bCs/>
          <w:lang w:val="en-GB"/>
        </w:rPr>
        <w:t xml:space="preserve"> </w:t>
      </w:r>
      <w:r w:rsidR="00393748" w:rsidRPr="004A7284">
        <w:rPr>
          <w:rFonts w:cstheme="minorHAnsi"/>
          <w:bCs/>
          <w:lang w:val="en-GB"/>
        </w:rPr>
        <w:t>to .</w:t>
      </w:r>
      <w:r w:rsidR="0080592D" w:rsidRPr="004A7284">
        <w:rPr>
          <w:rFonts w:cstheme="minorHAnsi"/>
          <w:bCs/>
          <w:lang w:val="en-GB"/>
        </w:rPr>
        <w:t>1045</w:t>
      </w:r>
      <w:r w:rsidR="00393748" w:rsidRPr="004A7284">
        <w:rPr>
          <w:rFonts w:cstheme="minorHAnsi"/>
          <w:bCs/>
          <w:lang w:val="en-GB"/>
        </w:rPr>
        <w:t>]</w:t>
      </w:r>
      <w:r w:rsidR="0080592D" w:rsidRPr="004A7284">
        <w:rPr>
          <w:rFonts w:cstheme="minorHAnsi"/>
          <w:bCs/>
          <w:lang w:val="en-GB"/>
        </w:rPr>
        <w:t>)</w:t>
      </w:r>
      <w:r w:rsidR="00393748" w:rsidRPr="004A7284">
        <w:rPr>
          <w:rFonts w:cstheme="minorHAnsi"/>
          <w:bCs/>
          <w:lang w:val="en-GB"/>
        </w:rPr>
        <w:t xml:space="preserve">. </w:t>
      </w:r>
      <w:r w:rsidR="00C43E2C" w:rsidRPr="004A7284">
        <w:rPr>
          <w:rFonts w:cstheme="minorHAnsi"/>
          <w:bCs/>
          <w:lang w:val="en-GB"/>
        </w:rPr>
        <w:t>For hazardous drinking the pooled prevalence of alcohol-related prescriptions was .0448 [95% CI</w:t>
      </w:r>
      <w:proofErr w:type="gramStart"/>
      <w:r w:rsidR="00C43E2C" w:rsidRPr="004A7284">
        <w:rPr>
          <w:rFonts w:cstheme="minorHAnsi"/>
          <w:bCs/>
          <w:lang w:val="en-GB"/>
        </w:rPr>
        <w:t>: .</w:t>
      </w:r>
      <w:proofErr w:type="gramEnd"/>
      <w:r w:rsidR="00C43E2C" w:rsidRPr="004A7284">
        <w:rPr>
          <w:rFonts w:cstheme="minorHAnsi"/>
          <w:bCs/>
          <w:lang w:val="en-GB"/>
        </w:rPr>
        <w:t>-343 to .0566]. There was no significant association between IMD and receipt of alcohol-related prescriptions (B = -.0106 [95% CI: -.0282 to .0071], Z = 1.17, p = .240, R</w:t>
      </w:r>
      <w:r w:rsidR="00C43E2C" w:rsidRPr="004A7284">
        <w:rPr>
          <w:rFonts w:cstheme="minorHAnsi"/>
          <w:bCs/>
          <w:vertAlign w:val="superscript"/>
          <w:lang w:val="en-GB"/>
        </w:rPr>
        <w:t>2</w:t>
      </w:r>
      <w:r w:rsidR="00C43E2C" w:rsidRPr="004A7284">
        <w:rPr>
          <w:rFonts w:cstheme="minorHAnsi"/>
          <w:bCs/>
          <w:lang w:val="en-GB"/>
        </w:rPr>
        <w:t xml:space="preserve"> = 0.1%). The prevalence was not significantly different</w:t>
      </w:r>
      <w:r w:rsidR="00F66B43" w:rsidRPr="004A7284">
        <w:rPr>
          <w:rFonts w:cstheme="minorHAnsi"/>
          <w:bCs/>
          <w:lang w:val="en-GB"/>
        </w:rPr>
        <w:t xml:space="preserve"> (X</w:t>
      </w:r>
      <w:r w:rsidR="00F66B43" w:rsidRPr="004A7284">
        <w:rPr>
          <w:rFonts w:cstheme="minorHAnsi"/>
          <w:bCs/>
          <w:vertAlign w:val="superscript"/>
          <w:lang w:val="en-GB"/>
        </w:rPr>
        <w:t>2</w:t>
      </w:r>
      <w:r w:rsidR="00F66B43" w:rsidRPr="004A7284">
        <w:rPr>
          <w:rFonts w:cstheme="minorHAnsi"/>
          <w:bCs/>
          <w:lang w:val="en-GB"/>
        </w:rPr>
        <w:t>(1) = 2.18, p = .139)</w:t>
      </w:r>
      <w:r w:rsidR="00C43E2C" w:rsidRPr="004A7284">
        <w:rPr>
          <w:rFonts w:cstheme="minorHAnsi"/>
          <w:bCs/>
          <w:lang w:val="en-GB"/>
        </w:rPr>
        <w:t xml:space="preserve"> between the most deprived GP surgeries (IMD = 1: prevalence = </w:t>
      </w:r>
      <w:r w:rsidR="000635D2" w:rsidRPr="004A7284">
        <w:rPr>
          <w:rFonts w:cstheme="minorHAnsi"/>
          <w:bCs/>
          <w:lang w:val="en-GB"/>
        </w:rPr>
        <w:t>.0506 [95% CI: .0385 to .0643]) and other GP surgeries (IMDS 2- 10: prevalence = .0340 [95% CI: .0165 to .0574])</w:t>
      </w:r>
      <w:r w:rsidR="00FD6F6F" w:rsidRPr="004A7284">
        <w:rPr>
          <w:rFonts w:cstheme="minorHAnsi"/>
          <w:bCs/>
          <w:lang w:val="en-GB"/>
        </w:rPr>
        <w:t xml:space="preserve">. </w:t>
      </w:r>
    </w:p>
    <w:p w14:paraId="2A8E93A1" w14:textId="12D42B1D" w:rsidR="00FD6F6F" w:rsidRPr="004A7284" w:rsidRDefault="00FD6F6F" w:rsidP="00FD6F6F">
      <w:pPr>
        <w:spacing w:after="120" w:line="480" w:lineRule="auto"/>
        <w:ind w:firstLine="708"/>
        <w:jc w:val="center"/>
        <w:rPr>
          <w:rFonts w:cstheme="minorHAnsi"/>
          <w:bCs/>
          <w:lang w:val="en-GB"/>
        </w:rPr>
      </w:pPr>
      <w:r w:rsidRPr="004A7284">
        <w:rPr>
          <w:rFonts w:cstheme="minorHAnsi"/>
          <w:bCs/>
          <w:lang w:val="en-GB"/>
        </w:rPr>
        <w:t xml:space="preserve">&lt;&lt;Insert Figure </w:t>
      </w:r>
      <w:r w:rsidR="0049631F" w:rsidRPr="004A7284">
        <w:rPr>
          <w:rFonts w:cstheme="minorHAnsi"/>
          <w:bCs/>
          <w:lang w:val="en-GB"/>
        </w:rPr>
        <w:t xml:space="preserve">4 </w:t>
      </w:r>
      <w:r w:rsidR="00EC42EC" w:rsidRPr="004A7284">
        <w:rPr>
          <w:rFonts w:cstheme="minorHAnsi"/>
          <w:bCs/>
          <w:lang w:val="en-GB"/>
        </w:rPr>
        <w:t xml:space="preserve">&amp; 5 </w:t>
      </w:r>
      <w:r w:rsidRPr="004A7284">
        <w:rPr>
          <w:rFonts w:cstheme="minorHAnsi"/>
          <w:bCs/>
          <w:lang w:val="en-GB"/>
        </w:rPr>
        <w:t>about here&gt;&gt;</w:t>
      </w:r>
    </w:p>
    <w:p w14:paraId="04034903" w14:textId="2D474B7F" w:rsidR="004F78CA" w:rsidRPr="004A7284" w:rsidRDefault="004F78CA" w:rsidP="0055687D">
      <w:pPr>
        <w:spacing w:line="480" w:lineRule="auto"/>
        <w:rPr>
          <w:rFonts w:cstheme="minorHAnsi"/>
          <w:bCs/>
          <w:i/>
          <w:iCs/>
          <w:lang w:val="en-GB"/>
        </w:rPr>
      </w:pPr>
      <w:r w:rsidRPr="004A7284">
        <w:rPr>
          <w:rFonts w:cstheme="minorHAnsi"/>
          <w:bCs/>
          <w:i/>
          <w:iCs/>
          <w:lang w:val="en-GB"/>
        </w:rPr>
        <w:t xml:space="preserve">Patient-level </w:t>
      </w:r>
      <w:r w:rsidR="00C97BB1" w:rsidRPr="004A7284">
        <w:rPr>
          <w:rFonts w:cstheme="minorHAnsi"/>
          <w:bCs/>
          <w:i/>
          <w:iCs/>
          <w:lang w:val="en-GB"/>
        </w:rPr>
        <w:t>deprivation analyses</w:t>
      </w:r>
    </w:p>
    <w:p w14:paraId="0ACA8040" w14:textId="3CE66CC5" w:rsidR="00167A41" w:rsidRPr="004A7284" w:rsidRDefault="00CB0C07" w:rsidP="00167A41">
      <w:pPr>
        <w:spacing w:line="480" w:lineRule="auto"/>
        <w:ind w:firstLine="708"/>
        <w:rPr>
          <w:rFonts w:cstheme="minorHAnsi"/>
          <w:bCs/>
          <w:lang w:val="en-GB"/>
        </w:rPr>
      </w:pPr>
      <w:r w:rsidRPr="004A7284">
        <w:rPr>
          <w:rFonts w:cstheme="minorHAnsi"/>
          <w:bCs/>
          <w:lang w:val="en-GB"/>
        </w:rPr>
        <w:t xml:space="preserve">We also performed meta-regression </w:t>
      </w:r>
      <w:r w:rsidR="00203D9D" w:rsidRPr="004A7284">
        <w:rPr>
          <w:rFonts w:cstheme="minorHAnsi"/>
          <w:bCs/>
          <w:lang w:val="en-GB"/>
        </w:rPr>
        <w:t>with patient level indicators of deprivation, using the LSOA code related to the patient’s residential location</w:t>
      </w:r>
      <w:r w:rsidR="00D60CF6" w:rsidRPr="004A7284">
        <w:rPr>
          <w:rFonts w:cstheme="minorHAnsi"/>
          <w:bCs/>
          <w:lang w:val="en-GB"/>
        </w:rPr>
        <w:t xml:space="preserve">. </w:t>
      </w:r>
      <w:r w:rsidR="009C1A1B" w:rsidRPr="004A7284">
        <w:rPr>
          <w:rFonts w:cstheme="minorHAnsi"/>
          <w:bCs/>
          <w:lang w:val="en-GB"/>
        </w:rPr>
        <w:t xml:space="preserve">There was a significant negative association between </w:t>
      </w:r>
      <w:r w:rsidR="00FE20C6" w:rsidRPr="004A7284">
        <w:rPr>
          <w:rFonts w:cstheme="minorHAnsi"/>
          <w:bCs/>
          <w:lang w:val="en-GB"/>
        </w:rPr>
        <w:t xml:space="preserve">the </w:t>
      </w:r>
      <w:r w:rsidR="009C1A1B" w:rsidRPr="004A7284">
        <w:rPr>
          <w:rFonts w:cstheme="minorHAnsi"/>
          <w:bCs/>
          <w:lang w:val="en-GB"/>
        </w:rPr>
        <w:t xml:space="preserve">prevalence of alcohol dependence and IMD </w:t>
      </w:r>
      <w:r w:rsidR="003341DA" w:rsidRPr="004A7284">
        <w:rPr>
          <w:rFonts w:cstheme="minorHAnsi"/>
          <w:bCs/>
          <w:lang w:val="en-GB"/>
        </w:rPr>
        <w:t>decile of patient</w:t>
      </w:r>
      <w:r w:rsidR="008058F4" w:rsidRPr="004A7284">
        <w:rPr>
          <w:rFonts w:cstheme="minorHAnsi"/>
          <w:bCs/>
          <w:lang w:val="en-GB"/>
        </w:rPr>
        <w:t xml:space="preserve"> LSOA</w:t>
      </w:r>
      <w:r w:rsidR="009C1A1B" w:rsidRPr="004A7284">
        <w:rPr>
          <w:rFonts w:cstheme="minorHAnsi"/>
          <w:bCs/>
          <w:lang w:val="en-GB"/>
        </w:rPr>
        <w:t xml:space="preserve"> (B - .0050 [95% CI: -.0077 to -.0024], Z = 3.69, p &lt; .001, R</w:t>
      </w:r>
      <w:r w:rsidR="009C1A1B" w:rsidRPr="004A7284">
        <w:rPr>
          <w:rFonts w:cstheme="minorHAnsi"/>
          <w:bCs/>
          <w:vertAlign w:val="superscript"/>
          <w:lang w:val="en-GB"/>
        </w:rPr>
        <w:t>2</w:t>
      </w:r>
      <w:r w:rsidR="009C1A1B" w:rsidRPr="004A7284">
        <w:rPr>
          <w:rFonts w:cstheme="minorHAnsi"/>
          <w:bCs/>
          <w:lang w:val="en-GB"/>
        </w:rPr>
        <w:t xml:space="preserve"> = 64.6%: see Figure </w:t>
      </w:r>
      <w:r w:rsidR="00C62B70" w:rsidRPr="004A7284">
        <w:rPr>
          <w:rFonts w:cstheme="minorHAnsi"/>
          <w:bCs/>
          <w:lang w:val="en-GB"/>
        </w:rPr>
        <w:t>5</w:t>
      </w:r>
      <w:r w:rsidR="000D638E" w:rsidRPr="004A7284">
        <w:rPr>
          <w:rFonts w:cstheme="minorHAnsi"/>
          <w:bCs/>
          <w:lang w:val="en-GB"/>
        </w:rPr>
        <w:t>a</w:t>
      </w:r>
      <w:r w:rsidR="009C1A1B" w:rsidRPr="004A7284">
        <w:rPr>
          <w:rFonts w:cstheme="minorHAnsi"/>
          <w:bCs/>
          <w:lang w:val="en-GB"/>
        </w:rPr>
        <w:t xml:space="preserve">). </w:t>
      </w:r>
      <w:r w:rsidR="003E6D8B" w:rsidRPr="004A7284">
        <w:rPr>
          <w:rFonts w:cstheme="minorHAnsi"/>
          <w:bCs/>
          <w:lang w:val="en-GB"/>
        </w:rPr>
        <w:t>M</w:t>
      </w:r>
      <w:r w:rsidR="009C1A1B" w:rsidRPr="004A7284">
        <w:rPr>
          <w:rFonts w:cstheme="minorHAnsi"/>
          <w:bCs/>
          <w:lang w:val="en-GB"/>
        </w:rPr>
        <w:t xml:space="preserve">ean age of dependent patients </w:t>
      </w:r>
      <w:r w:rsidR="00D60CF6" w:rsidRPr="004A7284">
        <w:rPr>
          <w:rFonts w:cstheme="minorHAnsi"/>
          <w:bCs/>
          <w:lang w:val="en-GB"/>
        </w:rPr>
        <w:t xml:space="preserve">was </w:t>
      </w:r>
      <w:r w:rsidR="009C1A1B" w:rsidRPr="004A7284">
        <w:rPr>
          <w:rFonts w:cstheme="minorHAnsi"/>
          <w:bCs/>
          <w:lang w:val="en-GB"/>
        </w:rPr>
        <w:t>not a significant predictor (B = .0018 [95% CI: -0025 to .0060])</w:t>
      </w:r>
      <w:r w:rsidR="003E6D8B" w:rsidRPr="004A7284">
        <w:rPr>
          <w:rFonts w:cstheme="minorHAnsi"/>
          <w:bCs/>
          <w:lang w:val="en-GB"/>
        </w:rPr>
        <w:t>, when included in the model (IMD remained significant (B =-.0057 [95% CI: -.0090 to -.0024])</w:t>
      </w:r>
      <w:r w:rsidR="009C1A1B" w:rsidRPr="004A7284">
        <w:rPr>
          <w:rFonts w:cstheme="minorHAnsi"/>
          <w:bCs/>
          <w:lang w:val="en-GB"/>
        </w:rPr>
        <w:t xml:space="preserve">. </w:t>
      </w:r>
      <w:r w:rsidR="00FE20C6" w:rsidRPr="004A7284">
        <w:rPr>
          <w:rFonts w:cstheme="minorHAnsi"/>
          <w:bCs/>
          <w:lang w:val="en-GB"/>
        </w:rPr>
        <w:t>When including the proportion</w:t>
      </w:r>
      <w:r w:rsidR="009C1A1B" w:rsidRPr="004A7284">
        <w:rPr>
          <w:rFonts w:cstheme="minorHAnsi"/>
          <w:bCs/>
          <w:lang w:val="en-GB"/>
        </w:rPr>
        <w:t xml:space="preserve"> of males</w:t>
      </w:r>
      <w:r w:rsidR="00FE20C6" w:rsidRPr="004A7284">
        <w:rPr>
          <w:rFonts w:cstheme="minorHAnsi"/>
          <w:bCs/>
          <w:lang w:val="en-GB"/>
        </w:rPr>
        <w:t xml:space="preserve"> in the model IMD remained </w:t>
      </w:r>
      <w:r w:rsidR="00A74B28" w:rsidRPr="004A7284">
        <w:rPr>
          <w:rFonts w:cstheme="minorHAnsi"/>
          <w:bCs/>
          <w:lang w:val="en-GB"/>
        </w:rPr>
        <w:t xml:space="preserve">a </w:t>
      </w:r>
      <w:r w:rsidR="00FE20C6" w:rsidRPr="004A7284">
        <w:rPr>
          <w:rFonts w:cstheme="minorHAnsi"/>
          <w:bCs/>
          <w:lang w:val="en-GB"/>
        </w:rPr>
        <w:t>significant</w:t>
      </w:r>
      <w:r w:rsidR="00A74B28" w:rsidRPr="004A7284">
        <w:rPr>
          <w:rFonts w:cstheme="minorHAnsi"/>
          <w:bCs/>
          <w:lang w:val="en-GB"/>
        </w:rPr>
        <w:t xml:space="preserve"> predictor</w:t>
      </w:r>
      <w:r w:rsidR="00FE20C6" w:rsidRPr="004A7284">
        <w:rPr>
          <w:rFonts w:cstheme="minorHAnsi"/>
          <w:bCs/>
          <w:lang w:val="en-GB"/>
        </w:rPr>
        <w:t xml:space="preserve"> (B = -.0063 [95% CI: -.0087 to -.0039], Z = 5.14, p &lt; .001), and the proportion of males</w:t>
      </w:r>
      <w:r w:rsidR="009C1A1B" w:rsidRPr="004A7284">
        <w:rPr>
          <w:rFonts w:cstheme="minorHAnsi"/>
          <w:bCs/>
          <w:lang w:val="en-GB"/>
        </w:rPr>
        <w:t xml:space="preserve"> was a significant negative predictor</w:t>
      </w:r>
      <w:r w:rsidR="00FE20C6" w:rsidRPr="004A7284">
        <w:rPr>
          <w:rFonts w:cstheme="minorHAnsi"/>
          <w:bCs/>
          <w:lang w:val="en-GB"/>
        </w:rPr>
        <w:t xml:space="preserve"> (B = -.0638 [95% CI: -.1239 to -</w:t>
      </w:r>
      <w:r w:rsidR="00FE20C6" w:rsidRPr="004A7284">
        <w:rPr>
          <w:rFonts w:cstheme="minorHAnsi"/>
          <w:bCs/>
          <w:lang w:val="en-GB"/>
        </w:rPr>
        <w:lastRenderedPageBreak/>
        <w:t xml:space="preserve">.0037], Z </w:t>
      </w:r>
      <w:proofErr w:type="gramStart"/>
      <w:r w:rsidR="00FE20C6" w:rsidRPr="004A7284">
        <w:rPr>
          <w:rFonts w:cstheme="minorHAnsi"/>
          <w:bCs/>
          <w:lang w:val="en-GB"/>
        </w:rPr>
        <w:t>=  2.08</w:t>
      </w:r>
      <w:proofErr w:type="gramEnd"/>
      <w:r w:rsidR="00FE20C6" w:rsidRPr="004A7284">
        <w:rPr>
          <w:rFonts w:cstheme="minorHAnsi"/>
          <w:bCs/>
          <w:lang w:val="en-GB"/>
        </w:rPr>
        <w:t>, p = .038, R</w:t>
      </w:r>
      <w:r w:rsidR="00FE20C6" w:rsidRPr="004A7284">
        <w:rPr>
          <w:rFonts w:cstheme="minorHAnsi"/>
          <w:bCs/>
          <w:vertAlign w:val="superscript"/>
          <w:lang w:val="en-GB"/>
        </w:rPr>
        <w:t xml:space="preserve">2 </w:t>
      </w:r>
      <w:r w:rsidR="00FE20C6" w:rsidRPr="004A7284">
        <w:rPr>
          <w:rFonts w:cstheme="minorHAnsi"/>
          <w:bCs/>
          <w:lang w:val="en-GB"/>
        </w:rPr>
        <w:t>= .78.2%).</w:t>
      </w:r>
      <w:r w:rsidR="00167A41" w:rsidRPr="004A7284">
        <w:rPr>
          <w:rFonts w:cstheme="minorHAnsi"/>
          <w:bCs/>
          <w:lang w:val="en-GB"/>
        </w:rPr>
        <w:t xml:space="preserve"> </w:t>
      </w:r>
      <w:r w:rsidR="00AC5F25" w:rsidRPr="004A7284">
        <w:rPr>
          <w:rFonts w:cstheme="minorHAnsi"/>
          <w:bCs/>
          <w:lang w:val="en-GB"/>
        </w:rPr>
        <w:t xml:space="preserve">Examining the prevalence of medication for alcohol dependence demonstrated a weak positive association with IMD decile of patient LSOA (B = .0134 [95% CI: -.0013 to .0289], Z = 1.79, p = .073). </w:t>
      </w:r>
    </w:p>
    <w:p w14:paraId="71756B2F" w14:textId="48050226" w:rsidR="004F78CA" w:rsidRPr="004A7284" w:rsidRDefault="00FE20C6" w:rsidP="00A63765">
      <w:pPr>
        <w:spacing w:line="480" w:lineRule="auto"/>
        <w:ind w:firstLine="708"/>
        <w:rPr>
          <w:rFonts w:cstheme="minorHAnsi"/>
          <w:b/>
          <w:lang w:val="en-GB"/>
        </w:rPr>
      </w:pPr>
      <w:r w:rsidRPr="004A7284">
        <w:rPr>
          <w:rFonts w:cstheme="minorHAnsi"/>
          <w:bCs/>
          <w:lang w:val="en-GB"/>
        </w:rPr>
        <w:t xml:space="preserve">There was a significant negative association between </w:t>
      </w:r>
      <w:r w:rsidR="001D1575" w:rsidRPr="004A7284">
        <w:rPr>
          <w:rFonts w:cstheme="minorHAnsi"/>
          <w:bCs/>
          <w:lang w:val="en-GB"/>
        </w:rPr>
        <w:t xml:space="preserve">the </w:t>
      </w:r>
      <w:r w:rsidR="0055687D" w:rsidRPr="004A7284">
        <w:rPr>
          <w:rFonts w:cstheme="minorHAnsi"/>
          <w:bCs/>
          <w:lang w:val="en-GB"/>
        </w:rPr>
        <w:t>prevalence</w:t>
      </w:r>
      <w:r w:rsidRPr="004A7284">
        <w:rPr>
          <w:rFonts w:cstheme="minorHAnsi"/>
          <w:bCs/>
          <w:lang w:val="en-GB"/>
        </w:rPr>
        <w:t xml:space="preserve"> of hazardous drinking and IMD score (B = -.0045 [95% CI: -.0063 to .0026], Z = 4.66 p &lt; .001, R</w:t>
      </w:r>
      <w:r w:rsidRPr="004A7284">
        <w:rPr>
          <w:rFonts w:cstheme="minorHAnsi"/>
          <w:bCs/>
          <w:vertAlign w:val="superscript"/>
          <w:lang w:val="en-GB"/>
        </w:rPr>
        <w:t xml:space="preserve">2 </w:t>
      </w:r>
      <w:r w:rsidRPr="004A7284">
        <w:rPr>
          <w:rFonts w:cstheme="minorHAnsi"/>
          <w:bCs/>
          <w:lang w:val="en-GB"/>
        </w:rPr>
        <w:t>=</w:t>
      </w:r>
      <w:r w:rsidRPr="004A7284">
        <w:rPr>
          <w:rFonts w:cstheme="minorHAnsi"/>
          <w:bCs/>
          <w:vertAlign w:val="superscript"/>
          <w:lang w:val="en-GB"/>
        </w:rPr>
        <w:t xml:space="preserve"> </w:t>
      </w:r>
      <w:r w:rsidR="00A74B28" w:rsidRPr="004A7284">
        <w:rPr>
          <w:rFonts w:cstheme="minorHAnsi"/>
          <w:bCs/>
          <w:lang w:val="en-GB"/>
        </w:rPr>
        <w:t>74.5%</w:t>
      </w:r>
      <w:r w:rsidR="001D1575" w:rsidRPr="004A7284">
        <w:rPr>
          <w:rFonts w:cstheme="minorHAnsi"/>
          <w:bCs/>
          <w:lang w:val="en-GB"/>
        </w:rPr>
        <w:t xml:space="preserve">: Figure </w:t>
      </w:r>
      <w:r w:rsidR="00C62B70" w:rsidRPr="004A7284">
        <w:rPr>
          <w:rFonts w:cstheme="minorHAnsi"/>
          <w:bCs/>
          <w:lang w:val="en-GB"/>
        </w:rPr>
        <w:t>5</w:t>
      </w:r>
      <w:r w:rsidR="000D638E" w:rsidRPr="004A7284">
        <w:rPr>
          <w:rFonts w:cstheme="minorHAnsi"/>
          <w:bCs/>
          <w:lang w:val="en-GB"/>
        </w:rPr>
        <w:t>b</w:t>
      </w:r>
      <w:r w:rsidR="00A74B28" w:rsidRPr="004A7284">
        <w:rPr>
          <w:rFonts w:cstheme="minorHAnsi"/>
          <w:bCs/>
          <w:lang w:val="en-GB"/>
        </w:rPr>
        <w:t xml:space="preserve">). </w:t>
      </w:r>
      <w:r w:rsidR="003E6D8B" w:rsidRPr="004A7284">
        <w:rPr>
          <w:rFonts w:cstheme="minorHAnsi"/>
          <w:bCs/>
          <w:lang w:val="en-GB"/>
        </w:rPr>
        <w:t>M</w:t>
      </w:r>
      <w:r w:rsidR="00A74B28" w:rsidRPr="004A7284">
        <w:rPr>
          <w:rFonts w:cstheme="minorHAnsi"/>
          <w:bCs/>
          <w:lang w:val="en-GB"/>
        </w:rPr>
        <w:t>ean age of the hazardous drinking patients was not a significant predictor</w:t>
      </w:r>
      <w:r w:rsidR="003E6D8B" w:rsidRPr="004A7284">
        <w:rPr>
          <w:rFonts w:cstheme="minorHAnsi"/>
          <w:bCs/>
          <w:lang w:val="en-GB"/>
        </w:rPr>
        <w:t xml:space="preserve"> when included in the model</w:t>
      </w:r>
      <w:r w:rsidR="00A74B28" w:rsidRPr="004A7284">
        <w:rPr>
          <w:rFonts w:cstheme="minorHAnsi"/>
          <w:bCs/>
          <w:lang w:val="en-GB"/>
        </w:rPr>
        <w:t xml:space="preserve"> (B = .0015 [95% CI: -.0008 to .0039])</w:t>
      </w:r>
      <w:r w:rsidR="003E6D8B" w:rsidRPr="004A7284">
        <w:rPr>
          <w:rFonts w:cstheme="minorHAnsi"/>
          <w:bCs/>
          <w:lang w:val="en-GB"/>
        </w:rPr>
        <w:t>, but IMD remained significant (B =-.0054 [95% CI: -.0077 to -.0032])</w:t>
      </w:r>
      <w:r w:rsidR="00A74B28" w:rsidRPr="004A7284">
        <w:rPr>
          <w:rFonts w:cstheme="minorHAnsi"/>
          <w:bCs/>
          <w:lang w:val="en-GB"/>
        </w:rPr>
        <w:t>. When including the proportion of males in the model IMD remained a significant predictor (B = -.0056 [95% CI: -.0074 to -.0039], Z = 6.23, p &lt; .001), and the proportion of males was a significant negative predictor (B = -.0658 [95% CI: -.1272 to -.0045], Z = 2.10, p = .036, R</w:t>
      </w:r>
      <w:r w:rsidR="00A74B28" w:rsidRPr="004A7284">
        <w:rPr>
          <w:rFonts w:cstheme="minorHAnsi"/>
          <w:bCs/>
          <w:vertAlign w:val="superscript"/>
          <w:lang w:val="en-GB"/>
        </w:rPr>
        <w:t xml:space="preserve">2 </w:t>
      </w:r>
      <w:r w:rsidR="00A74B28" w:rsidRPr="004A7284">
        <w:rPr>
          <w:rFonts w:cstheme="minorHAnsi"/>
          <w:bCs/>
          <w:lang w:val="en-GB"/>
        </w:rPr>
        <w:t>= 85.3%).</w:t>
      </w:r>
    </w:p>
    <w:p w14:paraId="600A58C0" w14:textId="77777777" w:rsidR="00BF3D04" w:rsidRPr="004A7284" w:rsidRDefault="002D47C2" w:rsidP="00E60A2B">
      <w:pPr>
        <w:spacing w:after="120" w:line="480" w:lineRule="auto"/>
        <w:jc w:val="both"/>
        <w:rPr>
          <w:rFonts w:cstheme="minorHAnsi"/>
          <w:b/>
          <w:lang w:val="en-GB"/>
        </w:rPr>
      </w:pPr>
      <w:r w:rsidRPr="004A7284">
        <w:rPr>
          <w:rFonts w:cstheme="minorHAnsi"/>
          <w:b/>
          <w:lang w:val="en-GB"/>
        </w:rPr>
        <w:t>Discussion</w:t>
      </w:r>
    </w:p>
    <w:p w14:paraId="06D987C4" w14:textId="1E77936E" w:rsidR="008C6A25" w:rsidRPr="004A7284" w:rsidRDefault="00B32B72" w:rsidP="00BF3D04">
      <w:pPr>
        <w:spacing w:after="120" w:line="480" w:lineRule="auto"/>
        <w:ind w:firstLine="360"/>
        <w:jc w:val="both"/>
        <w:rPr>
          <w:rFonts w:cstheme="minorHAnsi"/>
          <w:b/>
          <w:lang w:val="en-GB"/>
        </w:rPr>
      </w:pPr>
      <w:r w:rsidRPr="004A7284">
        <w:rPr>
          <w:rFonts w:cstheme="minorHAnsi"/>
          <w:lang w:val="en-GB"/>
        </w:rPr>
        <w:t>This study found that i</w:t>
      </w:r>
      <w:r w:rsidR="008C6A25" w:rsidRPr="004A7284">
        <w:rPr>
          <w:rFonts w:cstheme="minorHAnsi"/>
          <w:lang w:val="en-GB"/>
        </w:rPr>
        <w:t xml:space="preserve">n Primary Care in Liverpool, there have been significant decreases in the incidence of alcohol dependence and hazardous drinking diagnoses from 2017 – 2020. Changes in prevalence were more subtle with significant decreases in 2020 due to the </w:t>
      </w:r>
      <w:r w:rsidR="00220E23" w:rsidRPr="004A7284">
        <w:rPr>
          <w:rFonts w:cstheme="minorHAnsi"/>
          <w:lang w:val="en-GB"/>
        </w:rPr>
        <w:t>COVID</w:t>
      </w:r>
      <w:r w:rsidR="008C6A25" w:rsidRPr="004A7284">
        <w:rPr>
          <w:rFonts w:cstheme="minorHAnsi"/>
          <w:lang w:val="en-GB"/>
        </w:rPr>
        <w:t xml:space="preserve">-19 pandemic, but not other years during the analysis period. Most presentations were from white males, and almost half of the sample had a co-existing mental health diagnosis. Only </w:t>
      </w:r>
      <w:r w:rsidR="00C74F3C" w:rsidRPr="004A7284">
        <w:rPr>
          <w:rFonts w:cstheme="minorHAnsi"/>
          <w:lang w:val="en-GB"/>
        </w:rPr>
        <w:t>~</w:t>
      </w:r>
      <w:r w:rsidR="009B1968" w:rsidRPr="004A7284">
        <w:rPr>
          <w:rFonts w:cstheme="minorHAnsi"/>
          <w:lang w:val="en-GB"/>
        </w:rPr>
        <w:t>6</w:t>
      </w:r>
      <w:r w:rsidR="008C6A25" w:rsidRPr="004A7284">
        <w:rPr>
          <w:rFonts w:cstheme="minorHAnsi"/>
          <w:lang w:val="en-GB"/>
        </w:rPr>
        <w:t xml:space="preserve">% of patients </w:t>
      </w:r>
      <w:r w:rsidR="00934514" w:rsidRPr="004A7284">
        <w:rPr>
          <w:rFonts w:cstheme="minorHAnsi"/>
          <w:lang w:val="en-GB"/>
        </w:rPr>
        <w:t xml:space="preserve">in the sample </w:t>
      </w:r>
      <w:r w:rsidR="008C6A25" w:rsidRPr="004A7284">
        <w:rPr>
          <w:rFonts w:cstheme="minorHAnsi"/>
          <w:lang w:val="en-GB"/>
        </w:rPr>
        <w:t xml:space="preserve">were prescribed pharmacotherapy to manage their drinking. </w:t>
      </w:r>
      <w:r w:rsidR="007A1859" w:rsidRPr="004A7284">
        <w:rPr>
          <w:rFonts w:cstheme="minorHAnsi"/>
          <w:lang w:val="en-GB"/>
        </w:rPr>
        <w:t>GP surgeries in the most deprived areas of Liverpool had significantly higher prevalence of alcohol dependence diagnoses per registered patient tha</w:t>
      </w:r>
      <w:r w:rsidRPr="004A7284">
        <w:rPr>
          <w:rFonts w:cstheme="minorHAnsi"/>
          <w:lang w:val="en-GB"/>
        </w:rPr>
        <w:t>n</w:t>
      </w:r>
      <w:r w:rsidR="007A1859" w:rsidRPr="004A7284">
        <w:rPr>
          <w:rFonts w:cstheme="minorHAnsi"/>
          <w:lang w:val="en-GB"/>
        </w:rPr>
        <w:t xml:space="preserve"> those in other IMD deciles. </w:t>
      </w:r>
    </w:p>
    <w:p w14:paraId="2D6AFC7A" w14:textId="00C6E5D5" w:rsidR="00E62565" w:rsidRPr="004A7284" w:rsidRDefault="00AD0283" w:rsidP="00BF3D04">
      <w:pPr>
        <w:spacing w:after="120" w:line="480" w:lineRule="auto"/>
        <w:ind w:firstLine="360"/>
        <w:jc w:val="both"/>
        <w:rPr>
          <w:rFonts w:cstheme="minorHAnsi"/>
          <w:lang w:val="en-GB"/>
        </w:rPr>
      </w:pPr>
      <w:r w:rsidRPr="004A7284">
        <w:rPr>
          <w:rFonts w:cstheme="minorHAnsi"/>
          <w:lang w:val="en-GB"/>
        </w:rPr>
        <w:t xml:space="preserve">A strength of the current study is the identification of </w:t>
      </w:r>
      <w:r w:rsidR="00E62565" w:rsidRPr="004A7284">
        <w:rPr>
          <w:rFonts w:cstheme="minorHAnsi"/>
          <w:lang w:val="en-GB"/>
        </w:rPr>
        <w:t xml:space="preserve">practices within Liverpool, situated in areas of high social deprivation which should be prioritised for additional funding and support for the management of alcohol patients. We </w:t>
      </w:r>
      <w:r w:rsidRPr="004A7284">
        <w:rPr>
          <w:rFonts w:cstheme="minorHAnsi"/>
          <w:lang w:val="en-GB"/>
        </w:rPr>
        <w:t xml:space="preserve">also </w:t>
      </w:r>
      <w:r w:rsidR="00E62565" w:rsidRPr="004A7284">
        <w:rPr>
          <w:rFonts w:cstheme="minorHAnsi"/>
          <w:lang w:val="en-GB"/>
        </w:rPr>
        <w:t xml:space="preserve">demonstrated year on year decreases in identification of both hazardous drinking and alcohol dependence in primary care over the last 5 years despite smaller changes in prevalence. This suggests that while GP caseload for </w:t>
      </w:r>
      <w:r w:rsidR="0015273C" w:rsidRPr="004A7284">
        <w:rPr>
          <w:rFonts w:cstheme="minorHAnsi"/>
          <w:lang w:val="en-GB"/>
        </w:rPr>
        <w:t>alcohol patients</w:t>
      </w:r>
      <w:r w:rsidR="00E62565" w:rsidRPr="004A7284">
        <w:rPr>
          <w:rFonts w:cstheme="minorHAnsi"/>
          <w:lang w:val="en-GB"/>
        </w:rPr>
        <w:t xml:space="preserve"> remains at a similar level to 5 years ago, this is due to existing patients with alcohol dependence diagnoses and not </w:t>
      </w:r>
      <w:r w:rsidR="00E62565" w:rsidRPr="004A7284">
        <w:rPr>
          <w:rFonts w:cstheme="minorHAnsi"/>
          <w:lang w:val="en-GB"/>
        </w:rPr>
        <w:lastRenderedPageBreak/>
        <w:t xml:space="preserve">identification of new cases. </w:t>
      </w:r>
      <w:r w:rsidR="0015273C" w:rsidRPr="004A7284">
        <w:rPr>
          <w:rFonts w:cstheme="minorHAnsi"/>
          <w:lang w:val="en-GB"/>
        </w:rPr>
        <w:t xml:space="preserve">However, the study was limited by the variations in coding of data. We had intended to analyse changes in consumption and AUDIT scores over the 5-year period, but it was not clear which item/combinations of items had been used for collection of this data between and within practices. Reporting of onward referrals and follow up plans were also variable, with all patients having a code that indicated referral to Liverpool Community Alcohol Service. There are multiple community treatment providers, private providers and a hospital-based </w:t>
      </w:r>
      <w:r w:rsidR="00262E52" w:rsidRPr="004A7284">
        <w:rPr>
          <w:rFonts w:cstheme="minorHAnsi"/>
          <w:lang w:val="en-GB"/>
        </w:rPr>
        <w:t>Alcohol</w:t>
      </w:r>
      <w:r w:rsidR="0015273C" w:rsidRPr="004A7284">
        <w:rPr>
          <w:rFonts w:cstheme="minorHAnsi"/>
          <w:lang w:val="en-GB"/>
        </w:rPr>
        <w:t xml:space="preserve"> Care Team which </w:t>
      </w:r>
      <w:r w:rsidR="00262E52" w:rsidRPr="004A7284">
        <w:rPr>
          <w:rFonts w:cstheme="minorHAnsi"/>
          <w:lang w:val="en-GB"/>
        </w:rPr>
        <w:t>accepts</w:t>
      </w:r>
      <w:r w:rsidR="0015273C" w:rsidRPr="004A7284">
        <w:rPr>
          <w:rFonts w:cstheme="minorHAnsi"/>
          <w:lang w:val="en-GB"/>
        </w:rPr>
        <w:t xml:space="preserve"> on the day referrals</w:t>
      </w:r>
      <w:r w:rsidR="00B466E5" w:rsidRPr="004A7284">
        <w:rPr>
          <w:rFonts w:cstheme="minorHAnsi"/>
          <w:lang w:val="en-GB"/>
        </w:rPr>
        <w:t>.</w:t>
      </w:r>
      <w:r w:rsidR="0023373D" w:rsidRPr="004A7284">
        <w:rPr>
          <w:rFonts w:cstheme="minorHAnsi"/>
          <w:lang w:val="en-GB"/>
        </w:rPr>
        <w:t xml:space="preserve"> </w:t>
      </w:r>
      <w:r w:rsidR="00B466E5" w:rsidRPr="004A7284">
        <w:rPr>
          <w:rFonts w:cstheme="minorHAnsi"/>
          <w:lang w:val="en-GB"/>
        </w:rPr>
        <w:t>U</w:t>
      </w:r>
      <w:r w:rsidR="0015273C" w:rsidRPr="004A7284">
        <w:rPr>
          <w:rFonts w:cstheme="minorHAnsi"/>
          <w:lang w:val="en-GB"/>
        </w:rPr>
        <w:t xml:space="preserve">nderstanding which of these </w:t>
      </w:r>
      <w:r w:rsidR="00262E52" w:rsidRPr="004A7284">
        <w:rPr>
          <w:rFonts w:cstheme="minorHAnsi"/>
          <w:lang w:val="en-GB"/>
        </w:rPr>
        <w:t xml:space="preserve">organisations a patient has been referred to would increase our understanding of local need for these services. Using primary care data is also limited as there may be variability in individual practitioners’ perceptions of hazardous vs. dependent drinking </w:t>
      </w:r>
      <w:r w:rsidR="00EA65AC" w:rsidRPr="004A7284">
        <w:rPr>
          <w:rFonts w:cstheme="minorHAnsi"/>
          <w:lang w:val="en-GB"/>
        </w:rPr>
        <w:t>[5]</w:t>
      </w:r>
      <w:r w:rsidR="00262E52" w:rsidRPr="004A7284">
        <w:rPr>
          <w:rFonts w:cstheme="minorHAnsi"/>
          <w:lang w:val="en-GB"/>
        </w:rPr>
        <w:t xml:space="preserve">, and with limited time per patient and no standardised diagnostic procedure, this is unlikely to change. </w:t>
      </w:r>
      <w:r w:rsidR="007B1ECA" w:rsidRPr="004A7284">
        <w:rPr>
          <w:rFonts w:cstheme="minorHAnsi"/>
          <w:lang w:val="en-GB"/>
        </w:rPr>
        <w:t xml:space="preserve">We also cannot know for certain the reasons for low levels of pharmacotherapy prescribing, and it is likely that other factors (GP experience, local practice policies, patient wishes, medicine </w:t>
      </w:r>
      <w:r w:rsidR="001909D5" w:rsidRPr="004A7284">
        <w:rPr>
          <w:rFonts w:cstheme="minorHAnsi"/>
          <w:lang w:val="en-GB"/>
        </w:rPr>
        <w:t>status</w:t>
      </w:r>
      <w:r w:rsidR="007B1ECA" w:rsidRPr="004A7284">
        <w:rPr>
          <w:rFonts w:cstheme="minorHAnsi"/>
          <w:lang w:val="en-GB"/>
        </w:rPr>
        <w:t xml:space="preserve"> on </w:t>
      </w:r>
      <w:r w:rsidR="001909D5" w:rsidRPr="004A7284">
        <w:rPr>
          <w:rFonts w:cstheme="minorHAnsi"/>
          <w:lang w:val="en-GB"/>
        </w:rPr>
        <w:t>P</w:t>
      </w:r>
      <w:r w:rsidR="007B1ECA" w:rsidRPr="004A7284">
        <w:rPr>
          <w:rFonts w:cstheme="minorHAnsi"/>
          <w:lang w:val="en-GB"/>
        </w:rPr>
        <w:t xml:space="preserve">an Mersey </w:t>
      </w:r>
      <w:r w:rsidR="001909D5" w:rsidRPr="004A7284">
        <w:rPr>
          <w:rFonts w:cstheme="minorHAnsi"/>
          <w:lang w:val="en-GB"/>
        </w:rPr>
        <w:t>F</w:t>
      </w:r>
      <w:r w:rsidR="007B1ECA" w:rsidRPr="004A7284">
        <w:rPr>
          <w:rFonts w:cstheme="minorHAnsi"/>
          <w:lang w:val="en-GB"/>
        </w:rPr>
        <w:t xml:space="preserve">ormulary) affect the prescribing of pharmacotherapy to manage dependence. </w:t>
      </w:r>
      <w:r w:rsidR="00510C9C" w:rsidRPr="004A7284">
        <w:rPr>
          <w:rFonts w:cstheme="minorHAnsi"/>
          <w:lang w:val="en-GB"/>
        </w:rPr>
        <w:t>For patients who visit the ACT, p</w:t>
      </w:r>
      <w:r w:rsidR="00510C9C" w:rsidRPr="004A7284">
        <w:t xml:space="preserve">harmacotherapy is initiated in all post-detox patients, with follow up managed in an outpatient clinic, so it is feasible that patients who access this service would be reported in hospital data and not primary care data. </w:t>
      </w:r>
      <w:r w:rsidR="0099613B" w:rsidRPr="004A7284">
        <w:t>Finally, t</w:t>
      </w:r>
      <w:r w:rsidR="00B900A0" w:rsidRPr="004A7284">
        <w:t xml:space="preserve">he final two years of primary </w:t>
      </w:r>
      <w:r w:rsidR="00CF22EC" w:rsidRPr="004A7284">
        <w:t xml:space="preserve">care data were </w:t>
      </w:r>
      <w:r w:rsidR="00190505" w:rsidRPr="004A7284">
        <w:t xml:space="preserve">for incidence and prevalence of alcohol diagnoses during the COVID-19 pandemic. It is likely that due to the increases in drinking during this time, </w:t>
      </w:r>
      <w:r w:rsidR="00A93FA5" w:rsidRPr="004A7284">
        <w:t>these figures are an especially low reflection of actual prevalence and incidence</w:t>
      </w:r>
      <w:r w:rsidR="0099613B" w:rsidRPr="004A7284">
        <w:t xml:space="preserve">. </w:t>
      </w:r>
      <w:r w:rsidR="00510C9C" w:rsidRPr="004A7284">
        <w:t xml:space="preserve"> </w:t>
      </w:r>
    </w:p>
    <w:p w14:paraId="16FE4EFC" w14:textId="34ED88A3" w:rsidR="007B1ECA" w:rsidRPr="004A7284" w:rsidRDefault="006056E7" w:rsidP="007B1ECA">
      <w:pPr>
        <w:spacing w:after="120" w:line="480" w:lineRule="auto"/>
        <w:ind w:firstLine="360"/>
        <w:jc w:val="both"/>
        <w:rPr>
          <w:lang w:val="en-GB"/>
        </w:rPr>
      </w:pPr>
      <w:r w:rsidRPr="004A7284">
        <w:rPr>
          <w:lang w:val="en-GB"/>
        </w:rPr>
        <w:t>Increasing access to treatment in primary care, as well as treatment acceptability and completion would reduce alcohol</w:t>
      </w:r>
      <w:r w:rsidR="00AD40E6" w:rsidRPr="004A7284">
        <w:rPr>
          <w:lang w:val="en-GB"/>
        </w:rPr>
        <w:t>-</w:t>
      </w:r>
      <w:r w:rsidRPr="004A7284">
        <w:rPr>
          <w:lang w:val="en-GB"/>
        </w:rPr>
        <w:t>related harm and also alcohol</w:t>
      </w:r>
      <w:r w:rsidR="00AD40E6" w:rsidRPr="004A7284">
        <w:rPr>
          <w:lang w:val="en-GB"/>
        </w:rPr>
        <w:t>-</w:t>
      </w:r>
      <w:r w:rsidRPr="004A7284">
        <w:rPr>
          <w:lang w:val="en-GB"/>
        </w:rPr>
        <w:t xml:space="preserve">related hospital admissions, a health outcome that has been given not only local but also national and international priority. </w:t>
      </w:r>
      <w:r w:rsidR="00EA3AB6" w:rsidRPr="004A7284">
        <w:rPr>
          <w:lang w:val="en-GB"/>
        </w:rPr>
        <w:t>While nationally, prevalence of alcohol use disorders has increased with subsequent increase</w:t>
      </w:r>
      <w:r w:rsidR="007B1ECA" w:rsidRPr="004A7284">
        <w:rPr>
          <w:lang w:val="en-GB"/>
        </w:rPr>
        <w:t>s</w:t>
      </w:r>
      <w:r w:rsidR="00EA3AB6" w:rsidRPr="004A7284">
        <w:rPr>
          <w:lang w:val="en-GB"/>
        </w:rPr>
        <w:t xml:space="preserve"> in </w:t>
      </w:r>
      <w:r w:rsidR="00820D19" w:rsidRPr="004A7284">
        <w:rPr>
          <w:lang w:val="en-GB"/>
        </w:rPr>
        <w:t>alcohol</w:t>
      </w:r>
      <w:r w:rsidR="00AD40E6" w:rsidRPr="004A7284">
        <w:rPr>
          <w:lang w:val="en-GB"/>
        </w:rPr>
        <w:t>-</w:t>
      </w:r>
      <w:r w:rsidR="00EA3AB6" w:rsidRPr="004A7284">
        <w:rPr>
          <w:lang w:val="en-GB"/>
        </w:rPr>
        <w:t xml:space="preserve">related mortality and disease </w:t>
      </w:r>
      <w:r w:rsidR="008233EF" w:rsidRPr="004A7284">
        <w:rPr>
          <w:lang w:val="en-GB"/>
        </w:rPr>
        <w:t>[2,10]</w:t>
      </w:r>
      <w:r w:rsidR="004F459D" w:rsidRPr="004A7284">
        <w:rPr>
          <w:lang w:val="en-GB"/>
        </w:rPr>
        <w:t>, a</w:t>
      </w:r>
      <w:r w:rsidR="001F4616" w:rsidRPr="004A7284">
        <w:rPr>
          <w:lang w:val="en-GB"/>
        </w:rPr>
        <w:t xml:space="preserve"> trend which has also been observed globally [17]</w:t>
      </w:r>
      <w:r w:rsidR="00EA3AB6" w:rsidRPr="004A7284">
        <w:rPr>
          <w:lang w:val="en-GB"/>
        </w:rPr>
        <w:t xml:space="preserve">, we have demonstrated local decreases in the incidence of diagnoses identified in primary care over a 5-year period. While previous research suggests that identification in primary care is low nationally </w:t>
      </w:r>
      <w:r w:rsidR="008233EF" w:rsidRPr="004A7284">
        <w:rPr>
          <w:lang w:val="en-GB"/>
        </w:rPr>
        <w:t>[4,5]</w:t>
      </w:r>
      <w:r w:rsidR="00EA3AB6" w:rsidRPr="004A7284">
        <w:rPr>
          <w:lang w:val="en-GB"/>
        </w:rPr>
        <w:t xml:space="preserve">, the </w:t>
      </w:r>
      <w:r w:rsidR="00EA3AB6" w:rsidRPr="004A7284">
        <w:rPr>
          <w:lang w:val="en-GB"/>
        </w:rPr>
        <w:lastRenderedPageBreak/>
        <w:t xml:space="preserve">significant year on year decreases indicate </w:t>
      </w:r>
      <w:r w:rsidR="00820D19" w:rsidRPr="004A7284">
        <w:rPr>
          <w:lang w:val="en-GB"/>
        </w:rPr>
        <w:t xml:space="preserve">that this problem is escalating in Liverpool, an area of already high need. NICE guidelines </w:t>
      </w:r>
      <w:r w:rsidR="001909D5" w:rsidRPr="004A7284">
        <w:rPr>
          <w:lang w:val="en-GB"/>
        </w:rPr>
        <w:t>[1</w:t>
      </w:r>
      <w:r w:rsidR="00751A76" w:rsidRPr="004A7284">
        <w:rPr>
          <w:lang w:val="en-GB"/>
        </w:rPr>
        <w:t>8</w:t>
      </w:r>
      <w:r w:rsidR="001909D5" w:rsidRPr="004A7284">
        <w:rPr>
          <w:lang w:val="en-GB"/>
        </w:rPr>
        <w:t xml:space="preserve">] </w:t>
      </w:r>
      <w:r w:rsidR="00820D19" w:rsidRPr="004A7284">
        <w:rPr>
          <w:lang w:val="en-GB"/>
        </w:rPr>
        <w:t xml:space="preserve">recommend the prescribing of pharmacotherapy to manage alcohol dependence, with previous studies interrogating large national databases finding that </w:t>
      </w:r>
      <w:r w:rsidR="007B1ECA" w:rsidRPr="004A7284">
        <w:rPr>
          <w:lang w:val="en-GB"/>
        </w:rPr>
        <w:t>11.7%</w:t>
      </w:r>
      <w:r w:rsidR="00820D19" w:rsidRPr="004A7284">
        <w:rPr>
          <w:lang w:val="en-GB"/>
        </w:rPr>
        <w:t xml:space="preserve"> of patients with alcohol dependence nationally are prescribed pharmacotherapy</w:t>
      </w:r>
      <w:r w:rsidR="007B1ECA" w:rsidRPr="004A7284">
        <w:rPr>
          <w:lang w:val="en-GB"/>
        </w:rPr>
        <w:t xml:space="preserve"> </w:t>
      </w:r>
      <w:r w:rsidR="008233EF" w:rsidRPr="004A7284">
        <w:rPr>
          <w:lang w:val="en-GB"/>
        </w:rPr>
        <w:t>[9]</w:t>
      </w:r>
      <w:r w:rsidR="00820D19" w:rsidRPr="004A7284">
        <w:rPr>
          <w:lang w:val="en-GB"/>
        </w:rPr>
        <w:t xml:space="preserve">. </w:t>
      </w:r>
      <w:r w:rsidR="00B52AE8" w:rsidRPr="004A7284">
        <w:rPr>
          <w:lang w:val="en-GB"/>
        </w:rPr>
        <w:t>Moreover</w:t>
      </w:r>
      <w:r w:rsidR="004867D9" w:rsidRPr="004A7284">
        <w:rPr>
          <w:lang w:val="en-GB"/>
        </w:rPr>
        <w:t>,</w:t>
      </w:r>
      <w:r w:rsidR="00B52AE8" w:rsidRPr="004A7284">
        <w:rPr>
          <w:lang w:val="en-GB"/>
        </w:rPr>
        <w:t xml:space="preserve"> evidence suggests that these medications </w:t>
      </w:r>
      <w:r w:rsidR="00805B73" w:rsidRPr="004A7284">
        <w:rPr>
          <w:lang w:val="en-GB"/>
        </w:rPr>
        <w:t>are effective in delaying return to drinking</w:t>
      </w:r>
      <w:r w:rsidR="00B52AE8" w:rsidRPr="004A7284">
        <w:rPr>
          <w:lang w:val="en-GB"/>
        </w:rPr>
        <w:t xml:space="preserve"> [1</w:t>
      </w:r>
      <w:r w:rsidR="00751A76" w:rsidRPr="004A7284">
        <w:rPr>
          <w:lang w:val="en-GB"/>
        </w:rPr>
        <w:t>9</w:t>
      </w:r>
      <w:r w:rsidR="00B52AE8" w:rsidRPr="004A7284">
        <w:rPr>
          <w:lang w:val="en-GB"/>
        </w:rPr>
        <w:t>] and reducing</w:t>
      </w:r>
      <w:r w:rsidR="00805B73" w:rsidRPr="004A7284">
        <w:rPr>
          <w:lang w:val="en-GB"/>
        </w:rPr>
        <w:t xml:space="preserve"> the length of inpatient stays for detoxification and frequency of hospital visits</w:t>
      </w:r>
      <w:r w:rsidR="00B52AE8" w:rsidRPr="004A7284">
        <w:rPr>
          <w:lang w:val="en-GB"/>
        </w:rPr>
        <w:t xml:space="preserve"> in those who have received a prescription [</w:t>
      </w:r>
      <w:r w:rsidR="006E0E94" w:rsidRPr="004A7284">
        <w:rPr>
          <w:lang w:val="en-GB"/>
        </w:rPr>
        <w:t>20</w:t>
      </w:r>
      <w:r w:rsidR="00B52AE8" w:rsidRPr="004A7284">
        <w:rPr>
          <w:lang w:val="en-GB"/>
        </w:rPr>
        <w:t>,</w:t>
      </w:r>
      <w:r w:rsidR="00F95F4E" w:rsidRPr="004A7284">
        <w:rPr>
          <w:lang w:val="en-GB"/>
        </w:rPr>
        <w:t>2</w:t>
      </w:r>
      <w:r w:rsidR="006E0E94" w:rsidRPr="004A7284">
        <w:rPr>
          <w:lang w:val="en-GB"/>
        </w:rPr>
        <w:t>1</w:t>
      </w:r>
      <w:r w:rsidR="00B52AE8" w:rsidRPr="004A7284">
        <w:rPr>
          <w:lang w:val="en-GB"/>
        </w:rPr>
        <w:t>]</w:t>
      </w:r>
      <w:r w:rsidR="00805B73" w:rsidRPr="004A7284">
        <w:rPr>
          <w:lang w:val="en-GB"/>
        </w:rPr>
        <w:t xml:space="preserve">. </w:t>
      </w:r>
      <w:r w:rsidR="00820D19" w:rsidRPr="004A7284">
        <w:rPr>
          <w:lang w:val="en-GB"/>
        </w:rPr>
        <w:t>In our study, we identified lower levels of prescribed pharmacotherapy (</w:t>
      </w:r>
      <w:r w:rsidR="00672A4E" w:rsidRPr="004A7284">
        <w:rPr>
          <w:lang w:val="en-GB"/>
        </w:rPr>
        <w:t>6.</w:t>
      </w:r>
      <w:r w:rsidR="003E38CA" w:rsidRPr="004A7284">
        <w:rPr>
          <w:lang w:val="en-GB"/>
        </w:rPr>
        <w:t>3</w:t>
      </w:r>
      <w:r w:rsidR="00820D19" w:rsidRPr="004A7284">
        <w:rPr>
          <w:lang w:val="en-GB"/>
        </w:rPr>
        <w:t>%</w:t>
      </w:r>
      <w:r w:rsidR="0073484B" w:rsidRPr="004A7284">
        <w:rPr>
          <w:lang w:val="en-GB"/>
        </w:rPr>
        <w:t xml:space="preserve"> across the </w:t>
      </w:r>
      <w:r w:rsidR="00AF1E95" w:rsidRPr="004A7284">
        <w:rPr>
          <w:lang w:val="en-GB"/>
        </w:rPr>
        <w:t>whole sample</w:t>
      </w:r>
      <w:r w:rsidR="00820D19" w:rsidRPr="004A7284">
        <w:rPr>
          <w:lang w:val="en-GB"/>
        </w:rPr>
        <w:t>)</w:t>
      </w:r>
      <w:r w:rsidR="007B1ECA" w:rsidRPr="004A7284">
        <w:rPr>
          <w:lang w:val="en-GB"/>
        </w:rPr>
        <w:t xml:space="preserve"> than national averages</w:t>
      </w:r>
      <w:r w:rsidR="00820D19" w:rsidRPr="004A7284">
        <w:rPr>
          <w:lang w:val="en-GB"/>
        </w:rPr>
        <w:t xml:space="preserve">. Despite patients in the most deprived areas of Liverpool </w:t>
      </w:r>
      <w:r w:rsidR="007B1ECA" w:rsidRPr="004A7284">
        <w:rPr>
          <w:lang w:val="en-GB"/>
        </w:rPr>
        <w:t xml:space="preserve">being more likely to be diagnosed with alcohol dependence, </w:t>
      </w:r>
      <w:r w:rsidR="003E6D8B" w:rsidRPr="004A7284">
        <w:rPr>
          <w:lang w:val="en-GB"/>
        </w:rPr>
        <w:t>there was weak evidence (p = .07) that these patients were less likely to be prescribed medication, based on their patient-level IMD but not based on GP</w:t>
      </w:r>
      <w:r w:rsidR="00167A41" w:rsidRPr="004A7284">
        <w:rPr>
          <w:lang w:val="en-GB"/>
        </w:rPr>
        <w:t xml:space="preserve"> surgery-level</w:t>
      </w:r>
      <w:r w:rsidR="003E6D8B" w:rsidRPr="004A7284">
        <w:rPr>
          <w:lang w:val="en-GB"/>
        </w:rPr>
        <w:t xml:space="preserve"> deprivation</w:t>
      </w:r>
      <w:r w:rsidR="001E0CBB" w:rsidRPr="004A7284">
        <w:rPr>
          <w:lang w:val="en-GB"/>
        </w:rPr>
        <w:t xml:space="preserve"> </w:t>
      </w:r>
      <w:r w:rsidR="008233EF" w:rsidRPr="004A7284">
        <w:rPr>
          <w:lang w:val="en-GB"/>
        </w:rPr>
        <w:t>[9]</w:t>
      </w:r>
      <w:r w:rsidR="007B1ECA" w:rsidRPr="004A7284">
        <w:rPr>
          <w:lang w:val="en-GB"/>
        </w:rPr>
        <w:t>.</w:t>
      </w:r>
      <w:r w:rsidR="001E0CBB" w:rsidRPr="004A7284">
        <w:rPr>
          <w:lang w:val="en-GB"/>
        </w:rPr>
        <w:t xml:space="preserve"> From 2019/20 to 2020/21 there was a 1% increase in the number of alcohol-related prescription items (acamprosate, disulfiram, </w:t>
      </w:r>
      <w:proofErr w:type="spellStart"/>
      <w:r w:rsidR="001E0CBB" w:rsidRPr="004A7284">
        <w:rPr>
          <w:lang w:val="en-GB"/>
        </w:rPr>
        <w:t>nalmefene</w:t>
      </w:r>
      <w:proofErr w:type="spellEnd"/>
      <w:r w:rsidR="001E0CBB" w:rsidRPr="004A7284">
        <w:rPr>
          <w:lang w:val="en-GB"/>
        </w:rPr>
        <w:t xml:space="preserve">) </w:t>
      </w:r>
      <w:r w:rsidR="008233EF" w:rsidRPr="004A7284">
        <w:rPr>
          <w:lang w:val="en-GB"/>
        </w:rPr>
        <w:t>[</w:t>
      </w:r>
      <w:r w:rsidR="00D82197" w:rsidRPr="004A7284">
        <w:rPr>
          <w:lang w:val="en-GB"/>
        </w:rPr>
        <w:t>2</w:t>
      </w:r>
      <w:r w:rsidR="006E0E94" w:rsidRPr="004A7284">
        <w:rPr>
          <w:lang w:val="en-GB"/>
        </w:rPr>
        <w:t>2</w:t>
      </w:r>
      <w:r w:rsidR="008233EF" w:rsidRPr="004A7284">
        <w:rPr>
          <w:lang w:val="en-GB"/>
        </w:rPr>
        <w:t xml:space="preserve">] </w:t>
      </w:r>
      <w:r w:rsidR="001E0CBB" w:rsidRPr="004A7284">
        <w:rPr>
          <w:lang w:val="en-GB"/>
        </w:rPr>
        <w:t xml:space="preserve">but compared to 2014/15 </w:t>
      </w:r>
      <w:r w:rsidR="008233EF" w:rsidRPr="004A7284">
        <w:rPr>
          <w:lang w:val="en-GB"/>
        </w:rPr>
        <w:t>[</w:t>
      </w:r>
      <w:r w:rsidR="00B52AE8" w:rsidRPr="004A7284">
        <w:rPr>
          <w:lang w:val="en-GB"/>
        </w:rPr>
        <w:t>2</w:t>
      </w:r>
      <w:r w:rsidR="006E0E94" w:rsidRPr="004A7284">
        <w:rPr>
          <w:lang w:val="en-GB"/>
        </w:rPr>
        <w:t>3</w:t>
      </w:r>
      <w:r w:rsidR="008233EF" w:rsidRPr="004A7284">
        <w:rPr>
          <w:lang w:val="en-GB"/>
        </w:rPr>
        <w:t>]</w:t>
      </w:r>
      <w:r w:rsidR="001E0CBB" w:rsidRPr="004A7284">
        <w:rPr>
          <w:lang w:val="en-GB"/>
        </w:rPr>
        <w:t xml:space="preserve"> this represents a 15% decrease in overall prescriptions. </w:t>
      </w:r>
      <w:r w:rsidR="00361DE7" w:rsidRPr="004A7284">
        <w:rPr>
          <w:lang w:val="en-GB"/>
        </w:rPr>
        <w:t>Studies from the US have indicated that primary care engagement is associated with increased alcohol-related prescriptions [2</w:t>
      </w:r>
      <w:r w:rsidR="006E0E94" w:rsidRPr="004A7284">
        <w:rPr>
          <w:lang w:val="en-GB"/>
        </w:rPr>
        <w:t>4</w:t>
      </w:r>
      <w:r w:rsidR="00361DE7" w:rsidRPr="004A7284">
        <w:rPr>
          <w:lang w:val="en-GB"/>
        </w:rPr>
        <w:t xml:space="preserve">] and future research should seek to investigate how we can facilitate </w:t>
      </w:r>
      <w:r w:rsidR="007C7253" w:rsidRPr="004A7284">
        <w:rPr>
          <w:lang w:val="en-GB"/>
        </w:rPr>
        <w:t>t</w:t>
      </w:r>
      <w:r w:rsidR="00361DE7" w:rsidRPr="004A7284">
        <w:rPr>
          <w:lang w:val="en-GB"/>
        </w:rPr>
        <w:t xml:space="preserve">his engagement. </w:t>
      </w:r>
    </w:p>
    <w:p w14:paraId="4ACF7804" w14:textId="5FFC047A" w:rsidR="00070C30" w:rsidRPr="004A7284" w:rsidRDefault="008374D4" w:rsidP="00FA2275">
      <w:pPr>
        <w:spacing w:after="120" w:line="480" w:lineRule="auto"/>
        <w:ind w:firstLine="360"/>
        <w:jc w:val="both"/>
        <w:rPr>
          <w:lang w:val="en-GB"/>
        </w:rPr>
      </w:pPr>
      <w:r w:rsidRPr="004A7284">
        <w:rPr>
          <w:lang w:val="en-GB"/>
        </w:rPr>
        <w:t xml:space="preserve">Our results highlight low, and decreasing, levels of identification of alcohol use disorders in primary care in Liverpool. Low identification </w:t>
      </w:r>
      <w:r w:rsidR="004976CD" w:rsidRPr="004A7284">
        <w:rPr>
          <w:lang w:val="en-GB"/>
        </w:rPr>
        <w:t xml:space="preserve">and onwards referral has been identified in </w:t>
      </w:r>
      <w:r w:rsidR="00F7720A" w:rsidRPr="004A7284">
        <w:rPr>
          <w:lang w:val="en-GB"/>
        </w:rPr>
        <w:t>primary care across Europe</w:t>
      </w:r>
      <w:r w:rsidR="000474E5" w:rsidRPr="004A7284">
        <w:rPr>
          <w:lang w:val="en-GB"/>
        </w:rPr>
        <w:t xml:space="preserve"> and the USA</w:t>
      </w:r>
      <w:r w:rsidR="00F7720A" w:rsidRPr="004A7284">
        <w:rPr>
          <w:lang w:val="en-GB"/>
        </w:rPr>
        <w:t xml:space="preserve"> [</w:t>
      </w:r>
      <w:r w:rsidR="000474E5" w:rsidRPr="004A7284">
        <w:rPr>
          <w:lang w:val="en-GB"/>
        </w:rPr>
        <w:t>25,26</w:t>
      </w:r>
      <w:r w:rsidR="00F7720A" w:rsidRPr="004A7284">
        <w:rPr>
          <w:lang w:val="en-GB"/>
        </w:rPr>
        <w:t>]</w:t>
      </w:r>
      <w:r w:rsidR="000474E5" w:rsidRPr="004A7284">
        <w:rPr>
          <w:lang w:val="en-GB"/>
        </w:rPr>
        <w:t xml:space="preserve">; </w:t>
      </w:r>
      <w:r w:rsidR="00F67FA8" w:rsidRPr="004A7284">
        <w:rPr>
          <w:lang w:val="en-GB"/>
        </w:rPr>
        <w:t>this is problematic</w:t>
      </w:r>
      <w:r w:rsidRPr="004A7284">
        <w:rPr>
          <w:lang w:val="en-GB"/>
        </w:rPr>
        <w:t xml:space="preserve"> as specialist services will not be able to estimate demands based on primary care intelligence, and services will be underfunded</w:t>
      </w:r>
      <w:r w:rsidR="00E60A2B" w:rsidRPr="004A7284">
        <w:rPr>
          <w:lang w:val="en-GB"/>
        </w:rPr>
        <w:t xml:space="preserve"> [5</w:t>
      </w:r>
      <w:r w:rsidR="005870C3" w:rsidRPr="004A7284">
        <w:rPr>
          <w:lang w:val="en-GB"/>
        </w:rPr>
        <w:t>]</w:t>
      </w:r>
      <w:r w:rsidRPr="004A7284">
        <w:rPr>
          <w:lang w:val="en-GB"/>
        </w:rPr>
        <w:t>. We identified specific areas in Liverpool which have higher levels of incidence and prevalence and would benefit from assertive outreach</w:t>
      </w:r>
      <w:r w:rsidR="005870C3" w:rsidRPr="004A7284">
        <w:rPr>
          <w:lang w:val="en-GB"/>
        </w:rPr>
        <w:t xml:space="preserve"> [2</w:t>
      </w:r>
      <w:r w:rsidR="00F67FA8" w:rsidRPr="004A7284">
        <w:rPr>
          <w:lang w:val="en-GB"/>
        </w:rPr>
        <w:t>7</w:t>
      </w:r>
      <w:r w:rsidR="005870C3" w:rsidRPr="004A7284">
        <w:rPr>
          <w:lang w:val="en-GB"/>
        </w:rPr>
        <w:t>,2</w:t>
      </w:r>
      <w:r w:rsidR="00F67FA8" w:rsidRPr="004A7284">
        <w:rPr>
          <w:lang w:val="en-GB"/>
        </w:rPr>
        <w:t>8</w:t>
      </w:r>
      <w:r w:rsidR="005870C3" w:rsidRPr="004A7284">
        <w:rPr>
          <w:lang w:val="en-GB"/>
        </w:rPr>
        <w:t>]</w:t>
      </w:r>
      <w:r w:rsidRPr="004A7284">
        <w:rPr>
          <w:lang w:val="en-GB"/>
        </w:rPr>
        <w:t xml:space="preserve">. Levels of alcohol-related prescriptions in primary care were low compared to national estimates </w:t>
      </w:r>
      <w:r w:rsidR="00E60A2B" w:rsidRPr="004A7284">
        <w:rPr>
          <w:lang w:val="en-GB"/>
        </w:rPr>
        <w:t>[9,</w:t>
      </w:r>
      <w:r w:rsidR="00D82197" w:rsidRPr="004A7284">
        <w:rPr>
          <w:lang w:val="en-GB"/>
        </w:rPr>
        <w:t>2</w:t>
      </w:r>
      <w:r w:rsidR="00F67FA8" w:rsidRPr="004A7284">
        <w:rPr>
          <w:lang w:val="en-GB"/>
        </w:rPr>
        <w:t>2</w:t>
      </w:r>
      <w:r w:rsidR="00E60A2B" w:rsidRPr="004A7284">
        <w:rPr>
          <w:lang w:val="en-GB"/>
        </w:rPr>
        <w:t xml:space="preserve">] </w:t>
      </w:r>
      <w:r w:rsidRPr="004A7284">
        <w:rPr>
          <w:lang w:val="en-GB"/>
        </w:rPr>
        <w:t xml:space="preserve">and were </w:t>
      </w:r>
      <w:r w:rsidR="003E6D8B" w:rsidRPr="004A7284">
        <w:rPr>
          <w:lang w:val="en-GB"/>
        </w:rPr>
        <w:t xml:space="preserve">somewhat </w:t>
      </w:r>
      <w:r w:rsidRPr="004A7284">
        <w:rPr>
          <w:lang w:val="en-GB"/>
        </w:rPr>
        <w:t xml:space="preserve">lower </w:t>
      </w:r>
      <w:r w:rsidR="003E6D8B" w:rsidRPr="004A7284">
        <w:rPr>
          <w:lang w:val="en-GB"/>
        </w:rPr>
        <w:t>for patients with higher levels of deprivation</w:t>
      </w:r>
      <w:r w:rsidRPr="004A7284">
        <w:rPr>
          <w:lang w:val="en-GB"/>
        </w:rPr>
        <w:t xml:space="preserve">. GP training surrounding identification and prescribing for alcohol dependence, improved coding practices in the EMIS system and discussion with leading pharmacists to develop guidelines on the Pan Mersey Formulary for prescribing alcohol management medication are key priorities identified </w:t>
      </w:r>
      <w:r w:rsidRPr="004A7284">
        <w:rPr>
          <w:lang w:val="en-GB"/>
        </w:rPr>
        <w:lastRenderedPageBreak/>
        <w:t xml:space="preserve">by this work. </w:t>
      </w:r>
      <w:r w:rsidR="006056E7" w:rsidRPr="004A7284">
        <w:rPr>
          <w:lang w:val="en-GB"/>
        </w:rPr>
        <w:t xml:space="preserve">A reduction in drinking brought about by improved </w:t>
      </w:r>
      <w:r w:rsidR="00620970" w:rsidRPr="004A7284">
        <w:rPr>
          <w:lang w:val="en-GB"/>
        </w:rPr>
        <w:t>identification and referral</w:t>
      </w:r>
      <w:r w:rsidR="006056E7" w:rsidRPr="004A7284">
        <w:rPr>
          <w:lang w:val="en-GB"/>
        </w:rPr>
        <w:t xml:space="preserve"> in primary care would also reduce the associated health conditions that arise from heavy drinking such as cardiovascular disease, cancer, liver disease, accidents, violence and </w:t>
      </w:r>
      <w:r w:rsidR="00147F88" w:rsidRPr="004A7284">
        <w:rPr>
          <w:lang w:val="en-GB"/>
        </w:rPr>
        <w:t>s</w:t>
      </w:r>
      <w:r w:rsidR="006D6942" w:rsidRPr="004A7284">
        <w:rPr>
          <w:lang w:val="en-GB"/>
        </w:rPr>
        <w:t>elf-</w:t>
      </w:r>
      <w:r w:rsidR="00147F88" w:rsidRPr="004A7284">
        <w:rPr>
          <w:lang w:val="en-GB"/>
        </w:rPr>
        <w:t>h</w:t>
      </w:r>
      <w:r w:rsidR="006D6942" w:rsidRPr="004A7284">
        <w:rPr>
          <w:lang w:val="en-GB"/>
        </w:rPr>
        <w:t>arm</w:t>
      </w:r>
      <w:r w:rsidR="00E60A2B" w:rsidRPr="004A7284">
        <w:rPr>
          <w:lang w:val="en-GB"/>
        </w:rPr>
        <w:t xml:space="preserve"> [2</w:t>
      </w:r>
      <w:r w:rsidR="00DD676E" w:rsidRPr="004A7284">
        <w:rPr>
          <w:lang w:val="en-GB"/>
        </w:rPr>
        <w:t>9</w:t>
      </w:r>
      <w:r w:rsidR="00E60A2B" w:rsidRPr="004A7284">
        <w:rPr>
          <w:lang w:val="en-GB"/>
        </w:rPr>
        <w:t>]</w:t>
      </w:r>
      <w:r w:rsidR="006056E7" w:rsidRPr="004A7284">
        <w:rPr>
          <w:lang w:val="en-GB"/>
        </w:rPr>
        <w:t>. In combination these reductions would result in cost savings, improved patient care and treatment pathways, improved mental health and would lessen social inequalities.</w:t>
      </w:r>
      <w:r w:rsidR="00620970" w:rsidRPr="004A7284">
        <w:rPr>
          <w:lang w:val="en-GB"/>
        </w:rPr>
        <w:t xml:space="preserve"> </w:t>
      </w:r>
    </w:p>
    <w:p w14:paraId="3DD0F964" w14:textId="34038567" w:rsidR="006056E7" w:rsidRPr="004A7284" w:rsidRDefault="00070C30" w:rsidP="00FA2275">
      <w:pPr>
        <w:spacing w:after="120" w:line="480" w:lineRule="auto"/>
        <w:ind w:firstLine="360"/>
        <w:jc w:val="both"/>
        <w:rPr>
          <w:rFonts w:cstheme="minorHAnsi"/>
          <w:lang w:val="en-GB"/>
        </w:rPr>
      </w:pPr>
      <w:r w:rsidRPr="004A7284">
        <w:rPr>
          <w:lang w:val="en-GB"/>
        </w:rPr>
        <w:t xml:space="preserve">In conclusion, this research highlights the </w:t>
      </w:r>
      <w:r w:rsidR="003F4961" w:rsidRPr="004A7284">
        <w:rPr>
          <w:lang w:val="en-GB"/>
        </w:rPr>
        <w:t xml:space="preserve">association between </w:t>
      </w:r>
      <w:r w:rsidR="00665EFC" w:rsidRPr="004A7284">
        <w:rPr>
          <w:lang w:val="en-GB"/>
        </w:rPr>
        <w:t xml:space="preserve">social deprivation and prevalence and incidence of </w:t>
      </w:r>
      <w:r w:rsidR="00D0467C" w:rsidRPr="004A7284">
        <w:rPr>
          <w:lang w:val="en-GB"/>
        </w:rPr>
        <w:t xml:space="preserve">hazardous and dependent alcohol drinking. </w:t>
      </w:r>
      <w:r w:rsidR="00620970" w:rsidRPr="004A7284">
        <w:rPr>
          <w:lang w:val="en-GB"/>
        </w:rPr>
        <w:t xml:space="preserve">Future research should seek to identify perceived barriers and facilitators of access to treatment in primary care from both patient and practitioner perspectives, to identify </w:t>
      </w:r>
      <w:r w:rsidR="00C90363" w:rsidRPr="004A7284">
        <w:rPr>
          <w:lang w:val="en-GB"/>
        </w:rPr>
        <w:t xml:space="preserve">specific local, national </w:t>
      </w:r>
      <w:r w:rsidR="00624141" w:rsidRPr="004A7284">
        <w:rPr>
          <w:lang w:val="en-GB"/>
        </w:rPr>
        <w:t xml:space="preserve">and </w:t>
      </w:r>
      <w:r w:rsidR="00C90363" w:rsidRPr="004A7284">
        <w:rPr>
          <w:lang w:val="en-GB"/>
        </w:rPr>
        <w:t xml:space="preserve">international need for different </w:t>
      </w:r>
      <w:r w:rsidR="00620970" w:rsidRPr="004A7284">
        <w:rPr>
          <w:lang w:val="en-GB"/>
        </w:rPr>
        <w:t>treatment pathways</w:t>
      </w:r>
      <w:r w:rsidR="00624141" w:rsidRPr="004A7284">
        <w:rPr>
          <w:lang w:val="en-GB"/>
        </w:rPr>
        <w:t xml:space="preserve"> </w:t>
      </w:r>
      <w:r w:rsidR="009E2E3E" w:rsidRPr="004A7284">
        <w:rPr>
          <w:lang w:val="en-GB"/>
        </w:rPr>
        <w:t>for hazardous and dependent drinkers</w:t>
      </w:r>
      <w:r w:rsidR="00620970" w:rsidRPr="004A7284">
        <w:rPr>
          <w:lang w:val="en-GB"/>
        </w:rPr>
        <w:t xml:space="preserve">. </w:t>
      </w:r>
    </w:p>
    <w:p w14:paraId="0D16A3EF" w14:textId="5049B9AD" w:rsidR="00AD1F72" w:rsidRPr="004A7284" w:rsidRDefault="00AD1F72" w:rsidP="00BB71AB">
      <w:pPr>
        <w:spacing w:after="120" w:line="480" w:lineRule="auto"/>
        <w:jc w:val="both"/>
        <w:rPr>
          <w:rFonts w:cstheme="minorHAnsi"/>
          <w:b/>
          <w:lang w:val="en-GB"/>
        </w:rPr>
      </w:pPr>
      <w:r w:rsidRPr="004A7284">
        <w:rPr>
          <w:rFonts w:cstheme="minorHAnsi"/>
          <w:b/>
          <w:lang w:val="en-GB"/>
        </w:rPr>
        <w:t>Acknowledgements</w:t>
      </w:r>
    </w:p>
    <w:p w14:paraId="37650D12" w14:textId="1FCF9C78" w:rsidR="00130AD8" w:rsidRPr="004A7284" w:rsidRDefault="00130AD8" w:rsidP="00BB71AB">
      <w:pPr>
        <w:spacing w:after="120" w:line="480" w:lineRule="auto"/>
        <w:jc w:val="both"/>
        <w:rPr>
          <w:rFonts w:cstheme="minorHAnsi"/>
          <w:b/>
          <w:lang w:val="en-GB"/>
        </w:rPr>
      </w:pPr>
      <w:r w:rsidRPr="004A7284">
        <w:rPr>
          <w:rFonts w:cstheme="minorHAnsi"/>
          <w:bCs/>
          <w:lang w:val="en-GB"/>
        </w:rPr>
        <w:t xml:space="preserve">The authors would like to thank David Knowles and Lisa Jones from the LCCG Business Intelligence team for their input to developing the EMIS search template, for drafting, circulating and collecting the DSA from practices, running the EMIS searches and providing the data. </w:t>
      </w:r>
    </w:p>
    <w:p w14:paraId="0C6497CE" w14:textId="3537534F" w:rsidR="00323B0C" w:rsidRPr="004A7284" w:rsidRDefault="00633A61" w:rsidP="00323B0C">
      <w:pPr>
        <w:spacing w:after="120" w:line="480" w:lineRule="auto"/>
        <w:rPr>
          <w:rFonts w:cstheme="minorHAnsi"/>
          <w:b/>
          <w:lang w:val="en-GB"/>
        </w:rPr>
      </w:pPr>
      <w:proofErr w:type="spellStart"/>
      <w:r w:rsidRPr="004A7284">
        <w:rPr>
          <w:rFonts w:cstheme="minorHAnsi"/>
          <w:b/>
          <w:lang w:val="en-GB"/>
        </w:rPr>
        <w:t>Contributorship</w:t>
      </w:r>
      <w:proofErr w:type="spellEnd"/>
      <w:r w:rsidRPr="004A7284">
        <w:rPr>
          <w:rFonts w:cstheme="minorHAnsi"/>
          <w:b/>
          <w:lang w:val="en-GB"/>
        </w:rPr>
        <w:t xml:space="preserve"> Statement</w:t>
      </w:r>
    </w:p>
    <w:p w14:paraId="1268269C" w14:textId="77777777" w:rsidR="004F089D" w:rsidRPr="004A7284" w:rsidRDefault="004F089D" w:rsidP="00633A61">
      <w:pPr>
        <w:spacing w:after="120" w:line="480" w:lineRule="auto"/>
        <w:jc w:val="both"/>
        <w:rPr>
          <w:rFonts w:cstheme="minorHAnsi"/>
          <w:bCs/>
          <w:lang w:val="en-GB"/>
        </w:rPr>
      </w:pPr>
      <w:r w:rsidRPr="004A7284">
        <w:rPr>
          <w:rFonts w:cstheme="minorHAnsi"/>
          <w:bCs/>
          <w:lang w:val="en-GB"/>
        </w:rPr>
        <w:t xml:space="preserve">CM and MR designed the study with input from PS and </w:t>
      </w:r>
      <w:proofErr w:type="spellStart"/>
      <w:r w:rsidRPr="004A7284">
        <w:rPr>
          <w:rFonts w:cstheme="minorHAnsi"/>
          <w:bCs/>
          <w:lang w:val="en-GB"/>
        </w:rPr>
        <w:t>NvG</w:t>
      </w:r>
      <w:proofErr w:type="spellEnd"/>
      <w:r w:rsidRPr="004A7284">
        <w:rPr>
          <w:rFonts w:cstheme="minorHAnsi"/>
          <w:bCs/>
          <w:lang w:val="en-GB"/>
        </w:rPr>
        <w:t xml:space="preserve">. LO and RY contributed a pragmatic critique of the study inclusion/exclusion criteria and gave their clinical opinion on cases where there was uncertainty surrounding the meaning of manual codes. LO advised on the meaning of ambiguous referral codes and received the data from LCCG. CS was a research assistant working on the project who was responsible for recoding the data received from LCCG, initial data filtering and curation. RY provided expertise on the identification of GP training needs and changes in local practice. AJ contributed to data curation, analysis and analytical strategy and reporting. MR advised the team on the relative importance of different factors from a patient perspective. CM produced the first draft of the manuscript and </w:t>
      </w:r>
      <w:proofErr w:type="spellStart"/>
      <w:r w:rsidRPr="004A7284">
        <w:rPr>
          <w:rFonts w:cstheme="minorHAnsi"/>
          <w:bCs/>
          <w:lang w:val="en-GB"/>
        </w:rPr>
        <w:t>NvG</w:t>
      </w:r>
      <w:proofErr w:type="spellEnd"/>
      <w:r w:rsidRPr="004A7284">
        <w:rPr>
          <w:rFonts w:cstheme="minorHAnsi"/>
          <w:bCs/>
          <w:lang w:val="en-GB"/>
        </w:rPr>
        <w:t xml:space="preserve">, PS, AJ, RY, MR and LO have provided critical revisions and approved the final manuscript. </w:t>
      </w:r>
    </w:p>
    <w:p w14:paraId="2DC89EB0" w14:textId="722BB914" w:rsidR="00633A61" w:rsidRPr="004A7284" w:rsidRDefault="00633A61" w:rsidP="00633A61">
      <w:pPr>
        <w:spacing w:after="120" w:line="480" w:lineRule="auto"/>
        <w:jc w:val="both"/>
        <w:rPr>
          <w:rFonts w:cstheme="minorHAnsi"/>
          <w:b/>
          <w:lang w:val="en-GB"/>
        </w:rPr>
      </w:pPr>
      <w:r w:rsidRPr="004A7284">
        <w:rPr>
          <w:rFonts w:cstheme="minorHAnsi"/>
          <w:b/>
          <w:lang w:val="en-GB"/>
        </w:rPr>
        <w:lastRenderedPageBreak/>
        <w:t>Competing interests</w:t>
      </w:r>
    </w:p>
    <w:p w14:paraId="047C8C00" w14:textId="77777777" w:rsidR="00633A61" w:rsidRPr="004A7284" w:rsidRDefault="00633A61" w:rsidP="00633A61">
      <w:pPr>
        <w:spacing w:after="120" w:line="480" w:lineRule="auto"/>
        <w:jc w:val="both"/>
        <w:rPr>
          <w:rFonts w:cstheme="minorHAnsi"/>
          <w:lang w:val="en-GB"/>
        </w:rPr>
      </w:pPr>
      <w:r w:rsidRPr="004A7284">
        <w:rPr>
          <w:rFonts w:cstheme="minorHAnsi"/>
          <w:lang w:val="en-GB"/>
        </w:rPr>
        <w:t xml:space="preserve">There are no conflicts of interest. </w:t>
      </w:r>
    </w:p>
    <w:p w14:paraId="66B1DF7B" w14:textId="77777777" w:rsidR="00633A61" w:rsidRPr="004A7284" w:rsidRDefault="00633A61" w:rsidP="00633A61">
      <w:pPr>
        <w:spacing w:after="120" w:line="480" w:lineRule="auto"/>
        <w:jc w:val="both"/>
        <w:rPr>
          <w:rFonts w:cstheme="minorHAnsi"/>
          <w:b/>
          <w:lang w:val="en-GB"/>
        </w:rPr>
      </w:pPr>
      <w:r w:rsidRPr="004A7284">
        <w:rPr>
          <w:rFonts w:cstheme="minorHAnsi"/>
          <w:b/>
          <w:lang w:val="en-GB"/>
        </w:rPr>
        <w:t>Funding</w:t>
      </w:r>
    </w:p>
    <w:p w14:paraId="50D76D17" w14:textId="2E6E702C" w:rsidR="00633A61" w:rsidRPr="004A7284" w:rsidRDefault="00633A61" w:rsidP="00633A61">
      <w:pPr>
        <w:spacing w:after="120" w:line="480" w:lineRule="auto"/>
        <w:jc w:val="both"/>
        <w:rPr>
          <w:rFonts w:cstheme="minorHAnsi"/>
          <w:lang w:val="en-GB"/>
        </w:rPr>
      </w:pPr>
      <w:r w:rsidRPr="004A7284">
        <w:rPr>
          <w:rFonts w:cstheme="minorHAnsi"/>
          <w:lang w:val="en-GB"/>
        </w:rPr>
        <w:t>This work was supported by an NHS Liverpool CCG Research Capability Fund grant</w:t>
      </w:r>
      <w:r w:rsidR="009C406E" w:rsidRPr="004A7284">
        <w:rPr>
          <w:rFonts w:cstheme="minorHAnsi"/>
          <w:lang w:val="en-GB"/>
        </w:rPr>
        <w:t xml:space="preserve"> RCF21-22/07</w:t>
      </w:r>
      <w:r w:rsidRPr="004A7284">
        <w:rPr>
          <w:rFonts w:cstheme="minorHAnsi"/>
          <w:lang w:val="en-GB"/>
        </w:rPr>
        <w:t xml:space="preserve">. </w:t>
      </w:r>
    </w:p>
    <w:p w14:paraId="6A70DDBB" w14:textId="36735D64" w:rsidR="00633A61" w:rsidRPr="004A7284" w:rsidRDefault="00633A61" w:rsidP="00633A61">
      <w:pPr>
        <w:spacing w:after="120" w:line="480" w:lineRule="auto"/>
        <w:rPr>
          <w:rFonts w:cstheme="minorHAnsi"/>
          <w:b/>
          <w:lang w:val="en-GB"/>
        </w:rPr>
      </w:pPr>
      <w:r w:rsidRPr="004A7284">
        <w:rPr>
          <w:rFonts w:cstheme="minorHAnsi"/>
          <w:b/>
          <w:lang w:val="en-GB"/>
        </w:rPr>
        <w:t>Data sharing statement</w:t>
      </w:r>
    </w:p>
    <w:p w14:paraId="282D7A9F" w14:textId="6531188E" w:rsidR="00633A61" w:rsidRPr="004A7284" w:rsidRDefault="00633A61" w:rsidP="00633A61">
      <w:pPr>
        <w:spacing w:after="120" w:line="480" w:lineRule="auto"/>
        <w:rPr>
          <w:rFonts w:cstheme="minorHAnsi"/>
          <w:bCs/>
          <w:lang w:val="en-GB"/>
        </w:rPr>
      </w:pPr>
      <w:r w:rsidRPr="004A7284">
        <w:rPr>
          <w:rFonts w:cstheme="minorHAnsi"/>
          <w:bCs/>
          <w:lang w:val="en-GB"/>
        </w:rPr>
        <w:t xml:space="preserve">The data for this study is available in the Liverpool John </w:t>
      </w:r>
      <w:proofErr w:type="spellStart"/>
      <w:r w:rsidRPr="004A7284">
        <w:rPr>
          <w:rFonts w:cstheme="minorHAnsi"/>
          <w:bCs/>
          <w:lang w:val="en-GB"/>
        </w:rPr>
        <w:t>Moores</w:t>
      </w:r>
      <w:proofErr w:type="spellEnd"/>
      <w:r w:rsidRPr="004A7284">
        <w:rPr>
          <w:rFonts w:cstheme="minorHAnsi"/>
          <w:bCs/>
          <w:lang w:val="en-GB"/>
        </w:rPr>
        <w:t xml:space="preserve"> University Data Repository https://opendata.ljmu.ac.uk/. Analysis code can be found here [</w:t>
      </w:r>
      <w:hyperlink r:id="rId12" w:history="1">
        <w:r w:rsidR="00167A41" w:rsidRPr="004A7284">
          <w:rPr>
            <w:rStyle w:val="Hyperlink"/>
            <w:rFonts w:eastAsia="Times New Roman"/>
          </w:rPr>
          <w:t>https://osf.io/7ywdz/</w:t>
        </w:r>
      </w:hyperlink>
      <w:r w:rsidRPr="004A7284">
        <w:rPr>
          <w:rFonts w:cstheme="minorHAnsi"/>
          <w:bCs/>
          <w:lang w:val="en-GB"/>
        </w:rPr>
        <w:t>].</w:t>
      </w:r>
    </w:p>
    <w:p w14:paraId="611215C1" w14:textId="3D361E4C" w:rsidR="00633A61" w:rsidRPr="004A7284" w:rsidRDefault="00633A61" w:rsidP="00633A61">
      <w:pPr>
        <w:spacing w:after="120" w:line="480" w:lineRule="auto"/>
        <w:rPr>
          <w:rFonts w:cstheme="minorHAnsi"/>
          <w:b/>
          <w:lang w:val="en-GB"/>
        </w:rPr>
      </w:pPr>
      <w:r w:rsidRPr="004A7284">
        <w:rPr>
          <w:rFonts w:cstheme="minorHAnsi"/>
          <w:b/>
          <w:lang w:val="en-GB"/>
        </w:rPr>
        <w:t>Ethics approval statement</w:t>
      </w:r>
    </w:p>
    <w:p w14:paraId="603529AA" w14:textId="6056B997" w:rsidR="00B24AE0" w:rsidRPr="004A7284" w:rsidRDefault="00B24AE0" w:rsidP="00633A61">
      <w:pPr>
        <w:spacing w:after="120" w:line="480" w:lineRule="auto"/>
        <w:rPr>
          <w:rFonts w:cstheme="minorHAnsi"/>
          <w:bCs/>
          <w:lang w:val="en-GB"/>
        </w:rPr>
      </w:pPr>
      <w:r w:rsidRPr="004A7284">
        <w:rPr>
          <w:rFonts w:cstheme="minorHAnsi"/>
          <w:bCs/>
          <w:lang w:val="en-GB"/>
        </w:rPr>
        <w:t>This was a retrospective data analysis</w:t>
      </w:r>
      <w:r w:rsidR="009062D0" w:rsidRPr="004A7284">
        <w:rPr>
          <w:rFonts w:cstheme="minorHAnsi"/>
          <w:bCs/>
          <w:lang w:val="en-GB"/>
        </w:rPr>
        <w:t xml:space="preserve"> of anonymised health records</w:t>
      </w:r>
      <w:r w:rsidRPr="004A7284">
        <w:rPr>
          <w:rFonts w:cstheme="minorHAnsi"/>
          <w:bCs/>
          <w:lang w:val="en-GB"/>
        </w:rPr>
        <w:t xml:space="preserve"> and was approved as minimal risk by Liverpool John </w:t>
      </w:r>
      <w:proofErr w:type="spellStart"/>
      <w:r w:rsidRPr="004A7284">
        <w:rPr>
          <w:rFonts w:cstheme="minorHAnsi"/>
          <w:bCs/>
          <w:lang w:val="en-GB"/>
        </w:rPr>
        <w:t>Moores</w:t>
      </w:r>
      <w:proofErr w:type="spellEnd"/>
      <w:r w:rsidRPr="004A7284">
        <w:rPr>
          <w:rFonts w:cstheme="minorHAnsi"/>
          <w:bCs/>
          <w:lang w:val="en-GB"/>
        </w:rPr>
        <w:t xml:space="preserve"> University Research Ethics Committee (22/PSY/001).</w:t>
      </w:r>
    </w:p>
    <w:p w14:paraId="569AD3E8" w14:textId="77777777" w:rsidR="00633A61" w:rsidRPr="004A7284" w:rsidRDefault="00633A61" w:rsidP="00633A61">
      <w:pPr>
        <w:spacing w:after="120" w:line="480" w:lineRule="auto"/>
        <w:rPr>
          <w:rFonts w:cstheme="minorHAnsi"/>
          <w:b/>
          <w:lang w:val="en-GB"/>
        </w:rPr>
      </w:pPr>
    </w:p>
    <w:p w14:paraId="228E78E2" w14:textId="34861E7B" w:rsidR="00BB71AB" w:rsidRPr="004A7284" w:rsidRDefault="00BB71AB" w:rsidP="00323B0C">
      <w:pPr>
        <w:spacing w:after="120" w:line="480" w:lineRule="auto"/>
        <w:rPr>
          <w:rFonts w:cstheme="minorHAnsi"/>
          <w:bCs/>
          <w:lang w:val="en-GB"/>
        </w:rPr>
      </w:pPr>
      <w:r w:rsidRPr="004A7284">
        <w:rPr>
          <w:rFonts w:cstheme="minorHAnsi"/>
          <w:bCs/>
          <w:lang w:val="en-GB"/>
        </w:rPr>
        <w:br w:type="page"/>
      </w:r>
    </w:p>
    <w:p w14:paraId="389BC5B7" w14:textId="5CF0F25B" w:rsidR="00AD1F72" w:rsidRPr="004A7284" w:rsidRDefault="00AD1F72" w:rsidP="000769E4">
      <w:pPr>
        <w:jc w:val="both"/>
        <w:rPr>
          <w:rFonts w:cstheme="minorHAnsi"/>
          <w:b/>
          <w:lang w:val="en-GB"/>
        </w:rPr>
      </w:pPr>
      <w:r w:rsidRPr="004A7284">
        <w:rPr>
          <w:rFonts w:cstheme="minorHAnsi"/>
          <w:b/>
          <w:lang w:val="en-GB"/>
        </w:rPr>
        <w:lastRenderedPageBreak/>
        <w:t>References</w:t>
      </w:r>
    </w:p>
    <w:p w14:paraId="701446E7" w14:textId="77777777" w:rsidR="006E595C" w:rsidRPr="004A7284" w:rsidRDefault="006E595C" w:rsidP="006E595C">
      <w:pPr>
        <w:pStyle w:val="ListParagraph"/>
        <w:numPr>
          <w:ilvl w:val="0"/>
          <w:numId w:val="11"/>
        </w:numPr>
        <w:jc w:val="both"/>
        <w:rPr>
          <w:rFonts w:cstheme="minorHAnsi"/>
          <w:lang w:val="en-GB"/>
        </w:rPr>
      </w:pPr>
      <w:r w:rsidRPr="004A7284">
        <w:rPr>
          <w:rFonts w:cstheme="minorHAnsi"/>
          <w:lang w:val="en-GB"/>
        </w:rPr>
        <w:t xml:space="preserve">Griswold MG, </w:t>
      </w:r>
      <w:proofErr w:type="spellStart"/>
      <w:r w:rsidRPr="004A7284">
        <w:rPr>
          <w:rFonts w:cstheme="minorHAnsi"/>
          <w:lang w:val="en-GB"/>
        </w:rPr>
        <w:t>Fullman</w:t>
      </w:r>
      <w:proofErr w:type="spellEnd"/>
      <w:r w:rsidRPr="004A7284">
        <w:rPr>
          <w:rFonts w:cstheme="minorHAnsi"/>
          <w:lang w:val="en-GB"/>
        </w:rPr>
        <w:t xml:space="preserve"> N, Hawley, C et al. Alcohol use and burden for 195 countries and territories, 1990-2016: a systematic analysis for the Global Burden of Disease Study 2016. </w:t>
      </w:r>
      <w:r w:rsidRPr="004A7284">
        <w:rPr>
          <w:rFonts w:cstheme="minorHAnsi"/>
          <w:i/>
          <w:iCs/>
          <w:lang w:val="en-GB"/>
        </w:rPr>
        <w:t>The Lancet</w:t>
      </w:r>
      <w:r w:rsidRPr="004A7284">
        <w:rPr>
          <w:rFonts w:cstheme="minorHAnsi"/>
          <w:lang w:val="en-GB"/>
        </w:rPr>
        <w:t xml:space="preserve"> 2018;29;392(10153):1116. </w:t>
      </w:r>
    </w:p>
    <w:p w14:paraId="54F104ED" w14:textId="77777777" w:rsidR="006E595C" w:rsidRPr="004A7284" w:rsidRDefault="006E595C" w:rsidP="006E595C">
      <w:pPr>
        <w:pStyle w:val="ListParagraph"/>
        <w:numPr>
          <w:ilvl w:val="0"/>
          <w:numId w:val="11"/>
        </w:numPr>
        <w:rPr>
          <w:rFonts w:cstheme="minorHAnsi"/>
          <w:lang w:val="en-GB"/>
        </w:rPr>
      </w:pPr>
      <w:r w:rsidRPr="004A7284">
        <w:rPr>
          <w:rFonts w:cstheme="minorHAnsi"/>
          <w:lang w:val="en-GB"/>
        </w:rPr>
        <w:t xml:space="preserve">Public Health England (2021). Monitoring alcohol consumption and harm during the COVID-19 pandemic. Accessed 22/3/2022 at </w:t>
      </w:r>
      <w:hyperlink r:id="rId13" w:history="1">
        <w:r w:rsidRPr="004A7284">
          <w:rPr>
            <w:rStyle w:val="Hyperlink"/>
            <w:rFonts w:cstheme="minorHAnsi"/>
            <w:lang w:val="en-GB"/>
          </w:rPr>
          <w:t>https://assets.publishing.service.gov.uk/government/uploads/system/uploads/attachment_data/file/1002627/Alcohol_and_COVID_report.pdf</w:t>
        </w:r>
      </w:hyperlink>
    </w:p>
    <w:p w14:paraId="3D56DF6D" w14:textId="77777777" w:rsidR="006E595C" w:rsidRPr="004A7284" w:rsidRDefault="006E595C" w:rsidP="006E595C">
      <w:pPr>
        <w:pStyle w:val="ListParagraph"/>
        <w:numPr>
          <w:ilvl w:val="0"/>
          <w:numId w:val="11"/>
        </w:numPr>
        <w:rPr>
          <w:rFonts w:cstheme="minorHAnsi"/>
          <w:lang w:val="en-GB"/>
        </w:rPr>
      </w:pPr>
      <w:proofErr w:type="spellStart"/>
      <w:r w:rsidRPr="004A7284">
        <w:rPr>
          <w:rFonts w:cstheme="minorHAnsi"/>
          <w:lang w:val="en-GB"/>
        </w:rPr>
        <w:t>Schuckit</w:t>
      </w:r>
      <w:proofErr w:type="spellEnd"/>
      <w:r w:rsidRPr="004A7284">
        <w:rPr>
          <w:rFonts w:cstheme="minorHAnsi"/>
          <w:lang w:val="en-GB"/>
        </w:rPr>
        <w:t xml:space="preserve"> MA. Alcohol-use disorders. </w:t>
      </w:r>
      <w:r w:rsidRPr="004A7284">
        <w:rPr>
          <w:rFonts w:cstheme="minorHAnsi"/>
          <w:i/>
          <w:iCs/>
          <w:lang w:val="en-GB"/>
        </w:rPr>
        <w:t>The Lancet</w:t>
      </w:r>
      <w:r w:rsidRPr="004A7284">
        <w:rPr>
          <w:rFonts w:cstheme="minorHAnsi"/>
          <w:lang w:val="en-GB"/>
        </w:rPr>
        <w:t>. 2009;373(9662):492–501.</w:t>
      </w:r>
    </w:p>
    <w:p w14:paraId="48C61E95" w14:textId="77777777" w:rsidR="006E595C" w:rsidRPr="004A7284" w:rsidRDefault="006E595C" w:rsidP="006E595C">
      <w:pPr>
        <w:pStyle w:val="ListParagraph"/>
        <w:numPr>
          <w:ilvl w:val="0"/>
          <w:numId w:val="11"/>
        </w:numPr>
        <w:rPr>
          <w:rFonts w:cstheme="minorHAnsi"/>
          <w:lang w:val="en-GB"/>
        </w:rPr>
      </w:pPr>
      <w:proofErr w:type="spellStart"/>
      <w:r w:rsidRPr="004A7284">
        <w:rPr>
          <w:rFonts w:cstheme="minorHAnsi"/>
          <w:lang w:val="en-GB"/>
        </w:rPr>
        <w:t>Deehan</w:t>
      </w:r>
      <w:proofErr w:type="spellEnd"/>
      <w:r w:rsidRPr="004A7284">
        <w:rPr>
          <w:rFonts w:cstheme="minorHAnsi"/>
          <w:lang w:val="en-GB"/>
        </w:rPr>
        <w:t xml:space="preserve"> A, Templeton L, Taylor C, et al. Low detection rates, negative attitudes and the failure to meet the ‘Health of the Nation’ alcohol targets: findings from a national survey of GPs in England and Wales. </w:t>
      </w:r>
      <w:r w:rsidRPr="004A7284">
        <w:rPr>
          <w:rFonts w:cstheme="minorHAnsi"/>
          <w:i/>
          <w:iCs/>
          <w:lang w:val="en-GB"/>
        </w:rPr>
        <w:t>Drug Alcohol Rev</w:t>
      </w:r>
      <w:r w:rsidRPr="004A7284">
        <w:rPr>
          <w:rFonts w:cstheme="minorHAnsi"/>
          <w:lang w:val="en-GB"/>
        </w:rPr>
        <w:t xml:space="preserve"> </w:t>
      </w:r>
      <w:proofErr w:type="gramStart"/>
      <w:r w:rsidRPr="004A7284">
        <w:rPr>
          <w:rFonts w:cstheme="minorHAnsi"/>
          <w:lang w:val="en-GB"/>
        </w:rPr>
        <w:t>1998;17:249</w:t>
      </w:r>
      <w:proofErr w:type="gramEnd"/>
      <w:r w:rsidRPr="004A7284">
        <w:rPr>
          <w:rFonts w:cstheme="minorHAnsi"/>
          <w:lang w:val="en-GB"/>
        </w:rPr>
        <w:t>–58.</w:t>
      </w:r>
    </w:p>
    <w:p w14:paraId="739006A1" w14:textId="77777777" w:rsidR="006E595C" w:rsidRPr="004A7284" w:rsidRDefault="006E595C" w:rsidP="006E595C">
      <w:pPr>
        <w:pStyle w:val="ListParagraph"/>
        <w:numPr>
          <w:ilvl w:val="0"/>
          <w:numId w:val="11"/>
        </w:numPr>
        <w:jc w:val="both"/>
        <w:rPr>
          <w:rFonts w:cstheme="minorHAnsi"/>
          <w:lang w:val="en-GB"/>
        </w:rPr>
      </w:pPr>
      <w:r w:rsidRPr="004A7284">
        <w:rPr>
          <w:rFonts w:cstheme="minorHAnsi"/>
          <w:lang w:val="en-GB"/>
        </w:rPr>
        <w:t xml:space="preserve">Cheeta S, Drummond C, </w:t>
      </w:r>
      <w:proofErr w:type="spellStart"/>
      <w:r w:rsidRPr="004A7284">
        <w:rPr>
          <w:rFonts w:cstheme="minorHAnsi"/>
          <w:lang w:val="en-GB"/>
        </w:rPr>
        <w:t>Oyefeso</w:t>
      </w:r>
      <w:proofErr w:type="spellEnd"/>
      <w:r w:rsidRPr="004A7284">
        <w:rPr>
          <w:rFonts w:cstheme="minorHAnsi"/>
          <w:lang w:val="en-GB"/>
        </w:rPr>
        <w:t xml:space="preserve"> A, et al. Low identification of alcohol use disorders in general practice in England. </w:t>
      </w:r>
      <w:r w:rsidRPr="004A7284">
        <w:rPr>
          <w:rFonts w:cstheme="minorHAnsi"/>
          <w:i/>
          <w:iCs/>
          <w:lang w:val="en-GB"/>
        </w:rPr>
        <w:t>Addiction</w:t>
      </w:r>
      <w:r w:rsidRPr="004A7284">
        <w:rPr>
          <w:rFonts w:cstheme="minorHAnsi"/>
          <w:lang w:val="en-GB"/>
        </w:rPr>
        <w:t xml:space="preserve"> </w:t>
      </w:r>
      <w:proofErr w:type="gramStart"/>
      <w:r w:rsidRPr="004A7284">
        <w:rPr>
          <w:rFonts w:cstheme="minorHAnsi"/>
          <w:lang w:val="en-GB"/>
        </w:rPr>
        <w:t>2008;103:766</w:t>
      </w:r>
      <w:proofErr w:type="gramEnd"/>
      <w:r w:rsidRPr="004A7284">
        <w:rPr>
          <w:rFonts w:cstheme="minorHAnsi"/>
          <w:lang w:val="en-GB"/>
        </w:rPr>
        <w:t>-773.</w:t>
      </w:r>
    </w:p>
    <w:p w14:paraId="775B39C8" w14:textId="77777777" w:rsidR="006E595C" w:rsidRPr="004A7284" w:rsidRDefault="006E595C" w:rsidP="006E595C">
      <w:pPr>
        <w:pStyle w:val="ListParagraph"/>
        <w:numPr>
          <w:ilvl w:val="0"/>
          <w:numId w:val="11"/>
        </w:numPr>
        <w:jc w:val="both"/>
        <w:rPr>
          <w:rFonts w:cstheme="minorHAnsi"/>
          <w:lang w:val="en-GB"/>
        </w:rPr>
      </w:pPr>
      <w:proofErr w:type="spellStart"/>
      <w:r w:rsidRPr="004A7284">
        <w:rPr>
          <w:rFonts w:cstheme="minorHAnsi"/>
          <w:color w:val="212121"/>
          <w:shd w:val="clear" w:color="auto" w:fill="FFFFFF"/>
          <w:lang w:val="en-GB"/>
        </w:rPr>
        <w:t>Mäkelä</w:t>
      </w:r>
      <w:proofErr w:type="spellEnd"/>
      <w:r w:rsidRPr="004A7284">
        <w:rPr>
          <w:rFonts w:cstheme="minorHAnsi"/>
          <w:color w:val="212121"/>
          <w:shd w:val="clear" w:color="auto" w:fill="FFFFFF"/>
          <w:lang w:val="en-GB"/>
        </w:rPr>
        <w:t xml:space="preserve"> P. Alcohol-related mortality as a function of socio-economic status. </w:t>
      </w:r>
      <w:r w:rsidRPr="004A7284">
        <w:rPr>
          <w:rFonts w:cstheme="minorHAnsi"/>
          <w:i/>
          <w:iCs/>
          <w:color w:val="212121"/>
          <w:shd w:val="clear" w:color="auto" w:fill="FFFFFF"/>
        </w:rPr>
        <w:t>Addiction</w:t>
      </w:r>
      <w:r w:rsidRPr="004A7284">
        <w:rPr>
          <w:rFonts w:cstheme="minorHAnsi"/>
          <w:color w:val="212121"/>
          <w:shd w:val="clear" w:color="auto" w:fill="FFFFFF"/>
        </w:rPr>
        <w:t>. 1999;94(6):867-886.</w:t>
      </w:r>
    </w:p>
    <w:p w14:paraId="01C4B20F" w14:textId="77777777" w:rsidR="006E595C" w:rsidRPr="004A7284" w:rsidRDefault="006E595C" w:rsidP="006E595C">
      <w:pPr>
        <w:pStyle w:val="ListParagraph"/>
        <w:numPr>
          <w:ilvl w:val="0"/>
          <w:numId w:val="11"/>
        </w:numPr>
        <w:rPr>
          <w:rFonts w:cstheme="minorHAnsi"/>
          <w:lang w:val="en-GB"/>
        </w:rPr>
      </w:pPr>
      <w:r w:rsidRPr="004A7284">
        <w:rPr>
          <w:rFonts w:cstheme="minorHAnsi"/>
        </w:rPr>
        <w:t xml:space="preserve">Silveira CM, Siu ER, Anthony JC, et al. </w:t>
      </w:r>
      <w:r w:rsidRPr="004A7284">
        <w:rPr>
          <w:rFonts w:cstheme="minorHAnsi"/>
          <w:lang w:val="en-GB"/>
        </w:rPr>
        <w:t xml:space="preserve">Drinking Patterns and Alcohol Use Disorders in São Paulo, Brazil: The Role of </w:t>
      </w:r>
      <w:proofErr w:type="spellStart"/>
      <w:r w:rsidRPr="004A7284">
        <w:rPr>
          <w:rFonts w:cstheme="minorHAnsi"/>
          <w:lang w:val="en-GB"/>
        </w:rPr>
        <w:t>Neighborhood</w:t>
      </w:r>
      <w:proofErr w:type="spellEnd"/>
      <w:r w:rsidRPr="004A7284">
        <w:rPr>
          <w:rFonts w:cstheme="minorHAnsi"/>
          <w:lang w:val="en-GB"/>
        </w:rPr>
        <w:t xml:space="preserve"> Social Deprivation and Socioeconomic Status. </w:t>
      </w:r>
      <w:proofErr w:type="spellStart"/>
      <w:r w:rsidRPr="004A7284">
        <w:rPr>
          <w:rFonts w:cstheme="minorHAnsi"/>
          <w:i/>
          <w:iCs/>
          <w:lang w:val="en-GB"/>
        </w:rPr>
        <w:t>PLoS</w:t>
      </w:r>
      <w:proofErr w:type="spellEnd"/>
      <w:r w:rsidRPr="004A7284">
        <w:rPr>
          <w:rFonts w:cstheme="minorHAnsi"/>
          <w:i/>
          <w:iCs/>
          <w:lang w:val="en-GB"/>
        </w:rPr>
        <w:t xml:space="preserve"> ONE</w:t>
      </w:r>
      <w:r w:rsidRPr="004A7284">
        <w:rPr>
          <w:rFonts w:cstheme="minorHAnsi"/>
          <w:lang w:val="en-GB"/>
        </w:rPr>
        <w:t xml:space="preserve"> 2014;9(10</w:t>
      </w:r>
      <w:proofErr w:type="gramStart"/>
      <w:r w:rsidRPr="004A7284">
        <w:rPr>
          <w:rFonts w:cstheme="minorHAnsi"/>
          <w:lang w:val="en-GB"/>
        </w:rPr>
        <w:t>):e</w:t>
      </w:r>
      <w:proofErr w:type="gramEnd"/>
      <w:r w:rsidRPr="004A7284">
        <w:rPr>
          <w:rFonts w:cstheme="minorHAnsi"/>
          <w:lang w:val="en-GB"/>
        </w:rPr>
        <w:t xml:space="preserve">108355. </w:t>
      </w:r>
    </w:p>
    <w:p w14:paraId="71EF9B6C" w14:textId="77777777" w:rsidR="006E595C" w:rsidRPr="004A7284" w:rsidRDefault="006E595C" w:rsidP="006E595C">
      <w:pPr>
        <w:pStyle w:val="ListParagraph"/>
        <w:numPr>
          <w:ilvl w:val="0"/>
          <w:numId w:val="11"/>
        </w:numPr>
        <w:rPr>
          <w:rFonts w:cstheme="minorHAnsi"/>
          <w:lang w:val="en-GB"/>
        </w:rPr>
      </w:pPr>
      <w:r w:rsidRPr="004A7284">
        <w:rPr>
          <w:rFonts w:cstheme="minorHAnsi"/>
          <w:color w:val="212121"/>
          <w:shd w:val="clear" w:color="auto" w:fill="FFFFFF"/>
          <w:lang w:val="es-ES"/>
        </w:rPr>
        <w:t xml:space="preserve">van </w:t>
      </w:r>
      <w:proofErr w:type="spellStart"/>
      <w:r w:rsidRPr="004A7284">
        <w:rPr>
          <w:rFonts w:cstheme="minorHAnsi"/>
          <w:color w:val="212121"/>
          <w:shd w:val="clear" w:color="auto" w:fill="FFFFFF"/>
          <w:lang w:val="es-ES"/>
        </w:rPr>
        <w:t>Oers</w:t>
      </w:r>
      <w:proofErr w:type="spellEnd"/>
      <w:r w:rsidRPr="004A7284">
        <w:rPr>
          <w:rFonts w:cstheme="minorHAnsi"/>
          <w:color w:val="212121"/>
          <w:shd w:val="clear" w:color="auto" w:fill="FFFFFF"/>
          <w:lang w:val="es-ES"/>
        </w:rPr>
        <w:t xml:space="preserve"> JA, </w:t>
      </w:r>
      <w:proofErr w:type="spellStart"/>
      <w:r w:rsidRPr="004A7284">
        <w:rPr>
          <w:rFonts w:cstheme="minorHAnsi"/>
          <w:color w:val="212121"/>
          <w:shd w:val="clear" w:color="auto" w:fill="FFFFFF"/>
          <w:lang w:val="es-ES"/>
        </w:rPr>
        <w:t>Bongers</w:t>
      </w:r>
      <w:proofErr w:type="spellEnd"/>
      <w:r w:rsidRPr="004A7284">
        <w:rPr>
          <w:rFonts w:cstheme="minorHAnsi"/>
          <w:color w:val="212121"/>
          <w:shd w:val="clear" w:color="auto" w:fill="FFFFFF"/>
          <w:lang w:val="es-ES"/>
        </w:rPr>
        <w:t xml:space="preserve"> IM, van de </w:t>
      </w:r>
      <w:proofErr w:type="spellStart"/>
      <w:r w:rsidRPr="004A7284">
        <w:rPr>
          <w:rFonts w:cstheme="minorHAnsi"/>
          <w:color w:val="212121"/>
          <w:shd w:val="clear" w:color="auto" w:fill="FFFFFF"/>
          <w:lang w:val="es-ES"/>
        </w:rPr>
        <w:t>Goor</w:t>
      </w:r>
      <w:proofErr w:type="spellEnd"/>
      <w:r w:rsidRPr="004A7284">
        <w:rPr>
          <w:rFonts w:cstheme="minorHAnsi"/>
          <w:color w:val="212121"/>
          <w:shd w:val="clear" w:color="auto" w:fill="FFFFFF"/>
          <w:lang w:val="es-ES"/>
        </w:rPr>
        <w:t xml:space="preserve"> LA, et al. </w:t>
      </w:r>
      <w:r w:rsidRPr="004A7284">
        <w:rPr>
          <w:rFonts w:cstheme="minorHAnsi"/>
          <w:color w:val="212121"/>
          <w:shd w:val="clear" w:color="auto" w:fill="FFFFFF"/>
          <w:lang w:val="en-GB"/>
        </w:rPr>
        <w:t>Alcohol consumption, alcohol-related problems, problem drinking, and socioeconomic status. </w:t>
      </w:r>
      <w:r w:rsidRPr="004A7284">
        <w:rPr>
          <w:rFonts w:cstheme="minorHAnsi"/>
          <w:i/>
          <w:iCs/>
          <w:color w:val="212121"/>
          <w:shd w:val="clear" w:color="auto" w:fill="FFFFFF"/>
        </w:rPr>
        <w:t>Alcohol Alcohol</w:t>
      </w:r>
      <w:r w:rsidRPr="004A7284">
        <w:rPr>
          <w:rFonts w:cstheme="minorHAnsi"/>
          <w:color w:val="212121"/>
          <w:shd w:val="clear" w:color="auto" w:fill="FFFFFF"/>
        </w:rPr>
        <w:t>. 1999;34(1):78-88. </w:t>
      </w:r>
    </w:p>
    <w:p w14:paraId="102A845D" w14:textId="77777777" w:rsidR="006E595C" w:rsidRPr="004A7284" w:rsidRDefault="006E595C" w:rsidP="006E595C">
      <w:pPr>
        <w:pStyle w:val="ListParagraph"/>
        <w:numPr>
          <w:ilvl w:val="0"/>
          <w:numId w:val="11"/>
        </w:numPr>
        <w:rPr>
          <w:rFonts w:cstheme="minorHAnsi"/>
          <w:lang w:val="en-GB"/>
        </w:rPr>
      </w:pPr>
      <w:r w:rsidRPr="004A7284">
        <w:rPr>
          <w:rFonts w:cstheme="minorHAnsi"/>
          <w:lang w:val="en-GB"/>
        </w:rPr>
        <w:t xml:space="preserve">Thompson A, Ashcroft DM, Owens L, et al. Drug therapy for alcohol dependence in primary care in the UK: A Clinical Practice Research Datalink study. </w:t>
      </w:r>
      <w:proofErr w:type="spellStart"/>
      <w:r w:rsidRPr="004A7284">
        <w:rPr>
          <w:rFonts w:cstheme="minorHAnsi"/>
          <w:lang w:val="en-GB"/>
        </w:rPr>
        <w:t>PLoS</w:t>
      </w:r>
      <w:proofErr w:type="spellEnd"/>
      <w:r w:rsidRPr="004A7284">
        <w:rPr>
          <w:rFonts w:cstheme="minorHAnsi"/>
          <w:lang w:val="en-GB"/>
        </w:rPr>
        <w:t xml:space="preserve"> ONE 2017;12(3): e0173272.</w:t>
      </w:r>
    </w:p>
    <w:p w14:paraId="4A248D38" w14:textId="77777777" w:rsidR="006E595C" w:rsidRPr="004A7284" w:rsidRDefault="006E595C" w:rsidP="006E595C">
      <w:pPr>
        <w:pStyle w:val="ListParagraph"/>
        <w:numPr>
          <w:ilvl w:val="0"/>
          <w:numId w:val="11"/>
        </w:numPr>
        <w:rPr>
          <w:rFonts w:cstheme="minorHAnsi"/>
          <w:lang w:val="en-GB"/>
        </w:rPr>
      </w:pPr>
      <w:r w:rsidRPr="004A7284">
        <w:rPr>
          <w:lang w:val="en-GB"/>
        </w:rPr>
        <w:t xml:space="preserve">Public Health England. Wider Impacts of COVID-19 on Health (WICH) monitoring tool. Accessed 14/11/2022 at </w:t>
      </w:r>
      <w:hyperlink r:id="rId14" w:history="1">
        <w:r w:rsidRPr="004A7284">
          <w:rPr>
            <w:rStyle w:val="Hyperlink"/>
            <w:lang w:val="en-GB"/>
          </w:rPr>
          <w:t>https://analytics.phe.gov.uk/apps/covid-19-indirect-effects/</w:t>
        </w:r>
      </w:hyperlink>
      <w:r w:rsidRPr="004A7284">
        <w:rPr>
          <w:lang w:val="en-GB"/>
        </w:rPr>
        <w:t xml:space="preserve"> </w:t>
      </w:r>
    </w:p>
    <w:p w14:paraId="774A8857" w14:textId="77777777" w:rsidR="006E595C" w:rsidRPr="004A7284" w:rsidRDefault="006E595C" w:rsidP="006E595C">
      <w:pPr>
        <w:pStyle w:val="ListParagraph"/>
        <w:numPr>
          <w:ilvl w:val="0"/>
          <w:numId w:val="11"/>
        </w:numPr>
        <w:rPr>
          <w:rFonts w:cstheme="minorHAnsi"/>
          <w:lang w:val="en-GB"/>
        </w:rPr>
      </w:pPr>
      <w:r w:rsidRPr="004A7284">
        <w:rPr>
          <w:rFonts w:cstheme="minorHAnsi"/>
          <w:lang w:val="en-GB"/>
        </w:rPr>
        <w:t xml:space="preserve">Public Health England: Alcohol dependence prevalence in England. Accessed 14/11/2022 at </w:t>
      </w:r>
      <w:hyperlink r:id="rId15" w:history="1">
        <w:r w:rsidRPr="004A7284">
          <w:rPr>
            <w:rStyle w:val="Hyperlink"/>
            <w:rFonts w:cstheme="minorHAnsi"/>
            <w:lang w:val="en-GB"/>
          </w:rPr>
          <w:t>https://www.gov.uk/government/publications/alcohol-dependence-prevalence-in-england</w:t>
        </w:r>
      </w:hyperlink>
      <w:r w:rsidRPr="004A7284">
        <w:rPr>
          <w:rFonts w:cstheme="minorHAnsi"/>
          <w:lang w:val="en-GB"/>
        </w:rPr>
        <w:t xml:space="preserve">   </w:t>
      </w:r>
    </w:p>
    <w:p w14:paraId="015D5A22" w14:textId="77777777" w:rsidR="006E595C" w:rsidRPr="004A7284" w:rsidRDefault="006E595C" w:rsidP="006E595C">
      <w:pPr>
        <w:pStyle w:val="ListParagraph"/>
        <w:numPr>
          <w:ilvl w:val="0"/>
          <w:numId w:val="11"/>
        </w:numPr>
        <w:rPr>
          <w:rFonts w:cstheme="minorHAnsi"/>
          <w:lang w:val="en-GB"/>
        </w:rPr>
      </w:pPr>
      <w:r w:rsidRPr="004A7284">
        <w:rPr>
          <w:rFonts w:cstheme="minorHAnsi"/>
          <w:lang w:val="en-GB"/>
        </w:rPr>
        <w:t xml:space="preserve">Liverpool City Council (2019). The Index of Multiple Deprivation 2019 A Liverpool analysis. Accessed 16/8/2021 at </w:t>
      </w:r>
      <w:hyperlink r:id="rId16" w:history="1">
        <w:r w:rsidRPr="004A7284">
          <w:rPr>
            <w:rStyle w:val="Hyperlink"/>
            <w:rFonts w:cstheme="minorHAnsi"/>
            <w:lang w:val="en-GB"/>
          </w:rPr>
          <w:t>https://liverpool.gov.uk/media/1359213/imd-2019-liverpool-analysis-main-report.pdf</w:t>
        </w:r>
      </w:hyperlink>
      <w:r w:rsidRPr="004A7284">
        <w:rPr>
          <w:rFonts w:cstheme="minorHAnsi"/>
          <w:lang w:val="en-GB"/>
        </w:rPr>
        <w:t xml:space="preserve">  </w:t>
      </w:r>
    </w:p>
    <w:p w14:paraId="75578CCF" w14:textId="24AB5A36" w:rsidR="006E595C" w:rsidRPr="004A7284" w:rsidRDefault="006E595C" w:rsidP="006E595C">
      <w:pPr>
        <w:pStyle w:val="ListParagraph"/>
        <w:numPr>
          <w:ilvl w:val="0"/>
          <w:numId w:val="11"/>
        </w:numPr>
        <w:jc w:val="both"/>
        <w:rPr>
          <w:rFonts w:cstheme="minorHAnsi"/>
          <w:lang w:val="en-GB"/>
        </w:rPr>
      </w:pPr>
      <w:r w:rsidRPr="004A7284">
        <w:rPr>
          <w:rFonts w:cstheme="minorHAnsi"/>
          <w:lang w:val="en-GB"/>
        </w:rPr>
        <w:t xml:space="preserve">Thompson A, Wright AK, Ashcroft DM, et al. Epidemiology of alcohol dependence in UK primary care: Results from a large observational study using the Clinical Practice Research Datalink. </w:t>
      </w:r>
      <w:proofErr w:type="spellStart"/>
      <w:r w:rsidRPr="004A7284">
        <w:rPr>
          <w:rFonts w:cstheme="minorHAnsi"/>
          <w:i/>
          <w:iCs/>
          <w:lang w:val="en-GB"/>
        </w:rPr>
        <w:t>PLoS</w:t>
      </w:r>
      <w:proofErr w:type="spellEnd"/>
      <w:r w:rsidRPr="004A7284">
        <w:rPr>
          <w:rFonts w:cstheme="minorHAnsi"/>
          <w:i/>
          <w:iCs/>
          <w:lang w:val="en-GB"/>
        </w:rPr>
        <w:t xml:space="preserve"> ONE</w:t>
      </w:r>
      <w:r w:rsidRPr="004A7284">
        <w:rPr>
          <w:rFonts w:cstheme="minorHAnsi"/>
          <w:lang w:val="en-GB"/>
        </w:rPr>
        <w:t xml:space="preserve"> 2017;12(3</w:t>
      </w:r>
      <w:proofErr w:type="gramStart"/>
      <w:r w:rsidRPr="004A7284">
        <w:rPr>
          <w:rFonts w:cstheme="minorHAnsi"/>
          <w:lang w:val="en-GB"/>
        </w:rPr>
        <w:t>):</w:t>
      </w:r>
      <w:r w:rsidRPr="004A7284">
        <w:rPr>
          <w:rFonts w:cstheme="minorHAnsi"/>
          <w:color w:val="212121"/>
          <w:shd w:val="clear" w:color="auto" w:fill="FFFFFF"/>
        </w:rPr>
        <w:t>e</w:t>
      </w:r>
      <w:proofErr w:type="gramEnd"/>
      <w:r w:rsidRPr="004A7284">
        <w:rPr>
          <w:rFonts w:cstheme="minorHAnsi"/>
          <w:color w:val="212121"/>
          <w:shd w:val="clear" w:color="auto" w:fill="FFFFFF"/>
        </w:rPr>
        <w:t>0174818</w:t>
      </w:r>
      <w:r w:rsidRPr="004A7284">
        <w:rPr>
          <w:rFonts w:cstheme="minorHAnsi"/>
          <w:lang w:val="en-GB"/>
        </w:rPr>
        <w:t>.</w:t>
      </w:r>
    </w:p>
    <w:p w14:paraId="710DC8D4" w14:textId="1FB164E1" w:rsidR="005225D6" w:rsidRPr="004A7284" w:rsidRDefault="005225D6" w:rsidP="007777A5">
      <w:pPr>
        <w:pStyle w:val="ListParagraph"/>
        <w:numPr>
          <w:ilvl w:val="0"/>
          <w:numId w:val="11"/>
        </w:numPr>
        <w:rPr>
          <w:rFonts w:cstheme="minorHAnsi"/>
          <w:lang w:val="en-GB"/>
        </w:rPr>
      </w:pPr>
      <w:r w:rsidRPr="004A7284">
        <w:rPr>
          <w:rFonts w:cstheme="minorHAnsi"/>
          <w:lang w:val="en-GB"/>
        </w:rPr>
        <w:t xml:space="preserve">RStudio Team (2022). RStudio: Integrated Development Environment for R. RStudio, PBC, Boston, MA. </w:t>
      </w:r>
    </w:p>
    <w:p w14:paraId="7377DB89" w14:textId="3D288A09" w:rsidR="00B76697" w:rsidRPr="004A7284" w:rsidRDefault="00B76697" w:rsidP="007777A5">
      <w:pPr>
        <w:pStyle w:val="ListParagraph"/>
        <w:numPr>
          <w:ilvl w:val="0"/>
          <w:numId w:val="11"/>
        </w:numPr>
        <w:rPr>
          <w:rFonts w:cstheme="minorHAnsi"/>
          <w:lang w:val="en-GB"/>
        </w:rPr>
      </w:pPr>
      <w:r w:rsidRPr="004A7284">
        <w:rPr>
          <w:rFonts w:cstheme="minorHAnsi"/>
          <w:lang w:val="en-GB"/>
        </w:rPr>
        <w:t>ICD-10. The ICD-10 Classification of Mental and Behavioural Disorders: Diagnostic Criteria for Research</w:t>
      </w:r>
      <w:r w:rsidR="00C95A00" w:rsidRPr="004A7284">
        <w:rPr>
          <w:rFonts w:cstheme="minorHAnsi"/>
          <w:lang w:val="en-GB"/>
        </w:rPr>
        <w:t xml:space="preserve">. </w:t>
      </w:r>
      <w:r w:rsidRPr="004A7284">
        <w:rPr>
          <w:rFonts w:cstheme="minorHAnsi"/>
          <w:lang w:val="en-GB"/>
        </w:rPr>
        <w:t>Geneva: World Health Organization, 1993.</w:t>
      </w:r>
    </w:p>
    <w:p w14:paraId="56A54A0D" w14:textId="55FBC364" w:rsidR="00D82197" w:rsidRPr="004A7284" w:rsidRDefault="00D82197" w:rsidP="007777A5">
      <w:pPr>
        <w:pStyle w:val="ListParagraph"/>
        <w:numPr>
          <w:ilvl w:val="0"/>
          <w:numId w:val="11"/>
        </w:numPr>
        <w:rPr>
          <w:rFonts w:cstheme="minorHAnsi"/>
          <w:lang w:val="en-GB"/>
        </w:rPr>
      </w:pPr>
      <w:r w:rsidRPr="004A7284">
        <w:rPr>
          <w:rFonts w:cstheme="minorHAnsi"/>
          <w:lang w:val="en-GB"/>
        </w:rPr>
        <w:t xml:space="preserve">Lin L, Xu C. Arcsine-based transformations for meta-analysis of proportions: Pros, cons, and alternatives. </w:t>
      </w:r>
      <w:r w:rsidRPr="004A7284">
        <w:rPr>
          <w:rFonts w:cstheme="minorHAnsi"/>
          <w:i/>
          <w:iCs/>
          <w:lang w:val="en-GB"/>
        </w:rPr>
        <w:t>Health Sci Rep</w:t>
      </w:r>
      <w:r w:rsidRPr="004A7284">
        <w:rPr>
          <w:rFonts w:cstheme="minorHAnsi"/>
          <w:lang w:val="en-GB"/>
        </w:rPr>
        <w:t>. 2020;3(3</w:t>
      </w:r>
      <w:proofErr w:type="gramStart"/>
      <w:r w:rsidRPr="004A7284">
        <w:rPr>
          <w:rFonts w:cstheme="minorHAnsi"/>
          <w:lang w:val="en-GB"/>
        </w:rPr>
        <w:t>):e</w:t>
      </w:r>
      <w:proofErr w:type="gramEnd"/>
      <w:r w:rsidRPr="004A7284">
        <w:rPr>
          <w:rFonts w:cstheme="minorHAnsi"/>
          <w:lang w:val="en-GB"/>
        </w:rPr>
        <w:t>178.</w:t>
      </w:r>
    </w:p>
    <w:p w14:paraId="3683AB85" w14:textId="701306AF" w:rsidR="001F4616" w:rsidRPr="004A7284" w:rsidRDefault="001F4616" w:rsidP="007777A5">
      <w:pPr>
        <w:pStyle w:val="ListParagraph"/>
        <w:numPr>
          <w:ilvl w:val="0"/>
          <w:numId w:val="11"/>
        </w:numPr>
        <w:rPr>
          <w:rFonts w:cstheme="minorHAnsi"/>
          <w:lang w:val="en-GB"/>
        </w:rPr>
      </w:pPr>
      <w:proofErr w:type="spellStart"/>
      <w:r w:rsidRPr="004A7284">
        <w:rPr>
          <w:rFonts w:cstheme="minorHAnsi"/>
          <w:lang w:val="en-GB"/>
        </w:rPr>
        <w:t>Manthey</w:t>
      </w:r>
      <w:proofErr w:type="spellEnd"/>
      <w:r w:rsidRPr="004A7284">
        <w:rPr>
          <w:rFonts w:cstheme="minorHAnsi"/>
          <w:lang w:val="en-GB"/>
        </w:rPr>
        <w:t xml:space="preserve"> J, Shield KD, </w:t>
      </w:r>
      <w:proofErr w:type="spellStart"/>
      <w:r w:rsidRPr="004A7284">
        <w:rPr>
          <w:rFonts w:cstheme="minorHAnsi"/>
          <w:lang w:val="en-GB"/>
        </w:rPr>
        <w:t>Rylett</w:t>
      </w:r>
      <w:proofErr w:type="spellEnd"/>
      <w:r w:rsidRPr="004A7284">
        <w:rPr>
          <w:rFonts w:cstheme="minorHAnsi"/>
          <w:lang w:val="en-GB"/>
        </w:rPr>
        <w:t xml:space="preserve"> M, </w:t>
      </w:r>
      <w:r w:rsidR="00215B3B" w:rsidRPr="004A7284">
        <w:rPr>
          <w:rFonts w:cstheme="minorHAnsi"/>
          <w:lang w:val="en-GB"/>
        </w:rPr>
        <w:t>et al</w:t>
      </w:r>
      <w:r w:rsidRPr="004A7284">
        <w:rPr>
          <w:rFonts w:cstheme="minorHAnsi"/>
          <w:lang w:val="en-GB"/>
        </w:rPr>
        <w:t>. Global alcohol exposure between 1990 and 2017 and forecasts until 2030: a modelling study</w:t>
      </w:r>
      <w:r w:rsidRPr="004A7284">
        <w:rPr>
          <w:rFonts w:cstheme="minorHAnsi"/>
          <w:i/>
          <w:iCs/>
          <w:lang w:val="en-GB"/>
        </w:rPr>
        <w:t>. Lancet</w:t>
      </w:r>
      <w:r w:rsidRPr="004A7284">
        <w:rPr>
          <w:rFonts w:cstheme="minorHAnsi"/>
          <w:lang w:val="en-GB"/>
        </w:rPr>
        <w:t>. 2019;393(10190):2493-2502.</w:t>
      </w:r>
    </w:p>
    <w:p w14:paraId="41231910" w14:textId="1624E879" w:rsidR="001909D5" w:rsidRPr="004A7284" w:rsidRDefault="001909D5" w:rsidP="007777A5">
      <w:pPr>
        <w:pStyle w:val="ListParagraph"/>
        <w:numPr>
          <w:ilvl w:val="0"/>
          <w:numId w:val="11"/>
        </w:numPr>
        <w:rPr>
          <w:rFonts w:cstheme="minorHAnsi"/>
          <w:lang w:val="en-GB"/>
        </w:rPr>
      </w:pPr>
      <w:r w:rsidRPr="004A7284">
        <w:rPr>
          <w:rFonts w:cstheme="minorHAnsi"/>
          <w:lang w:val="en-GB"/>
        </w:rPr>
        <w:t xml:space="preserve">NICE. Alcohol-use disorders: diagnosis, assessment and management if harmful drinking (high-risk drinking) and alcohol dependence; 2011. Accessed 15/11/2022 at </w:t>
      </w:r>
      <w:hyperlink r:id="rId17" w:history="1">
        <w:r w:rsidR="005225D6" w:rsidRPr="004A7284">
          <w:rPr>
            <w:rStyle w:val="Hyperlink"/>
            <w:rFonts w:cstheme="minorHAnsi"/>
            <w:lang w:val="en-GB"/>
          </w:rPr>
          <w:t>https://www.nice.org.uk/guidance/cg115</w:t>
        </w:r>
      </w:hyperlink>
      <w:r w:rsidRPr="004A7284">
        <w:rPr>
          <w:rFonts w:cstheme="minorHAnsi"/>
          <w:lang w:val="en-GB"/>
        </w:rPr>
        <w:t xml:space="preserve"> </w:t>
      </w:r>
    </w:p>
    <w:p w14:paraId="4EE0F831" w14:textId="1860F863" w:rsidR="00930EEA" w:rsidRPr="004A7284" w:rsidRDefault="00B52AE8" w:rsidP="001909D5">
      <w:pPr>
        <w:pStyle w:val="ListParagraph"/>
        <w:numPr>
          <w:ilvl w:val="0"/>
          <w:numId w:val="11"/>
        </w:numPr>
        <w:rPr>
          <w:rFonts w:cstheme="minorHAnsi"/>
          <w:lang w:val="en-GB"/>
        </w:rPr>
      </w:pPr>
      <w:proofErr w:type="spellStart"/>
      <w:r w:rsidRPr="004A7284">
        <w:rPr>
          <w:rFonts w:cstheme="minorHAnsi"/>
          <w:lang w:val="es-ES"/>
        </w:rPr>
        <w:t>Jonas</w:t>
      </w:r>
      <w:proofErr w:type="spellEnd"/>
      <w:r w:rsidRPr="004A7284">
        <w:rPr>
          <w:rFonts w:cstheme="minorHAnsi"/>
          <w:lang w:val="es-ES"/>
        </w:rPr>
        <w:t xml:space="preserve"> DE, </w:t>
      </w:r>
      <w:proofErr w:type="spellStart"/>
      <w:r w:rsidRPr="004A7284">
        <w:rPr>
          <w:rFonts w:cstheme="minorHAnsi"/>
          <w:lang w:val="es-ES"/>
        </w:rPr>
        <w:t>Amick</w:t>
      </w:r>
      <w:proofErr w:type="spellEnd"/>
      <w:r w:rsidRPr="004A7284">
        <w:rPr>
          <w:rFonts w:cstheme="minorHAnsi"/>
          <w:lang w:val="es-ES"/>
        </w:rPr>
        <w:t xml:space="preserve"> HR, </w:t>
      </w:r>
      <w:proofErr w:type="spellStart"/>
      <w:r w:rsidRPr="004A7284">
        <w:rPr>
          <w:rFonts w:cstheme="minorHAnsi"/>
          <w:lang w:val="es-ES"/>
        </w:rPr>
        <w:t>Feltner</w:t>
      </w:r>
      <w:proofErr w:type="spellEnd"/>
      <w:r w:rsidRPr="004A7284">
        <w:rPr>
          <w:rFonts w:cstheme="minorHAnsi"/>
          <w:lang w:val="es-ES"/>
        </w:rPr>
        <w:t xml:space="preserve"> C, et al. </w:t>
      </w:r>
      <w:r w:rsidRPr="004A7284">
        <w:rPr>
          <w:rFonts w:cstheme="minorHAnsi"/>
          <w:lang w:val="en-GB"/>
        </w:rPr>
        <w:t xml:space="preserve">Pharmacotherapy for adults with alcohol use disorders in outpatient settings: a systematic review and meta-analysis. </w:t>
      </w:r>
      <w:r w:rsidRPr="004A7284">
        <w:rPr>
          <w:rFonts w:cstheme="minorHAnsi"/>
          <w:i/>
          <w:iCs/>
          <w:lang w:val="en-GB"/>
        </w:rPr>
        <w:t>JAMA</w:t>
      </w:r>
      <w:r w:rsidRPr="004A7284">
        <w:rPr>
          <w:rFonts w:cstheme="minorHAnsi"/>
          <w:lang w:val="en-GB"/>
        </w:rPr>
        <w:t xml:space="preserve"> 2014;311(18):1889–900.</w:t>
      </w:r>
    </w:p>
    <w:p w14:paraId="314F4236" w14:textId="3DBD0B22" w:rsidR="00B52AE8" w:rsidRPr="004A7284" w:rsidRDefault="00B52AE8" w:rsidP="001909D5">
      <w:pPr>
        <w:pStyle w:val="ListParagraph"/>
        <w:numPr>
          <w:ilvl w:val="0"/>
          <w:numId w:val="11"/>
        </w:numPr>
        <w:rPr>
          <w:rFonts w:cstheme="minorHAnsi"/>
          <w:lang w:val="en-GB"/>
        </w:rPr>
      </w:pPr>
      <w:r w:rsidRPr="004A7284">
        <w:rPr>
          <w:rFonts w:cstheme="minorHAnsi"/>
        </w:rPr>
        <w:lastRenderedPageBreak/>
        <w:t xml:space="preserve">Mark TL, Montejano LB, Kranzler HR, et al. </w:t>
      </w:r>
      <w:r w:rsidRPr="004A7284">
        <w:rPr>
          <w:rFonts w:cstheme="minorHAnsi"/>
          <w:lang w:val="en-GB"/>
        </w:rPr>
        <w:t xml:space="preserve">Comparison of healthcare utilization among patients treated with alcoholism medications. </w:t>
      </w:r>
      <w:r w:rsidRPr="004A7284">
        <w:rPr>
          <w:rFonts w:cstheme="minorHAnsi"/>
          <w:i/>
          <w:iCs/>
          <w:lang w:val="en-GB"/>
        </w:rPr>
        <w:t>The American Journal of Managed Care</w:t>
      </w:r>
      <w:r w:rsidRPr="004A7284">
        <w:rPr>
          <w:rFonts w:cstheme="minorHAnsi"/>
          <w:lang w:val="en-GB"/>
        </w:rPr>
        <w:t xml:space="preserve"> 2010;16(12):879</w:t>
      </w:r>
      <w:r w:rsidR="002E46E1" w:rsidRPr="004A7284">
        <w:rPr>
          <w:rFonts w:cstheme="minorHAnsi"/>
          <w:lang w:val="en-GB"/>
        </w:rPr>
        <w:t xml:space="preserve">. </w:t>
      </w:r>
    </w:p>
    <w:p w14:paraId="4A577E58" w14:textId="5D8F9F86" w:rsidR="002E46E1" w:rsidRPr="004A7284" w:rsidRDefault="002E46E1" w:rsidP="001909D5">
      <w:pPr>
        <w:pStyle w:val="ListParagraph"/>
        <w:numPr>
          <w:ilvl w:val="0"/>
          <w:numId w:val="11"/>
        </w:numPr>
        <w:rPr>
          <w:rFonts w:cstheme="minorHAnsi"/>
          <w:lang w:val="en-GB"/>
        </w:rPr>
      </w:pPr>
      <w:r w:rsidRPr="004A7284">
        <w:rPr>
          <w:rFonts w:cstheme="minorHAnsi"/>
          <w:lang w:val="en-GB"/>
        </w:rPr>
        <w:t xml:space="preserve">Baser O, Chalk M, Rawson R, et al. Alcohol dependence treatments: comprehensive healthcare costs, utilization outcomes, and pharmacotherapy persistence. </w:t>
      </w:r>
      <w:r w:rsidRPr="004A7284">
        <w:rPr>
          <w:rFonts w:cstheme="minorHAnsi"/>
          <w:i/>
          <w:iCs/>
          <w:lang w:val="en-GB"/>
        </w:rPr>
        <w:t>The American Journal of Managed Care</w:t>
      </w:r>
      <w:r w:rsidRPr="004A7284">
        <w:rPr>
          <w:rFonts w:cstheme="minorHAnsi"/>
          <w:lang w:val="en-GB"/>
        </w:rPr>
        <w:t xml:space="preserve"> 2011;</w:t>
      </w:r>
      <w:proofErr w:type="gramStart"/>
      <w:r w:rsidRPr="004A7284">
        <w:rPr>
          <w:rFonts w:cstheme="minorHAnsi"/>
          <w:lang w:val="en-GB"/>
        </w:rPr>
        <w:t>17:S</w:t>
      </w:r>
      <w:proofErr w:type="gramEnd"/>
      <w:r w:rsidRPr="004A7284">
        <w:rPr>
          <w:rFonts w:cstheme="minorHAnsi"/>
          <w:lang w:val="en-GB"/>
        </w:rPr>
        <w:t>222–34</w:t>
      </w:r>
      <w:r w:rsidR="00361DE7" w:rsidRPr="004A7284">
        <w:rPr>
          <w:rFonts w:cstheme="minorHAnsi"/>
          <w:lang w:val="en-GB"/>
        </w:rPr>
        <w:t xml:space="preserve">. </w:t>
      </w:r>
    </w:p>
    <w:p w14:paraId="3AC1E5D3" w14:textId="77777777" w:rsidR="006E595C" w:rsidRPr="004A7284" w:rsidRDefault="006E595C" w:rsidP="006E595C">
      <w:pPr>
        <w:pStyle w:val="ListParagraph"/>
        <w:numPr>
          <w:ilvl w:val="0"/>
          <w:numId w:val="11"/>
        </w:numPr>
        <w:rPr>
          <w:rFonts w:cstheme="minorHAnsi"/>
          <w:lang w:val="en-GB"/>
        </w:rPr>
      </w:pPr>
      <w:r w:rsidRPr="004A7284">
        <w:rPr>
          <w:rFonts w:cstheme="minorHAnsi"/>
          <w:lang w:val="en-GB"/>
        </w:rPr>
        <w:t xml:space="preserve">NHS digital: Statistics on Alcohol, England 2021. Accessed 14/11/2022 at </w:t>
      </w:r>
      <w:hyperlink r:id="rId18" w:anchor=":~:text=137%20thousand%20items%20of%20Acamprosate,lower%20than%20in%202014%2F15" w:history="1">
        <w:r w:rsidRPr="004A7284">
          <w:rPr>
            <w:rStyle w:val="Hyperlink"/>
            <w:rFonts w:cstheme="minorHAnsi"/>
            <w:lang w:val="en-GB"/>
          </w:rPr>
          <w:t>https://digital.nhs.uk/data-and-information/publications/statistical/statistics-on-alcohol/2021/part-2#:~:text=137%20thousand%20items%20of%20Acamprosate,lower%20than%20in%202014%2F15</w:t>
        </w:r>
      </w:hyperlink>
      <w:r w:rsidRPr="004A7284">
        <w:rPr>
          <w:rFonts w:cstheme="minorHAnsi"/>
          <w:lang w:val="en-GB"/>
        </w:rPr>
        <w:t xml:space="preserve">.   </w:t>
      </w:r>
    </w:p>
    <w:p w14:paraId="3B9AA200" w14:textId="1AD26603" w:rsidR="006E595C" w:rsidRPr="004A7284" w:rsidRDefault="006E595C" w:rsidP="006E595C">
      <w:pPr>
        <w:pStyle w:val="ListParagraph"/>
        <w:numPr>
          <w:ilvl w:val="0"/>
          <w:numId w:val="11"/>
        </w:numPr>
        <w:rPr>
          <w:rFonts w:cstheme="minorHAnsi"/>
          <w:lang w:val="en-GB"/>
        </w:rPr>
      </w:pPr>
      <w:r w:rsidRPr="004A7284">
        <w:rPr>
          <w:rFonts w:cstheme="minorHAnsi"/>
          <w:lang w:val="en-GB"/>
        </w:rPr>
        <w:t xml:space="preserve">NHS digital: Statistics on Alcohol—England, 2015. Accessed 14/11/2022 at </w:t>
      </w:r>
      <w:hyperlink r:id="rId19" w:history="1">
        <w:r w:rsidRPr="004A7284">
          <w:rPr>
            <w:rStyle w:val="Hyperlink"/>
            <w:rFonts w:cstheme="minorHAnsi"/>
            <w:lang w:val="en-GB"/>
          </w:rPr>
          <w:t>https://digital.nhs.uk/data-and-information/publications/statistical/statistics-on-alcohol/2015</w:t>
        </w:r>
      </w:hyperlink>
      <w:r w:rsidRPr="004A7284">
        <w:rPr>
          <w:rFonts w:cstheme="minorHAnsi"/>
          <w:lang w:val="en-GB"/>
        </w:rPr>
        <w:t xml:space="preserve">  </w:t>
      </w:r>
    </w:p>
    <w:p w14:paraId="626940B3" w14:textId="1035863A" w:rsidR="00361DE7" w:rsidRPr="004A7284" w:rsidRDefault="00361DE7" w:rsidP="00361DE7">
      <w:pPr>
        <w:pStyle w:val="ListParagraph"/>
        <w:numPr>
          <w:ilvl w:val="0"/>
          <w:numId w:val="11"/>
        </w:numPr>
        <w:rPr>
          <w:rFonts w:cstheme="minorHAnsi"/>
          <w:lang w:val="en-GB"/>
        </w:rPr>
      </w:pPr>
      <w:proofErr w:type="spellStart"/>
      <w:r w:rsidRPr="004A7284">
        <w:rPr>
          <w:rFonts w:cstheme="minorHAnsi"/>
          <w:color w:val="212121"/>
          <w:shd w:val="clear" w:color="auto" w:fill="FFFFFF"/>
          <w:lang w:val="en-GB"/>
        </w:rPr>
        <w:t>Joudrey</w:t>
      </w:r>
      <w:proofErr w:type="spellEnd"/>
      <w:r w:rsidRPr="004A7284">
        <w:rPr>
          <w:rFonts w:cstheme="minorHAnsi"/>
          <w:color w:val="212121"/>
          <w:shd w:val="clear" w:color="auto" w:fill="FFFFFF"/>
          <w:lang w:val="en-GB"/>
        </w:rPr>
        <w:t xml:space="preserve"> PJ, </w:t>
      </w:r>
      <w:proofErr w:type="spellStart"/>
      <w:r w:rsidRPr="004A7284">
        <w:rPr>
          <w:rFonts w:cstheme="minorHAnsi"/>
          <w:color w:val="212121"/>
          <w:shd w:val="clear" w:color="auto" w:fill="FFFFFF"/>
          <w:lang w:val="en-GB"/>
        </w:rPr>
        <w:t>Kladney</w:t>
      </w:r>
      <w:proofErr w:type="spellEnd"/>
      <w:r w:rsidRPr="004A7284">
        <w:rPr>
          <w:rFonts w:cstheme="minorHAnsi"/>
          <w:color w:val="212121"/>
          <w:shd w:val="clear" w:color="auto" w:fill="FFFFFF"/>
          <w:lang w:val="en-GB"/>
        </w:rPr>
        <w:t xml:space="preserve"> M, Cunningham CO, et al. Primary care engagement is associated with increased pharmacotherapy prescribing for alcohol use disorder (AUD). </w:t>
      </w:r>
      <w:r w:rsidRPr="004A7284">
        <w:rPr>
          <w:rFonts w:cstheme="minorHAnsi"/>
          <w:i/>
          <w:iCs/>
          <w:color w:val="212121"/>
          <w:shd w:val="clear" w:color="auto" w:fill="FFFFFF"/>
        </w:rPr>
        <w:t>Addict Sci Clin Pract</w:t>
      </w:r>
      <w:r w:rsidRPr="004A7284">
        <w:rPr>
          <w:rFonts w:cstheme="minorHAnsi"/>
          <w:color w:val="212121"/>
          <w:shd w:val="clear" w:color="auto" w:fill="FFFFFF"/>
        </w:rPr>
        <w:t>. 2019;14(1):19. </w:t>
      </w:r>
    </w:p>
    <w:p w14:paraId="706B25CD" w14:textId="684430A1" w:rsidR="00DD676E" w:rsidRPr="004A7284" w:rsidRDefault="00DD676E" w:rsidP="00361DE7">
      <w:pPr>
        <w:pStyle w:val="ListParagraph"/>
        <w:numPr>
          <w:ilvl w:val="0"/>
          <w:numId w:val="11"/>
        </w:numPr>
        <w:rPr>
          <w:rFonts w:cstheme="minorHAnsi"/>
          <w:lang w:val="en-GB"/>
        </w:rPr>
      </w:pPr>
      <w:r w:rsidRPr="004A7284">
        <w:rPr>
          <w:rFonts w:cstheme="minorHAnsi"/>
          <w:color w:val="212121"/>
          <w:shd w:val="clear" w:color="auto" w:fill="FFFFFF"/>
        </w:rPr>
        <w:t>Rehm J, Allamani A, Della Vedova R, et al. General practitioners recognizing alcohol dependence: a large cross-sectional study in 6 European countries. </w:t>
      </w:r>
      <w:r w:rsidRPr="004A7284">
        <w:rPr>
          <w:rFonts w:cstheme="minorHAnsi"/>
          <w:i/>
          <w:iCs/>
          <w:color w:val="212121"/>
          <w:shd w:val="clear" w:color="auto" w:fill="FFFFFF"/>
        </w:rPr>
        <w:t>Ann Fam Med</w:t>
      </w:r>
      <w:r w:rsidRPr="004A7284">
        <w:rPr>
          <w:rFonts w:cstheme="minorHAnsi"/>
          <w:color w:val="212121"/>
          <w:shd w:val="clear" w:color="auto" w:fill="FFFFFF"/>
        </w:rPr>
        <w:t>. 2015;13(1):28-32. </w:t>
      </w:r>
    </w:p>
    <w:p w14:paraId="1B0A78F1" w14:textId="138B8A4E" w:rsidR="00DD676E" w:rsidRPr="004A7284" w:rsidRDefault="00DD676E" w:rsidP="00361DE7">
      <w:pPr>
        <w:pStyle w:val="ListParagraph"/>
        <w:numPr>
          <w:ilvl w:val="0"/>
          <w:numId w:val="11"/>
        </w:numPr>
        <w:rPr>
          <w:rFonts w:cstheme="minorHAnsi"/>
          <w:lang w:val="en-GB"/>
        </w:rPr>
      </w:pPr>
      <w:r w:rsidRPr="004A7284">
        <w:rPr>
          <w:rFonts w:cstheme="minorHAnsi"/>
          <w:color w:val="212121"/>
          <w:shd w:val="clear" w:color="auto" w:fill="FFFFFF"/>
        </w:rPr>
        <w:t>Kranzler HR, Soyka M. Diagnosis and Pharmacotherapy of Alcohol Use Disorder: A Review. </w:t>
      </w:r>
      <w:r w:rsidRPr="004A7284">
        <w:rPr>
          <w:rFonts w:cstheme="minorHAnsi"/>
          <w:i/>
          <w:iCs/>
          <w:color w:val="212121"/>
          <w:shd w:val="clear" w:color="auto" w:fill="FFFFFF"/>
        </w:rPr>
        <w:t>JAMA</w:t>
      </w:r>
      <w:r w:rsidRPr="004A7284">
        <w:rPr>
          <w:rFonts w:cstheme="minorHAnsi"/>
          <w:color w:val="212121"/>
          <w:shd w:val="clear" w:color="auto" w:fill="FFFFFF"/>
        </w:rPr>
        <w:t>. 2018;320(8):815-824.</w:t>
      </w:r>
    </w:p>
    <w:p w14:paraId="3AD8F62F" w14:textId="593B0E46" w:rsidR="005870C3" w:rsidRPr="004A7284" w:rsidRDefault="005870C3" w:rsidP="00361DE7">
      <w:pPr>
        <w:pStyle w:val="ListParagraph"/>
        <w:numPr>
          <w:ilvl w:val="0"/>
          <w:numId w:val="11"/>
        </w:numPr>
        <w:rPr>
          <w:rFonts w:cstheme="minorHAnsi"/>
          <w:lang w:val="en-GB"/>
        </w:rPr>
      </w:pPr>
      <w:r w:rsidRPr="004A7284">
        <w:rPr>
          <w:rFonts w:cstheme="minorHAnsi"/>
          <w:lang w:val="en-GB"/>
        </w:rPr>
        <w:t xml:space="preserve">Drummond C, </w:t>
      </w:r>
      <w:proofErr w:type="spellStart"/>
      <w:r w:rsidRPr="004A7284">
        <w:rPr>
          <w:rFonts w:cstheme="minorHAnsi"/>
          <w:lang w:val="en-GB"/>
        </w:rPr>
        <w:t>Gilburt</w:t>
      </w:r>
      <w:proofErr w:type="spellEnd"/>
      <w:r w:rsidRPr="004A7284">
        <w:rPr>
          <w:rFonts w:cstheme="minorHAnsi"/>
          <w:lang w:val="en-GB"/>
        </w:rPr>
        <w:t xml:space="preserve"> H, Burns T, et al. Assertive community treatment for people with alcohol dependence: a pilot randomized controlled trial. </w:t>
      </w:r>
      <w:r w:rsidRPr="004A7284">
        <w:rPr>
          <w:rFonts w:cstheme="minorHAnsi"/>
          <w:i/>
          <w:iCs/>
          <w:lang w:val="en-GB"/>
        </w:rPr>
        <w:t xml:space="preserve">Alcohol </w:t>
      </w:r>
      <w:proofErr w:type="spellStart"/>
      <w:r w:rsidRPr="004A7284">
        <w:rPr>
          <w:rFonts w:cstheme="minorHAnsi"/>
          <w:i/>
          <w:iCs/>
          <w:lang w:val="en-GB"/>
        </w:rPr>
        <w:t>Alcohol</w:t>
      </w:r>
      <w:proofErr w:type="spellEnd"/>
      <w:r w:rsidRPr="004A7284">
        <w:rPr>
          <w:rFonts w:cstheme="minorHAnsi"/>
          <w:lang w:val="en-GB"/>
        </w:rPr>
        <w:t xml:space="preserve"> </w:t>
      </w:r>
      <w:proofErr w:type="gramStart"/>
      <w:r w:rsidRPr="004A7284">
        <w:rPr>
          <w:rFonts w:cstheme="minorHAnsi"/>
          <w:lang w:val="en-GB"/>
        </w:rPr>
        <w:t>2017;52:234</w:t>
      </w:r>
      <w:proofErr w:type="gramEnd"/>
      <w:r w:rsidRPr="004A7284">
        <w:rPr>
          <w:rFonts w:cstheme="minorHAnsi"/>
          <w:lang w:val="en-GB"/>
        </w:rPr>
        <w:t>–41.</w:t>
      </w:r>
    </w:p>
    <w:p w14:paraId="499F7476" w14:textId="06BEFD80" w:rsidR="005870C3" w:rsidRPr="004A7284" w:rsidRDefault="005870C3" w:rsidP="00361DE7">
      <w:pPr>
        <w:pStyle w:val="ListParagraph"/>
        <w:numPr>
          <w:ilvl w:val="0"/>
          <w:numId w:val="11"/>
        </w:numPr>
        <w:rPr>
          <w:rFonts w:cstheme="minorHAnsi"/>
          <w:lang w:val="en-GB"/>
        </w:rPr>
      </w:pPr>
      <w:proofErr w:type="spellStart"/>
      <w:r w:rsidRPr="004A7284">
        <w:rPr>
          <w:rFonts w:cstheme="minorHAnsi"/>
          <w:lang w:val="en-GB"/>
        </w:rPr>
        <w:t>Passetti</w:t>
      </w:r>
      <w:proofErr w:type="spellEnd"/>
      <w:r w:rsidRPr="004A7284">
        <w:rPr>
          <w:rFonts w:cstheme="minorHAnsi"/>
          <w:lang w:val="en-GB"/>
        </w:rPr>
        <w:t xml:space="preserve"> F, Jones G, Chawla K, et al. Pilot study of assertive community treatment methods to engage alcohol-dependent individuals. </w:t>
      </w:r>
      <w:r w:rsidRPr="004A7284">
        <w:rPr>
          <w:rFonts w:cstheme="minorHAnsi"/>
          <w:i/>
          <w:iCs/>
          <w:lang w:val="en-GB"/>
        </w:rPr>
        <w:t xml:space="preserve">Alcohol </w:t>
      </w:r>
      <w:proofErr w:type="spellStart"/>
      <w:r w:rsidRPr="004A7284">
        <w:rPr>
          <w:rFonts w:cstheme="minorHAnsi"/>
          <w:i/>
          <w:iCs/>
          <w:lang w:val="en-GB"/>
        </w:rPr>
        <w:t>Alcohol</w:t>
      </w:r>
      <w:proofErr w:type="spellEnd"/>
      <w:r w:rsidRPr="004A7284">
        <w:rPr>
          <w:rFonts w:cstheme="minorHAnsi"/>
          <w:lang w:val="en-GB"/>
        </w:rPr>
        <w:t xml:space="preserve"> </w:t>
      </w:r>
      <w:proofErr w:type="gramStart"/>
      <w:r w:rsidRPr="004A7284">
        <w:rPr>
          <w:rFonts w:cstheme="minorHAnsi"/>
          <w:lang w:val="en-GB"/>
        </w:rPr>
        <w:t>2008;43:451</w:t>
      </w:r>
      <w:proofErr w:type="gramEnd"/>
      <w:r w:rsidRPr="004A7284">
        <w:rPr>
          <w:rFonts w:cstheme="minorHAnsi"/>
          <w:lang w:val="en-GB"/>
        </w:rPr>
        <w:t>–5.</w:t>
      </w:r>
    </w:p>
    <w:p w14:paraId="680FB9D1" w14:textId="4A0099D7" w:rsidR="00E60A2B" w:rsidRPr="004A7284" w:rsidRDefault="00E60A2B" w:rsidP="00361DE7">
      <w:pPr>
        <w:pStyle w:val="ListParagraph"/>
        <w:numPr>
          <w:ilvl w:val="0"/>
          <w:numId w:val="11"/>
        </w:numPr>
        <w:rPr>
          <w:rFonts w:cstheme="minorHAnsi"/>
          <w:lang w:val="en-GB"/>
        </w:rPr>
      </w:pPr>
      <w:r w:rsidRPr="004A7284">
        <w:rPr>
          <w:rFonts w:cstheme="minorHAnsi"/>
          <w:lang w:val="en-GB"/>
        </w:rPr>
        <w:t>Balakrishnan</w:t>
      </w:r>
      <w:r w:rsidR="00D82197" w:rsidRPr="004A7284">
        <w:rPr>
          <w:rFonts w:cstheme="minorHAnsi"/>
          <w:lang w:val="en-GB"/>
        </w:rPr>
        <w:t xml:space="preserve"> R</w:t>
      </w:r>
      <w:r w:rsidRPr="004A7284">
        <w:rPr>
          <w:rFonts w:cstheme="minorHAnsi"/>
          <w:lang w:val="en-GB"/>
        </w:rPr>
        <w:t>, Allender</w:t>
      </w:r>
      <w:r w:rsidR="00D82197" w:rsidRPr="004A7284">
        <w:rPr>
          <w:rFonts w:cstheme="minorHAnsi"/>
          <w:lang w:val="en-GB"/>
        </w:rPr>
        <w:t xml:space="preserve"> S</w:t>
      </w:r>
      <w:r w:rsidRPr="004A7284">
        <w:rPr>
          <w:rFonts w:cstheme="minorHAnsi"/>
          <w:lang w:val="en-GB"/>
        </w:rPr>
        <w:t>, Scarborough</w:t>
      </w:r>
      <w:r w:rsidR="00D82197" w:rsidRPr="004A7284">
        <w:rPr>
          <w:rFonts w:cstheme="minorHAnsi"/>
          <w:lang w:val="en-GB"/>
        </w:rPr>
        <w:t xml:space="preserve"> P</w:t>
      </w:r>
      <w:r w:rsidRPr="004A7284">
        <w:rPr>
          <w:rFonts w:cstheme="minorHAnsi"/>
          <w:lang w:val="en-GB"/>
        </w:rPr>
        <w:t xml:space="preserve">, </w:t>
      </w:r>
      <w:r w:rsidR="00D82197" w:rsidRPr="004A7284">
        <w:rPr>
          <w:rFonts w:cstheme="minorHAnsi"/>
          <w:lang w:val="en-GB"/>
        </w:rPr>
        <w:t>et al.</w:t>
      </w:r>
      <w:r w:rsidRPr="004A7284">
        <w:rPr>
          <w:rFonts w:cstheme="minorHAnsi"/>
          <w:lang w:val="en-GB"/>
        </w:rPr>
        <w:t xml:space="preserve"> The burden of alcohol-related ill health in the United Kingdom</w:t>
      </w:r>
      <w:r w:rsidR="00D82197" w:rsidRPr="004A7284">
        <w:rPr>
          <w:rFonts w:cstheme="minorHAnsi"/>
          <w:lang w:val="en-GB"/>
        </w:rPr>
        <w:t>.</w:t>
      </w:r>
      <w:r w:rsidRPr="004A7284">
        <w:rPr>
          <w:rFonts w:cstheme="minorHAnsi"/>
          <w:lang w:val="en-GB"/>
        </w:rPr>
        <w:t xml:space="preserve"> </w:t>
      </w:r>
      <w:r w:rsidRPr="004A7284">
        <w:rPr>
          <w:rFonts w:cstheme="minorHAnsi"/>
          <w:i/>
          <w:iCs/>
          <w:lang w:val="en-GB"/>
        </w:rPr>
        <w:t>Journal of Public Health</w:t>
      </w:r>
      <w:r w:rsidR="00D82197" w:rsidRPr="004A7284">
        <w:rPr>
          <w:rFonts w:cstheme="minorHAnsi"/>
          <w:lang w:val="en-GB"/>
        </w:rPr>
        <w:t xml:space="preserve"> 2009;</w:t>
      </w:r>
      <w:r w:rsidRPr="004A7284">
        <w:rPr>
          <w:rFonts w:cstheme="minorHAnsi"/>
          <w:lang w:val="en-GB"/>
        </w:rPr>
        <w:t>31</w:t>
      </w:r>
      <w:r w:rsidR="00D82197" w:rsidRPr="004A7284">
        <w:rPr>
          <w:rFonts w:cstheme="minorHAnsi"/>
          <w:lang w:val="en-GB"/>
        </w:rPr>
        <w:t>(3):</w:t>
      </w:r>
      <w:r w:rsidRPr="004A7284">
        <w:rPr>
          <w:rFonts w:cstheme="minorHAnsi"/>
          <w:lang w:val="en-GB"/>
        </w:rPr>
        <w:t>366–373</w:t>
      </w:r>
      <w:r w:rsidR="00D82197" w:rsidRPr="004A7284">
        <w:rPr>
          <w:rFonts w:cstheme="minorHAnsi"/>
          <w:lang w:val="en-GB"/>
        </w:rPr>
        <w:t>.</w:t>
      </w:r>
    </w:p>
    <w:p w14:paraId="28E649BD" w14:textId="2357058A" w:rsidR="006E595C" w:rsidRPr="003742DB" w:rsidRDefault="006E595C" w:rsidP="0002193B">
      <w:pPr>
        <w:ind w:left="360"/>
        <w:rPr>
          <w:rFonts w:cstheme="minorHAnsi"/>
          <w:lang w:val="en-GB"/>
        </w:rPr>
      </w:pPr>
      <w:r w:rsidRPr="003742DB">
        <w:rPr>
          <w:rFonts w:cstheme="minorHAnsi"/>
          <w:lang w:val="en-GB"/>
        </w:rPr>
        <w:t xml:space="preserve">  </w:t>
      </w:r>
    </w:p>
    <w:p w14:paraId="6CC5875A" w14:textId="77777777" w:rsidR="005E2DE5" w:rsidRPr="003742DB" w:rsidRDefault="005E2DE5" w:rsidP="000769E4">
      <w:pPr>
        <w:jc w:val="both"/>
        <w:rPr>
          <w:rFonts w:cstheme="minorHAnsi"/>
          <w:lang w:val="en-GB"/>
        </w:rPr>
      </w:pPr>
    </w:p>
    <w:p w14:paraId="70E68845" w14:textId="4B47FD25" w:rsidR="00815BDF" w:rsidRPr="003742DB" w:rsidRDefault="00815BDF">
      <w:pPr>
        <w:rPr>
          <w:rFonts w:cstheme="minorHAnsi"/>
          <w:lang w:val="en-GB"/>
        </w:rPr>
      </w:pPr>
      <w:r w:rsidRPr="003742DB">
        <w:rPr>
          <w:rFonts w:cstheme="minorHAnsi"/>
          <w:lang w:val="en-GB"/>
        </w:rPr>
        <w:br w:type="page"/>
      </w:r>
    </w:p>
    <w:p w14:paraId="3441F585" w14:textId="729B1A99" w:rsidR="00935524" w:rsidRPr="003742DB" w:rsidRDefault="00935524" w:rsidP="00935524">
      <w:pPr>
        <w:rPr>
          <w:u w:val="single"/>
        </w:rPr>
      </w:pPr>
      <w:r w:rsidRPr="003742DB">
        <w:rPr>
          <w:u w:val="single"/>
        </w:rPr>
        <w:lastRenderedPageBreak/>
        <w:t xml:space="preserve">Figure captions: </w:t>
      </w:r>
    </w:p>
    <w:p w14:paraId="72EECA6F" w14:textId="17A51C78" w:rsidR="00935524" w:rsidRPr="003742DB" w:rsidRDefault="00935524" w:rsidP="00935524">
      <w:r w:rsidRPr="003742DB">
        <w:t>Figure 1: Data acquisition flow diagram</w:t>
      </w:r>
    </w:p>
    <w:p w14:paraId="766C049B" w14:textId="77777777" w:rsidR="005C3774" w:rsidRPr="003742DB" w:rsidRDefault="005C3774" w:rsidP="005C3774">
      <w:r w:rsidRPr="003742DB">
        <w:t xml:space="preserve">Figure 2: Changes in Incidence and Prevalence over the 5 year period. </w:t>
      </w:r>
    </w:p>
    <w:p w14:paraId="4671243E" w14:textId="2F0C1A28" w:rsidR="003C11B3" w:rsidRPr="003742DB" w:rsidRDefault="003C11B3" w:rsidP="003C11B3">
      <w:pPr>
        <w:rPr>
          <w:rFonts w:cstheme="minorHAnsi"/>
        </w:rPr>
      </w:pPr>
      <w:r w:rsidRPr="003742DB">
        <w:rPr>
          <w:rFonts w:cstheme="minorHAnsi"/>
        </w:rPr>
        <w:t xml:space="preserve">Figure 3: Prevalence of alcohol dependence in differing GP surgeries as a function of surgery IMD decile. </w:t>
      </w:r>
    </w:p>
    <w:p w14:paraId="290238D3" w14:textId="3685017D" w:rsidR="00C63E65" w:rsidRPr="003742DB" w:rsidRDefault="00C63E65" w:rsidP="00C63E65">
      <w:r w:rsidRPr="003742DB">
        <w:t xml:space="preserve">Figure 4: Proportion of alcohol-dependent patients receiving alcohol-related prescriptions in IMD1 surgeries vs. IMD 2:10 surgeries </w:t>
      </w:r>
    </w:p>
    <w:p w14:paraId="3394037F" w14:textId="1E87C6BF" w:rsidR="000148D7" w:rsidRPr="00610731" w:rsidRDefault="000148D7" w:rsidP="000148D7">
      <w:r w:rsidRPr="003742DB">
        <w:t>Figure 5: Meta-regression of patient-level IMD against</w:t>
      </w:r>
      <w:r w:rsidR="00935524" w:rsidRPr="003742DB">
        <w:t xml:space="preserve"> </w:t>
      </w:r>
      <w:r w:rsidRPr="003742DB">
        <w:t>a) the proportion of dependence</w:t>
      </w:r>
      <w:r w:rsidR="005541AB" w:rsidRPr="003742DB">
        <w:t xml:space="preserve"> and  </w:t>
      </w:r>
      <w:r w:rsidRPr="003742DB">
        <w:t>b) proportion of hazardous drinking.</w:t>
      </w:r>
      <w:r w:rsidRPr="00610731">
        <w:t xml:space="preserve"> </w:t>
      </w:r>
    </w:p>
    <w:p w14:paraId="23C75134" w14:textId="127A2D7E" w:rsidR="00AD1F72" w:rsidRPr="001959F2" w:rsidRDefault="00AD1F72" w:rsidP="000769E4">
      <w:pPr>
        <w:jc w:val="both"/>
        <w:rPr>
          <w:rFonts w:cstheme="minorHAnsi"/>
          <w:lang w:val="en-GB"/>
        </w:rPr>
      </w:pPr>
    </w:p>
    <w:sectPr w:rsidR="00AD1F72" w:rsidRPr="001959F2">
      <w:footerReference w:type="default" r:id="rId2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BCB965" w14:textId="77777777" w:rsidR="00214F9F" w:rsidRDefault="00214F9F" w:rsidP="00753886">
      <w:pPr>
        <w:spacing w:after="0" w:line="240" w:lineRule="auto"/>
      </w:pPr>
      <w:r>
        <w:separator/>
      </w:r>
    </w:p>
  </w:endnote>
  <w:endnote w:type="continuationSeparator" w:id="0">
    <w:p w14:paraId="7FA11E22" w14:textId="77777777" w:rsidR="00214F9F" w:rsidRDefault="00214F9F" w:rsidP="00753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5002562"/>
      <w:docPartObj>
        <w:docPartGallery w:val="Page Numbers (Bottom of Page)"/>
        <w:docPartUnique/>
      </w:docPartObj>
    </w:sdtPr>
    <w:sdtEndPr>
      <w:rPr>
        <w:noProof/>
      </w:rPr>
    </w:sdtEndPr>
    <w:sdtContent>
      <w:p w14:paraId="5B30A1E4" w14:textId="19257D86" w:rsidR="00753886" w:rsidRDefault="0075388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5834D0F" w14:textId="77777777" w:rsidR="00753886" w:rsidRDefault="007538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4BE8E6" w14:textId="77777777" w:rsidR="00214F9F" w:rsidRDefault="00214F9F" w:rsidP="00753886">
      <w:pPr>
        <w:spacing w:after="0" w:line="240" w:lineRule="auto"/>
      </w:pPr>
      <w:r>
        <w:separator/>
      </w:r>
    </w:p>
  </w:footnote>
  <w:footnote w:type="continuationSeparator" w:id="0">
    <w:p w14:paraId="7C3BA671" w14:textId="77777777" w:rsidR="00214F9F" w:rsidRDefault="00214F9F" w:rsidP="00753886">
      <w:pPr>
        <w:spacing w:after="0" w:line="240" w:lineRule="auto"/>
      </w:pPr>
      <w:r>
        <w:continuationSeparator/>
      </w:r>
    </w:p>
  </w:footnote>
  <w:footnote w:id="1">
    <w:p w14:paraId="1954061D" w14:textId="03304A71" w:rsidR="009C3EC4" w:rsidRPr="0055687D" w:rsidRDefault="009C3EC4">
      <w:pPr>
        <w:pStyle w:val="FootnoteText"/>
        <w:rPr>
          <w:lang w:val="en-GB"/>
        </w:rPr>
      </w:pPr>
      <w:r w:rsidRPr="003742DB">
        <w:rPr>
          <w:rStyle w:val="FootnoteReference"/>
        </w:rPr>
        <w:footnoteRef/>
      </w:r>
      <w:r w:rsidRPr="003742DB">
        <w:t xml:space="preserve"> </w:t>
      </w:r>
      <w:r w:rsidRPr="003742DB">
        <w:rPr>
          <w:lang w:val="en-GB"/>
        </w:rPr>
        <w:t xml:space="preserve">Removal of two outliers in IMD Group 1 (see Figure 3) did not </w:t>
      </w:r>
      <w:r w:rsidR="000D0AAE" w:rsidRPr="003742DB">
        <w:rPr>
          <w:lang w:val="en-GB"/>
        </w:rPr>
        <w:t>influence the significance</w:t>
      </w:r>
      <w:r w:rsidRPr="003742DB">
        <w:rPr>
          <w:lang w:val="en-GB"/>
        </w:rPr>
        <w:t xml:space="preserve"> the overall subgroup effect (X2(1) = </w:t>
      </w:r>
      <w:r w:rsidR="000D0AAE" w:rsidRPr="003742DB">
        <w:rPr>
          <w:lang w:val="en-GB"/>
        </w:rPr>
        <w:t>30.28, p &lt; .001), but slightly reduced the pooled prevalence (.0069 [95% CI: .0062 to .0072)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E36A8"/>
    <w:multiLevelType w:val="hybridMultilevel"/>
    <w:tmpl w:val="0636C1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7F11B52"/>
    <w:multiLevelType w:val="multilevel"/>
    <w:tmpl w:val="78EA3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644DC2"/>
    <w:multiLevelType w:val="hybridMultilevel"/>
    <w:tmpl w:val="90D260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CC40B06"/>
    <w:multiLevelType w:val="hybridMultilevel"/>
    <w:tmpl w:val="486000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F755578"/>
    <w:multiLevelType w:val="hybridMultilevel"/>
    <w:tmpl w:val="F0C6A6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60E6686"/>
    <w:multiLevelType w:val="hybridMultilevel"/>
    <w:tmpl w:val="1DD870E0"/>
    <w:lvl w:ilvl="0" w:tplc="C3EA79A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6400341"/>
    <w:multiLevelType w:val="hybridMultilevel"/>
    <w:tmpl w:val="73EC81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9373330"/>
    <w:multiLevelType w:val="hybridMultilevel"/>
    <w:tmpl w:val="56B49A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21B4015"/>
    <w:multiLevelType w:val="hybridMultilevel"/>
    <w:tmpl w:val="D4C05772"/>
    <w:lvl w:ilvl="0" w:tplc="99329E8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42E64DA"/>
    <w:multiLevelType w:val="hybridMultilevel"/>
    <w:tmpl w:val="8D3CCE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43C773D"/>
    <w:multiLevelType w:val="hybridMultilevel"/>
    <w:tmpl w:val="74FAF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4A5D96"/>
    <w:multiLevelType w:val="hybridMultilevel"/>
    <w:tmpl w:val="B304451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1"/>
  </w:num>
  <w:num w:numId="2">
    <w:abstractNumId w:val="6"/>
  </w:num>
  <w:num w:numId="3">
    <w:abstractNumId w:val="3"/>
  </w:num>
  <w:num w:numId="4">
    <w:abstractNumId w:val="0"/>
  </w:num>
  <w:num w:numId="5">
    <w:abstractNumId w:val="2"/>
  </w:num>
  <w:num w:numId="6">
    <w:abstractNumId w:val="8"/>
  </w:num>
  <w:num w:numId="7">
    <w:abstractNumId w:val="4"/>
  </w:num>
  <w:num w:numId="8">
    <w:abstractNumId w:val="5"/>
  </w:num>
  <w:num w:numId="9">
    <w:abstractNumId w:val="1"/>
  </w:num>
  <w:num w:numId="10">
    <w:abstractNumId w:val="10"/>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D8C"/>
    <w:rsid w:val="00005374"/>
    <w:rsid w:val="00010BE6"/>
    <w:rsid w:val="000148D7"/>
    <w:rsid w:val="000154BC"/>
    <w:rsid w:val="00015B40"/>
    <w:rsid w:val="00017B29"/>
    <w:rsid w:val="0002193B"/>
    <w:rsid w:val="00024B42"/>
    <w:rsid w:val="00025F94"/>
    <w:rsid w:val="00030055"/>
    <w:rsid w:val="0003646B"/>
    <w:rsid w:val="00040A9C"/>
    <w:rsid w:val="00043E60"/>
    <w:rsid w:val="000474E5"/>
    <w:rsid w:val="0005547C"/>
    <w:rsid w:val="00061925"/>
    <w:rsid w:val="00061A77"/>
    <w:rsid w:val="00062FA8"/>
    <w:rsid w:val="000635D2"/>
    <w:rsid w:val="00063723"/>
    <w:rsid w:val="00070C30"/>
    <w:rsid w:val="00071DAE"/>
    <w:rsid w:val="000769E4"/>
    <w:rsid w:val="00076F2F"/>
    <w:rsid w:val="000826B2"/>
    <w:rsid w:val="000853B9"/>
    <w:rsid w:val="000868B2"/>
    <w:rsid w:val="00094399"/>
    <w:rsid w:val="000A5825"/>
    <w:rsid w:val="000D0AAE"/>
    <w:rsid w:val="000D2887"/>
    <w:rsid w:val="000D638E"/>
    <w:rsid w:val="000E0F0B"/>
    <w:rsid w:val="000E3233"/>
    <w:rsid w:val="000F02C8"/>
    <w:rsid w:val="0010061F"/>
    <w:rsid w:val="001101FB"/>
    <w:rsid w:val="00112DD4"/>
    <w:rsid w:val="00116770"/>
    <w:rsid w:val="00122B4C"/>
    <w:rsid w:val="00125DD0"/>
    <w:rsid w:val="00127F7E"/>
    <w:rsid w:val="00130AD8"/>
    <w:rsid w:val="00134E24"/>
    <w:rsid w:val="001361CB"/>
    <w:rsid w:val="00140EFD"/>
    <w:rsid w:val="00142E5B"/>
    <w:rsid w:val="00146A4D"/>
    <w:rsid w:val="00147F88"/>
    <w:rsid w:val="00150BF1"/>
    <w:rsid w:val="0015273C"/>
    <w:rsid w:val="001528CE"/>
    <w:rsid w:val="00157806"/>
    <w:rsid w:val="00162087"/>
    <w:rsid w:val="00167A41"/>
    <w:rsid w:val="00173E8B"/>
    <w:rsid w:val="00176DAB"/>
    <w:rsid w:val="0018580B"/>
    <w:rsid w:val="00186E7E"/>
    <w:rsid w:val="00190505"/>
    <w:rsid w:val="001909D5"/>
    <w:rsid w:val="001959F2"/>
    <w:rsid w:val="001B078B"/>
    <w:rsid w:val="001B3687"/>
    <w:rsid w:val="001B4B29"/>
    <w:rsid w:val="001B4F6D"/>
    <w:rsid w:val="001B707F"/>
    <w:rsid w:val="001C08F5"/>
    <w:rsid w:val="001C1BFB"/>
    <w:rsid w:val="001C287D"/>
    <w:rsid w:val="001D1575"/>
    <w:rsid w:val="001D3564"/>
    <w:rsid w:val="001E0CBB"/>
    <w:rsid w:val="001E1C0E"/>
    <w:rsid w:val="001E40A9"/>
    <w:rsid w:val="001E6765"/>
    <w:rsid w:val="001F0F78"/>
    <w:rsid w:val="001F2C26"/>
    <w:rsid w:val="001F4616"/>
    <w:rsid w:val="00203D9D"/>
    <w:rsid w:val="00207CAA"/>
    <w:rsid w:val="00211CB6"/>
    <w:rsid w:val="00213AD3"/>
    <w:rsid w:val="0021405C"/>
    <w:rsid w:val="00214B25"/>
    <w:rsid w:val="00214F9F"/>
    <w:rsid w:val="00215B3B"/>
    <w:rsid w:val="00220E23"/>
    <w:rsid w:val="00222609"/>
    <w:rsid w:val="00223E88"/>
    <w:rsid w:val="002255F9"/>
    <w:rsid w:val="00225D81"/>
    <w:rsid w:val="0023373D"/>
    <w:rsid w:val="00234086"/>
    <w:rsid w:val="00235FB7"/>
    <w:rsid w:val="00237737"/>
    <w:rsid w:val="0024009B"/>
    <w:rsid w:val="002606B3"/>
    <w:rsid w:val="00262E52"/>
    <w:rsid w:val="002661C6"/>
    <w:rsid w:val="0027007D"/>
    <w:rsid w:val="002739B3"/>
    <w:rsid w:val="00273A9C"/>
    <w:rsid w:val="0027420A"/>
    <w:rsid w:val="002752FA"/>
    <w:rsid w:val="00276DD8"/>
    <w:rsid w:val="00277206"/>
    <w:rsid w:val="00281C27"/>
    <w:rsid w:val="00282160"/>
    <w:rsid w:val="00296534"/>
    <w:rsid w:val="00296DC1"/>
    <w:rsid w:val="002A201B"/>
    <w:rsid w:val="002B03D2"/>
    <w:rsid w:val="002B295A"/>
    <w:rsid w:val="002C45EA"/>
    <w:rsid w:val="002D2022"/>
    <w:rsid w:val="002D47C2"/>
    <w:rsid w:val="002D5968"/>
    <w:rsid w:val="002E46E1"/>
    <w:rsid w:val="003111F0"/>
    <w:rsid w:val="00312165"/>
    <w:rsid w:val="00323B0C"/>
    <w:rsid w:val="0032646E"/>
    <w:rsid w:val="00327EB1"/>
    <w:rsid w:val="003341DA"/>
    <w:rsid w:val="00334F9B"/>
    <w:rsid w:val="00342320"/>
    <w:rsid w:val="003448A6"/>
    <w:rsid w:val="003502F1"/>
    <w:rsid w:val="00361483"/>
    <w:rsid w:val="00361DE7"/>
    <w:rsid w:val="003742DB"/>
    <w:rsid w:val="00380961"/>
    <w:rsid w:val="0038336F"/>
    <w:rsid w:val="00390BF1"/>
    <w:rsid w:val="00393748"/>
    <w:rsid w:val="003B28CA"/>
    <w:rsid w:val="003B2AA1"/>
    <w:rsid w:val="003C0118"/>
    <w:rsid w:val="003C02CF"/>
    <w:rsid w:val="003C11B3"/>
    <w:rsid w:val="003D1D1A"/>
    <w:rsid w:val="003E38CA"/>
    <w:rsid w:val="003E67C6"/>
    <w:rsid w:val="003E6A52"/>
    <w:rsid w:val="003E6D8B"/>
    <w:rsid w:val="003E7180"/>
    <w:rsid w:val="003F10D2"/>
    <w:rsid w:val="003F25E8"/>
    <w:rsid w:val="003F33EF"/>
    <w:rsid w:val="003F4961"/>
    <w:rsid w:val="003F6D0F"/>
    <w:rsid w:val="00401585"/>
    <w:rsid w:val="00412C4C"/>
    <w:rsid w:val="004130AC"/>
    <w:rsid w:val="00414983"/>
    <w:rsid w:val="00422CBD"/>
    <w:rsid w:val="00437D46"/>
    <w:rsid w:val="00441C6A"/>
    <w:rsid w:val="00441E96"/>
    <w:rsid w:val="004468C1"/>
    <w:rsid w:val="00450B67"/>
    <w:rsid w:val="0045473E"/>
    <w:rsid w:val="00455A8B"/>
    <w:rsid w:val="00463480"/>
    <w:rsid w:val="004669DD"/>
    <w:rsid w:val="0046786F"/>
    <w:rsid w:val="00477282"/>
    <w:rsid w:val="004867D9"/>
    <w:rsid w:val="004904C2"/>
    <w:rsid w:val="0049188D"/>
    <w:rsid w:val="00494734"/>
    <w:rsid w:val="0049631F"/>
    <w:rsid w:val="004976CD"/>
    <w:rsid w:val="004A1012"/>
    <w:rsid w:val="004A7284"/>
    <w:rsid w:val="004A7918"/>
    <w:rsid w:val="004A7D5F"/>
    <w:rsid w:val="004B3556"/>
    <w:rsid w:val="004B4644"/>
    <w:rsid w:val="004B77A5"/>
    <w:rsid w:val="004C256A"/>
    <w:rsid w:val="004F089D"/>
    <w:rsid w:val="004F1415"/>
    <w:rsid w:val="004F459D"/>
    <w:rsid w:val="004F78CA"/>
    <w:rsid w:val="00510C9C"/>
    <w:rsid w:val="005225D6"/>
    <w:rsid w:val="00527565"/>
    <w:rsid w:val="00537B92"/>
    <w:rsid w:val="0054161F"/>
    <w:rsid w:val="00544B34"/>
    <w:rsid w:val="0054507F"/>
    <w:rsid w:val="005541AB"/>
    <w:rsid w:val="0055687D"/>
    <w:rsid w:val="00563361"/>
    <w:rsid w:val="00572978"/>
    <w:rsid w:val="005776B2"/>
    <w:rsid w:val="00584120"/>
    <w:rsid w:val="005870C3"/>
    <w:rsid w:val="005A1D22"/>
    <w:rsid w:val="005A5FAF"/>
    <w:rsid w:val="005A767B"/>
    <w:rsid w:val="005C2A78"/>
    <w:rsid w:val="005C3774"/>
    <w:rsid w:val="005C70F9"/>
    <w:rsid w:val="005D0FDF"/>
    <w:rsid w:val="005D336C"/>
    <w:rsid w:val="005D4552"/>
    <w:rsid w:val="005D5B6F"/>
    <w:rsid w:val="005E045B"/>
    <w:rsid w:val="005E0DA5"/>
    <w:rsid w:val="005E1FFD"/>
    <w:rsid w:val="005E29E9"/>
    <w:rsid w:val="005E2DE5"/>
    <w:rsid w:val="005E2FF5"/>
    <w:rsid w:val="005E6983"/>
    <w:rsid w:val="005F0DF8"/>
    <w:rsid w:val="00600AB5"/>
    <w:rsid w:val="00603A76"/>
    <w:rsid w:val="006056E7"/>
    <w:rsid w:val="00612E05"/>
    <w:rsid w:val="00613689"/>
    <w:rsid w:val="006179D0"/>
    <w:rsid w:val="00620970"/>
    <w:rsid w:val="0062295D"/>
    <w:rsid w:val="00624141"/>
    <w:rsid w:val="00624FDB"/>
    <w:rsid w:val="00633A61"/>
    <w:rsid w:val="006363C1"/>
    <w:rsid w:val="006508AC"/>
    <w:rsid w:val="00650AD4"/>
    <w:rsid w:val="00663556"/>
    <w:rsid w:val="00665EFC"/>
    <w:rsid w:val="00671F8D"/>
    <w:rsid w:val="00672A4E"/>
    <w:rsid w:val="0067427E"/>
    <w:rsid w:val="006810EA"/>
    <w:rsid w:val="006837B0"/>
    <w:rsid w:val="006A23CF"/>
    <w:rsid w:val="006A75ED"/>
    <w:rsid w:val="006A7AC5"/>
    <w:rsid w:val="006C24AD"/>
    <w:rsid w:val="006C4B15"/>
    <w:rsid w:val="006C7B41"/>
    <w:rsid w:val="006D0124"/>
    <w:rsid w:val="006D2492"/>
    <w:rsid w:val="006D55A8"/>
    <w:rsid w:val="006D6942"/>
    <w:rsid w:val="006E0E94"/>
    <w:rsid w:val="006E2E86"/>
    <w:rsid w:val="006E41A1"/>
    <w:rsid w:val="006E595C"/>
    <w:rsid w:val="006E66D0"/>
    <w:rsid w:val="006E6A1E"/>
    <w:rsid w:val="006F1348"/>
    <w:rsid w:val="006F3A8E"/>
    <w:rsid w:val="006F4915"/>
    <w:rsid w:val="006F75E0"/>
    <w:rsid w:val="006F7CF6"/>
    <w:rsid w:val="007231D1"/>
    <w:rsid w:val="007244CE"/>
    <w:rsid w:val="00724BE7"/>
    <w:rsid w:val="007262E4"/>
    <w:rsid w:val="00733B1A"/>
    <w:rsid w:val="0073484B"/>
    <w:rsid w:val="007420DD"/>
    <w:rsid w:val="00750025"/>
    <w:rsid w:val="00751A76"/>
    <w:rsid w:val="00753886"/>
    <w:rsid w:val="00762CE4"/>
    <w:rsid w:val="00772852"/>
    <w:rsid w:val="00784D87"/>
    <w:rsid w:val="00787C25"/>
    <w:rsid w:val="00790C9C"/>
    <w:rsid w:val="00791580"/>
    <w:rsid w:val="00794D9C"/>
    <w:rsid w:val="00795419"/>
    <w:rsid w:val="00796EBE"/>
    <w:rsid w:val="007A1859"/>
    <w:rsid w:val="007B171A"/>
    <w:rsid w:val="007B1ECA"/>
    <w:rsid w:val="007B7C59"/>
    <w:rsid w:val="007C1E08"/>
    <w:rsid w:val="007C258F"/>
    <w:rsid w:val="007C3379"/>
    <w:rsid w:val="007C7253"/>
    <w:rsid w:val="007D28C1"/>
    <w:rsid w:val="007D34EC"/>
    <w:rsid w:val="007E29DB"/>
    <w:rsid w:val="008058F4"/>
    <w:rsid w:val="0080592D"/>
    <w:rsid w:val="00805B73"/>
    <w:rsid w:val="00806209"/>
    <w:rsid w:val="00807220"/>
    <w:rsid w:val="0081151B"/>
    <w:rsid w:val="00811E0A"/>
    <w:rsid w:val="00813DDD"/>
    <w:rsid w:val="00815BDF"/>
    <w:rsid w:val="00820D19"/>
    <w:rsid w:val="008233EF"/>
    <w:rsid w:val="008252DA"/>
    <w:rsid w:val="008356FD"/>
    <w:rsid w:val="008374D4"/>
    <w:rsid w:val="00844D76"/>
    <w:rsid w:val="00847B72"/>
    <w:rsid w:val="00850C39"/>
    <w:rsid w:val="0085495F"/>
    <w:rsid w:val="00862C65"/>
    <w:rsid w:val="00866B84"/>
    <w:rsid w:val="00866FA5"/>
    <w:rsid w:val="008762E5"/>
    <w:rsid w:val="00876301"/>
    <w:rsid w:val="00881C9F"/>
    <w:rsid w:val="00894E3A"/>
    <w:rsid w:val="00895F37"/>
    <w:rsid w:val="008A1FDC"/>
    <w:rsid w:val="008B07A6"/>
    <w:rsid w:val="008C5680"/>
    <w:rsid w:val="008C6A25"/>
    <w:rsid w:val="008D0D6C"/>
    <w:rsid w:val="008E2403"/>
    <w:rsid w:val="008E4B31"/>
    <w:rsid w:val="00900889"/>
    <w:rsid w:val="00905DBF"/>
    <w:rsid w:val="009062D0"/>
    <w:rsid w:val="009063F0"/>
    <w:rsid w:val="00914F6A"/>
    <w:rsid w:val="00915318"/>
    <w:rsid w:val="00917AB9"/>
    <w:rsid w:val="00930EEA"/>
    <w:rsid w:val="00934514"/>
    <w:rsid w:val="00935524"/>
    <w:rsid w:val="009441A6"/>
    <w:rsid w:val="00945DFD"/>
    <w:rsid w:val="00951F50"/>
    <w:rsid w:val="0095372C"/>
    <w:rsid w:val="009601E7"/>
    <w:rsid w:val="00960B45"/>
    <w:rsid w:val="00964EF8"/>
    <w:rsid w:val="00966B59"/>
    <w:rsid w:val="009705ED"/>
    <w:rsid w:val="00975103"/>
    <w:rsid w:val="009759E9"/>
    <w:rsid w:val="0097620B"/>
    <w:rsid w:val="0098084B"/>
    <w:rsid w:val="0099073B"/>
    <w:rsid w:val="0099613B"/>
    <w:rsid w:val="0099752F"/>
    <w:rsid w:val="009A09CA"/>
    <w:rsid w:val="009B13EA"/>
    <w:rsid w:val="009B1968"/>
    <w:rsid w:val="009B1C03"/>
    <w:rsid w:val="009B352E"/>
    <w:rsid w:val="009B5172"/>
    <w:rsid w:val="009C1801"/>
    <w:rsid w:val="009C1A1B"/>
    <w:rsid w:val="009C315C"/>
    <w:rsid w:val="009C3EC4"/>
    <w:rsid w:val="009C406E"/>
    <w:rsid w:val="009E2E3E"/>
    <w:rsid w:val="009E7575"/>
    <w:rsid w:val="009F20CA"/>
    <w:rsid w:val="009F2BB3"/>
    <w:rsid w:val="009F37CC"/>
    <w:rsid w:val="009F4BD0"/>
    <w:rsid w:val="009F5F33"/>
    <w:rsid w:val="00A06B4D"/>
    <w:rsid w:val="00A0734E"/>
    <w:rsid w:val="00A10912"/>
    <w:rsid w:val="00A11F3D"/>
    <w:rsid w:val="00A15EC2"/>
    <w:rsid w:val="00A244B8"/>
    <w:rsid w:val="00A31E97"/>
    <w:rsid w:val="00A32C26"/>
    <w:rsid w:val="00A3581A"/>
    <w:rsid w:val="00A40422"/>
    <w:rsid w:val="00A41E79"/>
    <w:rsid w:val="00A55E84"/>
    <w:rsid w:val="00A562B5"/>
    <w:rsid w:val="00A61B38"/>
    <w:rsid w:val="00A63765"/>
    <w:rsid w:val="00A67A17"/>
    <w:rsid w:val="00A734DC"/>
    <w:rsid w:val="00A74B28"/>
    <w:rsid w:val="00A80330"/>
    <w:rsid w:val="00A851F6"/>
    <w:rsid w:val="00A911AA"/>
    <w:rsid w:val="00A93FA5"/>
    <w:rsid w:val="00A9415A"/>
    <w:rsid w:val="00A944AD"/>
    <w:rsid w:val="00AA1E2D"/>
    <w:rsid w:val="00AA6EFB"/>
    <w:rsid w:val="00AC1375"/>
    <w:rsid w:val="00AC5F25"/>
    <w:rsid w:val="00AC7F33"/>
    <w:rsid w:val="00AD0283"/>
    <w:rsid w:val="00AD1F72"/>
    <w:rsid w:val="00AD40E6"/>
    <w:rsid w:val="00AD56DA"/>
    <w:rsid w:val="00AD695C"/>
    <w:rsid w:val="00AE70CB"/>
    <w:rsid w:val="00AF121A"/>
    <w:rsid w:val="00AF1E95"/>
    <w:rsid w:val="00B05771"/>
    <w:rsid w:val="00B0727D"/>
    <w:rsid w:val="00B07989"/>
    <w:rsid w:val="00B13191"/>
    <w:rsid w:val="00B13549"/>
    <w:rsid w:val="00B15B7B"/>
    <w:rsid w:val="00B20ADE"/>
    <w:rsid w:val="00B22233"/>
    <w:rsid w:val="00B24AE0"/>
    <w:rsid w:val="00B26101"/>
    <w:rsid w:val="00B26BAD"/>
    <w:rsid w:val="00B26EB2"/>
    <w:rsid w:val="00B32B72"/>
    <w:rsid w:val="00B466E5"/>
    <w:rsid w:val="00B5099A"/>
    <w:rsid w:val="00B50E52"/>
    <w:rsid w:val="00B52991"/>
    <w:rsid w:val="00B52AE8"/>
    <w:rsid w:val="00B53C32"/>
    <w:rsid w:val="00B56809"/>
    <w:rsid w:val="00B571E3"/>
    <w:rsid w:val="00B57849"/>
    <w:rsid w:val="00B669A2"/>
    <w:rsid w:val="00B66E9F"/>
    <w:rsid w:val="00B675F5"/>
    <w:rsid w:val="00B76697"/>
    <w:rsid w:val="00B8659D"/>
    <w:rsid w:val="00B87850"/>
    <w:rsid w:val="00B900A0"/>
    <w:rsid w:val="00B920B8"/>
    <w:rsid w:val="00B969EA"/>
    <w:rsid w:val="00BA11E5"/>
    <w:rsid w:val="00BB71AB"/>
    <w:rsid w:val="00BC0290"/>
    <w:rsid w:val="00BC4ABB"/>
    <w:rsid w:val="00BC5AEB"/>
    <w:rsid w:val="00BD62EA"/>
    <w:rsid w:val="00BD75FE"/>
    <w:rsid w:val="00BE0893"/>
    <w:rsid w:val="00BE1041"/>
    <w:rsid w:val="00BE1617"/>
    <w:rsid w:val="00BE3E94"/>
    <w:rsid w:val="00BE72E6"/>
    <w:rsid w:val="00BE7765"/>
    <w:rsid w:val="00BF2601"/>
    <w:rsid w:val="00BF3D04"/>
    <w:rsid w:val="00BF6306"/>
    <w:rsid w:val="00C10C91"/>
    <w:rsid w:val="00C21F35"/>
    <w:rsid w:val="00C309F0"/>
    <w:rsid w:val="00C366E3"/>
    <w:rsid w:val="00C40F08"/>
    <w:rsid w:val="00C439F9"/>
    <w:rsid w:val="00C43E2C"/>
    <w:rsid w:val="00C45DF5"/>
    <w:rsid w:val="00C525EF"/>
    <w:rsid w:val="00C529BE"/>
    <w:rsid w:val="00C54605"/>
    <w:rsid w:val="00C6295D"/>
    <w:rsid w:val="00C62B70"/>
    <w:rsid w:val="00C63E65"/>
    <w:rsid w:val="00C706E4"/>
    <w:rsid w:val="00C74F3C"/>
    <w:rsid w:val="00C7651B"/>
    <w:rsid w:val="00C82E3D"/>
    <w:rsid w:val="00C90363"/>
    <w:rsid w:val="00C95A00"/>
    <w:rsid w:val="00C96480"/>
    <w:rsid w:val="00C97BB1"/>
    <w:rsid w:val="00CA0F2D"/>
    <w:rsid w:val="00CA4A78"/>
    <w:rsid w:val="00CA74AA"/>
    <w:rsid w:val="00CB0C07"/>
    <w:rsid w:val="00CB2113"/>
    <w:rsid w:val="00CB4A0E"/>
    <w:rsid w:val="00CC58B3"/>
    <w:rsid w:val="00CD1AB3"/>
    <w:rsid w:val="00CD4D8C"/>
    <w:rsid w:val="00CD597E"/>
    <w:rsid w:val="00CE1CE1"/>
    <w:rsid w:val="00CE4B2C"/>
    <w:rsid w:val="00CE60D2"/>
    <w:rsid w:val="00CF22EC"/>
    <w:rsid w:val="00CF3F3A"/>
    <w:rsid w:val="00D0467C"/>
    <w:rsid w:val="00D1137E"/>
    <w:rsid w:val="00D2476C"/>
    <w:rsid w:val="00D26452"/>
    <w:rsid w:val="00D36C0B"/>
    <w:rsid w:val="00D40D33"/>
    <w:rsid w:val="00D447D1"/>
    <w:rsid w:val="00D4740F"/>
    <w:rsid w:val="00D47D43"/>
    <w:rsid w:val="00D60CF6"/>
    <w:rsid w:val="00D6381A"/>
    <w:rsid w:val="00D64A20"/>
    <w:rsid w:val="00D65F0B"/>
    <w:rsid w:val="00D75952"/>
    <w:rsid w:val="00D75BD8"/>
    <w:rsid w:val="00D76630"/>
    <w:rsid w:val="00D82197"/>
    <w:rsid w:val="00D85674"/>
    <w:rsid w:val="00D91C70"/>
    <w:rsid w:val="00DA1F3B"/>
    <w:rsid w:val="00DA7179"/>
    <w:rsid w:val="00DA77FA"/>
    <w:rsid w:val="00DB19A6"/>
    <w:rsid w:val="00DB1B28"/>
    <w:rsid w:val="00DC5116"/>
    <w:rsid w:val="00DD09BE"/>
    <w:rsid w:val="00DD676E"/>
    <w:rsid w:val="00DE79AE"/>
    <w:rsid w:val="00DF2403"/>
    <w:rsid w:val="00DF63D9"/>
    <w:rsid w:val="00E00A70"/>
    <w:rsid w:val="00E02C30"/>
    <w:rsid w:val="00E039AC"/>
    <w:rsid w:val="00E07F96"/>
    <w:rsid w:val="00E140B7"/>
    <w:rsid w:val="00E15E38"/>
    <w:rsid w:val="00E202DE"/>
    <w:rsid w:val="00E249CD"/>
    <w:rsid w:val="00E31366"/>
    <w:rsid w:val="00E37289"/>
    <w:rsid w:val="00E41A3E"/>
    <w:rsid w:val="00E4470C"/>
    <w:rsid w:val="00E4697C"/>
    <w:rsid w:val="00E60A2B"/>
    <w:rsid w:val="00E61A05"/>
    <w:rsid w:val="00E62565"/>
    <w:rsid w:val="00E6291B"/>
    <w:rsid w:val="00E65C42"/>
    <w:rsid w:val="00E7344A"/>
    <w:rsid w:val="00E75C16"/>
    <w:rsid w:val="00E819C0"/>
    <w:rsid w:val="00E85138"/>
    <w:rsid w:val="00E93E1B"/>
    <w:rsid w:val="00E95911"/>
    <w:rsid w:val="00EA3072"/>
    <w:rsid w:val="00EA3AB6"/>
    <w:rsid w:val="00EA65AC"/>
    <w:rsid w:val="00EA7427"/>
    <w:rsid w:val="00EC397C"/>
    <w:rsid w:val="00EC42EC"/>
    <w:rsid w:val="00EC7AB2"/>
    <w:rsid w:val="00ED4F97"/>
    <w:rsid w:val="00ED6E22"/>
    <w:rsid w:val="00EE0C0A"/>
    <w:rsid w:val="00EE47EA"/>
    <w:rsid w:val="00EE76B9"/>
    <w:rsid w:val="00EF7490"/>
    <w:rsid w:val="00F00D36"/>
    <w:rsid w:val="00F217F2"/>
    <w:rsid w:val="00F405A6"/>
    <w:rsid w:val="00F418ED"/>
    <w:rsid w:val="00F44D3C"/>
    <w:rsid w:val="00F455BE"/>
    <w:rsid w:val="00F611A3"/>
    <w:rsid w:val="00F6276B"/>
    <w:rsid w:val="00F63E4A"/>
    <w:rsid w:val="00F652F9"/>
    <w:rsid w:val="00F66B43"/>
    <w:rsid w:val="00F67FA8"/>
    <w:rsid w:val="00F720D1"/>
    <w:rsid w:val="00F7720A"/>
    <w:rsid w:val="00F800C4"/>
    <w:rsid w:val="00F818FE"/>
    <w:rsid w:val="00F95F4E"/>
    <w:rsid w:val="00FA0C3D"/>
    <w:rsid w:val="00FA2275"/>
    <w:rsid w:val="00FA6273"/>
    <w:rsid w:val="00FA6A81"/>
    <w:rsid w:val="00FB058A"/>
    <w:rsid w:val="00FB3ABC"/>
    <w:rsid w:val="00FB3C44"/>
    <w:rsid w:val="00FB4BFC"/>
    <w:rsid w:val="00FC7817"/>
    <w:rsid w:val="00FD46C1"/>
    <w:rsid w:val="00FD6F6F"/>
    <w:rsid w:val="00FE20C6"/>
    <w:rsid w:val="00FE595D"/>
    <w:rsid w:val="00FF6D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F8F2C"/>
  <w15:chartTrackingRefBased/>
  <w15:docId w15:val="{C976E35E-68B7-4326-9525-0048F762C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79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0DD"/>
    <w:pPr>
      <w:ind w:left="720"/>
      <w:contextualSpacing/>
    </w:pPr>
  </w:style>
  <w:style w:type="character" w:styleId="Hyperlink">
    <w:name w:val="Hyperlink"/>
    <w:basedOn w:val="DefaultParagraphFont"/>
    <w:uiPriority w:val="99"/>
    <w:unhideWhenUsed/>
    <w:rsid w:val="006837B0"/>
    <w:rPr>
      <w:color w:val="0563C1" w:themeColor="hyperlink"/>
      <w:u w:val="single"/>
    </w:rPr>
  </w:style>
  <w:style w:type="paragraph" w:customStyle="1" w:styleId="Default">
    <w:name w:val="Default"/>
    <w:rsid w:val="000826B2"/>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E202DE"/>
    <w:rPr>
      <w:sz w:val="16"/>
      <w:szCs w:val="16"/>
    </w:rPr>
  </w:style>
  <w:style w:type="paragraph" w:styleId="CommentText">
    <w:name w:val="annotation text"/>
    <w:basedOn w:val="Normal"/>
    <w:link w:val="CommentTextChar"/>
    <w:uiPriority w:val="99"/>
    <w:unhideWhenUsed/>
    <w:rsid w:val="00E202DE"/>
    <w:pPr>
      <w:spacing w:line="240" w:lineRule="auto"/>
    </w:pPr>
    <w:rPr>
      <w:sz w:val="20"/>
      <w:szCs w:val="20"/>
    </w:rPr>
  </w:style>
  <w:style w:type="character" w:customStyle="1" w:styleId="CommentTextChar">
    <w:name w:val="Comment Text Char"/>
    <w:basedOn w:val="DefaultParagraphFont"/>
    <w:link w:val="CommentText"/>
    <w:uiPriority w:val="99"/>
    <w:rsid w:val="00E202DE"/>
    <w:rPr>
      <w:sz w:val="20"/>
      <w:szCs w:val="20"/>
    </w:rPr>
  </w:style>
  <w:style w:type="paragraph" w:styleId="CommentSubject">
    <w:name w:val="annotation subject"/>
    <w:basedOn w:val="CommentText"/>
    <w:next w:val="CommentText"/>
    <w:link w:val="CommentSubjectChar"/>
    <w:uiPriority w:val="99"/>
    <w:semiHidden/>
    <w:unhideWhenUsed/>
    <w:rsid w:val="00E202DE"/>
    <w:rPr>
      <w:b/>
      <w:bCs/>
    </w:rPr>
  </w:style>
  <w:style w:type="character" w:customStyle="1" w:styleId="CommentSubjectChar">
    <w:name w:val="Comment Subject Char"/>
    <w:basedOn w:val="CommentTextChar"/>
    <w:link w:val="CommentSubject"/>
    <w:uiPriority w:val="99"/>
    <w:semiHidden/>
    <w:rsid w:val="00E202DE"/>
    <w:rPr>
      <w:b/>
      <w:bCs/>
      <w:sz w:val="20"/>
      <w:szCs w:val="20"/>
    </w:rPr>
  </w:style>
  <w:style w:type="character" w:styleId="Strong">
    <w:name w:val="Strong"/>
    <w:basedOn w:val="DefaultParagraphFont"/>
    <w:uiPriority w:val="22"/>
    <w:qFormat/>
    <w:rsid w:val="00C309F0"/>
    <w:rPr>
      <w:b/>
      <w:bCs/>
    </w:rPr>
  </w:style>
  <w:style w:type="character" w:styleId="Emphasis">
    <w:name w:val="Emphasis"/>
    <w:basedOn w:val="DefaultParagraphFont"/>
    <w:uiPriority w:val="20"/>
    <w:qFormat/>
    <w:rsid w:val="00C309F0"/>
    <w:rPr>
      <w:i/>
      <w:iCs/>
    </w:rPr>
  </w:style>
  <w:style w:type="paragraph" w:styleId="Header">
    <w:name w:val="header"/>
    <w:basedOn w:val="Normal"/>
    <w:link w:val="HeaderChar"/>
    <w:uiPriority w:val="99"/>
    <w:unhideWhenUsed/>
    <w:rsid w:val="007538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3886"/>
  </w:style>
  <w:style w:type="paragraph" w:styleId="Footer">
    <w:name w:val="footer"/>
    <w:basedOn w:val="Normal"/>
    <w:link w:val="FooterChar"/>
    <w:uiPriority w:val="99"/>
    <w:unhideWhenUsed/>
    <w:rsid w:val="007538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3886"/>
  </w:style>
  <w:style w:type="table" w:styleId="TableGrid">
    <w:name w:val="Table Grid"/>
    <w:basedOn w:val="TableNormal"/>
    <w:uiPriority w:val="39"/>
    <w:rsid w:val="00380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53C32"/>
    <w:rPr>
      <w:color w:val="605E5C"/>
      <w:shd w:val="clear" w:color="auto" w:fill="E1DFDD"/>
    </w:rPr>
  </w:style>
  <w:style w:type="character" w:customStyle="1" w:styleId="author">
    <w:name w:val="author"/>
    <w:basedOn w:val="DefaultParagraphFont"/>
    <w:rsid w:val="00900889"/>
  </w:style>
  <w:style w:type="character" w:customStyle="1" w:styleId="articletitle">
    <w:name w:val="articletitle"/>
    <w:basedOn w:val="DefaultParagraphFont"/>
    <w:rsid w:val="00900889"/>
  </w:style>
  <w:style w:type="character" w:customStyle="1" w:styleId="journaltitle">
    <w:name w:val="journaltitle"/>
    <w:basedOn w:val="DefaultParagraphFont"/>
    <w:rsid w:val="00900889"/>
  </w:style>
  <w:style w:type="character" w:customStyle="1" w:styleId="pubyear">
    <w:name w:val="pubyear"/>
    <w:basedOn w:val="DefaultParagraphFont"/>
    <w:rsid w:val="00900889"/>
  </w:style>
  <w:style w:type="character" w:customStyle="1" w:styleId="vol">
    <w:name w:val="vol"/>
    <w:basedOn w:val="DefaultParagraphFont"/>
    <w:rsid w:val="00900889"/>
  </w:style>
  <w:style w:type="character" w:customStyle="1" w:styleId="pagefirst">
    <w:name w:val="pagefirst"/>
    <w:basedOn w:val="DefaultParagraphFont"/>
    <w:rsid w:val="00900889"/>
  </w:style>
  <w:style w:type="character" w:customStyle="1" w:styleId="pagelast">
    <w:name w:val="pagelast"/>
    <w:basedOn w:val="DefaultParagraphFont"/>
    <w:rsid w:val="00900889"/>
  </w:style>
  <w:style w:type="character" w:styleId="FollowedHyperlink">
    <w:name w:val="FollowedHyperlink"/>
    <w:basedOn w:val="DefaultParagraphFont"/>
    <w:uiPriority w:val="99"/>
    <w:semiHidden/>
    <w:unhideWhenUsed/>
    <w:rsid w:val="007B1ECA"/>
    <w:rPr>
      <w:color w:val="954F72" w:themeColor="followedHyperlink"/>
      <w:u w:val="single"/>
    </w:rPr>
  </w:style>
  <w:style w:type="paragraph" w:styleId="Revision">
    <w:name w:val="Revision"/>
    <w:hidden/>
    <w:uiPriority w:val="99"/>
    <w:semiHidden/>
    <w:rsid w:val="001F2C26"/>
    <w:pPr>
      <w:spacing w:after="0" w:line="240" w:lineRule="auto"/>
    </w:pPr>
  </w:style>
  <w:style w:type="paragraph" w:styleId="FootnoteText">
    <w:name w:val="footnote text"/>
    <w:basedOn w:val="Normal"/>
    <w:link w:val="FootnoteTextChar"/>
    <w:uiPriority w:val="99"/>
    <w:semiHidden/>
    <w:unhideWhenUsed/>
    <w:rsid w:val="009C3EC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3EC4"/>
    <w:rPr>
      <w:sz w:val="20"/>
      <w:szCs w:val="20"/>
    </w:rPr>
  </w:style>
  <w:style w:type="character" w:styleId="FootnoteReference">
    <w:name w:val="footnote reference"/>
    <w:basedOn w:val="DefaultParagraphFont"/>
    <w:uiPriority w:val="99"/>
    <w:semiHidden/>
    <w:unhideWhenUsed/>
    <w:rsid w:val="009C3E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16270">
      <w:bodyDiv w:val="1"/>
      <w:marLeft w:val="0"/>
      <w:marRight w:val="0"/>
      <w:marTop w:val="0"/>
      <w:marBottom w:val="0"/>
      <w:divBdr>
        <w:top w:val="none" w:sz="0" w:space="0" w:color="auto"/>
        <w:left w:val="none" w:sz="0" w:space="0" w:color="auto"/>
        <w:bottom w:val="none" w:sz="0" w:space="0" w:color="auto"/>
        <w:right w:val="none" w:sz="0" w:space="0" w:color="auto"/>
      </w:divBdr>
    </w:div>
    <w:div w:id="58477148">
      <w:bodyDiv w:val="1"/>
      <w:marLeft w:val="0"/>
      <w:marRight w:val="0"/>
      <w:marTop w:val="0"/>
      <w:marBottom w:val="0"/>
      <w:divBdr>
        <w:top w:val="none" w:sz="0" w:space="0" w:color="auto"/>
        <w:left w:val="none" w:sz="0" w:space="0" w:color="auto"/>
        <w:bottom w:val="none" w:sz="0" w:space="0" w:color="auto"/>
        <w:right w:val="none" w:sz="0" w:space="0" w:color="auto"/>
      </w:divBdr>
    </w:div>
    <w:div w:id="67073532">
      <w:bodyDiv w:val="1"/>
      <w:marLeft w:val="0"/>
      <w:marRight w:val="0"/>
      <w:marTop w:val="0"/>
      <w:marBottom w:val="0"/>
      <w:divBdr>
        <w:top w:val="none" w:sz="0" w:space="0" w:color="auto"/>
        <w:left w:val="none" w:sz="0" w:space="0" w:color="auto"/>
        <w:bottom w:val="none" w:sz="0" w:space="0" w:color="auto"/>
        <w:right w:val="none" w:sz="0" w:space="0" w:color="auto"/>
      </w:divBdr>
    </w:div>
    <w:div w:id="84158834">
      <w:bodyDiv w:val="1"/>
      <w:marLeft w:val="0"/>
      <w:marRight w:val="0"/>
      <w:marTop w:val="0"/>
      <w:marBottom w:val="0"/>
      <w:divBdr>
        <w:top w:val="none" w:sz="0" w:space="0" w:color="auto"/>
        <w:left w:val="none" w:sz="0" w:space="0" w:color="auto"/>
        <w:bottom w:val="none" w:sz="0" w:space="0" w:color="auto"/>
        <w:right w:val="none" w:sz="0" w:space="0" w:color="auto"/>
      </w:divBdr>
    </w:div>
    <w:div w:id="319576314">
      <w:bodyDiv w:val="1"/>
      <w:marLeft w:val="0"/>
      <w:marRight w:val="0"/>
      <w:marTop w:val="0"/>
      <w:marBottom w:val="0"/>
      <w:divBdr>
        <w:top w:val="none" w:sz="0" w:space="0" w:color="auto"/>
        <w:left w:val="none" w:sz="0" w:space="0" w:color="auto"/>
        <w:bottom w:val="none" w:sz="0" w:space="0" w:color="auto"/>
        <w:right w:val="none" w:sz="0" w:space="0" w:color="auto"/>
      </w:divBdr>
    </w:div>
    <w:div w:id="379787695">
      <w:bodyDiv w:val="1"/>
      <w:marLeft w:val="0"/>
      <w:marRight w:val="0"/>
      <w:marTop w:val="0"/>
      <w:marBottom w:val="0"/>
      <w:divBdr>
        <w:top w:val="none" w:sz="0" w:space="0" w:color="auto"/>
        <w:left w:val="none" w:sz="0" w:space="0" w:color="auto"/>
        <w:bottom w:val="none" w:sz="0" w:space="0" w:color="auto"/>
        <w:right w:val="none" w:sz="0" w:space="0" w:color="auto"/>
      </w:divBdr>
      <w:divsChild>
        <w:div w:id="777717698">
          <w:marLeft w:val="0"/>
          <w:marRight w:val="0"/>
          <w:marTop w:val="0"/>
          <w:marBottom w:val="0"/>
          <w:divBdr>
            <w:top w:val="none" w:sz="0" w:space="0" w:color="auto"/>
            <w:left w:val="none" w:sz="0" w:space="0" w:color="auto"/>
            <w:bottom w:val="none" w:sz="0" w:space="0" w:color="auto"/>
            <w:right w:val="none" w:sz="0" w:space="0" w:color="auto"/>
          </w:divBdr>
          <w:divsChild>
            <w:div w:id="1646160327">
              <w:marLeft w:val="0"/>
              <w:marRight w:val="0"/>
              <w:marTop w:val="0"/>
              <w:marBottom w:val="0"/>
              <w:divBdr>
                <w:top w:val="none" w:sz="0" w:space="0" w:color="auto"/>
                <w:left w:val="none" w:sz="0" w:space="0" w:color="auto"/>
                <w:bottom w:val="none" w:sz="0" w:space="0" w:color="auto"/>
                <w:right w:val="none" w:sz="0" w:space="0" w:color="auto"/>
              </w:divBdr>
              <w:divsChild>
                <w:div w:id="1040860351">
                  <w:marLeft w:val="0"/>
                  <w:marRight w:val="0"/>
                  <w:marTop w:val="0"/>
                  <w:marBottom w:val="0"/>
                  <w:divBdr>
                    <w:top w:val="none" w:sz="0" w:space="0" w:color="auto"/>
                    <w:left w:val="none" w:sz="0" w:space="0" w:color="auto"/>
                    <w:bottom w:val="none" w:sz="0" w:space="0" w:color="auto"/>
                    <w:right w:val="none" w:sz="0" w:space="0" w:color="auto"/>
                  </w:divBdr>
                  <w:divsChild>
                    <w:div w:id="80982963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772006">
      <w:bodyDiv w:val="1"/>
      <w:marLeft w:val="0"/>
      <w:marRight w:val="0"/>
      <w:marTop w:val="0"/>
      <w:marBottom w:val="0"/>
      <w:divBdr>
        <w:top w:val="none" w:sz="0" w:space="0" w:color="auto"/>
        <w:left w:val="none" w:sz="0" w:space="0" w:color="auto"/>
        <w:bottom w:val="none" w:sz="0" w:space="0" w:color="auto"/>
        <w:right w:val="none" w:sz="0" w:space="0" w:color="auto"/>
      </w:divBdr>
      <w:divsChild>
        <w:div w:id="1712657123">
          <w:marLeft w:val="0"/>
          <w:marRight w:val="0"/>
          <w:marTop w:val="0"/>
          <w:marBottom w:val="0"/>
          <w:divBdr>
            <w:top w:val="none" w:sz="0" w:space="0" w:color="auto"/>
            <w:left w:val="none" w:sz="0" w:space="0" w:color="auto"/>
            <w:bottom w:val="none" w:sz="0" w:space="0" w:color="auto"/>
            <w:right w:val="none" w:sz="0" w:space="0" w:color="auto"/>
          </w:divBdr>
        </w:div>
        <w:div w:id="558593791">
          <w:marLeft w:val="0"/>
          <w:marRight w:val="0"/>
          <w:marTop w:val="0"/>
          <w:marBottom w:val="0"/>
          <w:divBdr>
            <w:top w:val="none" w:sz="0" w:space="0" w:color="auto"/>
            <w:left w:val="none" w:sz="0" w:space="0" w:color="auto"/>
            <w:bottom w:val="none" w:sz="0" w:space="0" w:color="auto"/>
            <w:right w:val="none" w:sz="0" w:space="0" w:color="auto"/>
          </w:divBdr>
        </w:div>
        <w:div w:id="1084376554">
          <w:marLeft w:val="0"/>
          <w:marRight w:val="0"/>
          <w:marTop w:val="0"/>
          <w:marBottom w:val="0"/>
          <w:divBdr>
            <w:top w:val="none" w:sz="0" w:space="0" w:color="auto"/>
            <w:left w:val="none" w:sz="0" w:space="0" w:color="auto"/>
            <w:bottom w:val="none" w:sz="0" w:space="0" w:color="auto"/>
            <w:right w:val="none" w:sz="0" w:space="0" w:color="auto"/>
          </w:divBdr>
        </w:div>
        <w:div w:id="1346127746">
          <w:marLeft w:val="0"/>
          <w:marRight w:val="0"/>
          <w:marTop w:val="0"/>
          <w:marBottom w:val="0"/>
          <w:divBdr>
            <w:top w:val="none" w:sz="0" w:space="0" w:color="auto"/>
            <w:left w:val="none" w:sz="0" w:space="0" w:color="auto"/>
            <w:bottom w:val="none" w:sz="0" w:space="0" w:color="auto"/>
            <w:right w:val="none" w:sz="0" w:space="0" w:color="auto"/>
          </w:divBdr>
        </w:div>
        <w:div w:id="1598172379">
          <w:marLeft w:val="0"/>
          <w:marRight w:val="0"/>
          <w:marTop w:val="0"/>
          <w:marBottom w:val="0"/>
          <w:divBdr>
            <w:top w:val="none" w:sz="0" w:space="0" w:color="auto"/>
            <w:left w:val="none" w:sz="0" w:space="0" w:color="auto"/>
            <w:bottom w:val="none" w:sz="0" w:space="0" w:color="auto"/>
            <w:right w:val="none" w:sz="0" w:space="0" w:color="auto"/>
          </w:divBdr>
        </w:div>
        <w:div w:id="1369260617">
          <w:marLeft w:val="0"/>
          <w:marRight w:val="0"/>
          <w:marTop w:val="0"/>
          <w:marBottom w:val="0"/>
          <w:divBdr>
            <w:top w:val="none" w:sz="0" w:space="0" w:color="auto"/>
            <w:left w:val="none" w:sz="0" w:space="0" w:color="auto"/>
            <w:bottom w:val="none" w:sz="0" w:space="0" w:color="auto"/>
            <w:right w:val="none" w:sz="0" w:space="0" w:color="auto"/>
          </w:divBdr>
        </w:div>
        <w:div w:id="330761670">
          <w:marLeft w:val="0"/>
          <w:marRight w:val="0"/>
          <w:marTop w:val="0"/>
          <w:marBottom w:val="0"/>
          <w:divBdr>
            <w:top w:val="none" w:sz="0" w:space="0" w:color="auto"/>
            <w:left w:val="none" w:sz="0" w:space="0" w:color="auto"/>
            <w:bottom w:val="none" w:sz="0" w:space="0" w:color="auto"/>
            <w:right w:val="none" w:sz="0" w:space="0" w:color="auto"/>
          </w:divBdr>
        </w:div>
        <w:div w:id="153377911">
          <w:marLeft w:val="0"/>
          <w:marRight w:val="0"/>
          <w:marTop w:val="0"/>
          <w:marBottom w:val="0"/>
          <w:divBdr>
            <w:top w:val="none" w:sz="0" w:space="0" w:color="auto"/>
            <w:left w:val="none" w:sz="0" w:space="0" w:color="auto"/>
            <w:bottom w:val="none" w:sz="0" w:space="0" w:color="auto"/>
            <w:right w:val="none" w:sz="0" w:space="0" w:color="auto"/>
          </w:divBdr>
        </w:div>
        <w:div w:id="1705322094">
          <w:marLeft w:val="0"/>
          <w:marRight w:val="0"/>
          <w:marTop w:val="0"/>
          <w:marBottom w:val="0"/>
          <w:divBdr>
            <w:top w:val="none" w:sz="0" w:space="0" w:color="auto"/>
            <w:left w:val="none" w:sz="0" w:space="0" w:color="auto"/>
            <w:bottom w:val="none" w:sz="0" w:space="0" w:color="auto"/>
            <w:right w:val="none" w:sz="0" w:space="0" w:color="auto"/>
          </w:divBdr>
        </w:div>
        <w:div w:id="1255623972">
          <w:marLeft w:val="0"/>
          <w:marRight w:val="0"/>
          <w:marTop w:val="0"/>
          <w:marBottom w:val="0"/>
          <w:divBdr>
            <w:top w:val="none" w:sz="0" w:space="0" w:color="auto"/>
            <w:left w:val="none" w:sz="0" w:space="0" w:color="auto"/>
            <w:bottom w:val="none" w:sz="0" w:space="0" w:color="auto"/>
            <w:right w:val="none" w:sz="0" w:space="0" w:color="auto"/>
          </w:divBdr>
        </w:div>
        <w:div w:id="1921062235">
          <w:marLeft w:val="0"/>
          <w:marRight w:val="0"/>
          <w:marTop w:val="0"/>
          <w:marBottom w:val="0"/>
          <w:divBdr>
            <w:top w:val="none" w:sz="0" w:space="0" w:color="auto"/>
            <w:left w:val="none" w:sz="0" w:space="0" w:color="auto"/>
            <w:bottom w:val="none" w:sz="0" w:space="0" w:color="auto"/>
            <w:right w:val="none" w:sz="0" w:space="0" w:color="auto"/>
          </w:divBdr>
        </w:div>
        <w:div w:id="1661033859">
          <w:marLeft w:val="0"/>
          <w:marRight w:val="0"/>
          <w:marTop w:val="0"/>
          <w:marBottom w:val="0"/>
          <w:divBdr>
            <w:top w:val="none" w:sz="0" w:space="0" w:color="auto"/>
            <w:left w:val="none" w:sz="0" w:space="0" w:color="auto"/>
            <w:bottom w:val="none" w:sz="0" w:space="0" w:color="auto"/>
            <w:right w:val="none" w:sz="0" w:space="0" w:color="auto"/>
          </w:divBdr>
        </w:div>
      </w:divsChild>
    </w:div>
    <w:div w:id="951520055">
      <w:bodyDiv w:val="1"/>
      <w:marLeft w:val="0"/>
      <w:marRight w:val="0"/>
      <w:marTop w:val="0"/>
      <w:marBottom w:val="0"/>
      <w:divBdr>
        <w:top w:val="none" w:sz="0" w:space="0" w:color="auto"/>
        <w:left w:val="none" w:sz="0" w:space="0" w:color="auto"/>
        <w:bottom w:val="none" w:sz="0" w:space="0" w:color="auto"/>
        <w:right w:val="none" w:sz="0" w:space="0" w:color="auto"/>
      </w:divBdr>
    </w:div>
    <w:div w:id="1138375833">
      <w:bodyDiv w:val="1"/>
      <w:marLeft w:val="0"/>
      <w:marRight w:val="0"/>
      <w:marTop w:val="0"/>
      <w:marBottom w:val="0"/>
      <w:divBdr>
        <w:top w:val="none" w:sz="0" w:space="0" w:color="auto"/>
        <w:left w:val="none" w:sz="0" w:space="0" w:color="auto"/>
        <w:bottom w:val="none" w:sz="0" w:space="0" w:color="auto"/>
        <w:right w:val="none" w:sz="0" w:space="0" w:color="auto"/>
      </w:divBdr>
      <w:divsChild>
        <w:div w:id="495535818">
          <w:marLeft w:val="0"/>
          <w:marRight w:val="0"/>
          <w:marTop w:val="0"/>
          <w:marBottom w:val="0"/>
          <w:divBdr>
            <w:top w:val="none" w:sz="0" w:space="0" w:color="auto"/>
            <w:left w:val="none" w:sz="0" w:space="0" w:color="auto"/>
            <w:bottom w:val="none" w:sz="0" w:space="0" w:color="auto"/>
            <w:right w:val="none" w:sz="0" w:space="0" w:color="auto"/>
          </w:divBdr>
          <w:divsChild>
            <w:div w:id="575019624">
              <w:marLeft w:val="0"/>
              <w:marRight w:val="0"/>
              <w:marTop w:val="0"/>
              <w:marBottom w:val="0"/>
              <w:divBdr>
                <w:top w:val="none" w:sz="0" w:space="0" w:color="auto"/>
                <w:left w:val="none" w:sz="0" w:space="0" w:color="auto"/>
                <w:bottom w:val="none" w:sz="0" w:space="0" w:color="auto"/>
                <w:right w:val="none" w:sz="0" w:space="0" w:color="auto"/>
              </w:divBdr>
              <w:divsChild>
                <w:div w:id="1325209545">
                  <w:marLeft w:val="0"/>
                  <w:marRight w:val="150"/>
                  <w:marTop w:val="0"/>
                  <w:marBottom w:val="0"/>
                  <w:divBdr>
                    <w:top w:val="none" w:sz="0" w:space="0" w:color="auto"/>
                    <w:left w:val="none" w:sz="0" w:space="0" w:color="auto"/>
                    <w:bottom w:val="none" w:sz="0" w:space="0" w:color="auto"/>
                    <w:right w:val="none" w:sz="0" w:space="0" w:color="auto"/>
                  </w:divBdr>
                  <w:divsChild>
                    <w:div w:id="184890731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284433">
      <w:bodyDiv w:val="1"/>
      <w:marLeft w:val="0"/>
      <w:marRight w:val="0"/>
      <w:marTop w:val="0"/>
      <w:marBottom w:val="0"/>
      <w:divBdr>
        <w:top w:val="none" w:sz="0" w:space="0" w:color="auto"/>
        <w:left w:val="none" w:sz="0" w:space="0" w:color="auto"/>
        <w:bottom w:val="none" w:sz="0" w:space="0" w:color="auto"/>
        <w:right w:val="none" w:sz="0" w:space="0" w:color="auto"/>
      </w:divBdr>
    </w:div>
    <w:div w:id="1393970463">
      <w:bodyDiv w:val="1"/>
      <w:marLeft w:val="0"/>
      <w:marRight w:val="0"/>
      <w:marTop w:val="0"/>
      <w:marBottom w:val="0"/>
      <w:divBdr>
        <w:top w:val="none" w:sz="0" w:space="0" w:color="auto"/>
        <w:left w:val="none" w:sz="0" w:space="0" w:color="auto"/>
        <w:bottom w:val="none" w:sz="0" w:space="0" w:color="auto"/>
        <w:right w:val="none" w:sz="0" w:space="0" w:color="auto"/>
      </w:divBdr>
    </w:div>
    <w:div w:id="1700810561">
      <w:bodyDiv w:val="1"/>
      <w:marLeft w:val="0"/>
      <w:marRight w:val="0"/>
      <w:marTop w:val="0"/>
      <w:marBottom w:val="0"/>
      <w:divBdr>
        <w:top w:val="none" w:sz="0" w:space="0" w:color="auto"/>
        <w:left w:val="none" w:sz="0" w:space="0" w:color="auto"/>
        <w:bottom w:val="none" w:sz="0" w:space="0" w:color="auto"/>
        <w:right w:val="none" w:sz="0" w:space="0" w:color="auto"/>
      </w:divBdr>
    </w:div>
    <w:div w:id="1748913616">
      <w:bodyDiv w:val="1"/>
      <w:marLeft w:val="0"/>
      <w:marRight w:val="0"/>
      <w:marTop w:val="0"/>
      <w:marBottom w:val="0"/>
      <w:divBdr>
        <w:top w:val="none" w:sz="0" w:space="0" w:color="auto"/>
        <w:left w:val="none" w:sz="0" w:space="0" w:color="auto"/>
        <w:bottom w:val="none" w:sz="0" w:space="0" w:color="auto"/>
        <w:right w:val="none" w:sz="0" w:space="0" w:color="auto"/>
      </w:divBdr>
    </w:div>
    <w:div w:id="180993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sets.publishing.service.gov.uk/government/uploads/system/uploads/attachment_data/file/1002627/Alcohol_and_COVID_report.pdf" TargetMode="External"/><Relationship Id="rId18" Type="http://schemas.openxmlformats.org/officeDocument/2006/relationships/hyperlink" Target="https://digital.nhs.uk/data-and-information/publications/statistical/statistics-on-alcohol/2021/part-2"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osf.io/7ywdz/" TargetMode="External"/><Relationship Id="rId17" Type="http://schemas.openxmlformats.org/officeDocument/2006/relationships/hyperlink" Target="https://www.nice.org.uk/guidance/cg115" TargetMode="External"/><Relationship Id="rId2" Type="http://schemas.openxmlformats.org/officeDocument/2006/relationships/customXml" Target="../customXml/item2.xml"/><Relationship Id="rId16" Type="http://schemas.openxmlformats.org/officeDocument/2006/relationships/hyperlink" Target="https://liverpool.gov.uk/media/1359213/imd-2019-liverpool-analysis-main-report.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Montgomery@ljmu.ac.uk" TargetMode="External"/><Relationship Id="rId5" Type="http://schemas.openxmlformats.org/officeDocument/2006/relationships/numbering" Target="numbering.xml"/><Relationship Id="rId15" Type="http://schemas.openxmlformats.org/officeDocument/2006/relationships/hyperlink" Target="https://www.gov.uk/government/publications/alcohol-dependence-prevalence-in-england" TargetMode="External"/><Relationship Id="rId10" Type="http://schemas.openxmlformats.org/officeDocument/2006/relationships/endnotes" Target="endnotes.xml"/><Relationship Id="rId19" Type="http://schemas.openxmlformats.org/officeDocument/2006/relationships/hyperlink" Target="https://digital.nhs.uk/data-and-information/publications/statistical/statistics-on-alcohol/201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nalytics.phe.gov.uk/apps/covid-19-indirect-effects/" TargetMode="External"/><Relationship Id="rId22"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05CB8F6E642A4B87693F9FF1526BE4" ma:contentTypeVersion="1" ma:contentTypeDescription="Create a new document." ma:contentTypeScope="" ma:versionID="1217c5a9ad49d8166bb1ec4e2ffe6b3d">
  <xsd:schema xmlns:xsd="http://www.w3.org/2001/XMLSchema" xmlns:xs="http://www.w3.org/2001/XMLSchema" xmlns:p="http://schemas.microsoft.com/office/2006/metadata/properties" xmlns:ns2="328d24d8-c42f-4eba-bf1a-f4cdb26aeea8" targetNamespace="http://schemas.microsoft.com/office/2006/metadata/properties" ma:root="true" ma:fieldsID="12e5c06669c0a0cda03132e3604785d1" ns2:_="">
    <xsd:import namespace="328d24d8-c42f-4eba-bf1a-f4cdb26aeea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8d24d8-c42f-4eba-bf1a-f4cdb26aeea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986E11-A695-42A8-B0CF-3CD067B6EC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8d24d8-c42f-4eba-bf1a-f4cdb26aee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D764BC-C0D6-42AA-ACEE-AEA135663483}">
  <ds:schemaRefs>
    <ds:schemaRef ds:uri="http://schemas.microsoft.com/sharepoint/v3/contenttype/forms"/>
  </ds:schemaRefs>
</ds:datastoreItem>
</file>

<file path=customXml/itemProps3.xml><?xml version="1.0" encoding="utf-8"?>
<ds:datastoreItem xmlns:ds="http://schemas.openxmlformats.org/officeDocument/2006/customXml" ds:itemID="{52BCC65C-0A67-4035-98E0-CE76D55CF6F0}">
  <ds:schemaRefs>
    <ds:schemaRef ds:uri="http://schemas.microsoft.com/office/2006/metadata/properties"/>
    <ds:schemaRef ds:uri="http://schemas.microsoft.com/office/2006/documentManagement/types"/>
    <ds:schemaRef ds:uri="http://purl.org/dc/elements/1.1/"/>
    <ds:schemaRef ds:uri="http://purl.org/dc/dcmitype/"/>
    <ds:schemaRef ds:uri="http://www.w3.org/XML/1998/namespace"/>
    <ds:schemaRef ds:uri="http://schemas.microsoft.com/office/infopath/2007/PartnerControls"/>
    <ds:schemaRef ds:uri="http://schemas.openxmlformats.org/package/2006/metadata/core-properties"/>
    <ds:schemaRef ds:uri="328d24d8-c42f-4eba-bf1a-f4cdb26aeea8"/>
    <ds:schemaRef ds:uri="http://purl.org/dc/terms/"/>
  </ds:schemaRefs>
</ds:datastoreItem>
</file>

<file path=customXml/itemProps4.xml><?xml version="1.0" encoding="utf-8"?>
<ds:datastoreItem xmlns:ds="http://schemas.openxmlformats.org/officeDocument/2006/customXml" ds:itemID="{AB9A0629-0D58-4447-9270-3DE2811DD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6207</Words>
  <Characters>35384</Characters>
  <Application>Microsoft Office Word</Application>
  <DocSecurity>4</DocSecurity>
  <Lines>294</Lines>
  <Paragraphs>83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Schoetensack, Christine</dc:creator>
  <cp:keywords/>
  <dc:description/>
  <cp:lastModifiedBy>Owens, Lynn</cp:lastModifiedBy>
  <cp:revision>2</cp:revision>
  <dcterms:created xsi:type="dcterms:W3CDTF">2023-05-04T10:10:00Z</dcterms:created>
  <dcterms:modified xsi:type="dcterms:W3CDTF">2023-05-04T10:10:00Z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0x0101005805CB8F6E642A4B87693F9FF1526BE4</vt:lpwstr>
  </property>
</Properties>
</file>