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F4F42" w14:textId="6C5BC163" w:rsidR="00B57118" w:rsidRPr="00B57118" w:rsidRDefault="00B800F8" w:rsidP="00B57118">
      <w:pPr>
        <w:spacing w:line="480" w:lineRule="auto"/>
        <w:jc w:val="both"/>
        <w:rPr>
          <w:sz w:val="32"/>
          <w:szCs w:val="32"/>
        </w:rPr>
      </w:pPr>
      <w:r>
        <w:rPr>
          <w:sz w:val="32"/>
          <w:szCs w:val="32"/>
        </w:rPr>
        <w:t>A real-world e</w:t>
      </w:r>
      <w:r w:rsidR="00345AAD">
        <w:rPr>
          <w:sz w:val="32"/>
          <w:szCs w:val="32"/>
        </w:rPr>
        <w:t>valuati</w:t>
      </w:r>
      <w:r>
        <w:rPr>
          <w:sz w:val="32"/>
          <w:szCs w:val="32"/>
        </w:rPr>
        <w:t>on of</w:t>
      </w:r>
      <w:r w:rsidR="00345AAD">
        <w:rPr>
          <w:sz w:val="32"/>
          <w:szCs w:val="32"/>
        </w:rPr>
        <w:t xml:space="preserve"> a </w:t>
      </w:r>
      <w:r w:rsidR="00BF6F5D">
        <w:rPr>
          <w:sz w:val="32"/>
          <w:szCs w:val="32"/>
        </w:rPr>
        <w:t>Case-Based</w:t>
      </w:r>
      <w:r w:rsidR="00C17109">
        <w:rPr>
          <w:sz w:val="32"/>
          <w:szCs w:val="32"/>
        </w:rPr>
        <w:t xml:space="preserve"> </w:t>
      </w:r>
      <w:r w:rsidR="00BF6F5D">
        <w:rPr>
          <w:sz w:val="32"/>
          <w:szCs w:val="32"/>
        </w:rPr>
        <w:t xml:space="preserve">Reasoning </w:t>
      </w:r>
      <w:r w:rsidR="00345AAD">
        <w:rPr>
          <w:sz w:val="32"/>
          <w:szCs w:val="32"/>
        </w:rPr>
        <w:t xml:space="preserve">algorithm </w:t>
      </w:r>
      <w:r w:rsidR="00BF6F5D">
        <w:rPr>
          <w:sz w:val="32"/>
          <w:szCs w:val="32"/>
        </w:rPr>
        <w:t>to support antimicrobial prescribing</w:t>
      </w:r>
      <w:r>
        <w:rPr>
          <w:sz w:val="32"/>
          <w:szCs w:val="32"/>
        </w:rPr>
        <w:t xml:space="preserve"> decisions in acute care</w:t>
      </w:r>
      <w:r w:rsidR="00BF6F5D">
        <w:rPr>
          <w:sz w:val="32"/>
          <w:szCs w:val="32"/>
        </w:rPr>
        <w:t xml:space="preserve"> </w:t>
      </w:r>
    </w:p>
    <w:p w14:paraId="28506341" w14:textId="77777777" w:rsidR="00B57118" w:rsidRDefault="00B57118" w:rsidP="00B57118">
      <w:pPr>
        <w:spacing w:line="480" w:lineRule="auto"/>
        <w:jc w:val="both"/>
      </w:pPr>
    </w:p>
    <w:p w14:paraId="2EFC8B02" w14:textId="3E959ADB" w:rsidR="00B57118" w:rsidRPr="004F67A4" w:rsidRDefault="00B57118" w:rsidP="00B57118">
      <w:pPr>
        <w:spacing w:line="480" w:lineRule="auto"/>
        <w:jc w:val="both"/>
      </w:pPr>
      <w:r w:rsidRPr="004F67A4">
        <w:t>T</w:t>
      </w:r>
      <w:r w:rsidR="004F67A4" w:rsidRPr="004F67A4">
        <w:t xml:space="preserve">imothy </w:t>
      </w:r>
      <w:r w:rsidRPr="004F67A4">
        <w:t>M Rawson</w:t>
      </w:r>
      <w:r w:rsidRPr="004F67A4">
        <w:rPr>
          <w:vertAlign w:val="superscript"/>
        </w:rPr>
        <w:t>1,2</w:t>
      </w:r>
      <w:r w:rsidRPr="004F67A4">
        <w:t>, B</w:t>
      </w:r>
      <w:r w:rsidR="004F67A4" w:rsidRPr="004F67A4">
        <w:t>ernard</w:t>
      </w:r>
      <w:r w:rsidRPr="004F67A4">
        <w:t xml:space="preserve"> Hernandez</w:t>
      </w:r>
      <w:r w:rsidRPr="004F67A4">
        <w:rPr>
          <w:vertAlign w:val="superscript"/>
        </w:rPr>
        <w:t>3</w:t>
      </w:r>
      <w:r w:rsidRPr="004F67A4">
        <w:t>, L</w:t>
      </w:r>
      <w:r w:rsidR="004F67A4" w:rsidRPr="004F67A4">
        <w:t>uke</w:t>
      </w:r>
      <w:r w:rsidRPr="004F67A4">
        <w:t xml:space="preserve"> </w:t>
      </w:r>
      <w:r w:rsidR="004F67A4" w:rsidRPr="004F67A4">
        <w:t xml:space="preserve">SP </w:t>
      </w:r>
      <w:r w:rsidRPr="004F67A4">
        <w:t>Moore</w:t>
      </w:r>
      <w:r w:rsidRPr="004F67A4">
        <w:rPr>
          <w:vertAlign w:val="superscript"/>
        </w:rPr>
        <w:t>1,2</w:t>
      </w:r>
      <w:r w:rsidR="00FF73F1" w:rsidRPr="004F67A4">
        <w:rPr>
          <w:vertAlign w:val="superscript"/>
        </w:rPr>
        <w:t>,4</w:t>
      </w:r>
      <w:r w:rsidRPr="004F67A4">
        <w:t>, P</w:t>
      </w:r>
      <w:r w:rsidR="004F67A4" w:rsidRPr="004F67A4">
        <w:t>au</w:t>
      </w:r>
      <w:r w:rsidRPr="004F67A4">
        <w:t xml:space="preserve"> Herrero</w:t>
      </w:r>
      <w:r w:rsidRPr="004F67A4">
        <w:rPr>
          <w:vertAlign w:val="superscript"/>
        </w:rPr>
        <w:t>3</w:t>
      </w:r>
      <w:r w:rsidRPr="004F67A4">
        <w:t>, E</w:t>
      </w:r>
      <w:r w:rsidR="004F67A4" w:rsidRPr="004F67A4">
        <w:t>smita</w:t>
      </w:r>
      <w:r w:rsidRPr="004F67A4">
        <w:t xml:space="preserve"> Charani</w:t>
      </w:r>
      <w:r w:rsidRPr="004F67A4">
        <w:rPr>
          <w:vertAlign w:val="superscript"/>
        </w:rPr>
        <w:t>1</w:t>
      </w:r>
      <w:r w:rsidRPr="004F67A4">
        <w:t xml:space="preserve">, </w:t>
      </w:r>
      <w:r w:rsidR="007B23B1" w:rsidRPr="004F67A4">
        <w:t>D</w:t>
      </w:r>
      <w:r w:rsidR="004F67A4" w:rsidRPr="004F67A4">
        <w:t>amien</w:t>
      </w:r>
      <w:r w:rsidR="007B23B1" w:rsidRPr="004F67A4">
        <w:t xml:space="preserve"> Ming</w:t>
      </w:r>
      <w:r w:rsidR="007B23B1" w:rsidRPr="004F67A4">
        <w:rPr>
          <w:vertAlign w:val="superscript"/>
        </w:rPr>
        <w:t>1</w:t>
      </w:r>
      <w:r w:rsidR="007B23B1" w:rsidRPr="004F67A4">
        <w:t>, R</w:t>
      </w:r>
      <w:r w:rsidR="004F67A4" w:rsidRPr="004F67A4">
        <w:t xml:space="preserve">ichard C </w:t>
      </w:r>
      <w:r w:rsidR="007B23B1" w:rsidRPr="004F67A4">
        <w:t>Wilson</w:t>
      </w:r>
      <w:r w:rsidR="007B23B1" w:rsidRPr="004F67A4">
        <w:rPr>
          <w:vertAlign w:val="superscript"/>
        </w:rPr>
        <w:t>1,2</w:t>
      </w:r>
      <w:r w:rsidR="00657281" w:rsidRPr="004F67A4">
        <w:t>,</w:t>
      </w:r>
      <w:r w:rsidR="007B23B1" w:rsidRPr="004F67A4">
        <w:t xml:space="preserve"> </w:t>
      </w:r>
      <w:r w:rsidR="00627163" w:rsidRPr="004F67A4">
        <w:t>O</w:t>
      </w:r>
      <w:r w:rsidR="004F67A4" w:rsidRPr="004F67A4">
        <w:t>liver</w:t>
      </w:r>
      <w:r w:rsidR="00627163" w:rsidRPr="004F67A4">
        <w:t xml:space="preserve"> Blandy</w:t>
      </w:r>
      <w:r w:rsidR="00627163" w:rsidRPr="004F67A4">
        <w:rPr>
          <w:vertAlign w:val="superscript"/>
        </w:rPr>
        <w:t>1</w:t>
      </w:r>
      <w:r w:rsidRPr="004F67A4">
        <w:t xml:space="preserve">, </w:t>
      </w:r>
      <w:r w:rsidR="00627163" w:rsidRPr="004F67A4">
        <w:t>S</w:t>
      </w:r>
      <w:r w:rsidR="004F67A4" w:rsidRPr="004F67A4">
        <w:t>hiranee</w:t>
      </w:r>
      <w:r w:rsidR="00627163" w:rsidRPr="004F67A4">
        <w:t xml:space="preserve"> Sriskandan</w:t>
      </w:r>
      <w:r w:rsidRPr="004F67A4">
        <w:rPr>
          <w:vertAlign w:val="superscript"/>
        </w:rPr>
        <w:t>1</w:t>
      </w:r>
      <w:r w:rsidRPr="004F67A4">
        <w:t>,</w:t>
      </w:r>
      <w:r w:rsidR="006D040C" w:rsidRPr="004F67A4">
        <w:t xml:space="preserve"> M</w:t>
      </w:r>
      <w:r w:rsidR="004F67A4" w:rsidRPr="004F67A4">
        <w:t>ark</w:t>
      </w:r>
      <w:r w:rsidR="006D040C" w:rsidRPr="004F67A4">
        <w:t xml:space="preserve"> Gilchrist</w:t>
      </w:r>
      <w:r w:rsidR="006D040C" w:rsidRPr="004F67A4">
        <w:rPr>
          <w:vertAlign w:val="superscript"/>
        </w:rPr>
        <w:t>2</w:t>
      </w:r>
      <w:r w:rsidR="006D040C" w:rsidRPr="004F67A4">
        <w:t>,</w:t>
      </w:r>
      <w:r w:rsidRPr="004F67A4">
        <w:t xml:space="preserve"> C</w:t>
      </w:r>
      <w:r w:rsidR="004F67A4" w:rsidRPr="004F67A4">
        <w:t>hristofer</w:t>
      </w:r>
      <w:r w:rsidRPr="004F67A4">
        <w:t xml:space="preserve"> Toumazou</w:t>
      </w:r>
      <w:r w:rsidRPr="004F67A4">
        <w:rPr>
          <w:vertAlign w:val="superscript"/>
        </w:rPr>
        <w:t>3</w:t>
      </w:r>
      <w:r w:rsidRPr="004F67A4">
        <w:t>, P</w:t>
      </w:r>
      <w:r w:rsidR="004F67A4" w:rsidRPr="004F67A4">
        <w:t>antelis</w:t>
      </w:r>
      <w:r w:rsidRPr="004F67A4">
        <w:t xml:space="preserve"> Georgiou</w:t>
      </w:r>
      <w:r w:rsidRPr="004F67A4">
        <w:rPr>
          <w:vertAlign w:val="superscript"/>
        </w:rPr>
        <w:t>3</w:t>
      </w:r>
      <w:r w:rsidRPr="004F67A4">
        <w:t>, A</w:t>
      </w:r>
      <w:r w:rsidR="004F67A4" w:rsidRPr="004F67A4">
        <w:t xml:space="preserve">lison </w:t>
      </w:r>
      <w:r w:rsidRPr="004F67A4">
        <w:t>H Holmes</w:t>
      </w:r>
      <w:r w:rsidRPr="004F67A4">
        <w:rPr>
          <w:vertAlign w:val="superscript"/>
        </w:rPr>
        <w:t>1,2</w:t>
      </w:r>
    </w:p>
    <w:p w14:paraId="296D8FC3" w14:textId="77777777" w:rsidR="00B57118" w:rsidRPr="004F67A4" w:rsidRDefault="00B57118" w:rsidP="00B57118">
      <w:pPr>
        <w:pStyle w:val="ListParagraph"/>
        <w:spacing w:after="0" w:line="480" w:lineRule="auto"/>
        <w:ind w:left="0"/>
        <w:rPr>
          <w:rFonts w:ascii="Arial" w:hAnsi="Arial" w:cs="Arial"/>
          <w:b/>
          <w:sz w:val="16"/>
          <w:szCs w:val="16"/>
        </w:rPr>
      </w:pPr>
    </w:p>
    <w:p w14:paraId="6B3102FB" w14:textId="77777777" w:rsidR="00B57118" w:rsidRPr="004F67A4" w:rsidRDefault="00B57118" w:rsidP="004F67A4">
      <w:pPr>
        <w:pStyle w:val="ListParagraph"/>
        <w:spacing w:after="0" w:line="480" w:lineRule="auto"/>
        <w:ind w:left="0"/>
        <w:jc w:val="both"/>
        <w:rPr>
          <w:rFonts w:ascii="Arial" w:hAnsi="Arial" w:cs="Arial"/>
          <w:i/>
          <w:sz w:val="16"/>
          <w:szCs w:val="16"/>
          <w:vertAlign w:val="superscript"/>
        </w:rPr>
      </w:pPr>
      <w:r w:rsidRPr="004F67A4">
        <w:rPr>
          <w:rFonts w:ascii="Arial" w:hAnsi="Arial" w:cs="Arial"/>
          <w:b/>
          <w:sz w:val="16"/>
          <w:szCs w:val="16"/>
        </w:rPr>
        <w:t>Affiliations:</w:t>
      </w:r>
    </w:p>
    <w:p w14:paraId="524C3A8A" w14:textId="77777777" w:rsidR="00B57118" w:rsidRPr="004F67A4" w:rsidRDefault="00B57118" w:rsidP="004F67A4">
      <w:pPr>
        <w:pStyle w:val="ListParagraph"/>
        <w:numPr>
          <w:ilvl w:val="0"/>
          <w:numId w:val="1"/>
        </w:numPr>
        <w:spacing w:line="480" w:lineRule="auto"/>
        <w:jc w:val="both"/>
        <w:rPr>
          <w:rFonts w:ascii="Arial" w:hAnsi="Arial" w:cs="Arial"/>
          <w:i/>
          <w:sz w:val="16"/>
          <w:szCs w:val="16"/>
        </w:rPr>
      </w:pPr>
      <w:r w:rsidRPr="004F67A4">
        <w:rPr>
          <w:rFonts w:ascii="Arial" w:hAnsi="Arial" w:cs="Arial"/>
          <w:i/>
          <w:sz w:val="16"/>
          <w:szCs w:val="16"/>
        </w:rPr>
        <w:t xml:space="preserve">National Institute for Health Research Health Protection Research Unit in Healthcare Associated Infections and Antimicrobial Resistance, </w:t>
      </w:r>
      <w:r w:rsidRPr="004F67A4">
        <w:rPr>
          <w:rFonts w:ascii="Arial" w:hAnsi="Arial" w:cs="Arial"/>
          <w:i/>
          <w:sz w:val="16"/>
          <w:szCs w:val="16"/>
          <w:shd w:val="clear" w:color="auto" w:fill="FFFFFF"/>
        </w:rPr>
        <w:t xml:space="preserve">Imperial College London, Hammersmith Campus, Du Cane Road, London. W12 0NN. </w:t>
      </w:r>
      <w:r w:rsidRPr="004F67A4">
        <w:rPr>
          <w:rFonts w:ascii="Arial" w:hAnsi="Arial" w:cs="Arial"/>
          <w:i/>
          <w:sz w:val="16"/>
          <w:szCs w:val="16"/>
        </w:rPr>
        <w:t>United Kingdom.</w:t>
      </w:r>
    </w:p>
    <w:p w14:paraId="516E9494" w14:textId="77777777" w:rsidR="00B57118" w:rsidRPr="004F67A4" w:rsidRDefault="00B57118" w:rsidP="004F67A4">
      <w:pPr>
        <w:pStyle w:val="ListParagraph"/>
        <w:numPr>
          <w:ilvl w:val="0"/>
          <w:numId w:val="1"/>
        </w:numPr>
        <w:spacing w:line="480" w:lineRule="auto"/>
        <w:jc w:val="both"/>
        <w:rPr>
          <w:rFonts w:ascii="Arial" w:hAnsi="Arial" w:cs="Arial"/>
          <w:i/>
          <w:sz w:val="16"/>
          <w:szCs w:val="16"/>
        </w:rPr>
      </w:pPr>
      <w:r w:rsidRPr="004F67A4">
        <w:rPr>
          <w:rFonts w:ascii="Arial" w:hAnsi="Arial" w:cs="Arial"/>
          <w:i/>
          <w:sz w:val="16"/>
          <w:szCs w:val="16"/>
        </w:rPr>
        <w:t>Imperial College Healthcare NHS Trust, Hammersmith Hospital, Du Cane Road, London.W12 0HS. United Kingdom</w:t>
      </w:r>
    </w:p>
    <w:p w14:paraId="1A46C071" w14:textId="77777777" w:rsidR="00B57118" w:rsidRPr="004F67A4" w:rsidRDefault="00B57118" w:rsidP="004F67A4">
      <w:pPr>
        <w:pStyle w:val="ListParagraph"/>
        <w:numPr>
          <w:ilvl w:val="0"/>
          <w:numId w:val="1"/>
        </w:numPr>
        <w:spacing w:after="0" w:line="480" w:lineRule="auto"/>
        <w:jc w:val="both"/>
        <w:rPr>
          <w:rFonts w:ascii="Arial" w:hAnsi="Arial" w:cs="Arial"/>
          <w:i/>
          <w:sz w:val="16"/>
          <w:szCs w:val="16"/>
        </w:rPr>
      </w:pPr>
      <w:r w:rsidRPr="004F67A4">
        <w:rPr>
          <w:rFonts w:ascii="Arial" w:hAnsi="Arial" w:cs="Arial"/>
          <w:i/>
          <w:sz w:val="16"/>
          <w:szCs w:val="16"/>
          <w:shd w:val="clear" w:color="auto" w:fill="FFFFFF"/>
        </w:rPr>
        <w:t>Department of Electrical and Electronic Engineering, Imperial College London, South Kensington Campus, London, SW7 2AZ, United Kingdom</w:t>
      </w:r>
    </w:p>
    <w:p w14:paraId="1C1F2F42" w14:textId="6A8976A4" w:rsidR="00FF73F1" w:rsidRPr="004F67A4" w:rsidRDefault="00FF73F1" w:rsidP="004F67A4">
      <w:pPr>
        <w:pStyle w:val="ListParagraph"/>
        <w:numPr>
          <w:ilvl w:val="0"/>
          <w:numId w:val="1"/>
        </w:numPr>
        <w:spacing w:after="0" w:line="480" w:lineRule="auto"/>
        <w:jc w:val="both"/>
        <w:rPr>
          <w:rFonts w:ascii="Arial" w:hAnsi="Arial" w:cs="Arial"/>
          <w:i/>
          <w:sz w:val="16"/>
          <w:szCs w:val="16"/>
        </w:rPr>
      </w:pPr>
      <w:r w:rsidRPr="004F67A4">
        <w:rPr>
          <w:rFonts w:ascii="Arial" w:hAnsi="Arial" w:cs="Arial"/>
          <w:i/>
          <w:sz w:val="16"/>
          <w:szCs w:val="16"/>
          <w:shd w:val="clear" w:color="auto" w:fill="FFFFFF"/>
        </w:rPr>
        <w:t>Chelsea &amp; Westminster NHS Foundation Trust, 369 Fulham Road. London. SW10 9NH.</w:t>
      </w:r>
    </w:p>
    <w:p w14:paraId="27517E40" w14:textId="77777777" w:rsidR="00B57118" w:rsidRPr="004F67A4" w:rsidRDefault="00B57118" w:rsidP="004F67A4">
      <w:pPr>
        <w:pStyle w:val="ListParagraph"/>
        <w:spacing w:after="0" w:line="480" w:lineRule="auto"/>
        <w:ind w:left="0"/>
        <w:jc w:val="both"/>
        <w:rPr>
          <w:rFonts w:ascii="Arial" w:hAnsi="Arial" w:cs="Arial"/>
          <w:sz w:val="16"/>
          <w:szCs w:val="16"/>
        </w:rPr>
      </w:pPr>
    </w:p>
    <w:p w14:paraId="7C6536DC" w14:textId="77777777" w:rsidR="00B57118" w:rsidRPr="004F67A4" w:rsidRDefault="00B57118" w:rsidP="004F67A4">
      <w:pPr>
        <w:pStyle w:val="ListParagraph"/>
        <w:spacing w:after="0" w:line="480" w:lineRule="auto"/>
        <w:ind w:left="0"/>
        <w:jc w:val="both"/>
        <w:rPr>
          <w:rFonts w:ascii="Arial" w:hAnsi="Arial" w:cs="Arial"/>
          <w:sz w:val="16"/>
          <w:szCs w:val="16"/>
        </w:rPr>
      </w:pPr>
      <w:r w:rsidRPr="004F67A4">
        <w:rPr>
          <w:rFonts w:ascii="Arial" w:hAnsi="Arial" w:cs="Arial"/>
          <w:b/>
          <w:sz w:val="16"/>
          <w:szCs w:val="16"/>
        </w:rPr>
        <w:t>Corresponding author:</w:t>
      </w:r>
    </w:p>
    <w:p w14:paraId="51F69F6A" w14:textId="77777777" w:rsidR="00B57118" w:rsidRPr="004F67A4" w:rsidRDefault="00B57118" w:rsidP="004F67A4">
      <w:pPr>
        <w:shd w:val="clear" w:color="auto" w:fill="FFFFFF"/>
        <w:spacing w:line="480" w:lineRule="auto"/>
        <w:jc w:val="both"/>
        <w:rPr>
          <w:sz w:val="16"/>
          <w:szCs w:val="16"/>
        </w:rPr>
      </w:pPr>
      <w:r w:rsidRPr="004F67A4">
        <w:rPr>
          <w:sz w:val="16"/>
          <w:szCs w:val="16"/>
        </w:rPr>
        <w:t>Dr Timothy M Rawson, Health Protection Research Unit in Healthcare Associated Infections &amp; Antimicrobial Resistance, Hammersmith Hospital, Du Cane Road, London.W12 0NN. United Kingdom. Email:  timothy.rawson07@imperial.ac.uk</w:t>
      </w:r>
    </w:p>
    <w:p w14:paraId="7D4E8B55" w14:textId="0C628E0A" w:rsidR="00B57118" w:rsidRDefault="00B57118" w:rsidP="004F67A4">
      <w:pPr>
        <w:shd w:val="clear" w:color="auto" w:fill="FFFFFF"/>
        <w:spacing w:line="480" w:lineRule="auto"/>
        <w:jc w:val="both"/>
        <w:rPr>
          <w:sz w:val="16"/>
          <w:szCs w:val="16"/>
        </w:rPr>
      </w:pPr>
      <w:r w:rsidRPr="004F67A4">
        <w:rPr>
          <w:sz w:val="16"/>
          <w:szCs w:val="16"/>
        </w:rPr>
        <w:t>Telephone: 02033132732.</w:t>
      </w:r>
    </w:p>
    <w:p w14:paraId="3BEFDE3D" w14:textId="7C2DA45F" w:rsidR="004F67A4" w:rsidRDefault="004F67A4" w:rsidP="004F67A4">
      <w:pPr>
        <w:shd w:val="clear" w:color="auto" w:fill="FFFFFF"/>
        <w:spacing w:line="480" w:lineRule="auto"/>
        <w:jc w:val="both"/>
        <w:rPr>
          <w:sz w:val="16"/>
          <w:szCs w:val="16"/>
        </w:rPr>
      </w:pPr>
    </w:p>
    <w:p w14:paraId="7E07C506" w14:textId="37A5776B" w:rsidR="004F67A4" w:rsidRPr="004F67A4" w:rsidRDefault="004F67A4" w:rsidP="004F67A4">
      <w:pPr>
        <w:shd w:val="clear" w:color="auto" w:fill="FFFFFF"/>
        <w:spacing w:line="480" w:lineRule="auto"/>
        <w:jc w:val="both"/>
        <w:rPr>
          <w:b/>
          <w:bCs/>
          <w:sz w:val="16"/>
          <w:szCs w:val="16"/>
        </w:rPr>
      </w:pPr>
      <w:r w:rsidRPr="004F67A4">
        <w:rPr>
          <w:b/>
          <w:bCs/>
          <w:sz w:val="16"/>
          <w:szCs w:val="16"/>
        </w:rPr>
        <w:t xml:space="preserve">Alternative corresponding author: </w:t>
      </w:r>
    </w:p>
    <w:p w14:paraId="49443650" w14:textId="20F3FDB3" w:rsidR="00B57118" w:rsidRPr="004F67A4" w:rsidRDefault="004F67A4" w:rsidP="004F67A4">
      <w:pPr>
        <w:spacing w:line="480" w:lineRule="auto"/>
        <w:jc w:val="both"/>
        <w:rPr>
          <w:b/>
          <w:sz w:val="16"/>
          <w:szCs w:val="16"/>
        </w:rPr>
      </w:pPr>
      <w:r w:rsidRPr="004F67A4">
        <w:rPr>
          <w:bCs/>
          <w:sz w:val="16"/>
          <w:szCs w:val="16"/>
        </w:rPr>
        <w:t>Professor Alison Holmes,</w:t>
      </w:r>
      <w:r>
        <w:rPr>
          <w:b/>
          <w:sz w:val="16"/>
          <w:szCs w:val="16"/>
        </w:rPr>
        <w:t xml:space="preserve"> </w:t>
      </w:r>
      <w:r w:rsidRPr="004F67A4">
        <w:rPr>
          <w:sz w:val="16"/>
          <w:szCs w:val="16"/>
        </w:rPr>
        <w:t xml:space="preserve">Health Protection Research Unit in Healthcare Associated Infections &amp; Antimicrobial Resistance, Hammersmith Hospital, Du Cane Road, London.W12 0NN. United Kingdom. Email: </w:t>
      </w:r>
      <w:hyperlink r:id="rId8" w:history="1">
        <w:r w:rsidRPr="00FD7061">
          <w:rPr>
            <w:rStyle w:val="Hyperlink"/>
            <w:sz w:val="16"/>
            <w:szCs w:val="16"/>
          </w:rPr>
          <w:t>alison.holmes@imperial.ac.uk</w:t>
        </w:r>
      </w:hyperlink>
      <w:r>
        <w:rPr>
          <w:sz w:val="16"/>
          <w:szCs w:val="16"/>
        </w:rPr>
        <w:t xml:space="preserve"> Telephone: </w:t>
      </w:r>
      <w:r w:rsidRPr="004F67A4">
        <w:rPr>
          <w:sz w:val="16"/>
          <w:szCs w:val="16"/>
        </w:rPr>
        <w:t>02033132732.</w:t>
      </w:r>
    </w:p>
    <w:p w14:paraId="53A88F34" w14:textId="77777777" w:rsidR="004F67A4" w:rsidRPr="004F67A4" w:rsidRDefault="004F67A4" w:rsidP="00B57118">
      <w:pPr>
        <w:spacing w:line="480" w:lineRule="auto"/>
        <w:rPr>
          <w:b/>
          <w:sz w:val="16"/>
          <w:szCs w:val="16"/>
        </w:rPr>
      </w:pPr>
    </w:p>
    <w:p w14:paraId="4E462086" w14:textId="06F00F72" w:rsidR="00B57118" w:rsidRDefault="00B57118" w:rsidP="00B57118">
      <w:pPr>
        <w:spacing w:line="480" w:lineRule="auto"/>
        <w:rPr>
          <w:sz w:val="16"/>
          <w:szCs w:val="16"/>
        </w:rPr>
      </w:pPr>
      <w:r w:rsidRPr="004F67A4">
        <w:rPr>
          <w:b/>
          <w:sz w:val="16"/>
          <w:szCs w:val="16"/>
        </w:rPr>
        <w:t>Running Title:</w:t>
      </w:r>
      <w:r w:rsidRPr="004F67A4">
        <w:rPr>
          <w:sz w:val="16"/>
          <w:szCs w:val="16"/>
        </w:rPr>
        <w:t xml:space="preserve"> </w:t>
      </w:r>
      <w:r w:rsidR="00E37AED" w:rsidRPr="004F67A4">
        <w:rPr>
          <w:sz w:val="16"/>
          <w:szCs w:val="16"/>
        </w:rPr>
        <w:t xml:space="preserve">Case-Based Reasoning decision support </w:t>
      </w:r>
    </w:p>
    <w:p w14:paraId="428D31A0" w14:textId="77777777" w:rsidR="004F67A4" w:rsidRDefault="004F67A4" w:rsidP="00B57118">
      <w:pPr>
        <w:spacing w:line="480" w:lineRule="auto"/>
        <w:rPr>
          <w:sz w:val="16"/>
          <w:szCs w:val="16"/>
        </w:rPr>
      </w:pPr>
    </w:p>
    <w:p w14:paraId="54253005" w14:textId="3DB59D38" w:rsidR="004F67A4" w:rsidRDefault="004F67A4" w:rsidP="004F67A4">
      <w:pPr>
        <w:spacing w:line="480" w:lineRule="auto"/>
        <w:jc w:val="both"/>
        <w:rPr>
          <w:sz w:val="16"/>
          <w:szCs w:val="16"/>
        </w:rPr>
      </w:pPr>
      <w:r w:rsidRPr="004F67A4">
        <w:rPr>
          <w:b/>
          <w:bCs/>
          <w:sz w:val="16"/>
          <w:szCs w:val="16"/>
        </w:rPr>
        <w:t>Summary:</w:t>
      </w:r>
      <w:r>
        <w:rPr>
          <w:b/>
          <w:bCs/>
          <w:sz w:val="16"/>
          <w:szCs w:val="16"/>
        </w:rPr>
        <w:t xml:space="preserve"> </w:t>
      </w:r>
      <w:r>
        <w:rPr>
          <w:sz w:val="16"/>
          <w:szCs w:val="16"/>
        </w:rPr>
        <w:t>A case-based-reasoning algorithm was evaluated in the real-world against prescriber decisions. The algorithm provided appropriate antibiotic recommendations that were significantly narrower in spectrum compared to choices being made in current clinical practice.</w:t>
      </w:r>
    </w:p>
    <w:p w14:paraId="7B5D3BDE" w14:textId="77777777" w:rsidR="004F67A4" w:rsidRPr="004F67A4" w:rsidRDefault="004F67A4" w:rsidP="004F67A4">
      <w:pPr>
        <w:spacing w:line="480" w:lineRule="auto"/>
        <w:jc w:val="both"/>
        <w:rPr>
          <w:b/>
          <w:bCs/>
          <w:sz w:val="16"/>
          <w:szCs w:val="16"/>
        </w:rPr>
      </w:pPr>
    </w:p>
    <w:p w14:paraId="63FCC4D1" w14:textId="1FF03D88" w:rsidR="00E77EEF" w:rsidRPr="004F67A4" w:rsidRDefault="00B57118" w:rsidP="004F67A4">
      <w:pPr>
        <w:spacing w:line="480" w:lineRule="auto"/>
        <w:jc w:val="both"/>
        <w:rPr>
          <w:rFonts w:ascii="Times New Roman" w:hAnsi="Times New Roman" w:cs="Times New Roman"/>
          <w:sz w:val="16"/>
          <w:szCs w:val="16"/>
        </w:rPr>
      </w:pPr>
      <w:r w:rsidRPr="004F67A4">
        <w:rPr>
          <w:b/>
          <w:sz w:val="16"/>
          <w:szCs w:val="16"/>
        </w:rPr>
        <w:t>Search terms:</w:t>
      </w:r>
      <w:r w:rsidRPr="004F67A4">
        <w:rPr>
          <w:sz w:val="16"/>
          <w:szCs w:val="16"/>
        </w:rPr>
        <w:t xml:space="preserve"> </w:t>
      </w:r>
      <w:r w:rsidR="004F67A4">
        <w:rPr>
          <w:sz w:val="16"/>
          <w:szCs w:val="16"/>
        </w:rPr>
        <w:t xml:space="preserve"> </w:t>
      </w:r>
      <w:r w:rsidR="00E77EEF" w:rsidRPr="004F67A4">
        <w:rPr>
          <w:sz w:val="16"/>
          <w:szCs w:val="16"/>
        </w:rPr>
        <w:t xml:space="preserve">Artificial intelligence, Machine Learning, Case-based Reasoning, Sepsis, Antimicrobial Stewardship, Clinical Decision Support Systems </w:t>
      </w:r>
    </w:p>
    <w:p w14:paraId="728DA7D5" w14:textId="50DEDB4E" w:rsidR="00B57118" w:rsidRDefault="00B57118" w:rsidP="00B57118"/>
    <w:p w14:paraId="3F6C8F63" w14:textId="77777777" w:rsidR="00B57118" w:rsidRDefault="00B57118" w:rsidP="00B57118">
      <w:pPr>
        <w:rPr>
          <w:sz w:val="22"/>
          <w:szCs w:val="22"/>
        </w:rPr>
        <w:sectPr w:rsidR="00B57118" w:rsidSect="007B595B">
          <w:footerReference w:type="default" r:id="rId9"/>
          <w:pgSz w:w="11906" w:h="16838"/>
          <w:pgMar w:top="1440" w:right="1440" w:bottom="1440" w:left="1440" w:header="709" w:footer="709" w:gutter="0"/>
          <w:cols w:space="708"/>
          <w:docGrid w:linePitch="360"/>
        </w:sectPr>
      </w:pPr>
    </w:p>
    <w:p w14:paraId="42C5B04B" w14:textId="77777777" w:rsidR="00B57118" w:rsidRDefault="00B57118" w:rsidP="00B57118">
      <w:pPr>
        <w:rPr>
          <w:b/>
          <w:sz w:val="24"/>
          <w:szCs w:val="24"/>
        </w:rPr>
      </w:pPr>
      <w:r w:rsidRPr="00B57118">
        <w:rPr>
          <w:b/>
          <w:sz w:val="24"/>
          <w:szCs w:val="24"/>
        </w:rPr>
        <w:lastRenderedPageBreak/>
        <w:t>Abstract</w:t>
      </w:r>
    </w:p>
    <w:p w14:paraId="3508F33B" w14:textId="77777777" w:rsidR="00091243" w:rsidRPr="00B57118" w:rsidRDefault="00091243" w:rsidP="00B57118">
      <w:pPr>
        <w:rPr>
          <w:b/>
          <w:sz w:val="24"/>
          <w:szCs w:val="24"/>
        </w:rPr>
      </w:pPr>
    </w:p>
    <w:p w14:paraId="3367EAF0" w14:textId="5495B878" w:rsidR="00B57118" w:rsidRPr="00D4792A" w:rsidRDefault="00B57118" w:rsidP="000159EB">
      <w:pPr>
        <w:spacing w:line="480" w:lineRule="auto"/>
        <w:jc w:val="both"/>
      </w:pPr>
      <w:r w:rsidRPr="00D4792A">
        <w:rPr>
          <w:b/>
        </w:rPr>
        <w:t xml:space="preserve">Background: </w:t>
      </w:r>
      <w:r w:rsidR="005808A3">
        <w:t>A</w:t>
      </w:r>
      <w:r w:rsidR="005D76F8" w:rsidRPr="00D4792A">
        <w:t xml:space="preserve"> </w:t>
      </w:r>
      <w:r w:rsidR="005808A3">
        <w:t xml:space="preserve">locally developed </w:t>
      </w:r>
      <w:r w:rsidR="005D76F8" w:rsidRPr="00D4792A">
        <w:t>Case-Based</w:t>
      </w:r>
      <w:r w:rsidR="00C17109" w:rsidRPr="00D4792A">
        <w:t xml:space="preserve"> </w:t>
      </w:r>
      <w:r w:rsidR="005D76F8" w:rsidRPr="00D4792A">
        <w:t xml:space="preserve">Reasoning (CBR) </w:t>
      </w:r>
      <w:r w:rsidR="008767C1">
        <w:t>algorithm,</w:t>
      </w:r>
      <w:r w:rsidR="005D76F8" w:rsidRPr="00D4792A">
        <w:t xml:space="preserve"> designed to </w:t>
      </w:r>
      <w:r w:rsidR="00C17109" w:rsidRPr="00D4792A">
        <w:t>augment antimicrobial prescribing in secondary care</w:t>
      </w:r>
      <w:r w:rsidR="005808A3">
        <w:t xml:space="preserve"> was evaluated.</w:t>
      </w:r>
    </w:p>
    <w:p w14:paraId="4ECD9E00" w14:textId="77777777" w:rsidR="0055703F" w:rsidRPr="00D4792A" w:rsidRDefault="0055703F" w:rsidP="000159EB">
      <w:pPr>
        <w:spacing w:line="480" w:lineRule="auto"/>
        <w:jc w:val="both"/>
      </w:pPr>
    </w:p>
    <w:p w14:paraId="74CB7CD8" w14:textId="253379EB" w:rsidR="007B23B1" w:rsidRPr="00D4792A" w:rsidRDefault="007B23B1" w:rsidP="000159EB">
      <w:pPr>
        <w:spacing w:line="480" w:lineRule="auto"/>
        <w:jc w:val="both"/>
      </w:pPr>
      <w:r w:rsidRPr="00D4792A">
        <w:rPr>
          <w:b/>
        </w:rPr>
        <w:t>Methods:</w:t>
      </w:r>
      <w:r w:rsidR="005D76F8" w:rsidRPr="00D4792A">
        <w:rPr>
          <w:b/>
        </w:rPr>
        <w:t xml:space="preserve"> </w:t>
      </w:r>
      <w:r w:rsidR="00610D85">
        <w:t>P</w:t>
      </w:r>
      <w:r w:rsidR="00C17109" w:rsidRPr="00D4792A">
        <w:t xml:space="preserve">rescribing recommendations made </w:t>
      </w:r>
      <w:r w:rsidR="00610D85">
        <w:t xml:space="preserve">by </w:t>
      </w:r>
      <w:r w:rsidR="00C17109" w:rsidRPr="00D4792A">
        <w:t xml:space="preserve">a </w:t>
      </w:r>
      <w:r w:rsidR="005D76F8" w:rsidRPr="00D4792A">
        <w:t xml:space="preserve">CBR </w:t>
      </w:r>
      <w:r w:rsidR="00A05C20" w:rsidRPr="00D4792A">
        <w:t xml:space="preserve">algorithm </w:t>
      </w:r>
      <w:r w:rsidR="00610D85" w:rsidRPr="00D4792A">
        <w:t>w</w:t>
      </w:r>
      <w:r w:rsidR="00610D85">
        <w:t>ere</w:t>
      </w:r>
      <w:r w:rsidR="00610D85" w:rsidRPr="00D4792A">
        <w:t xml:space="preserve"> </w:t>
      </w:r>
      <w:r w:rsidR="00C17109" w:rsidRPr="00D4792A">
        <w:t>compared to decision</w:t>
      </w:r>
      <w:r w:rsidR="005808A3">
        <w:t>s</w:t>
      </w:r>
      <w:r w:rsidR="00C17109" w:rsidRPr="00D4792A">
        <w:t xml:space="preserve"> made by physicians in clinical practice</w:t>
      </w:r>
      <w:r w:rsidR="005D76F8" w:rsidRPr="00D4792A">
        <w:t>.</w:t>
      </w:r>
      <w:r w:rsidR="00C17109" w:rsidRPr="00D4792A">
        <w:t xml:space="preserve"> </w:t>
      </w:r>
      <w:r w:rsidR="005808A3">
        <w:t xml:space="preserve">Comparisons were examined in two </w:t>
      </w:r>
      <w:r w:rsidR="00C17109" w:rsidRPr="00D4792A">
        <w:t>patient</w:t>
      </w:r>
      <w:r w:rsidR="005808A3">
        <w:t xml:space="preserve"> populations</w:t>
      </w:r>
      <w:r w:rsidR="00610D85">
        <w:rPr>
          <w:rStyle w:val="CommentReference"/>
          <w:rFonts w:ascii="Calibri" w:eastAsia="Calibri" w:hAnsi="Calibri" w:cs="Times New Roman"/>
        </w:rPr>
        <w:t>.</w:t>
      </w:r>
      <w:r w:rsidR="00BC5853">
        <w:rPr>
          <w:rStyle w:val="CommentReference"/>
          <w:rFonts w:ascii="Calibri" w:eastAsia="Calibri" w:hAnsi="Calibri" w:cs="Times New Roman"/>
        </w:rPr>
        <w:t xml:space="preserve"> </w:t>
      </w:r>
      <w:r w:rsidR="00610D85">
        <w:t>F</w:t>
      </w:r>
      <w:r w:rsidR="00E37AED">
        <w:t>irstly, i</w:t>
      </w:r>
      <w:r w:rsidR="005808A3">
        <w:t xml:space="preserve">n patients </w:t>
      </w:r>
      <w:r w:rsidR="00C17109" w:rsidRPr="00D4792A">
        <w:t xml:space="preserve">with confirmed </w:t>
      </w:r>
      <w:r w:rsidR="00C17109" w:rsidRPr="00D4792A">
        <w:rPr>
          <w:i/>
          <w:iCs/>
        </w:rPr>
        <w:t>Escherichia coli</w:t>
      </w:r>
      <w:r w:rsidR="00C17109" w:rsidRPr="00D4792A">
        <w:t xml:space="preserve"> blood stream infections</w:t>
      </w:r>
      <w:r w:rsidR="00BC5853">
        <w:t xml:space="preserve"> (‘</w:t>
      </w:r>
      <w:r w:rsidR="00BC5853" w:rsidRPr="00E37AED">
        <w:rPr>
          <w:i/>
          <w:iCs/>
        </w:rPr>
        <w:t>E.coli</w:t>
      </w:r>
      <w:r w:rsidR="00BC5853">
        <w:t xml:space="preserve"> patients’</w:t>
      </w:r>
      <w:r w:rsidR="00E37AED">
        <w:t>)</w:t>
      </w:r>
      <w:r w:rsidR="005808A3">
        <w:t xml:space="preserve">, </w:t>
      </w:r>
      <w:r w:rsidR="004A280E">
        <w:t xml:space="preserve">and secondly </w:t>
      </w:r>
      <w:r w:rsidR="005808A3">
        <w:t xml:space="preserve">in </w:t>
      </w:r>
      <w:r w:rsidR="00B800F8">
        <w:t xml:space="preserve">ward-based </w:t>
      </w:r>
      <w:r w:rsidR="00C17109" w:rsidRPr="00D4792A">
        <w:t>patients present</w:t>
      </w:r>
      <w:r w:rsidR="00D254C4">
        <w:t>ing</w:t>
      </w:r>
      <w:r w:rsidR="00C17109" w:rsidRPr="00D4792A">
        <w:t xml:space="preserve"> with a range of potential infections</w:t>
      </w:r>
      <w:r w:rsidR="00BC5853">
        <w:t xml:space="preserve"> (‘</w:t>
      </w:r>
      <w:r w:rsidR="00BC5853" w:rsidRPr="00E37AED">
        <w:t xml:space="preserve">ward </w:t>
      </w:r>
      <w:r w:rsidR="00BC5853">
        <w:t>patients’)</w:t>
      </w:r>
      <w:r w:rsidR="00B800F8">
        <w:t>.</w:t>
      </w:r>
      <w:r w:rsidR="005D76F8" w:rsidRPr="00D4792A">
        <w:t xml:space="preserve"> </w:t>
      </w:r>
      <w:r w:rsidR="00A05C20" w:rsidRPr="00D4792A">
        <w:t>Prescribing recommendations</w:t>
      </w:r>
      <w:r w:rsidR="00C17109" w:rsidRPr="00D4792A">
        <w:t xml:space="preserve"> were</w:t>
      </w:r>
      <w:r w:rsidR="00A05C20" w:rsidRPr="00D4792A">
        <w:t xml:space="preserve"> </w:t>
      </w:r>
      <w:r w:rsidR="00C17109" w:rsidRPr="00D4792A">
        <w:t>compared</w:t>
      </w:r>
      <w:r w:rsidR="005D76F8" w:rsidRPr="00D4792A">
        <w:t xml:space="preserve"> </w:t>
      </w:r>
      <w:r w:rsidR="001B1E74">
        <w:t xml:space="preserve">against </w:t>
      </w:r>
      <w:r w:rsidR="005D76F8" w:rsidRPr="00D4792A">
        <w:t>the Antimicrobial Spectrum Index (ASI)</w:t>
      </w:r>
      <w:r w:rsidR="00A05C20" w:rsidRPr="00D4792A">
        <w:t xml:space="preserve"> and the WHO Essential Medicine List </w:t>
      </w:r>
      <w:r w:rsidR="00A05C20" w:rsidRPr="00E37AED">
        <w:rPr>
          <w:i/>
        </w:rPr>
        <w:t>Access</w:t>
      </w:r>
      <w:r w:rsidR="00A05C20" w:rsidRPr="00D4792A">
        <w:t xml:space="preserve">, </w:t>
      </w:r>
      <w:r w:rsidR="00A05C20" w:rsidRPr="00E37AED">
        <w:rPr>
          <w:i/>
        </w:rPr>
        <w:t>Watch</w:t>
      </w:r>
      <w:r w:rsidR="00A05C20" w:rsidRPr="00D4792A">
        <w:t xml:space="preserve">, </w:t>
      </w:r>
      <w:r w:rsidR="00A05C20" w:rsidRPr="00E37AED">
        <w:rPr>
          <w:i/>
        </w:rPr>
        <w:t>Reserve</w:t>
      </w:r>
      <w:r w:rsidR="00A05C20" w:rsidRPr="00D4792A">
        <w:t xml:space="preserve"> (AWaRe) classification system.</w:t>
      </w:r>
      <w:r w:rsidR="00C17109" w:rsidRPr="00D4792A">
        <w:t xml:space="preserve"> Appropriateness of a prescription was defined as the spectrum of the prescription covering the known, or most-likely organism </w:t>
      </w:r>
      <w:r w:rsidR="0011348B" w:rsidRPr="00D4792A">
        <w:t xml:space="preserve">antimicrobial </w:t>
      </w:r>
      <w:r w:rsidR="00C17109" w:rsidRPr="00D4792A">
        <w:t>sensitivity profile</w:t>
      </w:r>
      <w:r w:rsidR="0011348B" w:rsidRPr="00D4792A">
        <w:t xml:space="preserve">. </w:t>
      </w:r>
    </w:p>
    <w:p w14:paraId="0352BB89" w14:textId="77777777" w:rsidR="0055703F" w:rsidRPr="00D4792A" w:rsidRDefault="0055703F" w:rsidP="000159EB">
      <w:pPr>
        <w:spacing w:line="480" w:lineRule="auto"/>
        <w:jc w:val="both"/>
      </w:pPr>
    </w:p>
    <w:p w14:paraId="572530BB" w14:textId="12058AB1" w:rsidR="00C6043E" w:rsidRPr="00D17280" w:rsidRDefault="00B57118" w:rsidP="000159EB">
      <w:pPr>
        <w:spacing w:line="480" w:lineRule="auto"/>
        <w:jc w:val="both"/>
      </w:pPr>
      <w:r w:rsidRPr="00D4792A">
        <w:rPr>
          <w:b/>
        </w:rPr>
        <w:t>Results:</w:t>
      </w:r>
      <w:r w:rsidRPr="00D4792A">
        <w:t xml:space="preserve"> </w:t>
      </w:r>
      <w:r w:rsidR="00AD38B3" w:rsidRPr="00D4792A">
        <w:t>In total, 224 patients</w:t>
      </w:r>
      <w:r w:rsidR="0011348B" w:rsidRPr="00D4792A">
        <w:t xml:space="preserve"> (145 </w:t>
      </w:r>
      <w:r w:rsidR="0011348B" w:rsidRPr="00E37AED">
        <w:rPr>
          <w:i/>
          <w:iCs/>
        </w:rPr>
        <w:t>E.coli</w:t>
      </w:r>
      <w:r w:rsidR="0011348B" w:rsidRPr="00D4792A">
        <w:t xml:space="preserve"> </w:t>
      </w:r>
      <w:r w:rsidR="00B800F8">
        <w:t>patients</w:t>
      </w:r>
      <w:r w:rsidR="0011348B" w:rsidRPr="00D4792A">
        <w:t xml:space="preserve"> and 79 ward </w:t>
      </w:r>
      <w:r w:rsidR="00B800F8">
        <w:t>patients</w:t>
      </w:r>
      <w:r w:rsidR="0011348B" w:rsidRPr="00D4792A">
        <w:t>)</w:t>
      </w:r>
      <w:r w:rsidR="00AD38B3" w:rsidRPr="00D4792A">
        <w:t xml:space="preserve"> were </w:t>
      </w:r>
      <w:r w:rsidR="00E37AED">
        <w:t>included</w:t>
      </w:r>
      <w:r w:rsidR="00AD38B3" w:rsidRPr="00D4792A">
        <w:t>. Mean (SD) a</w:t>
      </w:r>
      <w:r w:rsidR="00F621DE" w:rsidRPr="00D4792A">
        <w:t>ge</w:t>
      </w:r>
      <w:r w:rsidR="00AD38B3" w:rsidRPr="00D4792A">
        <w:t xml:space="preserve"> was </w:t>
      </w:r>
      <w:r w:rsidR="00B048CB" w:rsidRPr="00D4792A">
        <w:t>66 (18) years with 108/224 (48%) female gender.</w:t>
      </w:r>
      <w:r w:rsidR="00D4792A" w:rsidRPr="00D4792A">
        <w:t xml:space="preserve"> The</w:t>
      </w:r>
      <w:r w:rsidR="00B048CB" w:rsidRPr="00D4792A">
        <w:t xml:space="preserve"> CBR recommendations were appropriate </w:t>
      </w:r>
      <w:r w:rsidR="00820CD3" w:rsidRPr="00D4792A">
        <w:t>in 202/224 (90%) compared to 186/224 (83%) in practice (</w:t>
      </w:r>
      <w:r w:rsidR="00820CD3" w:rsidRPr="00D4792A">
        <w:rPr>
          <w:iCs/>
        </w:rPr>
        <w:t>OR: 1.24 95%CI:0.392-3.936;</w:t>
      </w:r>
      <w:r w:rsidR="00820CD3" w:rsidRPr="00D4792A">
        <w:rPr>
          <w:i/>
          <w:iCs/>
        </w:rPr>
        <w:t>p=0.71</w:t>
      </w:r>
      <w:r w:rsidR="00E37AED">
        <w:t>). CBR</w:t>
      </w:r>
      <w:r w:rsidR="00D254C4">
        <w:t xml:space="preserve"> </w:t>
      </w:r>
      <w:r w:rsidR="00820CD3" w:rsidRPr="00D4792A">
        <w:t>recommendations</w:t>
      </w:r>
      <w:r w:rsidR="008767C1">
        <w:t xml:space="preserve"> had a smaller ASI</w:t>
      </w:r>
      <w:r w:rsidR="00820CD3" w:rsidRPr="00D4792A">
        <w:t xml:space="preserve"> compared to practice with a median (range) of 6 (0-13) compared to 8 (0-12) (</w:t>
      </w:r>
      <w:r w:rsidR="00820CD3" w:rsidRPr="00D4792A">
        <w:rPr>
          <w:i/>
        </w:rPr>
        <w:t>p&lt;0.01</w:t>
      </w:r>
      <w:r w:rsidR="00820CD3" w:rsidRPr="00D4792A">
        <w:t>).</w:t>
      </w:r>
      <w:r w:rsidR="00F621DE" w:rsidRPr="00D4792A">
        <w:t xml:space="preserve"> CBR recommendations were more likely to be classified as </w:t>
      </w:r>
      <w:r w:rsidR="00F621DE" w:rsidRPr="00E37AED">
        <w:rPr>
          <w:i/>
        </w:rPr>
        <w:t>Access</w:t>
      </w:r>
      <w:r w:rsidR="00F621DE" w:rsidRPr="00D4792A">
        <w:t xml:space="preserve"> class antimicrobials compared to </w:t>
      </w:r>
      <w:r w:rsidR="00D4792A" w:rsidRPr="00D4792A">
        <w:t>physicians</w:t>
      </w:r>
      <w:r w:rsidR="00D254C4">
        <w:t>’</w:t>
      </w:r>
      <w:r w:rsidR="00D4792A" w:rsidRPr="00D4792A">
        <w:t xml:space="preserve"> </w:t>
      </w:r>
      <w:r w:rsidR="00F621DE" w:rsidRPr="00D4792A">
        <w:t>prescriptions</w:t>
      </w:r>
      <w:r w:rsidR="00610D85">
        <w:t xml:space="preserve"> at</w:t>
      </w:r>
      <w:r w:rsidR="00F621DE" w:rsidRPr="00D4792A">
        <w:t xml:space="preserve"> 110/224 (49%) vs. 79/224 (35%) (OR: 1.77 95%CI:1.212-2.588 </w:t>
      </w:r>
      <w:r w:rsidR="00F621DE" w:rsidRPr="00D4792A">
        <w:rPr>
          <w:i/>
          <w:iCs/>
        </w:rPr>
        <w:t>p&lt;0.01).</w:t>
      </w:r>
      <w:r w:rsidR="00D17280">
        <w:rPr>
          <w:i/>
          <w:iCs/>
        </w:rPr>
        <w:t xml:space="preserve"> </w:t>
      </w:r>
      <w:r w:rsidR="00D17280">
        <w:t xml:space="preserve">Results were similar for </w:t>
      </w:r>
      <w:r w:rsidR="00D17280" w:rsidRPr="00D81624">
        <w:rPr>
          <w:i/>
          <w:iCs/>
        </w:rPr>
        <w:t>E.coli</w:t>
      </w:r>
      <w:r w:rsidR="00D17280">
        <w:t xml:space="preserve"> and ward patients on subgroup analysis. </w:t>
      </w:r>
    </w:p>
    <w:p w14:paraId="52A43E2A" w14:textId="77777777" w:rsidR="0055703F" w:rsidRPr="00D4792A" w:rsidRDefault="0055703F" w:rsidP="000159EB">
      <w:pPr>
        <w:spacing w:line="480" w:lineRule="auto"/>
        <w:jc w:val="both"/>
      </w:pPr>
    </w:p>
    <w:p w14:paraId="0D046A2B" w14:textId="6E318F14" w:rsidR="00C47E42" w:rsidRPr="00D4792A" w:rsidRDefault="00B57118" w:rsidP="00C47E42">
      <w:pPr>
        <w:spacing w:line="480" w:lineRule="auto"/>
        <w:jc w:val="both"/>
      </w:pPr>
      <w:r w:rsidRPr="00D4792A">
        <w:rPr>
          <w:b/>
        </w:rPr>
        <w:t>Conclusions:</w:t>
      </w:r>
      <w:r w:rsidRPr="00D4792A">
        <w:t xml:space="preserve"> </w:t>
      </w:r>
      <w:r w:rsidR="0055703F" w:rsidRPr="00D4792A">
        <w:t>A CBR</w:t>
      </w:r>
      <w:r w:rsidR="00E77EEF" w:rsidRPr="00D4792A">
        <w:t>-</w:t>
      </w:r>
      <w:r w:rsidR="0055703F" w:rsidRPr="00D4792A">
        <w:t>driven decision support</w:t>
      </w:r>
      <w:r w:rsidR="005479E6" w:rsidRPr="00D4792A">
        <w:t xml:space="preserve"> system</w:t>
      </w:r>
      <w:r w:rsidR="0055703F" w:rsidRPr="00D4792A">
        <w:t xml:space="preserve"> provided appropriate recommendations </w:t>
      </w:r>
      <w:r w:rsidR="00D17280">
        <w:t>within</w:t>
      </w:r>
      <w:r w:rsidR="00D5771E" w:rsidRPr="00D4792A">
        <w:t xml:space="preserve"> a narrow</w:t>
      </w:r>
      <w:r w:rsidR="005479E6" w:rsidRPr="00D4792A">
        <w:t>er</w:t>
      </w:r>
      <w:r w:rsidR="00D5771E" w:rsidRPr="00D4792A">
        <w:t xml:space="preserve"> spectrum compared to </w:t>
      </w:r>
      <w:r w:rsidR="005479E6" w:rsidRPr="00D4792A">
        <w:t xml:space="preserve">current </w:t>
      </w:r>
      <w:r w:rsidR="00D5771E" w:rsidRPr="00D4792A">
        <w:t xml:space="preserve">clinical practice. Future work </w:t>
      </w:r>
      <w:r w:rsidR="008767C1">
        <w:t>must</w:t>
      </w:r>
      <w:r w:rsidR="00D5771E" w:rsidRPr="00D4792A">
        <w:t xml:space="preserve"> investigate the impact </w:t>
      </w:r>
      <w:r w:rsidR="00E77EEF" w:rsidRPr="00D4792A">
        <w:t xml:space="preserve">of </w:t>
      </w:r>
      <w:r w:rsidR="008767C1">
        <w:t>this intervention</w:t>
      </w:r>
      <w:r w:rsidR="00D5771E" w:rsidRPr="00D4792A">
        <w:t xml:space="preserve"> on </w:t>
      </w:r>
      <w:bookmarkStart w:id="0" w:name="_GoBack"/>
      <w:bookmarkEnd w:id="0"/>
      <w:r w:rsidR="00D5771E" w:rsidRPr="00D4792A">
        <w:t>prescribing behaviours</w:t>
      </w:r>
      <w:r w:rsidR="00D254C4">
        <w:t xml:space="preserve"> more broadly</w:t>
      </w:r>
      <w:r w:rsidR="00D5771E" w:rsidRPr="00D4792A">
        <w:t xml:space="preserve"> and patient outcomes. </w:t>
      </w:r>
    </w:p>
    <w:p w14:paraId="02C5AC78" w14:textId="77777777" w:rsidR="001029EC" w:rsidRPr="001029EC" w:rsidRDefault="001029EC" w:rsidP="00C47E42">
      <w:pPr>
        <w:spacing w:line="480" w:lineRule="auto"/>
        <w:jc w:val="both"/>
        <w:rPr>
          <w:b/>
          <w:sz w:val="24"/>
          <w:szCs w:val="24"/>
        </w:rPr>
      </w:pPr>
    </w:p>
    <w:p w14:paraId="4B07E718" w14:textId="7BC4364D" w:rsidR="005479E6" w:rsidRPr="001029EC" w:rsidRDefault="005479E6" w:rsidP="00C47E42">
      <w:pPr>
        <w:spacing w:line="480" w:lineRule="auto"/>
        <w:jc w:val="both"/>
        <w:rPr>
          <w:b/>
          <w:sz w:val="24"/>
          <w:szCs w:val="24"/>
        </w:rPr>
      </w:pPr>
      <w:r w:rsidRPr="001029EC">
        <w:rPr>
          <w:b/>
          <w:sz w:val="24"/>
          <w:szCs w:val="24"/>
        </w:rPr>
        <w:t xml:space="preserve">Abstract: </w:t>
      </w:r>
      <w:r w:rsidR="00610D85" w:rsidRPr="001029EC">
        <w:rPr>
          <w:b/>
          <w:sz w:val="24"/>
          <w:szCs w:val="24"/>
        </w:rPr>
        <w:t>2</w:t>
      </w:r>
      <w:r w:rsidR="00610D85">
        <w:rPr>
          <w:b/>
          <w:sz w:val="24"/>
          <w:szCs w:val="24"/>
        </w:rPr>
        <w:t>48</w:t>
      </w:r>
    </w:p>
    <w:p w14:paraId="78405C1F" w14:textId="0475C3B8" w:rsidR="00C47E42" w:rsidRDefault="001029EC" w:rsidP="00C47E42">
      <w:pPr>
        <w:spacing w:line="480" w:lineRule="auto"/>
        <w:jc w:val="both"/>
        <w:rPr>
          <w:b/>
          <w:sz w:val="24"/>
          <w:szCs w:val="24"/>
        </w:rPr>
      </w:pPr>
      <w:r w:rsidRPr="001029EC">
        <w:rPr>
          <w:b/>
          <w:sz w:val="24"/>
          <w:szCs w:val="24"/>
        </w:rPr>
        <w:t>Words:</w:t>
      </w:r>
      <w:r>
        <w:rPr>
          <w:b/>
          <w:sz w:val="24"/>
          <w:szCs w:val="24"/>
        </w:rPr>
        <w:t xml:space="preserve"> </w:t>
      </w:r>
      <w:r w:rsidR="00610D85">
        <w:rPr>
          <w:b/>
          <w:sz w:val="24"/>
          <w:szCs w:val="24"/>
        </w:rPr>
        <w:t>29</w:t>
      </w:r>
      <w:r w:rsidR="00B825D9">
        <w:rPr>
          <w:b/>
          <w:sz w:val="24"/>
          <w:szCs w:val="24"/>
        </w:rPr>
        <w:t>99</w:t>
      </w:r>
    </w:p>
    <w:p w14:paraId="08C1A8DB" w14:textId="77777777" w:rsidR="001029EC" w:rsidRPr="001029EC" w:rsidRDefault="001029EC" w:rsidP="00C47E42">
      <w:pPr>
        <w:spacing w:line="480" w:lineRule="auto"/>
        <w:jc w:val="both"/>
        <w:rPr>
          <w:b/>
          <w:sz w:val="24"/>
          <w:szCs w:val="24"/>
        </w:rPr>
        <w:sectPr w:rsidR="001029EC" w:rsidRPr="001029EC" w:rsidSect="007B595B">
          <w:pgSz w:w="11906" w:h="16838"/>
          <w:pgMar w:top="1440" w:right="1440" w:bottom="1440" w:left="1440" w:header="709" w:footer="709" w:gutter="0"/>
          <w:cols w:space="708"/>
          <w:docGrid w:linePitch="360"/>
        </w:sectPr>
      </w:pPr>
    </w:p>
    <w:p w14:paraId="581AFEA8" w14:textId="523866FD" w:rsidR="00B57118" w:rsidRPr="0035263C" w:rsidRDefault="00B57118" w:rsidP="00B57118">
      <w:pPr>
        <w:spacing w:line="480" w:lineRule="auto"/>
        <w:jc w:val="both"/>
        <w:rPr>
          <w:b/>
          <w:sz w:val="24"/>
          <w:szCs w:val="24"/>
        </w:rPr>
      </w:pPr>
      <w:r w:rsidRPr="0035263C">
        <w:rPr>
          <w:b/>
          <w:sz w:val="24"/>
          <w:szCs w:val="24"/>
        </w:rPr>
        <w:lastRenderedPageBreak/>
        <w:t>Background</w:t>
      </w:r>
      <w:r w:rsidR="001029EC">
        <w:rPr>
          <w:b/>
          <w:sz w:val="24"/>
          <w:szCs w:val="24"/>
        </w:rPr>
        <w:t xml:space="preserve"> </w:t>
      </w:r>
    </w:p>
    <w:p w14:paraId="1EA8545E" w14:textId="79163BF1" w:rsidR="00E06C34" w:rsidRPr="0035263C" w:rsidRDefault="005362C0" w:rsidP="009C5653">
      <w:pPr>
        <w:spacing w:after="200" w:line="480" w:lineRule="auto"/>
        <w:jc w:val="both"/>
        <w:rPr>
          <w:sz w:val="22"/>
          <w:szCs w:val="22"/>
        </w:rPr>
      </w:pPr>
      <w:r w:rsidRPr="0035263C">
        <w:rPr>
          <w:sz w:val="22"/>
          <w:szCs w:val="22"/>
        </w:rPr>
        <w:t>Anti</w:t>
      </w:r>
      <w:r w:rsidR="00E06C34" w:rsidRPr="0035263C">
        <w:rPr>
          <w:sz w:val="22"/>
          <w:szCs w:val="22"/>
        </w:rPr>
        <w:t>microbial</w:t>
      </w:r>
      <w:r w:rsidRPr="0035263C">
        <w:rPr>
          <w:sz w:val="22"/>
          <w:szCs w:val="22"/>
        </w:rPr>
        <w:t xml:space="preserve"> resistance</w:t>
      </w:r>
      <w:r w:rsidR="00E06C34" w:rsidRPr="0035263C">
        <w:rPr>
          <w:sz w:val="22"/>
          <w:szCs w:val="22"/>
        </w:rPr>
        <w:t xml:space="preserve"> (AMR)</w:t>
      </w:r>
      <w:r w:rsidRPr="0035263C">
        <w:rPr>
          <w:sz w:val="22"/>
          <w:szCs w:val="22"/>
        </w:rPr>
        <w:t xml:space="preserve"> is a growing threat to patient safety.</w:t>
      </w:r>
      <w:r w:rsidR="00E06C34" w:rsidRPr="0035263C">
        <w:rPr>
          <w:sz w:val="22"/>
          <w:szCs w:val="22"/>
        </w:rPr>
        <w:t xml:space="preserve"> A major driver of</w:t>
      </w:r>
      <w:r w:rsidRPr="0035263C">
        <w:rPr>
          <w:sz w:val="22"/>
          <w:szCs w:val="22"/>
        </w:rPr>
        <w:t xml:space="preserve"> </w:t>
      </w:r>
      <w:r w:rsidR="00E06C34" w:rsidRPr="0035263C">
        <w:rPr>
          <w:sz w:val="22"/>
          <w:szCs w:val="22"/>
        </w:rPr>
        <w:t>AMR is the inappropriate use of antimicrobials</w:t>
      </w:r>
      <w:r w:rsidR="00EB25F1">
        <w:rPr>
          <w:sz w:val="22"/>
          <w:szCs w:val="22"/>
        </w:rPr>
        <w:t>.</w:t>
      </w:r>
      <w:r w:rsidR="00E06C34" w:rsidRPr="0035263C">
        <w:rPr>
          <w:sz w:val="22"/>
          <w:szCs w:val="22"/>
        </w:rPr>
        <w:fldChar w:fldCharType="begin" w:fldLock="1"/>
      </w:r>
      <w:r w:rsidR="001E7A17">
        <w:rPr>
          <w:sz w:val="22"/>
          <w:szCs w:val="22"/>
        </w:rPr>
        <w:instrText>ADDIN CSL_CITATION { "citationItems" : [ { "id" : "ITEM-1", "itemData" : { "DOI" : "10.1016/S0140-6736(15)00473-0", "ISSN" : "01406736", "author" : [ { "dropping-particle" : "", "family" : "Holmes", "given" : "Alison H", "non-dropping-particle" : "", "parse-names" : false, "suffix" : "" }, { "dropping-particle" : "", "family" : "Moore", "given" : "Luke S P", "non-dropping-particle" : "", "parse-names" : false, "suffix" : "" }, { "dropping-particle" : "", "family" : "Sundsfjord", "given" : "Arnfinn", "non-dropping-particle" : "", "parse-names" : false, "suffix" : "" }, { "dropping-particle" : "", "family" : "Steinbakk", "given" : "Martin", "non-dropping-particle" : "", "parse-names" : false, "suffix" : "" }, { "dropping-particle" : "", "family" : "Regmi", "given" : "Sadie", "non-dropping-particle" : "", "parse-names" : false, "suffix" : "" }, { "dropping-particle" : "", "family" : "Karkey", "given" : "Abhilasha", "non-dropping-particle" : "", "parse-names" : false, "suffix" : "" }, { "dropping-particle" : "", "family" : "Guerin", "given" : "Philippe J", "non-dropping-particle" : "", "parse-names" : false, "suffix" : "" }, { "dropping-particle" : "V", "family" : "Piddock", "given" : "Laura J", "non-dropping-particle" : "", "parse-names" : false, "suffix" : "" } ], "container-title" : "The Lancet", "id" : "ITEM-1", "issue" : "15", "issued" : { "date-parts" : [ [ "2015" ] ] }, "title" : "Understanding the mechanisms and drivers of antimicrobial resistance", "type" : "article-journal", "volume" : "6736" }, "uris" : [ "http://www.mendeley.com/documents/?uuid=6897288b-ab2d-40d5-925e-9a0f444486c1" ] } ], "mendeley" : { "formattedCitation" : "[1]", "plainTextFormattedCitation" : "[1]", "previouslyFormattedCitation" : "[1]" }, "properties" : {  }, "schema" : "https://github.com/citation-style-language/schema/raw/master/csl-citation.json" }</w:instrText>
      </w:r>
      <w:r w:rsidR="00E06C34" w:rsidRPr="0035263C">
        <w:rPr>
          <w:sz w:val="22"/>
          <w:szCs w:val="22"/>
        </w:rPr>
        <w:fldChar w:fldCharType="separate"/>
      </w:r>
      <w:r w:rsidR="00E06C34" w:rsidRPr="0035263C">
        <w:rPr>
          <w:noProof/>
          <w:sz w:val="22"/>
          <w:szCs w:val="22"/>
        </w:rPr>
        <w:t>[1]</w:t>
      </w:r>
      <w:r w:rsidR="00E06C34" w:rsidRPr="0035263C">
        <w:rPr>
          <w:sz w:val="22"/>
          <w:szCs w:val="22"/>
        </w:rPr>
        <w:fldChar w:fldCharType="end"/>
      </w:r>
      <w:r w:rsidR="00E06C34" w:rsidRPr="0035263C">
        <w:rPr>
          <w:sz w:val="22"/>
          <w:szCs w:val="22"/>
        </w:rPr>
        <w:t xml:space="preserve"> A core challenge </w:t>
      </w:r>
      <w:r w:rsidR="00A05324">
        <w:rPr>
          <w:sz w:val="22"/>
          <w:szCs w:val="22"/>
        </w:rPr>
        <w:t xml:space="preserve">to </w:t>
      </w:r>
      <w:r w:rsidR="00D4792A">
        <w:rPr>
          <w:sz w:val="22"/>
          <w:szCs w:val="22"/>
        </w:rPr>
        <w:t>optimising</w:t>
      </w:r>
      <w:r w:rsidR="00D4792A" w:rsidRPr="0035263C">
        <w:rPr>
          <w:sz w:val="22"/>
          <w:szCs w:val="22"/>
        </w:rPr>
        <w:t xml:space="preserve"> </w:t>
      </w:r>
      <w:r w:rsidR="00282B20">
        <w:rPr>
          <w:sz w:val="22"/>
          <w:szCs w:val="22"/>
        </w:rPr>
        <w:t>antimicrobial</w:t>
      </w:r>
      <w:r w:rsidR="00E06C34" w:rsidRPr="0035263C">
        <w:rPr>
          <w:sz w:val="22"/>
          <w:szCs w:val="22"/>
        </w:rPr>
        <w:t xml:space="preserve"> prescribing </w:t>
      </w:r>
      <w:r w:rsidR="00A05324">
        <w:rPr>
          <w:sz w:val="22"/>
          <w:szCs w:val="22"/>
        </w:rPr>
        <w:t>is addressing</w:t>
      </w:r>
      <w:r w:rsidR="00E06C34" w:rsidRPr="0035263C">
        <w:rPr>
          <w:sz w:val="22"/>
          <w:szCs w:val="22"/>
        </w:rPr>
        <w:t xml:space="preserve"> the </w:t>
      </w:r>
      <w:r w:rsidR="00D75813">
        <w:rPr>
          <w:sz w:val="22"/>
          <w:szCs w:val="22"/>
        </w:rPr>
        <w:t xml:space="preserve">variable use </w:t>
      </w:r>
      <w:r w:rsidR="00E06C34" w:rsidRPr="0035263C">
        <w:rPr>
          <w:sz w:val="22"/>
          <w:szCs w:val="22"/>
        </w:rPr>
        <w:t>of antimicrobial</w:t>
      </w:r>
      <w:r w:rsidR="00D75813">
        <w:rPr>
          <w:sz w:val="22"/>
          <w:szCs w:val="22"/>
        </w:rPr>
        <w:t>s</w:t>
      </w:r>
      <w:r w:rsidR="00E06C34" w:rsidRPr="0035263C">
        <w:rPr>
          <w:sz w:val="22"/>
          <w:szCs w:val="22"/>
        </w:rPr>
        <w:t xml:space="preserve"> across the hospital.</w:t>
      </w:r>
    </w:p>
    <w:p w14:paraId="719BE807" w14:textId="44278C2B" w:rsidR="009C5653" w:rsidRPr="0035263C" w:rsidRDefault="00D4792A" w:rsidP="00CA5EE2">
      <w:pPr>
        <w:spacing w:after="200" w:line="480" w:lineRule="auto"/>
        <w:jc w:val="both"/>
        <w:rPr>
          <w:sz w:val="22"/>
          <w:szCs w:val="22"/>
        </w:rPr>
      </w:pPr>
      <w:r>
        <w:rPr>
          <w:sz w:val="22"/>
          <w:szCs w:val="22"/>
        </w:rPr>
        <w:t>Most</w:t>
      </w:r>
      <w:r w:rsidR="00E06C34" w:rsidRPr="0035263C">
        <w:rPr>
          <w:sz w:val="22"/>
          <w:szCs w:val="22"/>
        </w:rPr>
        <w:t xml:space="preserve"> infections within hospital</w:t>
      </w:r>
      <w:r>
        <w:rPr>
          <w:sz w:val="22"/>
          <w:szCs w:val="22"/>
        </w:rPr>
        <w:t>s</w:t>
      </w:r>
      <w:r w:rsidR="00E06C34" w:rsidRPr="0035263C">
        <w:rPr>
          <w:sz w:val="22"/>
          <w:szCs w:val="22"/>
        </w:rPr>
        <w:t xml:space="preserve"> are managed by non-infection specialists</w:t>
      </w:r>
      <w:r w:rsidR="007B23B1">
        <w:rPr>
          <w:sz w:val="22"/>
          <w:szCs w:val="22"/>
        </w:rPr>
        <w:t xml:space="preserve">. </w:t>
      </w:r>
      <w:r w:rsidR="00E06C34" w:rsidRPr="0035263C">
        <w:rPr>
          <w:sz w:val="22"/>
          <w:szCs w:val="22"/>
        </w:rPr>
        <w:t>To promote evidence-based</w:t>
      </w:r>
      <w:r w:rsidR="00E77EEF">
        <w:rPr>
          <w:sz w:val="22"/>
          <w:szCs w:val="22"/>
        </w:rPr>
        <w:t xml:space="preserve"> </w:t>
      </w:r>
      <w:r w:rsidR="00E06C34" w:rsidRPr="0035263C">
        <w:rPr>
          <w:sz w:val="22"/>
          <w:szCs w:val="22"/>
        </w:rPr>
        <w:t>practice of prescribing and therefore appropriate use, the physician is encouraged to follow local antimicrobial guidelines and policy. However, evidence demonstrates that adherence to prescribing policy tends to be poor</w:t>
      </w:r>
      <w:r w:rsidR="00A05324">
        <w:rPr>
          <w:sz w:val="22"/>
          <w:szCs w:val="22"/>
        </w:rPr>
        <w:t>,</w:t>
      </w:r>
      <w:r w:rsidR="00E06C34" w:rsidRPr="0035263C">
        <w:rPr>
          <w:sz w:val="22"/>
          <w:szCs w:val="22"/>
        </w:rPr>
        <w:t xml:space="preserve"> with a range of </w:t>
      </w:r>
      <w:r w:rsidR="00A05324">
        <w:rPr>
          <w:sz w:val="22"/>
          <w:szCs w:val="22"/>
        </w:rPr>
        <w:t>human</w:t>
      </w:r>
      <w:r w:rsidR="00E06C34" w:rsidRPr="0035263C">
        <w:rPr>
          <w:sz w:val="22"/>
          <w:szCs w:val="22"/>
        </w:rPr>
        <w:t xml:space="preserve"> and </w:t>
      </w:r>
      <w:r w:rsidR="00A66698">
        <w:rPr>
          <w:sz w:val="22"/>
          <w:szCs w:val="22"/>
        </w:rPr>
        <w:t>behavioural</w:t>
      </w:r>
      <w:r w:rsidR="00E06C34" w:rsidRPr="0035263C">
        <w:rPr>
          <w:sz w:val="22"/>
          <w:szCs w:val="22"/>
        </w:rPr>
        <w:t xml:space="preserve"> factors influencing prescribing decisions</w:t>
      </w:r>
      <w:r w:rsidR="00EB25F1">
        <w:rPr>
          <w:sz w:val="22"/>
          <w:szCs w:val="22"/>
        </w:rPr>
        <w:t>.</w:t>
      </w:r>
      <w:r w:rsidR="00FB0075" w:rsidRPr="0035263C">
        <w:rPr>
          <w:sz w:val="22"/>
          <w:szCs w:val="22"/>
        </w:rPr>
        <w:fldChar w:fldCharType="begin" w:fldLock="1"/>
      </w:r>
      <w:r w:rsidR="001E7A17">
        <w:rPr>
          <w:sz w:val="22"/>
          <w:szCs w:val="22"/>
        </w:rPr>
        <w:instrText>ADDIN CSL_CITATION { "citationItems" : [ { "id" : "ITEM-1", "itemData" : { "DOI" : "10.1186/s12916-016-0751-y", "ISSN" : "1741-7015", "abstract" : "\u00a9 2016 The Author(s).Background: The inappropriate use of antimicrobials drives antimicrobial resistance. We conducted a study to map physician decision-making processes for acute infection management in secondary care to identify potential targets for quality improvement interventions. Methods: Physicians newly qualified to consultant level participated in semi-structured interviews. Interviews were audio recorded and transcribed verbatim for analysis using NVIVO11.0 software. Grounded theory methodology was applied. Analytical categories were created using constant comparison approach to the data and participants were recruited to the study until thematic saturation was reached. Results: Twenty physicians were interviewed. The decision pathway for the management of acute infections follows a Bayesian-like step-wise approach, with information processed and systematically added to prior assumptions to guide management. The main emerging themes identified as determinants of the decision-making of individual physicians were (1) perceptions of providing 'optimal' care for the patient with infection by providing rapid and often intravenous therapy; (2) perceptions that stopping/de-escalating therapy was a senior doctor decision with junior trainees not expected to contribute; and (3) expectation of interactions with local guidelines and microbiology service advice. Feedback on review of junior doctor prescribing decisions was often lacking, causing frustration and confusion on appropriate practice within this cohort. Conclusion: Interventions to improve infection management must incorporate mechanisms to promote distribution of responsibility for decisions made. The disparity between expectations of prescribers to start but not review/stop therapy must be urgently addressed with mechanisms to improve communication and feedback to junior prescribers to facilitate their continued development as prudent antimicrobial prescribers.", "author" : [ { "dropping-particle" : "", "family" : "Rawson", "given" : "Timothy Miles", "non-dropping-particle" : "", "parse-names" : false, "suffix" : "" }, { "dropping-particle" : "", "family" : "Charani", "given" : "Esmita", "non-dropping-particle" : "", "parse-names" : false, "suffix" : "" }, { "dropping-particle" : "", "family" : "Moore", "given" : "L.S.P. Luke Stephen Prockter", "non-dropping-particle" : "", "parse-names" : false, "suffix" : "" }, { "dropping-particle" : "", "family" : "Hernandez", "given" : "Bernard", "non-dropping-particle" : "", "parse-names" : false, "suffix" : "" }, { "dropping-particle" : "", "family" : "Castro-S\u00e1nchez", "given" : "Enrique", "non-dropping-particle" : "", "parse-names" : false, "suffix" : "" }, { "dropping-particle" : "", "family" : "Herrero", "given" : "Pau", "non-dropping-particle" : "", "parse-names" : false, "suffix" : "" }, { "dropping-particle" : "", "family" : "Georgiou", "given" : "Pantelis", "non-dropping-particle" : "", "parse-names" : false, "suffix" : "" }, { "dropping-particle" : "", "family" : "Holmes", "given" : "a.H. Alison Helen", "non-dropping-particle" : "", "parse-names" : false, "suffix" : "" } ], "container-title" : "BMC Medicine", "id" : "ITEM-1", "issue" : "1", "issued" : { "date-parts" : [ [ "2016" ] ] }, "page" : "208", "title" : "Mapping the decision pathways of acute infection management in secondary care among UK medical physicians: a qualitative study", "type" : "article-journal", "volume" : "14" }, "uris" : [ "http://www.mendeley.com/documents/?uuid=d64194bb-300e-487a-97ad-8777bc3fb95f" ] }, { "id" : "ITEM-2", "itemData" : { "DOI" : "10.1016/J.CMI.2017.03.013", "ISSN" : "1198-743X", "abstract" : "OBJECTIVE To investigate the characteristics and culture of antibiotic decision making in the surgical specialty. METHODS A qualitative study including ethnographic observation and face-to-face interviews with participants from six surgical teams at a teaching hospital in London was conducted. Over a 3-month period: (a) 30 ward rounds (WRs) (100 h) were observed, (b) face-to-face follow-up interviews took place with 13 key informants, (c) multidisciplinary meetings on the management of surgical patients and daily practice on wards were observed. Applying these methods provided rich data for characterizing the antibiotic decision making in surgery and enabled cross-validation and triangulation of the findings. Data from the interview transcripts and the observational notes were coded and analysed iteratively until saturation was reached. RESULTS The surgical team is in a state of constant flux with individuals having to adjust to the context in which they work. The demands placed on the team to be in the operating room, and to address the surgical needs of the patient mean that the responsibility for antibiotic decision making is uncoordinated and diffuse. Antibiotic decision making is considered by surgeons as a secondary task, commonly delegated to junior members of their team and occurs in the context of disjointed communication. CONCLUSION There is lack of clarity around medical decision making for treating infections in surgical patients. The result is sub-optimal and uncoordinated antimicrobial management. Developing the role of a perioperative clinician may help to improve patient-level outcomes and optimize decision making.", "author" : [ { "dropping-particle" : "", "family" : "Charani", "given" : "E.", "non-dropping-particle" : "", "parse-names" : false, "suffix" : "" }, { "dropping-particle" : "", "family" : "Tarrant", "given" : "C.", "non-dropping-particle" : "", "parse-names" : false, "suffix" : "" }, { "dropping-particle" : "", "family" : "Moorthy", "given" : "K.", "non-dropping-particle" : "", "parse-names" : false, "suffix" : "" }, { "dropping-particle" : "", "family" : "Sevdalis", "given" : "N.", "non-dropping-particle" : "", "parse-names" : false, "suffix" : "" }, { "dropping-particle" : "", "family" : "Brennan", "given" : "L.", "non-dropping-particle" : "", "parse-names" : false, "suffix" : "" }, { "dropping-particle" : "", "family" : "Holmes", "given" : "A.H.", "non-dropping-particle" : "", "parse-names" : false, "suffix" : "" } ], "container-title" : "Clinical Microbiology and Infection", "id" : "ITEM-2", "issue" : "10", "issued" : { "date-parts" : [ [ "2017", "10", "1" ] ] }, "page" : "752-760", "title" : "Understanding antibiotic decision making in surgery\u2014a qualitative analysis", "type" : "article-journal", "volume" : "23" }, "uris" : [ "http://www.mendeley.com/documents/?uuid=c14d110d-df43-3c19-993d-81dd205db3a7" ] }, { "id" : "ITEM-3", "itemData" : { "DOI" : "10.1093/cid/cit212", "ISBN" : "10584838", "ISSN" : "10584838", "PMID" : "23572483", "abstract" : "BACKGROUND: There is limited knowledge of the key determinants of antimicrobial prescribing behavior (APB) in hospitals. An understanding of these determinants is required for the successful design, adoption, and implementation of quality improvement interventions in antimicrobial stewardship programs.\\n\\nMETHODS: Qualitative semistructured interviews were conducted with doctors (n = 10), pharmacists (n = 10), and nurses and midwives (n = 19) in 4 hospitals in London. Interviews were conducted until thematic saturation was reached. Thematic analysis was applied to the data to identify the key determinants of antimicrobial prescribing behaviors.\\n\\nRESULTS: The APB of healthcare professionals is governed by a set of cultural rules. Antimicrobial prescribing is performed in an environment where the behavior of clinical leaders or seniors influences practice of junior doctors. Senior doctors consider themselves exempt from following policy and practice within a culture of perceived autonomous decision making that relies more on personal knowledge and experience than formal policy. Prescribers identify with the clinical groups in which they work and adjust their APB according to the prevailing practice within these groups. A culture of \"noninterference\" in the antimicrobial prescribing practice of peers prevents intervention into prescribing of colleagues. These sets of cultural rules demonstrate the existence of a \"prescribing etiquette,\" which dominates the APB of healthcare professionals. Prescribing etiquette creates an environment in which professional hierarchy and clinical groups act as key determinants of APB.\\n\\nCONCLUSIONS: To influence the antimicrobial prescribing of individual healthcare professionals, interventions need to address prescribing etiquette and use clinical leadership within existing clinical groups to influence practice.", "author" : [ { "dropping-particle" : "", "family" : "Charani", "given" : "E.", "non-dropping-particle" : "", "parse-names" : false, "suffix" : "" }, { "dropping-particle" : "", "family" : "Castro-Sanchez", "given" : "E.", "non-dropping-particle" : "", "parse-names" : false, "suffix" : "" }, { "dropping-particle" : "", "family" : "Sevdalis", "given" : "N.", "non-dropping-particle" : "", "parse-names" : false, "suffix" : "" }, { "dropping-particle" : "", "family" : "Kyratsis", "given" : "Y.", "non-dropping-particle" : "", "parse-names" : false, "suffix" : "" }, { "dropping-particle" : "", "family" : "Drumright", "given" : "L.", "non-dropping-particle" : "", "parse-names" : false, "suffix" : "" }, { "dropping-particle" : "", "family" : "Shah", "given" : "N.", "non-dropping-particle" : "", "parse-names" : false, "suffix" : "" }, { "dropping-particle" : "", "family" : "Holmes", "given" : "a.", "non-dropping-particle" : "", "parse-names" : false, "suffix" : "" } ], "container-title" : "Clinical Infectious Diseases", "id" : "ITEM-3", "issue" : "2", "issued" : { "date-parts" : [ [ "2013" ] ] }, "page" : "188-196", "title" : "Understanding the determinants of antimicrobial prescribing within hospitals: The role of \"prescribing etiquette\"", "type" : "article-journal", "volume" : "57" }, "uris" : [ "http://www.mendeley.com/documents/?uuid=ae05dfa2-ea40-4b0c-bb3c-fd3e85f20d4c" ] } ], "mendeley" : { "formattedCitation" : "[2\u20134]", "plainTextFormattedCitation" : "[2\u20134]", "previouslyFormattedCitation" : "[2\u20134]" }, "properties" : {  }, "schema" : "https://github.com/citation-style-language/schema/raw/master/csl-citation.json" }</w:instrText>
      </w:r>
      <w:r w:rsidR="00FB0075" w:rsidRPr="0035263C">
        <w:rPr>
          <w:sz w:val="22"/>
          <w:szCs w:val="22"/>
        </w:rPr>
        <w:fldChar w:fldCharType="separate"/>
      </w:r>
      <w:r w:rsidR="00FB0075" w:rsidRPr="0035263C">
        <w:rPr>
          <w:noProof/>
          <w:sz w:val="22"/>
          <w:szCs w:val="22"/>
        </w:rPr>
        <w:t>[2–4]</w:t>
      </w:r>
      <w:r w:rsidR="00FB0075" w:rsidRPr="0035263C">
        <w:rPr>
          <w:sz w:val="22"/>
          <w:szCs w:val="22"/>
        </w:rPr>
        <w:fldChar w:fldCharType="end"/>
      </w:r>
      <w:r w:rsidR="00B011AC">
        <w:rPr>
          <w:sz w:val="22"/>
          <w:szCs w:val="22"/>
        </w:rPr>
        <w:t xml:space="preserve"> </w:t>
      </w:r>
    </w:p>
    <w:p w14:paraId="20053D99" w14:textId="1C7FF754" w:rsidR="007B23B1" w:rsidRDefault="00CF71A7" w:rsidP="00BC4EEA">
      <w:pPr>
        <w:spacing w:afterLines="200" w:after="480" w:line="480" w:lineRule="auto"/>
        <w:jc w:val="both"/>
        <w:rPr>
          <w:sz w:val="22"/>
          <w:szCs w:val="22"/>
        </w:rPr>
      </w:pPr>
      <w:r>
        <w:rPr>
          <w:sz w:val="22"/>
          <w:szCs w:val="22"/>
        </w:rPr>
        <w:t xml:space="preserve">With </w:t>
      </w:r>
      <w:r w:rsidR="008579A9">
        <w:rPr>
          <w:sz w:val="22"/>
          <w:szCs w:val="22"/>
        </w:rPr>
        <w:t>the</w:t>
      </w:r>
      <w:r w:rsidR="009C5653" w:rsidRPr="0035263C">
        <w:rPr>
          <w:sz w:val="22"/>
          <w:szCs w:val="22"/>
        </w:rPr>
        <w:t xml:space="preserve"> global increase in </w:t>
      </w:r>
      <w:r>
        <w:rPr>
          <w:sz w:val="22"/>
          <w:szCs w:val="22"/>
        </w:rPr>
        <w:t xml:space="preserve">the use of </w:t>
      </w:r>
      <w:r w:rsidR="009C5653" w:rsidRPr="0035263C">
        <w:rPr>
          <w:sz w:val="22"/>
          <w:szCs w:val="22"/>
        </w:rPr>
        <w:t>electronic health record and computerised-prescriber-order-entry systems</w:t>
      </w:r>
      <w:r w:rsidR="00EB25F1">
        <w:rPr>
          <w:sz w:val="22"/>
          <w:szCs w:val="22"/>
        </w:rPr>
        <w:t>,</w:t>
      </w:r>
      <w:r w:rsidR="009C5653" w:rsidRPr="0035263C">
        <w:rPr>
          <w:sz w:val="22"/>
          <w:szCs w:val="22"/>
        </w:rPr>
        <w:fldChar w:fldCharType="begin" w:fldLock="1"/>
      </w:r>
      <w:r w:rsidR="001E7A17">
        <w:rPr>
          <w:sz w:val="22"/>
          <w:szCs w:val="22"/>
        </w:rPr>
        <w:instrText>ADDIN CSL_CITATION { "citationItems" : [ { "id" : "ITEM-1", "itemData" : { "abstract" : "The Health Information Technology for Economic and Clinical Health (HITECH) Act of 2009 directed the Office of the National Coordinator for Health Information Technology (ONC) to promote the adoption and meaningful use of electronic health records (EHRs). In addition, the adoption and increased use of health IT products is a keystone objective of the Federal Health IT Strategic Plan (1). This brief describes trends in adoption of EHR systems among non-federal acute care hospitals from 2008 to 2014. It tracks both the adoption of Basic EHR systems and the possession of EHR technology certified to meet federal requirements. Basic EHR adoption represents a minimum use of core functionality determined to be essential to an EHR system (see Table A1). This brief refers to Basic EHR adoption with clinical notes unless otherwise stated. A certified EHR is EHR technology that meets the technological capability, functionality, and security requirements adopted by the Department of Health and Human Services.", "author" : [ { "dropping-particle" : "", "family" : "Charles", "given" : "Dustin", "non-dropping-particle" : "", "parse-names" : false, "suffix" : "" }, { "dropping-particle" : "", "family" : "Gabriel", "given" : "Meghan", "non-dropping-particle" : "", "parse-names" : false, "suffix" : "" }, { "dropping-particle" : "", "family" : "Searcy", "given" : "Talisha", "non-dropping-particle" : "", "parse-names" : false, "suffix" : "" } ], "id" : "ITEM-1", "issue" : "23", "issued" : { "date-parts" : [ [ "2015" ] ] }, "title" : "Adoption of Electronic Health Record Systems among U.S. Non- Federal Acute Care Hospitals: 2008-2014 Three out of Four Hospitals have a Basic EHR System", "type" : "report" }, "uris" : [ "http://www.mendeley.com/documents/?uuid=ed8d4d71-5f8d-3f50-8f19-5434d20ef0d0" ] }, { "id" : "ITEM-2", "itemData" : { "DOI" : "10.1136/BMJ.C4564", "ISSN" : "1756-1833", "PMID" : "20813822", "abstract" : "OBJECTIVES To describe and evaluate the implementation and adoption of detailed electronic health records in secondary care in England and thereby provide early feedback for the ongoing local and national rollout of the NHS Care Records Service. DESIGN A mixed methods, longitudinal, multisite, socio-technical case study. SETTING Five NHS acute hospital and mental health trusts that have been the focus of early implementation efforts and at which interim data collection and analysis are complete. Data sources and analysis Dataset for the evaluation consists of semi-structured interviews, documents and field notes, observations, and quantitative data. Qualitative data were analysed thematically with a socio-technical coding matrix, combined with additional themes that emerged from the data. Main results Hospital electronic health record applications are being developed and implemented far more slowly than was originally envisioned; the top-down, standardised approach has needed to evolve to admit more variation and greater local choice, which hospital trusts want in order to support local activity. Despite considerable delays and frustrations, support for electronic health records remains strong, including from NHS clinicians. Political and financial factors are now perceived to threaten nationwide implementation of electronic health records. Interviewees identified a range of consequences of long term, centrally negotiated contracts to deliver the NHS Care Records Service in secondary care, particularly as NHS trusts themselves are not party to these contracts. These include convoluted communication channels between different stakeholders, unrealistic deployment timelines, delays, and applications that could not quickly respond to changing national and local NHS priorities. Our data suggest support for a \"middle-out\" approach to implementing hospital electronic health records, combining government direction with increased local autonomy, and for restricting detailed electronic health record sharing to local health communities. CONCLUSIONS Experiences from the early implementation sites, which have received considerable attention, financial investment and support, indicate that delivering improved healthcare through nationwide electronic health records will be a long, complex, and iterative process requiring flexibility and local adaptability both with respect to the systems and the implementation strategy. The more tailored, responsive approach that is e\u2026", "author" : [ { "dropping-particle" : "", "family" : "Robertson", "given" : "Ann", "non-dropping-particle" : "", "parse-names" : false, "suffix" : "" }, { "dropping-particle" : "", "family" : "Cresswell", "given" : "Kathrin", "non-dropping-particle" : "", "parse-names" : false, "suffix" : "" }, { "dropping-particle" : "", "family" : "Takian", "given" : "Amirhossein", "non-dropping-particle" : "", "parse-names" : false, "suffix" : "" }, { "dropping-particle" : "", "family" : "Petrakaki", "given" : "Dimitra", "non-dropping-particle" : "", "parse-names" : false, "suffix" : "" }, { "dropping-particle" : "", "family" : "Crowe", "given" : "Sarah", "non-dropping-particle" : "", "parse-names" : false, "suffix" : "" }, { "dropping-particle" : "", "family" : "Cornford", "given" : "Tony", "non-dropping-particle" : "", "parse-names" : false, "suffix" : "" }, { "dropping-particle" : "", "family" : "Barber", "given" : "Nicholas", "non-dropping-particle" : "", "parse-names" : false, "suffix" : "" }, { "dropping-particle" : "", "family" : "Avery", "given" : "Anthony", "non-dropping-particle" : "", "parse-names" : false, "suffix" : "" }, { "dropping-particle" : "", "family" : "Fernando", "given" : "Bernard", "non-dropping-particle" : "", "parse-names" : false, "suffix" : "" }, { "dropping-particle" : "", "family" : "Jacklin", "given" : "Ann", "non-dropping-particle" : "", "parse-names" : false, "suffix" : "" }, { "dropping-particle" : "", "family" : "Prescott", "given" : "Robin", "non-dropping-particle" : "", "parse-names" : false, "suffix" : "" }, { "dropping-particle" : "", "family" : "Klecun", "given" : "Ela", "non-dropping-particle" : "", "parse-names" : false, "suffix" : "" }, { "dropping-particle" : "", "family" : "Paton", "given" : "James", "non-dropping-particle" : "", "parse-names" : false, "suffix" : "" }, { "dropping-particle" : "", "family" : "Lichtner", "given" : "Valentina", "non-dropping-particle" : "", "parse-names" : false, "suffix" : "" }, { "dropping-particle" : "", "family" : "Quinn", "given" : "Casey", "non-dropping-particle" : "", "parse-names" : false, "suffix" : "" }, { "dropping-particle" : "", "family" : "Ali", "given" : "Maryam", "non-dropping-particle" : "", "parse-names" : false, "suffix" : "" }, { "dropping-particle" : "", "family" : "Morrison", "given" : "Zoe", "non-dropping-particle" : "", "parse-names" : false, "suffix" : "" }, { "dropping-particle" : "", "family" : "Jani", "given" : "Yogini", "non-dropping-particle" : "", "parse-names" : false, "suffix" : "" }, { "dropping-particle" : "", "family" : "Waring", "given" : "Justin", "non-dropping-particle" : "", "parse-names" : false, "suffix" : "" }, { "dropping-particle" : "", "family" : "Marsden", "given" : "Kate", "non-dropping-particle" : "", "parse-names" : false, "suffix" : "" }, { "dropping-particle" : "", "family" : "Sheikh", "given" : "Aziz", "non-dropping-particle" : "", "parse-names" : false, "suffix" : "" } ], "container-title" : "BMJ (Clinical research ed.)", "id" : "ITEM-2", "issued" : { "date-parts" : [ [ "2010", "9", "1" ] ] }, "page" : "c4564", "title" : "Implementation and adoption of nationwide electronic health records in secondary care in England: qualitative analysis of interim results from a prospective national evaluation.", "type" : "article-journal", "volume" : "341" }, "uris" : [ "http://www.mendeley.com/documents/?uuid=e8563546-e78e-3515-b66d-3c406ce48d87" ] }, { "id" : "ITEM-3", "itemData" : { "URL" : "http://international.commonwealthfund.org/features/ehrs/", "author" : [ { "dropping-particle" : "", "family" : "The Commonwealth Fund", "given" : "", "non-dropping-particle" : "", "parse-names" : false, "suffix" : "" } ], "id" : "ITEM-3", "issued" : { "date-parts" : [ [ "0" ] ] }, "title" : "Electronic Health Records : International Health Care System Profiles", "type" : "webpage" }, "uris" : [ "http://www.mendeley.com/documents/?uuid=5f3118ce-aa56-3598-8b10-c40aeaad0a86" ] } ], "mendeley" : { "formattedCitation" : "[5\u20137]", "plainTextFormattedCitation" : "[5\u20137]", "previouslyFormattedCitation" : "[5\u20137]" }, "properties" : {  }, "schema" : "https://github.com/citation-style-language/schema/raw/master/csl-citation.json" }</w:instrText>
      </w:r>
      <w:r w:rsidR="009C5653" w:rsidRPr="0035263C">
        <w:rPr>
          <w:sz w:val="22"/>
          <w:szCs w:val="22"/>
        </w:rPr>
        <w:fldChar w:fldCharType="separate"/>
      </w:r>
      <w:r w:rsidR="0011549D" w:rsidRPr="0035263C">
        <w:rPr>
          <w:noProof/>
          <w:sz w:val="22"/>
          <w:szCs w:val="22"/>
        </w:rPr>
        <w:t>[5–7]</w:t>
      </w:r>
      <w:r w:rsidR="009C5653" w:rsidRPr="0035263C">
        <w:rPr>
          <w:sz w:val="22"/>
          <w:szCs w:val="22"/>
        </w:rPr>
        <w:fldChar w:fldCharType="end"/>
      </w:r>
      <w:r>
        <w:rPr>
          <w:sz w:val="22"/>
          <w:szCs w:val="22"/>
        </w:rPr>
        <w:t xml:space="preserve"> </w:t>
      </w:r>
      <w:r w:rsidR="009C5653" w:rsidRPr="0035263C">
        <w:rPr>
          <w:sz w:val="22"/>
          <w:szCs w:val="22"/>
        </w:rPr>
        <w:t>development of electronic clinical decision support systems (CDSS) for antimicrobial prescribing</w:t>
      </w:r>
      <w:r w:rsidR="00A05324">
        <w:rPr>
          <w:sz w:val="22"/>
          <w:szCs w:val="22"/>
        </w:rPr>
        <w:t xml:space="preserve"> has increased</w:t>
      </w:r>
      <w:r w:rsidR="009C5653" w:rsidRPr="0035263C">
        <w:rPr>
          <w:sz w:val="22"/>
          <w:szCs w:val="22"/>
        </w:rPr>
        <w:t>. CDSS have been demonstrated to enhance knowledge by providing person-specific and population level data to healthcare professionals t</w:t>
      </w:r>
      <w:r w:rsidR="00EB25F1">
        <w:rPr>
          <w:sz w:val="22"/>
          <w:szCs w:val="22"/>
        </w:rPr>
        <w:t>o support their decision making.</w:t>
      </w:r>
      <w:r w:rsidR="009C5653" w:rsidRPr="0035263C">
        <w:rPr>
          <w:sz w:val="22"/>
          <w:szCs w:val="22"/>
        </w:rPr>
        <w:fldChar w:fldCharType="begin" w:fldLock="1"/>
      </w:r>
      <w:r w:rsidR="001E7A17">
        <w:rPr>
          <w:sz w:val="22"/>
          <w:szCs w:val="22"/>
        </w:rPr>
        <w:instrText>ADDIN CSL_CITATION { "citationItems" : [ { "id" : "ITEM-1", "itemData" : { "abstract" : "One of the ACDS project goals, and the purpose of this technical report, is to organize and disseminate best practices in CDS implementation and design, based on research and the collection of evidence-based and experience-based lessons, useful practices, and components for CDS implementation across a range of CDS interventions.", "author" : [ { "dropping-particle" : "", "family" : "Byrne", "given" : "Colene Byrne", "non-dropping-particle" : "", "parse-names" : false, "suffix" : "" }, { "dropping-particle" : "", "family" : "Sherry", "given" : "Dylan Sherry", "non-dropping-particle" : "", "parse-names" : false, "suffix" : "" }, { "dropping-particle" : "", "family" : "Mercincavage", "given" : "Lauren", "non-dropping-particle" : "", "parse-names" : false, "suffix" : "" }, { "dropping-particle" : "", "family" : "Johnston", "given" : "Douglas", "non-dropping-particle" : "", "parse-names" : false, "suffix" : "" }, { "dropping-particle" : "", "family" : "Pan", "given" : "Eric", "non-dropping-particle" : "", "parse-names" : false, "suffix" : "" }, { "dropping-particle" : "", "family" : "Schiff", "given" : "Gordon", "non-dropping-particle" : "", "parse-names" : false, "suffix" : "" } ], "container-title" : "Westat. Technical Repport", "id" : "ITEM-1", "issued" : { "date-parts" : [ [ "2010" ] ] }, "title" : "Key Lessons In Clinical Decision Support Implementation", "type" : "report" }, "uris" : [ "http://www.mendeley.com/documents/?uuid=92385bc6-143f-4e64-9308-9d1bc756e157" ] } ], "mendeley" : { "formattedCitation" : "[8]", "plainTextFormattedCitation" : "[8]", "previouslyFormattedCitation" : "[8]" }, "properties" : {  }, "schema" : "https://github.com/citation-style-language/schema/raw/master/csl-citation.json" }</w:instrText>
      </w:r>
      <w:r w:rsidR="009C5653" w:rsidRPr="0035263C">
        <w:rPr>
          <w:sz w:val="22"/>
          <w:szCs w:val="22"/>
        </w:rPr>
        <w:fldChar w:fldCharType="separate"/>
      </w:r>
      <w:r w:rsidR="0011549D" w:rsidRPr="0035263C">
        <w:rPr>
          <w:noProof/>
          <w:sz w:val="22"/>
          <w:szCs w:val="22"/>
        </w:rPr>
        <w:t>[8]</w:t>
      </w:r>
      <w:r w:rsidR="009C5653" w:rsidRPr="0035263C">
        <w:rPr>
          <w:sz w:val="22"/>
          <w:szCs w:val="22"/>
        </w:rPr>
        <w:fldChar w:fldCharType="end"/>
      </w:r>
      <w:r w:rsidR="009C5653" w:rsidRPr="0035263C">
        <w:rPr>
          <w:sz w:val="22"/>
          <w:szCs w:val="22"/>
        </w:rPr>
        <w:t xml:space="preserve"> This can improve the quality and safety of </w:t>
      </w:r>
      <w:r w:rsidR="00D4792A">
        <w:rPr>
          <w:sz w:val="22"/>
          <w:szCs w:val="22"/>
        </w:rPr>
        <w:t xml:space="preserve">the </w:t>
      </w:r>
      <w:r w:rsidR="009C5653" w:rsidRPr="0035263C">
        <w:rPr>
          <w:sz w:val="22"/>
          <w:szCs w:val="22"/>
        </w:rPr>
        <w:t>healthcare provided</w:t>
      </w:r>
      <w:r w:rsidR="00EB25F1">
        <w:rPr>
          <w:sz w:val="22"/>
          <w:szCs w:val="22"/>
        </w:rPr>
        <w:t>.</w:t>
      </w:r>
      <w:r w:rsidR="009C5653" w:rsidRPr="0035263C">
        <w:rPr>
          <w:sz w:val="22"/>
          <w:szCs w:val="22"/>
        </w:rPr>
        <w:fldChar w:fldCharType="begin" w:fldLock="1"/>
      </w:r>
      <w:r w:rsidR="001E7A17">
        <w:rPr>
          <w:sz w:val="22"/>
          <w:szCs w:val="22"/>
        </w:rPr>
        <w:instrText>ADDIN CSL_CITATION { "citationItems" : [ { "id" : "ITEM-1", "itemData" : { "abstract" : "One of the ACDS project goals, and the purpose of this technical report, is to organize and disseminate best practices in CDS implementation and design, based on research and the collection of evidence-based and experience-based lessons, useful practices, and components for CDS implementation across a range of CDS interventions.", "author" : [ { "dropping-particle" : "", "family" : "Byrne", "given" : "Colene Byrne", "non-dropping-particle" : "", "parse-names" : false, "suffix" : "" }, { "dropping-particle" : "", "family" : "Sherry", "given" : "Dylan Sherry", "non-dropping-particle" : "", "parse-names" : false, "suffix" : "" }, { "dropping-particle" : "", "family" : "Mercincavage", "given" : "Lauren", "non-dropping-particle" : "", "parse-names" : false, "suffix" : "" }, { "dropping-particle" : "", "family" : "Johnston", "given" : "Douglas", "non-dropping-particle" : "", "parse-names" : false, "suffix" : "" }, { "dropping-particle" : "", "family" : "Pan", "given" : "Eric", "non-dropping-particle" : "", "parse-names" : false, "suffix" : "" }, { "dropping-particle" : "", "family" : "Schiff", "given" : "Gordon", "non-dropping-particle" : "", "parse-names" : false, "suffix" : "" } ], "container-title" : "Westat. Technical Repport", "id" : "ITEM-1", "issued" : { "date-parts" : [ [ "2010" ] ] }, "title" : "Key Lessons In Clinical Decision Support Implementation", "type" : "report" }, "uris" : [ "http://www.mendeley.com/documents/?uuid=92385bc6-143f-4e64-9308-9d1bc756e157" ] } ], "mendeley" : { "formattedCitation" : "[8]", "plainTextFormattedCitation" : "[8]", "previouslyFormattedCitation" : "[8]" }, "properties" : {  }, "schema" : "https://github.com/citation-style-language/schema/raw/master/csl-citation.json" }</w:instrText>
      </w:r>
      <w:r w:rsidR="009C5653" w:rsidRPr="0035263C">
        <w:rPr>
          <w:sz w:val="22"/>
          <w:szCs w:val="22"/>
        </w:rPr>
        <w:fldChar w:fldCharType="separate"/>
      </w:r>
      <w:r w:rsidR="0011549D" w:rsidRPr="0035263C">
        <w:rPr>
          <w:noProof/>
          <w:sz w:val="22"/>
          <w:szCs w:val="22"/>
        </w:rPr>
        <w:t>[8]</w:t>
      </w:r>
      <w:r w:rsidR="009C5653" w:rsidRPr="0035263C">
        <w:rPr>
          <w:sz w:val="22"/>
          <w:szCs w:val="22"/>
        </w:rPr>
        <w:fldChar w:fldCharType="end"/>
      </w:r>
      <w:r w:rsidR="009C5653" w:rsidRPr="0035263C">
        <w:rPr>
          <w:sz w:val="22"/>
          <w:szCs w:val="22"/>
        </w:rPr>
        <w:t xml:space="preserve"> </w:t>
      </w:r>
      <w:r w:rsidR="00CA5EE2">
        <w:rPr>
          <w:sz w:val="22"/>
          <w:szCs w:val="22"/>
        </w:rPr>
        <w:t>Despite a wealth of literature surrounding CDSS for antimicrobial prescribing</w:t>
      </w:r>
      <w:r w:rsidR="00EB25F1">
        <w:rPr>
          <w:sz w:val="22"/>
          <w:szCs w:val="22"/>
        </w:rPr>
        <w:t>,</w:t>
      </w:r>
      <w:r w:rsidR="0011549D" w:rsidRPr="0035263C">
        <w:rPr>
          <w:sz w:val="22"/>
          <w:szCs w:val="22"/>
        </w:rPr>
        <w:fldChar w:fldCharType="begin" w:fldLock="1"/>
      </w:r>
      <w:r w:rsidR="001E7A17">
        <w:rPr>
          <w:sz w:val="22"/>
          <w:szCs w:val="22"/>
        </w:rPr>
        <w:instrText>ADDIN CSL_CITATION { "citationItems" : [ { "id" : "ITEM-1", "itemData" : { "DOI" : "10.1136/amiajnl-2014-002886", "ISBN" : "2014002886", "ISSN" : "1067-5027", "author" : [ { "dropping-particle" : "", "family" : "Holstiege", "given" : "J.", "non-dropping-particle" : "", "parse-names" : false, "suffix" : "" }, { "dropping-particle" : "", "family" : "Mathes", "given" : "T.", "non-dropping-particle" : "", "parse-names" : false, "suffix" : "" }, { "dropping-particle" : "", "family" : "Pieper", "given" : "D.", "non-dropping-particle" : "", "parse-names" : false, "suffix" : "" } ], "container-title" : "Journal of the American Medical Informatics Association", "id" : "ITEM-1", "issued" : { "date-parts" : [ [ "2014" ] ] }, "page" : "236-242", "title" : "Effects of computer-aided clinical decision support systems in improving antibiotic prescribing by primary care providers: a systematic review", "type" : "article-journal" }, "uris" : [ "http://www.mendeley.com/documents/?uuid=7a37653f-1d27-4b80-8223-9c80d551065e" ] }, { "id" : "ITEM-2", "itemData" : { "DOI" : "10.1007/s11096-007-9113-3", "ISSN" : "0928-1231", "PMID" : "17458707", "abstract" : "AIM: To review and appraise randomised controlled trials (RCT) and 'before and after' studies published on clinical decision support systems (CDSS) used to support the use of antibiotics. METHODS: A literature search was carried out in October 2006 using MEDLINE including Medical Subject Heading (MeSH) terms (1966-2006), EMBASE (Excerpta Medica, 1980-2006) and International Pharmaceutical Abstracts (IPA, 1970-2006) using the combinations of the following terms: (Decision support systems) or (CDSS) AND (antibiotics) or (anti-infectives) or (antibacterials) or (antimicrobials). Only English language papers were selected. Editorials, letters and case reports/series were excluded. The reference sections of all retrieved articles were also searched for any further relevant articles. RESULTS: Forty articles were identified. Five RCT and six 'before and after' studies were retrieved. In the RCTs, three studies used computer-based CDSS, one paper-based CDSS and one a combination of both. Two studies were conducted in primary care and three within secondary care. The primary outcomes for each study were different and only three studies were significant in the favour of the use of CDSS. 'Before and after' studies were used where RCT were not feasible. One 'before and after' study was excluded because it did not include any control group. The remaining five included historical control groups and evaluated the use of computer-based CDSS within secondary care. Their primary outcomes also varied but all concluded significant benefits of CDSS. Only three of ten studies were conducted outside the USA; one in Switzerland and two in Australia. CONCLUSION: CDSS could be a powerful tool to improve clinical care and patient outcomes. It presents a promising future for optimising antibiotic use. However, it is difficult to generalise as most studies were conducted in the United States. Although RCT are the 'gold standard' in research, they may not be feasible to conduct. Realising that different study designs answer different questions would allow researchers to choose the most appropriate study design to evaluate CDSS in a specified setting.", "author" : [ { "dropping-particle" : "", "family" : "Shebl", "given" : "Nada Atef", "non-dropping-particle" : "", "parse-names" : false, "suffix" : "" }, { "dropping-particle" : "", "family" : "Franklin", "given" : "Bryony Dean", "non-dropping-particle" : "", "parse-names" : false, "suffix" : "" }, { "dropping-particle" : "", "family" : "Barber", "given" : "Nick", "non-dropping-particle" : "", "parse-names" : false, "suffix" : "" } ], "container-title" : "Pharmacy world &amp; science : PWS", "id" : "ITEM-2", "issue" : "4", "issued" : { "date-parts" : [ [ "2007" ] ] }, "page" : "342-349", "title" : "Clinical decision support systems and antibiotic use.", "type" : "article-journal", "volume" : "29" }, "uris" : [ "http://www.mendeley.com/documents/?uuid=8225651e-f551-426a-8132-187ab283026f" ] }, { "id" : "ITEM-3", "itemData" : { "DOI" : "10.1111/ijpp.12274", "ISSN" : "09617671", "author" : [ { "dropping-particle" : "", "family" : "Cresswell", "given" : "Kathrin", "non-dropping-particle" : "", "parse-names" : false, "suffix" : "" }, { "dropping-particle" : "", "family" : "Mozaffar", "given" : "Hajar", "non-dropping-particle" : "", "parse-names" : false, "suffix" : "" }, { "dropping-particle" : "", "family" : "Shah", "given" : "Sonal", "non-dropping-particle" : "", "parse-names" : false, "suffix" : "" }, { "dropping-particle" : "", "family" : "Sheikh", "given" : "Aziz", "non-dropping-particle" : "", "parse-names" : false, "suffix" : "" } ], "container-title" : "International Journal of Pharmacy Practice", "id" : "ITEM-3", "issue" : "1", "issued" : { "date-parts" : [ [ "2017", "2" ] ] }, "page" : "5-17", "title" : "Approaches to promoting the appropriate use of antibiotics through hospital electronic prescribing systems: a scoping review", "type" : "article-journal", "volume" : "25" }, "uris" : [ "http://www.mendeley.com/documents/?uuid=6c31fc10-fdb9-43aa-a1f0-7f782e3f2ec6" ] }, { "id" : "ITEM-4", "itemData" : { "DOI" : "10.1371/journal.pone.0183062", "ISSN" : "1932-6203", "author" : [ { "dropping-particle" : "", "family" : "Curtis", "given" : "Christopher E.", "non-dropping-particle" : "", "parse-names" : false, "suffix" : "" }, { "dropping-particle" : "", "family" : "Bahar", "given" : "Fares", "non-dropping-particle" : "Al", "parse-names" : false, "suffix" : "" }, { "dropping-particle" : "", "family" : "Marriott", "given" : "John F.", "non-dropping-particle" : "", "parse-names" : false, "suffix" : "" } ], "container-title" : "PLOS ONE", "editor" : [ { "dropping-particle" : "", "family" : "Aziz", "given" : "Ramy K.", "non-dropping-particle" : "", "parse-names" : false, "suffix" : "" } ], "id" : "ITEM-4", "issue" : "8", "issued" : { "date-parts" : [ [ "2017", "8", "24" ] ] }, "page" : "e0183062", "title" : "The effectiveness of computerised decision support on antibiotic use in hospitals: A systematic review", "type" : "article-journal", "volume" : "12" }, "uris" : [ "http://www.mendeley.com/documents/?uuid=f6e455cf-8e7e-3232-a198-9a64b9f85add" ] }, { "id" : "ITEM-5", "itemData" : { "DOI" : "10.1016/j.cmi.2017.02.028", "ISSN" : "1198743X", "PMID" : "28268133", "abstract" : "OBJECTIVES Clinical decision support systems (CDSS) for antimicrobial management can support clinicians to optimise antimicrobial therapy. We reviewed all original literature (qualitative and quantitative) to understand the current scope of CDSS for antimicrobial management and analyse existing methods used to evaluate and report such systems. METHOD PRISMA guidelines were followed. Medline, EMBASE, HMIC Health and Management, and Global Health databases were searched from 1(st) January 1980 to 31(st) October 2015. All primary research studies describing CDSS for antimicrobial management in adults in primary or secondary care were included. For qualitative studies, thematic synthesis was performed. Quality was assessed using Integrated quality Criteria for the Review Of Multiple Study designs (ICROMS) criteria. CDSS reporting was assessed against a reporting framework for behaviour change intervention implementation. RESULTS Fifty-eight original articles were included describing 38 independent CDSS. The majority of systems target antimicrobial prescribing (29/38;76%), are platforms integrated with electronic medical records (28/38;74%), and have rules based infrastructure providing decision support (29/38;76%). On evaluation against the intervention reporting framework, CDSS studies fail to report consideration of the non-expert, end-user workflow. They have narrow focus, such as antimicrobial selection, and use proxy outcome measures. Engagement with CDSS by clinicians was poor. CONCLUSION Greater consideration of the factors that drive non-expert decision making must be considered when designing CDSS interventions. Future work must aim to expand CDSS beyond simply selecting appropriate antimicrobials with clear and systematic reporting frameworks for CDSS interventions developed to address current gaps identified in the reporting of evidence.", "author" : [ { "dropping-particle" : "", "family" : "Rawson", "given" : "T.M.", "non-dropping-particle" : "", "parse-names" : false, "suffix" : "" }, { "dropping-particle" : "", "family" : "Moore", "given" : "L.S.P.", "non-dropping-particle" : "", "parse-names" : false, "suffix" : "" }, { "dropping-particle" : "", "family" : "Hernandez", "given" : "Bernard", "non-dropping-particle" : "", "parse-names" : false, "suffix" : "" }, { "dropping-particle" : "", "family" : "Charani", "given" : "Esmita", "non-dropping-particle" : "", "parse-names" : false, "suffix" : "" }, { "dropping-particle" : "", "family" : "Castro-Sanchez", "given" : "Enrique", "non-dropping-particle" : "", "parse-names" : false, "suffix" : "" }, { "dropping-particle" : "", "family" : "Herrero", "given" : "Pau", "non-dropping-particle" : "", "parse-names" : false, "suffix" : "" }, { "dropping-particle" : "", "family" : "Hayhoe", "given" : "Benedict", "non-dropping-particle" : "", "parse-names" : false, "suffix" : "" }, { "dropping-particle" : "", "family" : "Hope", "given" : "William", "non-dropping-particle" : "", "parse-names" : false, "suffix" : "" }, { "dropping-particle" : "", "family" : "Georgiou", "given" : "Pantelis", "non-dropping-particle" : "", "parse-names" : false, "suffix" : "" }, { "dropping-particle" : "", "family" : "Holmes", "given" : "A.H.", "non-dropping-particle" : "", "parse-names" : false, "suffix" : "" } ], "container-title" : "Clinical Microbiology and Infection", "id" : "ITEM-5", "issue" : "8", "issued" : { "date-parts" : [ [ "2017", "8", "4" ] ] }, "page" : "524-532", "title" : "A systematic review of clinical decision support systems for antimicrobial management: are we failing to investigate these interventions appropriately?", "type" : "article-journal", "volume" : "23" }, "uris" : [ "http://www.mendeley.com/documents/?uuid=0ab1b185-9f83-4fbc-b712-cd499640c375" ] } ], "mendeley" : { "formattedCitation" : "[9\u201313]", "plainTextFormattedCitation" : "[9\u201313]", "previouslyFormattedCitation" : "[9\u201313]" }, "properties" : {  }, "schema" : "https://github.com/citation-style-language/schema/raw/master/csl-citation.json" }</w:instrText>
      </w:r>
      <w:r w:rsidR="0011549D" w:rsidRPr="0035263C">
        <w:rPr>
          <w:sz w:val="22"/>
          <w:szCs w:val="22"/>
        </w:rPr>
        <w:fldChar w:fldCharType="separate"/>
      </w:r>
      <w:r w:rsidR="0011549D" w:rsidRPr="0035263C">
        <w:rPr>
          <w:noProof/>
          <w:sz w:val="22"/>
          <w:szCs w:val="22"/>
        </w:rPr>
        <w:t>[9–13]</w:t>
      </w:r>
      <w:r w:rsidR="0011549D" w:rsidRPr="0035263C">
        <w:rPr>
          <w:sz w:val="22"/>
          <w:szCs w:val="22"/>
        </w:rPr>
        <w:fldChar w:fldCharType="end"/>
      </w:r>
      <w:r w:rsidR="00CA5EE2">
        <w:rPr>
          <w:sz w:val="22"/>
          <w:szCs w:val="22"/>
        </w:rPr>
        <w:t xml:space="preserve"> a number of significant gaps </w:t>
      </w:r>
      <w:r w:rsidR="00EB25F1">
        <w:rPr>
          <w:sz w:val="22"/>
          <w:szCs w:val="22"/>
        </w:rPr>
        <w:t>remain in</w:t>
      </w:r>
      <w:r w:rsidR="00CA5EE2">
        <w:rPr>
          <w:sz w:val="22"/>
          <w:szCs w:val="22"/>
        </w:rPr>
        <w:t xml:space="preserve"> their development, implementation</w:t>
      </w:r>
      <w:r w:rsidR="00EB25F1">
        <w:rPr>
          <w:sz w:val="22"/>
          <w:szCs w:val="22"/>
        </w:rPr>
        <w:t>,</w:t>
      </w:r>
      <w:r w:rsidR="00CA5EE2">
        <w:rPr>
          <w:sz w:val="22"/>
          <w:szCs w:val="22"/>
        </w:rPr>
        <w:t xml:space="preserve"> and evaluation</w:t>
      </w:r>
      <w:r w:rsidR="00EB25F1">
        <w:rPr>
          <w:sz w:val="22"/>
          <w:szCs w:val="22"/>
        </w:rPr>
        <w:t>.</w:t>
      </w:r>
      <w:r w:rsidR="0011549D" w:rsidRPr="0035263C">
        <w:rPr>
          <w:sz w:val="22"/>
          <w:szCs w:val="22"/>
        </w:rPr>
        <w:fldChar w:fldCharType="begin" w:fldLock="1"/>
      </w:r>
      <w:r w:rsidR="001E7A17">
        <w:rPr>
          <w:sz w:val="22"/>
          <w:szCs w:val="22"/>
        </w:rPr>
        <w:instrText>ADDIN CSL_CITATION { "citationItems" : [ { "id" : "ITEM-1", "itemData" : { "DOI" : "10.1016/j.cmi.2017.02.028", "ISSN" : "1198743X", "PMID" : "28268133", "abstract" : "OBJECTIVES Clinical decision support systems (CDSS) for antimicrobial management can support clinicians to optimise antimicrobial therapy. We reviewed all original literature (qualitative and quantitative) to understand the current scope of CDSS for antimicrobial management and analyse existing methods used to evaluate and report such systems. METHOD PRISMA guidelines were followed. Medline, EMBASE, HMIC Health and Management, and Global Health databases were searched from 1(st) January 1980 to 31(st) October 2015. All primary research studies describing CDSS for antimicrobial management in adults in primary or secondary care were included. For qualitative studies, thematic synthesis was performed. Quality was assessed using Integrated quality Criteria for the Review Of Multiple Study designs (ICROMS) criteria. CDSS reporting was assessed against a reporting framework for behaviour change intervention implementation. RESULTS Fifty-eight original articles were included describing 38 independent CDSS. The majority of systems target antimicrobial prescribing (29/38;76%), are platforms integrated with electronic medical records (28/38;74%), and have rules based infrastructure providing decision support (29/38;76%). On evaluation against the intervention reporting framework, CDSS studies fail to report consideration of the non-expert, end-user workflow. They have narrow focus, such as antimicrobial selection, and use proxy outcome measures. Engagement with CDSS by clinicians was poor. CONCLUSION Greater consideration of the factors that drive non-expert decision making must be considered when designing CDSS interventions. Future work must aim to expand CDSS beyond simply selecting appropriate antimicrobials with clear and systematic reporting frameworks for CDSS interventions developed to address current gaps identified in the reporting of evidence.", "author" : [ { "dropping-particle" : "", "family" : "Rawson", "given" : "T.M.", "non-dropping-particle" : "", "parse-names" : false, "suffix" : "" }, { "dropping-particle" : "", "family" : "Moore", "given" : "L.S.P.", "non-dropping-particle" : "", "parse-names" : false, "suffix" : "" }, { "dropping-particle" : "", "family" : "Hernandez", "given" : "Bernard", "non-dropping-particle" : "", "parse-names" : false, "suffix" : "" }, { "dropping-particle" : "", "family" : "Charani", "given" : "Esmita", "non-dropping-particle" : "", "parse-names" : false, "suffix" : "" }, { "dropping-particle" : "", "family" : "Castro-Sanchez", "given" : "Enrique", "non-dropping-particle" : "", "parse-names" : false, "suffix" : "" }, { "dropping-particle" : "", "family" : "Herrero", "given" : "Pau", "non-dropping-particle" : "", "parse-names" : false, "suffix" : "" }, { "dropping-particle" : "", "family" : "Hayhoe", "given" : "Benedict", "non-dropping-particle" : "", "parse-names" : false, "suffix" : "" }, { "dropping-particle" : "", "family" : "Hope", "given" : "William", "non-dropping-particle" : "", "parse-names" : false, "suffix" : "" }, { "dropping-particle" : "", "family" : "Georgiou", "given" : "Pantelis", "non-dropping-particle" : "", "parse-names" : false, "suffix" : "" }, { "dropping-particle" : "", "family" : "Holmes", "given" : "A.H.", "non-dropping-particle" : "", "parse-names" : false, "suffix" : "" } ], "container-title" : "Clinical Microbiology and Infection", "id" : "ITEM-1", "issue" : "8", "issued" : { "date-parts" : [ [ "2017", "8", "4" ] ] }, "page" : "524-532", "title" : "A systematic review of clinical decision support systems for antimicrobial management: are we failing to investigate these interventions appropriately?", "type" : "article-journal", "volume" : "23" }, "uris" : [ "http://www.mendeley.com/documents/?uuid=0ab1b185-9f83-4fbc-b712-cd499640c375" ] } ], "mendeley" : { "formattedCitation" : "[13]", "plainTextFormattedCitation" : "[13]", "previouslyFormattedCitation" : "[13]" }, "properties" : {  }, "schema" : "https://github.com/citation-style-language/schema/raw/master/csl-citation.json" }</w:instrText>
      </w:r>
      <w:r w:rsidR="0011549D" w:rsidRPr="0035263C">
        <w:rPr>
          <w:sz w:val="22"/>
          <w:szCs w:val="22"/>
        </w:rPr>
        <w:fldChar w:fldCharType="separate"/>
      </w:r>
      <w:r w:rsidR="000F0997" w:rsidRPr="000F0997">
        <w:rPr>
          <w:noProof/>
          <w:sz w:val="22"/>
          <w:szCs w:val="22"/>
        </w:rPr>
        <w:t>[13]</w:t>
      </w:r>
      <w:r w:rsidR="0011549D" w:rsidRPr="0035263C">
        <w:rPr>
          <w:sz w:val="22"/>
          <w:szCs w:val="22"/>
        </w:rPr>
        <w:fldChar w:fldCharType="end"/>
      </w:r>
      <w:r w:rsidR="0011549D" w:rsidRPr="0035263C">
        <w:rPr>
          <w:sz w:val="22"/>
          <w:szCs w:val="22"/>
        </w:rPr>
        <w:t xml:space="preserve"> </w:t>
      </w:r>
      <w:r w:rsidR="008767C1">
        <w:rPr>
          <w:sz w:val="22"/>
          <w:szCs w:val="22"/>
        </w:rPr>
        <w:t>Current</w:t>
      </w:r>
      <w:r w:rsidR="009C5653" w:rsidRPr="0035263C">
        <w:rPr>
          <w:sz w:val="22"/>
          <w:szCs w:val="22"/>
        </w:rPr>
        <w:t xml:space="preserve"> CDSS</w:t>
      </w:r>
      <w:r w:rsidR="00EB25F1">
        <w:rPr>
          <w:sz w:val="22"/>
          <w:szCs w:val="22"/>
        </w:rPr>
        <w:t xml:space="preserve"> </w:t>
      </w:r>
      <w:r w:rsidR="009C5653" w:rsidRPr="0035263C">
        <w:rPr>
          <w:sz w:val="22"/>
          <w:szCs w:val="22"/>
        </w:rPr>
        <w:t>do not utilise available data</w:t>
      </w:r>
      <w:r w:rsidR="00E77EEF">
        <w:rPr>
          <w:sz w:val="22"/>
          <w:szCs w:val="22"/>
        </w:rPr>
        <w:t xml:space="preserve"> in an intelligent way</w:t>
      </w:r>
      <w:r w:rsidR="009C5653" w:rsidRPr="0035263C">
        <w:rPr>
          <w:sz w:val="22"/>
          <w:szCs w:val="22"/>
        </w:rPr>
        <w:t xml:space="preserve"> to support decision making. They are predominantly rule-based systems that adhere to guidelines and policy</w:t>
      </w:r>
      <w:r w:rsidR="00EB25F1">
        <w:rPr>
          <w:sz w:val="22"/>
          <w:szCs w:val="22"/>
        </w:rPr>
        <w:t>.</w:t>
      </w:r>
      <w:r w:rsidR="009C5653" w:rsidRPr="0035263C">
        <w:rPr>
          <w:sz w:val="22"/>
          <w:szCs w:val="22"/>
        </w:rPr>
        <w:fldChar w:fldCharType="begin" w:fldLock="1"/>
      </w:r>
      <w:r w:rsidR="001E7A17">
        <w:rPr>
          <w:sz w:val="22"/>
          <w:szCs w:val="22"/>
        </w:rPr>
        <w:instrText>ADDIN CSL_CITATION { "citationItems" : [ { "id" : "ITEM-1", "itemData" : { "DOI" : "10.1016/j.cmi.2017.02.028", "ISSN" : "1198743X", "PMID" : "28268133", "abstract" : "OBJECTIVES Clinical decision support systems (CDSS) for antimicrobial management can support clinicians to optimise antimicrobial therapy. We reviewed all original literature (qualitative and quantitative) to understand the current scope of CDSS for antimicrobial management and analyse existing methods used to evaluate and report such systems. METHOD PRISMA guidelines were followed. Medline, EMBASE, HMIC Health and Management, and Global Health databases were searched from 1(st) January 1980 to 31(st) October 2015. All primary research studies describing CDSS for antimicrobial management in adults in primary or secondary care were included. For qualitative studies, thematic synthesis was performed. Quality was assessed using Integrated quality Criteria for the Review Of Multiple Study designs (ICROMS) criteria. CDSS reporting was assessed against a reporting framework for behaviour change intervention implementation. RESULTS Fifty-eight original articles were included describing 38 independent CDSS. The majority of systems target antimicrobial prescribing (29/38;76%), are platforms integrated with electronic medical records (28/38;74%), and have rules based infrastructure providing decision support (29/38;76%). On evaluation against the intervention reporting framework, CDSS studies fail to report consideration of the non-expert, end-user workflow. They have narrow focus, such as antimicrobial selection, and use proxy outcome measures. Engagement with CDSS by clinicians was poor. CONCLUSION Greater consideration of the factors that drive non-expert decision making must be considered when designing CDSS interventions. Future work must aim to expand CDSS beyond simply selecting appropriate antimicrobials with clear and systematic reporting frameworks for CDSS interventions developed to address current gaps identified in the reporting of evidence.", "author" : [ { "dropping-particle" : "", "family" : "Rawson", "given" : "T.M.", "non-dropping-particle" : "", "parse-names" : false, "suffix" : "" }, { "dropping-particle" : "", "family" : "Moore", "given" : "L.S.P.", "non-dropping-particle" : "", "parse-names" : false, "suffix" : "" }, { "dropping-particle" : "", "family" : "Hernandez", "given" : "Bernard", "non-dropping-particle" : "", "parse-names" : false, "suffix" : "" }, { "dropping-particle" : "", "family" : "Charani", "given" : "Esmita", "non-dropping-particle" : "", "parse-names" : false, "suffix" : "" }, { "dropping-particle" : "", "family" : "Castro-Sanchez", "given" : "Enrique", "non-dropping-particle" : "", "parse-names" : false, "suffix" : "" }, { "dropping-particle" : "", "family" : "Herrero", "given" : "Pau", "non-dropping-particle" : "", "parse-names" : false, "suffix" : "" }, { "dropping-particle" : "", "family" : "Hayhoe", "given" : "Benedict", "non-dropping-particle" : "", "parse-names" : false, "suffix" : "" }, { "dropping-particle" : "", "family" : "Hope", "given" : "William", "non-dropping-particle" : "", "parse-names" : false, "suffix" : "" }, { "dropping-particle" : "", "family" : "Georgiou", "given" : "Pantelis", "non-dropping-particle" : "", "parse-names" : false, "suffix" : "" }, { "dropping-particle" : "", "family" : "Holmes", "given" : "A.H.", "non-dropping-particle" : "", "parse-names" : false, "suffix" : "" } ], "container-title" : "Clinical Microbiology and Infection", "id" : "ITEM-1", "issue" : "8", "issued" : { "date-parts" : [ [ "2017", "8", "4" ] ] }, "page" : "524-532", "title" : "A systematic review of clinical decision support systems for antimicrobial management: are we failing to investigate these interventions appropriately?", "type" : "article-journal", "volume" : "23" }, "uris" : [ "http://www.mendeley.com/documents/?uuid=0ab1b185-9f83-4fbc-b712-cd499640c375" ] } ], "mendeley" : { "formattedCitation" : "[13]", "plainTextFormattedCitation" : "[13]", "previouslyFormattedCitation" : "[13]" }, "properties" : {  }, "schema" : "https://github.com/citation-style-language/schema/raw/master/csl-citation.json" }</w:instrText>
      </w:r>
      <w:r w:rsidR="009C5653" w:rsidRPr="0035263C">
        <w:rPr>
          <w:sz w:val="22"/>
          <w:szCs w:val="22"/>
        </w:rPr>
        <w:fldChar w:fldCharType="separate"/>
      </w:r>
      <w:r w:rsidR="000F0997" w:rsidRPr="000F0997">
        <w:rPr>
          <w:noProof/>
          <w:sz w:val="22"/>
          <w:szCs w:val="22"/>
        </w:rPr>
        <w:t>[13]</w:t>
      </w:r>
      <w:r w:rsidR="009C5653" w:rsidRPr="0035263C">
        <w:rPr>
          <w:sz w:val="22"/>
          <w:szCs w:val="22"/>
        </w:rPr>
        <w:fldChar w:fldCharType="end"/>
      </w:r>
      <w:r w:rsidR="009C5653" w:rsidRPr="0035263C">
        <w:rPr>
          <w:sz w:val="22"/>
          <w:szCs w:val="22"/>
        </w:rPr>
        <w:t xml:space="preserve"> These tend to provide inflexible, population level recommendations to prescribers. </w:t>
      </w:r>
    </w:p>
    <w:p w14:paraId="68DCEAA7" w14:textId="10281C3E" w:rsidR="009C5653" w:rsidRPr="0035263C" w:rsidRDefault="007B23B1" w:rsidP="00BC4EEA">
      <w:pPr>
        <w:spacing w:afterLines="200" w:after="480" w:line="480" w:lineRule="auto"/>
        <w:jc w:val="both"/>
        <w:rPr>
          <w:sz w:val="22"/>
          <w:szCs w:val="22"/>
        </w:rPr>
      </w:pPr>
      <w:r>
        <w:rPr>
          <w:sz w:val="22"/>
          <w:szCs w:val="22"/>
        </w:rPr>
        <w:t>T</w:t>
      </w:r>
      <w:r w:rsidR="009C5653" w:rsidRPr="0035263C">
        <w:rPr>
          <w:sz w:val="22"/>
          <w:szCs w:val="22"/>
        </w:rPr>
        <w:t>he development of powerful processing capabilities and artificial intelligence provides an opportunity to utilise available data in a more precise manner</w:t>
      </w:r>
      <w:r w:rsidR="00CF71A7">
        <w:rPr>
          <w:sz w:val="22"/>
          <w:szCs w:val="22"/>
        </w:rPr>
        <w:t>.</w:t>
      </w:r>
      <w:r w:rsidR="00EB25F1">
        <w:rPr>
          <w:sz w:val="22"/>
          <w:szCs w:val="22"/>
        </w:rPr>
        <w:fldChar w:fldCharType="begin" w:fldLock="1"/>
      </w:r>
      <w:r w:rsidR="001E7A17">
        <w:rPr>
          <w:sz w:val="22"/>
          <w:szCs w:val="22"/>
        </w:rPr>
        <w:instrText>ADDIN CSL_CITATION { "citationItems" : [ { "id" : "ITEM-1", "itemData" : { "DOI" : "10.1038/s41562-019-0583-9", "ISSN" : "2397-3374", "abstract" : "Antibiotic resistance is an emerging global danger. Reaching responsible prescribing decisions requires the integration of broad and complex information. Artificial intelligence tools could support decision-making at multiple levels, but building them needs a transparent co-development approach to ensure their adoption upon implementation.", "author" : [ { "dropping-particle" : "", "family" : "Rawson", "given" : "Timothy M.", "non-dropping-particle" : "", "parse-names" : false, "suffix" : "" }, { "dropping-particle" : "", "family" : "Ahmad", "given" : "Raheelah", "non-dropping-particle" : "", "parse-names" : false, "suffix" : "" }, { "dropping-particle" : "", "family" : "Toumazou", "given" : "Christofer", "non-dropping-particle" : "", "parse-names" : false, "suffix" : "" }, { "dropping-particle" : "", "family" : "Georgiou", "given" : "Pantelis", "non-dropping-particle" : "", "parse-names" : false, "suffix" : "" }, { "dropping-particle" : "", "family" : "Holmes", "given" : "Alison H.", "non-dropping-particle" : "", "parse-names" : false, "suffix" : "" } ], "container-title" : "Nature Human Behaviour", "id" : "ITEM-1", "issued" : { "date-parts" : [ [ "2019", "3", "25" ] ] }, "page" : "1", "publisher" : "Nature Publishing Group", "title" : "Artificial intelligence can improve decision-making in infection management", "type" : "article-journal" }, "uris" : [ "http://www.mendeley.com/documents/?uuid=d0548019-5b5e-3a33-8ade-2fec183ebc03" ] } ], "mendeley" : { "formattedCitation" : "[14]", "plainTextFormattedCitation" : "[14]", "previouslyFormattedCitation" : "[14]" }, "properties" : {  }, "schema" : "https://github.com/citation-style-language/schema/raw/master/csl-citation.json" }</w:instrText>
      </w:r>
      <w:r w:rsidR="00EB25F1">
        <w:rPr>
          <w:sz w:val="22"/>
          <w:szCs w:val="22"/>
        </w:rPr>
        <w:fldChar w:fldCharType="separate"/>
      </w:r>
      <w:r w:rsidR="00EB25F1" w:rsidRPr="00EB25F1">
        <w:rPr>
          <w:noProof/>
          <w:sz w:val="22"/>
          <w:szCs w:val="22"/>
        </w:rPr>
        <w:t>[14]</w:t>
      </w:r>
      <w:r w:rsidR="00EB25F1">
        <w:rPr>
          <w:sz w:val="22"/>
          <w:szCs w:val="22"/>
        </w:rPr>
        <w:fldChar w:fldCharType="end"/>
      </w:r>
      <w:r w:rsidR="00CF71A7">
        <w:rPr>
          <w:sz w:val="22"/>
          <w:szCs w:val="22"/>
        </w:rPr>
        <w:t xml:space="preserve"> This could</w:t>
      </w:r>
      <w:r w:rsidR="009C5653" w:rsidRPr="0035263C">
        <w:rPr>
          <w:sz w:val="22"/>
          <w:szCs w:val="22"/>
        </w:rPr>
        <w:t xml:space="preserve"> potentially facilitat</w:t>
      </w:r>
      <w:r>
        <w:rPr>
          <w:sz w:val="22"/>
          <w:szCs w:val="22"/>
        </w:rPr>
        <w:t>e</w:t>
      </w:r>
      <w:r w:rsidR="009C5653" w:rsidRPr="0035263C">
        <w:rPr>
          <w:sz w:val="22"/>
          <w:szCs w:val="22"/>
        </w:rPr>
        <w:t xml:space="preserve"> better decision making around antimicrobial selection, through the delivery of individualised, evidence-based recommendations </w:t>
      </w:r>
      <w:r w:rsidR="00282B20">
        <w:rPr>
          <w:sz w:val="22"/>
          <w:szCs w:val="22"/>
        </w:rPr>
        <w:t>utilising</w:t>
      </w:r>
      <w:r w:rsidR="009C5653" w:rsidRPr="0035263C">
        <w:rPr>
          <w:sz w:val="22"/>
          <w:szCs w:val="22"/>
        </w:rPr>
        <w:t xml:space="preserve"> </w:t>
      </w:r>
      <w:r w:rsidR="00282B20">
        <w:rPr>
          <w:sz w:val="22"/>
          <w:szCs w:val="22"/>
        </w:rPr>
        <w:t>real-time</w:t>
      </w:r>
      <w:r w:rsidR="009C5653" w:rsidRPr="0035263C">
        <w:rPr>
          <w:sz w:val="22"/>
          <w:szCs w:val="22"/>
        </w:rPr>
        <w:t xml:space="preserve"> patient data. </w:t>
      </w:r>
    </w:p>
    <w:p w14:paraId="23081BDF" w14:textId="0A66CE5A" w:rsidR="005D7B84" w:rsidRDefault="009C5653" w:rsidP="005D7B84">
      <w:pPr>
        <w:spacing w:afterLines="200" w:after="480" w:line="480" w:lineRule="auto"/>
        <w:jc w:val="both"/>
        <w:rPr>
          <w:sz w:val="22"/>
          <w:szCs w:val="22"/>
        </w:rPr>
      </w:pPr>
      <w:r w:rsidRPr="0035263C">
        <w:rPr>
          <w:sz w:val="22"/>
          <w:szCs w:val="22"/>
        </w:rPr>
        <w:t>Within</w:t>
      </w:r>
      <w:r w:rsidRPr="0035263C">
        <w:rPr>
          <w:b/>
          <w:sz w:val="22"/>
          <w:szCs w:val="22"/>
        </w:rPr>
        <w:t xml:space="preserve"> </w:t>
      </w:r>
      <w:r w:rsidRPr="0035263C">
        <w:rPr>
          <w:sz w:val="22"/>
          <w:szCs w:val="22"/>
        </w:rPr>
        <w:t>the field of infection management, the role of artificial intelligence has been</w:t>
      </w:r>
      <w:r w:rsidR="0011549D" w:rsidRPr="0035263C">
        <w:rPr>
          <w:sz w:val="22"/>
          <w:szCs w:val="22"/>
        </w:rPr>
        <w:t xml:space="preserve"> previously</w:t>
      </w:r>
      <w:r w:rsidRPr="0035263C">
        <w:rPr>
          <w:sz w:val="22"/>
          <w:szCs w:val="22"/>
        </w:rPr>
        <w:t xml:space="preserve"> explored</w:t>
      </w:r>
      <w:r w:rsidR="00EB25F1">
        <w:rPr>
          <w:sz w:val="22"/>
          <w:szCs w:val="22"/>
        </w:rPr>
        <w:t>.</w:t>
      </w:r>
      <w:r w:rsidRPr="0035263C">
        <w:rPr>
          <w:sz w:val="22"/>
          <w:szCs w:val="22"/>
        </w:rPr>
        <w:fldChar w:fldCharType="begin" w:fldLock="1"/>
      </w:r>
      <w:r w:rsidR="001E7A17">
        <w:rPr>
          <w:sz w:val="22"/>
          <w:szCs w:val="22"/>
        </w:rPr>
        <w:instrText>ADDIN CSL_CITATION { "citationItems" : [ { "id" : "ITEM-1", "itemData" : { "DOI" : "10.1016/S0933-3657(98)00048-7", "ISBN" : "0933-3657 (Print)", "ISSN" : "09333657", "PMID" : "10082177", "abstract" : "Causal probabilistic networks, also called Bayesian networks, allow both qualitative knowledge about the structure of a problem and quantitative knowledge, derived from case databases, expert opinion and literature to be exploited in the construction of decision support systems for diagnosis, treatment and prognosis. This mixing of qualitative and quantitative knowledge will be illustrated, using the selection of antibiotics for a subset of patients with severe infections. The subset consists of patients where bacteria or fungi have been found in the blood. A simple pathophysiological model of infection is used to calculate a prognosis, dependent on the choice of antibiotics. A decision\u2013theoretic approach is used to balance the therapeutic benefit of antibiotic treatment against the cost of antibiotics in the form of direct monetary cost, side effects and ecological cost. A retrospective trial on patients with bacteria or fungi in the blood stemming from the urinary tract indicates that with this approach, it may be possible to suggest balanced choices of antibiotics that not only achieve greater therapeutic benefit, but also reduce the cost of therapy.", "author" : [ { "dropping-particle" : "", "family" : "Andreassen", "given" : "Steen", "non-dropping-particle" : "", "parse-names" : false, "suffix" : "" }, { "dropping-particle" : "", "family" : "Riekehr", "given" : "Christian", "non-dropping-particle" : "", "parse-names" : false, "suffix" : "" }, { "dropping-particle" : "", "family" : "Kristensen", "given" : "Brian", "non-dropping-particle" : "", "parse-names" : false, "suffix" : "" }, { "dropping-particle" : "", "family" : "Sch\u00f8nheyder", "given" : "Henrik C.", "non-dropping-particle" : "", "parse-names" : false, "suffix" : "" }, { "dropping-particle" : "", "family" : "Leibovici", "given" : "Leonard", "non-dropping-particle" : "", "parse-names" : false, "suffix" : "" } ], "container-title" : "Artificial Intelligence in Medicine", "id" : "ITEM-1", "issue" : "2", "issued" : { "date-parts" : [ [ "1999" ] ] }, "page" : "121-134", "title" : "Using probabilistic and decision\u2013theoretic methods in treatment and prognosis modeling", "type" : "article", "volume" : "15" }, "uris" : [ "http://www.mendeley.com/documents/?uuid=b26449b7-e1cb-4d7a-9e12-95eaa6c166d8" ] }, { "id" : "ITEM-2", "itemData" : { "DOI" : "10.1086/503034", "ISBN" : "1058-4838", "ISSN" : "1537-6591", "PMID" : "16586387", "abstract" : "BACKGROUND: Prediction of bloodstream infection at the time of sepsis onset allows one to make appropriate and economical management decisions.\\n\\nMETHODS: The TREAT computerized decision-support system uses a causal probabilistic network, which is locally calibrated, to predict cases of bacteremia. We assessed the system's performance in 2 independent cohorts that included patients with suspected sepsis. Both studies were conducted in Israel, Italy, and Germany. Data were collected prospectively and were entered into the TREAT system at the time that blood samples were obtained for culture. Discriminative power was assessed using a receiver-operating characteristics curve.\\n\\nRESULTS: In the first cohort, 790 patients were included. The area under the receiver-operating characteristics curve for prediction of bacteremia using the TREAT system was 0.68 (95% confidence interval [CI], 0.63-0.73). We used TREAT's prediction values to draw thresholds defining a low-, intermediate-, and high-risk groups for bacteremia, in which 3 (2.4%) of 123, 62 (12.8%) of 483, and 55 (29.9%) of 184 patients were bacteremic, respectively. In the second cohort, 1724 patients were included. The area under the receiver-operating characteristics curve was 0.70 (95% CI, 0.67-0.73). The prevalence of bacteremia observed in the low-, intermediate-, and high-risk groups defined by the first cohort were 1.3% (4 of 300 patients), 13.2% (150 of 1139 patients), and 28.1% (80 of 285 patients), respectively. The low-risk groups in the 2 cohorts comprised 15%-17% of all patients. Performance was stable in the 3 sites.\\n\\nCONCLUSIONS: Using variables available at the time that blood cultures were performed, the TREAT system successfully stratified patients on the basis of the risk for bacteremia. The system's predictions were stable in 3 locations. The TREAT system can define a low-risk group of inpatients with suspected sepsis for whom blood cultures may not be needed.", "author" : [ { "dropping-particle" : "", "family" : "Paul", "given" : "Mical", "non-dropping-particle" : "", "parse-names" : false, "suffix" : "" }, { "dropping-particle" : "", "family" : "Andreassen", "given" : "Steen", "non-dropping-particle" : "", "parse-names" : false, "suffix" : "" }, { "dropping-particle" : "", "family" : "Nielsen", "given" : "Anders D", "non-dropping-particle" : "", "parse-names" : false, "suffix" : "" }, { "dropping-particle" : "", "family" : "Tacconelli", "given" : "Evelina", "non-dropping-particle" : "", "parse-names" : false, "suffix" : "" }, { "dropping-particle" : "", "family" : "Almanasreh", "given" : "Nadja", "non-dropping-particle" : "", "parse-names" : false, "suffix" : "" }, { "dropping-particle" : "", "family" : "Fraser", "given" : "Abigail", "non-dropping-particle" : "", "parse-names" : false, "suffix" : "" }, { "dropping-particle" : "", "family" : "Yahav", "given" : "Dafna", "non-dropping-particle" : "", "parse-names" : false, "suffix" : "" }, { "dropping-particle" : "", "family" : "Ram", "given" : "Ron", "non-dropping-particle" : "", "parse-names" : false, "suffix" : "" }, { "dropping-particle" : "", "family" : "Leibovici", "given" : "Leonard", "non-dropping-particle" : "", "parse-names" : false, "suffix" : "" } ], "container-title" : "Clinical infectious diseases : an official publication of the Infectious Diseases Society of America", "id" : "ITEM-2", "issue" : "9", "issued" : { "date-parts" : [ [ "2006" ] ] }, "page" : "1274-82", "title" : "Prediction of bacteremia using TREAT, a computerized decision-support system.", "type" : "article-journal", "volume" : "42" }, "uris" : [ "http://www.mendeley.com/documents/?uuid=c38a611b-f530-4a3e-a85e-9a24c2d31f98" ] }, { "id" : "ITEM-3", "itemData" : { "DOI" : "10.1093/jac/dkl372", "ISSN" : "0305-7453", "author" : [ { "dropping-particle" : "", "family" : "Paul", "given" : "M.", "non-dropping-particle" : "", "parse-names" : false, "suffix" : "" }, { "dropping-particle" : "", "family" : "Andreassen", "given" : "S.", "non-dropping-particle" : "", "parse-names" : false, "suffix" : "" }, { "dropping-particle" : "", "family" : "Tacconelli", "given" : "E.", "non-dropping-particle" : "", "parse-names" : false, "suffix" : "" }, { "dropping-particle" : "", "family" : "Nielsen", "given" : "A. D.", "non-dropping-particle" : "", "parse-names" : false, "suffix" : "" }, { "dropping-particle" : "", "family" : "Almanasreh", "given" : "N.", "non-dropping-particle" : "", "parse-names" : false, "suffix" : "" }, { "dropping-particle" : "", "family" : "Frank", "given" : "U.", "non-dropping-particle" : "", "parse-names" : false, "suffix" : "" }, { "dropping-particle" : "", "family" : "Cauda", "given" : "R.", "non-dropping-particle" : "", "parse-names" : false, "suffix" : "" }, { "dropping-particle" : "", "family" : "Leibovici", "given" : "L.", "non-dropping-particle" : "", "parse-names" : false, "suffix" : "" } ], "container-title" : "Journal of Antimicrobial Chemotherapy", "id" : "ITEM-3", "issue" : "6", "issued" : { "date-parts" : [ [ "2006" ] ] }, "page" : "1238-1245", "title" : "Improving empirical antibiotic treatment using TREAT, a computerized decision support system: cluster randomized trial", "type" : "article-journal", "volume" : "58" }, "uris" : [ "http://www.mendeley.com/documents/?uuid=dc4f9d54-867d-47af-a862-c289634eac54" ] }, { "id" : "ITEM-4", "itemData" : { "DOI" : "10.1093/jac/dkm107", "ISSN" : "0305-7453", "author" : [ { "dropping-particle" : "", "family" : "Paul", "given" : "M.", "non-dropping-particle" : "", "parse-names" : false, "suffix" : "" }, { "dropping-particle" : "", "family" : "Nielsen", "given" : "A. D.", "non-dropping-particle" : "", "parse-names" : false, "suffix" : "" }, { "dropping-particle" : "", "family" : "Goldberg", "given" : "E.", "non-dropping-particle" : "", "parse-names" : false, "suffix" : "" }, { "dropping-particle" : "", "family" : "Andreassen", "given" : "S.", "non-dropping-particle" : "", "parse-names" : false, "suffix" : "" }, { "dropping-particle" : "", "family" : "Tacconelli", "given" : "E.", "non-dropping-particle" : "", "parse-names" : false, "suffix" : "" }, { "dropping-particle" : "", "family" : "Almanasreh", "given" : "N.", "non-dropping-particle" : "", "parse-names" : false, "suffix" : "" }, { "dropping-particle" : "", "family" : "Frank", "given" : "U.", "non-dropping-particle" : "", "parse-names" : false, "suffix" : "" }, { "dropping-particle" : "", "family" : "Cauda", "given" : "R.", "non-dropping-particle" : "", "parse-names" : false, "suffix" : "" }, { "dropping-particle" : "", "family" : "Leibovici", "given" : "L.", "non-dropping-particle" : "", "parse-names" : false, "suffix" : "" } ], "container-title" : "Journal of Antimicrobial Chemotherapy", "id" : "ITEM-4", "issue" : "6", "issued" : { "date-parts" : [ [ "2007", "4", "18" ] ] }, "page" : "1204-1207", "title" : "Prediction of specific pathogens in patients with sepsis: evaluation of TREAT, a computerized decision support system", "type" : "article-journal", "volume" : "59" }, "uris" : [ "http://www.mendeley.com/documents/?uuid=d079bc7e-a99b-3697-b824-5b0d7c14ae95" ] }, { "id" : "ITEM-5", "itemData" : { "DOI" : "10.1093/jac/dkt222", "ISSN" : "1460-2091", "PMID" : "23743088", "abstract" : "OBJECTIVES: TREAT is a computerized decision support system for antibiotic treatment. In a randomized controlled trial it improved significantly the percentage of appropriate empirical antibiotic treatment and shortened hospital stay, while the usage of broad-spectrum antibiotics was reduced. The trial was not powered to show significance for the difference in 1 month mortality rate. In the present analysis we looked at 6 month survival in one of the hospitals (Beilinson Hospital) that participated in the trial.\\n\\nMETHODS: We plotted the Kaplan-Meier survival function for all patients [intention to treat (ITT)] and for patients treated according to the TREAT advice [per protocol (PP)]. The analysis was repeated for patients with clinically or bacteriologically documented bacterial infections.\\n\\nRESULTS: At Beilinson Hospital 1683 patients were included in the study, 860 in the intervention arm and 823 in the control arm. In the ITT analysis 180 day survival in control patients was 71% versus 74% in the intervention patients (P = 0.2). In the PP analysis the survival percentages were 71% and 77%, respectively (P = 0.04). In patients with bacterial infections, in the ITT analysis 180 day survival in the control group was 68% versus 71% in the intervention patients (P = 0.1). In the PP analysis the survival percentages were 68% versus 74% (P = 0.04).\\n\\nCONCLUSIONS: The present data support an effect of the TREAT decision support system on 6 month survival, mainly because of its benefit in patients with documented bacterial infections.", "author" : [ { "dropping-particle" : "", "family" : "Leibovici", "given" : "Leonard", "non-dropping-particle" : "", "parse-names" : false, "suffix" : "" }, { "dropping-particle" : "", "family" : "Kariv", "given" : "Galia", "non-dropping-particle" : "", "parse-names" : false, "suffix" : "" }, { "dropping-particle" : "", "family" : "Paul", "given" : "Mical", "non-dropping-particle" : "", "parse-names" : false, "suffix" : "" } ], "container-title" : "The Journal of antimicrobial chemotherapy", "id" : "ITEM-5", "issue" : "11", "issued" : { "date-parts" : [ [ "2013" ] ] }, "page" : "2664-6", "title" : "Long-term survival in patients included in a randomized controlled trial of TREAT, a decision support system for antibiotic treatment.", "type" : "article-journal", "volume" : "68" }, "uris" : [ "http://www.mendeley.com/documents/?uuid=6319c573-4da4-4fd4-ac0a-2c603a95dfdb" ] }, { "id" : "ITEM-6", "itemData" : { "DOI" : "10.1093/jac/dkn504", "ISBN" : "1460-2091 (Electronic)\\r0305-7453 (Linking)", "ISSN" : "03057453", "PMID" : "19091808", "abstract" : "OBJECTIVES: To evaluate a decision support system (TREAT) for guidance of empirical antimicrobial therapy in an environment with a low prevalence of resistant pathogens. METHODS: A retrospective trial of TREAT has been performed at Copenhagen University, Hvidovre Hospital. The cohort of patients included adults with systemic inflammation and suspicion of community-acquired bacterial infection. The empirical antimicrobial treatment recommended by TREAT was compared with the empirical antimicrobial treatment prescribed by the first attending clinical physician. RESULTS: Out of 171 patients recruited, 161 (65 with microbiologically documented infections) fulfilled the inclusion criteria of TREAT. Coverage achieved by TREAT was significantly higher than that by clinical practice (86% versus 66%, P = 0.007). There was no significant difference in the cost of future resistance between treatments chosen by TREAT and those by physicians. The direct expenses for antimicrobials were higher in TREAT when including patients without antimicrobial treatment, while there was no significant difference otherwise. The cost of side effects was significantly lower using TREAT. CONCLUSIONS: The results of the study suggest that TREAT can improve the appropriateness of antimicrobial therapy and reduce the cost of side effects in regions with a low prevalence of resistant pathogens, however, at the expense of increased use of antibiotics.", "author" : [ { "dropping-particle" : "", "family" : "Kofoed", "given" : "Kristian", "non-dropping-particle" : "", "parse-names" : false, "suffix" : "" }, { "dropping-particle" : "", "family" : "Zalounina", "given" : "Alina", "non-dropping-particle" : "", "parse-names" : false, "suffix" : "" }, { "dropping-particle" : "", "family" : "Andersen", "given" : "Ove", "non-dropping-particle" : "", "parse-names" : false, "suffix" : "" }, { "dropping-particle" : "", "family" : "Lisby", "given" : "Gorm", "non-dropping-particle" : "", "parse-names" : false, "suffix" : "" }, { "dropping-particle" : "", "family" : "Paul", "given" : "Mical", "non-dropping-particle" : "", "parse-names" : false, "suffix" : "" }, { "dropping-particle" : "", "family" : "Leibovici", "given" : "Leonard", "non-dropping-particle" : "", "parse-names" : false, "suffix" : "" }, { "dropping-particle" : "", "family" : "Andreassen", "given" : "Steen", "non-dropping-particle" : "", "parse-names" : false, "suffix" : "" } ], "container-title" : "Journal of Antimicrobial Chemotherapy", "id" : "ITEM-6", "issue" : "December 2008", "issued" : { "date-parts" : [ [ "2009" ] ] }, "page" : "400-404", "title" : "Performance of the TREAT decision support system in an environment with a low prevalence of resistant pathogens", "type" : "article-journal", "volume" : "63" }, "uris" : [ "http://www.mendeley.com/documents/?uuid=2025bc72-a337-4353-a461-7cfbf1b460a4" ] }, { "id" : "ITEM-7", "itemData" : { "ISBN" : "1942-597X (Electronic)\\r1559-4076 (Linking)", "ISSN" : "1942-597X", "PMID" : "14728219", "abstract" : "To better serve an antibiotic guidance program, we hypothesized that the relatively few antibiotic susceptibility measurements conducted in the microbiology laboratory could be extended to predict antibiotic susceptibilities for all antibiotics on the hospital formulary using expert infectious disease logic. With the assistance of infectious disease specialists, we developed these logic rules and then applied them to 26,196 unique patient culture specimens and the accompanying 334,131 antibiotic susceptibility measurements generating 804,809 additional predicted bug-drug susceptibility data points. From the resulting data set, the antibiotic susceptibility profile for one pathogen, Streptococcus pneumoniae, is highlighted herein. We then incorporated the extended susceptibility profiles into a computerized antibiotic guidance program that matches current patients of interest with the positive cultures from past similar patients and calculates predicted effective antibiotic therapy. We conclude that this method successfully derives antibiotic predictions and merits further testing to evaluate its potential use in the hospital environment.", "author" : [ { "dropping-particle" : "", "family" : "Mullett", "given" : "Charles J", "non-dropping-particle" : "", "parse-names" : false, "suffix" : "" }, { "dropping-particle" : "", "family" : "Thomas", "given" : "John G", "non-dropping-particle" : "", "parse-names" : false, "suffix" : "" } ], "container-title" : "AMIA Annual Symposium proceedings / AMIA Symposium AMIA Symposium", "id" : "ITEM-7", "issued" : { "date-parts" : [ [ "2003" ] ] }, "page" : "480-483", "title" : "Database-driven computerized antibiotic decision support: novel use of expert antibiotic susceptibility rules embedded in a pathogen-antibiotic logic matrix", "type" : "article-journal" }, "uris" : [ "http://www.mendeley.com/documents/?uuid=0e13701d-16fe-4df5-9061-9447c8b910fd" ] }, { "id" : "ITEM-8", "itemData" : { "DOI" : "10.1016/j.ijmedinf.2004.04.002", "ISBN" : "1386-5056 (Print)\\n1386-5056 (Linking)", "ISSN" : "1386-5056", "PMID" : "15171986", "abstract" : "We developed a computerized antimicrobial guidance program based on the last 5 years of our laboratory culture data augmented by expert infectious disease logic. The program is designed to assist physicians with the targeting of empiric antimicrobials for hospitalized patients by tracking pathogenic bacteria and their evolving antimicrobial resistance profiles. Costs, toxicities, and environmental impact of antimicrobial use also influence the final recommendations. We undertook the following analysis to verify its potential safety and efficacy in hospitalized patients with a bloodstream infection.", "author" : [ { "dropping-particle" : "", "family" : "Mullett", "given" : "Charles J", "non-dropping-particle" : "", "parse-names" : false, "suffix" : "" }, { "dropping-particle" : "", "family" : "Thomas", "given" : "John G", "non-dropping-particle" : "", "parse-names" : false, "suffix" : "" }, { "dropping-particle" : "", "family" : "Smith", "given" : "Connie L", "non-dropping-particle" : "", "parse-names" : false, "suffix" : "" }, { "dropping-particle" : "", "family" : "Sarwari", "given" : "Arif R", "non-dropping-particle" : "", "parse-names" : false, "suffix" : "" }, { "dropping-particle" : "", "family" : "Khakoo", "given" : "Rashida A", "non-dropping-particle" : "", "parse-names" : false, "suffix" : "" } ], "container-title" : "International journal of medical informatics", "id" : "ITEM-8", "issue" : "5", "issued" : { "date-parts" : [ [ "2004" ] ] }, "page" : "455-60", "title" : "Computerized antimicrobial decision support: an offline evaluation of a database-driven empiric antimicrobial guidance program in hospitalized patients with a bloodstream infection.", "type" : "article-journal", "volume" : "73" }, "uris" : [ "http://www.mendeley.com/documents/?uuid=f1d207df-47be-4ab7-9209-037dd3e47eda" ] }, { "id" : "ITEM-9", "itemData" : { "DOI" : "10.1016/j.cmpb.2011.09.006", "ISSN" : "01692607", "author" : [ { "dropping-particle" : "", "family" : "Papageorgiou", "given" : "Elpiniki I.", "non-dropping-particle" : "", "parse-names" : false, "suffix" : "" } ], "container-title" : "Computer Methods and Programs in Biomedicine", "id" : "ITEM-9", "issue" : "3", "issued" : { "date-parts" : [ [ "2012" ] ] }, "page" : "233-245", "title" : "Fuzzy cognitive map software tool for treatment management of uncomplicated urinary tract infection", "type" : "article-journal", "volume" : "105" }, "uris" : [ "http://www.mendeley.com/documents/?uuid=26023676-f5e5-4959-aed0-2d6395b9866c" ] }, { "id" : "ITEM-10", "itemData" : { "DOI" : "10.1056/NEJM199801223380406", "ISBN" : "0028-4793", "ISSN" : "0028-4793", "PMID" : "9625644", "author" : [ { "dropping-particle" : "", "family" : "Evans", "given" : "R. Scott", "non-dropping-particle" : "", "parse-names" : false, "suffix" : "" }, { "dropping-particle" : "", "family" : "Pestotnik", "given" : "Stanley L.", "non-dropping-particle" : "", "parse-names" : false, "suffix" : "" }, { "dropping-particle" : "", "family" : "Classen", "given" : "David C.", "non-dropping-particle" : "", "parse-names" : false, "suffix" : "" }, { "dropping-particle" : "", "family" : "Clemmer", "given" : "Terry P.", "non-dropping-particle" : "", "parse-names" : false, "suffix" : "" }, { "dropping-particle" : "", "family" : "Weaver", "given" : "Lindell K.", "non-dropping-particle" : "", "parse-names" : false, "suffix" : "" }, { "dropping-particle" : "", "family" : "Orme", "given" : "James F.", "non-dropping-particle" : "", "parse-names" : false, "suffix" : "" }, { "dropping-particle" : "", "family" : "Lloyd", "given" : "James F.", "non-dropping-particle" : "", "parse-names" : false, "suffix" : "" }, { "dropping-particle" : "", "family" : "Burke", "given" : "John P.", "non-dropping-particle" : "", "parse-names" : false, "suffix" : "" } ], "container-title" : "New England Journal of Medicine", "id" : "ITEM-10", "issue" : "4", "issued" : { "date-parts" : [ [ "1998", "1", "22" ] ] }, "page" : "232-238", "title" : "A Computer-Assisted Management Program for Antibiotics and Other Antiinfective Agents", "type" : "article-journal", "volume" : "338" }, "uris" : [ "http://www.mendeley.com/documents/?uuid=39097d9d-9884-4e74-a8ee-7242e976cbab" ] }, { "id" : "ITEM-11", "itemData" : { "DOI" : "10.1016/S0933-3657(03)00006-X", "ISSN" : "09333657", "PMID" : "12667739", "abstract" : "Hospitals have a specified set of antibiotics for restricted use (ARU), very expensive, which are only recommended for special pathologies. The pharmacy department daily checks the prescription of this kind of antibiotics since it is often the case that, after a careful analysis, one can get the same therapeutic effects by using normal antibiotics which are much cheaper and usually less aggressive. In this paper, we describe a multi-agent system to help in the revision of medical prescriptions containing antibiotics of restricted use. The proposed approach attaches an agent to each patient which is responsible of checking different medical aspects related to his/her prescribed therapy. A pharmacy agent is responsible for analyzing it and suggesting alternative antibiotic treatments. All these agents are integrated in a hospital distributed scenario composed by many different kinds of software and human agents. This patient-centered multi-agent scenario is specified using the design methodology of Electronic Institutions. \u00a9 2003 Elsevier Science B.V. All rights reserved.", "author" : [ { "dropping-particle" : "", "family" : "Godo", "given" : "L.", "non-dropping-particle" : "", "parse-names" : false, "suffix" : "" }, { "dropping-particle" : "", "family" : "Puyol-Gruart", "given" : "J.", "non-dropping-particle" : "", "parse-names" : false, "suffix" : "" }, { "dropping-particle" : "", "family" : "Sabater", "given" : "J.", "non-dropping-particle" : "", "parse-names" : false, "suffix" : "" }, { "dropping-particle" : "", "family" : "Torra", "given" : "V.", "non-dropping-particle" : "", "parse-names" : false, "suffix" : "" }, { "dropping-particle" : "", "family" : "Barrufet", "given" : "P.", "non-dropping-particle" : "", "parse-names" : false, "suffix" : "" }, { "dropping-particle" : "", "family" : "F\u00e0bregas", "given" : "X.", "non-dropping-particle" : "", "parse-names" : false, "suffix" : "" } ], "container-title" : "Artificial Intelligence in Medicine", "id" : "ITEM-11", "issue" : "3", "issued" : { "date-parts" : [ [ "2003" ] ] }, "page" : "259-282", "title" : "A multi-agent system approach for monitoring the prescription of restricted use antibiotics", "type" : "article-journal", "volume" : "27" }, "uris" : [ "http://www.mendeley.com/documents/?uuid=332b7ed3-1171-4bbb-804a-e62ba860c1a4" ] }, { "id" : "ITEM-12", "itemData" : { "DOI" : "10.1016/S0933-3657(01)00083-5", "ISBN" : "4938139472", "ISSN" : "09333657", "PMID" : "11583924", "abstract" : "We have developed an antibiotics therapy advice system called ICONS for patients in an intensive care unit (ICU) who have caught an infection as additional complication. Since advice for such critically ill patients is needed very quickly and as the actual pathogen still has to be identified by the laboratory, we use an expected pathogen spectrum based on medical background knowledge and known resistances. The expected pathogen spectra and the resistance information are periodically updated from laboratory results. To speed up the process of finding suitable therapy recommendations, we have applied case-based reasoning (CBR) techniques. As all required information should always be up to date in medical expert systems, new cases should be incrementally incorporated into the case base and outdated ones should be updated or erased. For reasons of space limitations and of retrieval time an indefinite growth of the case base should be avoided. To fulfill these requirements we propose that specific single cases should be generalised to more general prototypical ones and that subsequent redundant cases should be erased. In this paper, we present evaluation results of different generation strategies for generalised cases (prototypes). Additionally, we compare measured retrieval times for two indexing retrieval algorithms: simple indexing, which is appropriate for small and medium case bases, and tree-hash retrieval, which is advantageous for large case bases. ?? 2001 Elsevier Science B.V. All rights reserved.", "author" : [ { "dropping-particle" : "", "family" : "Schmidt", "given" : "Rainer", "non-dropping-particle" : "", "parse-names" : false, "suffix" : "" }, { "dropping-particle" : "", "family" : "Gierl", "given" : "Lothar", "non-dropping-particle" : "", "parse-names" : false, "suffix" : "" } ], "container-title" : "Artificial Intelligence in Medicine", "id" : "ITEM-12", "issued" : { "date-parts" : [ [ "2001" ] ] }, "page" : "171-186", "title" : "Case-based reasoning for antibiotics therapy advice: An investigation of retrieval algorithms and prototypes", "type" : "article-journal", "volume" : "23" }, "uris" : [ "http://www.mendeley.com/documents/?uuid=d7891089-c015-4411-8349-4ab086d45f9c" ] }, { "id" : "ITEM-13", "itemData" : { "ISBN" : "0169-2607", "ISSN" : "0169-2607", "PMID" : "9034676", "abstract" : "We report here on the system ICONS which utilizes case-based reasoning for medical decision support. As an application domain we have chosen the medical field of 'calculated antibiotic therapy' in an intensive care medicine setting. The system ICONS which runs on a personal computer suggests adequate antibiotic therapy regimen satisfying medical and economic conditions. To speed up the process of finding an adequate antibiotic therapy for a current patient, case-based reasoning is used for finding previously documented similar cases and for modifying them according to the requirements of the current patient. To reduce the memory capacity for the documentation of cases, collections of similar cases are clustered to prototypes. Medical knowledge is represented within a hierarchy of such prototypes and cases and an additional context-sensitive background knowledge-base. A knowledge acquisition tool was programmed that allows revisions of the background medical knowledge-base by simple and comprehensive methods. In addition to the advantage of producing site-specific and time-dependent knowledge, case-based reasoning is a practical method for speeding-up the process of generating and evaluating hypotheses in medical classification tasks.", "author" : [ { "dropping-particle" : "", "family" : "Heindl", "given" : "Bernhard", "non-dropping-particle" : "", "parse-names" : false, "suffix" : "" }, { "dropping-particle" : "", "family" : "Schmidt", "given" : "Rainer", "non-dropping-particle" : "", "parse-names" : false, "suffix" : "" }, { "dropping-particle" : "", "family" : "Schmid", "given" : "Gabi", "non-dropping-particle" : "", "parse-names" : false, "suffix" : "" }, { "dropping-particle" : "", "family" : "Haller", "given" : "Mathias", "non-dropping-particle" : "", "parse-names" : false, "suffix" : "" }, { "dropping-particle" : "", "family" : "Pfaller", "given" : "Peter", "non-dropping-particle" : "", "parse-names" : false, "suffix" : "" }, { "dropping-particle" : "", "family" : "Gierl", "given" : "Lothar", "non-dropping-particle" : "", "parse-names" : false, "suffix" : "" }, { "dropping-particle" : "", "family" : "Pollwein", "given" : "Bernhard", "non-dropping-particle" : "", "parse-names" : false, "suffix" : "" } ], "container-title" : "Computer Methods in Biomedicine", "id" : "ITEM-13", "issued" : { "date-parts" : [ [ "1997" ] ] }, "page" : "117-127", "title" : "A case-based consiliarius for therapy recommendation (ICONS): computer-based advice for calculated antibiotic therapy in intensive care medicine", "type" : "article-journal", "volume" : "52" }, "uris" : [ "http://www.mendeley.com/documents/?uuid=054d8803-0ea8-4d6a-ad60-83954cc68152" ] } ], "mendeley" : { "formattedCitation" : "[15\u201327]", "plainTextFormattedCitation" : "[15\u201327]", "previouslyFormattedCitation" : "[15\u201327]" }, "properties" : {  }, "schema" : "https://github.com/citation-style-language/schema/raw/master/csl-citation.json" }</w:instrText>
      </w:r>
      <w:r w:rsidRPr="0035263C">
        <w:rPr>
          <w:sz w:val="22"/>
          <w:szCs w:val="22"/>
        </w:rPr>
        <w:fldChar w:fldCharType="separate"/>
      </w:r>
      <w:r w:rsidR="001E7A17" w:rsidRPr="001E7A17">
        <w:rPr>
          <w:noProof/>
          <w:sz w:val="22"/>
          <w:szCs w:val="22"/>
        </w:rPr>
        <w:t>[15–27]</w:t>
      </w:r>
      <w:r w:rsidRPr="0035263C">
        <w:rPr>
          <w:sz w:val="22"/>
          <w:szCs w:val="22"/>
        </w:rPr>
        <w:fldChar w:fldCharType="end"/>
      </w:r>
      <w:r w:rsidRPr="0035263C">
        <w:rPr>
          <w:sz w:val="22"/>
          <w:szCs w:val="22"/>
        </w:rPr>
        <w:t xml:space="preserve"> </w:t>
      </w:r>
      <w:r w:rsidR="00D4792A">
        <w:rPr>
          <w:sz w:val="22"/>
          <w:szCs w:val="22"/>
        </w:rPr>
        <w:t>Case-Based Reasoning (</w:t>
      </w:r>
      <w:r w:rsidR="00BC4EEA" w:rsidRPr="0035263C">
        <w:rPr>
          <w:sz w:val="22"/>
          <w:szCs w:val="22"/>
        </w:rPr>
        <w:t>CBR</w:t>
      </w:r>
      <w:r w:rsidR="00D4792A">
        <w:rPr>
          <w:sz w:val="22"/>
          <w:szCs w:val="22"/>
        </w:rPr>
        <w:t>)</w:t>
      </w:r>
      <w:r w:rsidR="005D7B84">
        <w:rPr>
          <w:sz w:val="22"/>
          <w:szCs w:val="22"/>
        </w:rPr>
        <w:t>, a type of artificial intelligence,</w:t>
      </w:r>
      <w:r w:rsidR="00BC4EEA" w:rsidRPr="0035263C">
        <w:rPr>
          <w:sz w:val="22"/>
          <w:szCs w:val="22"/>
        </w:rPr>
        <w:t xml:space="preserve"> has been </w:t>
      </w:r>
      <w:r w:rsidR="00BC4EEA" w:rsidRPr="0035263C">
        <w:rPr>
          <w:sz w:val="22"/>
          <w:szCs w:val="22"/>
        </w:rPr>
        <w:lastRenderedPageBreak/>
        <w:t>used widely in the field of medical decision making including antibiotic decision making in intensive care</w:t>
      </w:r>
      <w:r w:rsidR="00EB25F1">
        <w:rPr>
          <w:sz w:val="22"/>
          <w:szCs w:val="22"/>
        </w:rPr>
        <w:t>,</w:t>
      </w:r>
      <w:r w:rsidR="00BC4EEA" w:rsidRPr="0035263C">
        <w:rPr>
          <w:sz w:val="22"/>
          <w:szCs w:val="22"/>
        </w:rPr>
        <w:fldChar w:fldCharType="begin" w:fldLock="1"/>
      </w:r>
      <w:r w:rsidR="001E7A17">
        <w:rPr>
          <w:sz w:val="22"/>
          <w:szCs w:val="22"/>
        </w:rPr>
        <w:instrText>ADDIN CSL_CITATION { "citationItems" : [ { "id" : "ITEM-1", "itemData" : { "author" : [ { "dropping-particle" : "", "family" : "Pantic", "given" : "Maja", "non-dropping-particle" : "", "parse-names" : false, "suffix" : "" } ], "id" : "ITEM-1", "issued" : { "date-parts" : [ [ "2016" ] ] }, "publisher-place" : "London", "title" : "Introduction to Machine Learning", "type" : "report" }, "uris" : [ "http://www.mendeley.com/documents/?uuid=38878f11-72b3-32de-87da-c511c21030c8" ] }, { "id" : "ITEM-2", "itemData" : { "DOI" : "10.1016/S0933-3657(03)00006-X", "ISSN" : "09333657", "PMID" : "12667739", "abstract" : "Hospitals have a specified set of antibiotics for restricted use (ARU), very expensive, which are only recommended for special pathologies. The pharmacy department daily checks the prescription of this kind of antibiotics since it is often the case that, after a careful analysis, one can get the same therapeutic effects by using normal antibiotics which are much cheaper and usually less aggressive. In this paper, we describe a multi-agent system to help in the revision of medical prescriptions containing antibiotics of restricted use. The proposed approach attaches an agent to each patient which is responsible of checking different medical aspects related to his/her prescribed therapy. A pharmacy agent is responsible for analyzing it and suggesting alternative antibiotic treatments. All these agents are integrated in a hospital distributed scenario composed by many different kinds of software and human agents. This patient-centered multi-agent scenario is specified using the design methodology of Electronic Institutions. \u00a9 2003 Elsevier Science B.V. All rights reserved.", "author" : [ { "dropping-particle" : "", "family" : "Godo", "given" : "L.", "non-dropping-particle" : "", "parse-names" : false, "suffix" : "" }, { "dropping-particle" : "", "family" : "Puyol-Gruart", "given" : "J.", "non-dropping-particle" : "", "parse-names" : false, "suffix" : "" }, { "dropping-particle" : "", "family" : "Sabater", "given" : "J.", "non-dropping-particle" : "", "parse-names" : false, "suffix" : "" }, { "dropping-particle" : "", "family" : "Torra", "given" : "V.", "non-dropping-particle" : "", "parse-names" : false, "suffix" : "" }, { "dropping-particle" : "", "family" : "Barrufet", "given" : "P.", "non-dropping-particle" : "", "parse-names" : false, "suffix" : "" }, { "dropping-particle" : "", "family" : "F\u00e0bregas", "given" : "X.", "non-dropping-particle" : "", "parse-names" : false, "suffix" : "" } ], "container-title" : "Artificial Intelligence in Medicine", "id" : "ITEM-2", "issue" : "3", "issued" : { "date-parts" : [ [ "2003" ] ] }, "page" : "259-282", "title" : "A multi-agent system approach for monitoring the prescription of restricted use antibiotics", "type" : "article-journal", "volume" : "27" }, "uris" : [ "http://www.mendeley.com/documents/?uuid=332b7ed3-1171-4bbb-804a-e62ba860c1a4" ] }, { "id" : "ITEM-3", "itemData" : { "DOI" : "10.1016/S0933-3657(01)00083-5", "ISBN" : "4938139472", "ISSN" : "09333657", "PMID" : "11583924", "abstract" : "We have developed an antibiotics therapy advice system called ICONS for patients in an intensive care unit (ICU) who have caught an infection as additional complication. Since advice for such critically ill patients is needed very quickly and as the actual pathogen still has to be identified by the laboratory, we use an expected pathogen spectrum based on medical background knowledge and known resistances. The expected pathogen spectra and the resistance information are periodically updated from laboratory results. To speed up the process of finding suitable therapy recommendations, we have applied case-based reasoning (CBR) techniques. As all required information should always be up to date in medical expert systems, new cases should be incrementally incorporated into the case base and outdated ones should be updated or erased. For reasons of space limitations and of retrieval time an indefinite growth of the case base should be avoided. To fulfill these requirements we propose that specific single cases should be generalised to more general prototypical ones and that subsequent redundant cases should be erased. In this paper, we present evaluation results of different generation strategies for generalised cases (prototypes). Additionally, we compare measured retrieval times for two indexing retrieval algorithms: simple indexing, which is appropriate for small and medium case bases, and tree-hash retrieval, which is advantageous for large case bases. ?? 2001 Elsevier Science B.V. All rights reserved.", "author" : [ { "dropping-particle" : "", "family" : "Schmidt", "given" : "Rainer", "non-dropping-particle" : "", "parse-names" : false, "suffix" : "" }, { "dropping-particle" : "", "family" : "Gierl", "given" : "Lothar", "non-dropping-particle" : "", "parse-names" : false, "suffix" : "" } ], "container-title" : "Artificial Intelligence in Medicine", "id" : "ITEM-3", "issued" : { "date-parts" : [ [ "2001" ] ] }, "page" : "171-186", "title" : "Case-based reasoning for antibiotics therapy advice: An investigation of retrieval algorithms and prototypes", "type" : "article-journal", "volume" : "23" }, "uris" : [ "http://www.mendeley.com/documents/?uuid=d7891089-c015-4411-8349-4ab086d45f9c" ] }, { "id" : "ITEM-4", "itemData" : { "ISBN" : "0169-2607", "ISSN" : "0169-2607", "PMID" : "9034676", "abstract" : "We report here on the system ICONS which utilizes case-based reasoning for medical decision support. As an application domain we have chosen the medical field of 'calculated antibiotic therapy' in an intensive care medicine setting. The system ICONS which runs on a personal computer suggests adequate antibiotic therapy regimen satisfying medical and economic conditions. To speed up the process of finding an adequate antibiotic therapy for a current patient, case-based reasoning is used for finding previously documented similar cases and for modifying them according to the requirements of the current patient. To reduce the memory capacity for the documentation of cases, collections of similar cases are clustered to prototypes. Medical knowledge is represented within a hierarchy of such prototypes and cases and an additional context-sensitive background knowledge-base. A knowledge acquisition tool was programmed that allows revisions of the background medical knowledge-base by simple and comprehensive methods. In addition to the advantage of producing site-specific and time-dependent knowledge, case-based reasoning is a practical method for speeding-up the process of generating and evaluating hypotheses in medical classification tasks.", "author" : [ { "dropping-particle" : "", "family" : "Heindl", "given" : "Bernhard", "non-dropping-particle" : "", "parse-names" : false, "suffix" : "" }, { "dropping-particle" : "", "family" : "Schmidt", "given" : "Rainer", "non-dropping-particle" : "", "parse-names" : false, "suffix" : "" }, { "dropping-particle" : "", "family" : "Schmid", "given" : "Gabi", "non-dropping-particle" : "", "parse-names" : false, "suffix" : "" }, { "dropping-particle" : "", "family" : "Haller", "given" : "Mathias", "non-dropping-particle" : "", "parse-names" : false, "suffix" : "" }, { "dropping-particle" : "", "family" : "Pfaller", "given" : "Peter", "non-dropping-particle" : "", "parse-names" : false, "suffix" : "" }, { "dropping-particle" : "", "family" : "Gierl", "given" : "Lothar", "non-dropping-particle" : "", "parse-names" : false, "suffix" : "" }, { "dropping-particle" : "", "family" : "Pollwein", "given" : "Bernhard", "non-dropping-particle" : "", "parse-names" : false, "suffix" : "" } ], "container-title" : "Computer Methods in Biomedicine", "id" : "ITEM-4", "issued" : { "date-parts" : [ [ "1997" ] ] }, "page" : "117-127", "title" : "A case-based consiliarius for therapy recommendation (ICONS): computer-based advice for calculated antibiotic therapy in intensive care medicine", "type" : "article-journal", "volume" : "52" }, "uris" : [ "http://www.mendeley.com/documents/?uuid=054d8803-0ea8-4d6a-ad60-83954cc68152" ] } ], "mendeley" : { "formattedCitation" : "[25\u201328]", "plainTextFormattedCitation" : "[25\u201328]", "previouslyFormattedCitation" : "[25\u201328]" }, "properties" : {  }, "schema" : "https://github.com/citation-style-language/schema/raw/master/csl-citation.json" }</w:instrText>
      </w:r>
      <w:r w:rsidR="00BC4EEA" w:rsidRPr="0035263C">
        <w:rPr>
          <w:sz w:val="22"/>
          <w:szCs w:val="22"/>
        </w:rPr>
        <w:fldChar w:fldCharType="separate"/>
      </w:r>
      <w:r w:rsidR="00D75813" w:rsidRPr="00D75813">
        <w:rPr>
          <w:noProof/>
          <w:sz w:val="22"/>
          <w:szCs w:val="22"/>
        </w:rPr>
        <w:t>[25–28]</w:t>
      </w:r>
      <w:r w:rsidR="00BC4EEA" w:rsidRPr="0035263C">
        <w:rPr>
          <w:sz w:val="22"/>
          <w:szCs w:val="22"/>
        </w:rPr>
        <w:fldChar w:fldCharType="end"/>
      </w:r>
      <w:r w:rsidR="00BC4EEA" w:rsidRPr="0035263C">
        <w:rPr>
          <w:sz w:val="22"/>
          <w:szCs w:val="22"/>
        </w:rPr>
        <w:t xml:space="preserve"> radiology</w:t>
      </w:r>
      <w:r w:rsidR="00EB25F1">
        <w:rPr>
          <w:sz w:val="22"/>
          <w:szCs w:val="22"/>
        </w:rPr>
        <w:t>,</w:t>
      </w:r>
      <w:r w:rsidR="00BC4EEA" w:rsidRPr="0035263C">
        <w:rPr>
          <w:sz w:val="22"/>
          <w:szCs w:val="22"/>
        </w:rPr>
        <w:fldChar w:fldCharType="begin" w:fldLock="1"/>
      </w:r>
      <w:r w:rsidR="001E7A17">
        <w:rPr>
          <w:sz w:val="22"/>
          <w:szCs w:val="22"/>
        </w:rPr>
        <w:instrText>ADDIN CSL_CITATION { "citationItems" : [ { "id" : "ITEM-1", "itemData" : { "DOI" : "10.1016/S0952-1976(02)00019-2", "ISSN" : "09521976", "author" : [ { "dropping-particle" : "", "family" : "Perner", "given" : "Petra", "non-dropping-particle" : "", "parse-names" : false, "suffix" : "" } ], "container-title" : "Engineering Applications of Artificial Intelligence", "id" : "ITEM-1", "issue" : "2", "issued" : { "date-parts" : [ [ "2002", "4" ] ] }, "page" : "205-216", "title" : "Image mining: issues, framework, a generic tool and its application to medical-image diagnosis", "type" : "article-journal", "volume" : "15" }, "uris" : [ "http://www.mendeley.com/documents/?uuid=e7c2526d-60dd-3a83-be7d-5ff27a332953" ] }, { "id" : "ITEM-2", "itemData" : { "DOI" : "10.1016/j.eswa.2011.01.109", "ISSN" : "09574174", "author" : [ { "dropping-particle" : "", "family" : "Petrovic", "given" : "Sanja", "non-dropping-particle" : "", "parse-names" : false, "suffix" : "" }, { "dropping-particle" : "", "family" : "Mishra", "given" : "Nishikant", "non-dropping-particle" : "", "parse-names" : false, "suffix" : "" }, { "dropping-particle" : "", "family" : "Sundar", "given" : "Santhanam", "non-dropping-particle" : "", "parse-names" : false, "suffix" : "" } ], "container-title" : "Expert Systems with Applications", "id" : "ITEM-2", "issue" : "9", "issued" : { "date-parts" : [ [ "2011", "9" ] ] }, "page" : "10759-10769", "title" : "A novel case based reasoning approach to radiotherapy planning", "type" : "article-journal", "volume" : "38" }, "uris" : [ "http://www.mendeley.com/documents/?uuid=2c3cee40-8e24-3246-919e-d2113f848cbe" ] } ], "mendeley" : { "formattedCitation" : "[29,30]", "plainTextFormattedCitation" : "[29,30]", "previouslyFormattedCitation" : "[29,30]" }, "properties" : {  }, "schema" : "https://github.com/citation-style-language/schema/raw/master/csl-citation.json" }</w:instrText>
      </w:r>
      <w:r w:rsidR="00BC4EEA" w:rsidRPr="0035263C">
        <w:rPr>
          <w:sz w:val="22"/>
          <w:szCs w:val="22"/>
        </w:rPr>
        <w:fldChar w:fldCharType="separate"/>
      </w:r>
      <w:r w:rsidR="00FE18FB" w:rsidRPr="00FE18FB">
        <w:rPr>
          <w:noProof/>
          <w:sz w:val="22"/>
          <w:szCs w:val="22"/>
        </w:rPr>
        <w:t>[29,30]</w:t>
      </w:r>
      <w:r w:rsidR="00BC4EEA" w:rsidRPr="0035263C">
        <w:rPr>
          <w:sz w:val="22"/>
          <w:szCs w:val="22"/>
        </w:rPr>
        <w:fldChar w:fldCharType="end"/>
      </w:r>
      <w:r w:rsidR="00BC4EEA" w:rsidRPr="0035263C">
        <w:rPr>
          <w:sz w:val="22"/>
          <w:szCs w:val="22"/>
        </w:rPr>
        <w:t xml:space="preserve"> psychiatry</w:t>
      </w:r>
      <w:r w:rsidR="00EB25F1">
        <w:rPr>
          <w:sz w:val="22"/>
          <w:szCs w:val="22"/>
        </w:rPr>
        <w:t>,</w:t>
      </w:r>
      <w:r w:rsidR="00BC4EEA" w:rsidRPr="0035263C">
        <w:rPr>
          <w:sz w:val="22"/>
          <w:szCs w:val="22"/>
        </w:rPr>
        <w:fldChar w:fldCharType="begin" w:fldLock="1"/>
      </w:r>
      <w:r w:rsidR="001E7A17">
        <w:rPr>
          <w:sz w:val="22"/>
          <w:szCs w:val="22"/>
        </w:rPr>
        <w:instrText>ADDIN CSL_CITATION { "citationItems" : [ { "id" : "ITEM-1", "itemData" : { "DOI" : "10.1016/j.artmed.2010.09.003", "ISSN" : "09333657", "author" : [ { "dropping-particle" : "", "family" : "Ahmed", "given" : "Mobyen Uddin", "non-dropping-particle" : "", "parse-names" : false, "suffix" : "" }, { "dropping-particle" : "", "family" : "Begum", "given" : "Shahina", "non-dropping-particle" : "", "parse-names" : false, "suffix" : "" }, { "dropping-particle" : "", "family" : "Funk", "given" : "Peter", "non-dropping-particle" : "", "parse-names" : false, "suffix" : "" }, { "dropping-particle" : "", "family" : "Xiong", "given" : "Ning", "non-dropping-particle" : "", "parse-names" : false, "suffix" : "" }, { "dropping-particle" : "", "family" : "Scheele", "given" : "Bo", "non-dropping-particle" : "von", "parse-names" : false, "suffix" : "" } ], "container-title" : "Artificial Intelligence in Medicine", "id" : "ITEM-1", "issue" : "2", "issued" : { "date-parts" : [ [ "2011", "2" ] ] }, "page" : "107-115", "title" : "A multi-module case-based biofeedback system for stress treatment", "type" : "article-journal", "volume" : "51" }, "uris" : [ "http://www.mendeley.com/documents/?uuid=7fb6ad11-5c25-35dc-9134-ad18116e95dd" ] } ], "mendeley" : { "formattedCitation" : "[31]", "plainTextFormattedCitation" : "[31]", "previouslyFormattedCitation" : "[31]" }, "properties" : {  }, "schema" : "https://github.com/citation-style-language/schema/raw/master/csl-citation.json" }</w:instrText>
      </w:r>
      <w:r w:rsidR="00BC4EEA" w:rsidRPr="0035263C">
        <w:rPr>
          <w:sz w:val="22"/>
          <w:szCs w:val="22"/>
        </w:rPr>
        <w:fldChar w:fldCharType="separate"/>
      </w:r>
      <w:r w:rsidR="005D7B84" w:rsidRPr="005D7B84">
        <w:rPr>
          <w:noProof/>
          <w:sz w:val="22"/>
          <w:szCs w:val="22"/>
        </w:rPr>
        <w:t>[31]</w:t>
      </w:r>
      <w:r w:rsidR="00BC4EEA" w:rsidRPr="0035263C">
        <w:rPr>
          <w:sz w:val="22"/>
          <w:szCs w:val="22"/>
        </w:rPr>
        <w:fldChar w:fldCharType="end"/>
      </w:r>
      <w:r w:rsidR="00BC4EEA" w:rsidRPr="0035263C">
        <w:rPr>
          <w:sz w:val="22"/>
          <w:szCs w:val="22"/>
        </w:rPr>
        <w:t xml:space="preserve"> chronic disease management</w:t>
      </w:r>
      <w:r w:rsidR="00EB25F1">
        <w:rPr>
          <w:sz w:val="22"/>
          <w:szCs w:val="22"/>
        </w:rPr>
        <w:t>,</w:t>
      </w:r>
      <w:r w:rsidR="00BC4EEA" w:rsidRPr="0035263C">
        <w:rPr>
          <w:sz w:val="22"/>
          <w:szCs w:val="22"/>
        </w:rPr>
        <w:fldChar w:fldCharType="begin" w:fldLock="1"/>
      </w:r>
      <w:r w:rsidR="001E7A17">
        <w:rPr>
          <w:sz w:val="22"/>
          <w:szCs w:val="22"/>
        </w:rPr>
        <w:instrText>ADDIN CSL_CITATION { "citationItems" : [ { "id" : "ITEM-1", "itemData" : { "DOI" : "10.1016/j.knosys.2010.07.002", "ISSN" : "09507051", "author" : [ { "dropping-particle" : "", "family" : "Hsu", "given" : "Kuang-Hung", "non-dropping-particle" : "", "parse-names" : false, "suffix" : "" }, { "dropping-particle" : "", "family" : "Chiu", "given" : "Chaochang", "non-dropping-particle" : "", "parse-names" : false, "suffix" : "" }, { "dropping-particle" : "", "family" : "Chiu", "given" : "Nan-Hsing", "non-dropping-particle" : "", "parse-names" : false, "suffix" : "" }, { "dropping-particle" : "", "family" : "Lee", "given" : "Po-Chi", "non-dropping-particle" : "", "parse-names" : false, "suffix" : "" }, { "dropping-particle" : "", "family" : "Chiu", "given" : "Wen-Ko", "non-dropping-particle" : "", "parse-names" : false, "suffix" : "" }, { "dropping-particle" : "", "family" : "Liu", "given" : "Thu-Hua", "non-dropping-particle" : "", "parse-names" : false, "suffix" : "" }, { "dropping-particle" : "", "family" : "Hwang", "given" : "Chorng-Jer", "non-dropping-particle" : "", "parse-names" : false, "suffix" : "" } ], "container-title" : "Knowledge-Based Systems", "id" : "ITEM-1", "issue" : "1", "issued" : { "date-parts" : [ [ "2011", "2" ] ] }, "page" : "33-39", "title" : "A case-based classifier for hypertension detection", "type" : "article-journal", "volume" : "24" }, "uris" : [ "http://www.mendeley.com/documents/?uuid=62e2febd-657d-36fa-8558-c50159bfdc73" ] }, { "id" : "ITEM-2", "itemData" : { "DOI" : "10.1007/BFb0056322", "author" : [ { "dropping-particle" : "", "family" : "Bellazzi", "given" : "Riccardo", "non-dropping-particle" : "", "parse-names" : false, "suffix" : "" }, { "dropping-particle" : "", "family" : "Montani", "given" : "Stefania", "non-dropping-particle" : "", "parse-names" : false, "suffix" : "" }, { "dropping-particle" : "", "family" : "Portinale", "given" : "Luigi", "non-dropping-particle" : "", "parse-names" : false, "suffix" : "" } ], "container-title" : "Advances in Case-Based Reasoning", "editor" : [ { "dropping-particle" : "", "family" : "Smyth", "given" : "B.", "non-dropping-particle" : "", "parse-names" : false, "suffix" : "" }, { "dropping-particle" : "", "family" : "Cunningham", "given" : "P.", "non-dropping-particle" : "", "parse-names" : false, "suffix" : "" } ], "id" : "ITEM-2", "issued" : { "date-parts" : [ [ "1998" ] ] }, "page" : "64-75", "publisher" : "Springer", "publisher-place" : "Berlin, Heidelberg", "title" : "Retrieval in a prototype-based case library: A case study in diabetes therapy revision", "type" : "chapter" }, "uris" : [ "http://www.mendeley.com/documents/?uuid=7c851c24-b24e-34ae-a6f7-99d15021b109" ] }, { "id" : "ITEM-3", "itemData" : { "DOI" : "10.1136/jmg.21.2.121", "ISSN" : "1468-6244", "author" : [ { "dropping-particle" : "", "family" : "Winter", "given" : "R M", "non-dropping-particle" : "", "parse-names" : false, "suffix" : "" }, { "dropping-particle" : "", "family" : "Baraitser", "given" : "M", "non-dropping-particle" : "", "parse-names" : false, "suffix" : "" }, { "dropping-particle" : "", "family" : "Douglas", "given" : "J M", "non-dropping-particle" : "", "parse-names" : false, "suffix" : "" } ], "container-title" : "Journal of Medical Genetics", "id" : "ITEM-3", "issue" : "2", "issued" : { "date-parts" : [ [ "1984", "4", "1" ] ] }, "page" : "121-123", "title" : "A computerised data base for the diagnosis of rare dysmorphic syndromes.", "type" : "article-journal", "volume" : "21" }, "uris" : [ "http://www.mendeley.com/documents/?uuid=6bede854-abf4-375e-9070-afc688b22355" ] }, { "id" : "ITEM-4", "itemData" : { "DOI" : "10.1016/0933-3657(94)90056-6", "ISSN" : "09333657", "author" : [ { "dropping-particle" : "", "family" : "Gierl", "given" : "L.", "non-dropping-particle" : "", "parse-names" : false, "suffix" : "" }, { "dropping-particle" : "", "family" : "Stengel-Rutkowski", "given" : "S.", "non-dropping-particle" : "", "parse-names" : false, "suffix" : "" } ], "container-title" : "Artificial Intelligence in Medicine", "id" : "ITEM-4", "issue" : "1", "issued" : { "date-parts" : [ [ "1994", "2" ] ] }, "page" : "29-49", "title" : "Integrating consultation and semi-automatic knowledge acquisition in a prototype-based architecture: Experiences with dysmorphic syndromes", "type" : "article-journal", "volume" : "6" }, "uris" : [ "http://www.mendeley.com/documents/?uuid=b62dddea-74b7-36ac-afcd-f49062d45850" ] } ], "mendeley" : { "formattedCitation" : "[32\u201335]", "plainTextFormattedCitation" : "[32\u201335]", "previouslyFormattedCitation" : "[32\u201335]" }, "properties" : {  }, "schema" : "https://github.com/citation-style-language/schema/raw/master/csl-citation.json" }</w:instrText>
      </w:r>
      <w:r w:rsidR="00BC4EEA" w:rsidRPr="0035263C">
        <w:rPr>
          <w:sz w:val="22"/>
          <w:szCs w:val="22"/>
        </w:rPr>
        <w:fldChar w:fldCharType="separate"/>
      </w:r>
      <w:r w:rsidR="005D7B84" w:rsidRPr="005D7B84">
        <w:rPr>
          <w:noProof/>
          <w:sz w:val="22"/>
          <w:szCs w:val="22"/>
        </w:rPr>
        <w:t>[32–35]</w:t>
      </w:r>
      <w:r w:rsidR="00BC4EEA" w:rsidRPr="0035263C">
        <w:rPr>
          <w:sz w:val="22"/>
          <w:szCs w:val="22"/>
        </w:rPr>
        <w:fldChar w:fldCharType="end"/>
      </w:r>
      <w:r w:rsidR="00BC4EEA" w:rsidRPr="0035263C">
        <w:rPr>
          <w:sz w:val="22"/>
          <w:szCs w:val="22"/>
        </w:rPr>
        <w:t xml:space="preserve"> hepatology</w:t>
      </w:r>
      <w:r w:rsidR="00EB25F1">
        <w:rPr>
          <w:sz w:val="22"/>
          <w:szCs w:val="22"/>
        </w:rPr>
        <w:t>,</w:t>
      </w:r>
      <w:r w:rsidR="00BC4EEA" w:rsidRPr="0035263C">
        <w:rPr>
          <w:sz w:val="22"/>
          <w:szCs w:val="22"/>
        </w:rPr>
        <w:fldChar w:fldCharType="begin" w:fldLock="1"/>
      </w:r>
      <w:r w:rsidR="001E7A17">
        <w:rPr>
          <w:sz w:val="22"/>
          <w:szCs w:val="22"/>
        </w:rPr>
        <w:instrText>ADDIN CSL_CITATION { "citationItems" : [ { "id" : "ITEM-1", "itemData" : { "DOI" : "10.1016/j.compbiomed.2010.06.002", "ISSN" : "00104825", "author" : [ { "dropping-particle" : "", "family" : "Lin", "given" : "Rong-Ho", "non-dropping-particle" : "", "parse-names" : false, "suffix" : "" }, { "dropping-particle" : "", "family" : "Chuang", "given" : "Chun-Ling", "non-dropping-particle" : "", "parse-names" : false, "suffix" : "" } ], "container-title" : "Computers in Biology and Medicine", "id" : "ITEM-1", "issue" : "7", "issued" : { "date-parts" : [ [ "2010", "7" ] ] }, "page" : "665-670", "title" : "A hybrid diagnosis model for determining the types of the liver disease", "type" : "article-journal", "volume" : "40" }, "uris" : [ "http://www.mendeley.com/documents/?uuid=a72ee1da-052c-3295-8f64-57b7810f8cd1" ] } ], "mendeley" : { "formattedCitation" : "[36]", "plainTextFormattedCitation" : "[36]", "previouslyFormattedCitation" : "[36]" }, "properties" : {  }, "schema" : "https://github.com/citation-style-language/schema/raw/master/csl-citation.json" }</w:instrText>
      </w:r>
      <w:r w:rsidR="00BC4EEA" w:rsidRPr="0035263C">
        <w:rPr>
          <w:sz w:val="22"/>
          <w:szCs w:val="22"/>
        </w:rPr>
        <w:fldChar w:fldCharType="separate"/>
      </w:r>
      <w:r w:rsidR="005D7B84" w:rsidRPr="005D7B84">
        <w:rPr>
          <w:noProof/>
          <w:sz w:val="22"/>
          <w:szCs w:val="22"/>
        </w:rPr>
        <w:t>[36]</w:t>
      </w:r>
      <w:r w:rsidR="00BC4EEA" w:rsidRPr="0035263C">
        <w:rPr>
          <w:sz w:val="22"/>
          <w:szCs w:val="22"/>
        </w:rPr>
        <w:fldChar w:fldCharType="end"/>
      </w:r>
      <w:r w:rsidR="00E77EEF">
        <w:rPr>
          <w:sz w:val="22"/>
          <w:szCs w:val="22"/>
        </w:rPr>
        <w:t xml:space="preserve"> diabetes,</w:t>
      </w:r>
      <w:r w:rsidR="00E77EEF">
        <w:rPr>
          <w:sz w:val="22"/>
          <w:szCs w:val="22"/>
        </w:rPr>
        <w:fldChar w:fldCharType="begin" w:fldLock="1"/>
      </w:r>
      <w:r w:rsidR="001E7A17">
        <w:rPr>
          <w:sz w:val="22"/>
          <w:szCs w:val="22"/>
        </w:rPr>
        <w:instrText>ADDIN CSL_CITATION { "citationItems" : [ { "id" : "ITEM-1", "itemData" : { "DOI" : "10.1089/dia.2015.0413", "ISSN" : "1520-9156", "author" : [ { "dropping-particle" : "", "family" : "Reddy", "given" : "Monika", "non-dropping-particle" : "", "parse-names" : false, "suffix" : "" }, { "dropping-particle" : "", "family" : "Pesl", "given" : "Peter", "non-dropping-particle" : "", "parse-names" : false, "suffix" : "" }, { "dropping-particle" : "", "family" : "Xenou", "given" : "Maria", "non-dropping-particle" : "", "parse-names" : false, "suffix" : "" }, { "dropping-particle" : "", "family" : "Toumazou", "given" : "Christofer", "non-dropping-particle" : "", "parse-names" : false, "suffix" : "" }, { "dropping-particle" : "", "family" : "Johnston", "given" : "Desmond", "non-dropping-particle" : "", "parse-names" : false, "suffix" : "" }, { "dropping-particle" : "", "family" : "Georgiou", "given" : "Pantelis", "non-dropping-particle" : "", "parse-names" : false, "suffix" : "" }, { "dropping-particle" : "", "family" : "Herrero", "given" : "Pau", "non-dropping-particle" : "", "parse-names" : false, "suffix" : "" }, { "dropping-particle" : "", "family" : "Oliver", "given" : "Nick", "non-dropping-particle" : "", "parse-names" : false, "suffix" : "" } ], "container-title" : "Diabetes Technology &amp; Therapeutics", "id" : "ITEM-1", "issued" : { "date-parts" : [ [ "2016", "5", "19" ] ] }, "page" : "dia.2015.0413", "title" : "Clinical Safety and Feasibility of the Advanced Bolus Calculator for Type 1 Diabetes Based on Case-Based Reasoning: A 6-Week Nonrandomized Single-Arm Pilot Study", "type" : "article-journal" }, "uris" : [ "http://www.mendeley.com/documents/?uuid=ee25f905-ce8e-4788-a007-9e157494b8c8" ] } ], "mendeley" : { "formattedCitation" : "[37]", "plainTextFormattedCitation" : "[37]", "previouslyFormattedCitation" : "[37]" }, "properties" : {  }, "schema" : "https://github.com/citation-style-language/schema/raw/master/csl-citation.json" }</w:instrText>
      </w:r>
      <w:r w:rsidR="00E77EEF">
        <w:rPr>
          <w:sz w:val="22"/>
          <w:szCs w:val="22"/>
        </w:rPr>
        <w:fldChar w:fldCharType="separate"/>
      </w:r>
      <w:r w:rsidR="00E77EEF" w:rsidRPr="00E77EEF">
        <w:rPr>
          <w:noProof/>
          <w:sz w:val="22"/>
          <w:szCs w:val="22"/>
        </w:rPr>
        <w:t>[37]</w:t>
      </w:r>
      <w:r w:rsidR="00E77EEF">
        <w:rPr>
          <w:sz w:val="22"/>
          <w:szCs w:val="22"/>
        </w:rPr>
        <w:fldChar w:fldCharType="end"/>
      </w:r>
      <w:r w:rsidR="00E77EEF">
        <w:rPr>
          <w:sz w:val="22"/>
          <w:szCs w:val="22"/>
        </w:rPr>
        <w:t xml:space="preserve"> </w:t>
      </w:r>
      <w:r w:rsidR="00BC4EEA" w:rsidRPr="0035263C">
        <w:rPr>
          <w:sz w:val="22"/>
          <w:szCs w:val="22"/>
        </w:rPr>
        <w:t xml:space="preserve">and cancer </w:t>
      </w:r>
      <w:r w:rsidR="00BC4EEA" w:rsidRPr="0035263C">
        <w:rPr>
          <w:sz w:val="22"/>
          <w:szCs w:val="22"/>
        </w:rPr>
        <w:fldChar w:fldCharType="begin" w:fldLock="1"/>
      </w:r>
      <w:r w:rsidR="001E7A17">
        <w:rPr>
          <w:sz w:val="22"/>
          <w:szCs w:val="22"/>
        </w:rPr>
        <w:instrText>ADDIN CSL_CITATION { "citationItems" : [ { "id" : "ITEM-1", "itemData" : { "DOI" : "10.1016/j.eswa.2007.10.023", "ISSN" : "09574174", "author" : [ { "dropping-particle" : "", "family" : "Ahn", "given" : "Hyunchul", "non-dropping-particle" : "", "parse-names" : false, "suffix" : "" }, { "dropping-particle" : "", "family" : "Kim", "given" : "Kyoung-jae", "non-dropping-particle" : "", "parse-names" : false, "suffix" : "" } ], "container-title" : "Expert Systems with Applications", "id" : "ITEM-1", "issue" : "1", "issued" : { "date-parts" : [ [ "2009", "1" ] ] }, "page" : "724-734", "title" : "Global optimization of case-based reasoning for breast cytology diagnosis", "type" : "article-journal", "volume" : "36" }, "uris" : [ "http://www.mendeley.com/documents/?uuid=3e80446a-9682-3660-bc6a-f22ca936ef64" ] } ], "mendeley" : { "formattedCitation" : "[38]", "plainTextFormattedCitation" : "[38]", "previouslyFormattedCitation" : "[38]" }, "properties" : {  }, "schema" : "https://github.com/citation-style-language/schema/raw/master/csl-citation.json" }</w:instrText>
      </w:r>
      <w:r w:rsidR="00BC4EEA" w:rsidRPr="0035263C">
        <w:rPr>
          <w:sz w:val="22"/>
          <w:szCs w:val="22"/>
        </w:rPr>
        <w:fldChar w:fldCharType="separate"/>
      </w:r>
      <w:r w:rsidR="00E77EEF" w:rsidRPr="00E77EEF">
        <w:rPr>
          <w:noProof/>
          <w:sz w:val="22"/>
          <w:szCs w:val="22"/>
        </w:rPr>
        <w:t>[38]</w:t>
      </w:r>
      <w:r w:rsidR="00BC4EEA" w:rsidRPr="0035263C">
        <w:rPr>
          <w:sz w:val="22"/>
          <w:szCs w:val="22"/>
        </w:rPr>
        <w:fldChar w:fldCharType="end"/>
      </w:r>
      <w:r w:rsidR="00BC4EEA" w:rsidRPr="0035263C">
        <w:rPr>
          <w:sz w:val="22"/>
          <w:szCs w:val="22"/>
        </w:rPr>
        <w:t>.</w:t>
      </w:r>
      <w:r w:rsidR="005D7B84">
        <w:rPr>
          <w:sz w:val="22"/>
          <w:szCs w:val="22"/>
        </w:rPr>
        <w:t xml:space="preserve"> </w:t>
      </w:r>
    </w:p>
    <w:p w14:paraId="610A5A82" w14:textId="4F1FB1EC" w:rsidR="007B595B" w:rsidRPr="0035263C" w:rsidRDefault="00CF71A7" w:rsidP="005D7B84">
      <w:pPr>
        <w:spacing w:afterLines="200" w:after="480" w:line="480" w:lineRule="auto"/>
        <w:jc w:val="both"/>
        <w:rPr>
          <w:sz w:val="22"/>
          <w:szCs w:val="22"/>
        </w:rPr>
      </w:pPr>
      <w:r>
        <w:rPr>
          <w:sz w:val="22"/>
          <w:szCs w:val="22"/>
        </w:rPr>
        <w:t xml:space="preserve">Given the </w:t>
      </w:r>
      <w:r w:rsidR="00D4792A">
        <w:rPr>
          <w:sz w:val="22"/>
          <w:szCs w:val="22"/>
        </w:rPr>
        <w:t xml:space="preserve">existing </w:t>
      </w:r>
      <w:r>
        <w:rPr>
          <w:sz w:val="22"/>
          <w:szCs w:val="22"/>
        </w:rPr>
        <w:t xml:space="preserve">success of CBR in </w:t>
      </w:r>
      <w:r w:rsidR="00D75813">
        <w:rPr>
          <w:sz w:val="22"/>
          <w:szCs w:val="22"/>
        </w:rPr>
        <w:t xml:space="preserve">other areas of </w:t>
      </w:r>
      <w:r>
        <w:rPr>
          <w:sz w:val="22"/>
          <w:szCs w:val="22"/>
        </w:rPr>
        <w:t>healthcare, w</w:t>
      </w:r>
      <w:r w:rsidR="007B595B" w:rsidRPr="0035263C">
        <w:rPr>
          <w:sz w:val="22"/>
          <w:szCs w:val="22"/>
        </w:rPr>
        <w:t xml:space="preserve">e </w:t>
      </w:r>
      <w:r>
        <w:rPr>
          <w:sz w:val="22"/>
          <w:szCs w:val="22"/>
        </w:rPr>
        <w:t xml:space="preserve">developed </w:t>
      </w:r>
      <w:r w:rsidR="00F5137B">
        <w:rPr>
          <w:sz w:val="22"/>
          <w:szCs w:val="22"/>
        </w:rPr>
        <w:t>a</w:t>
      </w:r>
      <w:r w:rsidR="00EB25F1">
        <w:rPr>
          <w:sz w:val="22"/>
          <w:szCs w:val="22"/>
        </w:rPr>
        <w:t xml:space="preserve"> CBR</w:t>
      </w:r>
      <w:r w:rsidR="00E77EEF">
        <w:rPr>
          <w:sz w:val="22"/>
          <w:szCs w:val="22"/>
        </w:rPr>
        <w:t>-</w:t>
      </w:r>
      <w:r w:rsidR="00EB25F1">
        <w:rPr>
          <w:sz w:val="22"/>
          <w:szCs w:val="22"/>
        </w:rPr>
        <w:t>driven</w:t>
      </w:r>
      <w:r>
        <w:rPr>
          <w:sz w:val="22"/>
          <w:szCs w:val="22"/>
        </w:rPr>
        <w:t xml:space="preserve"> </w:t>
      </w:r>
      <w:r w:rsidR="007B595B" w:rsidRPr="0035263C">
        <w:rPr>
          <w:sz w:val="22"/>
          <w:szCs w:val="22"/>
        </w:rPr>
        <w:t>CDSS</w:t>
      </w:r>
      <w:r w:rsidR="00B800F8">
        <w:rPr>
          <w:sz w:val="22"/>
          <w:szCs w:val="22"/>
        </w:rPr>
        <w:t xml:space="preserve"> using locally sourced data and</w:t>
      </w:r>
      <w:r w:rsidR="00282B20">
        <w:rPr>
          <w:sz w:val="22"/>
          <w:szCs w:val="22"/>
        </w:rPr>
        <w:t xml:space="preserve"> </w:t>
      </w:r>
      <w:r w:rsidR="00D75813">
        <w:rPr>
          <w:sz w:val="22"/>
          <w:szCs w:val="22"/>
        </w:rPr>
        <w:t xml:space="preserve">designed for use in general medical and surgical settings within </w:t>
      </w:r>
      <w:r w:rsidR="007B595B" w:rsidRPr="0035263C">
        <w:rPr>
          <w:sz w:val="22"/>
          <w:szCs w:val="22"/>
        </w:rPr>
        <w:t>three</w:t>
      </w:r>
      <w:r w:rsidR="00F5137B">
        <w:rPr>
          <w:sz w:val="22"/>
          <w:szCs w:val="22"/>
        </w:rPr>
        <w:t xml:space="preserve"> London</w:t>
      </w:r>
      <w:r w:rsidR="00D75813">
        <w:rPr>
          <w:sz w:val="22"/>
          <w:szCs w:val="22"/>
        </w:rPr>
        <w:t xml:space="preserve"> NHS</w:t>
      </w:r>
      <w:r w:rsidR="007B595B" w:rsidRPr="0035263C">
        <w:rPr>
          <w:sz w:val="22"/>
          <w:szCs w:val="22"/>
        </w:rPr>
        <w:t xml:space="preserve"> hospitals, UK</w:t>
      </w:r>
      <w:r>
        <w:rPr>
          <w:sz w:val="22"/>
          <w:szCs w:val="22"/>
        </w:rPr>
        <w:t>. This system was integrated into the hospital</w:t>
      </w:r>
      <w:r w:rsidR="00F5137B">
        <w:rPr>
          <w:sz w:val="22"/>
          <w:szCs w:val="22"/>
        </w:rPr>
        <w:t>s</w:t>
      </w:r>
      <w:r>
        <w:rPr>
          <w:sz w:val="22"/>
          <w:szCs w:val="22"/>
        </w:rPr>
        <w:t xml:space="preserve"> </w:t>
      </w:r>
      <w:r w:rsidR="008767C1">
        <w:rPr>
          <w:sz w:val="22"/>
          <w:szCs w:val="22"/>
        </w:rPr>
        <w:t xml:space="preserve">electronic health record system </w:t>
      </w:r>
      <w:r>
        <w:rPr>
          <w:sz w:val="22"/>
          <w:szCs w:val="22"/>
        </w:rPr>
        <w:t xml:space="preserve">and </w:t>
      </w:r>
      <w:r w:rsidR="00F5137B">
        <w:rPr>
          <w:sz w:val="22"/>
          <w:szCs w:val="22"/>
        </w:rPr>
        <w:t xml:space="preserve">was evaluated </w:t>
      </w:r>
      <w:r w:rsidR="008767C1">
        <w:rPr>
          <w:sz w:val="22"/>
          <w:szCs w:val="22"/>
        </w:rPr>
        <w:t>using real-world patient data</w:t>
      </w:r>
      <w:r>
        <w:rPr>
          <w:sz w:val="22"/>
          <w:szCs w:val="22"/>
        </w:rPr>
        <w:t xml:space="preserve"> to </w:t>
      </w:r>
      <w:r w:rsidR="00F5137B">
        <w:rPr>
          <w:sz w:val="22"/>
          <w:szCs w:val="22"/>
        </w:rPr>
        <w:t>explore</w:t>
      </w:r>
      <w:r>
        <w:rPr>
          <w:sz w:val="22"/>
          <w:szCs w:val="22"/>
        </w:rPr>
        <w:t xml:space="preserve"> the </w:t>
      </w:r>
      <w:r w:rsidR="00F5137B">
        <w:rPr>
          <w:sz w:val="22"/>
          <w:szCs w:val="22"/>
        </w:rPr>
        <w:t xml:space="preserve">potential impact of the </w:t>
      </w:r>
      <w:r>
        <w:rPr>
          <w:sz w:val="22"/>
          <w:szCs w:val="22"/>
        </w:rPr>
        <w:t>system on antimicrobial prescribing.</w:t>
      </w:r>
      <w:r w:rsidR="00B800F8">
        <w:rPr>
          <w:sz w:val="22"/>
          <w:szCs w:val="22"/>
        </w:rPr>
        <w:t xml:space="preserve"> </w:t>
      </w:r>
    </w:p>
    <w:p w14:paraId="653F13C2" w14:textId="77777777" w:rsidR="007B595B" w:rsidRPr="0035263C" w:rsidRDefault="007B595B" w:rsidP="00B57118">
      <w:pPr>
        <w:spacing w:line="480" w:lineRule="auto"/>
        <w:jc w:val="both"/>
        <w:rPr>
          <w:sz w:val="22"/>
          <w:szCs w:val="22"/>
        </w:rPr>
        <w:sectPr w:rsidR="007B595B" w:rsidRPr="0035263C" w:rsidSect="007B595B">
          <w:pgSz w:w="11906" w:h="16838"/>
          <w:pgMar w:top="1440" w:right="1440" w:bottom="1440" w:left="1440" w:header="709" w:footer="709" w:gutter="0"/>
          <w:cols w:space="708"/>
          <w:docGrid w:linePitch="360"/>
        </w:sectPr>
      </w:pPr>
    </w:p>
    <w:p w14:paraId="3FE5F4F5" w14:textId="707880C1" w:rsidR="00B57118" w:rsidRPr="0035263C" w:rsidRDefault="008579A9" w:rsidP="00B57118">
      <w:pPr>
        <w:spacing w:line="480" w:lineRule="auto"/>
        <w:jc w:val="both"/>
        <w:rPr>
          <w:b/>
          <w:sz w:val="24"/>
          <w:szCs w:val="24"/>
        </w:rPr>
      </w:pPr>
      <w:r>
        <w:rPr>
          <w:b/>
          <w:sz w:val="24"/>
          <w:szCs w:val="24"/>
        </w:rPr>
        <w:lastRenderedPageBreak/>
        <w:t>Methods</w:t>
      </w:r>
    </w:p>
    <w:p w14:paraId="56463FC4" w14:textId="4E3BCE0E" w:rsidR="00A22787" w:rsidRPr="008579A9" w:rsidRDefault="008579A9" w:rsidP="00DD1FDD">
      <w:pPr>
        <w:spacing w:line="480" w:lineRule="auto"/>
        <w:jc w:val="both"/>
        <w:rPr>
          <w:i/>
          <w:iCs/>
          <w:sz w:val="22"/>
          <w:szCs w:val="22"/>
        </w:rPr>
      </w:pPr>
      <w:r w:rsidRPr="008579A9">
        <w:rPr>
          <w:i/>
          <w:iCs/>
          <w:sz w:val="22"/>
          <w:szCs w:val="22"/>
        </w:rPr>
        <w:t>Study design</w:t>
      </w:r>
    </w:p>
    <w:p w14:paraId="7498FB10" w14:textId="7440183F" w:rsidR="00363FD7" w:rsidRPr="00363FD7" w:rsidRDefault="006658E4" w:rsidP="0066786E">
      <w:pPr>
        <w:spacing w:line="480" w:lineRule="auto"/>
        <w:jc w:val="both"/>
        <w:rPr>
          <w:iCs/>
          <w:sz w:val="22"/>
          <w:szCs w:val="22"/>
        </w:rPr>
      </w:pPr>
      <w:r>
        <w:rPr>
          <w:iCs/>
          <w:sz w:val="22"/>
          <w:szCs w:val="22"/>
        </w:rPr>
        <w:t xml:space="preserve">This </w:t>
      </w:r>
      <w:r w:rsidR="00D75813">
        <w:rPr>
          <w:iCs/>
          <w:sz w:val="22"/>
          <w:szCs w:val="22"/>
        </w:rPr>
        <w:t xml:space="preserve">study </w:t>
      </w:r>
      <w:r>
        <w:rPr>
          <w:iCs/>
          <w:sz w:val="22"/>
          <w:szCs w:val="22"/>
        </w:rPr>
        <w:t>was a</w:t>
      </w:r>
      <w:r w:rsidR="008579A9">
        <w:rPr>
          <w:iCs/>
          <w:sz w:val="22"/>
          <w:szCs w:val="22"/>
        </w:rPr>
        <w:t xml:space="preserve"> </w:t>
      </w:r>
      <w:r w:rsidR="00B800F8">
        <w:rPr>
          <w:iCs/>
          <w:sz w:val="22"/>
          <w:szCs w:val="22"/>
        </w:rPr>
        <w:t>real-world</w:t>
      </w:r>
      <w:r w:rsidR="00D75813">
        <w:rPr>
          <w:iCs/>
          <w:sz w:val="22"/>
          <w:szCs w:val="22"/>
        </w:rPr>
        <w:t xml:space="preserve"> evaluation</w:t>
      </w:r>
      <w:r w:rsidR="008579A9">
        <w:rPr>
          <w:iCs/>
          <w:sz w:val="22"/>
          <w:szCs w:val="22"/>
        </w:rPr>
        <w:t xml:space="preserve"> of </w:t>
      </w:r>
      <w:r w:rsidR="00E77EEF">
        <w:rPr>
          <w:iCs/>
          <w:sz w:val="22"/>
          <w:szCs w:val="22"/>
        </w:rPr>
        <w:t xml:space="preserve">the potential of a </w:t>
      </w:r>
      <w:r w:rsidR="008579A9">
        <w:rPr>
          <w:iCs/>
          <w:sz w:val="22"/>
          <w:szCs w:val="22"/>
        </w:rPr>
        <w:t>CBR</w:t>
      </w:r>
      <w:r w:rsidR="00E77EEF">
        <w:rPr>
          <w:iCs/>
          <w:sz w:val="22"/>
          <w:szCs w:val="22"/>
        </w:rPr>
        <w:t>-</w:t>
      </w:r>
      <w:r w:rsidR="008579A9">
        <w:rPr>
          <w:iCs/>
          <w:sz w:val="22"/>
          <w:szCs w:val="22"/>
        </w:rPr>
        <w:t>driven CDSS</w:t>
      </w:r>
      <w:r w:rsidR="00D75813">
        <w:rPr>
          <w:iCs/>
          <w:sz w:val="22"/>
          <w:szCs w:val="22"/>
        </w:rPr>
        <w:t xml:space="preserve"> </w:t>
      </w:r>
      <w:r w:rsidR="008579A9">
        <w:rPr>
          <w:iCs/>
          <w:sz w:val="22"/>
          <w:szCs w:val="22"/>
        </w:rPr>
        <w:t xml:space="preserve">to support antimicrobial prescribing decisions in the general medical setting. An in-house CBR algorithm was integrated into a CDSS and </w:t>
      </w:r>
      <w:r w:rsidR="00D75813">
        <w:rPr>
          <w:iCs/>
          <w:sz w:val="22"/>
          <w:szCs w:val="22"/>
        </w:rPr>
        <w:t xml:space="preserve">tested </w:t>
      </w:r>
      <w:r w:rsidR="00424458">
        <w:rPr>
          <w:iCs/>
          <w:sz w:val="22"/>
          <w:szCs w:val="22"/>
        </w:rPr>
        <w:t xml:space="preserve">between July 2017 and </w:t>
      </w:r>
      <w:r w:rsidR="0088219A">
        <w:rPr>
          <w:iCs/>
          <w:sz w:val="22"/>
          <w:szCs w:val="22"/>
        </w:rPr>
        <w:t>February 2019</w:t>
      </w:r>
      <w:r w:rsidR="008579A9">
        <w:rPr>
          <w:iCs/>
          <w:sz w:val="22"/>
          <w:szCs w:val="22"/>
        </w:rPr>
        <w:t>.</w:t>
      </w:r>
      <w:r w:rsidR="00B800F8">
        <w:rPr>
          <w:iCs/>
          <w:sz w:val="22"/>
          <w:szCs w:val="22"/>
        </w:rPr>
        <w:t xml:space="preserve"> </w:t>
      </w:r>
      <w:r w:rsidR="00DD7BF7">
        <w:rPr>
          <w:iCs/>
          <w:sz w:val="22"/>
          <w:szCs w:val="22"/>
        </w:rPr>
        <w:t>The first phase of</w:t>
      </w:r>
      <w:r w:rsidR="00953A02">
        <w:rPr>
          <w:iCs/>
          <w:sz w:val="22"/>
          <w:szCs w:val="22"/>
        </w:rPr>
        <w:t xml:space="preserve"> the</w:t>
      </w:r>
      <w:r w:rsidR="00DD7BF7">
        <w:rPr>
          <w:iCs/>
          <w:sz w:val="22"/>
          <w:szCs w:val="22"/>
        </w:rPr>
        <w:t xml:space="preserve"> evaluation </w:t>
      </w:r>
      <w:r w:rsidR="009248DC">
        <w:rPr>
          <w:iCs/>
          <w:sz w:val="22"/>
          <w:szCs w:val="22"/>
        </w:rPr>
        <w:t>involved</w:t>
      </w:r>
      <w:r w:rsidR="00D75813">
        <w:rPr>
          <w:iCs/>
          <w:sz w:val="22"/>
          <w:szCs w:val="22"/>
        </w:rPr>
        <w:t xml:space="preserve"> input of data from</w:t>
      </w:r>
      <w:r w:rsidR="009248DC">
        <w:rPr>
          <w:iCs/>
          <w:sz w:val="22"/>
          <w:szCs w:val="22"/>
        </w:rPr>
        <w:t xml:space="preserve"> p</w:t>
      </w:r>
      <w:r w:rsidR="008579A9">
        <w:rPr>
          <w:iCs/>
          <w:sz w:val="22"/>
          <w:szCs w:val="22"/>
        </w:rPr>
        <w:t>atients with confirmed</w:t>
      </w:r>
      <w:r w:rsidR="009248DC">
        <w:rPr>
          <w:iCs/>
          <w:sz w:val="22"/>
          <w:szCs w:val="22"/>
        </w:rPr>
        <w:t xml:space="preserve"> </w:t>
      </w:r>
      <w:r w:rsidR="00D75813" w:rsidRPr="00E55BF7">
        <w:rPr>
          <w:i/>
          <w:sz w:val="22"/>
          <w:szCs w:val="22"/>
        </w:rPr>
        <w:t>Escherichia coli</w:t>
      </w:r>
      <w:r w:rsidR="00D75813">
        <w:rPr>
          <w:iCs/>
          <w:sz w:val="22"/>
          <w:szCs w:val="22"/>
        </w:rPr>
        <w:t xml:space="preserve"> (</w:t>
      </w:r>
      <w:r w:rsidR="00D75813" w:rsidRPr="00E37AED">
        <w:rPr>
          <w:i/>
          <w:sz w:val="22"/>
          <w:szCs w:val="22"/>
        </w:rPr>
        <w:t>E.coli</w:t>
      </w:r>
      <w:r w:rsidR="00D75813">
        <w:rPr>
          <w:iCs/>
          <w:sz w:val="22"/>
          <w:szCs w:val="22"/>
        </w:rPr>
        <w:t>)</w:t>
      </w:r>
      <w:r w:rsidR="004B29D7">
        <w:rPr>
          <w:iCs/>
          <w:sz w:val="22"/>
          <w:szCs w:val="22"/>
        </w:rPr>
        <w:t xml:space="preserve"> </w:t>
      </w:r>
      <w:r w:rsidR="009248DC">
        <w:rPr>
          <w:iCs/>
          <w:sz w:val="22"/>
          <w:szCs w:val="22"/>
        </w:rPr>
        <w:t>blood stream</w:t>
      </w:r>
      <w:r w:rsidR="008579A9">
        <w:rPr>
          <w:iCs/>
          <w:sz w:val="22"/>
          <w:szCs w:val="22"/>
        </w:rPr>
        <w:t xml:space="preserve"> infection</w:t>
      </w:r>
      <w:r w:rsidR="00D75813">
        <w:rPr>
          <w:iCs/>
          <w:sz w:val="22"/>
          <w:szCs w:val="22"/>
        </w:rPr>
        <w:t>s</w:t>
      </w:r>
      <w:r w:rsidR="00B800F8">
        <w:rPr>
          <w:iCs/>
          <w:sz w:val="22"/>
          <w:szCs w:val="22"/>
        </w:rPr>
        <w:t xml:space="preserve"> (“</w:t>
      </w:r>
      <w:r w:rsidR="00B800F8" w:rsidRPr="001E7A17">
        <w:rPr>
          <w:i/>
          <w:sz w:val="22"/>
          <w:szCs w:val="22"/>
        </w:rPr>
        <w:t>E.coli</w:t>
      </w:r>
      <w:r w:rsidR="00B800F8">
        <w:rPr>
          <w:iCs/>
          <w:sz w:val="22"/>
          <w:szCs w:val="22"/>
        </w:rPr>
        <w:t xml:space="preserve"> patients”)</w:t>
      </w:r>
      <w:r w:rsidR="002F2B2C">
        <w:rPr>
          <w:iCs/>
          <w:sz w:val="22"/>
          <w:szCs w:val="22"/>
        </w:rPr>
        <w:t>.</w:t>
      </w:r>
      <w:r w:rsidR="007D6C89">
        <w:rPr>
          <w:iCs/>
          <w:sz w:val="22"/>
          <w:szCs w:val="22"/>
        </w:rPr>
        <w:t xml:space="preserve"> This was to allow evaluation of the CBR algorithm against confirmed infections, with known antimicrobial susceptibility profiles.</w:t>
      </w:r>
      <w:r w:rsidR="00B800F8">
        <w:rPr>
          <w:iCs/>
          <w:sz w:val="22"/>
          <w:szCs w:val="22"/>
        </w:rPr>
        <w:t xml:space="preserve"> </w:t>
      </w:r>
      <w:r w:rsidR="00953A02" w:rsidRPr="001E7A17">
        <w:rPr>
          <w:i/>
          <w:sz w:val="22"/>
          <w:szCs w:val="22"/>
        </w:rPr>
        <w:t>E.coli</w:t>
      </w:r>
      <w:r w:rsidR="00953A02">
        <w:rPr>
          <w:iCs/>
          <w:sz w:val="22"/>
          <w:szCs w:val="22"/>
        </w:rPr>
        <w:t xml:space="preserve"> was selected as the</w:t>
      </w:r>
      <w:r w:rsidR="00B800F8">
        <w:rPr>
          <w:iCs/>
          <w:sz w:val="22"/>
          <w:szCs w:val="22"/>
        </w:rPr>
        <w:t xml:space="preserve"> target organism </w:t>
      </w:r>
      <w:r w:rsidR="00953A02">
        <w:rPr>
          <w:iCs/>
          <w:sz w:val="22"/>
          <w:szCs w:val="22"/>
        </w:rPr>
        <w:t xml:space="preserve">given </w:t>
      </w:r>
      <w:r w:rsidR="001E7A17">
        <w:rPr>
          <w:iCs/>
          <w:sz w:val="22"/>
          <w:szCs w:val="22"/>
        </w:rPr>
        <w:t>concerns over the rising global burden of</w:t>
      </w:r>
      <w:r w:rsidR="00EB603F">
        <w:rPr>
          <w:iCs/>
          <w:sz w:val="22"/>
          <w:szCs w:val="22"/>
        </w:rPr>
        <w:t xml:space="preserve"> </w:t>
      </w:r>
      <w:r w:rsidR="00EB603F" w:rsidRPr="001E7A17">
        <w:rPr>
          <w:i/>
          <w:sz w:val="22"/>
          <w:szCs w:val="22"/>
        </w:rPr>
        <w:t>E.coli</w:t>
      </w:r>
      <w:r w:rsidR="00EB603F">
        <w:rPr>
          <w:iCs/>
          <w:sz w:val="22"/>
          <w:szCs w:val="22"/>
        </w:rPr>
        <w:t xml:space="preserve"> blood stream infections</w:t>
      </w:r>
      <w:r w:rsidR="001E7A17">
        <w:rPr>
          <w:iCs/>
          <w:sz w:val="22"/>
          <w:szCs w:val="22"/>
        </w:rPr>
        <w:t xml:space="preserve"> on healthcare.</w:t>
      </w:r>
      <w:r w:rsidR="001E7A17">
        <w:rPr>
          <w:iCs/>
          <w:sz w:val="22"/>
          <w:szCs w:val="22"/>
        </w:rPr>
        <w:fldChar w:fldCharType="begin" w:fldLock="1"/>
      </w:r>
      <w:r w:rsidR="001E7A17">
        <w:rPr>
          <w:iCs/>
          <w:sz w:val="22"/>
          <w:szCs w:val="22"/>
        </w:rPr>
        <w:instrText>ADDIN CSL_CITATION { "citationItems" : [ { "id" : "ITEM-1", "itemData" : { "DOI" : "10.1016/S1473-3099(18)30353-0", "ISSN" : "14744457", "abstract" : "Background: Escherichia coli bloodstream infections are increasing in the UK and internationally. The evidence base to guide interventions against this major public health concern is small. We aimed to investigate possible drivers of changes in the incidence of E coli bloodstream infection and antibiotic susceptibilities in Oxfordshire, UK, over the past two decades, while stratifying for time since hospital exposure. Methods: In this observational study, we used all available data on E coli bloodstream infections and E coli urinary tract infections (UTIs) from one UK region (Oxfordshire) using anonymised linked microbiological data and hospital electronic health records from the Infections in Oxfordshire Research Database (IORD). We estimated the incidence of infections across a two decade period and the annual incidence rate ratio (aIRR) in 2016. We modelled the data using negative binomial regression on the basis of microbiological, clinical, and health-care-exposure risk factors. We investigated infection severity, 30-day all-cause mortality, and community and hospital amoxicillin plus clavulanic acid (co-amoxiclav) use to estimate changes in bacterial virulence and the effect of antimicrobial resistance on incidence. Findings: From Jan 1, 1998, to Dec 31, 2016, 5706 E coli bloodstream infections occurred in 5215 patients, and 228 376 E coli UTIs occurred in 137 075 patients. 1365 (24%) E coli bloodstream infections were nosocomial (onset &gt;48 h after hospital admission), 1132 (20%) were quasi-nosocomial (\u226430 days after discharge), 1346 (24%) were quasi-community (31\u2013365 days after discharge), and 1863 (33%) were community (&gt;365 days after hospital discharge). The overall incidence increased year on year (aIRR 1\u00b706, 95% CI 1\u00b705\u20131\u00b706). In 2016, 212 (41%) of 515 E coli bloodstream infections and 3921 (28%) of 13 792 E coli UTIs were co-amoxiclav resistant. Increases in E coli bloodstream infections were driven by increases in community (aIRR 1\u00b710, 95% CI 1\u00b707\u20131\u00b713; p&lt;0\u00b70001) and quasi-community (aIRR 1\u00b708, 1\u00b707\u20131\u00b710; p&lt;0\u00b70001) cases. 30-day mortality associated with E coli bloodstream infection decreased over time in the nosocomial (adjusted rate ratio [RR] 0\u00b798, 95% CI 0\u00b796\u20131\u00b700; p=0\u00b703) group, and remained stable in the quasi-nosocomial (adjusted RR 0\u00b798, 0\u00b795\u20131\u00b700; p=0\u00b706), quasi-community (adjusted RR 0\u00b799, 0\u00b796\u20131\u00b701; p=0\u00b732), and community (adjusted RR 0\u00b799, 0\u00b796\u20131\u00b701; p=0\u00b721) groups. Mortality was, however, substantial at 14\u201325% across all hospit\u2026", "author" : [ { "dropping-particle" : "", "family" : "Vihta", "given" : "Karina Doris", "non-dropping-particle" : "", "parse-names" : false, "suffix" : "" }, { "dropping-particle" : "", "family" : "Stoesser", "given" : "Nicole", "non-dropping-particle" : "", "parse-names" : false, "suffix" : "" }, { "dropping-particle" : "", "family" : "Llewelyn", "given" : "Martin J.", "non-dropping-particle" : "", "parse-names" : false, "suffix" : "" }, { "dropping-particle" : "", "family" : "Quan", "given" : "T. Phuong", "non-dropping-particle" : "", "parse-names" : false, "suffix" : "" }, { "dropping-particle" : "", "family" : "Davies", "given" : "Tim", "non-dropping-particle" : "", "parse-names" : false, "suffix" : "" }, { "dropping-particle" : "", "family" : "Fawcett", "given" : "Nicola J.", "non-dropping-particle" : "", "parse-names" : false, "suffix" : "" }, { "dropping-particle" : "", "family" : "Dunn", "given" : "Laura", "non-dropping-particle" : "", "parse-names" : false, "suffix" : "" }, { "dropping-particle" : "", "family" : "Jeffery", "given" : "Katie", "non-dropping-particle" : "", "parse-names" : false, "suffix" : "" }, { "dropping-particle" : "", "family" : "Butler", "given" : "Chris C.", "non-dropping-particle" : "", "parse-names" : false, "suffix" : "" }, { "dropping-particle" : "", "family" : "Hayward", "given" : "Gail", "non-dropping-particle" : "", "parse-names" : false, "suffix" : "" }, { "dropping-particle" : "", "family" : "Andersson", "given" : "Monique", "non-dropping-particle" : "", "parse-names" : false, "suffix" : "" }, { "dropping-particle" : "", "family" : "Morgan", "given" : "Marcus", "non-dropping-particle" : "", "parse-names" : false, "suffix" : "" }, { "dropping-particle" : "", "family" : "Oakley", "given" : "Sarah", "non-dropping-particle" : "", "parse-names" : false, "suffix" : "" }, { "dropping-particle" : "", "family" : "Mason", "given" : "Amy", "non-dropping-particle" : "", "parse-names" : false, "suffix" : "" }, { "dropping-particle" : "", "family" : "Hopkins", "given" : "Susan", "non-dropping-particle" : "", "parse-names" : false, "suffix" : "" }, { "dropping-particle" : "", "family" : "Wyllie", "given" : "David H.", "non-dropping-particle" : "", "parse-names" : false, "suffix" : "" }, { "dropping-particle" : "", "family" : "Crook", "given" : "Derrick W.", "non-dropping-particle" : "", "parse-names" : false, "suffix" : "" }, { "dropping-particle" : "", "family" : "Wilcox", "given" : "Mark H.", "non-dropping-particle" : "", "parse-names" : false, "suffix" : "" }, { "dropping-particle" : "", "family" : "Johnson", "given" : "Alan P.", "non-dropping-particle" : "", "parse-names" : false, "suffix" : "" }, { "dropping-particle" : "", "family" : "Peto", "given" : "Tim E.A.", "non-dropping-particle" : "", "parse-names" : false, "suffix" : "" }, { "dropping-particle" : "", "family" : "Walker", "given" : "A. Sarah", "non-dropping-particle" : "", "parse-names" : false, "suffix" : "" } ], "container-title" : "The Lancet Infectious Diseases", "id" : "ITEM-1", "issue" : "10", "issued" : { "date-parts" : [ [ "2018", "10", "1" ] ] }, "page" : "1138-1149", "publisher" : "Lancet Publishing Group", "title" : "Trends over time in Escherichia coli bloodstream infections, urinary tract infections, and antibiotic susceptibilities in Oxfordshire, UK, 1998\u20132016: a study of electronic health records", "type" : "article-journal", "volume" : "18" }, "uris" : [ "http://www.mendeley.com/documents/?uuid=6a6ae555-b39a-3294-afeb-d99b6e126f84" ] }, { "id" : "ITEM-2", "itemData" : { "DOI" : "10.1128/AAC.00143-10", "ISSN" : "00664804", "abstract" : "Escherichia coli is the leading cause of bloodstream infections (BSIs) caused by Gram-negative bacteria. The increasing prevalence of antibiotic-resistant E. coli strains, particularly those producing extended-spectrum \u03b2-lactamases (ESBLs), increases the odds that empirically prescribed antimicrobial therapy for these infections will be inadequate, but the economic impact of this risk has not been fully evaluated. In the present retrospective 1-year analysis of 134 consecutive E. coli BSIs in our hospital, we explored the clinical and economic impacts of (i) inadequate initial antimicrobial treatment (IIAT) (i.e., empirical treatment with drugs to which the isolate had displayed in vitro resistance) of these infections and (ii) ESBL production by the bloodstream isolate. Cost data were obtained from the hospital accounting system. Compared with the 107 (79.8%) adequately treated patients, the 27 (20.1%) who received IIAT had a higher proportion of ESBL BSIs (74.0% versus 15.8%), longer (+6 days) and more costly (+EUR 4,322.00) post-BSI-onset hospital stays, and higher 21-day mortality rates (40.7% versus 5.6%). Compared with the 97 non-ESBL infections, the 37 (27.6%) ESBL BSIs were also associated with longer (+7 days) and more costly (+EUR 5,026.00) post-BSI-onset hospital stays and increased 21-day mortality (29.7% versus 6.1%). These findings confirm that the hospital costs and mortality associated with E. coli BSIs are significantly increased by ESBL production and by IIAT. Copyright \u00a9 2010, American Society for Microbiology. All Rights Reserved.", "author" : [ { "dropping-particle" : "", "family" : "Tumbarello", "given" : "Mario", "non-dropping-particle" : "", "parse-names" : false, "suffix" : "" }, { "dropping-particle" : "", "family" : "Spanu", "given" : "Teresa", "non-dropping-particle" : "", "parse-names" : false, "suffix" : "" }, { "dropping-particle" : "", "family" : "Bidino", "given" : "Rossella", "non-dropping-particle" : "Di", "parse-names" : false, "suffix" : "" }, { "dropping-particle" : "", "family" : "Marchetti", "given" : "Marco", "non-dropping-particle" : "", "parse-names" : false, "suffix" : "" }, { "dropping-particle" : "", "family" : "Ruggeri", "given" : "Matteo", "non-dropping-particle" : "", "parse-names" : false, "suffix" : "" }, { "dropping-particle" : "", "family" : "Trecarichi", "given" : "Enrico Maria", "non-dropping-particle" : "", "parse-names" : false, "suffix" : "" }, { "dropping-particle" : "", "family" : "Pascale", "given" : "Gennaro", "non-dropping-particle" : "De", "parse-names" : false, "suffix" : "" }, { "dropping-particle" : "", "family" : "Proli", "given" : "Enrica Maria", "non-dropping-particle" : "", "parse-names" : false, "suffix" : "" }, { "dropping-particle" : "", "family" : "Cauda", "given" : "Roberto", "non-dropping-particle" : "", "parse-names" : false, "suffix" : "" }, { "dropping-particle" : "", "family" : "Cicchetti", "given" : "Americo", "non-dropping-particle" : "", "parse-names" : false, "suffix" : "" }, { "dropping-particle" : "", "family" : "Fadda", "given" : "Giovanni", "non-dropping-particle" : "", "parse-names" : false, "suffix" : "" } ], "container-title" : "Antimicrobial Agents and Chemotherapy", "id" : "ITEM-2", "issue" : "10", "issued" : { "date-parts" : [ [ "2010", "10", "1" ] ] }, "page" : "4085-4091", "publisher" : "American Society for Microbiology Journals", "title" : "Costs of bloodstream infections caused by Escherichia coli and influence of extended-spectrum-\u03b2-lactamase production and inadequate initial antibiotic therapy", "type" : "article-journal", "volume" : "54" }, "uris" : [ "http://www.mendeley.com/documents/?uuid=99f80e7d-6387-35a0-b0b1-4d3bf53c00f8" ] } ], "mendeley" : { "formattedCitation" : "[39,40]", "plainTextFormattedCitation" : "[39,40]" }, "properties" : {  }, "schema" : "https://github.com/citation-style-language/schema/raw/master/csl-citation.json" }</w:instrText>
      </w:r>
      <w:r w:rsidR="001E7A17">
        <w:rPr>
          <w:iCs/>
          <w:sz w:val="22"/>
          <w:szCs w:val="22"/>
        </w:rPr>
        <w:fldChar w:fldCharType="separate"/>
      </w:r>
      <w:r w:rsidR="001E7A17" w:rsidRPr="001E7A17">
        <w:rPr>
          <w:iCs/>
          <w:noProof/>
          <w:sz w:val="22"/>
          <w:szCs w:val="22"/>
        </w:rPr>
        <w:t>[39,40]</w:t>
      </w:r>
      <w:r w:rsidR="001E7A17">
        <w:rPr>
          <w:iCs/>
          <w:sz w:val="22"/>
          <w:szCs w:val="22"/>
        </w:rPr>
        <w:fldChar w:fldCharType="end"/>
      </w:r>
      <w:r w:rsidR="001E7A17">
        <w:rPr>
          <w:iCs/>
          <w:sz w:val="22"/>
          <w:szCs w:val="22"/>
        </w:rPr>
        <w:t xml:space="preserve"> This includes </w:t>
      </w:r>
      <w:r w:rsidR="00EB603F">
        <w:rPr>
          <w:iCs/>
          <w:sz w:val="22"/>
          <w:szCs w:val="22"/>
        </w:rPr>
        <w:t>their increasing prevalence</w:t>
      </w:r>
      <w:r w:rsidR="001E7A17">
        <w:rPr>
          <w:iCs/>
          <w:sz w:val="22"/>
          <w:szCs w:val="22"/>
        </w:rPr>
        <w:t xml:space="preserve"> and</w:t>
      </w:r>
      <w:r w:rsidR="00EB603F">
        <w:rPr>
          <w:iCs/>
          <w:sz w:val="22"/>
          <w:szCs w:val="22"/>
        </w:rPr>
        <w:t xml:space="preserve"> association with drug-resistance</w:t>
      </w:r>
      <w:r w:rsidR="001E7A17">
        <w:rPr>
          <w:iCs/>
          <w:sz w:val="22"/>
          <w:szCs w:val="22"/>
        </w:rPr>
        <w:t>.</w:t>
      </w:r>
      <w:r w:rsidR="001E7A17">
        <w:rPr>
          <w:iCs/>
          <w:sz w:val="22"/>
          <w:szCs w:val="22"/>
        </w:rPr>
        <w:fldChar w:fldCharType="begin" w:fldLock="1"/>
      </w:r>
      <w:r w:rsidR="001E7A17">
        <w:rPr>
          <w:iCs/>
          <w:sz w:val="22"/>
          <w:szCs w:val="22"/>
        </w:rPr>
        <w:instrText>ADDIN CSL_CITATION { "citationItems" : [ { "id" : "ITEM-1", "itemData" : { "DOI" : "10.1016/S1473-3099(18)30353-0", "ISSN" : "14744457", "abstract" : "Background: Escherichia coli bloodstream infections are increasing in the UK and internationally. The evidence base to guide interventions against this major public health concern is small. We aimed to investigate possible drivers of changes in the incidence of E coli bloodstream infection and antibiotic susceptibilities in Oxfordshire, UK, over the past two decades, while stratifying for time since hospital exposure. Methods: In this observational study, we used all available data on E coli bloodstream infections and E coli urinary tract infections (UTIs) from one UK region (Oxfordshire) using anonymised linked microbiological data and hospital electronic health records from the Infections in Oxfordshire Research Database (IORD). We estimated the incidence of infections across a two decade period and the annual incidence rate ratio (aIRR) in 2016. We modelled the data using negative binomial regression on the basis of microbiological, clinical, and health-care-exposure risk factors. We investigated infection severity, 30-day all-cause mortality, and community and hospital amoxicillin plus clavulanic acid (co-amoxiclav) use to estimate changes in bacterial virulence and the effect of antimicrobial resistance on incidence. Findings: From Jan 1, 1998, to Dec 31, 2016, 5706 E coli bloodstream infections occurred in 5215 patients, and 228 376 E coli UTIs occurred in 137 075 patients. 1365 (24%) E coli bloodstream infections were nosocomial (onset &gt;48 h after hospital admission), 1132 (20%) were quasi-nosocomial (\u226430 days after discharge), 1346 (24%) were quasi-community (31\u2013365 days after discharge), and 1863 (33%) were community (&gt;365 days after hospital discharge). The overall incidence increased year on year (aIRR 1\u00b706, 95% CI 1\u00b705\u20131\u00b706). In 2016, 212 (41%) of 515 E coli bloodstream infections and 3921 (28%) of 13 792 E coli UTIs were co-amoxiclav resistant. Increases in E coli bloodstream infections were driven by increases in community (aIRR 1\u00b710, 95% CI 1\u00b707\u20131\u00b713; p&lt;0\u00b70001) and quasi-community (aIRR 1\u00b708, 1\u00b707\u20131\u00b710; p&lt;0\u00b70001) cases. 30-day mortality associated with E coli bloodstream infection decreased over time in the nosocomial (adjusted rate ratio [RR] 0\u00b798, 95% CI 0\u00b796\u20131\u00b700; p=0\u00b703) group, and remained stable in the quasi-nosocomial (adjusted RR 0\u00b798, 0\u00b795\u20131\u00b700; p=0\u00b706), quasi-community (adjusted RR 0\u00b799, 0\u00b796\u20131\u00b701; p=0\u00b732), and community (adjusted RR 0\u00b799, 0\u00b796\u20131\u00b701; p=0\u00b721) groups. Mortality was, however, substantial at 14\u201325% across all hospit\u2026", "author" : [ { "dropping-particle" : "", "family" : "Vihta", "given" : "Karina Doris", "non-dropping-particle" : "", "parse-names" : false, "suffix" : "" }, { "dropping-particle" : "", "family" : "Stoesser", "given" : "Nicole", "non-dropping-particle" : "", "parse-names" : false, "suffix" : "" }, { "dropping-particle" : "", "family" : "Llewelyn", "given" : "Martin J.", "non-dropping-particle" : "", "parse-names" : false, "suffix" : "" }, { "dropping-particle" : "", "family" : "Quan", "given" : "T. Phuong", "non-dropping-particle" : "", "parse-names" : false, "suffix" : "" }, { "dropping-particle" : "", "family" : "Davies", "given" : "Tim", "non-dropping-particle" : "", "parse-names" : false, "suffix" : "" }, { "dropping-particle" : "", "family" : "Fawcett", "given" : "Nicola J.", "non-dropping-particle" : "", "parse-names" : false, "suffix" : "" }, { "dropping-particle" : "", "family" : "Dunn", "given" : "Laura", "non-dropping-particle" : "", "parse-names" : false, "suffix" : "" }, { "dropping-particle" : "", "family" : "Jeffery", "given" : "Katie", "non-dropping-particle" : "", "parse-names" : false, "suffix" : "" }, { "dropping-particle" : "", "family" : "Butler", "given" : "Chris C.", "non-dropping-particle" : "", "parse-names" : false, "suffix" : "" }, { "dropping-particle" : "", "family" : "Hayward", "given" : "Gail", "non-dropping-particle" : "", "parse-names" : false, "suffix" : "" }, { "dropping-particle" : "", "family" : "Andersson", "given" : "Monique", "non-dropping-particle" : "", "parse-names" : false, "suffix" : "" }, { "dropping-particle" : "", "family" : "Morgan", "given" : "Marcus", "non-dropping-particle" : "", "parse-names" : false, "suffix" : "" }, { "dropping-particle" : "", "family" : "Oakley", "given" : "Sarah", "non-dropping-particle" : "", "parse-names" : false, "suffix" : "" }, { "dropping-particle" : "", "family" : "Mason", "given" : "Amy", "non-dropping-particle" : "", "parse-names" : false, "suffix" : "" }, { "dropping-particle" : "", "family" : "Hopkins", "given" : "Susan", "non-dropping-particle" : "", "parse-names" : false, "suffix" : "" }, { "dropping-particle" : "", "family" : "Wyllie", "given" : "David H.", "non-dropping-particle" : "", "parse-names" : false, "suffix" : "" }, { "dropping-particle" : "", "family" : "Crook", "given" : "Derrick W.", "non-dropping-particle" : "", "parse-names" : false, "suffix" : "" }, { "dropping-particle" : "", "family" : "Wilcox", "given" : "Mark H.", "non-dropping-particle" : "", "parse-names" : false, "suffix" : "" }, { "dropping-particle" : "", "family" : "Johnson", "given" : "Alan P.", "non-dropping-particle" : "", "parse-names" : false, "suffix" : "" }, { "dropping-particle" : "", "family" : "Peto", "given" : "Tim E.A.", "non-dropping-particle" : "", "parse-names" : false, "suffix" : "" }, { "dropping-particle" : "", "family" : "Walker", "given" : "A. Sarah", "non-dropping-particle" : "", "parse-names" : false, "suffix" : "" } ], "container-title" : "The Lancet Infectious Diseases", "id" : "ITEM-1", "issue" : "10", "issued" : { "date-parts" : [ [ "2018", "10", "1" ] ] }, "page" : "1138-1149", "publisher" : "Lancet Publishing Group", "title" : "Trends over time in Escherichia coli bloodstream infections, urinary tract infections, and antibiotic susceptibilities in Oxfordshire, UK, 1998\u20132016: a study of electronic health records", "type" : "article-journal", "volume" : "18" }, "uris" : [ "http://www.mendeley.com/documents/?uuid=6a6ae555-b39a-3294-afeb-d99b6e126f84" ] }, { "id" : "ITEM-2", "itemData" : { "DOI" : "10.1128/AAC.00143-10", "ISSN" : "00664804", "abstract" : "Escherichia coli is the leading cause of bloodstream infections (BSIs) caused by Gram-negative bacteria. The increasing prevalence of antibiotic-resistant E. coli strains, particularly those producing extended-spectrum \u03b2-lactamases (ESBLs), increases the odds that empirically prescribed antimicrobial therapy for these infections will be inadequate, but the economic impact of this risk has not been fully evaluated. In the present retrospective 1-year analysis of 134 consecutive E. coli BSIs in our hospital, we explored the clinical and economic impacts of (i) inadequate initial antimicrobial treatment (IIAT) (i.e., empirical treatment with drugs to which the isolate had displayed in vitro resistance) of these infections and (ii) ESBL production by the bloodstream isolate. Cost data were obtained from the hospital accounting system. Compared with the 107 (79.8%) adequately treated patients, the 27 (20.1%) who received IIAT had a higher proportion of ESBL BSIs (74.0% versus 15.8%), longer (+6 days) and more costly (+EUR 4,322.00) post-BSI-onset hospital stays, and higher 21-day mortality rates (40.7% versus 5.6%). Compared with the 97 non-ESBL infections, the 37 (27.6%) ESBL BSIs were also associated with longer (+7 days) and more costly (+EUR 5,026.00) post-BSI-onset hospital stays and increased 21-day mortality (29.7% versus 6.1%). These findings confirm that the hospital costs and mortality associated with E. coli BSIs are significantly increased by ESBL production and by IIAT. Copyright \u00a9 2010, American Society for Microbiology. All Rights Reserved.", "author" : [ { "dropping-particle" : "", "family" : "Tumbarello", "given" : "Mario", "non-dropping-particle" : "", "parse-names" : false, "suffix" : "" }, { "dropping-particle" : "", "family" : "Spanu", "given" : "Teresa", "non-dropping-particle" : "", "parse-names" : false, "suffix" : "" }, { "dropping-particle" : "", "family" : "Bidino", "given" : "Rossella", "non-dropping-particle" : "Di", "parse-names" : false, "suffix" : "" }, { "dropping-particle" : "", "family" : "Marchetti", "given" : "Marco", "non-dropping-particle" : "", "parse-names" : false, "suffix" : "" }, { "dropping-particle" : "", "family" : "Ruggeri", "given" : "Matteo", "non-dropping-particle" : "", "parse-names" : false, "suffix" : "" }, { "dropping-particle" : "", "family" : "Trecarichi", "given" : "Enrico Maria", "non-dropping-particle" : "", "parse-names" : false, "suffix" : "" }, { "dropping-particle" : "", "family" : "Pascale", "given" : "Gennaro", "non-dropping-particle" : "De", "parse-names" : false, "suffix" : "" }, { "dropping-particle" : "", "family" : "Proli", "given" : "Enrica Maria", "non-dropping-particle" : "", "parse-names" : false, "suffix" : "" }, { "dropping-particle" : "", "family" : "Cauda", "given" : "Roberto", "non-dropping-particle" : "", "parse-names" : false, "suffix" : "" }, { "dropping-particle" : "", "family" : "Cicchetti", "given" : "Americo", "non-dropping-particle" : "", "parse-names" : false, "suffix" : "" }, { "dropping-particle" : "", "family" : "Fadda", "given" : "Giovanni", "non-dropping-particle" : "", "parse-names" : false, "suffix" : "" } ], "container-title" : "Antimicrobial Agents and Chemotherapy", "id" : "ITEM-2", "issue" : "10", "issued" : { "date-parts" : [ [ "2010", "10", "1" ] ] }, "page" : "4085-4091", "publisher" : "American Society for Microbiology Journals", "title" : "Costs of bloodstream infections caused by Escherichia coli and influence of extended-spectrum-\u03b2-lactamase production and inadequate initial antibiotic therapy", "type" : "article-journal", "volume" : "54" }, "uris" : [ "http://www.mendeley.com/documents/?uuid=99f80e7d-6387-35a0-b0b1-4d3bf53c00f8" ] } ], "mendeley" : { "formattedCitation" : "[39,40]", "plainTextFormattedCitation" : "[39,40]" }, "properties" : {  }, "schema" : "https://github.com/citation-style-language/schema/raw/master/csl-citation.json" }</w:instrText>
      </w:r>
      <w:r w:rsidR="001E7A17">
        <w:rPr>
          <w:iCs/>
          <w:sz w:val="22"/>
          <w:szCs w:val="22"/>
        </w:rPr>
        <w:fldChar w:fldCharType="separate"/>
      </w:r>
      <w:r w:rsidR="001E7A17" w:rsidRPr="001E7A17">
        <w:rPr>
          <w:iCs/>
          <w:noProof/>
          <w:sz w:val="22"/>
          <w:szCs w:val="22"/>
        </w:rPr>
        <w:t>[39,40]</w:t>
      </w:r>
      <w:r w:rsidR="001E7A17">
        <w:rPr>
          <w:iCs/>
          <w:sz w:val="22"/>
          <w:szCs w:val="22"/>
        </w:rPr>
        <w:fldChar w:fldCharType="end"/>
      </w:r>
      <w:r w:rsidR="001E7A17">
        <w:rPr>
          <w:iCs/>
          <w:sz w:val="22"/>
          <w:szCs w:val="22"/>
        </w:rPr>
        <w:t xml:space="preserve"> </w:t>
      </w:r>
      <w:r w:rsidR="00D75813">
        <w:rPr>
          <w:iCs/>
          <w:sz w:val="22"/>
          <w:szCs w:val="22"/>
        </w:rPr>
        <w:t xml:space="preserve">The second phase of testing evaluated use of the </w:t>
      </w:r>
      <w:r w:rsidR="00E77EEF">
        <w:rPr>
          <w:iCs/>
          <w:sz w:val="22"/>
          <w:szCs w:val="22"/>
        </w:rPr>
        <w:t>CDSS for a range of potential infection</w:t>
      </w:r>
      <w:r w:rsidR="008767C1">
        <w:rPr>
          <w:iCs/>
          <w:sz w:val="22"/>
          <w:szCs w:val="22"/>
        </w:rPr>
        <w:t>s</w:t>
      </w:r>
      <w:r w:rsidR="00EB603F">
        <w:rPr>
          <w:iCs/>
          <w:sz w:val="22"/>
          <w:szCs w:val="22"/>
        </w:rPr>
        <w:t xml:space="preserve"> in ward-based patients who were identified on inpatient wards</w:t>
      </w:r>
      <w:r w:rsidR="00D75813">
        <w:rPr>
          <w:iCs/>
          <w:sz w:val="22"/>
          <w:szCs w:val="22"/>
        </w:rPr>
        <w:t xml:space="preserve"> </w:t>
      </w:r>
      <w:r w:rsidR="008579A9">
        <w:rPr>
          <w:iCs/>
          <w:sz w:val="22"/>
          <w:szCs w:val="22"/>
        </w:rPr>
        <w:t>during general medical on-calls</w:t>
      </w:r>
      <w:r w:rsidR="00EB603F">
        <w:rPr>
          <w:iCs/>
          <w:sz w:val="22"/>
          <w:szCs w:val="22"/>
        </w:rPr>
        <w:t xml:space="preserve"> (“ward patients</w:t>
      </w:r>
      <w:r w:rsidR="004C2D62">
        <w:rPr>
          <w:iCs/>
          <w:sz w:val="22"/>
          <w:szCs w:val="22"/>
        </w:rPr>
        <w:t>”</w:t>
      </w:r>
      <w:r w:rsidR="00EB603F">
        <w:rPr>
          <w:iCs/>
          <w:sz w:val="22"/>
          <w:szCs w:val="22"/>
        </w:rPr>
        <w:t>)</w:t>
      </w:r>
      <w:r w:rsidR="002F2B2C">
        <w:rPr>
          <w:iCs/>
          <w:sz w:val="22"/>
          <w:szCs w:val="22"/>
        </w:rPr>
        <w:t>.</w:t>
      </w:r>
      <w:r w:rsidR="0051026B">
        <w:rPr>
          <w:iCs/>
          <w:sz w:val="22"/>
          <w:szCs w:val="22"/>
        </w:rPr>
        <w:t xml:space="preserve"> In the UK, general medical on-calls involve a doctor being responsible for a range a medical and surgical wards out-of-hours. They will respond to any unwell patients, often being required to initiate empirical antimicrobial therapy. </w:t>
      </w:r>
      <w:r w:rsidR="007D6C89">
        <w:rPr>
          <w:iCs/>
          <w:sz w:val="22"/>
          <w:szCs w:val="22"/>
        </w:rPr>
        <w:t>This was designed to mimic real-world usage of the CDSS during the empirical phase of treatment.</w:t>
      </w:r>
      <w:r w:rsidR="002F2B2C">
        <w:rPr>
          <w:iCs/>
          <w:sz w:val="22"/>
          <w:szCs w:val="22"/>
        </w:rPr>
        <w:t xml:space="preserve"> </w:t>
      </w:r>
    </w:p>
    <w:p w14:paraId="7C749DEB" w14:textId="77777777" w:rsidR="00363FD7" w:rsidRDefault="00363FD7" w:rsidP="0066786E">
      <w:pPr>
        <w:spacing w:line="480" w:lineRule="auto"/>
        <w:jc w:val="both"/>
        <w:rPr>
          <w:iCs/>
          <w:sz w:val="22"/>
          <w:szCs w:val="22"/>
        </w:rPr>
      </w:pPr>
    </w:p>
    <w:p w14:paraId="6E3316A7" w14:textId="50B171A1" w:rsidR="008579A9" w:rsidRDefault="002F2B2C" w:rsidP="0066786E">
      <w:pPr>
        <w:spacing w:line="480" w:lineRule="auto"/>
        <w:jc w:val="both"/>
        <w:rPr>
          <w:iCs/>
          <w:sz w:val="22"/>
          <w:szCs w:val="22"/>
        </w:rPr>
      </w:pPr>
      <w:r>
        <w:rPr>
          <w:iCs/>
          <w:sz w:val="22"/>
          <w:szCs w:val="22"/>
        </w:rPr>
        <w:t>The aim of the study was to evaluate the potential impact on antimicrobial prescribing if</w:t>
      </w:r>
      <w:r w:rsidR="00424458">
        <w:rPr>
          <w:iCs/>
          <w:sz w:val="22"/>
          <w:szCs w:val="22"/>
        </w:rPr>
        <w:t xml:space="preserve"> the system was</w:t>
      </w:r>
      <w:r>
        <w:rPr>
          <w:iCs/>
          <w:sz w:val="22"/>
          <w:szCs w:val="22"/>
        </w:rPr>
        <w:t xml:space="preserve"> implemented</w:t>
      </w:r>
      <w:r w:rsidR="00E77EEF">
        <w:rPr>
          <w:iCs/>
          <w:sz w:val="22"/>
          <w:szCs w:val="22"/>
        </w:rPr>
        <w:t xml:space="preserve"> and used to support decision making</w:t>
      </w:r>
      <w:r>
        <w:rPr>
          <w:iCs/>
          <w:sz w:val="22"/>
          <w:szCs w:val="22"/>
        </w:rPr>
        <w:t xml:space="preserve"> in practice. Given that </w:t>
      </w:r>
      <w:r w:rsidR="00D75813">
        <w:rPr>
          <w:iCs/>
          <w:sz w:val="22"/>
          <w:szCs w:val="22"/>
        </w:rPr>
        <w:t>the CDSS</w:t>
      </w:r>
      <w:r>
        <w:rPr>
          <w:iCs/>
          <w:sz w:val="22"/>
          <w:szCs w:val="22"/>
        </w:rPr>
        <w:t xml:space="preserve"> aims to </w:t>
      </w:r>
      <w:r w:rsidR="006E3D2B">
        <w:rPr>
          <w:iCs/>
          <w:sz w:val="22"/>
          <w:szCs w:val="22"/>
        </w:rPr>
        <w:t xml:space="preserve">shift </w:t>
      </w:r>
      <w:r>
        <w:rPr>
          <w:iCs/>
          <w:sz w:val="22"/>
          <w:szCs w:val="22"/>
        </w:rPr>
        <w:t xml:space="preserve">from </w:t>
      </w:r>
      <w:r w:rsidR="00D17280">
        <w:rPr>
          <w:iCs/>
          <w:sz w:val="22"/>
          <w:szCs w:val="22"/>
        </w:rPr>
        <w:t xml:space="preserve">static </w:t>
      </w:r>
      <w:r>
        <w:rPr>
          <w:iCs/>
          <w:sz w:val="22"/>
          <w:szCs w:val="22"/>
        </w:rPr>
        <w:t>guideline based prescribing</w:t>
      </w:r>
      <w:r w:rsidR="006E3D2B">
        <w:rPr>
          <w:iCs/>
          <w:sz w:val="22"/>
          <w:szCs w:val="22"/>
        </w:rPr>
        <w:t xml:space="preserve"> to a more dynamic and individualised</w:t>
      </w:r>
      <w:r w:rsidR="00EB603F">
        <w:rPr>
          <w:iCs/>
          <w:sz w:val="22"/>
          <w:szCs w:val="22"/>
        </w:rPr>
        <w:t xml:space="preserve"> means of supporting decision making</w:t>
      </w:r>
      <w:r w:rsidR="00345AAD">
        <w:rPr>
          <w:iCs/>
          <w:sz w:val="22"/>
          <w:szCs w:val="22"/>
        </w:rPr>
        <w:t>;</w:t>
      </w:r>
      <w:r>
        <w:rPr>
          <w:iCs/>
          <w:sz w:val="22"/>
          <w:szCs w:val="22"/>
        </w:rPr>
        <w:t xml:space="preserve"> primary outcome measure</w:t>
      </w:r>
      <w:r w:rsidR="00345AAD">
        <w:rPr>
          <w:iCs/>
          <w:sz w:val="22"/>
          <w:szCs w:val="22"/>
        </w:rPr>
        <w:t>s selected were</w:t>
      </w:r>
      <w:r>
        <w:rPr>
          <w:iCs/>
          <w:sz w:val="22"/>
          <w:szCs w:val="22"/>
        </w:rPr>
        <w:t xml:space="preserve"> antimicrobial spectrum</w:t>
      </w:r>
      <w:r w:rsidR="00345AAD">
        <w:rPr>
          <w:iCs/>
          <w:sz w:val="22"/>
          <w:szCs w:val="22"/>
        </w:rPr>
        <w:t>, determined by</w:t>
      </w:r>
      <w:r w:rsidR="008767C1">
        <w:rPr>
          <w:iCs/>
          <w:sz w:val="22"/>
          <w:szCs w:val="22"/>
        </w:rPr>
        <w:t xml:space="preserve"> the</w:t>
      </w:r>
      <w:r w:rsidR="00345AAD">
        <w:rPr>
          <w:iCs/>
          <w:sz w:val="22"/>
          <w:szCs w:val="22"/>
        </w:rPr>
        <w:t xml:space="preserve"> </w:t>
      </w:r>
      <w:r w:rsidR="003A6AC1">
        <w:rPr>
          <w:iCs/>
          <w:sz w:val="22"/>
          <w:szCs w:val="22"/>
        </w:rPr>
        <w:t>A</w:t>
      </w:r>
      <w:r w:rsidR="00345AAD">
        <w:rPr>
          <w:iCs/>
          <w:sz w:val="22"/>
          <w:szCs w:val="22"/>
        </w:rPr>
        <w:t xml:space="preserve">ntimicrobial </w:t>
      </w:r>
      <w:r w:rsidR="003A6AC1">
        <w:rPr>
          <w:iCs/>
          <w:sz w:val="22"/>
          <w:szCs w:val="22"/>
        </w:rPr>
        <w:t>S</w:t>
      </w:r>
      <w:r w:rsidR="00345AAD">
        <w:rPr>
          <w:iCs/>
          <w:sz w:val="22"/>
          <w:szCs w:val="22"/>
        </w:rPr>
        <w:t xml:space="preserve">pectrum </w:t>
      </w:r>
      <w:r w:rsidR="003A6AC1">
        <w:rPr>
          <w:iCs/>
          <w:sz w:val="22"/>
          <w:szCs w:val="22"/>
        </w:rPr>
        <w:t>I</w:t>
      </w:r>
      <w:r w:rsidR="00345AAD">
        <w:rPr>
          <w:iCs/>
          <w:sz w:val="22"/>
          <w:szCs w:val="22"/>
        </w:rPr>
        <w:t>ndex (ASI)</w:t>
      </w:r>
      <w:r w:rsidR="00DD4499">
        <w:rPr>
          <w:iCs/>
          <w:sz w:val="22"/>
          <w:szCs w:val="22"/>
        </w:rPr>
        <w:t xml:space="preserve"> </w:t>
      </w:r>
      <w:r w:rsidR="00A17746">
        <w:rPr>
          <w:iCs/>
          <w:sz w:val="22"/>
          <w:szCs w:val="22"/>
        </w:rPr>
        <w:fldChar w:fldCharType="begin" w:fldLock="1"/>
      </w:r>
      <w:r w:rsidR="001E7A17">
        <w:rPr>
          <w:iCs/>
          <w:sz w:val="22"/>
          <w:szCs w:val="22"/>
        </w:rPr>
        <w:instrText>ADDIN CSL_CITATION { "citationItems" : [ { "id" : "ITEM-1", "itemData" : { "DOI" : "10.1017/ice.2017.94", "ISSN" : "0899-823X", "abstract" : "&lt;p&gt;Standard metrics for antimicrobial use consider volume but not spectrum of antimicrobial prescribing. We developed an antibiotic spectrum index (ASI) to classify commonly used antibiotics based on activity against important pathogens. The application of this index to hospital antibiotic use reveals how this tool enhances current antimicrobial stewardship metrics.&lt;/p&gt;", "author" : [ { "dropping-particle" : "", "family" : "Gerber", "given" : "Jeffrey S.", "non-dropping-particle" : "", "parse-names" : false, "suffix" : "" }, { "dropping-particle" : "", "family" : "Hersh", "given" : "Adam L.", "non-dropping-particle" : "", "parse-names" : false, "suffix" : "" }, { "dropping-particle" : "", "family" : "Kronman", "given" : "Matthew P.", "non-dropping-particle" : "", "parse-names" : false, "suffix" : "" }, { "dropping-particle" : "", "family" : "Newland", "given" : "Jason G.", "non-dropping-particle" : "", "parse-names" : false, "suffix" : "" }, { "dropping-particle" : "", "family" : "Ross", "given" : "Rachael K.", "non-dropping-particle" : "", "parse-names" : false, "suffix" : "" }, { "dropping-particle" : "", "family" : "Metjian", "given" : "Talene A.", "non-dropping-particle" : "", "parse-names" : false, "suffix" : "" } ], "container-title" : "Infection Control &amp; Hospital Epidemiology", "id" : "ITEM-1", "issue" : "08", "issued" : { "date-parts" : [ [ "2017", "8", "31" ] ] }, "page" : "993-997", "publisher" : "Cambridge University Press", "title" : "Development and Application of an Antibiotic Spectrum Index for Benchmarking Antibiotic Selection Patterns Across Hospitals", "type" : "article-journal", "volume" : "38" }, "uris" : [ "http://www.mendeley.com/documents/?uuid=84466e30-399c-3d4b-bf7d-221797af979e" ] }, { "id" : "ITEM-2", "itemData" : { "DOI" : "10.2217/fmb-2017-0025", "ISSN" : "1746-0913", "abstract" : "Aim: To assess the effectiveness of antibiotic therapy against five indicator bacteria in a Chinese hospital using an index-based approach. Methods: The study population comprises 1031 patients who...", "author" : [ { "dropping-particle" : "", "family" : "Chen", "given" : "Yong", "non-dropping-particle" : "", "parse-names" : false, "suffix" : "" }, { "dropping-particle" : "", "family" : "Song", "given" : "Boqiang", "non-dropping-particle" : "", "parse-names" : false, "suffix" : "" }, { "dropping-particle" : "", "family" : "Shan", "given" : "Xue", "non-dropping-particle" : "", "parse-names" : false, "suffix" : "" }, { "dropping-particle" : "", "family" : "Qin", "given" : "Yanhong", "non-dropping-particle" : "", "parse-names" : false, "suffix" : "" }, { "dropping-particle" : "", "family" : "Wang", "given" : "Liang", "non-dropping-particle" : "", "parse-names" : false, "suffix" : "" }, { "dropping-particle" : "", "family" : "Wang", "given" : "Hongyuan", "non-dropping-particle" : "", "parse-names" : false, "suffix" : "" }, { "dropping-particle" : "", "family" : "Lu", "given" : "Zhongyi", "non-dropping-particle" : "", "parse-names" : false, "suffix" : "" }, { "dropping-particle" : "", "family" : "Liu", "given" : "Lin", "non-dropping-particle" : "", "parse-names" : false, "suffix" : "" }, { "dropping-particle" : "", "family" : "Yin", "given" : "Danping", "non-dropping-particle" : "", "parse-names" : false, "suffix" : "" }, { "dropping-particle" : "", "family" : "Han", "given" : "Xuelin", "non-dropping-particle" : "", "parse-names" : false, "suffix" : "" }, { "dropping-particle" : "", "family" : "Zhao", "given" : "Jingya", "non-dropping-particle" : "", "parse-names" : false, "suffix" : "" }, { "dropping-particle" : "", "family" : "Tian", "given" : "Shuguang", "non-dropping-particle" : "", "parse-names" : false, "suffix" : "" }, { "dropping-particle" : "", "family" : "Chen", "given" : "Fangyan", "non-dropping-particle" : "", "parse-names" : false, "suffix" : "" }, { "dropping-particle" : "", "family" : "Su", "given" : "Xueting", "non-dropping-particle" : "", "parse-names" : false, "suffix" : "" }, { "dropping-particle" : "", "family" : "Huang", "given" : "Liuyu", "non-dropping-particle" : "", "parse-names" : false, "suffix" : "" }, { "dropping-particle" : "", "family" : "Li", "given" : "Qi", "non-dropping-particle" : "", "parse-names" : false, "suffix" : "" }, { "dropping-particle" : "", "family" : "Grundmann", "given" : "Hajo", "non-dropping-particle" : "", "parse-names" : false, "suffix" : "" }, { "dropping-particle" : "", "family" : "Zhang", "given" : "Hong", "non-dropping-particle" : "", "parse-names" : false, "suffix" : "" }, { "dropping-particle" : "", "family" : "Han", "given" : "Li", "non-dropping-particle" : "", "parse-names" : false, "suffix" : "" } ], "container-title" : "Future Microbiology", "id" : "ITEM-2", "issue" : "10", "issued" : { "date-parts" : [ [ "2017", "8", "12" ] ] }, "page" : "853-866", "publisher" : " Future Medicine Ltd London, UK ", "title" : "Assessing antibiotic therapy effectiveness against the major bacterial pathogens in a hospital using an integrated index", "type" : "article-journal", "volume" : "12" }, "uris" : [ "http://www.mendeley.com/documents/?uuid=2a0497a1-2232-3c2b-abc1-70e1cae8a29e" ] }, { "id" : "ITEM-3", "itemData" : { "DOI" : "10.1136/bmjopen-2016", "abstract" : "Objectives: We aimed to construct widely useable summary measures of the net impact of antibiotic resistance on empiric therapy. Summary measures are needed to communicate the importance of resistance, plan and evaluate interventions, and direct policy and investment.", "author" : [ { "dropping-particle" : "", "family" : "Hughes", "given" : "Josie S", "non-dropping-particle" : "", "parse-names" : false, "suffix" : "" }, { "dropping-particle" : "", "family" : "Hurford", "given" : "Amy", "non-dropping-particle" : "", "parse-names" : false, "suffix" : "" }, { "dropping-particle" : "", "family" : "Finley", "given" : "Rita L", "non-dropping-particle" : "", "parse-names" : false, "suffix" : "" }, { "dropping-particle" : "", "family" : "Patrick", "given" : "David M", "non-dropping-particle" : "", "parse-names" : false, "suffix" : "" }, { "dropping-particle" : "", "family" : "Wu", "given" : "Jianhong", "non-dropping-particle" : "", "parse-names" : false, "suffix" : "" }, { "dropping-particle" : "", "family" : "Morris", "given" : "Andrew M", "non-dropping-particle" : "", "parse-names" : false, "suffix" : "" } ], "id" : "ITEM-3", "issued" : { "date-parts" : [ [ "0" ] ] }, "title" : "How to measure the impacts of antibiotic resistance and antibiotic development on empiric therapy: new composite indices", "type" : "article-journal" }, "uris" : [ "http://www.mendeley.com/documents/?uuid=731cf772-0363-3f69-8a5b-7fbc29d18aa4" ] }, { "id" : "ITEM-4", "itemData" : { "DOI" : "10.1093/jac/dku336", "abstract" : "Objectives: The population-level appropriateness of empirical antibiotic therapy can be conventionally measured by ascertainment of treatment coverage. This method involves a complex resource-intensive case-by-case assessment of the prescribed antibiotic treatment and the resistance of the causative microorganism. We aimed to develop an alternative approach based, instead, on the use of routinely available surveillance data. Methods: We calculated a drug effectiveness index by combining three simple aggregated metrics: relative frequency of aetiological agents, level of resistance and relative frequency of antibiotic use. To evaluate the applicability of our approach, we used this metric to estimate the population-level appropriateness of guideline compliant and non-guideline-compliant empirical treatment regimens in the context of the Dutch national guidelines for complicated urinary tract infections. Results: The drug effectiveness index agrees within 5% with results obtained with the conventional approach based on a case-by-case ascertainment of treatment coverage. Additionally, we estimated that the appropriate-ness of 2008 antibiotic prescribing regimens would have declined by up to 4% by year 2011 in the Netherlands due to the emergence and expansion of antibiotic resistance. Conclusions: The index-based framework can be an alternative approach to the estimation of point values and counterfactual trends in population-level empirical treatment appropriateness. In resource-constrained settings, where empirical prescribing is most prevalent and comprehensive studies to directly measure appropriateness may not be a practical proposition, an index-based approach could provide useful information to aid in the development and monitoring of antibiotic prescription guidelines.", "author" : [ { "dropping-particle" : "", "family" : "Ciccolini", "given" : "M", "non-dropping-particle" : "", "parse-names" : false, "suffix" : "" }, { "dropping-particle" : "", "family" : "Spoorenberg", "given" : "V", "non-dropping-particle" : "", "parse-names" : false, "suffix" : "" }, { "dropping-particle" : "", "family" : "Geerlings", "given" : "S E", "non-dropping-particle" : "", "parse-names" : false, "suffix" : "" }, { "dropping-particle" : "", "family" : "Prins", "given" : "J M", "non-dropping-particle" : "", "parse-names" : false, "suffix" : "" }, { "dropping-particle" : "", "family" : "Grundmann", "given" : "H", "non-dropping-particle" : "", "parse-names" : false, "suffix" : "" } ], "id" : "ITEM-4", "issued" : { "date-parts" : [ [ "0" ] ] }, "title" : "Using an index-based approach to assess the population-level appropriateness of empirical antibiotic therapy", "type" : "article-journal" }, "uris" : [ "http://www.mendeley.com/documents/?uuid=9cb5ed06-9b86-3653-a4ce-6eb9849612ea" ] }, { "id" : "ITEM-5", "itemData" : { "DOI" : "10.1093/ofid/ofu052.239", "ISSN" : "2328-8957", "author" : [ { "dropping-particle" : "", "family" : "Metjian", "given" : "Talene A.", "non-dropping-particle" : "", "parse-names" : false, "suffix" : "" }, { "dropping-particle" : "", "family" : "Hersh", "given" : "Adam L.", "non-dropping-particle" : "", "parse-names" : false, "suffix" : "" }, { "dropping-particle" : "", "family" : "Kronman", "given" : "Matthew", "non-dropping-particle" : "", "parse-names" : false, "suffix" : "" }, { "dropping-particle" : "", "family" : "Newland", "given" : "Jason", "non-dropping-particle" : "", "parse-names" : false, "suffix" : "" }, { "dropping-particle" : "", "family" : "Ross", "given" : "Rachael", "non-dropping-particle" : "", "parse-names" : false, "suffix" : "" }, { "dropping-particle" : "", "family" : "Gerber", "given" : "Jeffrey S.", "non-dropping-particle" : "", "parse-names" : false, "suffix" : "" } ], "container-title" : "Open Forum Infectious Diseases", "id" : "ITEM-5", "issue" : "suppl_1", "issued" : { "date-parts" : [ [ "2014", "12", "1" ] ] }, "page" : "S146-S146", "publisher" : "Narnia", "title" : "373Development and Application of an Antibiotic Spectrum Index (AbSI) for Benchmarking Antibiotic Selection Patterns Across Hospitals", "type" : "article-journal", "volume" : "1" }, "uris" : [ "http://www.mendeley.com/documents/?uuid=c003a9aa-7fde-39e2-9d19-0784481071ca" ] } ], "mendeley" : { "formattedCitation" : "[41\u201345]", "plainTextFormattedCitation" : "[41\u201345]", "previouslyFormattedCitation" : "[41\u201345]" }, "properties" : {  }, "schema" : "https://github.com/citation-style-language/schema/raw/master/csl-citation.json" }</w:instrText>
      </w:r>
      <w:r w:rsidR="00A17746">
        <w:rPr>
          <w:iCs/>
          <w:sz w:val="22"/>
          <w:szCs w:val="22"/>
        </w:rPr>
        <w:fldChar w:fldCharType="separate"/>
      </w:r>
      <w:r w:rsidR="001E7A17" w:rsidRPr="001E7A17">
        <w:rPr>
          <w:iCs/>
          <w:noProof/>
          <w:sz w:val="22"/>
          <w:szCs w:val="22"/>
        </w:rPr>
        <w:t>[41–45]</w:t>
      </w:r>
      <w:r w:rsidR="00A17746">
        <w:rPr>
          <w:iCs/>
          <w:sz w:val="22"/>
          <w:szCs w:val="22"/>
        </w:rPr>
        <w:fldChar w:fldCharType="end"/>
      </w:r>
      <w:r>
        <w:rPr>
          <w:iCs/>
          <w:sz w:val="22"/>
          <w:szCs w:val="22"/>
        </w:rPr>
        <w:t xml:space="preserve"> </w:t>
      </w:r>
      <w:r w:rsidR="00D75813">
        <w:rPr>
          <w:iCs/>
          <w:sz w:val="22"/>
          <w:szCs w:val="22"/>
        </w:rPr>
        <w:t>and the WHO</w:t>
      </w:r>
      <w:r w:rsidR="003A6AC1">
        <w:rPr>
          <w:iCs/>
          <w:sz w:val="22"/>
          <w:szCs w:val="22"/>
        </w:rPr>
        <w:t xml:space="preserve"> Essential Medicines List </w:t>
      </w:r>
      <w:r w:rsidR="003A6AC1" w:rsidRPr="004C2D62">
        <w:rPr>
          <w:i/>
          <w:iCs/>
          <w:sz w:val="22"/>
          <w:szCs w:val="22"/>
        </w:rPr>
        <w:t>Access</w:t>
      </w:r>
      <w:r w:rsidR="003A6AC1">
        <w:rPr>
          <w:iCs/>
          <w:sz w:val="22"/>
          <w:szCs w:val="22"/>
        </w:rPr>
        <w:t xml:space="preserve">, </w:t>
      </w:r>
      <w:r w:rsidR="003A6AC1" w:rsidRPr="004C2D62">
        <w:rPr>
          <w:i/>
          <w:iCs/>
          <w:sz w:val="22"/>
          <w:szCs w:val="22"/>
        </w:rPr>
        <w:t>Watch</w:t>
      </w:r>
      <w:r w:rsidR="003A6AC1">
        <w:rPr>
          <w:iCs/>
          <w:sz w:val="22"/>
          <w:szCs w:val="22"/>
        </w:rPr>
        <w:t xml:space="preserve">, </w:t>
      </w:r>
      <w:r w:rsidR="003A6AC1" w:rsidRPr="004C2D62">
        <w:rPr>
          <w:i/>
          <w:iCs/>
          <w:sz w:val="22"/>
          <w:szCs w:val="22"/>
        </w:rPr>
        <w:t>Reserve</w:t>
      </w:r>
      <w:r w:rsidR="003A6AC1">
        <w:rPr>
          <w:iCs/>
          <w:sz w:val="22"/>
          <w:szCs w:val="22"/>
        </w:rPr>
        <w:t xml:space="preserve"> (</w:t>
      </w:r>
      <w:r w:rsidR="00D75813">
        <w:rPr>
          <w:iCs/>
          <w:sz w:val="22"/>
          <w:szCs w:val="22"/>
        </w:rPr>
        <w:t>AWaRe</w:t>
      </w:r>
      <w:r w:rsidR="003A6AC1">
        <w:rPr>
          <w:iCs/>
          <w:sz w:val="22"/>
          <w:szCs w:val="22"/>
        </w:rPr>
        <w:t>)</w:t>
      </w:r>
      <w:r w:rsidR="00D75813">
        <w:rPr>
          <w:iCs/>
          <w:sz w:val="22"/>
          <w:szCs w:val="22"/>
        </w:rPr>
        <w:t xml:space="preserve"> classification system</w:t>
      </w:r>
      <w:r w:rsidR="00E77EEF">
        <w:rPr>
          <w:iCs/>
          <w:sz w:val="22"/>
          <w:szCs w:val="22"/>
        </w:rPr>
        <w:t>.</w:t>
      </w:r>
      <w:r w:rsidR="00D75813">
        <w:rPr>
          <w:iCs/>
          <w:sz w:val="22"/>
          <w:szCs w:val="22"/>
        </w:rPr>
        <w:fldChar w:fldCharType="begin" w:fldLock="1"/>
      </w:r>
      <w:r w:rsidR="001E7A17">
        <w:rPr>
          <w:iCs/>
          <w:sz w:val="22"/>
          <w:szCs w:val="22"/>
        </w:rPr>
        <w:instrText>ADDIN CSL_CITATION { "citationItems" : [ { "id" : "ITEM-1", "itemData" : { "DOI" : "10.1016/S2214-109X(19)30071-3", "ISSN" : "2214109X", "abstract" : "Background: Improving the quality of hospital antibiotic use is a major goal of WHO's global action plan to combat antimicrobial resistance. The WHO Essential Medicines List Access, Watch, and Reserve (AWaRe) classification could facilitate simple stewardship interventions that are widely applicable globally. We aimed to present data on patterns of paediatric AWaRe antibiotic use that could be used for local and national stewardship interventions. Methods: 1-day point prevalence survey antibiotic prescription data were combined from two independent global networks: the Global Antimicrobial Resistance, Prescribing, and Efficacy in Neonates and Children and the Global Point Prevalence Survey on Antimicrobial Consumption and Resistance networks. We included hospital inpatients aged younger than 19 years receiving at least one antibiotic on the day of the survey. The WHO AWaRe classification was used to describe overall antibiotic use as assessed by the variation between use of Access, Watch, and Reserve antibiotics, for neonates and children and for the commonest clinical indications. Findings: Of the 23 572 patients included from 56 countries, 18 305 were children (77\u00b77%) and 5267 were neonates (22\u00b73%). Access antibiotic use in children ranged from 7\u00b78% (China) to 61\u00b72% (Slovenia) of all antibiotic prescriptions. The use of Watch antibiotics in children was highest in Iran (77\u00b73%) and lowest in Finland (23\u00b70%). In neonates, Access antibiotic use was highest in Singapore (100\u00b70%) and lowest in China (24\u00b72%). Reserve antibiotic use was low in all countries. Major differences in clinical syndrome-specific patterns of AWaRe antibiotic use in lower respiratory tract infection and neonatal sepsis were observed between WHO regions and countries. Interpretation: There is substantial global variation in the proportion of AWaRe antibiotics used in hospitalised neonates and children. The AWaRe classification could potentially be used as a simple traffic light metric of appropriate antibiotic use. Future efforts should focus on developing and evaluating paediatric antibiotic stewardship programmes on the basis of the AWaRe index. Funding: GARPEC was funded by the PENTA Foundation. GARPEC-China data collection was funded by the Sanming Project of Medicine in Shenzhen (SZSM2015120330). bioM\u00e9rieux provided unrestricted funding support for the Global-PPS.", "author" : [ { "dropping-particle" : "", "family" : "Hsia", "given" : "Yingfen", "non-dropping-particle" : "", "parse-names" : false, "suffix" : "" }, { "dropping-particle" : "", "family" : "Lee", "given" : "Brian R.", "non-dropping-particle" : "", "parse-names" : false, "suffix" : "" }, { "dropping-particle" : "", "family" : "Versporten", "given" : "Ann", "non-dropping-particle" : "", "parse-names" : false, "suffix" : "" }, { "dropping-particle" : "", "family" : "Yang", "given" : "Yonghong", "non-dropping-particle" : "", "parse-names" : false, "suffix" : "" }, { "dropping-particle" : "", "family" : "Bielicki", "given" : "Julia", "non-dropping-particle" : "", "parse-names" : false, "suffix" : "" }, { "dropping-particle" : "", "family" : "Jackson", "given" : "Charlotte", "non-dropping-particle" : "", "parse-names" : false, "suffix" : "" }, { "dropping-particle" : "", "family" : "Newland", "given" : "Jason", "non-dropping-particle" : "", "parse-names" : false, "suffix" : "" }, { "dropping-particle" : "", "family" : "Goossens", "given" : "Herman", "non-dropping-particle" : "", "parse-names" : false, "suffix" : "" }, { "dropping-particle" : "", "family" : "Magrini", "given" : "Nicola", "non-dropping-particle" : "", "parse-names" : false, "suffix" : "" }, { "dropping-particle" : "", "family" : "Sharland", "given" : "Mike", "non-dropping-particle" : "", "parse-names" : false, "suffix" : "" } ], "container-title" : "The Lancet Global Health", "id" : "ITEM-1", "issue" : "7", "issued" : { "date-parts" : [ [ "2019", "7", "1" ] ] }, "page" : "e861-e871", "publisher" : "Elsevier Ltd", "title" : "Use of the WHO Access, Watch, and Reserve classification to define patterns of hospital antibiotic use (AWaRe): an analysis of paediatric survey data from 56 countries", "type" : "article-journal", "volume" : "7" }, "uris" : [ "http://www.mendeley.com/documents/?uuid=2da00a95-bdd7-3c68-8ea5-87a7b44b05f1" ] } ], "mendeley" : { "formattedCitation" : "[46]", "plainTextFormattedCitation" : "[46]", "previouslyFormattedCitation" : "[46]" }, "properties" : {  }, "schema" : "https://github.com/citation-style-language/schema/raw/master/csl-citation.json" }</w:instrText>
      </w:r>
      <w:r w:rsidR="00D75813">
        <w:rPr>
          <w:iCs/>
          <w:sz w:val="22"/>
          <w:szCs w:val="22"/>
        </w:rPr>
        <w:fldChar w:fldCharType="separate"/>
      </w:r>
      <w:r w:rsidR="001E7A17" w:rsidRPr="001E7A17">
        <w:rPr>
          <w:iCs/>
          <w:noProof/>
          <w:sz w:val="22"/>
          <w:szCs w:val="22"/>
        </w:rPr>
        <w:t>[46]</w:t>
      </w:r>
      <w:r w:rsidR="00D75813">
        <w:rPr>
          <w:iCs/>
          <w:sz w:val="22"/>
          <w:szCs w:val="22"/>
        </w:rPr>
        <w:fldChar w:fldCharType="end"/>
      </w:r>
      <w:r>
        <w:rPr>
          <w:iCs/>
          <w:sz w:val="22"/>
          <w:szCs w:val="22"/>
        </w:rPr>
        <w:t xml:space="preserve"> This study was approved by London-Chelsea Regional Ethics Committee (ref:</w:t>
      </w:r>
      <w:r w:rsidR="00424458">
        <w:rPr>
          <w:iCs/>
          <w:sz w:val="22"/>
          <w:szCs w:val="22"/>
        </w:rPr>
        <w:t xml:space="preserve"> 17/LO/0047</w:t>
      </w:r>
      <w:r>
        <w:rPr>
          <w:iCs/>
          <w:sz w:val="22"/>
          <w:szCs w:val="22"/>
        </w:rPr>
        <w:t xml:space="preserve">) and met all required data protection requirements in place during the study period. </w:t>
      </w:r>
    </w:p>
    <w:p w14:paraId="56C25511" w14:textId="77777777" w:rsidR="00363FD7" w:rsidRDefault="00363FD7" w:rsidP="0066786E">
      <w:pPr>
        <w:spacing w:line="480" w:lineRule="auto"/>
        <w:jc w:val="both"/>
        <w:rPr>
          <w:iCs/>
          <w:sz w:val="22"/>
          <w:szCs w:val="22"/>
        </w:rPr>
      </w:pPr>
    </w:p>
    <w:p w14:paraId="0106AB2A" w14:textId="2A179637" w:rsidR="00D43E71" w:rsidRDefault="00D43E71" w:rsidP="0066786E">
      <w:pPr>
        <w:spacing w:line="480" w:lineRule="auto"/>
        <w:jc w:val="both"/>
        <w:rPr>
          <w:i/>
          <w:sz w:val="22"/>
          <w:szCs w:val="22"/>
        </w:rPr>
      </w:pPr>
      <w:r>
        <w:rPr>
          <w:i/>
          <w:sz w:val="22"/>
          <w:szCs w:val="22"/>
        </w:rPr>
        <w:t xml:space="preserve">Study setting </w:t>
      </w:r>
    </w:p>
    <w:p w14:paraId="65EA94D8" w14:textId="0FE1936E" w:rsidR="005909FF" w:rsidRPr="00E37AED" w:rsidRDefault="005909FF" w:rsidP="0066786E">
      <w:pPr>
        <w:spacing w:line="480" w:lineRule="auto"/>
        <w:jc w:val="both"/>
        <w:rPr>
          <w:iCs/>
          <w:strike/>
          <w:sz w:val="22"/>
          <w:szCs w:val="22"/>
        </w:rPr>
      </w:pPr>
      <w:r>
        <w:rPr>
          <w:iCs/>
          <w:sz w:val="22"/>
          <w:szCs w:val="22"/>
        </w:rPr>
        <w:t xml:space="preserve">The study took place at </w:t>
      </w:r>
      <w:r w:rsidR="006E3D2B">
        <w:rPr>
          <w:iCs/>
          <w:sz w:val="22"/>
          <w:szCs w:val="22"/>
        </w:rPr>
        <w:t xml:space="preserve">a large London </w:t>
      </w:r>
      <w:r w:rsidR="00BD1DFD">
        <w:rPr>
          <w:iCs/>
          <w:sz w:val="22"/>
          <w:szCs w:val="22"/>
        </w:rPr>
        <w:t>NHS Trust</w:t>
      </w:r>
      <w:r w:rsidR="006E3D2B">
        <w:rPr>
          <w:iCs/>
          <w:sz w:val="22"/>
          <w:szCs w:val="22"/>
        </w:rPr>
        <w:t xml:space="preserve">, with </w:t>
      </w:r>
      <w:r>
        <w:rPr>
          <w:iCs/>
          <w:sz w:val="22"/>
          <w:szCs w:val="22"/>
        </w:rPr>
        <w:t>1500 bed</w:t>
      </w:r>
      <w:r w:rsidR="006E3D2B">
        <w:rPr>
          <w:iCs/>
          <w:sz w:val="22"/>
          <w:szCs w:val="22"/>
        </w:rPr>
        <w:t xml:space="preserve">s, </w:t>
      </w:r>
      <w:r>
        <w:rPr>
          <w:iCs/>
          <w:sz w:val="22"/>
          <w:szCs w:val="22"/>
        </w:rPr>
        <w:t>serv</w:t>
      </w:r>
      <w:r w:rsidR="006E3D2B">
        <w:rPr>
          <w:iCs/>
          <w:sz w:val="22"/>
          <w:szCs w:val="22"/>
        </w:rPr>
        <w:t>ing</w:t>
      </w:r>
      <w:r>
        <w:rPr>
          <w:iCs/>
          <w:sz w:val="22"/>
          <w:szCs w:val="22"/>
        </w:rPr>
        <w:t xml:space="preserve"> a population of over 2 million </w:t>
      </w:r>
      <w:r w:rsidR="004C2D62">
        <w:rPr>
          <w:iCs/>
          <w:sz w:val="22"/>
          <w:szCs w:val="22"/>
        </w:rPr>
        <w:t xml:space="preserve">people </w:t>
      </w:r>
      <w:r>
        <w:rPr>
          <w:iCs/>
          <w:sz w:val="22"/>
          <w:szCs w:val="22"/>
        </w:rPr>
        <w:t>and compris</w:t>
      </w:r>
      <w:r w:rsidR="006E3D2B">
        <w:rPr>
          <w:iCs/>
          <w:sz w:val="22"/>
          <w:szCs w:val="22"/>
        </w:rPr>
        <w:t>ing</w:t>
      </w:r>
      <w:r>
        <w:rPr>
          <w:iCs/>
          <w:sz w:val="22"/>
          <w:szCs w:val="22"/>
        </w:rPr>
        <w:t xml:space="preserve"> three major hospital</w:t>
      </w:r>
      <w:r w:rsidR="006E3D2B">
        <w:rPr>
          <w:iCs/>
          <w:sz w:val="22"/>
          <w:szCs w:val="22"/>
        </w:rPr>
        <w:t xml:space="preserve"> sites</w:t>
      </w:r>
      <w:r w:rsidR="00363FD7">
        <w:rPr>
          <w:iCs/>
          <w:sz w:val="22"/>
          <w:szCs w:val="22"/>
        </w:rPr>
        <w:t xml:space="preserve"> that</w:t>
      </w:r>
      <w:r>
        <w:rPr>
          <w:iCs/>
          <w:sz w:val="22"/>
          <w:szCs w:val="22"/>
        </w:rPr>
        <w:t xml:space="preserve"> contain both medical and surgical specialties. The CDSS was implemented across the unified </w:t>
      </w:r>
      <w:r w:rsidR="00D4792A">
        <w:rPr>
          <w:iCs/>
          <w:sz w:val="22"/>
          <w:szCs w:val="22"/>
        </w:rPr>
        <w:t>information technology</w:t>
      </w:r>
      <w:r>
        <w:rPr>
          <w:iCs/>
          <w:sz w:val="22"/>
          <w:szCs w:val="22"/>
        </w:rPr>
        <w:t xml:space="preserve"> infrastructure and was used by six members of </w:t>
      </w:r>
      <w:r w:rsidR="006E3D2B">
        <w:rPr>
          <w:iCs/>
          <w:sz w:val="22"/>
          <w:szCs w:val="22"/>
        </w:rPr>
        <w:t xml:space="preserve">specialist medical </w:t>
      </w:r>
      <w:r>
        <w:rPr>
          <w:iCs/>
          <w:sz w:val="22"/>
          <w:szCs w:val="22"/>
        </w:rPr>
        <w:t>staff</w:t>
      </w:r>
      <w:r w:rsidR="005C05EE">
        <w:rPr>
          <w:iCs/>
          <w:sz w:val="22"/>
          <w:szCs w:val="22"/>
        </w:rPr>
        <w:t>.</w:t>
      </w:r>
      <w:r>
        <w:rPr>
          <w:iCs/>
          <w:sz w:val="22"/>
          <w:szCs w:val="22"/>
        </w:rPr>
        <w:t xml:space="preserve"> </w:t>
      </w:r>
      <w:r w:rsidR="00D063F3">
        <w:rPr>
          <w:iCs/>
          <w:sz w:val="22"/>
          <w:szCs w:val="22"/>
        </w:rPr>
        <w:t xml:space="preserve">These members were </w:t>
      </w:r>
      <w:r w:rsidR="00AC2364">
        <w:rPr>
          <w:iCs/>
          <w:sz w:val="22"/>
          <w:szCs w:val="22"/>
        </w:rPr>
        <w:t xml:space="preserve">infection trained and received training prior to using the system. Training was standardised, using six off-line cases that the members of staff worked through with supervision from a member of the research team (BH). </w:t>
      </w:r>
    </w:p>
    <w:p w14:paraId="35805AC6" w14:textId="18273A8B" w:rsidR="005909FF" w:rsidRDefault="005909FF" w:rsidP="0066786E">
      <w:pPr>
        <w:spacing w:line="480" w:lineRule="auto"/>
        <w:jc w:val="both"/>
        <w:rPr>
          <w:iCs/>
          <w:sz w:val="22"/>
          <w:szCs w:val="22"/>
        </w:rPr>
      </w:pPr>
    </w:p>
    <w:p w14:paraId="33FDAD74" w14:textId="283D6DF2" w:rsidR="005909FF" w:rsidRPr="000F0997" w:rsidRDefault="000F0997" w:rsidP="0066786E">
      <w:pPr>
        <w:spacing w:line="480" w:lineRule="auto"/>
        <w:jc w:val="both"/>
        <w:rPr>
          <w:i/>
          <w:sz w:val="22"/>
          <w:szCs w:val="22"/>
        </w:rPr>
      </w:pPr>
      <w:r>
        <w:rPr>
          <w:i/>
          <w:sz w:val="22"/>
          <w:szCs w:val="22"/>
        </w:rPr>
        <w:t>Clinical decision support system</w:t>
      </w:r>
    </w:p>
    <w:p w14:paraId="5073AB95" w14:textId="50E07916" w:rsidR="000F0997" w:rsidRDefault="000F0997" w:rsidP="000F0997">
      <w:pPr>
        <w:spacing w:after="200" w:line="480" w:lineRule="auto"/>
        <w:jc w:val="both"/>
        <w:rPr>
          <w:sz w:val="22"/>
          <w:szCs w:val="22"/>
        </w:rPr>
      </w:pPr>
      <w:r>
        <w:rPr>
          <w:color w:val="000000" w:themeColor="text1"/>
          <w:sz w:val="22"/>
          <w:szCs w:val="22"/>
        </w:rPr>
        <w:t xml:space="preserve">The </w:t>
      </w:r>
      <w:r w:rsidR="008767C1">
        <w:rPr>
          <w:color w:val="000000" w:themeColor="text1"/>
          <w:sz w:val="22"/>
          <w:szCs w:val="22"/>
        </w:rPr>
        <w:t>CDSS</w:t>
      </w:r>
      <w:r>
        <w:rPr>
          <w:color w:val="000000" w:themeColor="text1"/>
          <w:sz w:val="22"/>
          <w:szCs w:val="22"/>
        </w:rPr>
        <w:t xml:space="preserve"> used within this study is a</w:t>
      </w:r>
      <w:r w:rsidR="00363FD7">
        <w:rPr>
          <w:color w:val="000000" w:themeColor="text1"/>
          <w:sz w:val="22"/>
          <w:szCs w:val="22"/>
        </w:rPr>
        <w:t>n in-house designed,</w:t>
      </w:r>
      <w:r>
        <w:rPr>
          <w:color w:val="000000" w:themeColor="text1"/>
          <w:sz w:val="22"/>
          <w:szCs w:val="22"/>
        </w:rPr>
        <w:t xml:space="preserve"> </w:t>
      </w:r>
      <w:r w:rsidR="0051026B" w:rsidRPr="00D81624">
        <w:rPr>
          <w:color w:val="222222"/>
          <w:sz w:val="22"/>
          <w:szCs w:val="22"/>
          <w:shd w:val="clear" w:color="auto" w:fill="FFFFFF"/>
        </w:rPr>
        <w:t xml:space="preserve">Conformité Européene </w:t>
      </w:r>
      <w:r w:rsidR="0051026B" w:rsidRPr="0051026B">
        <w:rPr>
          <w:color w:val="000000" w:themeColor="text1"/>
          <w:sz w:val="22"/>
          <w:szCs w:val="22"/>
        </w:rPr>
        <w:t>(</w:t>
      </w:r>
      <w:r>
        <w:rPr>
          <w:color w:val="000000" w:themeColor="text1"/>
          <w:sz w:val="22"/>
          <w:szCs w:val="22"/>
        </w:rPr>
        <w:t>CE</w:t>
      </w:r>
      <w:r w:rsidR="0051026B">
        <w:rPr>
          <w:color w:val="000000" w:themeColor="text1"/>
          <w:sz w:val="22"/>
          <w:szCs w:val="22"/>
        </w:rPr>
        <w:t>)</w:t>
      </w:r>
      <w:r w:rsidR="00D17280">
        <w:rPr>
          <w:color w:val="000000" w:themeColor="text1"/>
          <w:sz w:val="22"/>
          <w:szCs w:val="22"/>
        </w:rPr>
        <w:t xml:space="preserve"> certification</w:t>
      </w:r>
      <w:r>
        <w:rPr>
          <w:color w:val="000000" w:themeColor="text1"/>
          <w:sz w:val="22"/>
          <w:szCs w:val="22"/>
        </w:rPr>
        <w:t xml:space="preserve"> marked device.</w:t>
      </w:r>
      <w:r w:rsidR="0051026B">
        <w:rPr>
          <w:color w:val="000000" w:themeColor="text1"/>
          <w:sz w:val="22"/>
          <w:szCs w:val="22"/>
        </w:rPr>
        <w:t xml:space="preserve"> CE marking indicates that the device conforms with health, safety, and environmental protection standards </w:t>
      </w:r>
      <w:r w:rsidR="002673AB">
        <w:rPr>
          <w:color w:val="000000" w:themeColor="text1"/>
          <w:sz w:val="22"/>
          <w:szCs w:val="22"/>
        </w:rPr>
        <w:t>of the</w:t>
      </w:r>
      <w:r w:rsidR="0051026B">
        <w:rPr>
          <w:color w:val="000000" w:themeColor="text1"/>
          <w:sz w:val="22"/>
          <w:szCs w:val="22"/>
        </w:rPr>
        <w:t xml:space="preserve"> European Economic Area.</w:t>
      </w:r>
      <w:r>
        <w:rPr>
          <w:color w:val="000000" w:themeColor="text1"/>
          <w:sz w:val="22"/>
          <w:szCs w:val="22"/>
        </w:rPr>
        <w:t xml:space="preserve"> </w:t>
      </w:r>
      <w:r w:rsidRPr="0035263C">
        <w:rPr>
          <w:sz w:val="22"/>
          <w:szCs w:val="22"/>
        </w:rPr>
        <w:t xml:space="preserve">The interface was designed to run across all internet browsers and is responsive to changes in screen size. Data stored within the CDSS resides only on the server side. Data is stored with patient name and hospital numbers replaced using a SHA#256 pseudo-anonymisation protocol. </w:t>
      </w:r>
    </w:p>
    <w:p w14:paraId="588726A7" w14:textId="744D288A" w:rsidR="000F0997" w:rsidRPr="0035263C" w:rsidRDefault="000F0997" w:rsidP="000F0997">
      <w:pPr>
        <w:spacing w:line="480" w:lineRule="auto"/>
        <w:jc w:val="both"/>
        <w:rPr>
          <w:sz w:val="22"/>
          <w:szCs w:val="22"/>
        </w:rPr>
      </w:pPr>
      <w:r w:rsidRPr="0035263C">
        <w:rPr>
          <w:b/>
          <w:sz w:val="22"/>
          <w:szCs w:val="22"/>
        </w:rPr>
        <w:t>Figure 1</w:t>
      </w:r>
      <w:r w:rsidRPr="0035263C">
        <w:rPr>
          <w:sz w:val="22"/>
          <w:szCs w:val="22"/>
        </w:rPr>
        <w:t xml:space="preserve"> outlines the core features of the CDSS graphical user interface. The interface was designed based on clinician</w:t>
      </w:r>
      <w:r>
        <w:rPr>
          <w:sz w:val="22"/>
          <w:szCs w:val="22"/>
        </w:rPr>
        <w:t>s</w:t>
      </w:r>
      <w:r w:rsidRPr="0035263C">
        <w:rPr>
          <w:sz w:val="22"/>
          <w:szCs w:val="22"/>
        </w:rPr>
        <w:t>’ routine workflow. It is divided into two frames. The main</w:t>
      </w:r>
      <w:r>
        <w:rPr>
          <w:sz w:val="22"/>
          <w:szCs w:val="22"/>
        </w:rPr>
        <w:t xml:space="preserve"> </w:t>
      </w:r>
      <w:r w:rsidRPr="0035263C">
        <w:rPr>
          <w:sz w:val="22"/>
          <w:szCs w:val="22"/>
        </w:rPr>
        <w:t>frame facilitates input and review of real-time patient information and comparison to previous cases. This includes clinical examination findings, pathology and microbiology results, as well as antimicrobial prescribing information</w:t>
      </w:r>
      <w:r w:rsidR="008E6733">
        <w:rPr>
          <w:sz w:val="22"/>
          <w:szCs w:val="22"/>
        </w:rPr>
        <w:t>, which are input and automatically populated on the device in real-time</w:t>
      </w:r>
      <w:r w:rsidRPr="0035263C">
        <w:rPr>
          <w:sz w:val="22"/>
          <w:szCs w:val="22"/>
        </w:rPr>
        <w:t xml:space="preserve">. </w:t>
      </w:r>
      <w:r w:rsidR="00BD1DFD">
        <w:rPr>
          <w:sz w:val="22"/>
          <w:szCs w:val="22"/>
        </w:rPr>
        <w:t xml:space="preserve">A supervised machine learning tool </w:t>
      </w:r>
      <w:r w:rsidR="001E531A">
        <w:rPr>
          <w:sz w:val="22"/>
          <w:szCs w:val="22"/>
        </w:rPr>
        <w:t xml:space="preserve">also </w:t>
      </w:r>
      <w:r w:rsidR="00BD1DFD">
        <w:rPr>
          <w:sz w:val="22"/>
          <w:szCs w:val="22"/>
        </w:rPr>
        <w:t>provides support on the likelihood of infection being present.</w:t>
      </w:r>
      <w:r w:rsidR="00E77EEF">
        <w:rPr>
          <w:sz w:val="22"/>
          <w:szCs w:val="22"/>
        </w:rPr>
        <w:fldChar w:fldCharType="begin" w:fldLock="1"/>
      </w:r>
      <w:r w:rsidR="001E7A17">
        <w:rPr>
          <w:sz w:val="22"/>
          <w:szCs w:val="22"/>
        </w:rPr>
        <w:instrText>ADDIN CSL_CITATION { "citationItems" : [ { "id" : "ITEM-1", "itemData" : { "DOI" : "10.1186/s12911-017-0550-1", "ISSN" : "1472-6947", "PMID" : "29216923", "abstract" : "BACKGROUND Antimicrobial Resistance is threatening our ability to treat common infectious diseases and overuse of antimicrobials to treat human infections in hospitals is accelerating this process. Clinical Decision Support Systems (CDSSs) have been proven to enhance quality of care by promoting change in prescription practices through antimicrobial selection advice. However, bypassing an initial assessment to determine the existence of an underlying disease that justifies the need of antimicrobial therapy might lead to indiscriminate and often unnecessary prescriptions. METHODS From pathology laboratory tests, six biochemical markers were selected and combined with microbiology outcomes from susceptibility tests to create a unique dataset with over one and a half million daily profiles to perform infection risk inference. Outliers were discarded using the inter-quartile range rule and several sampling techniques were studied to tackle the class imbalance problem. The first phase selects the most effective and robust model during training using ten-fold stratified cross-validation. The second phase evaluates the final model after isotonic calibration in scenarios with missing inputs and imbalanced class distributions. RESULTS More than 50% of infected profiles have daily requested laboratory tests for the six biochemical markers with very promising infection inference results: area under the receiver operating characteristic curve (0.80-0.83), sensitivity (0.64-0.75) and specificity (0.92-0.97). Standardization consistently outperforms normalization and sensitivity is enhanced by using the SMOTE sampling technique. Furthermore, models operated without noticeable loss in performance if at least four biomarkers were available. CONCLUSION The selected biomarkers comprise enough information to perform infection risk inference with a high degree of confidence even in the presence of incomplete and imbalanced data. Since they are commonly available in hospitals, Clinical Decision Support Systems could benefit from these findings to assist clinicians in deciding whether or not to initiate antimicrobial therapy to improve prescription practices.", "author" : [ { "dropping-particle" : "", "family" : "Hernandez", "given" : "Bernard", "non-dropping-particle" : "", "parse-names" : false, "suffix" : "" }, { "dropping-particle" : "", "family" : "Herrero", "given" : "Pau", "non-dropping-particle" : "", "parse-names" : false, "suffix" : "" }, { "dropping-particle" : "", "family" : "Rawson", "given" : "Timothy Miles", "non-dropping-particle" : "", "parse-names" : false, "suffix" : "" }, { "dropping-particle" : "", "family" : "Moore", "given" : "Luke S P", "non-dropping-particle" : "", "parse-names" : false, "suffix" : "" }, { "dropping-particle" : "", "family" : "Evans", "given" : "Benjamin", "non-dropping-particle" : "", "parse-names" : false, "suffix" : "" }, { "dropping-particle" : "", "family" : "Toumazou", "given" : "Christofer", "non-dropping-particle" : "", "parse-names" : false, "suffix" : "" }, { "dropping-particle" : "", "family" : "Holmes", "given" : "Alison H", "non-dropping-particle" : "", "parse-names" : false, "suffix" : "" }, { "dropping-particle" : "", "family" : "Georgiou", "given" : "Pantelis", "non-dropping-particle" : "", "parse-names" : false, "suffix" : "" } ], "container-title" : "BMC medical informatics and decision making", "id" : "ITEM-1", "issue" : "1", "issued" : { "date-parts" : [ [ "2017", "12", "8" ] ] }, "page" : "168", "title" : "Supervised learning for infection risk inference using pathology data.", "type" : "article-journal", "volume" : "17" }, "uris" : [ "http://www.mendeley.com/documents/?uuid=d9d3c723-b283-3efe-98be-5c1944ad02ad" ] }, { "id" : "ITEM-2", "itemData" : { "DOI" : "10.1093/jac/dky514", "ISSN" : "0305-7453", "abstract" : "Background: Infection diagnosis can be challenging, relying on clinical judgement and non-specific markers of infection. We evaluated a supervised machine learning (SML) algorithm for diagnosing bacterial infection using routinely available blood parameters on presentation to hospital. Methods: An SML algorithm was developed to classify cases into infection versus no infection using microbiology records and six available blood parameters (C-reactive protein, white cell count, bilirubin, creatinine, ALT and alkaline phosphatase) from 160203 individuals. A cohort of patients admitted to hospital over a 6 month period had their admission blood parameters prospectively inputted into the SML algorithm. They were prospectively followed up from admission to classify those who fulfilled clinical case criteria for a community-acquired bacterial infection within 72 h of admission using a predetermined definition. Predictive ability was assessed using receiver operating characteristics (ROC) with cutoff values for optimal sensitivity and specificity explored. Results: One hundred and four individuals were included prospectively. The median (range) cohort age was 65 (21-98) years. The majority were female (56/104; 54%). Thirty-six (35%) were diagnosed with infection in the first 72 h of admission. Overall, 44/104 (42%) individuals had microbiological investigations performed. Treatment was prescribed for 33/36 (92%) of infected individuals and 4/68 (6%) of those with no identifiable bacterial infection. Mean (SD) likelihood estimates for those with and without infection were significantly different. The infection group had a likelihood of 0.80 (0.09) and the non-infection group 0.50 (0.29) (P , 0.01; 95% CI: 0.20-0.40). ROC AUC was 0.84 (95% CI: 0.76-0.91).", "author" : [ { "dropping-particle" : "", "family" : "Rawson", "given" : "T M", "non-dropping-particle" : "", "parse-names" : false, "suffix" : "" }, { "dropping-particle" : "", "family" : "Hernandez", "given" : "B", "non-dropping-particle" : "", "parse-names" : false, "suffix" : "" }, { "dropping-particle" : "", "family" : "Moore", "given" : "L S P", "non-dropping-particle" : "", "parse-names" : false, "suffix" : "" }, { "dropping-particle" : "", "family" : "Blandy", "given" : "O", "non-dropping-particle" : "", "parse-names" : false, "suffix" : "" }, { "dropping-particle" : "", "family" : "Herrero", "given" : "P", "non-dropping-particle" : "", "parse-names" : false, "suffix" : "" }, { "dropping-particle" : "", "family" : "Gilchrist", "given" : "M", "non-dropping-particle" : "", "parse-names" : false, "suffix" : "" }, { "dropping-particle" : "", "family" : "Gordon", "given" : "A", "non-dropping-particle" : "", "parse-names" : false, "suffix" : "" }, { "dropping-particle" : "", "family" : "Toumazou", "given" : "C", "non-dropping-particle" : "", "parse-names" : false, "suffix" : "" }, { "dropping-particle" : "", "family" : "Sriskandan", "given" : "S", "non-dropping-particle" : "", "parse-names" : false, "suffix" : "" }, { "dropping-particle" : "", "family" : "Georgiou", "given" : "P", "non-dropping-particle" : "", "parse-names" : false, "suffix" : "" }, { "dropping-particle" : "", "family" : "Holmes", "given" : "A H", "non-dropping-particle" : "", "parse-names" : false, "suffix" : "" } ], "container-title" : "Journal of Antimicrobial Chemotherapy", "id" : "ITEM-2", "issue" : "4", "issued" : { "date-parts" : [ [ "2019", "4", "1" ] ] }, "page" : "1108-1115", "title" : "Supervised machine learning for the prediction of infection on admission to hospital: a prospective observational cohort study", "type" : "article-journal", "volume" : "74" }, "uris" : [ "http://www.mendeley.com/documents/?uuid=f2fa841a-3ffc-321c-8dbf-4d95ac7875b9" ] } ], "mendeley" : { "formattedCitation" : "[47,48]", "plainTextFormattedCitation" : "[47,48]", "previouslyFormattedCitation" : "[47,48]" }, "properties" : {  }, "schema" : "https://github.com/citation-style-language/schema/raw/master/csl-citation.json" }</w:instrText>
      </w:r>
      <w:r w:rsidR="00E77EEF">
        <w:rPr>
          <w:sz w:val="22"/>
          <w:szCs w:val="22"/>
        </w:rPr>
        <w:fldChar w:fldCharType="separate"/>
      </w:r>
      <w:r w:rsidR="001E7A17" w:rsidRPr="001E7A17">
        <w:rPr>
          <w:noProof/>
          <w:sz w:val="22"/>
          <w:szCs w:val="22"/>
        </w:rPr>
        <w:t>[47,48]</w:t>
      </w:r>
      <w:r w:rsidR="00E77EEF">
        <w:rPr>
          <w:sz w:val="22"/>
          <w:szCs w:val="22"/>
        </w:rPr>
        <w:fldChar w:fldCharType="end"/>
      </w:r>
      <w:r w:rsidR="00BD1DFD">
        <w:rPr>
          <w:sz w:val="22"/>
          <w:szCs w:val="22"/>
        </w:rPr>
        <w:t xml:space="preserve"> </w:t>
      </w:r>
    </w:p>
    <w:p w14:paraId="231261A1" w14:textId="77777777" w:rsidR="008579A9" w:rsidRPr="008579A9" w:rsidRDefault="008579A9" w:rsidP="0066786E">
      <w:pPr>
        <w:spacing w:line="480" w:lineRule="auto"/>
        <w:jc w:val="both"/>
        <w:rPr>
          <w:iCs/>
          <w:sz w:val="22"/>
          <w:szCs w:val="22"/>
        </w:rPr>
      </w:pPr>
    </w:p>
    <w:p w14:paraId="6430AD1D" w14:textId="575187F8" w:rsidR="00A22787" w:rsidRDefault="0066786E" w:rsidP="000F0997">
      <w:pPr>
        <w:spacing w:line="480" w:lineRule="auto"/>
        <w:jc w:val="both"/>
        <w:rPr>
          <w:sz w:val="22"/>
          <w:szCs w:val="22"/>
        </w:rPr>
      </w:pPr>
      <w:r w:rsidRPr="00E77EEF">
        <w:rPr>
          <w:sz w:val="22"/>
          <w:szCs w:val="22"/>
        </w:rPr>
        <w:t>Within the CDSS server</w:t>
      </w:r>
      <w:r w:rsidR="008767C1">
        <w:rPr>
          <w:sz w:val="22"/>
          <w:szCs w:val="22"/>
        </w:rPr>
        <w:t>,</w:t>
      </w:r>
      <w:r w:rsidRPr="00E77EEF">
        <w:rPr>
          <w:sz w:val="22"/>
          <w:szCs w:val="22"/>
        </w:rPr>
        <w:t xml:space="preserve"> a CBR algorithm was developed and integrated. </w:t>
      </w:r>
      <w:r w:rsidR="00E77EEF" w:rsidRPr="00E77EEF">
        <w:rPr>
          <w:sz w:val="22"/>
          <w:szCs w:val="22"/>
        </w:rPr>
        <w:t xml:space="preserve">CBR aims to solve a new problem by </w:t>
      </w:r>
      <w:r w:rsidR="00E77EEF" w:rsidRPr="004C2D62">
        <w:rPr>
          <w:sz w:val="22"/>
          <w:szCs w:val="22"/>
        </w:rPr>
        <w:t>reusing,</w:t>
      </w:r>
      <w:r w:rsidR="00E77EEF" w:rsidRPr="004C2D62">
        <w:rPr>
          <w:sz w:val="22"/>
          <w:szCs w:val="22"/>
          <w:shd w:val="clear" w:color="auto" w:fill="FFFFFF"/>
        </w:rPr>
        <w:t xml:space="preserve"> and if necessary, adapting, the solutions to similar problems that </w:t>
      </w:r>
      <w:r w:rsidR="00E77EEF" w:rsidRPr="004C2D62">
        <w:rPr>
          <w:sz w:val="22"/>
          <w:szCs w:val="22"/>
          <w:shd w:val="clear" w:color="auto" w:fill="FFFFFF"/>
        </w:rPr>
        <w:lastRenderedPageBreak/>
        <w:t>were solved in the pas</w:t>
      </w:r>
      <w:r w:rsidR="008767C1" w:rsidRPr="004C2D62">
        <w:rPr>
          <w:sz w:val="22"/>
          <w:szCs w:val="22"/>
          <w:shd w:val="clear" w:color="auto" w:fill="FFFFFF"/>
        </w:rPr>
        <w:t>t</w:t>
      </w:r>
      <w:r w:rsidR="00BD1DFD" w:rsidRPr="004C2D62">
        <w:rPr>
          <w:sz w:val="22"/>
          <w:szCs w:val="22"/>
        </w:rPr>
        <w:t>.</w:t>
      </w:r>
      <w:r w:rsidR="00A22787" w:rsidRPr="004C2D62">
        <w:rPr>
          <w:sz w:val="22"/>
          <w:szCs w:val="22"/>
        </w:rPr>
        <w:fldChar w:fldCharType="begin" w:fldLock="1"/>
      </w:r>
      <w:r w:rsidR="001E7A17">
        <w:rPr>
          <w:sz w:val="22"/>
          <w:szCs w:val="22"/>
        </w:rPr>
        <w:instrText>ADDIN CSL_CITATION { "citationItems" : [ { "id" : "ITEM-1", "itemData" : { "DOI" : "10.1017/S0269888900007098", "abstract" : "Case-Based Reasoning (CBR) is a relatively recent problem solving technique that is attracting increasing attention. However, the number of people with first-hand theoretical or practical experience of CBR is still small. The main objective of this review is to provide a comprehensive overview of the subject to people new to CBR. The paper outlines the development of CBR in the US in the 1980s. Tt describes the fundamental techniques of CBR and contrasts its approach to that of model-based reasoning systems. 1 A critical review of currently available CBR software tools is followed by descriptions of CBR applications both from academic research and, in more detail, three CBR systems that are presently being used commercially. Each of the three commercial case studies highlights features that made CBR particularly suitable for the application. Moreover, the last case study describes a development methodology for implementing CBR systems. The paper concludes with a research agenda for CBR. A detailed categorized bibliography of CBR research is provided in a companion paper (Marir &amp; Watson, 1994).", "author" : [ { "dropping-particle" : "", "family" : "Watson", "given" : "Ian", "non-dropping-particle" : "", "parse-names" : false, "suffix" : "" }, { "dropping-particle" : "", "family" : "Marir", "given" : "Farhi", "non-dropping-particle" : "", "parse-names" : false, "suffix" : "" } ], "container-title" : "The Knowledge Engineering Review", "id" : "ITEM-1", "issued" : { "date-parts" : [ [ "2017" ] ] }, "page" : "327-354", "title" : "Case-based reasoning: A review", "type" : "article-journal", "volume" : "94" }, "uris" : [ "http://www.mendeley.com/documents/?uuid=811dfd00-d3e7-3e90-a3b9-5f97a1bb2e22" ] } ], "mendeley" : { "formattedCitation" : "[49]", "plainTextFormattedCitation" : "[49]", "previouslyFormattedCitation" : "[49]" }, "properties" : {  }, "schema" : "https://github.com/citation-style-language/schema/raw/master/csl-citation.json" }</w:instrText>
      </w:r>
      <w:r w:rsidR="00A22787" w:rsidRPr="004C2D62">
        <w:rPr>
          <w:sz w:val="22"/>
          <w:szCs w:val="22"/>
        </w:rPr>
        <w:fldChar w:fldCharType="separate"/>
      </w:r>
      <w:r w:rsidR="001E7A17" w:rsidRPr="001E7A17">
        <w:rPr>
          <w:noProof/>
          <w:sz w:val="22"/>
          <w:szCs w:val="22"/>
        </w:rPr>
        <w:t>[49]</w:t>
      </w:r>
      <w:r w:rsidR="00A22787" w:rsidRPr="004C2D62">
        <w:rPr>
          <w:sz w:val="22"/>
          <w:szCs w:val="22"/>
        </w:rPr>
        <w:fldChar w:fldCharType="end"/>
      </w:r>
      <w:r w:rsidR="00A22787" w:rsidRPr="004C2D62">
        <w:rPr>
          <w:sz w:val="22"/>
          <w:szCs w:val="22"/>
        </w:rPr>
        <w:t xml:space="preserve"> </w:t>
      </w:r>
      <w:r w:rsidRPr="004C2D62">
        <w:rPr>
          <w:sz w:val="22"/>
          <w:szCs w:val="22"/>
        </w:rPr>
        <w:t xml:space="preserve"> </w:t>
      </w:r>
      <w:r w:rsidR="00A22787" w:rsidRPr="004C2D62">
        <w:rPr>
          <w:sz w:val="22"/>
          <w:szCs w:val="22"/>
        </w:rPr>
        <w:t>The CBR cycle, is dependent on the case-base to provide prior knowledge from which it assesses and adapts previous knowledge to make recommendations for the current, new cases.</w:t>
      </w:r>
      <w:r w:rsidR="001E531A" w:rsidRPr="004C2D62">
        <w:rPr>
          <w:sz w:val="22"/>
          <w:szCs w:val="22"/>
        </w:rPr>
        <w:fldChar w:fldCharType="begin" w:fldLock="1"/>
      </w:r>
      <w:r w:rsidR="001E531A">
        <w:rPr>
          <w:sz w:val="22"/>
          <w:szCs w:val="22"/>
        </w:rPr>
        <w:instrText>ADDIN CSL_CITATION { "citationItems" : [ { "id" : "ITEM-1", "itemData" : { "abstract" : "Case-based reasoning is a recent approach to problem solving and learning that has got a lot of attention over the last few years. Originating in the US, the basic idea and underlying theories have spread to other continents, and we are now within a period of highly active research in case-based reasoning in Europe, as well. This paper gives an overview of the foundational issues related to case-based reasoning, describes some of the leading methodo-logical approaches within the field, and exemplifies the current state through pointers to some systems. Initially, a general framework is defined, to which the subsequent descriptions and discussions will refer. The framework is influenced by recent methodologies for knowledge level descriptions of intelligent systems. The methods for case retrieval, reuse, solution testing, and learning are summa-rized, and their actual realization is discussed in the light of a few example systems that represent different CBR approaches. We also discuss the role of case-based meth-ods as one type of reasoning and learning method within an integrated system architecture.", "author" : [ { "dropping-particle" : "", "family" : "Aamodt", "given" : "Agnar", "non-dropping-particle" : "", "parse-names" : false, "suffix" : "" }, { "dropping-particle" : "", "family" : "Plaza", "given" : "Enric", "non-dropping-particle" : "", "parse-names" : false, "suffix" : "" } ], "container-title" : "AI Communications", "id" : "ITEM-1", "issue" : "1", "issued" : { "date-parts" : [ [ "1994" ] ] }, "page" : "39-59", "title" : "Case-Based Reasoning: Foundational Issues, Methodological Variations, and System Approaches", "type" : "article-journal", "volume" : "7" }, "uris" : [ "http://www.mendeley.com/documents/?uuid=081a09f6-4336-349c-8384-c7ea40c00518" ] } ], "mendeley" : { "formattedCitation" : "[50]", "plainTextFormattedCitation" : "[50]", "previouslyFormattedCitation" : "[50]" }, "properties" : {  }, "schema" : "https://github.com/citation-style-language/schema/raw/master/csl-citation.json" }</w:instrText>
      </w:r>
      <w:r w:rsidR="001E531A" w:rsidRPr="004C2D62">
        <w:rPr>
          <w:sz w:val="22"/>
          <w:szCs w:val="22"/>
        </w:rPr>
        <w:fldChar w:fldCharType="separate"/>
      </w:r>
      <w:r w:rsidR="001E531A" w:rsidRPr="001E7A17">
        <w:rPr>
          <w:noProof/>
          <w:sz w:val="22"/>
          <w:szCs w:val="22"/>
        </w:rPr>
        <w:t>[50]</w:t>
      </w:r>
      <w:r w:rsidR="001E531A" w:rsidRPr="004C2D62">
        <w:rPr>
          <w:sz w:val="22"/>
          <w:szCs w:val="22"/>
        </w:rPr>
        <w:fldChar w:fldCharType="end"/>
      </w:r>
      <w:r w:rsidR="00A22787" w:rsidRPr="004C2D62">
        <w:rPr>
          <w:sz w:val="22"/>
          <w:szCs w:val="22"/>
        </w:rPr>
        <w:t xml:space="preserve"> </w:t>
      </w:r>
      <w:r w:rsidR="00C41242">
        <w:rPr>
          <w:sz w:val="22"/>
          <w:szCs w:val="22"/>
        </w:rPr>
        <w:t>The</w:t>
      </w:r>
      <w:r w:rsidR="000F0997">
        <w:rPr>
          <w:sz w:val="22"/>
          <w:szCs w:val="22"/>
        </w:rPr>
        <w:t xml:space="preserve"> core variables available within the CBR algorithm are described in </w:t>
      </w:r>
      <w:r w:rsidR="000F0997">
        <w:rPr>
          <w:b/>
          <w:bCs/>
          <w:sz w:val="22"/>
          <w:szCs w:val="22"/>
        </w:rPr>
        <w:t xml:space="preserve">Table </w:t>
      </w:r>
      <w:r w:rsidR="00E55BF7">
        <w:rPr>
          <w:b/>
          <w:bCs/>
          <w:sz w:val="22"/>
          <w:szCs w:val="22"/>
        </w:rPr>
        <w:t>1</w:t>
      </w:r>
      <w:r w:rsidR="000F0997">
        <w:rPr>
          <w:sz w:val="22"/>
          <w:szCs w:val="22"/>
        </w:rPr>
        <w:t>.</w:t>
      </w:r>
    </w:p>
    <w:p w14:paraId="670BED29" w14:textId="4F961F4D" w:rsidR="000F0997" w:rsidRDefault="000F0997" w:rsidP="000F0997">
      <w:pPr>
        <w:spacing w:line="480" w:lineRule="auto"/>
        <w:jc w:val="both"/>
        <w:rPr>
          <w:sz w:val="22"/>
          <w:szCs w:val="22"/>
        </w:rPr>
      </w:pPr>
    </w:p>
    <w:p w14:paraId="4D3BABE8" w14:textId="46FB0703" w:rsidR="000F0997" w:rsidRPr="000F0997" w:rsidRDefault="000F0997" w:rsidP="000F0997">
      <w:pPr>
        <w:spacing w:line="480" w:lineRule="auto"/>
        <w:jc w:val="both"/>
        <w:rPr>
          <w:i/>
          <w:iCs/>
          <w:sz w:val="22"/>
          <w:szCs w:val="22"/>
        </w:rPr>
      </w:pPr>
      <w:r w:rsidRPr="000F0997">
        <w:rPr>
          <w:i/>
          <w:iCs/>
          <w:sz w:val="22"/>
          <w:szCs w:val="22"/>
        </w:rPr>
        <w:t>Participant inclusion</w:t>
      </w:r>
    </w:p>
    <w:p w14:paraId="271B65F1" w14:textId="0F192001" w:rsidR="00A17746" w:rsidRDefault="000F0997" w:rsidP="00A17746">
      <w:pPr>
        <w:spacing w:line="480" w:lineRule="auto"/>
        <w:jc w:val="both"/>
        <w:rPr>
          <w:i/>
          <w:iCs/>
          <w:sz w:val="22"/>
          <w:szCs w:val="22"/>
        </w:rPr>
      </w:pPr>
      <w:r>
        <w:rPr>
          <w:iCs/>
          <w:sz w:val="22"/>
          <w:szCs w:val="22"/>
        </w:rPr>
        <w:t xml:space="preserve">For </w:t>
      </w:r>
      <w:r w:rsidR="00511594">
        <w:rPr>
          <w:iCs/>
          <w:sz w:val="22"/>
          <w:szCs w:val="22"/>
        </w:rPr>
        <w:t>initial testing</w:t>
      </w:r>
      <w:r>
        <w:rPr>
          <w:iCs/>
          <w:sz w:val="22"/>
          <w:szCs w:val="22"/>
        </w:rPr>
        <w:t>, patients with confirmed</w:t>
      </w:r>
      <w:r w:rsidR="004B29D7">
        <w:rPr>
          <w:iCs/>
          <w:sz w:val="22"/>
          <w:szCs w:val="22"/>
        </w:rPr>
        <w:t xml:space="preserve"> </w:t>
      </w:r>
      <w:r w:rsidR="00511594" w:rsidRPr="00E37AED">
        <w:rPr>
          <w:i/>
          <w:sz w:val="22"/>
          <w:szCs w:val="22"/>
        </w:rPr>
        <w:t>E.coli</w:t>
      </w:r>
      <w:r w:rsidR="004B29D7">
        <w:rPr>
          <w:iCs/>
          <w:sz w:val="22"/>
          <w:szCs w:val="22"/>
        </w:rPr>
        <w:t xml:space="preserve"> blood stream</w:t>
      </w:r>
      <w:r>
        <w:rPr>
          <w:iCs/>
          <w:sz w:val="22"/>
          <w:szCs w:val="22"/>
        </w:rPr>
        <w:t xml:space="preserve"> infection</w:t>
      </w:r>
      <w:r w:rsidR="00363FD7">
        <w:rPr>
          <w:iCs/>
          <w:sz w:val="22"/>
          <w:szCs w:val="22"/>
        </w:rPr>
        <w:t xml:space="preserve"> identified</w:t>
      </w:r>
      <w:r>
        <w:rPr>
          <w:iCs/>
          <w:sz w:val="22"/>
          <w:szCs w:val="22"/>
        </w:rPr>
        <w:t xml:space="preserve"> through positive blood culture were</w:t>
      </w:r>
      <w:r w:rsidR="00BD1DFD">
        <w:rPr>
          <w:iCs/>
          <w:sz w:val="22"/>
          <w:szCs w:val="22"/>
        </w:rPr>
        <w:t xml:space="preserve"> identified and</w:t>
      </w:r>
      <w:r>
        <w:rPr>
          <w:iCs/>
          <w:sz w:val="22"/>
          <w:szCs w:val="22"/>
        </w:rPr>
        <w:t xml:space="preserve"> input into the CDSS. </w:t>
      </w:r>
      <w:r w:rsidR="00511594">
        <w:rPr>
          <w:iCs/>
          <w:sz w:val="22"/>
          <w:szCs w:val="22"/>
        </w:rPr>
        <w:t xml:space="preserve">Following </w:t>
      </w:r>
      <w:r w:rsidR="00441160">
        <w:rPr>
          <w:iCs/>
          <w:sz w:val="22"/>
          <w:szCs w:val="22"/>
        </w:rPr>
        <w:t>this</w:t>
      </w:r>
      <w:r w:rsidR="00345AAD">
        <w:rPr>
          <w:iCs/>
          <w:sz w:val="22"/>
          <w:szCs w:val="22"/>
        </w:rPr>
        <w:t xml:space="preserve">, </w:t>
      </w:r>
      <w:r w:rsidR="004E2E25">
        <w:rPr>
          <w:iCs/>
          <w:sz w:val="22"/>
          <w:szCs w:val="22"/>
        </w:rPr>
        <w:t>physicians</w:t>
      </w:r>
      <w:r w:rsidR="007D6C89">
        <w:rPr>
          <w:iCs/>
          <w:sz w:val="22"/>
          <w:szCs w:val="22"/>
        </w:rPr>
        <w:t xml:space="preserve"> </w:t>
      </w:r>
      <w:r w:rsidR="00A17746">
        <w:rPr>
          <w:iCs/>
          <w:sz w:val="22"/>
          <w:szCs w:val="22"/>
        </w:rPr>
        <w:t xml:space="preserve">used the CDSS </w:t>
      </w:r>
      <w:r w:rsidR="008C27C7">
        <w:rPr>
          <w:iCs/>
          <w:sz w:val="22"/>
          <w:szCs w:val="22"/>
        </w:rPr>
        <w:t xml:space="preserve">prospectively </w:t>
      </w:r>
      <w:r w:rsidR="0064178C">
        <w:rPr>
          <w:iCs/>
          <w:sz w:val="22"/>
          <w:szCs w:val="22"/>
        </w:rPr>
        <w:t xml:space="preserve">inputting patient information </w:t>
      </w:r>
      <w:r w:rsidR="00A17746">
        <w:rPr>
          <w:iCs/>
          <w:sz w:val="22"/>
          <w:szCs w:val="22"/>
        </w:rPr>
        <w:t xml:space="preserve">during general medical </w:t>
      </w:r>
      <w:r w:rsidR="004E2E25">
        <w:rPr>
          <w:iCs/>
          <w:sz w:val="22"/>
          <w:szCs w:val="22"/>
        </w:rPr>
        <w:t>on-calls</w:t>
      </w:r>
      <w:r w:rsidR="00A17746">
        <w:rPr>
          <w:iCs/>
          <w:sz w:val="22"/>
          <w:szCs w:val="22"/>
        </w:rPr>
        <w:t>.</w:t>
      </w:r>
      <w:r w:rsidR="002673AB">
        <w:rPr>
          <w:iCs/>
          <w:sz w:val="22"/>
          <w:szCs w:val="22"/>
        </w:rPr>
        <w:t xml:space="preserve"> Physicians were recruited if they had training in infectious diseases and were available on the on-call rota within the study period.</w:t>
      </w:r>
      <w:r w:rsidR="00A17746">
        <w:rPr>
          <w:iCs/>
          <w:sz w:val="22"/>
          <w:szCs w:val="22"/>
        </w:rPr>
        <w:t xml:space="preserve"> Any patient reviewed by the clinician were eligible for inclusion providing that they were admitted to one of the three hospitals evaluated, were 18</w:t>
      </w:r>
      <w:r w:rsidR="00B825D9">
        <w:rPr>
          <w:iCs/>
          <w:sz w:val="22"/>
          <w:szCs w:val="22"/>
        </w:rPr>
        <w:t>-</w:t>
      </w:r>
      <w:r w:rsidR="00A17746">
        <w:rPr>
          <w:iCs/>
          <w:sz w:val="22"/>
          <w:szCs w:val="22"/>
        </w:rPr>
        <w:t xml:space="preserve">years of age or older, and were suspected of having an infection requiring the prescription of antimicrobial therapy. As this was an observational study, </w:t>
      </w:r>
      <w:r w:rsidR="00363FD7">
        <w:rPr>
          <w:iCs/>
          <w:sz w:val="22"/>
          <w:szCs w:val="22"/>
        </w:rPr>
        <w:t>physicians</w:t>
      </w:r>
      <w:r w:rsidR="00A17746">
        <w:rPr>
          <w:iCs/>
          <w:sz w:val="22"/>
          <w:szCs w:val="22"/>
        </w:rPr>
        <w:t xml:space="preserve"> were not required to follow the recommendations made </w:t>
      </w:r>
      <w:r w:rsidR="0064178C">
        <w:rPr>
          <w:iCs/>
          <w:sz w:val="22"/>
          <w:szCs w:val="22"/>
        </w:rPr>
        <w:t xml:space="preserve">by the CDSS and were expected </w:t>
      </w:r>
      <w:r w:rsidR="008D5DF9">
        <w:rPr>
          <w:iCs/>
          <w:sz w:val="22"/>
          <w:szCs w:val="22"/>
        </w:rPr>
        <w:t xml:space="preserve">follow their standard practice and to access </w:t>
      </w:r>
      <w:r w:rsidR="00A17746">
        <w:rPr>
          <w:iCs/>
          <w:sz w:val="22"/>
          <w:szCs w:val="22"/>
        </w:rPr>
        <w:t xml:space="preserve">Trust </w:t>
      </w:r>
      <w:r w:rsidR="008D5DF9">
        <w:rPr>
          <w:iCs/>
          <w:sz w:val="22"/>
          <w:szCs w:val="22"/>
        </w:rPr>
        <w:t xml:space="preserve">guidelines </w:t>
      </w:r>
      <w:r w:rsidR="00A17746">
        <w:rPr>
          <w:iCs/>
          <w:sz w:val="22"/>
          <w:szCs w:val="22"/>
        </w:rPr>
        <w:t>or specialist advice</w:t>
      </w:r>
      <w:r w:rsidR="0064178C">
        <w:rPr>
          <w:iCs/>
          <w:sz w:val="22"/>
          <w:szCs w:val="22"/>
        </w:rPr>
        <w:t xml:space="preserve"> when required</w:t>
      </w:r>
      <w:r w:rsidR="00A17746">
        <w:rPr>
          <w:iCs/>
          <w:sz w:val="22"/>
          <w:szCs w:val="22"/>
        </w:rPr>
        <w:t>.</w:t>
      </w:r>
      <w:r w:rsidR="00A17746" w:rsidRPr="00A17746">
        <w:rPr>
          <w:i/>
          <w:iCs/>
          <w:sz w:val="22"/>
          <w:szCs w:val="22"/>
        </w:rPr>
        <w:t xml:space="preserve"> </w:t>
      </w:r>
    </w:p>
    <w:p w14:paraId="06613B82" w14:textId="77777777" w:rsidR="00A17746" w:rsidRDefault="00A17746" w:rsidP="00A17746">
      <w:pPr>
        <w:spacing w:line="480" w:lineRule="auto"/>
        <w:jc w:val="both"/>
        <w:rPr>
          <w:i/>
          <w:iCs/>
          <w:sz w:val="22"/>
          <w:szCs w:val="22"/>
        </w:rPr>
      </w:pPr>
    </w:p>
    <w:p w14:paraId="4D7AE2B7" w14:textId="1DE773C1" w:rsidR="00A17746" w:rsidRPr="000F0997" w:rsidRDefault="00A17746" w:rsidP="00A17746">
      <w:pPr>
        <w:spacing w:line="480" w:lineRule="auto"/>
        <w:jc w:val="both"/>
        <w:rPr>
          <w:i/>
          <w:iCs/>
          <w:sz w:val="22"/>
          <w:szCs w:val="22"/>
        </w:rPr>
      </w:pPr>
      <w:r>
        <w:rPr>
          <w:i/>
          <w:iCs/>
          <w:sz w:val="22"/>
          <w:szCs w:val="22"/>
        </w:rPr>
        <w:t>Outcome measures</w:t>
      </w:r>
    </w:p>
    <w:p w14:paraId="76EF91A7" w14:textId="31748083" w:rsidR="00A17746" w:rsidRDefault="00A17746" w:rsidP="00A17746">
      <w:pPr>
        <w:spacing w:afterLines="200" w:after="480" w:line="480" w:lineRule="auto"/>
        <w:jc w:val="both"/>
        <w:rPr>
          <w:iCs/>
          <w:sz w:val="22"/>
          <w:szCs w:val="22"/>
        </w:rPr>
      </w:pPr>
      <w:r>
        <w:rPr>
          <w:iCs/>
          <w:sz w:val="22"/>
          <w:szCs w:val="22"/>
        </w:rPr>
        <w:t xml:space="preserve">Given concerns over current methods of defining appropriateness of antimicrobial therapy </w:t>
      </w:r>
      <w:r>
        <w:rPr>
          <w:iCs/>
          <w:sz w:val="22"/>
          <w:szCs w:val="22"/>
        </w:rPr>
        <w:fldChar w:fldCharType="begin" w:fldLock="1"/>
      </w:r>
      <w:r w:rsidR="001E7A17">
        <w:rPr>
          <w:iCs/>
          <w:sz w:val="22"/>
          <w:szCs w:val="22"/>
        </w:rPr>
        <w:instrText>ADDIN CSL_CITATION { "citationItems" : [ { "id" : "ITEM-1", "itemData" : { "DOI" : "10.1093/cid/ciu548", "ISBN" : "1537-6591; 1058-4838", "ISSN" : "15376591", "PMID" : "25261542", "abstract" : "To address the increase of drug-resistant bacteria and widespread inappropriate use of antimicrobials, many healthcare institutions have implemented antimicrobial stewardship programs to promote appropriate use of antimicrobials and optimize patient outcomes. However, a consensus definition of appropriate use is lacking. We conducted a multicenter observational study to compare 4 definitions of appropriateness\u2014a study site\u2013specific definition, use supported by susceptibility data, use supported by electronic drug information resources (Clinical Pharmacology/Micromedex), or study site principal investigator (PI) opinion\u2014among patients receiving 1 or more of 13 identified antimicrobials. Data were collected for 262 patients. Overall, appropriateness with the 4 definitions ranged from 79% based on PI opinion to 94% based on susceptibility data. No single definition resulted in consistently high appropriate use for all target antimicrobials. For individual antimicrobials, the definitions with the highest rate of appropriate use were Clinical Pharmacology/Micromedex support (6 of 7 antimicrobials) and susceptibility data (5 of 7 antimicrobials). For specific indications, support from susceptibility data resulted in the highest rate of appropriate use (4 of 7 indications). Overall comparisons showed that appropriateness assessed by PI opinion differed significantly compared with other definitions when stratified by either target antimicrobial or indication. The significant variability in the rate of appropriate use highlights the difficulty in developing a standardized definition that can be used to benchmark judicious antimicrobial use.", "author" : [ { "dropping-particle" : "", "family" : "DePestel", "given" : "Daryl D.", "non-dropping-particle" : "", "parse-names" : false, "suffix" : "" }, { "dropping-particle" : "", "family" : "Eiland", "given" : "Edward H.", "non-dropping-particle" : "", "parse-names" : false, "suffix" : "" }, { "dropping-particle" : "", "family" : "Lusardi", "given" : "Katherine", "non-dropping-particle" : "", "parse-names" : false, "suffix" : "" }, { "dropping-particle" : "", "family" : "Destache", "given" : "Christopher J.", "non-dropping-particle" : "", "parse-names" : false, "suffix" : "" }, { "dropping-particle" : "", "family" : "Mercier", "given" : "Ren\u00e9e Claude", "non-dropping-particle" : "", "parse-names" : false, "suffix" : "" }, { "dropping-particle" : "", "family" : "McDaneld", "given" : "Patrick M.", "non-dropping-particle" : "", "parse-names" : false, "suffix" : "" }, { "dropping-particle" : "", "family" : "Lamp", "given" : "Kenneth C.", "non-dropping-particle" : "", "parse-names" : false, "suffix" : "" }, { "dropping-particle" : "", "family" : "Chung", "given" : "Thomas J.", "non-dropping-particle" : "", "parse-names" : false, "suffix" : "" }, { "dropping-particle" : "", "family" : "Hermsen", "given" : "Elizabeth D.", "non-dropping-particle" : "", "parse-names" : false, "suffix" : "" } ], "container-title" : "Clinical infectious diseases : an official publication of the Infectious Diseases Society of America", "id" : "ITEM-1", "issue" : "Suppl 3", "issued" : { "date-parts" : [ [ "2014" ] ] }, "page" : "S154-S161", "title" : "Assessing appropriateness of antimicrobial therapy: in the eye of the interpreter", "type" : "article-journal", "volume" : "59" }, "uris" : [ "http://www.mendeley.com/documents/?uuid=938057cd-f4cb-494d-b6e7-fead216743f4" ] } ], "mendeley" : { "formattedCitation" : "[51]", "plainTextFormattedCitation" : "[51]", "previouslyFormattedCitation" : "[51]" }, "properties" : {  }, "schema" : "https://github.com/citation-style-language/schema/raw/master/csl-citation.json" }</w:instrText>
      </w:r>
      <w:r>
        <w:rPr>
          <w:iCs/>
          <w:sz w:val="22"/>
          <w:szCs w:val="22"/>
        </w:rPr>
        <w:fldChar w:fldCharType="separate"/>
      </w:r>
      <w:r w:rsidR="001E7A17" w:rsidRPr="001E7A17">
        <w:rPr>
          <w:iCs/>
          <w:noProof/>
          <w:sz w:val="22"/>
          <w:szCs w:val="22"/>
        </w:rPr>
        <w:t>[51]</w:t>
      </w:r>
      <w:r>
        <w:rPr>
          <w:iCs/>
          <w:sz w:val="22"/>
          <w:szCs w:val="22"/>
        </w:rPr>
        <w:fldChar w:fldCharType="end"/>
      </w:r>
      <w:r>
        <w:rPr>
          <w:iCs/>
          <w:sz w:val="22"/>
          <w:szCs w:val="22"/>
        </w:rPr>
        <w:t xml:space="preserve"> and the need for dynamic decision support moving away fro</w:t>
      </w:r>
      <w:r w:rsidR="00BD1DFD">
        <w:rPr>
          <w:iCs/>
          <w:sz w:val="22"/>
          <w:szCs w:val="22"/>
        </w:rPr>
        <w:t>m</w:t>
      </w:r>
      <w:r w:rsidR="00D56013">
        <w:rPr>
          <w:iCs/>
          <w:sz w:val="22"/>
          <w:szCs w:val="22"/>
        </w:rPr>
        <w:t xml:space="preserve"> more static </w:t>
      </w:r>
      <w:r w:rsidR="00BD1DFD">
        <w:rPr>
          <w:iCs/>
          <w:sz w:val="22"/>
          <w:szCs w:val="22"/>
        </w:rPr>
        <w:t>guideline driven prescribing,</w:t>
      </w:r>
      <w:r>
        <w:rPr>
          <w:iCs/>
          <w:sz w:val="22"/>
          <w:szCs w:val="22"/>
        </w:rPr>
        <w:fldChar w:fldCharType="begin" w:fldLock="1"/>
      </w:r>
      <w:r w:rsidR="001E7A17">
        <w:rPr>
          <w:iCs/>
          <w:sz w:val="22"/>
          <w:szCs w:val="22"/>
        </w:rPr>
        <w:instrText>ADDIN CSL_CITATION { "citationItems" : [ { "id" : "ITEM-1", "itemData" : { "DOI" : "10.1016/j.cmi.2017.02.028", "ISSN" : "1198743X", "PMID" : "28268133", "abstract" : "OBJECTIVES Clinical decision support systems (CDSS) for antimicrobial management can support clinicians to optimise antimicrobial therapy. We reviewed all original literature (qualitative and quantitative) to understand the current scope of CDSS for antimicrobial management and analyse existing methods used to evaluate and report such systems. METHOD PRISMA guidelines were followed. Medline, EMBASE, HMIC Health and Management, and Global Health databases were searched from 1(st) January 1980 to 31(st) October 2015. All primary research studies describing CDSS for antimicrobial management in adults in primary or secondary care were included. For qualitative studies, thematic synthesis was performed. Quality was assessed using Integrated quality Criteria for the Review Of Multiple Study designs (ICROMS) criteria. CDSS reporting was assessed against a reporting framework for behaviour change intervention implementation. RESULTS Fifty-eight original articles were included describing 38 independent CDSS. The majority of systems target antimicrobial prescribing (29/38;76%), are platforms integrated with electronic medical records (28/38;74%), and have rules based infrastructure providing decision support (29/38;76%). On evaluation against the intervention reporting framework, CDSS studies fail to report consideration of the non-expert, end-user workflow. They have narrow focus, such as antimicrobial selection, and use proxy outcome measures. Engagement with CDSS by clinicians was poor. CONCLUSION Greater consideration of the factors that drive non-expert decision making must be considered when designing CDSS interventions. Future work must aim to expand CDSS beyond simply selecting appropriate antimicrobials with clear and systematic reporting frameworks for CDSS interventions developed to address current gaps identified in the reporting of evidence.", "author" : [ { "dropping-particle" : "", "family" : "Rawson", "given" : "T.M.", "non-dropping-particle" : "", "parse-names" : false, "suffix" : "" }, { "dropping-particle" : "", "family" : "Moore", "given" : "L.S.P.", "non-dropping-particle" : "", "parse-names" : false, "suffix" : "" }, { "dropping-particle" : "", "family" : "Hernandez", "given" : "Bernard", "non-dropping-particle" : "", "parse-names" : false, "suffix" : "" }, { "dropping-particle" : "", "family" : "Charani", "given" : "Esmita", "non-dropping-particle" : "", "parse-names" : false, "suffix" : "" }, { "dropping-particle" : "", "family" : "Castro-Sanchez", "given" : "Enrique", "non-dropping-particle" : "", "parse-names" : false, "suffix" : "" }, { "dropping-particle" : "", "family" : "Herrero", "given" : "Pau", "non-dropping-particle" : "", "parse-names" : false, "suffix" : "" }, { "dropping-particle" : "", "family" : "Hayhoe", "given" : "Benedict", "non-dropping-particle" : "", "parse-names" : false, "suffix" : "" }, { "dropping-particle" : "", "family" : "Hope", "given" : "William", "non-dropping-particle" : "", "parse-names" : false, "suffix" : "" }, { "dropping-particle" : "", "family" : "Georgiou", "given" : "Pantelis", "non-dropping-particle" : "", "parse-names" : false, "suffix" : "" }, { "dropping-particle" : "", "family" : "Holmes", "given" : "A.H.", "non-dropping-particle" : "", "parse-names" : false, "suffix" : "" } ], "container-title" : "Clinical Microbiology and Infection", "id" : "ITEM-1", "issue" : "8", "issued" : { "date-parts" : [ [ "2017", "8", "4" ] ] }, "page" : "524-532", "title" : "A systematic review of clinical decision support systems for antimicrobial management: are we failing to investigate these interventions appropriately?", "type" : "article-journal", "volume" : "23" }, "uris" : [ "http://www.mendeley.com/documents/?uuid=0ab1b185-9f83-4fbc-b712-cd499640c375" ] } ], "mendeley" : { "formattedCitation" : "[13]", "plainTextFormattedCitation" : "[13]", "previouslyFormattedCitation" : "[13]" }, "properties" : {  }, "schema" : "https://github.com/citation-style-language/schema/raw/master/csl-citation.json" }</w:instrText>
      </w:r>
      <w:r>
        <w:rPr>
          <w:iCs/>
          <w:sz w:val="22"/>
          <w:szCs w:val="22"/>
        </w:rPr>
        <w:fldChar w:fldCharType="separate"/>
      </w:r>
      <w:r w:rsidRPr="00A17746">
        <w:rPr>
          <w:iCs/>
          <w:noProof/>
          <w:sz w:val="22"/>
          <w:szCs w:val="22"/>
        </w:rPr>
        <w:t>[13]</w:t>
      </w:r>
      <w:r>
        <w:rPr>
          <w:iCs/>
          <w:sz w:val="22"/>
          <w:szCs w:val="22"/>
        </w:rPr>
        <w:fldChar w:fldCharType="end"/>
      </w:r>
      <w:r>
        <w:rPr>
          <w:iCs/>
          <w:sz w:val="22"/>
          <w:szCs w:val="22"/>
        </w:rPr>
        <w:t xml:space="preserve"> we opted to compare the Antimicrobial Spectrum Index (ASI)</w:t>
      </w:r>
      <w:r w:rsidR="00DD4499" w:rsidRPr="00DD4499">
        <w:rPr>
          <w:iCs/>
          <w:sz w:val="22"/>
          <w:szCs w:val="22"/>
        </w:rPr>
        <w:t xml:space="preserve"> </w:t>
      </w:r>
      <w:r w:rsidR="00DD4499">
        <w:rPr>
          <w:iCs/>
          <w:sz w:val="22"/>
          <w:szCs w:val="22"/>
        </w:rPr>
        <w:fldChar w:fldCharType="begin" w:fldLock="1"/>
      </w:r>
      <w:r w:rsidR="001E7A17">
        <w:rPr>
          <w:iCs/>
          <w:sz w:val="22"/>
          <w:szCs w:val="22"/>
        </w:rPr>
        <w:instrText>ADDIN CSL_CITATION { "citationItems" : [ { "id" : "ITEM-1", "itemData" : { "DOI" : "10.1017/ice.2017.94", "ISSN" : "0899-823X", "abstract" : "&lt;p&gt;Standard metrics for antimicrobial use consider volume but not spectrum of antimicrobial prescribing. We developed an antibiotic spectrum index (ASI) to classify commonly used antibiotics based on activity against important pathogens. The application of this index to hospital antibiotic use reveals how this tool enhances current antimicrobial stewardship metrics.&lt;/p&gt;", "author" : [ { "dropping-particle" : "", "family" : "Gerber", "given" : "Jeffrey S.", "non-dropping-particle" : "", "parse-names" : false, "suffix" : "" }, { "dropping-particle" : "", "family" : "Hersh", "given" : "Adam L.", "non-dropping-particle" : "", "parse-names" : false, "suffix" : "" }, { "dropping-particle" : "", "family" : "Kronman", "given" : "Matthew P.", "non-dropping-particle" : "", "parse-names" : false, "suffix" : "" }, { "dropping-particle" : "", "family" : "Newland", "given" : "Jason G.", "non-dropping-particle" : "", "parse-names" : false, "suffix" : "" }, { "dropping-particle" : "", "family" : "Ross", "given" : "Rachael K.", "non-dropping-particle" : "", "parse-names" : false, "suffix" : "" }, { "dropping-particle" : "", "family" : "Metjian", "given" : "Talene A.", "non-dropping-particle" : "", "parse-names" : false, "suffix" : "" } ], "container-title" : "Infection Control &amp; Hospital Epidemiology", "id" : "ITEM-1", "issue" : "08", "issued" : { "date-parts" : [ [ "2017", "8", "31" ] ] }, "page" : "993-997", "publisher" : "Cambridge University Press", "title" : "Development and Application of an Antibiotic Spectrum Index for Benchmarking Antibiotic Selection Patterns Across Hospitals", "type" : "article-journal", "volume" : "38" }, "uris" : [ "http://www.mendeley.com/documents/?uuid=84466e30-399c-3d4b-bf7d-221797af979e" ] }, { "id" : "ITEM-2", "itemData" : { "DOI" : "10.2217/fmb-2017-0025", "ISSN" : "1746-0913", "abstract" : "Aim: To assess the effectiveness of antibiotic therapy against five indicator bacteria in a Chinese hospital using an index-based approach. Methods: The study population comprises 1031 patients who...", "author" : [ { "dropping-particle" : "", "family" : "Chen", "given" : "Yong", "non-dropping-particle" : "", "parse-names" : false, "suffix" : "" }, { "dropping-particle" : "", "family" : "Song", "given" : "Boqiang", "non-dropping-particle" : "", "parse-names" : false, "suffix" : "" }, { "dropping-particle" : "", "family" : "Shan", "given" : "Xue", "non-dropping-particle" : "", "parse-names" : false, "suffix" : "" }, { "dropping-particle" : "", "family" : "Qin", "given" : "Yanhong", "non-dropping-particle" : "", "parse-names" : false, "suffix" : "" }, { "dropping-particle" : "", "family" : "Wang", "given" : "Liang", "non-dropping-particle" : "", "parse-names" : false, "suffix" : "" }, { "dropping-particle" : "", "family" : "Wang", "given" : "Hongyuan", "non-dropping-particle" : "", "parse-names" : false, "suffix" : "" }, { "dropping-particle" : "", "family" : "Lu", "given" : "Zhongyi", "non-dropping-particle" : "", "parse-names" : false, "suffix" : "" }, { "dropping-particle" : "", "family" : "Liu", "given" : "Lin", "non-dropping-particle" : "", "parse-names" : false, "suffix" : "" }, { "dropping-particle" : "", "family" : "Yin", "given" : "Danping", "non-dropping-particle" : "", "parse-names" : false, "suffix" : "" }, { "dropping-particle" : "", "family" : "Han", "given" : "Xuelin", "non-dropping-particle" : "", "parse-names" : false, "suffix" : "" }, { "dropping-particle" : "", "family" : "Zhao", "given" : "Jingya", "non-dropping-particle" : "", "parse-names" : false, "suffix" : "" }, { "dropping-particle" : "", "family" : "Tian", "given" : "Shuguang", "non-dropping-particle" : "", "parse-names" : false, "suffix" : "" }, { "dropping-particle" : "", "family" : "Chen", "given" : "Fangyan", "non-dropping-particle" : "", "parse-names" : false, "suffix" : "" }, { "dropping-particle" : "", "family" : "Su", "given" : "Xueting", "non-dropping-particle" : "", "parse-names" : false, "suffix" : "" }, { "dropping-particle" : "", "family" : "Huang", "given" : "Liuyu", "non-dropping-particle" : "", "parse-names" : false, "suffix" : "" }, { "dropping-particle" : "", "family" : "Li", "given" : "Qi", "non-dropping-particle" : "", "parse-names" : false, "suffix" : "" }, { "dropping-particle" : "", "family" : "Grundmann", "given" : "Hajo", "non-dropping-particle" : "", "parse-names" : false, "suffix" : "" }, { "dropping-particle" : "", "family" : "Zhang", "given" : "Hong", "non-dropping-particle" : "", "parse-names" : false, "suffix" : "" }, { "dropping-particle" : "", "family" : "Han", "given" : "Li", "non-dropping-particle" : "", "parse-names" : false, "suffix" : "" } ], "container-title" : "Future Microbiology", "id" : "ITEM-2", "issue" : "10", "issued" : { "date-parts" : [ [ "2017", "8", "12" ] ] }, "page" : "853-866", "publisher" : " Future Medicine Ltd London, UK ", "title" : "Assessing antibiotic therapy effectiveness against the major bacterial pathogens in a hospital using an integrated index", "type" : "article-journal", "volume" : "12" }, "uris" : [ "http://www.mendeley.com/documents/?uuid=2a0497a1-2232-3c2b-abc1-70e1cae8a29e" ] }, { "id" : "ITEM-3", "itemData" : { "DOI" : "10.1136/bmjopen-2016", "abstract" : "Objectives: We aimed to construct widely useable summary measures of the net impact of antibiotic resistance on empiric therapy. Summary measures are needed to communicate the importance of resistance, plan and evaluate interventions, and direct policy and investment.", "author" : [ { "dropping-particle" : "", "family" : "Hughes", "given" : "Josie S", "non-dropping-particle" : "", "parse-names" : false, "suffix" : "" }, { "dropping-particle" : "", "family" : "Hurford", "given" : "Amy", "non-dropping-particle" : "", "parse-names" : false, "suffix" : "" }, { "dropping-particle" : "", "family" : "Finley", "given" : "Rita L", "non-dropping-particle" : "", "parse-names" : false, "suffix" : "" }, { "dropping-particle" : "", "family" : "Patrick", "given" : "David M", "non-dropping-particle" : "", "parse-names" : false, "suffix" : "" }, { "dropping-particle" : "", "family" : "Wu", "given" : "Jianhong", "non-dropping-particle" : "", "parse-names" : false, "suffix" : "" }, { "dropping-particle" : "", "family" : "Morris", "given" : "Andrew M", "non-dropping-particle" : "", "parse-names" : false, "suffix" : "" } ], "id" : "ITEM-3", "issued" : { "date-parts" : [ [ "0" ] ] }, "title" : "How to measure the impacts of antibiotic resistance and antibiotic development on empiric therapy: new composite indices", "type" : "article-journal" }, "uris" : [ "http://www.mendeley.com/documents/?uuid=731cf772-0363-3f69-8a5b-7fbc29d18aa4" ] }, { "id" : "ITEM-4", "itemData" : { "DOI" : "10.1093/jac/dku336", "abstract" : "Objectives: The population-level appropriateness of empirical antibiotic therapy can be conventionally measured by ascertainment of treatment coverage. This method involves a complex resource-intensive case-by-case assessment of the prescribed antibiotic treatment and the resistance of the causative microorganism. We aimed to develop an alternative approach based, instead, on the use of routinely available surveillance data. Methods: We calculated a drug effectiveness index by combining three simple aggregated metrics: relative frequency of aetiological agents, level of resistance and relative frequency of antibiotic use. To evaluate the applicability of our approach, we used this metric to estimate the population-level appropriateness of guideline compliant and non-guideline-compliant empirical treatment regimens in the context of the Dutch national guidelines for complicated urinary tract infections. Results: The drug effectiveness index agrees within 5% with results obtained with the conventional approach based on a case-by-case ascertainment of treatment coverage. Additionally, we estimated that the appropriate-ness of 2008 antibiotic prescribing regimens would have declined by up to 4% by year 2011 in the Netherlands due to the emergence and expansion of antibiotic resistance. Conclusions: The index-based framework can be an alternative approach to the estimation of point values and counterfactual trends in population-level empirical treatment appropriateness. In resource-constrained settings, where empirical prescribing is most prevalent and comprehensive studies to directly measure appropriateness may not be a practical proposition, an index-based approach could provide useful information to aid in the development and monitoring of antibiotic prescription guidelines.", "author" : [ { "dropping-particle" : "", "family" : "Ciccolini", "given" : "M", "non-dropping-particle" : "", "parse-names" : false, "suffix" : "" }, { "dropping-particle" : "", "family" : "Spoorenberg", "given" : "V", "non-dropping-particle" : "", "parse-names" : false, "suffix" : "" }, { "dropping-particle" : "", "family" : "Geerlings", "given" : "S E", "non-dropping-particle" : "", "parse-names" : false, "suffix" : "" }, { "dropping-particle" : "", "family" : "Prins", "given" : "J M", "non-dropping-particle" : "", "parse-names" : false, "suffix" : "" }, { "dropping-particle" : "", "family" : "Grundmann", "given" : "H", "non-dropping-particle" : "", "parse-names" : false, "suffix" : "" } ], "id" : "ITEM-4", "issued" : { "date-parts" : [ [ "0" ] ] }, "title" : "Using an index-based approach to assess the population-level appropriateness of empirical antibiotic therapy", "type" : "article-journal" }, "uris" : [ "http://www.mendeley.com/documents/?uuid=9cb5ed06-9b86-3653-a4ce-6eb9849612ea" ] }, { "id" : "ITEM-5", "itemData" : { "DOI" : "10.1093/ofid/ofu052.239", "ISSN" : "2328-8957", "author" : [ { "dropping-particle" : "", "family" : "Metjian", "given" : "Talene A.", "non-dropping-particle" : "", "parse-names" : false, "suffix" : "" }, { "dropping-particle" : "", "family" : "Hersh", "given" : "Adam L.", "non-dropping-particle" : "", "parse-names" : false, "suffix" : "" }, { "dropping-particle" : "", "family" : "Kronman", "given" : "Matthew", "non-dropping-particle" : "", "parse-names" : false, "suffix" : "" }, { "dropping-particle" : "", "family" : "Newland", "given" : "Jason", "non-dropping-particle" : "", "parse-names" : false, "suffix" : "" }, { "dropping-particle" : "", "family" : "Ross", "given" : "Rachael", "non-dropping-particle" : "", "parse-names" : false, "suffix" : "" }, { "dropping-particle" : "", "family" : "Gerber", "given" : "Jeffrey S.", "non-dropping-particle" : "", "parse-names" : false, "suffix" : "" } ], "container-title" : "Open Forum Infectious Diseases", "id" : "ITEM-5", "issue" : "suppl_1", "issued" : { "date-parts" : [ [ "2014", "12", "1" ] ] }, "page" : "S146-S146", "publisher" : "Narnia", "title" : "373Development and Application of an Antibiotic Spectrum Index (AbSI) for Benchmarking Antibiotic Selection Patterns Across Hospitals", "type" : "article-journal", "volume" : "1" }, "uris" : [ "http://www.mendeley.com/documents/?uuid=c003a9aa-7fde-39e2-9d19-0784481071ca" ] } ], "mendeley" : { "formattedCitation" : "[41\u201345]", "plainTextFormattedCitation" : "[41\u201345]", "previouslyFormattedCitation" : "[41\u201345]" }, "properties" : {  }, "schema" : "https://github.com/citation-style-language/schema/raw/master/csl-citation.json" }</w:instrText>
      </w:r>
      <w:r w:rsidR="00DD4499">
        <w:rPr>
          <w:iCs/>
          <w:sz w:val="22"/>
          <w:szCs w:val="22"/>
        </w:rPr>
        <w:fldChar w:fldCharType="separate"/>
      </w:r>
      <w:r w:rsidR="001E7A17" w:rsidRPr="001E7A17">
        <w:rPr>
          <w:iCs/>
          <w:noProof/>
          <w:sz w:val="22"/>
          <w:szCs w:val="22"/>
        </w:rPr>
        <w:t>[41–45]</w:t>
      </w:r>
      <w:r w:rsidR="00DD4499">
        <w:rPr>
          <w:iCs/>
          <w:sz w:val="22"/>
          <w:szCs w:val="22"/>
        </w:rPr>
        <w:fldChar w:fldCharType="end"/>
      </w:r>
      <w:r w:rsidR="004E2E25">
        <w:rPr>
          <w:iCs/>
          <w:sz w:val="22"/>
          <w:szCs w:val="22"/>
        </w:rPr>
        <w:t xml:space="preserve"> and WHO AWaRe classification </w:t>
      </w:r>
      <w:r w:rsidR="004E2E25">
        <w:rPr>
          <w:iCs/>
          <w:sz w:val="22"/>
          <w:szCs w:val="22"/>
        </w:rPr>
        <w:fldChar w:fldCharType="begin" w:fldLock="1"/>
      </w:r>
      <w:r w:rsidR="001E7A17">
        <w:rPr>
          <w:iCs/>
          <w:sz w:val="22"/>
          <w:szCs w:val="22"/>
        </w:rPr>
        <w:instrText>ADDIN CSL_CITATION { "citationItems" : [ { "id" : "ITEM-1", "itemData" : { "DOI" : "10.1016/S2214-109X(19)30071-3", "ISSN" : "2214109X", "abstract" : "Background: Improving the quality of hospital antibiotic use is a major goal of WHO's global action plan to combat antimicrobial resistance. The WHO Essential Medicines List Access, Watch, and Reserve (AWaRe) classification could facilitate simple stewardship interventions that are widely applicable globally. We aimed to present data on patterns of paediatric AWaRe antibiotic use that could be used for local and national stewardship interventions. Methods: 1-day point prevalence survey antibiotic prescription data were combined from two independent global networks: the Global Antimicrobial Resistance, Prescribing, and Efficacy in Neonates and Children and the Global Point Prevalence Survey on Antimicrobial Consumption and Resistance networks. We included hospital inpatients aged younger than 19 years receiving at least one antibiotic on the day of the survey. The WHO AWaRe classification was used to describe overall antibiotic use as assessed by the variation between use of Access, Watch, and Reserve antibiotics, for neonates and children and for the commonest clinical indications. Findings: Of the 23 572 patients included from 56 countries, 18 305 were children (77\u00b77%) and 5267 were neonates (22\u00b73%). Access antibiotic use in children ranged from 7\u00b78% (China) to 61\u00b72% (Slovenia) of all antibiotic prescriptions. The use of Watch antibiotics in children was highest in Iran (77\u00b73%) and lowest in Finland (23\u00b70%). In neonates, Access antibiotic use was highest in Singapore (100\u00b70%) and lowest in China (24\u00b72%). Reserve antibiotic use was low in all countries. Major differences in clinical syndrome-specific patterns of AWaRe antibiotic use in lower respiratory tract infection and neonatal sepsis were observed between WHO regions and countries. Interpretation: There is substantial global variation in the proportion of AWaRe antibiotics used in hospitalised neonates and children. The AWaRe classification could potentially be used as a simple traffic light metric of appropriate antibiotic use. Future efforts should focus on developing and evaluating paediatric antibiotic stewardship programmes on the basis of the AWaRe index. Funding: GARPEC was funded by the PENTA Foundation. GARPEC-China data collection was funded by the Sanming Project of Medicine in Shenzhen (SZSM2015120330). bioM\u00e9rieux provided unrestricted funding support for the Global-PPS.", "author" : [ { "dropping-particle" : "", "family" : "Hsia", "given" : "Yingfen", "non-dropping-particle" : "", "parse-names" : false, "suffix" : "" }, { "dropping-particle" : "", "family" : "Lee", "given" : "Brian R.", "non-dropping-particle" : "", "parse-names" : false, "suffix" : "" }, { "dropping-particle" : "", "family" : "Versporten", "given" : "Ann", "non-dropping-particle" : "", "parse-names" : false, "suffix" : "" }, { "dropping-particle" : "", "family" : "Yang", "given" : "Yonghong", "non-dropping-particle" : "", "parse-names" : false, "suffix" : "" }, { "dropping-particle" : "", "family" : "Bielicki", "given" : "Julia", "non-dropping-particle" : "", "parse-names" : false, "suffix" : "" }, { "dropping-particle" : "", "family" : "Jackson", "given" : "Charlotte", "non-dropping-particle" : "", "parse-names" : false, "suffix" : "" }, { "dropping-particle" : "", "family" : "Newland", "given" : "Jason", "non-dropping-particle" : "", "parse-names" : false, "suffix" : "" }, { "dropping-particle" : "", "family" : "Goossens", "given" : "Herman", "non-dropping-particle" : "", "parse-names" : false, "suffix" : "" }, { "dropping-particle" : "", "family" : "Magrini", "given" : "Nicola", "non-dropping-particle" : "", "parse-names" : false, "suffix" : "" }, { "dropping-particle" : "", "family" : "Sharland", "given" : "Mike", "non-dropping-particle" : "", "parse-names" : false, "suffix" : "" } ], "container-title" : "The Lancet Global Health", "id" : "ITEM-1", "issue" : "7", "issued" : { "date-parts" : [ [ "2019", "7", "1" ] ] }, "page" : "e861-e871", "publisher" : "Elsevier Ltd", "title" : "Use of the WHO Access, Watch, and Reserve classification to define patterns of hospital antibiotic use (AWaRe): an analysis of paediatric survey data from 56 countries", "type" : "article-journal", "volume" : "7" }, "uris" : [ "http://www.mendeley.com/documents/?uuid=2da00a95-bdd7-3c68-8ea5-87a7b44b05f1" ] } ], "mendeley" : { "formattedCitation" : "[46]", "plainTextFormattedCitation" : "[46]", "previouslyFormattedCitation" : "[46]" }, "properties" : {  }, "schema" : "https://github.com/citation-style-language/schema/raw/master/csl-citation.json" }</w:instrText>
      </w:r>
      <w:r w:rsidR="004E2E25">
        <w:rPr>
          <w:iCs/>
          <w:sz w:val="22"/>
          <w:szCs w:val="22"/>
        </w:rPr>
        <w:fldChar w:fldCharType="separate"/>
      </w:r>
      <w:r w:rsidR="001E7A17" w:rsidRPr="001E7A17">
        <w:rPr>
          <w:iCs/>
          <w:noProof/>
          <w:sz w:val="22"/>
          <w:szCs w:val="22"/>
        </w:rPr>
        <w:t>[46]</w:t>
      </w:r>
      <w:r w:rsidR="004E2E25">
        <w:rPr>
          <w:iCs/>
          <w:sz w:val="22"/>
          <w:szCs w:val="22"/>
        </w:rPr>
        <w:fldChar w:fldCharType="end"/>
      </w:r>
      <w:r>
        <w:rPr>
          <w:iCs/>
          <w:sz w:val="22"/>
          <w:szCs w:val="22"/>
        </w:rPr>
        <w:t xml:space="preserve"> of recommendation</w:t>
      </w:r>
      <w:r w:rsidR="00DD4499">
        <w:rPr>
          <w:iCs/>
          <w:sz w:val="22"/>
          <w:szCs w:val="22"/>
        </w:rPr>
        <w:t xml:space="preserve">s provided by </w:t>
      </w:r>
      <w:r w:rsidR="0064178C">
        <w:rPr>
          <w:iCs/>
          <w:sz w:val="22"/>
          <w:szCs w:val="22"/>
        </w:rPr>
        <w:t xml:space="preserve">the CBR algorithm to </w:t>
      </w:r>
      <w:r w:rsidR="00DD4499">
        <w:rPr>
          <w:iCs/>
          <w:sz w:val="22"/>
          <w:szCs w:val="22"/>
        </w:rPr>
        <w:t xml:space="preserve">prescriptions made in practice. </w:t>
      </w:r>
    </w:p>
    <w:p w14:paraId="11CBB7D4" w14:textId="0F647518" w:rsidR="00DD4499" w:rsidRDefault="00DD4499" w:rsidP="00A17746">
      <w:pPr>
        <w:spacing w:afterLines="200" w:after="480" w:line="480" w:lineRule="auto"/>
        <w:jc w:val="both"/>
        <w:rPr>
          <w:iCs/>
          <w:sz w:val="22"/>
          <w:szCs w:val="22"/>
        </w:rPr>
      </w:pPr>
      <w:r>
        <w:rPr>
          <w:iCs/>
          <w:sz w:val="22"/>
          <w:szCs w:val="22"/>
        </w:rPr>
        <w:t xml:space="preserve">The ASI aims to classify agents based on activity against important pathogens, providing a metric that describes the spectrum of antimicrobial rather than simply deeming it as appropriate / inappropriate. Therefore, this provides the opportunity to quantify and compare </w:t>
      </w:r>
      <w:r>
        <w:rPr>
          <w:iCs/>
          <w:sz w:val="22"/>
          <w:szCs w:val="22"/>
        </w:rPr>
        <w:lastRenderedPageBreak/>
        <w:t>the broadness of a prescribed antimicrobial, whilst also evaluating its coverage of important pathogens for which it is being used.</w:t>
      </w:r>
      <w:r>
        <w:rPr>
          <w:iCs/>
          <w:sz w:val="22"/>
          <w:szCs w:val="22"/>
        </w:rPr>
        <w:fldChar w:fldCharType="begin" w:fldLock="1"/>
      </w:r>
      <w:r w:rsidR="001E7A17">
        <w:rPr>
          <w:iCs/>
          <w:sz w:val="22"/>
          <w:szCs w:val="22"/>
        </w:rPr>
        <w:instrText>ADDIN CSL_CITATION { "citationItems" : [ { "id" : "ITEM-1", "itemData" : { "DOI" : "10.1017/ice.2017.94", "ISSN" : "0899-823X", "abstract" : "&lt;p&gt;Standard metrics for antimicrobial use consider volume but not spectrum of antimicrobial prescribing. We developed an antibiotic spectrum index (ASI) to classify commonly used antibiotics based on activity against important pathogens. The application of this index to hospital antibiotic use reveals how this tool enhances current antimicrobial stewardship metrics.&lt;/p&gt;", "author" : [ { "dropping-particle" : "", "family" : "Gerber", "given" : "Jeffrey S.", "non-dropping-particle" : "", "parse-names" : false, "suffix" : "" }, { "dropping-particle" : "", "family" : "Hersh", "given" : "Adam L.", "non-dropping-particle" : "", "parse-names" : false, "suffix" : "" }, { "dropping-particle" : "", "family" : "Kronman", "given" : "Matthew P.", "non-dropping-particle" : "", "parse-names" : false, "suffix" : "" }, { "dropping-particle" : "", "family" : "Newland", "given" : "Jason G.", "non-dropping-particle" : "", "parse-names" : false, "suffix" : "" }, { "dropping-particle" : "", "family" : "Ross", "given" : "Rachael K.", "non-dropping-particle" : "", "parse-names" : false, "suffix" : "" }, { "dropping-particle" : "", "family" : "Metjian", "given" : "Talene A.", "non-dropping-particle" : "", "parse-names" : false, "suffix" : "" } ], "container-title" : "Infection Control &amp; Hospital Epidemiology", "id" : "ITEM-1", "issue" : "08", "issued" : { "date-parts" : [ [ "2017", "8", "31" ] ] }, "page" : "993-997", "publisher" : "Cambridge University Press", "title" : "Development and Application of an Antibiotic Spectrum Index for Benchmarking Antibiotic Selection Patterns Across Hospitals", "type" : "article-journal", "volume" : "38" }, "uris" : [ "http://www.mendeley.com/documents/?uuid=84466e30-399c-3d4b-bf7d-221797af979e" ] }, { "id" : "ITEM-2", "itemData" : { "DOI" : "10.2217/fmb-2017-0025", "ISSN" : "1746-0913", "abstract" : "Aim: To assess the effectiveness of antibiotic therapy against five indicator bacteria in a Chinese hospital using an index-based approach. Methods: The study population comprises 1031 patients who...", "author" : [ { "dropping-particle" : "", "family" : "Chen", "given" : "Yong", "non-dropping-particle" : "", "parse-names" : false, "suffix" : "" }, { "dropping-particle" : "", "family" : "Song", "given" : "Boqiang", "non-dropping-particle" : "", "parse-names" : false, "suffix" : "" }, { "dropping-particle" : "", "family" : "Shan", "given" : "Xue", "non-dropping-particle" : "", "parse-names" : false, "suffix" : "" }, { "dropping-particle" : "", "family" : "Qin", "given" : "Yanhong", "non-dropping-particle" : "", "parse-names" : false, "suffix" : "" }, { "dropping-particle" : "", "family" : "Wang", "given" : "Liang", "non-dropping-particle" : "", "parse-names" : false, "suffix" : "" }, { "dropping-particle" : "", "family" : "Wang", "given" : "Hongyuan", "non-dropping-particle" : "", "parse-names" : false, "suffix" : "" }, { "dropping-particle" : "", "family" : "Lu", "given" : "Zhongyi", "non-dropping-particle" : "", "parse-names" : false, "suffix" : "" }, { "dropping-particle" : "", "family" : "Liu", "given" : "Lin", "non-dropping-particle" : "", "parse-names" : false, "suffix" : "" }, { "dropping-particle" : "", "family" : "Yin", "given" : "Danping", "non-dropping-particle" : "", "parse-names" : false, "suffix" : "" }, { "dropping-particle" : "", "family" : "Han", "given" : "Xuelin", "non-dropping-particle" : "", "parse-names" : false, "suffix" : "" }, { "dropping-particle" : "", "family" : "Zhao", "given" : "Jingya", "non-dropping-particle" : "", "parse-names" : false, "suffix" : "" }, { "dropping-particle" : "", "family" : "Tian", "given" : "Shuguang", "non-dropping-particle" : "", "parse-names" : false, "suffix" : "" }, { "dropping-particle" : "", "family" : "Chen", "given" : "Fangyan", "non-dropping-particle" : "", "parse-names" : false, "suffix" : "" }, { "dropping-particle" : "", "family" : "Su", "given" : "Xueting", "non-dropping-particle" : "", "parse-names" : false, "suffix" : "" }, { "dropping-particle" : "", "family" : "Huang", "given" : "Liuyu", "non-dropping-particle" : "", "parse-names" : false, "suffix" : "" }, { "dropping-particle" : "", "family" : "Li", "given" : "Qi", "non-dropping-particle" : "", "parse-names" : false, "suffix" : "" }, { "dropping-particle" : "", "family" : "Grundmann", "given" : "Hajo", "non-dropping-particle" : "", "parse-names" : false, "suffix" : "" }, { "dropping-particle" : "", "family" : "Zhang", "given" : "Hong", "non-dropping-particle" : "", "parse-names" : false, "suffix" : "" }, { "dropping-particle" : "", "family" : "Han", "given" : "Li", "non-dropping-particle" : "", "parse-names" : false, "suffix" : "" } ], "container-title" : "Future Microbiology", "id" : "ITEM-2", "issue" : "10", "issued" : { "date-parts" : [ [ "2017", "8", "12" ] ] }, "page" : "853-866", "publisher" : " Future Medicine Ltd London, UK ", "title" : "Assessing antibiotic therapy effectiveness against the major bacterial pathogens in a hospital using an integrated index", "type" : "article-journal", "volume" : "12" }, "uris" : [ "http://www.mendeley.com/documents/?uuid=2a0497a1-2232-3c2b-abc1-70e1cae8a29e" ] }, { "id" : "ITEM-3", "itemData" : { "DOI" : "10.1136/bmjopen-2016", "abstract" : "Objectives: We aimed to construct widely useable summary measures of the net impact of antibiotic resistance on empiric therapy. Summary measures are needed to communicate the importance of resistance, plan and evaluate interventions, and direct policy and investment.", "author" : [ { "dropping-particle" : "", "family" : "Hughes", "given" : "Josie S", "non-dropping-particle" : "", "parse-names" : false, "suffix" : "" }, { "dropping-particle" : "", "family" : "Hurford", "given" : "Amy", "non-dropping-particle" : "", "parse-names" : false, "suffix" : "" }, { "dropping-particle" : "", "family" : "Finley", "given" : "Rita L", "non-dropping-particle" : "", "parse-names" : false, "suffix" : "" }, { "dropping-particle" : "", "family" : "Patrick", "given" : "David M", "non-dropping-particle" : "", "parse-names" : false, "suffix" : "" }, { "dropping-particle" : "", "family" : "Wu", "given" : "Jianhong", "non-dropping-particle" : "", "parse-names" : false, "suffix" : "" }, { "dropping-particle" : "", "family" : "Morris", "given" : "Andrew M", "non-dropping-particle" : "", "parse-names" : false, "suffix" : "" } ], "id" : "ITEM-3", "issued" : { "date-parts" : [ [ "0" ] ] }, "title" : "How to measure the impacts of antibiotic resistance and antibiotic development on empiric therapy: new composite indices", "type" : "article-journal" }, "uris" : [ "http://www.mendeley.com/documents/?uuid=731cf772-0363-3f69-8a5b-7fbc29d18aa4" ] }, { "id" : "ITEM-4", "itemData" : { "DOI" : "10.1093/jac/dku336", "abstract" : "Objectives: The population-level appropriateness of empirical antibiotic therapy can be conventionally measured by ascertainment of treatment coverage. This method involves a complex resource-intensive case-by-case assessment of the prescribed antibiotic treatment and the resistance of the causative microorganism. We aimed to develop an alternative approach based, instead, on the use of routinely available surveillance data. Methods: We calculated a drug effectiveness index by combining three simple aggregated metrics: relative frequency of aetiological agents, level of resistance and relative frequency of antibiotic use. To evaluate the applicability of our approach, we used this metric to estimate the population-level appropriateness of guideline compliant and non-guideline-compliant empirical treatment regimens in the context of the Dutch national guidelines for complicated urinary tract infections. Results: The drug effectiveness index agrees within 5% with results obtained with the conventional approach based on a case-by-case ascertainment of treatment coverage. Additionally, we estimated that the appropriate-ness of 2008 antibiotic prescribing regimens would have declined by up to 4% by year 2011 in the Netherlands due to the emergence and expansion of antibiotic resistance. Conclusions: The index-based framework can be an alternative approach to the estimation of point values and counterfactual trends in population-level empirical treatment appropriateness. In resource-constrained settings, where empirical prescribing is most prevalent and comprehensive studies to directly measure appropriateness may not be a practical proposition, an index-based approach could provide useful information to aid in the development and monitoring of antibiotic prescription guidelines.", "author" : [ { "dropping-particle" : "", "family" : "Ciccolini", "given" : "M", "non-dropping-particle" : "", "parse-names" : false, "suffix" : "" }, { "dropping-particle" : "", "family" : "Spoorenberg", "given" : "V", "non-dropping-particle" : "", "parse-names" : false, "suffix" : "" }, { "dropping-particle" : "", "family" : "Geerlings", "given" : "S E", "non-dropping-particle" : "", "parse-names" : false, "suffix" : "" }, { "dropping-particle" : "", "family" : "Prins", "given" : "J M", "non-dropping-particle" : "", "parse-names" : false, "suffix" : "" }, { "dropping-particle" : "", "family" : "Grundmann", "given" : "H", "non-dropping-particle" : "", "parse-names" : false, "suffix" : "" } ], "id" : "ITEM-4", "issued" : { "date-parts" : [ [ "0" ] ] }, "title" : "Using an index-based approach to assess the population-level appropriateness of empirical antibiotic therapy", "type" : "article-journal" }, "uris" : [ "http://www.mendeley.com/documents/?uuid=9cb5ed06-9b86-3653-a4ce-6eb9849612ea" ] }, { "id" : "ITEM-5", "itemData" : { "DOI" : "10.1093/ofid/ofu052.239", "ISSN" : "2328-8957", "author" : [ { "dropping-particle" : "", "family" : "Metjian", "given" : "Talene A.", "non-dropping-particle" : "", "parse-names" : false, "suffix" : "" }, { "dropping-particle" : "", "family" : "Hersh", "given" : "Adam L.", "non-dropping-particle" : "", "parse-names" : false, "suffix" : "" }, { "dropping-particle" : "", "family" : "Kronman", "given" : "Matthew", "non-dropping-particle" : "", "parse-names" : false, "suffix" : "" }, { "dropping-particle" : "", "family" : "Newland", "given" : "Jason", "non-dropping-particle" : "", "parse-names" : false, "suffix" : "" }, { "dropping-particle" : "", "family" : "Ross", "given" : "Rachael", "non-dropping-particle" : "", "parse-names" : false, "suffix" : "" }, { "dropping-particle" : "", "family" : "Gerber", "given" : "Jeffrey S.", "non-dropping-particle" : "", "parse-names" : false, "suffix" : "" } ], "container-title" : "Open Forum Infectious Diseases", "id" : "ITEM-5", "issue" : "suppl_1", "issued" : { "date-parts" : [ [ "2014", "12", "1" ] ] }, "page" : "S146-S146", "publisher" : "Narnia", "title" : "373Development and Application of an Antibiotic Spectrum Index (AbSI) for Benchmarking Antibiotic Selection Patterns Across Hospitals", "type" : "article-journal", "volume" : "1" }, "uris" : [ "http://www.mendeley.com/documents/?uuid=c003a9aa-7fde-39e2-9d19-0784481071ca" ] } ], "mendeley" : { "formattedCitation" : "[41\u201345]", "plainTextFormattedCitation" : "[41\u201345]", "previouslyFormattedCitation" : "[41\u201345]" }, "properties" : {  }, "schema" : "https://github.com/citation-style-language/schema/raw/master/csl-citation.json" }</w:instrText>
      </w:r>
      <w:r>
        <w:rPr>
          <w:iCs/>
          <w:sz w:val="22"/>
          <w:szCs w:val="22"/>
        </w:rPr>
        <w:fldChar w:fldCharType="separate"/>
      </w:r>
      <w:r w:rsidR="001E7A17" w:rsidRPr="001E7A17">
        <w:rPr>
          <w:iCs/>
          <w:noProof/>
          <w:sz w:val="22"/>
          <w:szCs w:val="22"/>
        </w:rPr>
        <w:t>[41–45]</w:t>
      </w:r>
      <w:r>
        <w:rPr>
          <w:iCs/>
          <w:sz w:val="22"/>
          <w:szCs w:val="22"/>
        </w:rPr>
        <w:fldChar w:fldCharType="end"/>
      </w:r>
    </w:p>
    <w:p w14:paraId="04E98F6C" w14:textId="51ED7C76" w:rsidR="001B2CC7" w:rsidRDefault="001B2CC7" w:rsidP="00A17746">
      <w:pPr>
        <w:spacing w:afterLines="200" w:after="480" w:line="480" w:lineRule="auto"/>
        <w:jc w:val="both"/>
        <w:rPr>
          <w:iCs/>
          <w:sz w:val="22"/>
          <w:szCs w:val="22"/>
        </w:rPr>
      </w:pPr>
      <w:r>
        <w:rPr>
          <w:iCs/>
          <w:sz w:val="22"/>
          <w:szCs w:val="22"/>
        </w:rPr>
        <w:t>ASI for individual agents was developed based on Gerber and colleagues prior work.</w:t>
      </w:r>
      <w:r>
        <w:rPr>
          <w:iCs/>
          <w:sz w:val="22"/>
          <w:szCs w:val="22"/>
        </w:rPr>
        <w:fldChar w:fldCharType="begin" w:fldLock="1"/>
      </w:r>
      <w:r w:rsidR="001E7A17">
        <w:rPr>
          <w:iCs/>
          <w:sz w:val="22"/>
          <w:szCs w:val="22"/>
        </w:rPr>
        <w:instrText>ADDIN CSL_CITATION { "citationItems" : [ { "id" : "ITEM-1", "itemData" : { "DOI" : "10.1017/ice.2017.94", "ISSN" : "0899-823X", "abstract" : "&lt;p&gt;Standard metrics for antimicrobial use consider volume but not spectrum of antimicrobial prescribing. We developed an antibiotic spectrum index (ASI) to classify commonly used antibiotics based on activity against important pathogens. The application of this index to hospital antibiotic use reveals how this tool enhances current antimicrobial stewardship metrics.&lt;/p&gt;", "author" : [ { "dropping-particle" : "", "family" : "Gerber", "given" : "Jeffrey S.", "non-dropping-particle" : "", "parse-names" : false, "suffix" : "" }, { "dropping-particle" : "", "family" : "Hersh", "given" : "Adam L.", "non-dropping-particle" : "", "parse-names" : false, "suffix" : "" }, { "dropping-particle" : "", "family" : "Kronman", "given" : "Matthew P.", "non-dropping-particle" : "", "parse-names" : false, "suffix" : "" }, { "dropping-particle" : "", "family" : "Newland", "given" : "Jason G.", "non-dropping-particle" : "", "parse-names" : false, "suffix" : "" }, { "dropping-particle" : "", "family" : "Ross", "given" : "Rachael K.", "non-dropping-particle" : "", "parse-names" : false, "suffix" : "" }, { "dropping-particle" : "", "family" : "Metjian", "given" : "Talene A.", "non-dropping-particle" : "", "parse-names" : false, "suffix" : "" } ], "container-title" : "Infection Control &amp; Hospital Epidemiology", "id" : "ITEM-1", "issue" : "08", "issued" : { "date-parts" : [ [ "2017", "8", "31" ] ] }, "page" : "993-997", "publisher" : "Cambridge University Press", "title" : "Development and Application of an Antibiotic Spectrum Index for Benchmarking Antibiotic Selection Patterns Across Hospitals", "type" : "article-journal", "volume" : "38" }, "uris" : [ "http://www.mendeley.com/documents/?uuid=84466e30-399c-3d4b-bf7d-221797af979e" ] } ], "mendeley" : { "formattedCitation" : "[41]", "plainTextFormattedCitation" : "[41]", "previouslyFormattedCitation" : "[41]" }, "properties" : {  }, "schema" : "https://github.com/citation-style-language/schema/raw/master/csl-citation.json" }</w:instrText>
      </w:r>
      <w:r>
        <w:rPr>
          <w:iCs/>
          <w:sz w:val="22"/>
          <w:szCs w:val="22"/>
        </w:rPr>
        <w:fldChar w:fldCharType="separate"/>
      </w:r>
      <w:r w:rsidR="001E7A17" w:rsidRPr="001E7A17">
        <w:rPr>
          <w:iCs/>
          <w:noProof/>
          <w:sz w:val="22"/>
          <w:szCs w:val="22"/>
        </w:rPr>
        <w:t>[41]</w:t>
      </w:r>
      <w:r>
        <w:rPr>
          <w:iCs/>
          <w:sz w:val="22"/>
          <w:szCs w:val="22"/>
        </w:rPr>
        <w:fldChar w:fldCharType="end"/>
      </w:r>
      <w:r>
        <w:rPr>
          <w:iCs/>
          <w:sz w:val="22"/>
          <w:szCs w:val="22"/>
        </w:rPr>
        <w:t xml:space="preserve"> Two </w:t>
      </w:r>
      <w:r w:rsidR="00D17280">
        <w:rPr>
          <w:iCs/>
          <w:sz w:val="22"/>
          <w:szCs w:val="22"/>
        </w:rPr>
        <w:t>clinician</w:t>
      </w:r>
      <w:r>
        <w:rPr>
          <w:iCs/>
          <w:sz w:val="22"/>
          <w:szCs w:val="22"/>
        </w:rPr>
        <w:t>s</w:t>
      </w:r>
      <w:r w:rsidR="00D72B4D">
        <w:rPr>
          <w:iCs/>
          <w:sz w:val="22"/>
          <w:szCs w:val="22"/>
        </w:rPr>
        <w:t xml:space="preserve"> with experience in infectious diseases</w:t>
      </w:r>
      <w:r w:rsidR="004E2E25">
        <w:rPr>
          <w:iCs/>
          <w:sz w:val="22"/>
          <w:szCs w:val="22"/>
        </w:rPr>
        <w:t xml:space="preserve"> (TMR &amp; LSPM)</w:t>
      </w:r>
      <w:r>
        <w:rPr>
          <w:iCs/>
          <w:sz w:val="22"/>
          <w:szCs w:val="22"/>
        </w:rPr>
        <w:t xml:space="preserve"> </w:t>
      </w:r>
      <w:r w:rsidR="00D72B4D">
        <w:rPr>
          <w:iCs/>
          <w:sz w:val="22"/>
          <w:szCs w:val="22"/>
        </w:rPr>
        <w:t xml:space="preserve">independently </w:t>
      </w:r>
      <w:r>
        <w:rPr>
          <w:iCs/>
          <w:sz w:val="22"/>
          <w:szCs w:val="22"/>
        </w:rPr>
        <w:t>reviewed prescriptions and selected CBR recommendations determining the ASI and whether or not the spectrum of agent prescribed covered the pathogen (or likely causative pathogen in empirical therapy) that was being targeted. As an example, ASI values for single agents can range from 1 to 14. An ASI of 1/14 indicates a narrow spectrum agent, such as flucloxacillin</w:t>
      </w:r>
      <w:r w:rsidR="00CF0E7D">
        <w:rPr>
          <w:iCs/>
          <w:sz w:val="22"/>
          <w:szCs w:val="22"/>
        </w:rPr>
        <w:t xml:space="preserve">. This is compared to tigecycline, which has an ASI of 13/14 due to is broad spectrum of activity, including against multi-drug resistant organisms. For combination therapy, the maximum ASI achievable remains 14, given that spectrums can overlap and would not be counted twice. </w:t>
      </w:r>
      <w:r>
        <w:rPr>
          <w:iCs/>
          <w:sz w:val="22"/>
          <w:szCs w:val="22"/>
        </w:rPr>
        <w:t xml:space="preserve">  </w:t>
      </w:r>
    </w:p>
    <w:p w14:paraId="687218F0" w14:textId="6CF92C81" w:rsidR="00260443" w:rsidRDefault="004E2E25" w:rsidP="00A17746">
      <w:pPr>
        <w:spacing w:afterLines="200" w:after="480" w:line="480" w:lineRule="auto"/>
        <w:jc w:val="both"/>
        <w:rPr>
          <w:iCs/>
          <w:sz w:val="22"/>
          <w:szCs w:val="22"/>
        </w:rPr>
      </w:pPr>
      <w:r>
        <w:rPr>
          <w:iCs/>
          <w:sz w:val="22"/>
          <w:szCs w:val="22"/>
        </w:rPr>
        <w:t>T</w:t>
      </w:r>
      <w:r w:rsidR="00260443">
        <w:rPr>
          <w:iCs/>
          <w:sz w:val="22"/>
          <w:szCs w:val="22"/>
        </w:rPr>
        <w:t>he WHO</w:t>
      </w:r>
      <w:r w:rsidR="003A6AC1">
        <w:rPr>
          <w:iCs/>
          <w:sz w:val="22"/>
          <w:szCs w:val="22"/>
        </w:rPr>
        <w:t xml:space="preserve"> </w:t>
      </w:r>
      <w:r w:rsidR="00260443">
        <w:rPr>
          <w:iCs/>
          <w:sz w:val="22"/>
          <w:szCs w:val="22"/>
        </w:rPr>
        <w:t>AWaRe classification</w:t>
      </w:r>
      <w:r w:rsidR="0064178C">
        <w:rPr>
          <w:iCs/>
          <w:sz w:val="22"/>
          <w:szCs w:val="22"/>
        </w:rPr>
        <w:t xml:space="preserve"> </w:t>
      </w:r>
      <w:r w:rsidR="003A6AC1">
        <w:rPr>
          <w:iCs/>
          <w:sz w:val="22"/>
          <w:szCs w:val="22"/>
        </w:rPr>
        <w:t>system is a tool the classifies antimicrobials into three core groups.</w:t>
      </w:r>
      <w:r>
        <w:rPr>
          <w:iCs/>
          <w:sz w:val="22"/>
          <w:szCs w:val="22"/>
        </w:rPr>
        <w:fldChar w:fldCharType="begin" w:fldLock="1"/>
      </w:r>
      <w:r w:rsidR="001E7A17">
        <w:rPr>
          <w:iCs/>
          <w:sz w:val="22"/>
          <w:szCs w:val="22"/>
        </w:rPr>
        <w:instrText>ADDIN CSL_CITATION { "citationItems" : [ { "id" : "ITEM-1", "itemData" : { "DOI" : "10.1016/S2214-109X(19)30071-3", "ISSN" : "2214109X", "abstract" : "Background: Improving the quality of hospital antibiotic use is a major goal of WHO's global action plan to combat antimicrobial resistance. The WHO Essential Medicines List Access, Watch, and Reserve (AWaRe) classification could facilitate simple stewardship interventions that are widely applicable globally. We aimed to present data on patterns of paediatric AWaRe antibiotic use that could be used for local and national stewardship interventions. Methods: 1-day point prevalence survey antibiotic prescription data were combined from two independent global networks: the Global Antimicrobial Resistance, Prescribing, and Efficacy in Neonates and Children and the Global Point Prevalence Survey on Antimicrobial Consumption and Resistance networks. We included hospital inpatients aged younger than 19 years receiving at least one antibiotic on the day of the survey. The WHO AWaRe classification was used to describe overall antibiotic use as assessed by the variation between use of Access, Watch, and Reserve antibiotics, for neonates and children and for the commonest clinical indications. Findings: Of the 23 572 patients included from 56 countries, 18 305 were children (77\u00b77%) and 5267 were neonates (22\u00b73%). Access antibiotic use in children ranged from 7\u00b78% (China) to 61\u00b72% (Slovenia) of all antibiotic prescriptions. The use of Watch antibiotics in children was highest in Iran (77\u00b73%) and lowest in Finland (23\u00b70%). In neonates, Access antibiotic use was highest in Singapore (100\u00b70%) and lowest in China (24\u00b72%). Reserve antibiotic use was low in all countries. Major differences in clinical syndrome-specific patterns of AWaRe antibiotic use in lower respiratory tract infection and neonatal sepsis were observed between WHO regions and countries. Interpretation: There is substantial global variation in the proportion of AWaRe antibiotics used in hospitalised neonates and children. The AWaRe classification could potentially be used as a simple traffic light metric of appropriate antibiotic use. Future efforts should focus on developing and evaluating paediatric antibiotic stewardship programmes on the basis of the AWaRe index. Funding: GARPEC was funded by the PENTA Foundation. GARPEC-China data collection was funded by the Sanming Project of Medicine in Shenzhen (SZSM2015120330). bioM\u00e9rieux provided unrestricted funding support for the Global-PPS.", "author" : [ { "dropping-particle" : "", "family" : "Hsia", "given" : "Yingfen", "non-dropping-particle" : "", "parse-names" : false, "suffix" : "" }, { "dropping-particle" : "", "family" : "Lee", "given" : "Brian R.", "non-dropping-particle" : "", "parse-names" : false, "suffix" : "" }, { "dropping-particle" : "", "family" : "Versporten", "given" : "Ann", "non-dropping-particle" : "", "parse-names" : false, "suffix" : "" }, { "dropping-particle" : "", "family" : "Yang", "given" : "Yonghong", "non-dropping-particle" : "", "parse-names" : false, "suffix" : "" }, { "dropping-particle" : "", "family" : "Bielicki", "given" : "Julia", "non-dropping-particle" : "", "parse-names" : false, "suffix" : "" }, { "dropping-particle" : "", "family" : "Jackson", "given" : "Charlotte", "non-dropping-particle" : "", "parse-names" : false, "suffix" : "" }, { "dropping-particle" : "", "family" : "Newland", "given" : "Jason", "non-dropping-particle" : "", "parse-names" : false, "suffix" : "" }, { "dropping-particle" : "", "family" : "Goossens", "given" : "Herman", "non-dropping-particle" : "", "parse-names" : false, "suffix" : "" }, { "dropping-particle" : "", "family" : "Magrini", "given" : "Nicola", "non-dropping-particle" : "", "parse-names" : false, "suffix" : "" }, { "dropping-particle" : "", "family" : "Sharland", "given" : "Mike", "non-dropping-particle" : "", "parse-names" : false, "suffix" : "" } ], "container-title" : "The Lancet Global Health", "id" : "ITEM-1", "issue" : "7", "issued" : { "date-parts" : [ [ "2019", "7", "1" ] ] }, "page" : "e861-e871", "publisher" : "Elsevier Ltd", "title" : "Use of the WHO Access, Watch, and Reserve classification to define patterns of hospital antibiotic use (AWaRe): an analysis of paediatric survey data from 56 countries", "type" : "article-journal", "volume" : "7" }, "uris" : [ "http://www.mendeley.com/documents/?uuid=2da00a95-bdd7-3c68-8ea5-87a7b44b05f1" ] } ], "mendeley" : { "formattedCitation" : "[46]", "plainTextFormattedCitation" : "[46]", "previouslyFormattedCitation" : "[46]" }, "properties" : {  }, "schema" : "https://github.com/citation-style-language/schema/raw/master/csl-citation.json" }</w:instrText>
      </w:r>
      <w:r>
        <w:rPr>
          <w:iCs/>
          <w:sz w:val="22"/>
          <w:szCs w:val="22"/>
        </w:rPr>
        <w:fldChar w:fldCharType="separate"/>
      </w:r>
      <w:r w:rsidR="001E7A17" w:rsidRPr="001E7A17">
        <w:rPr>
          <w:iCs/>
          <w:noProof/>
          <w:sz w:val="22"/>
          <w:szCs w:val="22"/>
        </w:rPr>
        <w:t>[46]</w:t>
      </w:r>
      <w:r>
        <w:rPr>
          <w:iCs/>
          <w:sz w:val="22"/>
          <w:szCs w:val="22"/>
        </w:rPr>
        <w:fldChar w:fldCharType="end"/>
      </w:r>
      <w:r w:rsidR="003A6AC1">
        <w:rPr>
          <w:iCs/>
          <w:sz w:val="22"/>
          <w:szCs w:val="22"/>
        </w:rPr>
        <w:t xml:space="preserve"> </w:t>
      </w:r>
      <w:r w:rsidR="003A6AC1" w:rsidRPr="00E55BF7">
        <w:rPr>
          <w:i/>
          <w:sz w:val="22"/>
          <w:szCs w:val="22"/>
        </w:rPr>
        <w:t>Access</w:t>
      </w:r>
      <w:r w:rsidR="003A6AC1">
        <w:rPr>
          <w:iCs/>
          <w:sz w:val="22"/>
          <w:szCs w:val="22"/>
        </w:rPr>
        <w:t xml:space="preserve"> antimicrobials are narrow spectrum agents, commonly used as </w:t>
      </w:r>
      <w:r w:rsidR="002B06B7">
        <w:rPr>
          <w:iCs/>
          <w:sz w:val="22"/>
          <w:szCs w:val="22"/>
        </w:rPr>
        <w:t>first- and second-line</w:t>
      </w:r>
      <w:r w:rsidR="003A6AC1">
        <w:rPr>
          <w:iCs/>
          <w:sz w:val="22"/>
          <w:szCs w:val="22"/>
        </w:rPr>
        <w:t xml:space="preserve"> agents for common infections and have a lower potential to select resistance than other groups. </w:t>
      </w:r>
      <w:r w:rsidR="003A6AC1" w:rsidRPr="00E55BF7">
        <w:rPr>
          <w:i/>
          <w:sz w:val="22"/>
          <w:szCs w:val="22"/>
        </w:rPr>
        <w:t>Watch</w:t>
      </w:r>
      <w:r w:rsidR="003A6AC1">
        <w:rPr>
          <w:iCs/>
          <w:sz w:val="22"/>
          <w:szCs w:val="22"/>
        </w:rPr>
        <w:t xml:space="preserve"> antimicrobials are those that have a greater potential for the selection of antimicrobial resistance and therefore must be judiciously used in practice. </w:t>
      </w:r>
      <w:r w:rsidR="003A6AC1" w:rsidRPr="00E55BF7">
        <w:rPr>
          <w:i/>
          <w:sz w:val="22"/>
          <w:szCs w:val="22"/>
        </w:rPr>
        <w:t xml:space="preserve">Reserve </w:t>
      </w:r>
      <w:r w:rsidR="003A6AC1">
        <w:rPr>
          <w:iCs/>
          <w:sz w:val="22"/>
          <w:szCs w:val="22"/>
        </w:rPr>
        <w:t xml:space="preserve">antimicrobials are agents that should be held back for the treatment of </w:t>
      </w:r>
      <w:r w:rsidR="002B06B7">
        <w:rPr>
          <w:iCs/>
          <w:sz w:val="22"/>
          <w:szCs w:val="22"/>
        </w:rPr>
        <w:t>multi-drug-resistant organisms, being used as last line treatments.</w:t>
      </w:r>
      <w:r w:rsidR="002B06B7">
        <w:rPr>
          <w:iCs/>
          <w:sz w:val="22"/>
          <w:szCs w:val="22"/>
        </w:rPr>
        <w:fldChar w:fldCharType="begin" w:fldLock="1"/>
      </w:r>
      <w:r w:rsidR="001E7A17">
        <w:rPr>
          <w:iCs/>
          <w:sz w:val="22"/>
          <w:szCs w:val="22"/>
        </w:rPr>
        <w:instrText>ADDIN CSL_CITATION { "citationItems" : [ { "id" : "ITEM-1", "itemData" : { "DOI" : "10.1016/S2214-109X(19)30071-3", "ISSN" : "2214109X", "abstract" : "Background: Improving the quality of hospital antibiotic use is a major goal of WHO's global action plan to combat antimicrobial resistance. The WHO Essential Medicines List Access, Watch, and Reserve (AWaRe) classification could facilitate simple stewardship interventions that are widely applicable globally. We aimed to present data on patterns of paediatric AWaRe antibiotic use that could be used for local and national stewardship interventions. Methods: 1-day point prevalence survey antibiotic prescription data were combined from two independent global networks: the Global Antimicrobial Resistance, Prescribing, and Efficacy in Neonates and Children and the Global Point Prevalence Survey on Antimicrobial Consumption and Resistance networks. We included hospital inpatients aged younger than 19 years receiving at least one antibiotic on the day of the survey. The WHO AWaRe classification was used to describe overall antibiotic use as assessed by the variation between use of Access, Watch, and Reserve antibiotics, for neonates and children and for the commonest clinical indications. Findings: Of the 23 572 patients included from 56 countries, 18 305 were children (77\u00b77%) and 5267 were neonates (22\u00b73%). Access antibiotic use in children ranged from 7\u00b78% (China) to 61\u00b72% (Slovenia) of all antibiotic prescriptions. The use of Watch antibiotics in children was highest in Iran (77\u00b73%) and lowest in Finland (23\u00b70%). In neonates, Access antibiotic use was highest in Singapore (100\u00b70%) and lowest in China (24\u00b72%). Reserve antibiotic use was low in all countries. Major differences in clinical syndrome-specific patterns of AWaRe antibiotic use in lower respiratory tract infection and neonatal sepsis were observed between WHO regions and countries. Interpretation: There is substantial global variation in the proportion of AWaRe antibiotics used in hospitalised neonates and children. The AWaRe classification could potentially be used as a simple traffic light metric of appropriate antibiotic use. Future efforts should focus on developing and evaluating paediatric antibiotic stewardship programmes on the basis of the AWaRe index. Funding: GARPEC was funded by the PENTA Foundation. GARPEC-China data collection was funded by the Sanming Project of Medicine in Shenzhen (SZSM2015120330). bioM\u00e9rieux provided unrestricted funding support for the Global-PPS.", "author" : [ { "dropping-particle" : "", "family" : "Hsia", "given" : "Yingfen", "non-dropping-particle" : "", "parse-names" : false, "suffix" : "" }, { "dropping-particle" : "", "family" : "Lee", "given" : "Brian R.", "non-dropping-particle" : "", "parse-names" : false, "suffix" : "" }, { "dropping-particle" : "", "family" : "Versporten", "given" : "Ann", "non-dropping-particle" : "", "parse-names" : false, "suffix" : "" }, { "dropping-particle" : "", "family" : "Yang", "given" : "Yonghong", "non-dropping-particle" : "", "parse-names" : false, "suffix" : "" }, { "dropping-particle" : "", "family" : "Bielicki", "given" : "Julia", "non-dropping-particle" : "", "parse-names" : false, "suffix" : "" }, { "dropping-particle" : "", "family" : "Jackson", "given" : "Charlotte", "non-dropping-particle" : "", "parse-names" : false, "suffix" : "" }, { "dropping-particle" : "", "family" : "Newland", "given" : "Jason", "non-dropping-particle" : "", "parse-names" : false, "suffix" : "" }, { "dropping-particle" : "", "family" : "Goossens", "given" : "Herman", "non-dropping-particle" : "", "parse-names" : false, "suffix" : "" }, { "dropping-particle" : "", "family" : "Magrini", "given" : "Nicola", "non-dropping-particle" : "", "parse-names" : false, "suffix" : "" }, { "dropping-particle" : "", "family" : "Sharland", "given" : "Mike", "non-dropping-particle" : "", "parse-names" : false, "suffix" : "" } ], "container-title" : "The Lancet Global Health", "id" : "ITEM-1", "issue" : "7", "issued" : { "date-parts" : [ [ "2019", "7", "1" ] ] }, "page" : "e861-e871", "publisher" : "Elsevier Ltd", "title" : "Use of the WHO Access, Watch, and Reserve classification to define patterns of hospital antibiotic use (AWaRe): an analysis of paediatric survey data from 56 countries", "type" : "article-journal", "volume" : "7" }, "uris" : [ "http://www.mendeley.com/documents/?uuid=2da00a95-bdd7-3c68-8ea5-87a7b44b05f1" ] } ], "mendeley" : { "formattedCitation" : "[46]", "plainTextFormattedCitation" : "[46]", "previouslyFormattedCitation" : "[46]" }, "properties" : {  }, "schema" : "https://github.com/citation-style-language/schema/raw/master/csl-citation.json" }</w:instrText>
      </w:r>
      <w:r w:rsidR="002B06B7">
        <w:rPr>
          <w:iCs/>
          <w:sz w:val="22"/>
          <w:szCs w:val="22"/>
        </w:rPr>
        <w:fldChar w:fldCharType="separate"/>
      </w:r>
      <w:r w:rsidR="001E7A17" w:rsidRPr="001E7A17">
        <w:rPr>
          <w:iCs/>
          <w:noProof/>
          <w:sz w:val="22"/>
          <w:szCs w:val="22"/>
        </w:rPr>
        <w:t>[46]</w:t>
      </w:r>
      <w:r w:rsidR="002B06B7">
        <w:rPr>
          <w:iCs/>
          <w:sz w:val="22"/>
          <w:szCs w:val="22"/>
        </w:rPr>
        <w:fldChar w:fldCharType="end"/>
      </w:r>
      <w:r w:rsidR="002B06B7">
        <w:rPr>
          <w:iCs/>
          <w:sz w:val="22"/>
          <w:szCs w:val="22"/>
        </w:rPr>
        <w:t xml:space="preserve"> This classification </w:t>
      </w:r>
      <w:r w:rsidR="00363FD7">
        <w:rPr>
          <w:iCs/>
          <w:sz w:val="22"/>
          <w:szCs w:val="22"/>
        </w:rPr>
        <w:t>provides a</w:t>
      </w:r>
      <w:r w:rsidR="002B06B7">
        <w:rPr>
          <w:iCs/>
          <w:sz w:val="22"/>
          <w:szCs w:val="22"/>
        </w:rPr>
        <w:t xml:space="preserve"> framework for standardised reporting of stewardship interventions and has been adopted internationally by policy makers and healthcare systems.</w:t>
      </w:r>
      <w:r w:rsidR="00D72B4D">
        <w:rPr>
          <w:iCs/>
          <w:sz w:val="22"/>
          <w:szCs w:val="22"/>
        </w:rPr>
        <w:t xml:space="preserve"> The full table is available in </w:t>
      </w:r>
      <w:r w:rsidR="00D72B4D" w:rsidRPr="00D81624">
        <w:rPr>
          <w:b/>
          <w:bCs/>
          <w:i/>
          <w:sz w:val="22"/>
          <w:szCs w:val="22"/>
        </w:rPr>
        <w:t>supplementary document 1</w:t>
      </w:r>
      <w:r w:rsidR="00D72B4D">
        <w:rPr>
          <w:iCs/>
          <w:sz w:val="22"/>
          <w:szCs w:val="22"/>
        </w:rPr>
        <w:t>.</w:t>
      </w:r>
      <w:r w:rsidR="00F46F43">
        <w:rPr>
          <w:iCs/>
          <w:sz w:val="22"/>
          <w:szCs w:val="22"/>
        </w:rPr>
        <w:t xml:space="preserve"> Where more than one antimicrobial was prescribed / recommended, the highest classification was chosen as the final outcome.</w:t>
      </w:r>
    </w:p>
    <w:p w14:paraId="45A49FC7" w14:textId="1ECC9A41" w:rsidR="00720501" w:rsidRDefault="009549EE" w:rsidP="00A17746">
      <w:pPr>
        <w:spacing w:afterLines="200" w:after="480" w:line="480" w:lineRule="auto"/>
        <w:jc w:val="both"/>
        <w:rPr>
          <w:iCs/>
          <w:sz w:val="22"/>
          <w:szCs w:val="22"/>
        </w:rPr>
      </w:pPr>
      <w:r>
        <w:rPr>
          <w:iCs/>
          <w:sz w:val="22"/>
          <w:szCs w:val="22"/>
        </w:rPr>
        <w:t xml:space="preserve">Additionally, </w:t>
      </w:r>
      <w:r w:rsidR="003A6AC1">
        <w:rPr>
          <w:iCs/>
          <w:sz w:val="22"/>
          <w:szCs w:val="22"/>
        </w:rPr>
        <w:t xml:space="preserve">the overall </w:t>
      </w:r>
      <w:r>
        <w:rPr>
          <w:iCs/>
          <w:sz w:val="22"/>
          <w:szCs w:val="22"/>
        </w:rPr>
        <w:t xml:space="preserve">appropriateness of therapy was determined by two </w:t>
      </w:r>
      <w:r w:rsidR="00D17280">
        <w:rPr>
          <w:iCs/>
          <w:sz w:val="22"/>
          <w:szCs w:val="22"/>
        </w:rPr>
        <w:t>clinicians</w:t>
      </w:r>
      <w:r w:rsidR="007D6C89">
        <w:rPr>
          <w:iCs/>
          <w:sz w:val="22"/>
          <w:szCs w:val="22"/>
        </w:rPr>
        <w:t xml:space="preserve"> (TMR &amp; LSPM)</w:t>
      </w:r>
      <w:r>
        <w:rPr>
          <w:iCs/>
          <w:sz w:val="22"/>
          <w:szCs w:val="22"/>
        </w:rPr>
        <w:t xml:space="preserve"> who</w:t>
      </w:r>
      <w:r w:rsidR="00044BFB">
        <w:rPr>
          <w:iCs/>
          <w:sz w:val="22"/>
          <w:szCs w:val="22"/>
        </w:rPr>
        <w:t xml:space="preserve"> independently</w:t>
      </w:r>
      <w:r>
        <w:rPr>
          <w:iCs/>
          <w:sz w:val="22"/>
          <w:szCs w:val="22"/>
        </w:rPr>
        <w:t xml:space="preserve"> reviewed both </w:t>
      </w:r>
      <w:r w:rsidR="00363FD7">
        <w:rPr>
          <w:iCs/>
          <w:sz w:val="22"/>
          <w:szCs w:val="22"/>
        </w:rPr>
        <w:t>physician</w:t>
      </w:r>
      <w:r>
        <w:rPr>
          <w:iCs/>
          <w:sz w:val="22"/>
          <w:szCs w:val="22"/>
        </w:rPr>
        <w:t xml:space="preserve"> antibiotic decision and the </w:t>
      </w:r>
      <w:r w:rsidR="00363FD7">
        <w:rPr>
          <w:iCs/>
          <w:sz w:val="22"/>
          <w:szCs w:val="22"/>
        </w:rPr>
        <w:t xml:space="preserve">CBR </w:t>
      </w:r>
      <w:r>
        <w:rPr>
          <w:iCs/>
          <w:sz w:val="22"/>
          <w:szCs w:val="22"/>
        </w:rPr>
        <w:t>recommendation</w:t>
      </w:r>
      <w:r w:rsidR="00363FD7">
        <w:rPr>
          <w:iCs/>
          <w:sz w:val="22"/>
          <w:szCs w:val="22"/>
        </w:rPr>
        <w:t>s</w:t>
      </w:r>
      <w:r>
        <w:rPr>
          <w:iCs/>
          <w:sz w:val="22"/>
          <w:szCs w:val="22"/>
        </w:rPr>
        <w:t xml:space="preserve">. For the purpose of this study, appropriateness was defined as when the </w:t>
      </w:r>
      <w:r>
        <w:rPr>
          <w:iCs/>
          <w:sz w:val="22"/>
          <w:szCs w:val="22"/>
        </w:rPr>
        <w:lastRenderedPageBreak/>
        <w:t>spectrum of the antimicrobial prescribed</w:t>
      </w:r>
      <w:r w:rsidR="00D56013">
        <w:rPr>
          <w:iCs/>
          <w:sz w:val="22"/>
          <w:szCs w:val="22"/>
        </w:rPr>
        <w:t xml:space="preserve"> </w:t>
      </w:r>
      <w:r>
        <w:rPr>
          <w:iCs/>
          <w:sz w:val="22"/>
          <w:szCs w:val="22"/>
        </w:rPr>
        <w:t>or recommended</w:t>
      </w:r>
      <w:r w:rsidR="004E2E25">
        <w:rPr>
          <w:iCs/>
          <w:sz w:val="22"/>
          <w:szCs w:val="22"/>
        </w:rPr>
        <w:t xml:space="preserve">, determined using the ASI, </w:t>
      </w:r>
      <w:r>
        <w:rPr>
          <w:iCs/>
          <w:sz w:val="22"/>
          <w:szCs w:val="22"/>
        </w:rPr>
        <w:t>would cover the organism being targeted by therapy. For empirical prescribing, a local</w:t>
      </w:r>
      <w:r w:rsidR="00D17280">
        <w:rPr>
          <w:iCs/>
          <w:sz w:val="22"/>
          <w:szCs w:val="22"/>
        </w:rPr>
        <w:t xml:space="preserve"> institution</w:t>
      </w:r>
      <w:r>
        <w:rPr>
          <w:iCs/>
          <w:sz w:val="22"/>
          <w:szCs w:val="22"/>
        </w:rPr>
        <w:t xml:space="preserve"> antibiogram was used to infer appropriateness. When subsequent culture had yielded a pathogen, individual sensitivity data were used. </w:t>
      </w:r>
    </w:p>
    <w:p w14:paraId="368DECB8" w14:textId="160B03E2" w:rsidR="00CF0E7D" w:rsidRPr="000F0997" w:rsidRDefault="00CF0E7D" w:rsidP="00CF0E7D">
      <w:pPr>
        <w:spacing w:line="480" w:lineRule="auto"/>
        <w:jc w:val="both"/>
        <w:rPr>
          <w:i/>
          <w:iCs/>
          <w:sz w:val="22"/>
          <w:szCs w:val="22"/>
        </w:rPr>
      </w:pPr>
      <w:r>
        <w:rPr>
          <w:i/>
          <w:iCs/>
          <w:sz w:val="22"/>
          <w:szCs w:val="22"/>
        </w:rPr>
        <w:t>Sample size</w:t>
      </w:r>
    </w:p>
    <w:p w14:paraId="2494DAF1" w14:textId="2BEFC454" w:rsidR="000F0997" w:rsidRDefault="007A1D13" w:rsidP="00DD1FDD">
      <w:pPr>
        <w:spacing w:line="480" w:lineRule="auto"/>
        <w:jc w:val="both"/>
        <w:rPr>
          <w:iCs/>
          <w:sz w:val="22"/>
          <w:szCs w:val="22"/>
        </w:rPr>
      </w:pPr>
      <w:r>
        <w:rPr>
          <w:iCs/>
          <w:sz w:val="22"/>
          <w:szCs w:val="22"/>
        </w:rPr>
        <w:t>The study was powered to demonstrate a mean difference in ASI</w:t>
      </w:r>
      <w:r>
        <w:rPr>
          <w:i/>
          <w:sz w:val="22"/>
          <w:szCs w:val="22"/>
        </w:rPr>
        <w:t xml:space="preserve"> </w:t>
      </w:r>
      <w:r>
        <w:rPr>
          <w:iCs/>
          <w:sz w:val="22"/>
          <w:szCs w:val="22"/>
        </w:rPr>
        <w:t xml:space="preserve">of </w:t>
      </w:r>
      <w:r w:rsidR="00720501">
        <w:rPr>
          <w:iCs/>
          <w:sz w:val="22"/>
          <w:szCs w:val="22"/>
        </w:rPr>
        <w:t xml:space="preserve">greater than or equal to </w:t>
      </w:r>
      <w:r>
        <w:rPr>
          <w:iCs/>
          <w:sz w:val="22"/>
          <w:szCs w:val="22"/>
        </w:rPr>
        <w:t>1 unit with a power of 80% and significance of p=0.05,</w:t>
      </w:r>
      <w:r w:rsidR="00E52E6E">
        <w:rPr>
          <w:iCs/>
          <w:sz w:val="22"/>
          <w:szCs w:val="22"/>
        </w:rPr>
        <w:t xml:space="preserve"> for a paired, two-tailed test.</w:t>
      </w:r>
      <w:r>
        <w:rPr>
          <w:iCs/>
          <w:sz w:val="22"/>
          <w:szCs w:val="22"/>
        </w:rPr>
        <w:t xml:space="preserve"> To achieve this, it was estimated that at least 74 patients would need to be </w:t>
      </w:r>
      <w:r w:rsidR="00E52E6E">
        <w:rPr>
          <w:iCs/>
          <w:sz w:val="22"/>
          <w:szCs w:val="22"/>
        </w:rPr>
        <w:t>included</w:t>
      </w:r>
      <w:r w:rsidR="00720501">
        <w:rPr>
          <w:iCs/>
          <w:sz w:val="22"/>
          <w:szCs w:val="22"/>
        </w:rPr>
        <w:t xml:space="preserve">. </w:t>
      </w:r>
    </w:p>
    <w:p w14:paraId="128F67AD" w14:textId="57926936" w:rsidR="007A1D13" w:rsidRDefault="007A1D13" w:rsidP="00DD1FDD">
      <w:pPr>
        <w:spacing w:line="480" w:lineRule="auto"/>
        <w:jc w:val="both"/>
        <w:rPr>
          <w:iCs/>
          <w:sz w:val="22"/>
          <w:szCs w:val="22"/>
        </w:rPr>
      </w:pPr>
    </w:p>
    <w:p w14:paraId="26DB273E" w14:textId="6DA0D62A" w:rsidR="00720501" w:rsidRDefault="00720501" w:rsidP="00DD1FDD">
      <w:pPr>
        <w:spacing w:line="480" w:lineRule="auto"/>
        <w:jc w:val="both"/>
        <w:rPr>
          <w:i/>
          <w:sz w:val="22"/>
          <w:szCs w:val="22"/>
        </w:rPr>
      </w:pPr>
      <w:r>
        <w:rPr>
          <w:i/>
          <w:sz w:val="22"/>
          <w:szCs w:val="22"/>
        </w:rPr>
        <w:t xml:space="preserve">Statistical analysis </w:t>
      </w:r>
    </w:p>
    <w:p w14:paraId="4E44FF92" w14:textId="0B5946AF" w:rsidR="00720501" w:rsidRPr="00720501" w:rsidRDefault="00720501" w:rsidP="00DD1FDD">
      <w:pPr>
        <w:spacing w:line="480" w:lineRule="auto"/>
        <w:jc w:val="both"/>
        <w:rPr>
          <w:iCs/>
          <w:sz w:val="22"/>
          <w:szCs w:val="22"/>
        </w:rPr>
      </w:pPr>
      <w:r>
        <w:rPr>
          <w:iCs/>
          <w:sz w:val="22"/>
          <w:szCs w:val="22"/>
        </w:rPr>
        <w:t>Data were analysed using SPSS 23.0 (IBM statistics, USA). Normality of distributions was evaluated using Shap</w:t>
      </w:r>
      <w:r w:rsidR="00D17280">
        <w:rPr>
          <w:iCs/>
          <w:sz w:val="22"/>
          <w:szCs w:val="22"/>
        </w:rPr>
        <w:t>i</w:t>
      </w:r>
      <w:r>
        <w:rPr>
          <w:iCs/>
          <w:sz w:val="22"/>
          <w:szCs w:val="22"/>
        </w:rPr>
        <w:t>ro-Wilks test for normality. Where normality was demonstrated paired t-testing was performed. W</w:t>
      </w:r>
      <w:r w:rsidR="005D7B84">
        <w:rPr>
          <w:iCs/>
          <w:sz w:val="22"/>
          <w:szCs w:val="22"/>
        </w:rPr>
        <w:t>h</w:t>
      </w:r>
      <w:r>
        <w:rPr>
          <w:iCs/>
          <w:sz w:val="22"/>
          <w:szCs w:val="22"/>
        </w:rPr>
        <w:t xml:space="preserve">ere data were non-parametric, Wilcoxon signed-rank test was used. For comparison of dichotomous outcomes, Pearson </w:t>
      </w:r>
      <w:r w:rsidRPr="00E55BF7">
        <w:rPr>
          <w:i/>
          <w:sz w:val="22"/>
          <w:szCs w:val="22"/>
        </w:rPr>
        <w:t>X</w:t>
      </w:r>
      <w:r w:rsidRPr="00E55BF7">
        <w:rPr>
          <w:i/>
          <w:sz w:val="22"/>
          <w:szCs w:val="22"/>
          <w:vertAlign w:val="superscript"/>
        </w:rPr>
        <w:t>2</w:t>
      </w:r>
      <w:r>
        <w:rPr>
          <w:iCs/>
          <w:sz w:val="22"/>
          <w:szCs w:val="22"/>
        </w:rPr>
        <w:t xml:space="preserve"> testing were used. All data were analysed as an intention-to-treat (ITT) analysis</w:t>
      </w:r>
      <w:r w:rsidR="009549EE">
        <w:rPr>
          <w:iCs/>
          <w:sz w:val="22"/>
          <w:szCs w:val="22"/>
        </w:rPr>
        <w:t xml:space="preserve"> including both appropriate and inappropriate prescriptions</w:t>
      </w:r>
      <w:r>
        <w:rPr>
          <w:iCs/>
          <w:sz w:val="22"/>
          <w:szCs w:val="22"/>
        </w:rPr>
        <w:t xml:space="preserve">. Per-protocol (PP) was also performed on patients where CBR recommendation spectrum covered the target pathogen being treated.  </w:t>
      </w:r>
    </w:p>
    <w:p w14:paraId="00B7A77B" w14:textId="77777777" w:rsidR="00720501" w:rsidRDefault="00720501" w:rsidP="00DD1FDD">
      <w:pPr>
        <w:spacing w:line="480" w:lineRule="auto"/>
        <w:jc w:val="both"/>
        <w:rPr>
          <w:iCs/>
          <w:sz w:val="22"/>
          <w:szCs w:val="22"/>
        </w:rPr>
      </w:pPr>
    </w:p>
    <w:p w14:paraId="2C0C78A0" w14:textId="22891A03" w:rsidR="00720501" w:rsidRPr="007A1D13" w:rsidRDefault="00720501" w:rsidP="00DD1FDD">
      <w:pPr>
        <w:spacing w:line="480" w:lineRule="auto"/>
        <w:jc w:val="both"/>
        <w:rPr>
          <w:iCs/>
          <w:sz w:val="22"/>
          <w:szCs w:val="22"/>
        </w:rPr>
        <w:sectPr w:rsidR="00720501" w:rsidRPr="007A1D13" w:rsidSect="007B595B">
          <w:pgSz w:w="11906" w:h="16838"/>
          <w:pgMar w:top="1440" w:right="1440" w:bottom="1440" w:left="1440" w:header="709" w:footer="709" w:gutter="0"/>
          <w:cols w:space="708"/>
          <w:docGrid w:linePitch="360"/>
        </w:sectPr>
      </w:pPr>
    </w:p>
    <w:p w14:paraId="757C5A34" w14:textId="13C81BBD" w:rsidR="00B57118" w:rsidRDefault="00B57118" w:rsidP="00B57118">
      <w:pPr>
        <w:spacing w:line="480" w:lineRule="auto"/>
        <w:jc w:val="both"/>
        <w:rPr>
          <w:b/>
          <w:sz w:val="24"/>
          <w:szCs w:val="24"/>
        </w:rPr>
      </w:pPr>
      <w:r w:rsidRPr="0035263C">
        <w:rPr>
          <w:b/>
          <w:sz w:val="24"/>
          <w:szCs w:val="24"/>
        </w:rPr>
        <w:lastRenderedPageBreak/>
        <w:t>Results</w:t>
      </w:r>
    </w:p>
    <w:p w14:paraId="1482AED3" w14:textId="0F902734" w:rsidR="008D1101" w:rsidRDefault="008D1101" w:rsidP="008D1101">
      <w:pPr>
        <w:spacing w:line="480" w:lineRule="auto"/>
        <w:jc w:val="both"/>
        <w:rPr>
          <w:i/>
          <w:sz w:val="22"/>
          <w:szCs w:val="22"/>
        </w:rPr>
      </w:pPr>
      <w:r>
        <w:rPr>
          <w:i/>
          <w:sz w:val="22"/>
          <w:szCs w:val="22"/>
        </w:rPr>
        <w:t xml:space="preserve">Descriptive data </w:t>
      </w:r>
    </w:p>
    <w:p w14:paraId="653915AB" w14:textId="77777777" w:rsidR="000E7DE4" w:rsidRDefault="008D1101" w:rsidP="008D1101">
      <w:pPr>
        <w:spacing w:after="200" w:line="480" w:lineRule="auto"/>
        <w:jc w:val="both"/>
        <w:rPr>
          <w:iCs/>
          <w:sz w:val="22"/>
          <w:szCs w:val="22"/>
        </w:rPr>
      </w:pPr>
      <w:r>
        <w:rPr>
          <w:iCs/>
          <w:sz w:val="22"/>
          <w:szCs w:val="22"/>
        </w:rPr>
        <w:t xml:space="preserve">In total, 224 individual patients were included in the </w:t>
      </w:r>
      <w:r w:rsidR="000E7DE4">
        <w:rPr>
          <w:iCs/>
          <w:sz w:val="22"/>
          <w:szCs w:val="22"/>
        </w:rPr>
        <w:t xml:space="preserve">complete </w:t>
      </w:r>
      <w:r>
        <w:rPr>
          <w:iCs/>
          <w:sz w:val="22"/>
          <w:szCs w:val="22"/>
        </w:rPr>
        <w:t xml:space="preserve">study. </w:t>
      </w:r>
    </w:p>
    <w:p w14:paraId="18661FE7" w14:textId="59ED27E9" w:rsidR="008D1101" w:rsidRDefault="000E7DE4" w:rsidP="008D1101">
      <w:pPr>
        <w:spacing w:after="200" w:line="480" w:lineRule="auto"/>
        <w:jc w:val="both"/>
        <w:rPr>
          <w:sz w:val="22"/>
          <w:szCs w:val="22"/>
        </w:rPr>
      </w:pPr>
      <w:r>
        <w:rPr>
          <w:iCs/>
          <w:sz w:val="22"/>
          <w:szCs w:val="22"/>
        </w:rPr>
        <w:t xml:space="preserve">Firstly, </w:t>
      </w:r>
      <w:r w:rsidR="008D1101">
        <w:rPr>
          <w:iCs/>
          <w:sz w:val="22"/>
          <w:szCs w:val="22"/>
        </w:rPr>
        <w:t xml:space="preserve">145 </w:t>
      </w:r>
      <w:r w:rsidR="00681656" w:rsidRPr="0064178C">
        <w:rPr>
          <w:i/>
          <w:iCs/>
          <w:sz w:val="22"/>
          <w:szCs w:val="22"/>
        </w:rPr>
        <w:t>E.coli</w:t>
      </w:r>
      <w:r w:rsidR="00681656">
        <w:rPr>
          <w:iCs/>
          <w:sz w:val="22"/>
          <w:szCs w:val="22"/>
        </w:rPr>
        <w:t xml:space="preserve"> </w:t>
      </w:r>
      <w:r w:rsidR="008D1101">
        <w:rPr>
          <w:iCs/>
          <w:sz w:val="22"/>
          <w:szCs w:val="22"/>
        </w:rPr>
        <w:t>patients were input into the CBR algorithm. Mean (SD) age was 66 (19) years with 77/145</w:t>
      </w:r>
      <w:r w:rsidR="008D1101">
        <w:rPr>
          <w:sz w:val="22"/>
          <w:szCs w:val="22"/>
        </w:rPr>
        <w:t xml:space="preserve"> (53%) female. All 145 patients had received antibiotic treatment. </w:t>
      </w:r>
      <w:r w:rsidR="00CC1D0A">
        <w:rPr>
          <w:sz w:val="22"/>
          <w:szCs w:val="22"/>
        </w:rPr>
        <w:t xml:space="preserve">No individual </w:t>
      </w:r>
      <w:r w:rsidR="00AA59A9">
        <w:rPr>
          <w:sz w:val="22"/>
          <w:szCs w:val="22"/>
        </w:rPr>
        <w:t xml:space="preserve">patients </w:t>
      </w:r>
      <w:r w:rsidR="00CC1D0A">
        <w:rPr>
          <w:sz w:val="22"/>
          <w:szCs w:val="22"/>
        </w:rPr>
        <w:t>were excluded.</w:t>
      </w:r>
    </w:p>
    <w:p w14:paraId="430D098B" w14:textId="6AA48BE5" w:rsidR="008D1101" w:rsidRDefault="000E7DE4" w:rsidP="008D1101">
      <w:pPr>
        <w:spacing w:after="200" w:line="480" w:lineRule="auto"/>
        <w:jc w:val="both"/>
        <w:rPr>
          <w:sz w:val="22"/>
          <w:szCs w:val="22"/>
        </w:rPr>
      </w:pPr>
      <w:r>
        <w:rPr>
          <w:sz w:val="22"/>
          <w:szCs w:val="22"/>
        </w:rPr>
        <w:t xml:space="preserve">Secondly, </w:t>
      </w:r>
      <w:r w:rsidR="00CC1D0A">
        <w:rPr>
          <w:sz w:val="22"/>
          <w:szCs w:val="22"/>
        </w:rPr>
        <w:t>89</w:t>
      </w:r>
      <w:r w:rsidR="00681656">
        <w:rPr>
          <w:sz w:val="22"/>
          <w:szCs w:val="22"/>
        </w:rPr>
        <w:t xml:space="preserve"> ward patients</w:t>
      </w:r>
      <w:r w:rsidR="00CC1D0A">
        <w:rPr>
          <w:sz w:val="22"/>
          <w:szCs w:val="22"/>
        </w:rPr>
        <w:t xml:space="preserve"> </w:t>
      </w:r>
      <w:r w:rsidR="008D1101">
        <w:rPr>
          <w:sz w:val="22"/>
          <w:szCs w:val="22"/>
        </w:rPr>
        <w:t>were</w:t>
      </w:r>
      <w:r w:rsidR="00CC1D0A">
        <w:rPr>
          <w:sz w:val="22"/>
          <w:szCs w:val="22"/>
        </w:rPr>
        <w:t xml:space="preserve"> input</w:t>
      </w:r>
      <w:r w:rsidR="008D1101">
        <w:rPr>
          <w:sz w:val="22"/>
          <w:szCs w:val="22"/>
        </w:rPr>
        <w:t xml:space="preserve"> into the CBR</w:t>
      </w:r>
      <w:r w:rsidR="00CC1D0A">
        <w:rPr>
          <w:sz w:val="22"/>
          <w:szCs w:val="22"/>
        </w:rPr>
        <w:t xml:space="preserve"> algorithm</w:t>
      </w:r>
      <w:r w:rsidR="008D1101">
        <w:rPr>
          <w:sz w:val="22"/>
          <w:szCs w:val="22"/>
        </w:rPr>
        <w:t>.</w:t>
      </w:r>
      <w:r w:rsidR="00CC1D0A">
        <w:rPr>
          <w:sz w:val="22"/>
          <w:szCs w:val="22"/>
        </w:rPr>
        <w:t xml:space="preserve"> Of these, 79/89 (89%) were included in the analysis. Ten cases were excluded as </w:t>
      </w:r>
      <w:r w:rsidR="005D7B84">
        <w:rPr>
          <w:sz w:val="22"/>
          <w:szCs w:val="22"/>
        </w:rPr>
        <w:t>patients</w:t>
      </w:r>
      <w:r w:rsidR="00CC1D0A">
        <w:rPr>
          <w:sz w:val="22"/>
          <w:szCs w:val="22"/>
        </w:rPr>
        <w:t xml:space="preserve"> were treated for </w:t>
      </w:r>
      <w:r w:rsidR="00CC1D0A">
        <w:rPr>
          <w:i/>
          <w:sz w:val="22"/>
          <w:szCs w:val="22"/>
        </w:rPr>
        <w:t xml:space="preserve">Clostridium difficile </w:t>
      </w:r>
      <w:r w:rsidR="00CC1D0A">
        <w:rPr>
          <w:sz w:val="22"/>
          <w:szCs w:val="22"/>
        </w:rPr>
        <w:t xml:space="preserve">infection (3/10; 30%) or </w:t>
      </w:r>
      <w:r w:rsidR="00B048CB">
        <w:rPr>
          <w:sz w:val="22"/>
          <w:szCs w:val="22"/>
        </w:rPr>
        <w:t>neutropenic</w:t>
      </w:r>
      <w:r w:rsidR="00CC1D0A">
        <w:rPr>
          <w:sz w:val="22"/>
          <w:szCs w:val="22"/>
        </w:rPr>
        <w:t xml:space="preserve"> sepsis (7/10; 70%), which was beyond the scope of this study.</w:t>
      </w:r>
      <w:r w:rsidR="008D1101">
        <w:rPr>
          <w:sz w:val="22"/>
          <w:szCs w:val="22"/>
        </w:rPr>
        <w:t xml:space="preserve"> Mean (SD) age was 68 (16) years with 31/79 (39%) female. Of the 79 patients, 14 (18%) did not have </w:t>
      </w:r>
      <w:r w:rsidR="004C330A">
        <w:rPr>
          <w:sz w:val="22"/>
          <w:szCs w:val="22"/>
        </w:rPr>
        <w:t xml:space="preserve">clinical, biochemical, or microbiological </w:t>
      </w:r>
      <w:r w:rsidR="008D1101">
        <w:rPr>
          <w:sz w:val="22"/>
          <w:szCs w:val="22"/>
        </w:rPr>
        <w:t>evidence of infection</w:t>
      </w:r>
      <w:r w:rsidR="004C330A">
        <w:rPr>
          <w:sz w:val="22"/>
          <w:szCs w:val="22"/>
        </w:rPr>
        <w:t>.</w:t>
      </w:r>
      <w:r w:rsidR="008D1101">
        <w:rPr>
          <w:sz w:val="22"/>
          <w:szCs w:val="22"/>
        </w:rPr>
        <w:t xml:space="preserve"> Pneumonia was the most common empirical diagnosis with 22/79 (28%) patients treated for this. Other empirical diagnoses made were intra-abdominal infection (11/79; 14%), blood stream infection (8/79; 10%), urinary tract infection (8/79; 10%), skin and soft tissue infection (8/79; 10%), and other infection (6/79; 8%).   </w:t>
      </w:r>
    </w:p>
    <w:p w14:paraId="4E12637A" w14:textId="77777777" w:rsidR="00441160" w:rsidRDefault="00441160" w:rsidP="00B97B49">
      <w:pPr>
        <w:spacing w:line="480" w:lineRule="auto"/>
        <w:jc w:val="both"/>
        <w:rPr>
          <w:i/>
          <w:sz w:val="22"/>
          <w:szCs w:val="22"/>
        </w:rPr>
      </w:pPr>
    </w:p>
    <w:p w14:paraId="0C97CBF4" w14:textId="59E14C20" w:rsidR="00B97B49" w:rsidRDefault="00B97B49" w:rsidP="00B97B49">
      <w:pPr>
        <w:spacing w:line="480" w:lineRule="auto"/>
        <w:jc w:val="both"/>
        <w:rPr>
          <w:i/>
          <w:sz w:val="22"/>
          <w:szCs w:val="22"/>
        </w:rPr>
      </w:pPr>
      <w:r>
        <w:rPr>
          <w:i/>
          <w:sz w:val="22"/>
          <w:szCs w:val="22"/>
        </w:rPr>
        <w:t>Case-Based</w:t>
      </w:r>
      <w:r w:rsidR="00AA59A9">
        <w:rPr>
          <w:i/>
          <w:sz w:val="22"/>
          <w:szCs w:val="22"/>
        </w:rPr>
        <w:t xml:space="preserve"> </w:t>
      </w:r>
      <w:r>
        <w:rPr>
          <w:i/>
          <w:sz w:val="22"/>
          <w:szCs w:val="22"/>
        </w:rPr>
        <w:t>Reasoning performance</w:t>
      </w:r>
    </w:p>
    <w:p w14:paraId="51E1EFD7" w14:textId="12A9C385" w:rsidR="00B97B49" w:rsidRDefault="001E319D" w:rsidP="008D1101">
      <w:pPr>
        <w:spacing w:after="200" w:line="480" w:lineRule="auto"/>
        <w:jc w:val="both"/>
        <w:rPr>
          <w:iCs/>
          <w:sz w:val="22"/>
          <w:szCs w:val="22"/>
        </w:rPr>
      </w:pPr>
      <w:r>
        <w:rPr>
          <w:iCs/>
          <w:sz w:val="22"/>
          <w:szCs w:val="22"/>
        </w:rPr>
        <w:t>Of the</w:t>
      </w:r>
      <w:r w:rsidR="00363FD7">
        <w:rPr>
          <w:iCs/>
          <w:sz w:val="22"/>
          <w:szCs w:val="22"/>
        </w:rPr>
        <w:t xml:space="preserve"> </w:t>
      </w:r>
      <w:r>
        <w:rPr>
          <w:iCs/>
          <w:sz w:val="22"/>
          <w:szCs w:val="22"/>
        </w:rPr>
        <w:t>224 individual patients</w:t>
      </w:r>
      <w:r w:rsidR="00363FD7">
        <w:rPr>
          <w:iCs/>
          <w:sz w:val="22"/>
          <w:szCs w:val="22"/>
        </w:rPr>
        <w:t xml:space="preserve"> included</w:t>
      </w:r>
      <w:r>
        <w:rPr>
          <w:iCs/>
          <w:sz w:val="22"/>
          <w:szCs w:val="22"/>
        </w:rPr>
        <w:t xml:space="preserve">, 202 (90%) of the CBR recommendations were deemed appropriate based on the spectrum of antimicrobial activity required. This was compared to 186/224 (83%) of prescriptions made by </w:t>
      </w:r>
      <w:r w:rsidR="006E04E9">
        <w:rPr>
          <w:iCs/>
          <w:sz w:val="22"/>
          <w:szCs w:val="22"/>
        </w:rPr>
        <w:t>physicians</w:t>
      </w:r>
      <w:r>
        <w:rPr>
          <w:iCs/>
          <w:sz w:val="22"/>
          <w:szCs w:val="22"/>
        </w:rPr>
        <w:t xml:space="preserve">. There was no statistical difference between </w:t>
      </w:r>
      <w:r w:rsidR="006E04E9">
        <w:rPr>
          <w:iCs/>
          <w:sz w:val="22"/>
          <w:szCs w:val="22"/>
        </w:rPr>
        <w:t>physicians</w:t>
      </w:r>
      <w:r>
        <w:rPr>
          <w:iCs/>
          <w:sz w:val="22"/>
          <w:szCs w:val="22"/>
        </w:rPr>
        <w:t xml:space="preserve"> and CBR recommendations (</w:t>
      </w:r>
      <w:r w:rsidR="00EB7A20">
        <w:rPr>
          <w:iCs/>
          <w:sz w:val="22"/>
          <w:szCs w:val="22"/>
        </w:rPr>
        <w:t xml:space="preserve">OR:1.24 95%CI:0.392-3.936; </w:t>
      </w:r>
      <w:r w:rsidRPr="00EB7A20">
        <w:rPr>
          <w:i/>
          <w:iCs/>
          <w:sz w:val="22"/>
          <w:szCs w:val="22"/>
        </w:rPr>
        <w:t>p=0.</w:t>
      </w:r>
      <w:r w:rsidR="00EB7A20">
        <w:rPr>
          <w:i/>
          <w:iCs/>
          <w:sz w:val="22"/>
          <w:szCs w:val="22"/>
        </w:rPr>
        <w:t>71</w:t>
      </w:r>
      <w:r>
        <w:rPr>
          <w:iCs/>
          <w:sz w:val="22"/>
          <w:szCs w:val="22"/>
        </w:rPr>
        <w:t>)</w:t>
      </w:r>
      <w:r w:rsidR="00EB7A20">
        <w:rPr>
          <w:iCs/>
          <w:sz w:val="22"/>
          <w:szCs w:val="22"/>
        </w:rPr>
        <w:t>.</w:t>
      </w:r>
      <w:r w:rsidR="00363FD7">
        <w:rPr>
          <w:iCs/>
          <w:sz w:val="22"/>
          <w:szCs w:val="22"/>
        </w:rPr>
        <w:t xml:space="preserve"> </w:t>
      </w:r>
      <w:r w:rsidR="0092253F">
        <w:rPr>
          <w:iCs/>
          <w:sz w:val="22"/>
          <w:szCs w:val="22"/>
        </w:rPr>
        <w:t xml:space="preserve">Results were similar in </w:t>
      </w:r>
      <w:r w:rsidR="006411CD">
        <w:rPr>
          <w:iCs/>
          <w:sz w:val="22"/>
          <w:szCs w:val="22"/>
        </w:rPr>
        <w:t xml:space="preserve">the specific </w:t>
      </w:r>
      <w:r w:rsidR="0092253F">
        <w:rPr>
          <w:iCs/>
          <w:sz w:val="22"/>
          <w:szCs w:val="22"/>
        </w:rPr>
        <w:t xml:space="preserve">analysis of </w:t>
      </w:r>
      <w:r w:rsidR="00441160" w:rsidRPr="00E37AED">
        <w:rPr>
          <w:i/>
          <w:sz w:val="22"/>
          <w:szCs w:val="22"/>
        </w:rPr>
        <w:t>E.coli</w:t>
      </w:r>
      <w:r w:rsidR="00681656">
        <w:rPr>
          <w:iCs/>
          <w:sz w:val="22"/>
          <w:szCs w:val="22"/>
        </w:rPr>
        <w:t xml:space="preserve"> and ward patients</w:t>
      </w:r>
      <w:r w:rsidR="0064178C">
        <w:rPr>
          <w:iCs/>
          <w:sz w:val="22"/>
          <w:szCs w:val="22"/>
        </w:rPr>
        <w:t>,</w:t>
      </w:r>
      <w:r w:rsidR="00441160">
        <w:rPr>
          <w:iCs/>
          <w:sz w:val="22"/>
          <w:szCs w:val="22"/>
        </w:rPr>
        <w:t xml:space="preserve"> </w:t>
      </w:r>
      <w:r w:rsidR="0092253F">
        <w:rPr>
          <w:iCs/>
          <w:sz w:val="22"/>
          <w:szCs w:val="22"/>
        </w:rPr>
        <w:t xml:space="preserve">individually. </w:t>
      </w:r>
    </w:p>
    <w:p w14:paraId="1693CFF3" w14:textId="31EFFABE" w:rsidR="00F46F43" w:rsidRDefault="00D56013" w:rsidP="008D1101">
      <w:pPr>
        <w:spacing w:after="200" w:line="480" w:lineRule="auto"/>
        <w:jc w:val="both"/>
        <w:rPr>
          <w:sz w:val="22"/>
          <w:szCs w:val="22"/>
        </w:rPr>
      </w:pPr>
      <w:r>
        <w:rPr>
          <w:iCs/>
          <w:sz w:val="22"/>
          <w:szCs w:val="22"/>
        </w:rPr>
        <w:t xml:space="preserve">Comparison of the </w:t>
      </w:r>
      <w:r w:rsidR="0092253F">
        <w:rPr>
          <w:iCs/>
          <w:sz w:val="22"/>
          <w:szCs w:val="22"/>
        </w:rPr>
        <w:t xml:space="preserve">ASI </w:t>
      </w:r>
      <w:r w:rsidR="00EF50CE">
        <w:rPr>
          <w:iCs/>
          <w:sz w:val="22"/>
          <w:szCs w:val="22"/>
        </w:rPr>
        <w:t>for</w:t>
      </w:r>
      <w:r w:rsidR="00681656">
        <w:rPr>
          <w:iCs/>
          <w:sz w:val="22"/>
          <w:szCs w:val="22"/>
        </w:rPr>
        <w:t xml:space="preserve"> </w:t>
      </w:r>
      <w:r w:rsidR="006E04E9">
        <w:rPr>
          <w:iCs/>
          <w:sz w:val="22"/>
          <w:szCs w:val="22"/>
        </w:rPr>
        <w:t>physicians</w:t>
      </w:r>
      <w:r w:rsidR="0092253F">
        <w:rPr>
          <w:iCs/>
          <w:sz w:val="22"/>
          <w:szCs w:val="22"/>
        </w:rPr>
        <w:t xml:space="preserve"> and</w:t>
      </w:r>
      <w:r w:rsidR="00681656">
        <w:rPr>
          <w:iCs/>
          <w:sz w:val="22"/>
          <w:szCs w:val="22"/>
        </w:rPr>
        <w:t xml:space="preserve"> </w:t>
      </w:r>
      <w:r w:rsidR="0092253F">
        <w:rPr>
          <w:iCs/>
          <w:sz w:val="22"/>
          <w:szCs w:val="22"/>
        </w:rPr>
        <w:t xml:space="preserve">CBR recommendations is summarised in </w:t>
      </w:r>
      <w:r w:rsidR="0092253F" w:rsidRPr="0092253F">
        <w:rPr>
          <w:b/>
          <w:iCs/>
          <w:sz w:val="22"/>
          <w:szCs w:val="22"/>
        </w:rPr>
        <w:t xml:space="preserve">Table </w:t>
      </w:r>
      <w:r w:rsidR="00E55BF7">
        <w:rPr>
          <w:b/>
          <w:iCs/>
          <w:sz w:val="22"/>
          <w:szCs w:val="22"/>
        </w:rPr>
        <w:t>2</w:t>
      </w:r>
      <w:r w:rsidR="0092253F">
        <w:rPr>
          <w:iCs/>
          <w:sz w:val="22"/>
          <w:szCs w:val="22"/>
        </w:rPr>
        <w:t xml:space="preserve">. Overall, </w:t>
      </w:r>
      <w:r w:rsidR="000E7DE4">
        <w:rPr>
          <w:iCs/>
          <w:sz w:val="22"/>
          <w:szCs w:val="22"/>
        </w:rPr>
        <w:t xml:space="preserve">the </w:t>
      </w:r>
      <w:r w:rsidR="0092253F">
        <w:rPr>
          <w:iCs/>
          <w:sz w:val="22"/>
          <w:szCs w:val="22"/>
        </w:rPr>
        <w:t>CBR</w:t>
      </w:r>
      <w:r w:rsidR="00681656">
        <w:rPr>
          <w:iCs/>
          <w:sz w:val="22"/>
          <w:szCs w:val="22"/>
        </w:rPr>
        <w:t xml:space="preserve"> algorithm</w:t>
      </w:r>
      <w:r w:rsidR="0092253F">
        <w:rPr>
          <w:iCs/>
          <w:sz w:val="22"/>
          <w:szCs w:val="22"/>
        </w:rPr>
        <w:t xml:space="preserve"> was associated with significantly narrower spectrum</w:t>
      </w:r>
      <w:r w:rsidR="006E04E9">
        <w:rPr>
          <w:iCs/>
          <w:sz w:val="22"/>
          <w:szCs w:val="22"/>
        </w:rPr>
        <w:t xml:space="preserve"> </w:t>
      </w:r>
      <w:r w:rsidR="0092253F">
        <w:rPr>
          <w:iCs/>
          <w:sz w:val="22"/>
          <w:szCs w:val="22"/>
        </w:rPr>
        <w:t>of antibiotic prescribing with a median (range) ASI of 6 (0-13) for CBR</w:t>
      </w:r>
      <w:r w:rsidR="00BC5853">
        <w:rPr>
          <w:iCs/>
          <w:sz w:val="22"/>
          <w:szCs w:val="22"/>
        </w:rPr>
        <w:t>,</w:t>
      </w:r>
      <w:r w:rsidR="0092253F">
        <w:rPr>
          <w:iCs/>
          <w:sz w:val="22"/>
          <w:szCs w:val="22"/>
        </w:rPr>
        <w:t xml:space="preserve"> versus 8 (0-12) in practice (</w:t>
      </w:r>
      <w:r w:rsidR="0092253F" w:rsidRPr="0092253F">
        <w:rPr>
          <w:i/>
          <w:iCs/>
          <w:sz w:val="22"/>
          <w:szCs w:val="22"/>
        </w:rPr>
        <w:t>p&lt;0.01</w:t>
      </w:r>
      <w:r w:rsidR="0092253F">
        <w:rPr>
          <w:iCs/>
          <w:sz w:val="22"/>
          <w:szCs w:val="22"/>
        </w:rPr>
        <w:t>).</w:t>
      </w:r>
      <w:r w:rsidR="0028239E">
        <w:rPr>
          <w:sz w:val="22"/>
          <w:szCs w:val="22"/>
        </w:rPr>
        <w:t xml:space="preserve"> On subgroup analysis, ASI was found to be similar</w:t>
      </w:r>
      <w:r w:rsidR="000E7DE4">
        <w:rPr>
          <w:sz w:val="22"/>
          <w:szCs w:val="22"/>
        </w:rPr>
        <w:t xml:space="preserve"> for </w:t>
      </w:r>
      <w:r w:rsidR="00681656">
        <w:rPr>
          <w:sz w:val="22"/>
          <w:szCs w:val="22"/>
        </w:rPr>
        <w:t>prescribers and CBR algorithm in</w:t>
      </w:r>
      <w:r w:rsidR="000E7DE4">
        <w:rPr>
          <w:sz w:val="22"/>
          <w:szCs w:val="22"/>
        </w:rPr>
        <w:t xml:space="preserve"> </w:t>
      </w:r>
      <w:r w:rsidR="00F46F43" w:rsidRPr="00E37AED">
        <w:rPr>
          <w:i/>
          <w:iCs/>
          <w:sz w:val="22"/>
          <w:szCs w:val="22"/>
        </w:rPr>
        <w:t>E.coli</w:t>
      </w:r>
      <w:r w:rsidR="00F46F43">
        <w:rPr>
          <w:sz w:val="22"/>
          <w:szCs w:val="22"/>
        </w:rPr>
        <w:t xml:space="preserve"> </w:t>
      </w:r>
      <w:r w:rsidR="00681656">
        <w:rPr>
          <w:sz w:val="22"/>
          <w:szCs w:val="22"/>
        </w:rPr>
        <w:lastRenderedPageBreak/>
        <w:t>patients</w:t>
      </w:r>
      <w:r w:rsidR="0028239E">
        <w:rPr>
          <w:sz w:val="22"/>
          <w:szCs w:val="22"/>
        </w:rPr>
        <w:t xml:space="preserve"> (</w:t>
      </w:r>
      <w:r w:rsidR="0028239E">
        <w:rPr>
          <w:i/>
          <w:sz w:val="22"/>
          <w:szCs w:val="22"/>
        </w:rPr>
        <w:t>p=0.16</w:t>
      </w:r>
      <w:r w:rsidR="0028239E">
        <w:rPr>
          <w:sz w:val="22"/>
          <w:szCs w:val="22"/>
        </w:rPr>
        <w:t>)</w:t>
      </w:r>
      <w:r w:rsidR="00F46F43">
        <w:rPr>
          <w:sz w:val="22"/>
          <w:szCs w:val="22"/>
        </w:rPr>
        <w:t xml:space="preserve"> and </w:t>
      </w:r>
      <w:r w:rsidR="0028239E">
        <w:rPr>
          <w:sz w:val="22"/>
          <w:szCs w:val="22"/>
        </w:rPr>
        <w:t>significantly lower from CBR recommendations</w:t>
      </w:r>
      <w:r w:rsidR="00F46F43">
        <w:rPr>
          <w:sz w:val="22"/>
          <w:szCs w:val="22"/>
        </w:rPr>
        <w:t xml:space="preserve"> </w:t>
      </w:r>
      <w:r w:rsidR="00681656">
        <w:rPr>
          <w:sz w:val="22"/>
          <w:szCs w:val="22"/>
        </w:rPr>
        <w:t>in ward patients</w:t>
      </w:r>
      <w:r w:rsidR="0028239E">
        <w:rPr>
          <w:sz w:val="22"/>
          <w:szCs w:val="22"/>
        </w:rPr>
        <w:t xml:space="preserve"> (</w:t>
      </w:r>
      <w:r w:rsidR="0028239E">
        <w:rPr>
          <w:i/>
          <w:sz w:val="22"/>
          <w:szCs w:val="22"/>
        </w:rPr>
        <w:t>p=0.02</w:t>
      </w:r>
      <w:r w:rsidR="0028239E">
        <w:rPr>
          <w:sz w:val="22"/>
          <w:szCs w:val="22"/>
        </w:rPr>
        <w:t>)</w:t>
      </w:r>
      <w:r w:rsidR="00F46F43">
        <w:rPr>
          <w:sz w:val="22"/>
          <w:szCs w:val="22"/>
        </w:rPr>
        <w:t>.</w:t>
      </w:r>
    </w:p>
    <w:p w14:paraId="3AE7D05B" w14:textId="32F26D26" w:rsidR="00F46F43" w:rsidRPr="00E37AED" w:rsidRDefault="00F46F43" w:rsidP="008D1101">
      <w:pPr>
        <w:spacing w:after="200" w:line="480" w:lineRule="auto"/>
        <w:jc w:val="both"/>
        <w:rPr>
          <w:i/>
          <w:sz w:val="22"/>
          <w:szCs w:val="22"/>
        </w:rPr>
      </w:pPr>
      <w:r w:rsidRPr="00681ED3">
        <w:rPr>
          <w:b/>
          <w:bCs/>
          <w:sz w:val="22"/>
          <w:szCs w:val="22"/>
        </w:rPr>
        <w:t xml:space="preserve">Table </w:t>
      </w:r>
      <w:r w:rsidR="00E55BF7">
        <w:rPr>
          <w:b/>
          <w:bCs/>
          <w:sz w:val="22"/>
          <w:szCs w:val="22"/>
        </w:rPr>
        <w:t>3</w:t>
      </w:r>
      <w:r w:rsidR="00E55BF7">
        <w:rPr>
          <w:sz w:val="22"/>
          <w:szCs w:val="22"/>
        </w:rPr>
        <w:t xml:space="preserve"> </w:t>
      </w:r>
      <w:r>
        <w:rPr>
          <w:sz w:val="22"/>
          <w:szCs w:val="22"/>
        </w:rPr>
        <w:t>summarises WHO AWaRe classification of antimicrobial selections made by prescribers and the CBR algorithm</w:t>
      </w:r>
      <w:r w:rsidR="006E04E9">
        <w:rPr>
          <w:sz w:val="22"/>
          <w:szCs w:val="22"/>
        </w:rPr>
        <w:t>.</w:t>
      </w:r>
      <w:r>
        <w:rPr>
          <w:sz w:val="22"/>
          <w:szCs w:val="22"/>
        </w:rPr>
        <w:t xml:space="preserve"> Overall, CBR recommendations were significantly more likely to be in the </w:t>
      </w:r>
      <w:r w:rsidRPr="00E55BF7">
        <w:rPr>
          <w:i/>
          <w:iCs/>
          <w:sz w:val="22"/>
          <w:szCs w:val="22"/>
        </w:rPr>
        <w:t>Access</w:t>
      </w:r>
      <w:r>
        <w:rPr>
          <w:sz w:val="22"/>
          <w:szCs w:val="22"/>
        </w:rPr>
        <w:t xml:space="preserve"> </w:t>
      </w:r>
      <w:r w:rsidR="00D56013">
        <w:rPr>
          <w:sz w:val="22"/>
          <w:szCs w:val="22"/>
        </w:rPr>
        <w:t xml:space="preserve">category of agents </w:t>
      </w:r>
      <w:r>
        <w:rPr>
          <w:sz w:val="22"/>
          <w:szCs w:val="22"/>
        </w:rPr>
        <w:t xml:space="preserve">compared to </w:t>
      </w:r>
      <w:r w:rsidRPr="00E55BF7">
        <w:rPr>
          <w:i/>
          <w:iCs/>
          <w:sz w:val="22"/>
          <w:szCs w:val="22"/>
        </w:rPr>
        <w:t>Watch</w:t>
      </w:r>
      <w:r>
        <w:rPr>
          <w:sz w:val="22"/>
          <w:szCs w:val="22"/>
        </w:rPr>
        <w:t xml:space="preserve"> category when compared to </w:t>
      </w:r>
      <w:r w:rsidR="00D56013">
        <w:rPr>
          <w:sz w:val="22"/>
          <w:szCs w:val="22"/>
        </w:rPr>
        <w:t>physicians’</w:t>
      </w:r>
      <w:r>
        <w:rPr>
          <w:sz w:val="22"/>
          <w:szCs w:val="22"/>
        </w:rPr>
        <w:t xml:space="preserve"> choice</w:t>
      </w:r>
      <w:r w:rsidR="00D56013">
        <w:rPr>
          <w:sz w:val="22"/>
          <w:szCs w:val="22"/>
        </w:rPr>
        <w:t>s</w:t>
      </w:r>
      <w:r w:rsidR="00E55BF7">
        <w:rPr>
          <w:sz w:val="22"/>
          <w:szCs w:val="22"/>
        </w:rPr>
        <w:t xml:space="preserve"> (</w:t>
      </w:r>
      <w:r w:rsidR="00E55BF7" w:rsidRPr="00E55BF7">
        <w:rPr>
          <w:b/>
          <w:bCs/>
          <w:sz w:val="22"/>
          <w:szCs w:val="22"/>
        </w:rPr>
        <w:t>Figure 2</w:t>
      </w:r>
      <w:r w:rsidR="00E55BF7">
        <w:rPr>
          <w:sz w:val="22"/>
          <w:szCs w:val="22"/>
        </w:rPr>
        <w:t>)</w:t>
      </w:r>
      <w:r>
        <w:rPr>
          <w:sz w:val="22"/>
          <w:szCs w:val="22"/>
        </w:rPr>
        <w:t>. Overall</w:t>
      </w:r>
      <w:r w:rsidR="00363FD7">
        <w:rPr>
          <w:sz w:val="22"/>
          <w:szCs w:val="22"/>
        </w:rPr>
        <w:t>,</w:t>
      </w:r>
      <w:r>
        <w:rPr>
          <w:sz w:val="22"/>
          <w:szCs w:val="22"/>
        </w:rPr>
        <w:t xml:space="preserve"> physician prescriptions were classified as</w:t>
      </w:r>
      <w:r w:rsidRPr="00363FD7">
        <w:rPr>
          <w:i/>
          <w:iCs/>
          <w:sz w:val="22"/>
          <w:szCs w:val="22"/>
        </w:rPr>
        <w:t xml:space="preserve"> Access</w:t>
      </w:r>
      <w:r>
        <w:rPr>
          <w:sz w:val="22"/>
          <w:szCs w:val="22"/>
        </w:rPr>
        <w:t xml:space="preserve"> in 79/224 (35%) of cases compared to 110/224 (49%) of cases in the CBR recommendations (</w:t>
      </w:r>
      <w:r w:rsidR="009B2DF0">
        <w:rPr>
          <w:sz w:val="22"/>
          <w:szCs w:val="22"/>
        </w:rPr>
        <w:t>OR:1.77 95%CI:1.212-2.588</w:t>
      </w:r>
      <w:r w:rsidR="00EC151B">
        <w:rPr>
          <w:sz w:val="22"/>
          <w:szCs w:val="22"/>
        </w:rPr>
        <w:t>;</w:t>
      </w:r>
      <w:r w:rsidR="009B2DF0">
        <w:rPr>
          <w:sz w:val="22"/>
          <w:szCs w:val="22"/>
        </w:rPr>
        <w:t xml:space="preserve"> </w:t>
      </w:r>
      <w:r w:rsidRPr="00681ED3">
        <w:rPr>
          <w:i/>
          <w:iCs/>
          <w:sz w:val="22"/>
          <w:szCs w:val="22"/>
        </w:rPr>
        <w:t>p&lt;0.01</w:t>
      </w:r>
      <w:r w:rsidR="009B2DF0">
        <w:rPr>
          <w:sz w:val="22"/>
          <w:szCs w:val="22"/>
        </w:rPr>
        <w:t xml:space="preserve">). Results were similar </w:t>
      </w:r>
      <w:r w:rsidR="00EC151B">
        <w:rPr>
          <w:sz w:val="22"/>
          <w:szCs w:val="22"/>
        </w:rPr>
        <w:t xml:space="preserve">for </w:t>
      </w:r>
      <w:r w:rsidR="009B2DF0" w:rsidRPr="00E37AED">
        <w:rPr>
          <w:i/>
          <w:iCs/>
          <w:sz w:val="22"/>
          <w:szCs w:val="22"/>
        </w:rPr>
        <w:t>E.coli</w:t>
      </w:r>
      <w:r w:rsidR="009B2DF0">
        <w:rPr>
          <w:sz w:val="22"/>
          <w:szCs w:val="22"/>
        </w:rPr>
        <w:t xml:space="preserve"> and ward </w:t>
      </w:r>
      <w:r w:rsidR="00681656">
        <w:rPr>
          <w:sz w:val="22"/>
          <w:szCs w:val="22"/>
        </w:rPr>
        <w:t>patients</w:t>
      </w:r>
      <w:r w:rsidR="009B2DF0">
        <w:rPr>
          <w:sz w:val="22"/>
          <w:szCs w:val="22"/>
        </w:rPr>
        <w:t xml:space="preserve"> on subgroup analysis. </w:t>
      </w:r>
      <w:r w:rsidR="00FF3E70">
        <w:rPr>
          <w:sz w:val="22"/>
          <w:szCs w:val="22"/>
        </w:rPr>
        <w:t>In the ward patient analysis, the CBR algorithm and physicians prescribed no therapy in 15/224 (7%) and 16/224 (7%) of cases, respectively (</w:t>
      </w:r>
      <w:r w:rsidR="00FF3E70">
        <w:rPr>
          <w:i/>
          <w:sz w:val="22"/>
          <w:szCs w:val="22"/>
        </w:rPr>
        <w:t>p=0.83</w:t>
      </w:r>
      <w:r w:rsidR="00FF3E70" w:rsidRPr="00E37AED">
        <w:rPr>
          <w:sz w:val="22"/>
          <w:szCs w:val="22"/>
        </w:rPr>
        <w:t>)</w:t>
      </w:r>
      <w:r w:rsidR="007307CD">
        <w:rPr>
          <w:sz w:val="22"/>
          <w:szCs w:val="22"/>
        </w:rPr>
        <w:t>.</w:t>
      </w:r>
    </w:p>
    <w:p w14:paraId="123D29C6" w14:textId="3879FCE6" w:rsidR="00AA59A9" w:rsidRPr="00B97B49" w:rsidRDefault="00AA59A9" w:rsidP="008D1101">
      <w:pPr>
        <w:spacing w:after="200" w:line="480" w:lineRule="auto"/>
        <w:jc w:val="both"/>
        <w:rPr>
          <w:sz w:val="22"/>
          <w:szCs w:val="22"/>
        </w:rPr>
        <w:sectPr w:rsidR="00AA59A9" w:rsidRPr="00B97B49" w:rsidSect="007B595B">
          <w:pgSz w:w="11906" w:h="16838"/>
          <w:pgMar w:top="1440" w:right="1440" w:bottom="1440" w:left="1440" w:header="709" w:footer="709" w:gutter="0"/>
          <w:cols w:space="708"/>
          <w:docGrid w:linePitch="360"/>
        </w:sectPr>
      </w:pPr>
    </w:p>
    <w:p w14:paraId="3B94B81C" w14:textId="77777777" w:rsidR="00773B12" w:rsidRDefault="00B57118" w:rsidP="00B57118">
      <w:pPr>
        <w:spacing w:line="480" w:lineRule="auto"/>
        <w:jc w:val="both"/>
        <w:rPr>
          <w:b/>
          <w:sz w:val="24"/>
          <w:szCs w:val="24"/>
        </w:rPr>
      </w:pPr>
      <w:r>
        <w:rPr>
          <w:b/>
          <w:sz w:val="24"/>
          <w:szCs w:val="24"/>
        </w:rPr>
        <w:lastRenderedPageBreak/>
        <w:t xml:space="preserve">Discussion </w:t>
      </w:r>
    </w:p>
    <w:p w14:paraId="7D75641C" w14:textId="56CC61BA" w:rsidR="00BE4E67" w:rsidRDefault="00A62C05" w:rsidP="0035263C">
      <w:pPr>
        <w:spacing w:after="200" w:line="480" w:lineRule="auto"/>
        <w:jc w:val="both"/>
        <w:rPr>
          <w:sz w:val="22"/>
          <w:szCs w:val="22"/>
        </w:rPr>
      </w:pPr>
      <w:r>
        <w:rPr>
          <w:sz w:val="22"/>
          <w:szCs w:val="22"/>
        </w:rPr>
        <w:t>In this</w:t>
      </w:r>
      <w:r w:rsidR="00763847">
        <w:rPr>
          <w:sz w:val="22"/>
          <w:szCs w:val="22"/>
        </w:rPr>
        <w:t xml:space="preserve"> evaluation of a CBR algorithm, the </w:t>
      </w:r>
      <w:r w:rsidR="004159BC">
        <w:rPr>
          <w:sz w:val="22"/>
          <w:szCs w:val="22"/>
        </w:rPr>
        <w:t>CDSS</w:t>
      </w:r>
      <w:r>
        <w:rPr>
          <w:sz w:val="22"/>
          <w:szCs w:val="22"/>
        </w:rPr>
        <w:t xml:space="preserve"> made antibiotic recommendations at a similar level of appropriateness to </w:t>
      </w:r>
      <w:r w:rsidR="007D6C89">
        <w:rPr>
          <w:sz w:val="22"/>
          <w:szCs w:val="22"/>
        </w:rPr>
        <w:t>physicians</w:t>
      </w:r>
      <w:r>
        <w:rPr>
          <w:sz w:val="22"/>
          <w:szCs w:val="22"/>
        </w:rPr>
        <w:t>, whilst recommending a significantly narrower spectrum of therapy</w:t>
      </w:r>
      <w:r w:rsidR="00763847">
        <w:rPr>
          <w:sz w:val="22"/>
          <w:szCs w:val="22"/>
        </w:rPr>
        <w:t xml:space="preserve"> and increasing the rate of </w:t>
      </w:r>
      <w:r w:rsidR="00763847" w:rsidRPr="00E37AED">
        <w:rPr>
          <w:i/>
          <w:sz w:val="22"/>
          <w:szCs w:val="22"/>
        </w:rPr>
        <w:t>Access</w:t>
      </w:r>
      <w:r w:rsidR="00BC5853">
        <w:rPr>
          <w:sz w:val="22"/>
          <w:szCs w:val="22"/>
        </w:rPr>
        <w:t xml:space="preserve"> </w:t>
      </w:r>
      <w:r w:rsidR="00763847">
        <w:rPr>
          <w:sz w:val="22"/>
          <w:szCs w:val="22"/>
        </w:rPr>
        <w:t>antimicrobial recommendations</w:t>
      </w:r>
      <w:r>
        <w:rPr>
          <w:sz w:val="22"/>
          <w:szCs w:val="22"/>
        </w:rPr>
        <w:t xml:space="preserve">. </w:t>
      </w:r>
    </w:p>
    <w:p w14:paraId="33C22FA3" w14:textId="650CC631" w:rsidR="00922A4B" w:rsidRDefault="00A62C05" w:rsidP="0035263C">
      <w:pPr>
        <w:spacing w:after="200" w:line="480" w:lineRule="auto"/>
        <w:jc w:val="both"/>
        <w:rPr>
          <w:sz w:val="22"/>
          <w:szCs w:val="22"/>
        </w:rPr>
      </w:pPr>
      <w:r>
        <w:rPr>
          <w:sz w:val="22"/>
          <w:szCs w:val="22"/>
        </w:rPr>
        <w:t>Unnecessary antibiotic exposure is a leading</w:t>
      </w:r>
      <w:r w:rsidR="005D03B4">
        <w:rPr>
          <w:sz w:val="22"/>
          <w:szCs w:val="22"/>
        </w:rPr>
        <w:t xml:space="preserve"> modifiable</w:t>
      </w:r>
      <w:r>
        <w:rPr>
          <w:sz w:val="22"/>
          <w:szCs w:val="22"/>
        </w:rPr>
        <w:t xml:space="preserve"> driver of </w:t>
      </w:r>
      <w:r w:rsidR="00EF50CE">
        <w:rPr>
          <w:sz w:val="22"/>
          <w:szCs w:val="22"/>
        </w:rPr>
        <w:t>AMR</w:t>
      </w:r>
      <w:r>
        <w:rPr>
          <w:sz w:val="22"/>
          <w:szCs w:val="22"/>
        </w:rPr>
        <w:t>.</w:t>
      </w:r>
      <w:r>
        <w:rPr>
          <w:sz w:val="22"/>
          <w:szCs w:val="22"/>
        </w:rPr>
        <w:fldChar w:fldCharType="begin" w:fldLock="1"/>
      </w:r>
      <w:r w:rsidR="001E7A17">
        <w:rPr>
          <w:sz w:val="22"/>
          <w:szCs w:val="22"/>
        </w:rPr>
        <w:instrText>ADDIN CSL_CITATION { "citationItems" : [ { "id" : "ITEM-1", "itemData" : { "DOI" : "10.1016/S0140-6736(15)00473-0", "ISSN" : "01406736", "author" : [ { "dropping-particle" : "", "family" : "Holmes", "given" : "Alison H", "non-dropping-particle" : "", "parse-names" : false, "suffix" : "" }, { "dropping-particle" : "", "family" : "Moore", "given" : "Luke S P", "non-dropping-particle" : "", "parse-names" : false, "suffix" : "" }, { "dropping-particle" : "", "family" : "Sundsfjord", "given" : "Arnfinn", "non-dropping-particle" : "", "parse-names" : false, "suffix" : "" }, { "dropping-particle" : "", "family" : "Steinbakk", "given" : "Martin", "non-dropping-particle" : "", "parse-names" : false, "suffix" : "" }, { "dropping-particle" : "", "family" : "Regmi", "given" : "Sadie", "non-dropping-particle" : "", "parse-names" : false, "suffix" : "" }, { "dropping-particle" : "", "family" : "Karkey", "given" : "Abhilasha", "non-dropping-particle" : "", "parse-names" : false, "suffix" : "" }, { "dropping-particle" : "", "family" : "Guerin", "given" : "Philippe J", "non-dropping-particle" : "", "parse-names" : false, "suffix" : "" }, { "dropping-particle" : "V", "family" : "Piddock", "given" : "Laura J", "non-dropping-particle" : "", "parse-names" : false, "suffix" : "" } ], "container-title" : "The Lancet", "id" : "ITEM-1", "issue" : "15", "issued" : { "date-parts" : [ [ "2015" ] ] }, "title" : "Understanding the mechanisms and drivers of antimicrobial resistance", "type" : "article-journal", "volume" : "6736" }, "uris" : [ "http://www.mendeley.com/documents/?uuid=6897288b-ab2d-40d5-925e-9a0f444486c1" ] } ], "mendeley" : { "formattedCitation" : "[1]", "plainTextFormattedCitation" : "[1]", "previouslyFormattedCitation" : "[1]" }, "properties" : {  }, "schema" : "https://github.com/citation-style-language/schema/raw/master/csl-citation.json" }</w:instrText>
      </w:r>
      <w:r>
        <w:rPr>
          <w:sz w:val="22"/>
          <w:szCs w:val="22"/>
        </w:rPr>
        <w:fldChar w:fldCharType="separate"/>
      </w:r>
      <w:r w:rsidRPr="00A62C05">
        <w:rPr>
          <w:noProof/>
          <w:sz w:val="22"/>
          <w:szCs w:val="22"/>
        </w:rPr>
        <w:t>[1]</w:t>
      </w:r>
      <w:r>
        <w:rPr>
          <w:sz w:val="22"/>
          <w:szCs w:val="22"/>
        </w:rPr>
        <w:fldChar w:fldCharType="end"/>
      </w:r>
      <w:r w:rsidR="005D03B4">
        <w:rPr>
          <w:sz w:val="22"/>
          <w:szCs w:val="22"/>
        </w:rPr>
        <w:t xml:space="preserve"> A major aspect of unnecessary exposure is the inappropriate prescribing of broad spectrum antimicrobials. A large focus of antimicrobial guidelines, prescribing policies, and antimicrobial stewardship programmes </w:t>
      </w:r>
      <w:r w:rsidR="00922A4B">
        <w:rPr>
          <w:sz w:val="22"/>
          <w:szCs w:val="22"/>
        </w:rPr>
        <w:t>are</w:t>
      </w:r>
      <w:r w:rsidR="005D03B4">
        <w:rPr>
          <w:sz w:val="22"/>
          <w:szCs w:val="22"/>
        </w:rPr>
        <w:t xml:space="preserve"> promoting the appropriate use of narrow spectrum agents </w:t>
      </w:r>
      <w:r w:rsidR="00922A4B">
        <w:rPr>
          <w:sz w:val="22"/>
          <w:szCs w:val="22"/>
        </w:rPr>
        <w:t>to reduce selection pressure placed on micro-organisms</w:t>
      </w:r>
      <w:r w:rsidR="005D03B4">
        <w:rPr>
          <w:sz w:val="22"/>
          <w:szCs w:val="22"/>
        </w:rPr>
        <w:t>.</w:t>
      </w:r>
      <w:r w:rsidR="00922A4B">
        <w:rPr>
          <w:sz w:val="22"/>
          <w:szCs w:val="22"/>
        </w:rPr>
        <w:t xml:space="preserve"> Adherence to these interventions has been demonstrated to significantly reduce the selection pressure placed on micro-organisms, having a significant impact on rates of </w:t>
      </w:r>
      <w:r w:rsidR="000C348B">
        <w:rPr>
          <w:sz w:val="22"/>
          <w:szCs w:val="22"/>
        </w:rPr>
        <w:t>AMR</w:t>
      </w:r>
      <w:r w:rsidR="00922A4B">
        <w:rPr>
          <w:sz w:val="22"/>
          <w:szCs w:val="22"/>
        </w:rPr>
        <w:t>.</w:t>
      </w:r>
      <w:r w:rsidR="004B21ED">
        <w:rPr>
          <w:sz w:val="22"/>
          <w:szCs w:val="22"/>
        </w:rPr>
        <w:fldChar w:fldCharType="begin" w:fldLock="1"/>
      </w:r>
      <w:r w:rsidR="001E7A17">
        <w:rPr>
          <w:sz w:val="22"/>
          <w:szCs w:val="22"/>
        </w:rPr>
        <w:instrText>ADDIN CSL_CITATION { "citationItems" : [ { "id" : "ITEM-1", "itemData" : { "DOI" : "10.1016/S1473-3099(17)30325-0", "abstract" : "Background Antibiotic stewardship programmes have been shown to reduce antibiotic use and hospital costs. We aimed to evaluate evidence of the effect of antibiotic stewardship on the incidence of infections and colonisation with antibiotic-resistant bacteria.", "author" : [ { "dropping-particle" : "", "family" : "Baur", "given" : "D", "non-dropping-particle" : "", "parse-names" : false, "suffix" : "" }, { "dropping-particle" : "", "family" : "Gladstone", "given" : "B P", "non-dropping-particle" : "", "parse-names" : false, "suffix" : "" }, { "dropping-particle" : "", "family" : "Burkert", "given" : "F", "non-dropping-particle" : "", "parse-names" : false, "suffix" : "" }, { "dropping-particle" : "", "family" : "Carrara", "given" : "E", "non-dropping-particle" : "", "parse-names" : false, "suffix" : "" }, { "dropping-particle" : "", "family" : "Foschi", "given" : "F", "non-dropping-particle" : "", "parse-names" : false, "suffix" : "" }, { "dropping-particle" : "", "family" : "D\u00f6bele", "given" : "S", "non-dropping-particle" : "", "parse-names" : false, "suffix" : "" }, { "dropping-particle" : "", "family" : "Tacconelli", "given" : "E", "non-dropping-particle" : "", "parse-names" : false, "suffix" : "" }, { "dropping-particle" : "", "family" : "Tacconelli", "given" : "Evelina", "non-dropping-particle" : "", "parse-names" : false, "suffix" : "" }, { "dropping-particle" : "", "family" : "Baur", "given" : "David", "non-dropping-particle" : "", "parse-names" : false, "suffix" : "" }, { "dropping-particle" : "", "family" : "Gladstone", "given" : "Beryl Primrose", "non-dropping-particle" : "", "parse-names" : false, "suffix" : "" }, { "dropping-particle" : "", "family" : "Burkert", "given" : "Francesco", "non-dropping-particle" : "", "parse-names" : false, "suffix" : "" }, { "dropping-particle" : "", "family" : "Carrara", "given" : "Elena", "non-dropping-particle" : "", "parse-names" : false, "suffix" : "" }, { "dropping-particle" : "", "family" : "Foschi", "given" : "Federico", "non-dropping-particle" : "", "parse-names" : false, "suffix" : "" }, { "dropping-particle" : "", "family" : "D\u00f6bele", "given" : "Stefanie", "non-dropping-particle" : "", "parse-names" : false, "suffix" : "" } ], "container-title" : "www.thelancet.com/infection Articles Lancet Infect Dis", "id" : "ITEM-1", "issue" : "17", "issued" : { "date-parts" : [ [ "2017" ] ] }, "page" : "990-1001", "title" : "Effect of antibiotic stewardship on the incidence of infection and colonisation with antibiotic-resistant bacteria and Clostridium difficile infection: a systematic review and meta-analysis", "type" : "article-journal", "volume" : "17" }, "uris" : [ "http://www.mendeley.com/documents/?uuid=ea437d56-6077-329b-8e81-cbce1a50a70c" ] } ], "mendeley" : { "formattedCitation" : "[52]", "plainTextFormattedCitation" : "[52]", "previouslyFormattedCitation" : "[52]" }, "properties" : {  }, "schema" : "https://github.com/citation-style-language/schema/raw/master/csl-citation.json" }</w:instrText>
      </w:r>
      <w:r w:rsidR="004B21ED">
        <w:rPr>
          <w:sz w:val="22"/>
          <w:szCs w:val="22"/>
        </w:rPr>
        <w:fldChar w:fldCharType="separate"/>
      </w:r>
      <w:r w:rsidR="001E7A17" w:rsidRPr="001E7A17">
        <w:rPr>
          <w:noProof/>
          <w:sz w:val="22"/>
          <w:szCs w:val="22"/>
        </w:rPr>
        <w:t>[52]</w:t>
      </w:r>
      <w:r w:rsidR="004B21ED">
        <w:rPr>
          <w:sz w:val="22"/>
          <w:szCs w:val="22"/>
        </w:rPr>
        <w:fldChar w:fldCharType="end"/>
      </w:r>
      <w:r w:rsidR="005D03B4">
        <w:rPr>
          <w:sz w:val="22"/>
          <w:szCs w:val="22"/>
        </w:rPr>
        <w:t xml:space="preserve"> </w:t>
      </w:r>
    </w:p>
    <w:p w14:paraId="398F4DBE" w14:textId="6697F378" w:rsidR="002570E4" w:rsidRDefault="002570E4" w:rsidP="0035263C">
      <w:pPr>
        <w:spacing w:after="200" w:line="480" w:lineRule="auto"/>
        <w:jc w:val="both"/>
        <w:rPr>
          <w:sz w:val="22"/>
          <w:szCs w:val="22"/>
        </w:rPr>
      </w:pPr>
      <w:r>
        <w:rPr>
          <w:sz w:val="22"/>
          <w:szCs w:val="22"/>
        </w:rPr>
        <w:t>In line with antimicrobial stewardship policies</w:t>
      </w:r>
      <w:r w:rsidR="00C86967">
        <w:rPr>
          <w:sz w:val="22"/>
          <w:szCs w:val="22"/>
        </w:rPr>
        <w:t>,</w:t>
      </w:r>
      <w:r>
        <w:rPr>
          <w:sz w:val="22"/>
          <w:szCs w:val="22"/>
        </w:rPr>
        <w:t xml:space="preserve"> the WHO AWaRe criteria have been designed to support sustainable access </w:t>
      </w:r>
      <w:r w:rsidR="00C86967">
        <w:rPr>
          <w:sz w:val="22"/>
          <w:szCs w:val="22"/>
        </w:rPr>
        <w:t>to first</w:t>
      </w:r>
      <w:r w:rsidR="00EC151B">
        <w:rPr>
          <w:sz w:val="22"/>
          <w:szCs w:val="22"/>
        </w:rPr>
        <w:t>-</w:t>
      </w:r>
      <w:r w:rsidR="00C86967">
        <w:rPr>
          <w:sz w:val="22"/>
          <w:szCs w:val="22"/>
        </w:rPr>
        <w:t xml:space="preserve"> and second</w:t>
      </w:r>
      <w:r w:rsidR="00EC151B">
        <w:rPr>
          <w:sz w:val="22"/>
          <w:szCs w:val="22"/>
        </w:rPr>
        <w:t>-</w:t>
      </w:r>
      <w:r w:rsidR="00C86967">
        <w:rPr>
          <w:sz w:val="22"/>
          <w:szCs w:val="22"/>
        </w:rPr>
        <w:t xml:space="preserve">line antimicrobials, whilst reducing the use of </w:t>
      </w:r>
      <w:r w:rsidR="00C86967" w:rsidRPr="000C348B">
        <w:rPr>
          <w:i/>
          <w:iCs/>
          <w:sz w:val="22"/>
          <w:szCs w:val="22"/>
        </w:rPr>
        <w:t>Watch</w:t>
      </w:r>
      <w:r w:rsidR="00C86967">
        <w:rPr>
          <w:sz w:val="22"/>
          <w:szCs w:val="22"/>
        </w:rPr>
        <w:t xml:space="preserve"> and </w:t>
      </w:r>
      <w:r w:rsidR="00C86967" w:rsidRPr="000C348B">
        <w:rPr>
          <w:i/>
          <w:iCs/>
          <w:sz w:val="22"/>
          <w:szCs w:val="22"/>
        </w:rPr>
        <w:t>Reserve</w:t>
      </w:r>
      <w:r w:rsidR="00C86967">
        <w:rPr>
          <w:sz w:val="22"/>
          <w:szCs w:val="22"/>
        </w:rPr>
        <w:t xml:space="preserve"> agents. </w:t>
      </w:r>
      <w:r w:rsidR="000C348B" w:rsidRPr="000C348B">
        <w:rPr>
          <w:i/>
          <w:iCs/>
          <w:sz w:val="22"/>
          <w:szCs w:val="22"/>
        </w:rPr>
        <w:t>Watch</w:t>
      </w:r>
      <w:r w:rsidR="000C348B">
        <w:rPr>
          <w:sz w:val="22"/>
          <w:szCs w:val="22"/>
        </w:rPr>
        <w:t xml:space="preserve"> and </w:t>
      </w:r>
      <w:r w:rsidR="000C348B" w:rsidRPr="000C348B">
        <w:rPr>
          <w:i/>
          <w:iCs/>
          <w:sz w:val="22"/>
          <w:szCs w:val="22"/>
        </w:rPr>
        <w:t>Reserve</w:t>
      </w:r>
      <w:r w:rsidR="000C348B">
        <w:rPr>
          <w:sz w:val="22"/>
          <w:szCs w:val="22"/>
        </w:rPr>
        <w:t xml:space="preserve"> agents</w:t>
      </w:r>
      <w:r w:rsidR="00C86967">
        <w:rPr>
          <w:sz w:val="22"/>
          <w:szCs w:val="22"/>
        </w:rPr>
        <w:t xml:space="preserve"> are a concern as they promote the development </w:t>
      </w:r>
      <w:r w:rsidR="000C348B">
        <w:rPr>
          <w:sz w:val="22"/>
          <w:szCs w:val="22"/>
        </w:rPr>
        <w:t>of AMR</w:t>
      </w:r>
      <w:r w:rsidR="00C86967">
        <w:rPr>
          <w:sz w:val="22"/>
          <w:szCs w:val="22"/>
        </w:rPr>
        <w:t xml:space="preserve"> and should be held back for the management of multi-drug resistant infection, respectively.</w:t>
      </w:r>
      <w:r w:rsidR="00C86967">
        <w:rPr>
          <w:sz w:val="22"/>
          <w:szCs w:val="22"/>
        </w:rPr>
        <w:fldChar w:fldCharType="begin" w:fldLock="1"/>
      </w:r>
      <w:r w:rsidR="001E7A17">
        <w:rPr>
          <w:sz w:val="22"/>
          <w:szCs w:val="22"/>
        </w:rPr>
        <w:instrText>ADDIN CSL_CITATION { "citationItems" : [ { "id" : "ITEM-1", "itemData" : { "DOI" : "10.1016/S1473-3099(17)30724-7", "ISSN" : "1474-4457", "PMID" : "29303731", "author" : [ { "dropping-particle" : "", "family" : "Sharland", "given" : "Mike", "non-dropping-particle" : "", "parse-names" : false, "suffix" : "" }, { "dropping-particle" : "", "family" : "Pulcini", "given" : "Celine", "non-dropping-particle" : "", "parse-names" : false, "suffix" : "" }, { "dropping-particle" : "", "family" : "Harbarth", "given" : "Stephan", "non-dropping-particle" : "", "parse-names" : false, "suffix" : "" }, { "dropping-particle" : "", "family" : "Zeng", "given" : "Mei", "non-dropping-particle" : "", "parse-names" : false, "suffix" : "" }, { "dropping-particle" : "", "family" : "Gandra", "given" : "Sumanth", "non-dropping-particle" : "", "parse-names" : false, "suffix" : "" }, { "dropping-particle" : "", "family" : "Mathur", "given" : "Shrey", "non-dropping-particle" : "", "parse-names" : false, "suffix" : "" }, { "dropping-particle" : "", "family" : "Magrini", "given" : "Nicola", "non-dropping-particle" : "", "parse-names" : false, "suffix" : "" }, { "dropping-particle" : "", "family" : "21st WHO Expert Committee on Selection and Use of Essential Medicines", "given" : "", "non-dropping-particle" : "", "parse-names" : false, "suffix" : "" } ], "container-title" : "The Lancet. Infectious diseases", "id" : "ITEM-1", "issue" : "1", "issued" : { "date-parts" : [ [ "2018", "1", "1" ] ] }, "page" : "18-20", "publisher" : "Elsevier", "title" : "Classifying antibiotics in the WHO Essential Medicines List for optimal use-be AWaRe.", "type" : "article-journal", "volume" : "18" }, "uris" : [ "http://www.mendeley.com/documents/?uuid=0aa183ac-68d4-3c08-b31f-303673bb3b61" ] } ], "mendeley" : { "formattedCitation" : "[53]", "plainTextFormattedCitation" : "[53]", "previouslyFormattedCitation" : "[53]" }, "properties" : {  }, "schema" : "https://github.com/citation-style-language/schema/raw/master/csl-citation.json" }</w:instrText>
      </w:r>
      <w:r w:rsidR="00C86967">
        <w:rPr>
          <w:sz w:val="22"/>
          <w:szCs w:val="22"/>
        </w:rPr>
        <w:fldChar w:fldCharType="separate"/>
      </w:r>
      <w:r w:rsidR="001E7A17" w:rsidRPr="001E7A17">
        <w:rPr>
          <w:noProof/>
          <w:sz w:val="22"/>
          <w:szCs w:val="22"/>
        </w:rPr>
        <w:t>[53]</w:t>
      </w:r>
      <w:r w:rsidR="00C86967">
        <w:rPr>
          <w:sz w:val="22"/>
          <w:szCs w:val="22"/>
        </w:rPr>
        <w:fldChar w:fldCharType="end"/>
      </w:r>
      <w:r w:rsidR="00C86967">
        <w:rPr>
          <w:sz w:val="22"/>
          <w:szCs w:val="22"/>
        </w:rPr>
        <w:t xml:space="preserve"> With financial incentives being placed on hospitals in the UK to demonstrate significant reductions in the use of </w:t>
      </w:r>
      <w:r w:rsidR="00C86967" w:rsidRPr="00E55BF7">
        <w:rPr>
          <w:i/>
          <w:iCs/>
          <w:sz w:val="22"/>
          <w:szCs w:val="22"/>
        </w:rPr>
        <w:t>Watch</w:t>
      </w:r>
      <w:r w:rsidR="00C86967">
        <w:rPr>
          <w:sz w:val="22"/>
          <w:szCs w:val="22"/>
        </w:rPr>
        <w:t xml:space="preserve"> and </w:t>
      </w:r>
      <w:r w:rsidR="00C86967" w:rsidRPr="00E55BF7">
        <w:rPr>
          <w:i/>
          <w:iCs/>
          <w:sz w:val="22"/>
          <w:szCs w:val="22"/>
        </w:rPr>
        <w:t>Reserve</w:t>
      </w:r>
      <w:r w:rsidR="00C86967">
        <w:rPr>
          <w:sz w:val="22"/>
          <w:szCs w:val="22"/>
        </w:rPr>
        <w:t xml:space="preserve"> agents, new interventions are required to support physician decision making</w:t>
      </w:r>
      <w:r w:rsidR="00EC151B">
        <w:rPr>
          <w:sz w:val="22"/>
          <w:szCs w:val="22"/>
        </w:rPr>
        <w:t xml:space="preserve"> to increase rates of </w:t>
      </w:r>
      <w:r w:rsidR="00EC151B" w:rsidRPr="00E55BF7">
        <w:rPr>
          <w:i/>
          <w:iCs/>
          <w:sz w:val="22"/>
          <w:szCs w:val="22"/>
        </w:rPr>
        <w:t>Access</w:t>
      </w:r>
      <w:r w:rsidR="00EC151B">
        <w:rPr>
          <w:sz w:val="22"/>
          <w:szCs w:val="22"/>
        </w:rPr>
        <w:t xml:space="preserve"> prescriptions and reduce use of </w:t>
      </w:r>
      <w:r w:rsidR="00EC151B" w:rsidRPr="00E55BF7">
        <w:rPr>
          <w:i/>
          <w:iCs/>
          <w:sz w:val="22"/>
          <w:szCs w:val="22"/>
        </w:rPr>
        <w:t>Watch</w:t>
      </w:r>
      <w:r w:rsidR="00EC151B">
        <w:rPr>
          <w:sz w:val="22"/>
          <w:szCs w:val="22"/>
        </w:rPr>
        <w:t xml:space="preserve"> and </w:t>
      </w:r>
      <w:r w:rsidR="00EC151B" w:rsidRPr="00E55BF7">
        <w:rPr>
          <w:i/>
          <w:iCs/>
          <w:sz w:val="22"/>
          <w:szCs w:val="22"/>
        </w:rPr>
        <w:t>Reserve</w:t>
      </w:r>
      <w:r w:rsidR="00EC151B">
        <w:rPr>
          <w:sz w:val="22"/>
          <w:szCs w:val="22"/>
        </w:rPr>
        <w:t xml:space="preserve"> agents</w:t>
      </w:r>
      <w:r w:rsidR="00C86967">
        <w:rPr>
          <w:sz w:val="22"/>
          <w:szCs w:val="22"/>
        </w:rPr>
        <w:t xml:space="preserve">. </w:t>
      </w:r>
    </w:p>
    <w:p w14:paraId="2C69B6A8" w14:textId="138BE3A7" w:rsidR="005D7B84" w:rsidRDefault="00922A4B" w:rsidP="0035263C">
      <w:pPr>
        <w:spacing w:after="200" w:line="480" w:lineRule="auto"/>
        <w:jc w:val="both"/>
        <w:rPr>
          <w:sz w:val="22"/>
          <w:szCs w:val="22"/>
        </w:rPr>
      </w:pPr>
      <w:r>
        <w:rPr>
          <w:sz w:val="22"/>
          <w:szCs w:val="22"/>
        </w:rPr>
        <w:t xml:space="preserve">Antimicrobial prescribing guidelines are often developed based on expert opinion, national surveillance, and local microbiological data. These provide population level estimates of therapy that is likely to be successful for the treatment of a range of infections. Guidelines fail to allow flexibility </w:t>
      </w:r>
      <w:r w:rsidR="004B21ED">
        <w:rPr>
          <w:sz w:val="22"/>
          <w:szCs w:val="22"/>
        </w:rPr>
        <w:t>for individual variations in clinical practice</w:t>
      </w:r>
      <w:r w:rsidR="00BC5853">
        <w:rPr>
          <w:sz w:val="22"/>
          <w:szCs w:val="22"/>
        </w:rPr>
        <w:t xml:space="preserve"> and face the challenge of needing to be regularly updated and responsive to shifting </w:t>
      </w:r>
      <w:r w:rsidR="007307CD">
        <w:rPr>
          <w:sz w:val="22"/>
          <w:szCs w:val="22"/>
        </w:rPr>
        <w:t xml:space="preserve">organism </w:t>
      </w:r>
      <w:r w:rsidR="00BC5853">
        <w:rPr>
          <w:sz w:val="22"/>
          <w:szCs w:val="22"/>
        </w:rPr>
        <w:t>epidemiology and to drug availability and shortages</w:t>
      </w:r>
      <w:r w:rsidR="00681656">
        <w:rPr>
          <w:sz w:val="22"/>
          <w:szCs w:val="22"/>
        </w:rPr>
        <w:t>.</w:t>
      </w:r>
      <w:r w:rsidR="00BC5853">
        <w:rPr>
          <w:sz w:val="22"/>
          <w:szCs w:val="22"/>
        </w:rPr>
        <w:t xml:space="preserve"> </w:t>
      </w:r>
      <w:r w:rsidR="004B21ED">
        <w:rPr>
          <w:sz w:val="22"/>
          <w:szCs w:val="22"/>
        </w:rPr>
        <w:t>This may lead to failures with guideline</w:t>
      </w:r>
      <w:r w:rsidR="007307CD">
        <w:rPr>
          <w:sz w:val="22"/>
          <w:szCs w:val="22"/>
        </w:rPr>
        <w:t xml:space="preserve"> compliance</w:t>
      </w:r>
      <w:r w:rsidR="004B21ED">
        <w:rPr>
          <w:sz w:val="22"/>
          <w:szCs w:val="22"/>
        </w:rPr>
        <w:t xml:space="preserve"> </w:t>
      </w:r>
      <w:r w:rsidR="00C86967">
        <w:rPr>
          <w:sz w:val="22"/>
          <w:szCs w:val="22"/>
        </w:rPr>
        <w:t>and</w:t>
      </w:r>
      <w:r w:rsidR="004B21ED">
        <w:rPr>
          <w:sz w:val="22"/>
          <w:szCs w:val="22"/>
        </w:rPr>
        <w:t xml:space="preserve"> inappropriate empirical treatment being initiated</w:t>
      </w:r>
      <w:r w:rsidR="005D7B84">
        <w:rPr>
          <w:sz w:val="22"/>
          <w:szCs w:val="22"/>
        </w:rPr>
        <w:t>.</w:t>
      </w:r>
      <w:r w:rsidR="00C86967">
        <w:rPr>
          <w:sz w:val="22"/>
          <w:szCs w:val="22"/>
        </w:rPr>
        <w:t xml:space="preserve"> This is a particular problem in multi-morbidity </w:t>
      </w:r>
      <w:r w:rsidR="00C86967">
        <w:rPr>
          <w:sz w:val="22"/>
          <w:szCs w:val="22"/>
        </w:rPr>
        <w:lastRenderedPageBreak/>
        <w:t xml:space="preserve">and </w:t>
      </w:r>
      <w:r w:rsidR="00EF50CE">
        <w:rPr>
          <w:sz w:val="22"/>
          <w:szCs w:val="22"/>
        </w:rPr>
        <w:t>polypharmacy, which now e</w:t>
      </w:r>
      <w:r w:rsidR="00C86967">
        <w:rPr>
          <w:sz w:val="22"/>
          <w:szCs w:val="22"/>
        </w:rPr>
        <w:t>ffects on</w:t>
      </w:r>
      <w:r w:rsidR="00EF50CE">
        <w:rPr>
          <w:sz w:val="22"/>
          <w:szCs w:val="22"/>
        </w:rPr>
        <w:t>e</w:t>
      </w:r>
      <w:r w:rsidR="00C86967">
        <w:rPr>
          <w:sz w:val="22"/>
          <w:szCs w:val="22"/>
        </w:rPr>
        <w:t xml:space="preserve"> in three patient</w:t>
      </w:r>
      <w:r w:rsidR="00EF50CE">
        <w:rPr>
          <w:sz w:val="22"/>
          <w:szCs w:val="22"/>
        </w:rPr>
        <w:t>s</w:t>
      </w:r>
      <w:r w:rsidR="00C86967">
        <w:rPr>
          <w:sz w:val="22"/>
          <w:szCs w:val="22"/>
        </w:rPr>
        <w:t xml:space="preserve"> </w:t>
      </w:r>
      <w:r w:rsidR="00EF50CE">
        <w:rPr>
          <w:sz w:val="22"/>
          <w:szCs w:val="22"/>
        </w:rPr>
        <w:t xml:space="preserve">admitted to hospital </w:t>
      </w:r>
      <w:r w:rsidR="00C86967">
        <w:rPr>
          <w:sz w:val="22"/>
          <w:szCs w:val="22"/>
        </w:rPr>
        <w:t>over</w:t>
      </w:r>
      <w:r w:rsidR="00EF50CE">
        <w:rPr>
          <w:sz w:val="22"/>
          <w:szCs w:val="22"/>
        </w:rPr>
        <w:t xml:space="preserve"> the age of</w:t>
      </w:r>
      <w:r w:rsidR="00C86967">
        <w:rPr>
          <w:sz w:val="22"/>
          <w:szCs w:val="22"/>
        </w:rPr>
        <w:t xml:space="preserve"> 65 years.</w:t>
      </w:r>
      <w:r w:rsidR="00D81DBD">
        <w:rPr>
          <w:sz w:val="22"/>
          <w:szCs w:val="22"/>
        </w:rPr>
        <w:fldChar w:fldCharType="begin" w:fldLock="1"/>
      </w:r>
      <w:r w:rsidR="001E7A17">
        <w:rPr>
          <w:sz w:val="22"/>
          <w:szCs w:val="22"/>
        </w:rPr>
        <w:instrText>ADDIN CSL_CITATION { "citationItems" : [ { "id" : "ITEM-1", "itemData" : { "URL" : "https://www.nice.org.uk/advice/ktt18", "accessed" : { "date-parts" : [ [ "2018", "9", "16" ] ] }, "id" : "ITEM-1", "issued" : { "date-parts" : [ [ "0" ] ] }, "publisher" : "NICE", "title" : "Multimorbidity and polypharmacy | Guidance and guidelines | NICE", "type" : "webpage" }, "uris" : [ "http://www.mendeley.com/documents/?uuid=e0986eed-919c-30cb-aba2-a74c8d9b851e" ] } ], "mendeley" : { "formattedCitation" : "[54]", "plainTextFormattedCitation" : "[54]", "previouslyFormattedCitation" : "[54]" }, "properties" : {  }, "schema" : "https://github.com/citation-style-language/schema/raw/master/csl-citation.json" }</w:instrText>
      </w:r>
      <w:r w:rsidR="00D81DBD">
        <w:rPr>
          <w:sz w:val="22"/>
          <w:szCs w:val="22"/>
        </w:rPr>
        <w:fldChar w:fldCharType="separate"/>
      </w:r>
      <w:r w:rsidR="001E7A17" w:rsidRPr="001E7A17">
        <w:rPr>
          <w:noProof/>
          <w:sz w:val="22"/>
          <w:szCs w:val="22"/>
        </w:rPr>
        <w:t>[54]</w:t>
      </w:r>
      <w:r w:rsidR="00D81DBD">
        <w:rPr>
          <w:sz w:val="22"/>
          <w:szCs w:val="22"/>
        </w:rPr>
        <w:fldChar w:fldCharType="end"/>
      </w:r>
    </w:p>
    <w:p w14:paraId="77432A9A" w14:textId="4AA7AF73" w:rsidR="005D7B84" w:rsidRPr="0035263C" w:rsidRDefault="005D7B84" w:rsidP="005D7B84">
      <w:pPr>
        <w:spacing w:afterLines="200" w:after="480" w:line="480" w:lineRule="auto"/>
        <w:jc w:val="both"/>
        <w:rPr>
          <w:sz w:val="22"/>
          <w:szCs w:val="22"/>
        </w:rPr>
      </w:pPr>
      <w:r>
        <w:rPr>
          <w:sz w:val="22"/>
          <w:szCs w:val="22"/>
        </w:rPr>
        <w:t xml:space="preserve">The development of </w:t>
      </w:r>
      <w:r w:rsidR="00ED72E4">
        <w:rPr>
          <w:sz w:val="22"/>
          <w:szCs w:val="22"/>
        </w:rPr>
        <w:t>i</w:t>
      </w:r>
      <w:r>
        <w:rPr>
          <w:sz w:val="22"/>
          <w:szCs w:val="22"/>
        </w:rPr>
        <w:t xml:space="preserve">ntelligent CDSS, that are able to provide personalised recommendations based </w:t>
      </w:r>
      <w:r w:rsidR="007D6C89">
        <w:rPr>
          <w:sz w:val="22"/>
          <w:szCs w:val="22"/>
        </w:rPr>
        <w:t xml:space="preserve">on </w:t>
      </w:r>
      <w:r>
        <w:rPr>
          <w:sz w:val="22"/>
          <w:szCs w:val="22"/>
        </w:rPr>
        <w:t>individual patient data may help address the problem of guideline based antimicrobial prescribing.</w:t>
      </w:r>
      <w:r>
        <w:rPr>
          <w:sz w:val="22"/>
          <w:szCs w:val="22"/>
        </w:rPr>
        <w:fldChar w:fldCharType="begin" w:fldLock="1"/>
      </w:r>
      <w:r w:rsidR="001E7A17">
        <w:rPr>
          <w:sz w:val="22"/>
          <w:szCs w:val="22"/>
        </w:rPr>
        <w:instrText>ADDIN CSL_CITATION { "citationItems" : [ { "id" : "ITEM-1", "itemData" : { "DOI" : "10.1038/s41562-019-0583-9", "ISSN" : "2397-3374", "abstract" : "Antibiotic resistance is an emerging global danger. Reaching responsible prescribing decisions requires the integration of broad and complex information. Artificial intelligence tools could support decision-making at multiple levels, but building them needs a transparent co-development approach to ensure their adoption upon implementation.", "author" : [ { "dropping-particle" : "", "family" : "Rawson", "given" : "Timothy M.", "non-dropping-particle" : "", "parse-names" : false, "suffix" : "" }, { "dropping-particle" : "", "family" : "Ahmad", "given" : "Raheelah", "non-dropping-particle" : "", "parse-names" : false, "suffix" : "" }, { "dropping-particle" : "", "family" : "Toumazou", "given" : "Christofer", "non-dropping-particle" : "", "parse-names" : false, "suffix" : "" }, { "dropping-particle" : "", "family" : "Georgiou", "given" : "Pantelis", "non-dropping-particle" : "", "parse-names" : false, "suffix" : "" }, { "dropping-particle" : "", "family" : "Holmes", "given" : "Alison H.", "non-dropping-particle" : "", "parse-names" : false, "suffix" : "" } ], "container-title" : "Nature Human Behaviour", "id" : "ITEM-1", "issued" : { "date-parts" : [ [ "2019", "3", "25" ] ] }, "page" : "1", "publisher" : "Nature Publishing Group", "title" : "Artificial intelligence can improve decision-making in infection management", "type" : "article-journal" }, "uris" : [ "http://www.mendeley.com/documents/?uuid=d0548019-5b5e-3a33-8ade-2fec183ebc03" ] } ], "mendeley" : { "formattedCitation" : "[14]", "plainTextFormattedCitation" : "[14]", "previouslyFormattedCitation" : "[14]" }, "properties" : {  }, "schema" : "https://github.com/citation-style-language/schema/raw/master/csl-citation.json" }</w:instrText>
      </w:r>
      <w:r>
        <w:rPr>
          <w:sz w:val="22"/>
          <w:szCs w:val="22"/>
        </w:rPr>
        <w:fldChar w:fldCharType="separate"/>
      </w:r>
      <w:r w:rsidRPr="005D7B84">
        <w:rPr>
          <w:noProof/>
          <w:sz w:val="22"/>
          <w:szCs w:val="22"/>
        </w:rPr>
        <w:t>[14]</w:t>
      </w:r>
      <w:r>
        <w:rPr>
          <w:sz w:val="22"/>
          <w:szCs w:val="22"/>
        </w:rPr>
        <w:fldChar w:fldCharType="end"/>
      </w:r>
      <w:r>
        <w:rPr>
          <w:sz w:val="22"/>
          <w:szCs w:val="22"/>
        </w:rPr>
        <w:t xml:space="preserve"> Intelligent CDSS designed to support antimicrobial prescribing </w:t>
      </w:r>
      <w:r w:rsidR="00EC151B">
        <w:rPr>
          <w:sz w:val="22"/>
          <w:szCs w:val="22"/>
        </w:rPr>
        <w:t>have been reviewed extensively elsewhere</w:t>
      </w:r>
      <w:r w:rsidRPr="00282B20">
        <w:rPr>
          <w:sz w:val="22"/>
          <w:szCs w:val="22"/>
        </w:rPr>
        <w:t>.</w:t>
      </w:r>
      <w:r w:rsidR="00EC151B">
        <w:rPr>
          <w:sz w:val="22"/>
          <w:szCs w:val="22"/>
        </w:rPr>
        <w:fldChar w:fldCharType="begin" w:fldLock="1"/>
      </w:r>
      <w:r w:rsidR="001E7A17">
        <w:rPr>
          <w:sz w:val="22"/>
          <w:szCs w:val="22"/>
        </w:rPr>
        <w:instrText>ADDIN CSL_CITATION { "citationItems" : [ { "id" : "ITEM-1", "itemData" : { "DOI" : "10.1016/j.cmi.2017.02.028", "ISSN" : "1198743X", "PMID" : "28268133", "abstract" : "OBJECTIVES Clinical decision support systems (CDSS) for antimicrobial management can support clinicians to optimise antimicrobial therapy. We reviewed all original literature (qualitative and quantitative) to understand the current scope of CDSS for antimicrobial management and analyse existing methods used to evaluate and report such systems. METHOD PRISMA guidelines were followed. Medline, EMBASE, HMIC Health and Management, and Global Health databases were searched from 1(st) January 1980 to 31(st) October 2015. All primary research studies describing CDSS for antimicrobial management in adults in primary or secondary care were included. For qualitative studies, thematic synthesis was performed. Quality was assessed using Integrated quality Criteria for the Review Of Multiple Study designs (ICROMS) criteria. CDSS reporting was assessed against a reporting framework for behaviour change intervention implementation. RESULTS Fifty-eight original articles were included describing 38 independent CDSS. The majority of systems target antimicrobial prescribing (29/38;76%), are platforms integrated with electronic medical records (28/38;74%), and have rules based infrastructure providing decision support (29/38;76%). On evaluation against the intervention reporting framework, CDSS studies fail to report consideration of the non-expert, end-user workflow. They have narrow focus, such as antimicrobial selection, and use proxy outcome measures. Engagement with CDSS by clinicians was poor. CONCLUSION Greater consideration of the factors that drive non-expert decision making must be considered when designing CDSS interventions. Future work must aim to expand CDSS beyond simply selecting appropriate antimicrobials with clear and systematic reporting frameworks for CDSS interventions developed to address current gaps identified in the reporting of evidence.", "author" : [ { "dropping-particle" : "", "family" : "Rawson", "given" : "T.M.", "non-dropping-particle" : "", "parse-names" : false, "suffix" : "" }, { "dropping-particle" : "", "family" : "Moore", "given" : "L.S.P.", "non-dropping-particle" : "", "parse-names" : false, "suffix" : "" }, { "dropping-particle" : "", "family" : "Hernandez", "given" : "Bernard", "non-dropping-particle" : "", "parse-names" : false, "suffix" : "" }, { "dropping-particle" : "", "family" : "Charani", "given" : "Esmita", "non-dropping-particle" : "", "parse-names" : false, "suffix" : "" }, { "dropping-particle" : "", "family" : "Castro-Sanchez", "given" : "Enrique", "non-dropping-particle" : "", "parse-names" : false, "suffix" : "" }, { "dropping-particle" : "", "family" : "Herrero", "given" : "Pau", "non-dropping-particle" : "", "parse-names" : false, "suffix" : "" }, { "dropping-particle" : "", "family" : "Hayhoe", "given" : "Benedict", "non-dropping-particle" : "", "parse-names" : false, "suffix" : "" }, { "dropping-particle" : "", "family" : "Hope", "given" : "William", "non-dropping-particle" : "", "parse-names" : false, "suffix" : "" }, { "dropping-particle" : "", "family" : "Georgiou", "given" : "Pantelis", "non-dropping-particle" : "", "parse-names" : false, "suffix" : "" }, { "dropping-particle" : "", "family" : "Holmes", "given" : "A.H.", "non-dropping-particle" : "", "parse-names" : false, "suffix" : "" } ], "container-title" : "Clinical Microbiology and Infection", "id" : "ITEM-1", "issue" : "8", "issued" : { "date-parts" : [ [ "2017", "8", "4" ] ] }, "page" : "524-532", "title" : "A systematic review of clinical decision support systems for antimicrobial management: are we failing to investigate these interventions appropriately?", "type" : "article-journal", "volume" : "23" }, "uris" : [ "http://www.mendeley.com/documents/?uuid=0ab1b185-9f83-4fbc-b712-cd499640c375" ] }, { "id" : "ITEM-2", "itemData" : { "DOI" : "10.1016/j.cmi.2019.09.009", "ISSN" : "14690691", "PMID" : "31539636", "abstract" : "Background: Machine learning (ML) is a growing field in medicine. This narrative review describes the current body of literature on ML for clinical decision support in infectious diseases (ID). Objectives: We aim to inform clinicians about the use of ML for diagnosis, classification, outcome prediction and antimicrobial management in ID. Sources: References for this review were identified through searches of MEDLINE/PubMed, EMBASE, Google Scholar, biorXiv, ACM Digital Library, arXiV and IEEE Xplore Digital Library up to July 2019. Content: We found 60 unique ML-clinical decision support systems (ML-CDSS) aiming to assist ID clinicians. Overall, 37 (62%) focused on bacterial infections, 10 (17%) on viral infections, nine (15%) on tuberculosis and four (7%) on any kind of infection. Among them, 20 (33%) addressed the diagnosis of infection, 18 (30%) the prediction, early detection or stratification of sepsis, 13 (22%) the prediction of treatment response, four (7%) the prediction of antibiotic resistance, three (5%) the choice of antibiotic regimen and two (3%) the choice of a combination antiretroviral therapy. The ML-CDSS were developed for intensive care units (n = 24, 40%), ID consultation (n = 15, 25%), medical or surgical wards (n = 13, 20%), emergency department (n = 4, 7%), primary care (n = 3, 5%) and antimicrobial stewardship (n = 1, 2%). Fifty-three ML-CDSS (88%) were developed using data from high-income countries and seven (12%) with data from low- and middle-income countries (LMIC). The evaluation of ML-CDSS was limited to measures of performance (e.g. sensitivity, specificity) for 57 ML-CDSS (95%) and included data in clinical practice for three (5%). Implications: Considering comprehensive patient data from socioeconomically diverse healthcare settings, including primary care and LMICs, may improve the ability of ML-CDSS to suggest decisions adapted to various clinical contexts. Currents gaps identified in the evaluation of ML-CDSS must also be addressed in order to know the potential impact of such tools for clinicians and patients.", "author" : [ { "dropping-particle" : "", "family" : "Peiffer-Smadja", "given" : "N.", "non-dropping-particle" : "", "parse-names" : false, "suffix" : "" }, { "dropping-particle" : "", "family" : "Rawson", "given" : "T. M.", "non-dropping-particle" : "", "parse-names" : false, "suffix" : "" }, { "dropping-particle" : "", "family" : "Ahmad", "given" : "R.", "non-dropping-particle" : "", "parse-names" : false, "suffix" : "" }, { "dropping-particle" : "", "family" : "Buchard", "given" : "A.", "non-dropping-particle" : "", "parse-names" : false, "suffix" : "" }, { "dropping-particle" : "", "family" : "Pantelis", "given" : "G.", "non-dropping-particle" : "", "parse-names" : false, "suffix" : "" }, { "dropping-particle" : "", "family" : "Lescure", "given" : "F. X.", "non-dropping-particle" : "", "parse-names" : false, "suffix" : "" }, { "dropping-particle" : "", "family" : "Birgand", "given" : "G.", "non-dropping-particle" : "", "parse-names" : false, "suffix" : "" }, { "dropping-particle" : "", "family" : "Holmes", "given" : "A. H.", "non-dropping-particle" : "", "parse-names" : false, "suffix" : "" } ], "container-title" : "Clinical Microbiology and Infection", "id" : "ITEM-2", "issued" : { "date-parts" : [ [ "2019" ] ] }, "publisher" : "Elsevier B.V.", "title" : "Machine learning for clinical decision support in infectious diseases: a narrative review of current applications", "type" : "article" }, "uris" : [ "http://www.mendeley.com/documents/?uuid=2b314ce6-4d17-39f0-a1ce-74bdbd59a7da" ] } ], "mendeley" : { "formattedCitation" : "[13,55]", "plainTextFormattedCitation" : "[13,55]", "previouslyFormattedCitation" : "[13,55]" }, "properties" : {  }, "schema" : "https://github.com/citation-style-language/schema/raw/master/csl-citation.json" }</w:instrText>
      </w:r>
      <w:r w:rsidR="00EC151B">
        <w:rPr>
          <w:sz w:val="22"/>
          <w:szCs w:val="22"/>
        </w:rPr>
        <w:fldChar w:fldCharType="separate"/>
      </w:r>
      <w:r w:rsidR="001E7A17" w:rsidRPr="001E7A17">
        <w:rPr>
          <w:noProof/>
          <w:sz w:val="22"/>
          <w:szCs w:val="22"/>
        </w:rPr>
        <w:t>[13,55]</w:t>
      </w:r>
      <w:r w:rsidR="00EC151B">
        <w:rPr>
          <w:sz w:val="22"/>
          <w:szCs w:val="22"/>
        </w:rPr>
        <w:fldChar w:fldCharType="end"/>
      </w:r>
      <w:r w:rsidRPr="0035263C">
        <w:rPr>
          <w:sz w:val="22"/>
          <w:szCs w:val="22"/>
        </w:rPr>
        <w:t xml:space="preserve"> The most notable example, with high quality data is the TREAT system. TREAT </w:t>
      </w:r>
      <w:r>
        <w:rPr>
          <w:sz w:val="22"/>
          <w:szCs w:val="22"/>
        </w:rPr>
        <w:t xml:space="preserve">is a </w:t>
      </w:r>
      <w:r w:rsidRPr="0035263C">
        <w:rPr>
          <w:sz w:val="22"/>
          <w:szCs w:val="22"/>
        </w:rPr>
        <w:t xml:space="preserve">CDSS incorporating Causal-Probabilistic Networks. Using this approach, TREAT demonstrated a 9% improvement in appropriateness of prescribing </w:t>
      </w:r>
      <w:r w:rsidRPr="0035263C">
        <w:rPr>
          <w:sz w:val="22"/>
          <w:szCs w:val="22"/>
        </w:rPr>
        <w:fldChar w:fldCharType="begin" w:fldLock="1"/>
      </w:r>
      <w:r w:rsidR="001E7A17">
        <w:rPr>
          <w:sz w:val="22"/>
          <w:szCs w:val="22"/>
        </w:rPr>
        <w:instrText>ADDIN CSL_CITATION { "citationItems" : [ { "id" : "ITEM-1", "itemData" : { "DOI" : "10.1093/jac/dkl372", "ISSN" : "0305-7453", "author" : [ { "dropping-particle" : "", "family" : "Paul", "given" : "M.", "non-dropping-particle" : "", "parse-names" : false, "suffix" : "" }, { "dropping-particle" : "", "family" : "Andreassen", "given" : "S.", "non-dropping-particle" : "", "parse-names" : false, "suffix" : "" }, { "dropping-particle" : "", "family" : "Tacconelli", "given" : "E.", "non-dropping-particle" : "", "parse-names" : false, "suffix" : "" }, { "dropping-particle" : "", "family" : "Nielsen", "given" : "a. D.", "non-dropping-particle" : "", "parse-names" : false, "suffix" : "" }, { "dropping-particle" : "", "family" : "Almanasreh", "given" : "N.", "non-dropping-particle" : "", "parse-names" : false, "suffix" : "" }, { "dropping-particle" : "", "family" : "Frank", "given" : "U.", "non-dropping-particle" : "", "parse-names" : false, "suffix" : "" }, { "dropping-particle" : "", "family" : "Cauda", "given" : "R.", "non-dropping-particle" : "", "parse-names" : false, "suffix" : "" }, { "dropping-particle" : "", "family" : "Leibovici", "given" : "L.", "non-dropping-particle" : "", "parse-names" : false, "suffix" : "" } ], "container-title" : "Journal of Antimicrobial Chemotherapy", "id" : "ITEM-1", "issue" : "6", "issued" : { "date-parts" : [ [ "2006" ] ] }, "page" : "1238-1245", "title" : "Improving empirical antibiotic treatment using TREAT, a computerized decision support system: cluster randomized trial", "type" : "article-journal", "volume" : "58" }, "uris" : [ "http://www.mendeley.com/documents/?uuid=47fa7d98-abee-44e8-984d-b8a0146a851b" ] } ], "mendeley" : { "formattedCitation" : "[56]", "plainTextFormattedCitation" : "[56]", "previouslyFormattedCitation" : "[56]" }, "properties" : {  }, "schema" : "https://github.com/citation-style-language/schema/raw/master/csl-citation.json" }</w:instrText>
      </w:r>
      <w:r w:rsidRPr="0035263C">
        <w:rPr>
          <w:sz w:val="22"/>
          <w:szCs w:val="22"/>
        </w:rPr>
        <w:fldChar w:fldCharType="separate"/>
      </w:r>
      <w:r w:rsidR="001E7A17" w:rsidRPr="001E7A17">
        <w:rPr>
          <w:noProof/>
          <w:sz w:val="22"/>
          <w:szCs w:val="22"/>
        </w:rPr>
        <w:t>[56]</w:t>
      </w:r>
      <w:r w:rsidRPr="0035263C">
        <w:rPr>
          <w:sz w:val="22"/>
          <w:szCs w:val="22"/>
        </w:rPr>
        <w:fldChar w:fldCharType="end"/>
      </w:r>
      <w:r w:rsidRPr="0035263C">
        <w:rPr>
          <w:sz w:val="22"/>
          <w:szCs w:val="22"/>
        </w:rPr>
        <w:t xml:space="preserve"> and a trend towards improved survival using this type of system</w:t>
      </w:r>
      <w:r>
        <w:rPr>
          <w:sz w:val="22"/>
          <w:szCs w:val="22"/>
        </w:rPr>
        <w:t>.</w:t>
      </w:r>
      <w:r w:rsidRPr="0035263C">
        <w:rPr>
          <w:sz w:val="22"/>
          <w:szCs w:val="22"/>
        </w:rPr>
        <w:fldChar w:fldCharType="begin" w:fldLock="1"/>
      </w:r>
      <w:r w:rsidR="001E7A17">
        <w:rPr>
          <w:sz w:val="22"/>
          <w:szCs w:val="22"/>
        </w:rPr>
        <w:instrText>ADDIN CSL_CITATION { "citationItems" : [ { "id" : "ITEM-1", "itemData" : { "DOI" : "10.1093/jac/dkt222", "ISSN" : "1460-2091", "PMID" : "23743088", "abstract" : "OBJECTIVES: TREAT is a computerized decision support system for antibiotic treatment. In a randomized controlled trial it improved significantly the percentage of appropriate empirical antibiotic treatment and shortened hospital stay, while the usage of broad-spectrum antibiotics was reduced. The trial was not powered to show significance for the difference in 1 month mortality rate. In the present analysis we looked at 6 month survival in one of the hospitals (Beilinson Hospital) that participated in the trial.\\n\\nMETHODS: We plotted the Kaplan-Meier survival function for all patients [intention to treat (ITT)] and for patients treated according to the TREAT advice [per protocol (PP)]. The analysis was repeated for patients with clinically or bacteriologically documented bacterial infections.\\n\\nRESULTS: At Beilinson Hospital 1683 patients were included in the study, 860 in the intervention arm and 823 in the control arm. In the ITT analysis 180 day survival in control patients was 71% versus 74% in the intervention patients (P = 0.2). In the PP analysis the survival percentages were 71% and 77%, respectively (P = 0.04). In patients with bacterial infections, in the ITT analysis 180 day survival in the control group was 68% versus 71% in the intervention patients (P = 0.1). In the PP analysis the survival percentages were 68% versus 74% (P = 0.04).\\n\\nCONCLUSIONS: The present data support an effect of the TREAT decision support system on 6 month survival, mainly because of its benefit in patients with documented bacterial infections.", "author" : [ { "dropping-particle" : "", "family" : "Leibovici", "given" : "Leonard", "non-dropping-particle" : "", "parse-names" : false, "suffix" : "" }, { "dropping-particle" : "", "family" : "Kariv", "given" : "Galia", "non-dropping-particle" : "", "parse-names" : false, "suffix" : "" }, { "dropping-particle" : "", "family" : "Paul", "given" : "Mical", "non-dropping-particle" : "", "parse-names" : false, "suffix" : "" } ], "container-title" : "The Journal of antimicrobial chemotherapy", "id" : "ITEM-1", "issue" : "11", "issued" : { "date-parts" : [ [ "2013" ] ] }, "page" : "2664-6", "title" : "Long-term survival in patients included in a randomized controlled trial of TREAT, a decision support system for antibiotic treatment.", "type" : "article-journal", "volume" : "68" }, "uris" : [ "http://www.mendeley.com/documents/?uuid=6319c573-4da4-4fd4-ac0a-2c603a95dfdb" ] } ], "mendeley" : { "formattedCitation" : "[19]", "plainTextFormattedCitation" : "[19]", "previouslyFormattedCitation" : "[19]" }, "properties" : {  }, "schema" : "https://github.com/citation-style-language/schema/raw/master/csl-citation.json" }</w:instrText>
      </w:r>
      <w:r w:rsidRPr="0035263C">
        <w:rPr>
          <w:sz w:val="22"/>
          <w:szCs w:val="22"/>
        </w:rPr>
        <w:fldChar w:fldCharType="separate"/>
      </w:r>
      <w:r w:rsidR="00D75813" w:rsidRPr="00D75813">
        <w:rPr>
          <w:noProof/>
          <w:sz w:val="22"/>
          <w:szCs w:val="22"/>
        </w:rPr>
        <w:t>[19]</w:t>
      </w:r>
      <w:r w:rsidRPr="0035263C">
        <w:rPr>
          <w:sz w:val="22"/>
          <w:szCs w:val="22"/>
        </w:rPr>
        <w:fldChar w:fldCharType="end"/>
      </w:r>
      <w:r>
        <w:rPr>
          <w:sz w:val="22"/>
          <w:szCs w:val="22"/>
        </w:rPr>
        <w:t xml:space="preserve"> </w:t>
      </w:r>
      <w:r w:rsidRPr="0035263C">
        <w:rPr>
          <w:sz w:val="22"/>
          <w:szCs w:val="22"/>
        </w:rPr>
        <w:t xml:space="preserve">However, </w:t>
      </w:r>
      <w:r>
        <w:rPr>
          <w:sz w:val="22"/>
          <w:szCs w:val="22"/>
        </w:rPr>
        <w:t>Causal-Probabilistic networks</w:t>
      </w:r>
      <w:r w:rsidRPr="0035263C">
        <w:rPr>
          <w:sz w:val="22"/>
          <w:szCs w:val="22"/>
        </w:rPr>
        <w:t xml:space="preserve"> require the construction of hugely complex decision</w:t>
      </w:r>
      <w:r w:rsidR="00AA59A9">
        <w:rPr>
          <w:sz w:val="22"/>
          <w:szCs w:val="22"/>
        </w:rPr>
        <w:t xml:space="preserve"> maps</w:t>
      </w:r>
      <w:r w:rsidRPr="0035263C">
        <w:rPr>
          <w:sz w:val="22"/>
          <w:szCs w:val="22"/>
        </w:rPr>
        <w:t xml:space="preserve">. This leads to problems </w:t>
      </w:r>
      <w:r w:rsidR="001E531A">
        <w:rPr>
          <w:sz w:val="22"/>
          <w:szCs w:val="22"/>
        </w:rPr>
        <w:t>translating</w:t>
      </w:r>
      <w:r w:rsidRPr="0035263C">
        <w:rPr>
          <w:sz w:val="22"/>
          <w:szCs w:val="22"/>
        </w:rPr>
        <w:t xml:space="preserve"> </w:t>
      </w:r>
      <w:r w:rsidR="001E531A">
        <w:rPr>
          <w:sz w:val="22"/>
          <w:szCs w:val="22"/>
        </w:rPr>
        <w:t xml:space="preserve"> these solutions</w:t>
      </w:r>
      <w:r w:rsidR="001E531A" w:rsidRPr="0035263C">
        <w:rPr>
          <w:sz w:val="22"/>
          <w:szCs w:val="22"/>
        </w:rPr>
        <w:t xml:space="preserve"> </w:t>
      </w:r>
      <w:r w:rsidRPr="0035263C">
        <w:rPr>
          <w:sz w:val="22"/>
          <w:szCs w:val="22"/>
        </w:rPr>
        <w:t xml:space="preserve">into clinical practice given </w:t>
      </w:r>
      <w:r w:rsidR="001E531A">
        <w:rPr>
          <w:sz w:val="22"/>
          <w:szCs w:val="22"/>
        </w:rPr>
        <w:t xml:space="preserve">the </w:t>
      </w:r>
      <w:r w:rsidRPr="0035263C">
        <w:rPr>
          <w:sz w:val="22"/>
          <w:szCs w:val="22"/>
        </w:rPr>
        <w:t>wide heterogeneity in practice and data availab</w:t>
      </w:r>
      <w:r>
        <w:rPr>
          <w:sz w:val="22"/>
          <w:szCs w:val="22"/>
        </w:rPr>
        <w:t>ility.</w:t>
      </w:r>
      <w:r w:rsidRPr="0035263C">
        <w:rPr>
          <w:sz w:val="22"/>
          <w:szCs w:val="22"/>
        </w:rPr>
        <w:fldChar w:fldCharType="begin" w:fldLock="1"/>
      </w:r>
      <w:r w:rsidR="001E7A17">
        <w:rPr>
          <w:sz w:val="22"/>
          <w:szCs w:val="22"/>
        </w:rPr>
        <w:instrText>ADDIN CSL_CITATION { "citationItems" : [ { "id" : "ITEM-1", "itemData" : { "DOI" : "10.1017/S0269888910000251", "ISSN" : "0269-8889", "abstract" : "Bayesian networks have become a widely used method in the modelling of uncertain knowledge. Owing to the difficulty domain experts have in specifying them, techniques that learn Bayesian networks from data have become indispensable. Recently, however, there have been many important new developments in this field. This work takes a broad look at the literature on learning Bayesian networks\u2014in particular their structure\u2014from data. Specific topics are not focused on in detail, but it is hoped that all the major fields in the area are covered. This article is not intended to be a tutorial\u2014for this, there are many books on the topic, which will be presented. However, an effort has been made to locate all the relevant publications, so that this paper can be used as a ready reference to find the works on particular sub-topics.", "author" : [ { "dropping-particle" : "", "family" : "Daly", "given" : "R\u00f3n\u00e1n", "non-dropping-particle" : "", "parse-names" : false, "suffix" : "" }, { "dropping-particle" : "", "family" : "Shen", "given" : "Qiang", "non-dropping-particle" : "", "parse-names" : false, "suffix" : "" }, { "dropping-particle" : "", "family" : "Aitken", "given" : "Stuart", "non-dropping-particle" : "", "parse-names" : false, "suffix" : "" } ], "container-title" : "The Knowledge Engineering Review", "id" : "ITEM-1", "issue" : "02", "issued" : { "date-parts" : [ [ "2011", "6", "12" ] ] }, "page" : "99-157", "title" : "Learning Bayesian networks: approaches and issues", "type" : "article-journal", "volume" : "26" }, "uris" : [ "http://www.mendeley.com/documents/?uuid=13d49b77-0227-35f0-ad2f-a326f275746e" ] } ], "mendeley" : { "formattedCitation" : "[57]", "plainTextFormattedCitation" : "[57]", "previouslyFormattedCitation" : "[57]" }, "properties" : {  }, "schema" : "https://github.com/citation-style-language/schema/raw/master/csl-citation.json" }</w:instrText>
      </w:r>
      <w:r w:rsidRPr="0035263C">
        <w:rPr>
          <w:sz w:val="22"/>
          <w:szCs w:val="22"/>
        </w:rPr>
        <w:fldChar w:fldCharType="separate"/>
      </w:r>
      <w:r w:rsidR="001E7A17" w:rsidRPr="001E7A17">
        <w:rPr>
          <w:noProof/>
          <w:sz w:val="22"/>
          <w:szCs w:val="22"/>
        </w:rPr>
        <w:t>[57]</w:t>
      </w:r>
      <w:r w:rsidRPr="0035263C">
        <w:rPr>
          <w:sz w:val="22"/>
          <w:szCs w:val="22"/>
        </w:rPr>
        <w:fldChar w:fldCharType="end"/>
      </w:r>
      <w:r w:rsidRPr="0035263C">
        <w:rPr>
          <w:sz w:val="22"/>
          <w:szCs w:val="22"/>
        </w:rPr>
        <w:t xml:space="preserve"> </w:t>
      </w:r>
      <w:r w:rsidR="001E531A">
        <w:rPr>
          <w:sz w:val="22"/>
          <w:szCs w:val="22"/>
        </w:rPr>
        <w:t xml:space="preserve">It </w:t>
      </w:r>
      <w:r>
        <w:rPr>
          <w:sz w:val="22"/>
          <w:szCs w:val="22"/>
        </w:rPr>
        <w:t>makes these systems</w:t>
      </w:r>
      <w:r w:rsidRPr="0035263C">
        <w:rPr>
          <w:sz w:val="22"/>
          <w:szCs w:val="22"/>
        </w:rPr>
        <w:t xml:space="preserve"> challenging to develop, implement, and require</w:t>
      </w:r>
      <w:r>
        <w:rPr>
          <w:sz w:val="22"/>
          <w:szCs w:val="22"/>
        </w:rPr>
        <w:t>s a</w:t>
      </w:r>
      <w:r w:rsidRPr="0035263C">
        <w:rPr>
          <w:sz w:val="22"/>
          <w:szCs w:val="22"/>
        </w:rPr>
        <w:t xml:space="preserve"> large amount of information and technical skill to maintain</w:t>
      </w:r>
      <w:r>
        <w:rPr>
          <w:sz w:val="22"/>
          <w:szCs w:val="22"/>
        </w:rPr>
        <w:t>.</w:t>
      </w:r>
      <w:r w:rsidRPr="0035263C">
        <w:rPr>
          <w:sz w:val="22"/>
          <w:szCs w:val="22"/>
        </w:rPr>
        <w:fldChar w:fldCharType="begin" w:fldLock="1"/>
      </w:r>
      <w:r w:rsidR="001E7A17">
        <w:rPr>
          <w:sz w:val="22"/>
          <w:szCs w:val="22"/>
        </w:rPr>
        <w:instrText>ADDIN CSL_CITATION { "citationItems" : [ { "id" : "ITEM-1", "itemData" : { "DOI" : "10.1017/S0269888900007098", "abstract" : "Case-Based Reasoning (CBR) is a relatively recent problem solving technique that is attracting increasing attention. However, the number of people with first-hand theoretical or practical experience of CBR is still small. The main objective of this review is to provide a comprehensive overview of the subject to people new to CBR. The paper outlines the development of CBR in the US in the 1980s. Tt describes the fundamental techniques of CBR and contrasts its approach to that of model-based reasoning systems. 1 A critical review of currently available CBR software tools is followed by descriptions of CBR applications both from academic research and, in more detail, three CBR systems that are presently being used commercially. Each of the three commercial case studies highlights features that made CBR particularly suitable for the application. Moreover, the last case study describes a development methodology for implementing CBR systems. The paper concludes with a research agenda for CBR. A detailed categorized bibliography of CBR research is provided in a companion paper (Marir &amp; Watson, 1994).", "author" : [ { "dropping-particle" : "", "family" : "Watson", "given" : "Ian", "non-dropping-particle" : "", "parse-names" : false, "suffix" : "" }, { "dropping-particle" : "", "family" : "Marir", "given" : "Farhi", "non-dropping-particle" : "", "parse-names" : false, "suffix" : "" } ], "container-title" : "The Knowledge Engineering Review", "id" : "ITEM-1", "issued" : { "date-parts" : [ [ "2017" ] ] }, "page" : "327-354", "title" : "Case-based reasoning: A review", "type" : "article-journal", "volume" : "94" }, "uris" : [ "http://www.mendeley.com/documents/?uuid=811dfd00-d3e7-3e90-a3b9-5f97a1bb2e22" ] } ], "mendeley" : { "formattedCitation" : "[49]", "plainTextFormattedCitation" : "[49]", "previouslyFormattedCitation" : "[49]" }, "properties" : {  }, "schema" : "https://github.com/citation-style-language/schema/raw/master/csl-citation.json" }</w:instrText>
      </w:r>
      <w:r w:rsidRPr="0035263C">
        <w:rPr>
          <w:sz w:val="22"/>
          <w:szCs w:val="22"/>
        </w:rPr>
        <w:fldChar w:fldCharType="separate"/>
      </w:r>
      <w:r w:rsidR="001E7A17" w:rsidRPr="001E7A17">
        <w:rPr>
          <w:noProof/>
          <w:sz w:val="22"/>
          <w:szCs w:val="22"/>
        </w:rPr>
        <w:t>[49]</w:t>
      </w:r>
      <w:r w:rsidRPr="0035263C">
        <w:rPr>
          <w:sz w:val="22"/>
          <w:szCs w:val="22"/>
        </w:rPr>
        <w:fldChar w:fldCharType="end"/>
      </w:r>
    </w:p>
    <w:p w14:paraId="7F760EA5" w14:textId="69672BE9" w:rsidR="00E36934" w:rsidRDefault="00AA59A9" w:rsidP="00E36934">
      <w:pPr>
        <w:spacing w:afterLines="200" w:after="480" w:line="480" w:lineRule="auto"/>
        <w:jc w:val="both"/>
        <w:rPr>
          <w:sz w:val="22"/>
          <w:szCs w:val="22"/>
        </w:rPr>
      </w:pPr>
      <w:r>
        <w:rPr>
          <w:sz w:val="22"/>
          <w:szCs w:val="22"/>
        </w:rPr>
        <w:t>CBR</w:t>
      </w:r>
      <w:r w:rsidR="005D7B84" w:rsidRPr="0035263C">
        <w:rPr>
          <w:sz w:val="22"/>
          <w:szCs w:val="22"/>
        </w:rPr>
        <w:t xml:space="preserve"> is an alternative approach to the use of knowledge-based systems. CBR aims to solve a new problem by adapting a previously successful solution to the current problem encountered</w:t>
      </w:r>
      <w:r w:rsidR="005D7B84">
        <w:rPr>
          <w:sz w:val="22"/>
          <w:szCs w:val="22"/>
        </w:rPr>
        <w:t>.</w:t>
      </w:r>
      <w:r w:rsidR="005D7B84" w:rsidRPr="0035263C">
        <w:rPr>
          <w:sz w:val="22"/>
          <w:szCs w:val="22"/>
        </w:rPr>
        <w:fldChar w:fldCharType="begin" w:fldLock="1"/>
      </w:r>
      <w:r w:rsidR="001E7A17">
        <w:rPr>
          <w:sz w:val="22"/>
          <w:szCs w:val="22"/>
        </w:rPr>
        <w:instrText>ADDIN CSL_CITATION { "citationItems" : [ { "id" : "ITEM-1", "itemData" : { "DOI" : "10.1017/S0269888900007098", "abstract" : "Case-Based Reasoning (CBR) is a relatively recent problem solving technique that is attracting increasing attention. However, the number of people with first-hand theoretical or practical experience of CBR is still small. The main objective of this review is to provide a comprehensive overview of the subject to people new to CBR. The paper outlines the development of CBR in the US in the 1980s. Tt describes the fundamental techniques of CBR and contrasts its approach to that of model-based reasoning systems. 1 A critical review of currently available CBR software tools is followed by descriptions of CBR applications both from academic research and, in more detail, three CBR systems that are presently being used commercially. Each of the three commercial case studies highlights features that made CBR particularly suitable for the application. Moreover, the last case study describes a development methodology for implementing CBR systems. The paper concludes with a research agenda for CBR. A detailed categorized bibliography of CBR research is provided in a companion paper (Marir &amp; Watson, 1994).", "author" : [ { "dropping-particle" : "", "family" : "Watson", "given" : "Ian", "non-dropping-particle" : "", "parse-names" : false, "suffix" : "" }, { "dropping-particle" : "", "family" : "Marir", "given" : "Farhi", "non-dropping-particle" : "", "parse-names" : false, "suffix" : "" } ], "container-title" : "The Knowledge Engineering Review", "id" : "ITEM-1", "issued" : { "date-parts" : [ [ "2017" ] ] }, "page" : "327-354", "title" : "Case-based reasoning: A review", "type" : "article-journal", "volume" : "94" }, "uris" : [ "http://www.mendeley.com/documents/?uuid=811dfd00-d3e7-3e90-a3b9-5f97a1bb2e22" ] } ], "mendeley" : { "formattedCitation" : "[49]", "plainTextFormattedCitation" : "[49]", "previouslyFormattedCitation" : "[49]" }, "properties" : {  }, "schema" : "https://github.com/citation-style-language/schema/raw/master/csl-citation.json" }</w:instrText>
      </w:r>
      <w:r w:rsidR="005D7B84" w:rsidRPr="0035263C">
        <w:rPr>
          <w:sz w:val="22"/>
          <w:szCs w:val="22"/>
        </w:rPr>
        <w:fldChar w:fldCharType="separate"/>
      </w:r>
      <w:r w:rsidR="001E7A17" w:rsidRPr="001E7A17">
        <w:rPr>
          <w:noProof/>
          <w:sz w:val="22"/>
          <w:szCs w:val="22"/>
        </w:rPr>
        <w:t>[49]</w:t>
      </w:r>
      <w:r w:rsidR="005D7B84" w:rsidRPr="0035263C">
        <w:rPr>
          <w:sz w:val="22"/>
          <w:szCs w:val="22"/>
        </w:rPr>
        <w:fldChar w:fldCharType="end"/>
      </w:r>
      <w:r w:rsidR="005D7B84" w:rsidRPr="0035263C">
        <w:rPr>
          <w:sz w:val="22"/>
          <w:szCs w:val="22"/>
        </w:rPr>
        <w:t xml:space="preserve"> CBR </w:t>
      </w:r>
      <w:r w:rsidR="005D7B84" w:rsidRPr="00F5137B">
        <w:rPr>
          <w:sz w:val="22"/>
          <w:szCs w:val="22"/>
        </w:rPr>
        <w:t xml:space="preserve">aims to address many of the challenges associated with knowledge-based systems. For example, CBR does not require a defined model. Therefore, </w:t>
      </w:r>
      <w:r>
        <w:rPr>
          <w:sz w:val="22"/>
          <w:szCs w:val="22"/>
        </w:rPr>
        <w:t>CBR</w:t>
      </w:r>
      <w:r w:rsidR="005D7B84" w:rsidRPr="00F5137B">
        <w:rPr>
          <w:sz w:val="22"/>
          <w:szCs w:val="22"/>
        </w:rPr>
        <w:t xml:space="preserve"> simply relies on the extraction of case histories.</w:t>
      </w:r>
      <w:r w:rsidR="005D7B84">
        <w:rPr>
          <w:sz w:val="22"/>
          <w:szCs w:val="22"/>
        </w:rPr>
        <w:t xml:space="preserve"> </w:t>
      </w:r>
      <w:r w:rsidR="005D7B84" w:rsidRPr="00F5137B">
        <w:rPr>
          <w:sz w:val="22"/>
          <w:szCs w:val="22"/>
        </w:rPr>
        <w:t xml:space="preserve">Implementation of CBR requires the identification of significant features </w:t>
      </w:r>
      <w:r>
        <w:rPr>
          <w:sz w:val="22"/>
          <w:szCs w:val="22"/>
        </w:rPr>
        <w:t>describing a particular problem</w:t>
      </w:r>
      <w:r w:rsidR="005D7B84" w:rsidRPr="00F5137B">
        <w:rPr>
          <w:sz w:val="22"/>
          <w:szCs w:val="22"/>
        </w:rPr>
        <w:t>, as opposed to creating an explicit model. Finally, CBR learns</w:t>
      </w:r>
      <w:r>
        <w:rPr>
          <w:sz w:val="22"/>
          <w:szCs w:val="22"/>
        </w:rPr>
        <w:t xml:space="preserve"> overtime</w:t>
      </w:r>
      <w:r w:rsidR="005D7B84" w:rsidRPr="00F5137B">
        <w:rPr>
          <w:sz w:val="22"/>
          <w:szCs w:val="22"/>
        </w:rPr>
        <w:t xml:space="preserve"> through cases that it acquires, which makes maintenance </w:t>
      </w:r>
      <w:r w:rsidR="00E36934">
        <w:rPr>
          <w:sz w:val="22"/>
          <w:szCs w:val="22"/>
        </w:rPr>
        <w:t xml:space="preserve">easier than model-based systems. </w:t>
      </w:r>
    </w:p>
    <w:p w14:paraId="1654C752" w14:textId="6EFC0FD1" w:rsidR="005D76F8" w:rsidRDefault="005D76F8" w:rsidP="00E36934">
      <w:pPr>
        <w:spacing w:afterLines="200" w:after="480" w:line="480" w:lineRule="auto"/>
        <w:jc w:val="both"/>
        <w:rPr>
          <w:sz w:val="22"/>
          <w:szCs w:val="22"/>
        </w:rPr>
      </w:pPr>
      <w:r>
        <w:rPr>
          <w:sz w:val="22"/>
          <w:szCs w:val="22"/>
        </w:rPr>
        <w:t xml:space="preserve">Within this study, a CBR algorithm provided recommendations that were appropriate, but narrower in spectrum when compared to clinical practice. </w:t>
      </w:r>
      <w:r w:rsidR="00EC151B">
        <w:rPr>
          <w:sz w:val="22"/>
          <w:szCs w:val="22"/>
        </w:rPr>
        <w:t xml:space="preserve">This was without direct weighting of recommendations to focus on narrower spectrum agents. A possible reason for this </w:t>
      </w:r>
      <w:r w:rsidR="00EC151B">
        <w:rPr>
          <w:sz w:val="22"/>
          <w:szCs w:val="22"/>
        </w:rPr>
        <w:lastRenderedPageBreak/>
        <w:t>observation includes prescriber bias towards broader spectrum agents, particularly when making empirical treatment decisions and when the clinical picture does not fit with guidelines.</w:t>
      </w:r>
      <w:r w:rsidR="00EC151B">
        <w:rPr>
          <w:sz w:val="22"/>
          <w:szCs w:val="22"/>
        </w:rPr>
        <w:fldChar w:fldCharType="begin" w:fldLock="1"/>
      </w:r>
      <w:r w:rsidR="001E7A17">
        <w:rPr>
          <w:sz w:val="22"/>
          <w:szCs w:val="22"/>
        </w:rPr>
        <w:instrText>ADDIN CSL_CITATION { "citationItems" : [ { "id" : "ITEM-1", "itemData" : { "DOI" : "10.1186/s12916-016-0751-y", "ISSN" : "1741-7015", "abstract" : "\u00a9 2016 The Author(s).Background: The inappropriate use of antimicrobials drives antimicrobial resistance. We conducted a study to map physician decision-making processes for acute infection management in secondary care to identify potential targets for quality improvement interventions. Methods: Physicians newly qualified to consultant level participated in semi-structured interviews. Interviews were audio recorded and transcribed verbatim for analysis using NVIVO11.0 software. Grounded theory methodology was applied. Analytical categories were created using constant comparison approach to the data and participants were recruited to the study until thematic saturation was reached. Results: Twenty physicians were interviewed. The decision pathway for the management of acute infections follows a Bayesian-like step-wise approach, with information processed and systematically added to prior assumptions to guide management. The main emerging themes identified as determinants of the decision-making of individual physicians were (1) perceptions of providing 'optimal' care for the patient with infection by providing rapid and often intravenous therapy; (2) perceptions that stopping/de-escalating therapy was a senior doctor decision with junior trainees not expected to contribute; and (3) expectation of interactions with local guidelines and microbiology service advice. Feedback on review of junior doctor prescribing decisions was often lacking, causing frustration and confusion on appropriate practice within this cohort. Conclusion: Interventions to improve infection management must incorporate mechanisms to promote distribution of responsibility for decisions made. The disparity between expectations of prescribers to start but not review/stop therapy must be urgently addressed with mechanisms to improve communication and feedback to junior prescribers to facilitate their continued development as prudent antimicrobial prescribers.", "author" : [ { "dropping-particle" : "", "family" : "Rawson", "given" : "Timothy Miles", "non-dropping-particle" : "", "parse-names" : false, "suffix" : "" }, { "dropping-particle" : "", "family" : "Charani", "given" : "Esmita", "non-dropping-particle" : "", "parse-names" : false, "suffix" : "" }, { "dropping-particle" : "", "family" : "Moore", "given" : "L.S.P. Luke Stephen Prockter", "non-dropping-particle" : "", "parse-names" : false, "suffix" : "" }, { "dropping-particle" : "", "family" : "Hernandez", "given" : "Bernard", "non-dropping-particle" : "", "parse-names" : false, "suffix" : "" }, { "dropping-particle" : "", "family" : "Castro-S\u00e1nchez", "given" : "Enrique", "non-dropping-particle" : "", "parse-names" : false, "suffix" : "" }, { "dropping-particle" : "", "family" : "Herrero", "given" : "Pau", "non-dropping-particle" : "", "parse-names" : false, "suffix" : "" }, { "dropping-particle" : "", "family" : "Georgiou", "given" : "Pantelis", "non-dropping-particle" : "", "parse-names" : false, "suffix" : "" }, { "dropping-particle" : "", "family" : "Holmes", "given" : "a.H. Alison Helen", "non-dropping-particle" : "", "parse-names" : false, "suffix" : "" } ], "container-title" : "BMC Medicine", "id" : "ITEM-1", "issue" : "1", "issued" : { "date-parts" : [ [ "2016" ] ] }, "page" : "208", "title" : "Mapping the decision pathways of acute infection management in secondary care among UK medical physicians: a qualitative study", "type" : "article-journal", "volume" : "14" }, "uris" : [ "http://www.mendeley.com/documents/?uuid=d64194bb-300e-487a-97ad-8777bc3fb95f" ] }, { "id" : "ITEM-2", "itemData" : { "DOI" : "10.1093/cid/cit212", "ISBN" : "10584838", "ISSN" : "10584838", "PMID" : "23572483", "abstract" : "BACKGROUND: There is limited knowledge of the key determinants of antimicrobial prescribing behavior (APB) in hospitals. An understanding of these determinants is required for the successful design, adoption, and implementation of quality improvement interventions in antimicrobial stewardship programs.\\n\\nMETHODS: Qualitative semistructured interviews were conducted with doctors (n = 10), pharmacists (n = 10), and nurses and midwives (n = 19) in 4 hospitals in London. Interviews were conducted until thematic saturation was reached. Thematic analysis was applied to the data to identify the key determinants of antimicrobial prescribing behaviors.\\n\\nRESULTS: The APB of healthcare professionals is governed by a set of cultural rules. Antimicrobial prescribing is performed in an environment where the behavior of clinical leaders or seniors influences practice of junior doctors. Senior doctors consider themselves exempt from following policy and practice within a culture of perceived autonomous decision making that relies more on personal knowledge and experience than formal policy. Prescribers identify with the clinical groups in which they work and adjust their APB according to the prevailing practice within these groups. A culture of \"noninterference\" in the antimicrobial prescribing practice of peers prevents intervention into prescribing of colleagues. These sets of cultural rules demonstrate the existence of a \"prescribing etiquette,\" which dominates the APB of healthcare professionals. Prescribing etiquette creates an environment in which professional hierarchy and clinical groups act as key determinants of APB.\\n\\nCONCLUSIONS: To influence the antimicrobial prescribing of individual healthcare professionals, interventions need to address prescribing etiquette and use clinical leadership within existing clinical groups to influence practice.", "author" : [ { "dropping-particle" : "", "family" : "Charani", "given" : "E.", "non-dropping-particle" : "", "parse-names" : false, "suffix" : "" }, { "dropping-particle" : "", "family" : "Castro-Sanchez", "given" : "E.", "non-dropping-particle" : "", "parse-names" : false, "suffix" : "" }, { "dropping-particle" : "", "family" : "Sevdalis", "given" : "N.", "non-dropping-particle" : "", "parse-names" : false, "suffix" : "" }, { "dropping-particle" : "", "family" : "Kyratsis", "given" : "Y.", "non-dropping-particle" : "", "parse-names" : false, "suffix" : "" }, { "dropping-particle" : "", "family" : "Drumright", "given" : "L.", "non-dropping-particle" : "", "parse-names" : false, "suffix" : "" }, { "dropping-particle" : "", "family" : "Shah", "given" : "N.", "non-dropping-particle" : "", "parse-names" : false, "suffix" : "" }, { "dropping-particle" : "", "family" : "Holmes", "given" : "a.", "non-dropping-particle" : "", "parse-names" : false, "suffix" : "" } ], "container-title" : "Clinical Infectious Diseases", "id" : "ITEM-2", "issue" : "2", "issued" : { "date-parts" : [ [ "2013" ] ] }, "page" : "188-196", "title" : "Understanding the determinants of antimicrobial prescribing within hospitals: The role of \"prescribing etiquette\"", "type" : "article-journal", "volume" : "57" }, "uris" : [ "http://www.mendeley.com/documents/?uuid=ae05dfa2-ea40-4b0c-bb3c-fd3e85f20d4c" ] } ], "mendeley" : { "formattedCitation" : "[2,4]", "plainTextFormattedCitation" : "[2,4]", "previouslyFormattedCitation" : "[2,4]" }, "properties" : {  }, "schema" : "https://github.com/citation-style-language/schema/raw/master/csl-citation.json" }</w:instrText>
      </w:r>
      <w:r w:rsidR="00EC151B">
        <w:rPr>
          <w:sz w:val="22"/>
          <w:szCs w:val="22"/>
        </w:rPr>
        <w:fldChar w:fldCharType="separate"/>
      </w:r>
      <w:r w:rsidR="00FE18FB" w:rsidRPr="00FE18FB">
        <w:rPr>
          <w:noProof/>
          <w:sz w:val="22"/>
          <w:szCs w:val="22"/>
        </w:rPr>
        <w:t>[2,4]</w:t>
      </w:r>
      <w:r w:rsidR="00EC151B">
        <w:rPr>
          <w:sz w:val="22"/>
          <w:szCs w:val="22"/>
        </w:rPr>
        <w:fldChar w:fldCharType="end"/>
      </w:r>
      <w:r w:rsidR="00EC151B">
        <w:rPr>
          <w:sz w:val="22"/>
          <w:szCs w:val="22"/>
        </w:rPr>
        <w:t xml:space="preserve"> The acceptability of recommendations by physicians must be evaluated to explore the impact of individualised prescribing recommendations on prescriber behaviours in similar situations.</w:t>
      </w:r>
    </w:p>
    <w:p w14:paraId="6DE25711" w14:textId="004F71CC" w:rsidR="00E36934" w:rsidRDefault="00E36934" w:rsidP="00E36934">
      <w:pPr>
        <w:spacing w:line="480" w:lineRule="auto"/>
        <w:jc w:val="both"/>
        <w:rPr>
          <w:sz w:val="22"/>
          <w:szCs w:val="22"/>
        </w:rPr>
      </w:pPr>
      <w:r w:rsidRPr="00E36934">
        <w:rPr>
          <w:i/>
          <w:sz w:val="22"/>
          <w:szCs w:val="22"/>
        </w:rPr>
        <w:t>Study limitations</w:t>
      </w:r>
    </w:p>
    <w:p w14:paraId="12E64D46" w14:textId="68332137" w:rsidR="005D7B84" w:rsidRDefault="00BC5853" w:rsidP="00E55BF7">
      <w:pPr>
        <w:spacing w:afterLines="200" w:after="480" w:line="480" w:lineRule="auto"/>
        <w:jc w:val="both"/>
        <w:rPr>
          <w:sz w:val="22"/>
          <w:szCs w:val="22"/>
        </w:rPr>
      </w:pPr>
      <w:r>
        <w:rPr>
          <w:sz w:val="22"/>
          <w:szCs w:val="22"/>
        </w:rPr>
        <w:t>A</w:t>
      </w:r>
      <w:r w:rsidR="00E36934" w:rsidRPr="00EA719B">
        <w:rPr>
          <w:sz w:val="22"/>
          <w:szCs w:val="22"/>
        </w:rPr>
        <w:t>s an observational study it was not possible to control for all confounders within the study population.</w:t>
      </w:r>
      <w:r w:rsidR="0063471F">
        <w:rPr>
          <w:sz w:val="22"/>
          <w:szCs w:val="22"/>
        </w:rPr>
        <w:t xml:space="preserve"> The </w:t>
      </w:r>
      <w:r w:rsidR="00E36934" w:rsidRPr="00EA719B">
        <w:rPr>
          <w:sz w:val="22"/>
          <w:szCs w:val="22"/>
        </w:rPr>
        <w:t xml:space="preserve">study </w:t>
      </w:r>
      <w:r w:rsidR="0063471F">
        <w:rPr>
          <w:sz w:val="22"/>
          <w:szCs w:val="22"/>
        </w:rPr>
        <w:t xml:space="preserve">also </w:t>
      </w:r>
      <w:r w:rsidR="00E36934" w:rsidRPr="00EA719B">
        <w:rPr>
          <w:sz w:val="22"/>
          <w:szCs w:val="22"/>
        </w:rPr>
        <w:t>did not evaluate the impact of the CDSS on prescribing behaviour</w:t>
      </w:r>
      <w:r w:rsidR="00ED72E4">
        <w:rPr>
          <w:sz w:val="22"/>
          <w:szCs w:val="22"/>
        </w:rPr>
        <w:t>, including the acceptability of the device to prescribers on implementation</w:t>
      </w:r>
      <w:r w:rsidR="00E36934" w:rsidRPr="00EA719B">
        <w:rPr>
          <w:sz w:val="22"/>
          <w:szCs w:val="22"/>
        </w:rPr>
        <w:t xml:space="preserve">. This will be prospectively explored following </w:t>
      </w:r>
      <w:r w:rsidR="0063471F">
        <w:rPr>
          <w:sz w:val="22"/>
          <w:szCs w:val="22"/>
        </w:rPr>
        <w:t xml:space="preserve">the </w:t>
      </w:r>
      <w:r w:rsidR="00E36934" w:rsidRPr="00EA719B">
        <w:rPr>
          <w:sz w:val="22"/>
          <w:szCs w:val="22"/>
        </w:rPr>
        <w:t>successful demonstrat</w:t>
      </w:r>
      <w:r w:rsidR="0063471F">
        <w:rPr>
          <w:sz w:val="22"/>
          <w:szCs w:val="22"/>
        </w:rPr>
        <w:t>ion</w:t>
      </w:r>
      <w:r w:rsidR="00E36934" w:rsidRPr="00EA719B">
        <w:rPr>
          <w:sz w:val="22"/>
          <w:szCs w:val="22"/>
        </w:rPr>
        <w:t xml:space="preserve"> </w:t>
      </w:r>
      <w:r w:rsidR="00F875E4">
        <w:rPr>
          <w:sz w:val="22"/>
          <w:szCs w:val="22"/>
        </w:rPr>
        <w:t xml:space="preserve">of </w:t>
      </w:r>
      <w:r w:rsidR="00F875E4" w:rsidRPr="00EA719B">
        <w:rPr>
          <w:sz w:val="22"/>
          <w:szCs w:val="22"/>
        </w:rPr>
        <w:t xml:space="preserve">proof-of-concept </w:t>
      </w:r>
      <w:r w:rsidR="00E36934" w:rsidRPr="00EA719B">
        <w:rPr>
          <w:sz w:val="22"/>
          <w:szCs w:val="22"/>
        </w:rPr>
        <w:t xml:space="preserve">within this study. </w:t>
      </w:r>
      <w:r w:rsidR="0063471F">
        <w:rPr>
          <w:sz w:val="22"/>
          <w:szCs w:val="22"/>
        </w:rPr>
        <w:t>In addition, w</w:t>
      </w:r>
      <w:r w:rsidR="00E36934" w:rsidRPr="00EA719B">
        <w:rPr>
          <w:sz w:val="22"/>
          <w:szCs w:val="22"/>
        </w:rPr>
        <w:t>hilst the ASI</w:t>
      </w:r>
      <w:r w:rsidR="00E55BF7">
        <w:rPr>
          <w:sz w:val="22"/>
          <w:szCs w:val="22"/>
        </w:rPr>
        <w:t xml:space="preserve"> and the WHO AWaRe classification system</w:t>
      </w:r>
      <w:r w:rsidR="00E36934" w:rsidRPr="00EA719B">
        <w:rPr>
          <w:sz w:val="22"/>
          <w:szCs w:val="22"/>
        </w:rPr>
        <w:t xml:space="preserve"> </w:t>
      </w:r>
      <w:r w:rsidR="00E55BF7">
        <w:rPr>
          <w:sz w:val="22"/>
          <w:szCs w:val="22"/>
        </w:rPr>
        <w:t>are</w:t>
      </w:r>
      <w:r w:rsidR="00E36934" w:rsidRPr="00EA719B">
        <w:rPr>
          <w:sz w:val="22"/>
          <w:szCs w:val="22"/>
        </w:rPr>
        <w:t xml:space="preserve"> validated approach</w:t>
      </w:r>
      <w:r w:rsidR="0063471F">
        <w:rPr>
          <w:sz w:val="22"/>
          <w:szCs w:val="22"/>
        </w:rPr>
        <w:t>e</w:t>
      </w:r>
      <w:r w:rsidR="00E55BF7">
        <w:rPr>
          <w:sz w:val="22"/>
          <w:szCs w:val="22"/>
        </w:rPr>
        <w:t>s</w:t>
      </w:r>
      <w:r w:rsidR="00E36934" w:rsidRPr="00EA719B">
        <w:rPr>
          <w:sz w:val="22"/>
          <w:szCs w:val="22"/>
        </w:rPr>
        <w:t xml:space="preserve"> to </w:t>
      </w:r>
      <w:r w:rsidR="00EA719B">
        <w:rPr>
          <w:sz w:val="22"/>
          <w:szCs w:val="22"/>
        </w:rPr>
        <w:t xml:space="preserve">assess </w:t>
      </w:r>
      <w:r w:rsidR="00F875E4">
        <w:rPr>
          <w:sz w:val="22"/>
          <w:szCs w:val="22"/>
        </w:rPr>
        <w:t xml:space="preserve">spectrum of antimicrobial activity, </w:t>
      </w:r>
      <w:r w:rsidR="00E55BF7">
        <w:rPr>
          <w:sz w:val="22"/>
          <w:szCs w:val="22"/>
        </w:rPr>
        <w:t>they are based</w:t>
      </w:r>
      <w:r w:rsidR="00F875E4">
        <w:rPr>
          <w:sz w:val="22"/>
          <w:szCs w:val="22"/>
        </w:rPr>
        <w:t xml:space="preserve"> on historical data, which may not be entirely generalizable to the local </w:t>
      </w:r>
      <w:r w:rsidR="00681656">
        <w:rPr>
          <w:sz w:val="22"/>
          <w:szCs w:val="22"/>
        </w:rPr>
        <w:t>environment and epidemiology within this study</w:t>
      </w:r>
      <w:r w:rsidR="00F875E4">
        <w:rPr>
          <w:sz w:val="22"/>
          <w:szCs w:val="22"/>
        </w:rPr>
        <w:t xml:space="preserve">. </w:t>
      </w:r>
      <w:r w:rsidR="00ED72E4">
        <w:rPr>
          <w:sz w:val="22"/>
          <w:szCs w:val="22"/>
        </w:rPr>
        <w:t xml:space="preserve">The financial impact of implementing such a system was not the focus of this study. Robust economic analysis will be incorporated into future prospective evaluation of the CDSS in practice. </w:t>
      </w:r>
      <w:r w:rsidR="00E55BF7">
        <w:rPr>
          <w:sz w:val="22"/>
          <w:szCs w:val="22"/>
        </w:rPr>
        <w:t>Finally, this study was not designed to evaluate potential unintended consequences of implementing a CBR-drive CDSS,</w:t>
      </w:r>
      <w:r w:rsidR="0063471F">
        <w:rPr>
          <w:sz w:val="22"/>
          <w:szCs w:val="22"/>
        </w:rPr>
        <w:t xml:space="preserve"> however </w:t>
      </w:r>
      <w:r w:rsidR="00681656">
        <w:rPr>
          <w:sz w:val="22"/>
          <w:szCs w:val="22"/>
        </w:rPr>
        <w:t xml:space="preserve">the results have demonstrated that CBR performed similar to current real-world clinical decision making, with initial evaluation deeming them to be appropriate and safe. </w:t>
      </w:r>
    </w:p>
    <w:p w14:paraId="34859150" w14:textId="7824875B" w:rsidR="00A62C05" w:rsidRDefault="004B21ED" w:rsidP="0035263C">
      <w:pPr>
        <w:spacing w:after="200" w:line="480" w:lineRule="auto"/>
        <w:jc w:val="both"/>
        <w:rPr>
          <w:sz w:val="22"/>
          <w:szCs w:val="22"/>
        </w:rPr>
      </w:pPr>
      <w:r>
        <w:rPr>
          <w:sz w:val="22"/>
          <w:szCs w:val="22"/>
        </w:rPr>
        <w:t xml:space="preserve"> </w:t>
      </w:r>
      <w:r w:rsidR="00922A4B">
        <w:rPr>
          <w:sz w:val="22"/>
          <w:szCs w:val="22"/>
        </w:rPr>
        <w:t xml:space="preserve"> </w:t>
      </w:r>
      <w:r w:rsidR="005D03B4">
        <w:rPr>
          <w:sz w:val="22"/>
          <w:szCs w:val="22"/>
        </w:rPr>
        <w:t xml:space="preserve">  </w:t>
      </w:r>
      <w:r w:rsidR="00A62C05">
        <w:rPr>
          <w:sz w:val="22"/>
          <w:szCs w:val="22"/>
        </w:rPr>
        <w:t xml:space="preserve">  </w:t>
      </w:r>
    </w:p>
    <w:p w14:paraId="1DCBD817" w14:textId="77777777" w:rsidR="001029EC" w:rsidRDefault="001029EC" w:rsidP="00F875E4">
      <w:pPr>
        <w:spacing w:after="200" w:line="480" w:lineRule="auto"/>
        <w:jc w:val="both"/>
        <w:rPr>
          <w:sz w:val="22"/>
          <w:szCs w:val="22"/>
        </w:rPr>
        <w:sectPr w:rsidR="001029EC" w:rsidSect="007B595B">
          <w:pgSz w:w="11906" w:h="16838"/>
          <w:pgMar w:top="1440" w:right="1440" w:bottom="1440" w:left="1440" w:header="709" w:footer="709" w:gutter="0"/>
          <w:cols w:space="708"/>
          <w:docGrid w:linePitch="360"/>
        </w:sectPr>
      </w:pPr>
    </w:p>
    <w:p w14:paraId="3267BD28" w14:textId="0929A5D7" w:rsidR="00B57118" w:rsidRDefault="00853D42" w:rsidP="00F875E4">
      <w:pPr>
        <w:spacing w:after="200" w:line="480" w:lineRule="auto"/>
        <w:jc w:val="both"/>
        <w:rPr>
          <w:b/>
          <w:sz w:val="24"/>
          <w:szCs w:val="24"/>
        </w:rPr>
      </w:pPr>
      <w:r>
        <w:rPr>
          <w:sz w:val="22"/>
          <w:szCs w:val="22"/>
        </w:rPr>
        <w:lastRenderedPageBreak/>
        <w:t xml:space="preserve"> </w:t>
      </w:r>
      <w:r w:rsidR="00B57118">
        <w:rPr>
          <w:b/>
          <w:sz w:val="24"/>
          <w:szCs w:val="24"/>
        </w:rPr>
        <w:t>Conclusion</w:t>
      </w:r>
    </w:p>
    <w:p w14:paraId="50D07F6C" w14:textId="7482651D" w:rsidR="00627163" w:rsidRDefault="0063471F" w:rsidP="00B57118">
      <w:pPr>
        <w:spacing w:line="480" w:lineRule="auto"/>
        <w:jc w:val="both"/>
        <w:rPr>
          <w:sz w:val="22"/>
          <w:szCs w:val="22"/>
        </w:rPr>
      </w:pPr>
      <w:r>
        <w:rPr>
          <w:sz w:val="22"/>
          <w:szCs w:val="22"/>
        </w:rPr>
        <w:t xml:space="preserve">A </w:t>
      </w:r>
      <w:r w:rsidR="00627163" w:rsidRPr="00627163">
        <w:rPr>
          <w:sz w:val="22"/>
          <w:szCs w:val="22"/>
        </w:rPr>
        <w:t>CBR</w:t>
      </w:r>
      <w:r w:rsidR="00F875E4">
        <w:rPr>
          <w:sz w:val="22"/>
          <w:szCs w:val="22"/>
        </w:rPr>
        <w:t xml:space="preserve"> algorithm</w:t>
      </w:r>
      <w:r w:rsidR="00627163">
        <w:rPr>
          <w:sz w:val="22"/>
          <w:szCs w:val="22"/>
        </w:rPr>
        <w:t xml:space="preserve"> </w:t>
      </w:r>
      <w:r w:rsidR="00F875E4">
        <w:rPr>
          <w:sz w:val="22"/>
          <w:szCs w:val="22"/>
        </w:rPr>
        <w:t>provide</w:t>
      </w:r>
      <w:r w:rsidR="00D56013">
        <w:rPr>
          <w:sz w:val="22"/>
          <w:szCs w:val="22"/>
        </w:rPr>
        <w:t>d</w:t>
      </w:r>
      <w:r w:rsidR="00F875E4">
        <w:rPr>
          <w:sz w:val="22"/>
          <w:szCs w:val="22"/>
        </w:rPr>
        <w:t xml:space="preserve"> antimicrobial recommendations that were in line with </w:t>
      </w:r>
      <w:r w:rsidR="000D490D">
        <w:rPr>
          <w:sz w:val="22"/>
          <w:szCs w:val="22"/>
        </w:rPr>
        <w:t>physician decisions</w:t>
      </w:r>
      <w:r w:rsidR="00F875E4">
        <w:rPr>
          <w:sz w:val="22"/>
          <w:szCs w:val="22"/>
        </w:rPr>
        <w:t xml:space="preserve">, </w:t>
      </w:r>
      <w:r w:rsidR="00D56013">
        <w:rPr>
          <w:sz w:val="22"/>
          <w:szCs w:val="22"/>
        </w:rPr>
        <w:t xml:space="preserve">but also </w:t>
      </w:r>
      <w:r w:rsidR="00EF50CE">
        <w:rPr>
          <w:sz w:val="22"/>
          <w:szCs w:val="22"/>
        </w:rPr>
        <w:t>shifted</w:t>
      </w:r>
      <w:r>
        <w:rPr>
          <w:sz w:val="22"/>
          <w:szCs w:val="22"/>
        </w:rPr>
        <w:t xml:space="preserve"> recommendations</w:t>
      </w:r>
      <w:r w:rsidR="00F875E4">
        <w:rPr>
          <w:sz w:val="22"/>
          <w:szCs w:val="22"/>
        </w:rPr>
        <w:t xml:space="preserve"> towards narrower spectrum antimicrobial prescribing. CBR</w:t>
      </w:r>
      <w:r w:rsidR="00E55BF7">
        <w:rPr>
          <w:sz w:val="22"/>
          <w:szCs w:val="22"/>
        </w:rPr>
        <w:t>-</w:t>
      </w:r>
      <w:r w:rsidR="00F875E4">
        <w:rPr>
          <w:sz w:val="22"/>
          <w:szCs w:val="22"/>
        </w:rPr>
        <w:t>based CDSS provide</w:t>
      </w:r>
      <w:r w:rsidR="00D56013">
        <w:rPr>
          <w:sz w:val="22"/>
          <w:szCs w:val="22"/>
        </w:rPr>
        <w:t>s</w:t>
      </w:r>
      <w:r w:rsidR="00627163">
        <w:rPr>
          <w:sz w:val="22"/>
          <w:szCs w:val="22"/>
        </w:rPr>
        <w:t xml:space="preserve"> </w:t>
      </w:r>
      <w:r w:rsidR="00F875E4">
        <w:rPr>
          <w:sz w:val="22"/>
          <w:szCs w:val="22"/>
        </w:rPr>
        <w:t xml:space="preserve">a </w:t>
      </w:r>
      <w:r w:rsidR="00627163">
        <w:rPr>
          <w:sz w:val="22"/>
          <w:szCs w:val="22"/>
        </w:rPr>
        <w:t xml:space="preserve">flexible, intelligent method of </w:t>
      </w:r>
      <w:r w:rsidR="00F875E4">
        <w:rPr>
          <w:sz w:val="22"/>
          <w:szCs w:val="22"/>
        </w:rPr>
        <w:t>augmenting</w:t>
      </w:r>
      <w:r w:rsidR="00627163">
        <w:rPr>
          <w:sz w:val="22"/>
          <w:szCs w:val="22"/>
        </w:rPr>
        <w:t xml:space="preserve"> </w:t>
      </w:r>
      <w:r>
        <w:rPr>
          <w:sz w:val="22"/>
          <w:szCs w:val="22"/>
        </w:rPr>
        <w:t xml:space="preserve">individuals’ </w:t>
      </w:r>
      <w:r w:rsidR="00627163">
        <w:rPr>
          <w:sz w:val="22"/>
          <w:szCs w:val="22"/>
        </w:rPr>
        <w:t xml:space="preserve">antimicrobial prescribing. Future work is now underway to explore the impact of integration of CBR with other methods for optimisation of antimicrobial prescribing, including dose optimisation platforms and patient-facing applications. </w:t>
      </w:r>
    </w:p>
    <w:p w14:paraId="69B52E8B" w14:textId="77777777" w:rsidR="00627163" w:rsidRPr="00627163" w:rsidRDefault="00627163" w:rsidP="00B57118">
      <w:pPr>
        <w:spacing w:line="480" w:lineRule="auto"/>
        <w:jc w:val="both"/>
        <w:rPr>
          <w:sz w:val="22"/>
          <w:szCs w:val="22"/>
        </w:rPr>
        <w:sectPr w:rsidR="00627163" w:rsidRPr="00627163" w:rsidSect="007B595B">
          <w:pgSz w:w="11906" w:h="16838"/>
          <w:pgMar w:top="1440" w:right="1440" w:bottom="1440" w:left="1440" w:header="709" w:footer="709" w:gutter="0"/>
          <w:cols w:space="708"/>
          <w:docGrid w:linePitch="360"/>
        </w:sectPr>
      </w:pPr>
    </w:p>
    <w:p w14:paraId="2C92675D" w14:textId="360C73F8" w:rsidR="00E9417E" w:rsidRPr="00C26AA3" w:rsidRDefault="00610D85" w:rsidP="00E9417E">
      <w:pPr>
        <w:spacing w:line="360" w:lineRule="auto"/>
        <w:ind w:right="-46"/>
        <w:jc w:val="both"/>
        <w:rPr>
          <w:b/>
          <w:sz w:val="18"/>
          <w:szCs w:val="18"/>
        </w:rPr>
      </w:pPr>
      <w:r>
        <w:rPr>
          <w:b/>
          <w:sz w:val="18"/>
          <w:szCs w:val="18"/>
        </w:rPr>
        <w:lastRenderedPageBreak/>
        <w:t>Notes</w:t>
      </w:r>
    </w:p>
    <w:p w14:paraId="07942771" w14:textId="77777777" w:rsidR="00E9417E" w:rsidRPr="00C26AA3" w:rsidRDefault="00E9417E" w:rsidP="00E9417E">
      <w:pPr>
        <w:spacing w:line="360" w:lineRule="auto"/>
        <w:ind w:right="-46"/>
        <w:jc w:val="both"/>
        <w:rPr>
          <w:rFonts w:ascii="Times New Roman" w:hAnsi="Times New Roman" w:cs="Times New Roman"/>
          <w:b/>
          <w:sz w:val="18"/>
          <w:szCs w:val="18"/>
        </w:rPr>
      </w:pPr>
    </w:p>
    <w:p w14:paraId="59B9C68F" w14:textId="77777777" w:rsidR="00E9417E" w:rsidRPr="00C26AA3" w:rsidRDefault="00E9417E" w:rsidP="00E9417E">
      <w:pPr>
        <w:spacing w:line="360" w:lineRule="auto"/>
        <w:ind w:right="-46"/>
        <w:jc w:val="both"/>
        <w:rPr>
          <w:b/>
          <w:sz w:val="18"/>
          <w:szCs w:val="18"/>
        </w:rPr>
      </w:pPr>
      <w:r>
        <w:rPr>
          <w:b/>
          <w:sz w:val="18"/>
          <w:szCs w:val="18"/>
        </w:rPr>
        <w:t>Transparency declarations</w:t>
      </w:r>
    </w:p>
    <w:p w14:paraId="470331BE" w14:textId="77777777" w:rsidR="00E9417E" w:rsidRPr="00C26AA3" w:rsidRDefault="00E9417E" w:rsidP="00E9417E">
      <w:pPr>
        <w:spacing w:line="360" w:lineRule="auto"/>
        <w:ind w:right="-46"/>
        <w:jc w:val="both"/>
        <w:rPr>
          <w:sz w:val="18"/>
          <w:szCs w:val="18"/>
        </w:rPr>
      </w:pPr>
      <w:r w:rsidRPr="00C26AA3">
        <w:rPr>
          <w:sz w:val="18"/>
          <w:szCs w:val="18"/>
        </w:rPr>
        <w:t xml:space="preserve">All authors have no conflicts of interest to declare.  </w:t>
      </w:r>
    </w:p>
    <w:p w14:paraId="60981F09" w14:textId="77777777" w:rsidR="00E9417E" w:rsidRPr="00C26AA3" w:rsidRDefault="00E9417E" w:rsidP="00E9417E">
      <w:pPr>
        <w:spacing w:line="360" w:lineRule="auto"/>
        <w:ind w:right="-46"/>
        <w:jc w:val="both"/>
        <w:rPr>
          <w:b/>
          <w:sz w:val="18"/>
          <w:szCs w:val="18"/>
        </w:rPr>
      </w:pPr>
    </w:p>
    <w:p w14:paraId="46EB9461" w14:textId="77777777" w:rsidR="00E9417E" w:rsidRPr="00C26AA3" w:rsidRDefault="00E9417E" w:rsidP="00E9417E">
      <w:pPr>
        <w:spacing w:line="360" w:lineRule="auto"/>
        <w:ind w:right="-46"/>
        <w:jc w:val="both"/>
        <w:rPr>
          <w:b/>
          <w:sz w:val="18"/>
          <w:szCs w:val="18"/>
        </w:rPr>
      </w:pPr>
      <w:r w:rsidRPr="00C26AA3">
        <w:rPr>
          <w:b/>
          <w:sz w:val="18"/>
          <w:szCs w:val="18"/>
        </w:rPr>
        <w:t>Ethics approval and consent to participate</w:t>
      </w:r>
    </w:p>
    <w:p w14:paraId="56A82D98" w14:textId="77777777" w:rsidR="00E9417E" w:rsidRPr="00C26AA3" w:rsidRDefault="00E9417E" w:rsidP="00E9417E">
      <w:pPr>
        <w:spacing w:line="360" w:lineRule="auto"/>
        <w:ind w:right="-46"/>
        <w:jc w:val="both"/>
        <w:rPr>
          <w:sz w:val="18"/>
          <w:szCs w:val="18"/>
        </w:rPr>
      </w:pPr>
      <w:r w:rsidRPr="00C26AA3">
        <w:rPr>
          <w:sz w:val="18"/>
          <w:szCs w:val="18"/>
        </w:rPr>
        <w:t xml:space="preserve">The study protocol for </w:t>
      </w:r>
      <w:r w:rsidRPr="00C26AA3">
        <w:rPr>
          <w:rFonts w:eastAsia="Arial"/>
          <w:bCs/>
          <w:sz w:val="18"/>
          <w:szCs w:val="18"/>
        </w:rPr>
        <w:t>Enhanced, Personalized and Integrated Care for Infection Management at Point of Care (EPIC IMPOC)</w:t>
      </w:r>
      <w:r w:rsidRPr="00C26AA3">
        <w:rPr>
          <w:sz w:val="18"/>
          <w:szCs w:val="18"/>
        </w:rPr>
        <w:t xml:space="preserve"> was reviewed and approved by the Chelsea Regional Ethics Committee (REC) REF: 17/LO/0047. </w:t>
      </w:r>
    </w:p>
    <w:p w14:paraId="0CEA10B1" w14:textId="77777777" w:rsidR="00E9417E" w:rsidRDefault="00E9417E" w:rsidP="00E9417E">
      <w:pPr>
        <w:spacing w:line="360" w:lineRule="auto"/>
        <w:ind w:right="-46"/>
        <w:jc w:val="both"/>
        <w:rPr>
          <w:b/>
          <w:sz w:val="18"/>
          <w:szCs w:val="18"/>
        </w:rPr>
      </w:pPr>
    </w:p>
    <w:p w14:paraId="0A8EFC11" w14:textId="77777777" w:rsidR="00E9417E" w:rsidRPr="00C26AA3" w:rsidRDefault="00E9417E" w:rsidP="00E9417E">
      <w:pPr>
        <w:spacing w:line="360" w:lineRule="auto"/>
        <w:ind w:right="-46"/>
        <w:jc w:val="both"/>
        <w:rPr>
          <w:b/>
          <w:sz w:val="18"/>
          <w:szCs w:val="18"/>
        </w:rPr>
      </w:pPr>
      <w:r w:rsidRPr="00C26AA3">
        <w:rPr>
          <w:b/>
          <w:sz w:val="18"/>
          <w:szCs w:val="18"/>
        </w:rPr>
        <w:t>Funding</w:t>
      </w:r>
    </w:p>
    <w:p w14:paraId="2A68E0A2" w14:textId="77777777" w:rsidR="00E9417E" w:rsidRPr="00C26AA3" w:rsidRDefault="00E9417E" w:rsidP="00E9417E">
      <w:pPr>
        <w:spacing w:line="360" w:lineRule="auto"/>
        <w:ind w:right="-46"/>
        <w:jc w:val="both"/>
        <w:rPr>
          <w:sz w:val="18"/>
          <w:szCs w:val="18"/>
        </w:rPr>
      </w:pPr>
      <w:r w:rsidRPr="00C26AA3">
        <w:rPr>
          <w:sz w:val="18"/>
          <w:szCs w:val="18"/>
        </w:rPr>
        <w:t xml:space="preserve">This report is independent research </w:t>
      </w:r>
      <w:r w:rsidRPr="00C26AA3">
        <w:rPr>
          <w:iCs/>
          <w:sz w:val="18"/>
          <w:szCs w:val="18"/>
        </w:rPr>
        <w:t>f</w:t>
      </w:r>
      <w:r w:rsidRPr="00C26AA3">
        <w:rPr>
          <w:sz w:val="18"/>
          <w:szCs w:val="18"/>
        </w:rPr>
        <w:t>unded</w:t>
      </w:r>
      <w:r w:rsidRPr="00C26AA3">
        <w:rPr>
          <w:i/>
          <w:iCs/>
          <w:sz w:val="18"/>
          <w:szCs w:val="18"/>
        </w:rPr>
        <w:t xml:space="preserve"> </w:t>
      </w:r>
      <w:r w:rsidRPr="00C26AA3">
        <w:rPr>
          <w:sz w:val="18"/>
          <w:szCs w:val="18"/>
        </w:rPr>
        <w:t>by the National Institute for Health Research Invention for Innovation (i4i) grant,</w:t>
      </w:r>
      <w:r w:rsidRPr="00C26AA3">
        <w:rPr>
          <w:rFonts w:eastAsia="Arial"/>
          <w:bCs/>
          <w:sz w:val="18"/>
          <w:szCs w:val="18"/>
        </w:rPr>
        <w:t xml:space="preserve"> Enhanced, Personalized and Integrated Care for Infection Management at Point of Care (EPIC IMPOC),</w:t>
      </w:r>
      <w:r w:rsidRPr="00C26AA3">
        <w:rPr>
          <w:sz w:val="18"/>
          <w:szCs w:val="18"/>
        </w:rPr>
        <w:t xml:space="preserve"> </w:t>
      </w:r>
      <w:r w:rsidRPr="00C26AA3">
        <w:rPr>
          <w:rFonts w:eastAsia="Arial"/>
          <w:bCs/>
          <w:sz w:val="18"/>
          <w:szCs w:val="18"/>
        </w:rPr>
        <w:t>II-LA-0214-20008</w:t>
      </w:r>
      <w:r w:rsidRPr="00C26AA3">
        <w:rPr>
          <w:sz w:val="18"/>
          <w:szCs w:val="18"/>
        </w:rPr>
        <w:t xml:space="preserve">. </w:t>
      </w:r>
    </w:p>
    <w:p w14:paraId="147E7322" w14:textId="77777777" w:rsidR="00E9417E" w:rsidRPr="00C26AA3" w:rsidRDefault="00E9417E" w:rsidP="00E9417E">
      <w:pPr>
        <w:spacing w:line="360" w:lineRule="auto"/>
        <w:jc w:val="both"/>
        <w:rPr>
          <w:sz w:val="18"/>
          <w:szCs w:val="18"/>
        </w:rPr>
      </w:pPr>
    </w:p>
    <w:p w14:paraId="52138F61" w14:textId="77777777" w:rsidR="00E9417E" w:rsidRDefault="00E9417E" w:rsidP="00E9417E">
      <w:pPr>
        <w:spacing w:line="360" w:lineRule="auto"/>
        <w:ind w:right="-46"/>
        <w:jc w:val="both"/>
        <w:rPr>
          <w:b/>
          <w:sz w:val="18"/>
          <w:szCs w:val="18"/>
        </w:rPr>
      </w:pPr>
      <w:r w:rsidRPr="00C26AA3">
        <w:rPr>
          <w:b/>
          <w:sz w:val="18"/>
          <w:szCs w:val="18"/>
        </w:rPr>
        <w:t>Availability of data and material</w:t>
      </w:r>
    </w:p>
    <w:p w14:paraId="537066A3" w14:textId="77777777" w:rsidR="00E9417E" w:rsidRPr="00C26AA3" w:rsidRDefault="00E9417E" w:rsidP="00E9417E">
      <w:pPr>
        <w:spacing w:line="360" w:lineRule="auto"/>
        <w:ind w:right="-46"/>
        <w:jc w:val="both"/>
        <w:rPr>
          <w:b/>
          <w:sz w:val="18"/>
          <w:szCs w:val="18"/>
        </w:rPr>
      </w:pPr>
      <w:r w:rsidRPr="00C26AA3">
        <w:rPr>
          <w:sz w:val="18"/>
          <w:szCs w:val="18"/>
        </w:rPr>
        <w:t>T</w:t>
      </w:r>
      <w:r w:rsidRPr="00C26AA3">
        <w:rPr>
          <w:rFonts w:eastAsia="Times New Roman"/>
          <w:sz w:val="18"/>
          <w:szCs w:val="18"/>
        </w:rPr>
        <w:t>he datasets used and/or analysed during the current study are available from the corresponding author on reasonable request where not presented in the manuscript or figure.</w:t>
      </w:r>
    </w:p>
    <w:p w14:paraId="42FFC100" w14:textId="77777777" w:rsidR="00E9417E" w:rsidRDefault="00E9417E" w:rsidP="00E9417E">
      <w:pPr>
        <w:spacing w:line="360" w:lineRule="auto"/>
        <w:ind w:right="-46"/>
        <w:jc w:val="both"/>
        <w:rPr>
          <w:b/>
          <w:sz w:val="18"/>
          <w:szCs w:val="18"/>
        </w:rPr>
      </w:pPr>
    </w:p>
    <w:p w14:paraId="3994BC70" w14:textId="16C9C145" w:rsidR="00E9417E" w:rsidRDefault="005E5A5C" w:rsidP="00E9417E">
      <w:pPr>
        <w:spacing w:line="360" w:lineRule="auto"/>
        <w:ind w:right="-46"/>
        <w:jc w:val="both"/>
        <w:rPr>
          <w:b/>
          <w:sz w:val="18"/>
          <w:szCs w:val="18"/>
        </w:rPr>
      </w:pPr>
      <w:r>
        <w:rPr>
          <w:b/>
          <w:sz w:val="18"/>
          <w:szCs w:val="18"/>
        </w:rPr>
        <w:t>Author contributions</w:t>
      </w:r>
    </w:p>
    <w:p w14:paraId="1A0DF8B8" w14:textId="2DCC25FD" w:rsidR="00E9417E" w:rsidRPr="00C26AA3" w:rsidRDefault="00E9417E" w:rsidP="00E9417E">
      <w:pPr>
        <w:spacing w:line="360" w:lineRule="auto"/>
        <w:ind w:right="-46"/>
        <w:jc w:val="both"/>
        <w:rPr>
          <w:b/>
          <w:sz w:val="18"/>
          <w:szCs w:val="18"/>
        </w:rPr>
      </w:pPr>
      <w:r>
        <w:rPr>
          <w:sz w:val="18"/>
          <w:szCs w:val="18"/>
        </w:rPr>
        <w:t xml:space="preserve">TMR, LSPM, and AH conceived and designed the study. TMR, LSPM, and OB led clinical data collection. BH and PH led development and validation of the Case-Based Reasoning algorithm. TMR led data analysis with all authors contributing significantly to data interpretation and presentation. TMR drafted the first draft of the manuscript. All authors contributed significantly to revisions of the manuscript and consented for its submission in its final form. </w:t>
      </w:r>
    </w:p>
    <w:p w14:paraId="75FBC6CD" w14:textId="77777777" w:rsidR="00E9417E" w:rsidRPr="00C26AA3" w:rsidRDefault="00E9417E" w:rsidP="00E9417E">
      <w:pPr>
        <w:spacing w:line="360" w:lineRule="auto"/>
        <w:jc w:val="both"/>
        <w:rPr>
          <w:sz w:val="18"/>
          <w:szCs w:val="18"/>
        </w:rPr>
      </w:pPr>
    </w:p>
    <w:p w14:paraId="57068D93" w14:textId="77777777" w:rsidR="00E9417E" w:rsidRPr="00C26AA3" w:rsidRDefault="00E9417E" w:rsidP="00E9417E">
      <w:pPr>
        <w:spacing w:line="360" w:lineRule="auto"/>
        <w:ind w:right="-46"/>
        <w:jc w:val="both"/>
        <w:rPr>
          <w:b/>
          <w:sz w:val="18"/>
          <w:szCs w:val="18"/>
        </w:rPr>
      </w:pPr>
      <w:r w:rsidRPr="00C26AA3">
        <w:rPr>
          <w:b/>
          <w:sz w:val="18"/>
          <w:szCs w:val="18"/>
        </w:rPr>
        <w:t>Acknowledgements</w:t>
      </w:r>
    </w:p>
    <w:p w14:paraId="317217D8" w14:textId="1B21F1C9" w:rsidR="00E9417E" w:rsidRPr="00C26AA3" w:rsidRDefault="00E9417E" w:rsidP="00E9417E">
      <w:pPr>
        <w:spacing w:line="360" w:lineRule="auto"/>
        <w:ind w:right="-46"/>
        <w:jc w:val="both"/>
        <w:rPr>
          <w:sz w:val="18"/>
          <w:szCs w:val="18"/>
        </w:rPr>
      </w:pPr>
      <w:r w:rsidRPr="00C26AA3">
        <w:rPr>
          <w:sz w:val="18"/>
          <w:szCs w:val="18"/>
        </w:rPr>
        <w:t>The authors would like to thank members of Imperial College NHS Healthcare Trust who participated in the study. The authors would also like to acknowledge</w:t>
      </w:r>
      <w:r>
        <w:rPr>
          <w:sz w:val="18"/>
          <w:szCs w:val="18"/>
        </w:rPr>
        <w:t xml:space="preserve"> 1) </w:t>
      </w:r>
      <w:r w:rsidRPr="00C26AA3">
        <w:rPr>
          <w:sz w:val="18"/>
          <w:szCs w:val="18"/>
        </w:rPr>
        <w:t>the National Institute for Health Research Health Protection Research Unit (NIHR HPRU) in Healthcare Associated Infection and Antimicrobial Resistance at Imperial College London in partnership with Public Health England and the NIHR Imperial Patient Safety Translational Research Centre</w:t>
      </w:r>
      <w:r>
        <w:rPr>
          <w:sz w:val="18"/>
          <w:szCs w:val="18"/>
        </w:rPr>
        <w:t xml:space="preserve"> and 2) The Department for Health and Social Care funded Centre for Antimicrobial Optimisation (CAMO) at Imperial College London</w:t>
      </w:r>
      <w:r w:rsidRPr="00C26AA3">
        <w:rPr>
          <w:sz w:val="18"/>
          <w:szCs w:val="18"/>
        </w:rPr>
        <w:t>. The views expressed in this publication are those of the authors and not necessarily those of the NHS, the National Institute for Health Research or the UK Department of Health.</w:t>
      </w:r>
    </w:p>
    <w:p w14:paraId="15A8F0C0" w14:textId="77777777" w:rsidR="00B57118" w:rsidRDefault="00B57118" w:rsidP="00B57118">
      <w:pPr>
        <w:spacing w:line="480" w:lineRule="auto"/>
        <w:jc w:val="both"/>
        <w:rPr>
          <w:b/>
          <w:sz w:val="24"/>
          <w:szCs w:val="24"/>
        </w:rPr>
        <w:sectPr w:rsidR="00B57118" w:rsidSect="007B595B">
          <w:pgSz w:w="11906" w:h="16838"/>
          <w:pgMar w:top="1440" w:right="1440" w:bottom="1440" w:left="1440" w:header="709" w:footer="709" w:gutter="0"/>
          <w:cols w:space="708"/>
          <w:docGrid w:linePitch="360"/>
        </w:sectPr>
      </w:pPr>
    </w:p>
    <w:p w14:paraId="0D28B272" w14:textId="77777777" w:rsidR="00B57118" w:rsidRDefault="00B57118" w:rsidP="00B57118">
      <w:pPr>
        <w:spacing w:line="480" w:lineRule="auto"/>
        <w:jc w:val="both"/>
        <w:rPr>
          <w:b/>
          <w:sz w:val="24"/>
          <w:szCs w:val="24"/>
        </w:rPr>
      </w:pPr>
      <w:r>
        <w:rPr>
          <w:b/>
          <w:sz w:val="24"/>
          <w:szCs w:val="24"/>
        </w:rPr>
        <w:lastRenderedPageBreak/>
        <w:t>References</w:t>
      </w:r>
    </w:p>
    <w:p w14:paraId="46B12AA2" w14:textId="66364D54" w:rsidR="001E7A17" w:rsidRPr="003C3C90" w:rsidRDefault="0011549D" w:rsidP="001E7A17">
      <w:pPr>
        <w:widowControl w:val="0"/>
        <w:ind w:left="640" w:hanging="640"/>
        <w:rPr>
          <w:noProof/>
          <w:sz w:val="24"/>
          <w:szCs w:val="24"/>
        </w:rPr>
      </w:pPr>
      <w:r>
        <w:rPr>
          <w:b/>
          <w:sz w:val="24"/>
          <w:szCs w:val="24"/>
        </w:rPr>
        <w:fldChar w:fldCharType="begin" w:fldLock="1"/>
      </w:r>
      <w:r>
        <w:rPr>
          <w:b/>
          <w:sz w:val="24"/>
          <w:szCs w:val="24"/>
        </w:rPr>
        <w:instrText xml:space="preserve">ADDIN Mendeley Bibliography CSL_BIBLIOGRAPHY </w:instrText>
      </w:r>
      <w:r>
        <w:rPr>
          <w:b/>
          <w:sz w:val="24"/>
          <w:szCs w:val="24"/>
        </w:rPr>
        <w:fldChar w:fldCharType="separate"/>
      </w:r>
      <w:r w:rsidR="001E7A17" w:rsidRPr="001E7A17">
        <w:rPr>
          <w:noProof/>
          <w:sz w:val="24"/>
          <w:szCs w:val="24"/>
        </w:rPr>
        <w:t xml:space="preserve">1. </w:t>
      </w:r>
      <w:r w:rsidR="001E7A17" w:rsidRPr="001E7A17">
        <w:rPr>
          <w:noProof/>
          <w:sz w:val="24"/>
          <w:szCs w:val="24"/>
        </w:rPr>
        <w:tab/>
        <w:t xml:space="preserve">Holmes AH, Moore LSP, Sundsfjord A, et al. Understanding the mechanisms and drivers of antimicrobial resistance. Lancet </w:t>
      </w:r>
      <w:r w:rsidR="001E7A17" w:rsidRPr="001E7A17">
        <w:rPr>
          <w:b/>
          <w:bCs/>
          <w:noProof/>
          <w:sz w:val="24"/>
          <w:szCs w:val="24"/>
        </w:rPr>
        <w:t>201</w:t>
      </w:r>
      <w:r w:rsidR="003C3C90">
        <w:rPr>
          <w:b/>
          <w:bCs/>
          <w:noProof/>
          <w:sz w:val="24"/>
          <w:szCs w:val="24"/>
        </w:rPr>
        <w:t>6;</w:t>
      </w:r>
      <w:r w:rsidR="003C3C90">
        <w:rPr>
          <w:noProof/>
          <w:sz w:val="24"/>
          <w:szCs w:val="24"/>
        </w:rPr>
        <w:t xml:space="preserve"> 387, 176-187</w:t>
      </w:r>
    </w:p>
    <w:p w14:paraId="15BD60F8" w14:textId="05A16C28" w:rsidR="001E7A17" w:rsidRPr="001E7A17" w:rsidRDefault="001E7A17" w:rsidP="001E7A17">
      <w:pPr>
        <w:widowControl w:val="0"/>
        <w:ind w:left="640" w:hanging="640"/>
        <w:rPr>
          <w:noProof/>
          <w:sz w:val="24"/>
          <w:szCs w:val="24"/>
        </w:rPr>
      </w:pPr>
      <w:r w:rsidRPr="001E7A17">
        <w:rPr>
          <w:noProof/>
          <w:sz w:val="24"/>
          <w:szCs w:val="24"/>
        </w:rPr>
        <w:t xml:space="preserve">2. </w:t>
      </w:r>
      <w:r w:rsidRPr="001E7A17">
        <w:rPr>
          <w:noProof/>
          <w:sz w:val="24"/>
          <w:szCs w:val="24"/>
        </w:rPr>
        <w:tab/>
        <w:t xml:space="preserve">Rawson TM, Charani E, Moore LSPLSP, et al. Mapping the decision pathways of acute infection management in secondary care among UK medical physicians: a qualitative study. BMC Med </w:t>
      </w:r>
      <w:r w:rsidRPr="001E7A17">
        <w:rPr>
          <w:b/>
          <w:bCs/>
          <w:noProof/>
          <w:sz w:val="24"/>
          <w:szCs w:val="24"/>
        </w:rPr>
        <w:t>2016</w:t>
      </w:r>
      <w:r w:rsidRPr="001E7A17">
        <w:rPr>
          <w:noProof/>
          <w:sz w:val="24"/>
          <w:szCs w:val="24"/>
        </w:rPr>
        <w:t>; 14:208.</w:t>
      </w:r>
    </w:p>
    <w:p w14:paraId="1D3DD4F3" w14:textId="1CBEE2D8" w:rsidR="001E7A17" w:rsidRPr="001E7A17" w:rsidRDefault="001E7A17" w:rsidP="001E7A17">
      <w:pPr>
        <w:widowControl w:val="0"/>
        <w:ind w:left="640" w:hanging="640"/>
        <w:rPr>
          <w:noProof/>
          <w:sz w:val="24"/>
          <w:szCs w:val="24"/>
        </w:rPr>
      </w:pPr>
      <w:r w:rsidRPr="001E7A17">
        <w:rPr>
          <w:noProof/>
          <w:sz w:val="24"/>
          <w:szCs w:val="24"/>
        </w:rPr>
        <w:t xml:space="preserve">3. </w:t>
      </w:r>
      <w:r w:rsidRPr="001E7A17">
        <w:rPr>
          <w:noProof/>
          <w:sz w:val="24"/>
          <w:szCs w:val="24"/>
        </w:rPr>
        <w:tab/>
        <w:t xml:space="preserve">Charani E, Tarrant C, Moorthy K, Sevdalis N, Brennan L, Holmes AH. Understanding antibiotic decision making in surgery—a qualitative analysis. Clin Microbiol Infect </w:t>
      </w:r>
      <w:r w:rsidRPr="001E7A17">
        <w:rPr>
          <w:b/>
          <w:bCs/>
          <w:noProof/>
          <w:sz w:val="24"/>
          <w:szCs w:val="24"/>
        </w:rPr>
        <w:t>2017</w:t>
      </w:r>
      <w:r w:rsidRPr="001E7A17">
        <w:rPr>
          <w:noProof/>
          <w:sz w:val="24"/>
          <w:szCs w:val="24"/>
        </w:rPr>
        <w:t xml:space="preserve">; 23:752–760. </w:t>
      </w:r>
    </w:p>
    <w:p w14:paraId="681F335C" w14:textId="77777777" w:rsidR="001E7A17" w:rsidRPr="001E7A17" w:rsidRDefault="001E7A17" w:rsidP="001E7A17">
      <w:pPr>
        <w:widowControl w:val="0"/>
        <w:ind w:left="640" w:hanging="640"/>
        <w:rPr>
          <w:noProof/>
          <w:sz w:val="24"/>
          <w:szCs w:val="24"/>
        </w:rPr>
      </w:pPr>
      <w:r w:rsidRPr="001E7A17">
        <w:rPr>
          <w:noProof/>
          <w:sz w:val="24"/>
          <w:szCs w:val="24"/>
        </w:rPr>
        <w:t xml:space="preserve">4. </w:t>
      </w:r>
      <w:r w:rsidRPr="001E7A17">
        <w:rPr>
          <w:noProof/>
          <w:sz w:val="24"/>
          <w:szCs w:val="24"/>
        </w:rPr>
        <w:tab/>
        <w:t xml:space="preserve">Charani E, Castro-Sanchez E, Sevdalis N, et al. Understanding the determinants of antimicrobial prescribing within hospitals: The role of ‘prescribing etiquette’. Clin Infect Dis </w:t>
      </w:r>
      <w:r w:rsidRPr="001E7A17">
        <w:rPr>
          <w:b/>
          <w:bCs/>
          <w:noProof/>
          <w:sz w:val="24"/>
          <w:szCs w:val="24"/>
        </w:rPr>
        <w:t>2013</w:t>
      </w:r>
      <w:r w:rsidRPr="001E7A17">
        <w:rPr>
          <w:noProof/>
          <w:sz w:val="24"/>
          <w:szCs w:val="24"/>
        </w:rPr>
        <w:t xml:space="preserve">; 57:188–196. </w:t>
      </w:r>
    </w:p>
    <w:p w14:paraId="10023C66" w14:textId="621147AB" w:rsidR="001E7A17" w:rsidRPr="001E7A17" w:rsidRDefault="001E7A17" w:rsidP="001E7A17">
      <w:pPr>
        <w:widowControl w:val="0"/>
        <w:ind w:left="640" w:hanging="640"/>
        <w:rPr>
          <w:noProof/>
          <w:sz w:val="24"/>
          <w:szCs w:val="24"/>
        </w:rPr>
      </w:pPr>
      <w:r w:rsidRPr="001E7A17">
        <w:rPr>
          <w:noProof/>
          <w:sz w:val="24"/>
          <w:szCs w:val="24"/>
        </w:rPr>
        <w:t xml:space="preserve">5. </w:t>
      </w:r>
      <w:r w:rsidRPr="001E7A17">
        <w:rPr>
          <w:noProof/>
          <w:sz w:val="24"/>
          <w:szCs w:val="24"/>
        </w:rPr>
        <w:tab/>
        <w:t xml:space="preserve">Charles D, Gabriel M, Searcy T. Adoption of Electronic Health Record Systems among U.S. Non- Federal Acute Care Hospitals: 2008-2014 Three out of Four Hospitals have a Basic EHR System. </w:t>
      </w:r>
      <w:r w:rsidRPr="003C3C90">
        <w:rPr>
          <w:b/>
          <w:bCs/>
          <w:noProof/>
          <w:sz w:val="24"/>
          <w:szCs w:val="24"/>
        </w:rPr>
        <w:t>2015</w:t>
      </w:r>
      <w:r w:rsidRPr="001E7A17">
        <w:rPr>
          <w:noProof/>
          <w:sz w:val="24"/>
          <w:szCs w:val="24"/>
        </w:rPr>
        <w:t>. https://www.healthit.gov/sites/default/files/data-brief/2014HospitalAdoptionDataBrief.pdf. Accessed 18 August 2017.</w:t>
      </w:r>
    </w:p>
    <w:p w14:paraId="40D3BEB7" w14:textId="4BF744BC" w:rsidR="001E7A17" w:rsidRPr="001E7A17" w:rsidRDefault="001E7A17" w:rsidP="001E7A17">
      <w:pPr>
        <w:widowControl w:val="0"/>
        <w:ind w:left="640" w:hanging="640"/>
        <w:rPr>
          <w:noProof/>
          <w:sz w:val="24"/>
          <w:szCs w:val="24"/>
        </w:rPr>
      </w:pPr>
      <w:r w:rsidRPr="001E7A17">
        <w:rPr>
          <w:noProof/>
          <w:sz w:val="24"/>
          <w:szCs w:val="24"/>
        </w:rPr>
        <w:t xml:space="preserve">6. </w:t>
      </w:r>
      <w:r w:rsidRPr="001E7A17">
        <w:rPr>
          <w:noProof/>
          <w:sz w:val="24"/>
          <w:szCs w:val="24"/>
        </w:rPr>
        <w:tab/>
        <w:t xml:space="preserve">Robertson A, Cresswell K, Takian A, et al. Implementation and adoption of nationwide electronic health records in secondary care in England: qualitative analysis of interim results from a prospective national evaluation. BMJ </w:t>
      </w:r>
      <w:r w:rsidRPr="001E7A17">
        <w:rPr>
          <w:b/>
          <w:bCs/>
          <w:noProof/>
          <w:sz w:val="24"/>
          <w:szCs w:val="24"/>
        </w:rPr>
        <w:t>2010</w:t>
      </w:r>
      <w:r w:rsidRPr="001E7A17">
        <w:rPr>
          <w:noProof/>
          <w:sz w:val="24"/>
          <w:szCs w:val="24"/>
        </w:rPr>
        <w:t xml:space="preserve">; 341:c4564. </w:t>
      </w:r>
    </w:p>
    <w:p w14:paraId="16484C06" w14:textId="6814C36D" w:rsidR="001E7A17" w:rsidRPr="001E7A17" w:rsidRDefault="001E7A17" w:rsidP="001E7A17">
      <w:pPr>
        <w:widowControl w:val="0"/>
        <w:ind w:left="640" w:hanging="640"/>
        <w:rPr>
          <w:noProof/>
          <w:sz w:val="24"/>
          <w:szCs w:val="24"/>
        </w:rPr>
      </w:pPr>
      <w:r w:rsidRPr="001E7A17">
        <w:rPr>
          <w:noProof/>
          <w:sz w:val="24"/>
          <w:szCs w:val="24"/>
        </w:rPr>
        <w:t xml:space="preserve">7. </w:t>
      </w:r>
      <w:r w:rsidRPr="001E7A17">
        <w:rPr>
          <w:noProof/>
          <w:sz w:val="24"/>
          <w:szCs w:val="24"/>
        </w:rPr>
        <w:tab/>
        <w:t>The Commonwealth Fund. Electronic Health Records : International Health Care System Profiles.: http://international.commonwealthfund.org/features/ehrs/.</w:t>
      </w:r>
    </w:p>
    <w:p w14:paraId="6E9937FA" w14:textId="5619C0FE" w:rsidR="001E7A17" w:rsidRPr="001E7A17" w:rsidRDefault="001E7A17" w:rsidP="001E7A17">
      <w:pPr>
        <w:widowControl w:val="0"/>
        <w:ind w:left="640" w:hanging="640"/>
        <w:rPr>
          <w:noProof/>
          <w:sz w:val="24"/>
          <w:szCs w:val="24"/>
        </w:rPr>
      </w:pPr>
      <w:r w:rsidRPr="001E7A17">
        <w:rPr>
          <w:noProof/>
          <w:sz w:val="24"/>
          <w:szCs w:val="24"/>
        </w:rPr>
        <w:t xml:space="preserve">8. </w:t>
      </w:r>
      <w:r w:rsidRPr="001E7A17">
        <w:rPr>
          <w:noProof/>
          <w:sz w:val="24"/>
          <w:szCs w:val="24"/>
        </w:rPr>
        <w:tab/>
        <w:t xml:space="preserve">Byrne CB, Sherry DS, Mercincavage L, Johnston D, Pan E, Schiff G. </w:t>
      </w:r>
      <w:r w:rsidR="003C3C90">
        <w:rPr>
          <w:noProof/>
          <w:sz w:val="24"/>
          <w:szCs w:val="24"/>
        </w:rPr>
        <w:t>Advancing Clinical Decisi</w:t>
      </w:r>
      <w:r w:rsidR="003C3C90" w:rsidRPr="003C3C90">
        <w:rPr>
          <w:noProof/>
          <w:sz w:val="24"/>
          <w:szCs w:val="24"/>
        </w:rPr>
        <w:t xml:space="preserve">on Support - </w:t>
      </w:r>
      <w:r w:rsidRPr="003C3C90">
        <w:rPr>
          <w:noProof/>
          <w:sz w:val="24"/>
          <w:szCs w:val="24"/>
        </w:rPr>
        <w:t xml:space="preserve">Key Lessons In Clinical Decision Support Implementation. </w:t>
      </w:r>
      <w:r w:rsidRPr="003C3C90">
        <w:rPr>
          <w:b/>
          <w:bCs/>
          <w:noProof/>
          <w:sz w:val="24"/>
          <w:szCs w:val="24"/>
        </w:rPr>
        <w:t>201</w:t>
      </w:r>
      <w:r w:rsidR="003C3C90" w:rsidRPr="003C3C90">
        <w:rPr>
          <w:b/>
          <w:bCs/>
          <w:noProof/>
          <w:sz w:val="24"/>
          <w:szCs w:val="24"/>
        </w:rPr>
        <w:t>2</w:t>
      </w:r>
      <w:r w:rsidR="003C3C90">
        <w:rPr>
          <w:b/>
          <w:bCs/>
          <w:noProof/>
          <w:sz w:val="24"/>
          <w:szCs w:val="24"/>
        </w:rPr>
        <w:t>;</w:t>
      </w:r>
      <w:r w:rsidR="003C3C90" w:rsidRPr="003C3C90">
        <w:rPr>
          <w:noProof/>
          <w:sz w:val="24"/>
          <w:szCs w:val="24"/>
        </w:rPr>
        <w:t xml:space="preserve"> </w:t>
      </w:r>
      <w:r w:rsidR="003C3C90" w:rsidRPr="003C3C90">
        <w:rPr>
          <w:sz w:val="24"/>
          <w:szCs w:val="24"/>
        </w:rPr>
        <w:t>https://www.rti.org/publication/advancing-clinical-decision-support-key-lessons-clinical-decision-support-implementation</w:t>
      </w:r>
      <w:r w:rsidRPr="001E7A17">
        <w:rPr>
          <w:noProof/>
          <w:sz w:val="24"/>
          <w:szCs w:val="24"/>
        </w:rPr>
        <w:t xml:space="preserve"> </w:t>
      </w:r>
    </w:p>
    <w:p w14:paraId="07055BB3" w14:textId="350DC071" w:rsidR="001E7A17" w:rsidRPr="001E7A17" w:rsidRDefault="001E7A17" w:rsidP="001E7A17">
      <w:pPr>
        <w:widowControl w:val="0"/>
        <w:ind w:left="640" w:hanging="640"/>
        <w:rPr>
          <w:noProof/>
          <w:sz w:val="24"/>
          <w:szCs w:val="24"/>
        </w:rPr>
      </w:pPr>
      <w:r w:rsidRPr="001E7A17">
        <w:rPr>
          <w:noProof/>
          <w:sz w:val="24"/>
          <w:szCs w:val="24"/>
        </w:rPr>
        <w:t xml:space="preserve">9. </w:t>
      </w:r>
      <w:r w:rsidRPr="001E7A17">
        <w:rPr>
          <w:noProof/>
          <w:sz w:val="24"/>
          <w:szCs w:val="24"/>
        </w:rPr>
        <w:tab/>
        <w:t xml:space="preserve">Holstiege J, Mathes T, Pieper D. Effects of computer-aided clinical decision support systems in improving antibiotic prescribing by primary care providers: a systematic review. J Am Med Informatics Assoc </w:t>
      </w:r>
      <w:r w:rsidRPr="001E7A17">
        <w:rPr>
          <w:b/>
          <w:bCs/>
          <w:noProof/>
          <w:sz w:val="24"/>
          <w:szCs w:val="24"/>
        </w:rPr>
        <w:t>2014</w:t>
      </w:r>
      <w:r w:rsidRPr="001E7A17">
        <w:rPr>
          <w:noProof/>
          <w:sz w:val="24"/>
          <w:szCs w:val="24"/>
        </w:rPr>
        <w:t xml:space="preserve">; :236–242. </w:t>
      </w:r>
    </w:p>
    <w:p w14:paraId="739B8876" w14:textId="77777777" w:rsidR="001E7A17" w:rsidRPr="001E7A17" w:rsidRDefault="001E7A17" w:rsidP="001E7A17">
      <w:pPr>
        <w:widowControl w:val="0"/>
        <w:ind w:left="640" w:hanging="640"/>
        <w:rPr>
          <w:noProof/>
          <w:sz w:val="24"/>
          <w:szCs w:val="24"/>
        </w:rPr>
      </w:pPr>
      <w:r w:rsidRPr="001E7A17">
        <w:rPr>
          <w:noProof/>
          <w:sz w:val="24"/>
          <w:szCs w:val="24"/>
        </w:rPr>
        <w:t xml:space="preserve">10. </w:t>
      </w:r>
      <w:r w:rsidRPr="001E7A17">
        <w:rPr>
          <w:noProof/>
          <w:sz w:val="24"/>
          <w:szCs w:val="24"/>
        </w:rPr>
        <w:tab/>
        <w:t xml:space="preserve">Shebl NA, Franklin BD, Barber N. Clinical decision support systems and antibiotic use. Pharm World Sci </w:t>
      </w:r>
      <w:r w:rsidRPr="001E7A17">
        <w:rPr>
          <w:b/>
          <w:bCs/>
          <w:noProof/>
          <w:sz w:val="24"/>
          <w:szCs w:val="24"/>
        </w:rPr>
        <w:t>2007</w:t>
      </w:r>
      <w:r w:rsidRPr="001E7A17">
        <w:rPr>
          <w:noProof/>
          <w:sz w:val="24"/>
          <w:szCs w:val="24"/>
        </w:rPr>
        <w:t xml:space="preserve">; 29:342–349. </w:t>
      </w:r>
    </w:p>
    <w:p w14:paraId="30CF1E0A" w14:textId="6B9C85AA" w:rsidR="001E7A17" w:rsidRPr="001E7A17" w:rsidRDefault="001E7A17" w:rsidP="001E7A17">
      <w:pPr>
        <w:widowControl w:val="0"/>
        <w:ind w:left="640" w:hanging="640"/>
        <w:rPr>
          <w:noProof/>
          <w:sz w:val="24"/>
          <w:szCs w:val="24"/>
        </w:rPr>
      </w:pPr>
      <w:r w:rsidRPr="001E7A17">
        <w:rPr>
          <w:noProof/>
          <w:sz w:val="24"/>
          <w:szCs w:val="24"/>
        </w:rPr>
        <w:t xml:space="preserve">11. </w:t>
      </w:r>
      <w:r w:rsidRPr="001E7A17">
        <w:rPr>
          <w:noProof/>
          <w:sz w:val="24"/>
          <w:szCs w:val="24"/>
        </w:rPr>
        <w:tab/>
        <w:t xml:space="preserve">Cresswell K, Mozaffar H, Shah S, Sheikh A. Approaches to promoting the appropriate use of antibiotics through hospital electronic prescribing systems: a scoping review. Int J Pharm Pract </w:t>
      </w:r>
      <w:r w:rsidRPr="001E7A17">
        <w:rPr>
          <w:b/>
          <w:bCs/>
          <w:noProof/>
          <w:sz w:val="24"/>
          <w:szCs w:val="24"/>
        </w:rPr>
        <w:t>2017</w:t>
      </w:r>
      <w:r w:rsidRPr="001E7A17">
        <w:rPr>
          <w:noProof/>
          <w:sz w:val="24"/>
          <w:szCs w:val="24"/>
        </w:rPr>
        <w:t xml:space="preserve">; 25:5–17. </w:t>
      </w:r>
    </w:p>
    <w:p w14:paraId="14C03330" w14:textId="6EC0CA0F" w:rsidR="001E7A17" w:rsidRPr="001E7A17" w:rsidRDefault="001E7A17" w:rsidP="001E7A17">
      <w:pPr>
        <w:widowControl w:val="0"/>
        <w:ind w:left="640" w:hanging="640"/>
        <w:rPr>
          <w:noProof/>
          <w:sz w:val="24"/>
          <w:szCs w:val="24"/>
        </w:rPr>
      </w:pPr>
      <w:r w:rsidRPr="001E7A17">
        <w:rPr>
          <w:noProof/>
          <w:sz w:val="24"/>
          <w:szCs w:val="24"/>
        </w:rPr>
        <w:t xml:space="preserve">12. </w:t>
      </w:r>
      <w:r w:rsidRPr="001E7A17">
        <w:rPr>
          <w:noProof/>
          <w:sz w:val="24"/>
          <w:szCs w:val="24"/>
        </w:rPr>
        <w:tab/>
        <w:t xml:space="preserve">Curtis CE, Al Bahar F, Marriott JF. The effectiveness of computerised decision support on antibiotic use in hospitals: A systematic review. PLoS One </w:t>
      </w:r>
      <w:r w:rsidRPr="001E7A17">
        <w:rPr>
          <w:b/>
          <w:bCs/>
          <w:noProof/>
          <w:sz w:val="24"/>
          <w:szCs w:val="24"/>
        </w:rPr>
        <w:t>2017</w:t>
      </w:r>
      <w:r w:rsidRPr="001E7A17">
        <w:rPr>
          <w:noProof/>
          <w:sz w:val="24"/>
          <w:szCs w:val="24"/>
        </w:rPr>
        <w:t xml:space="preserve">; 12:e0183062. </w:t>
      </w:r>
    </w:p>
    <w:p w14:paraId="2C786BD7" w14:textId="751492AA" w:rsidR="001E7A17" w:rsidRPr="001E7A17" w:rsidRDefault="001E7A17" w:rsidP="001E7A17">
      <w:pPr>
        <w:widowControl w:val="0"/>
        <w:ind w:left="640" w:hanging="640"/>
        <w:rPr>
          <w:noProof/>
          <w:sz w:val="24"/>
          <w:szCs w:val="24"/>
        </w:rPr>
      </w:pPr>
      <w:r w:rsidRPr="001E7A17">
        <w:rPr>
          <w:noProof/>
          <w:sz w:val="24"/>
          <w:szCs w:val="24"/>
        </w:rPr>
        <w:t xml:space="preserve">13. </w:t>
      </w:r>
      <w:r w:rsidRPr="001E7A17">
        <w:rPr>
          <w:noProof/>
          <w:sz w:val="24"/>
          <w:szCs w:val="24"/>
        </w:rPr>
        <w:tab/>
        <w:t xml:space="preserve">Rawson TM, Moore LSP, Hernandez B, et al. A systematic review of clinical decision support systems for antimicrobial management: are we failing to investigate these interventions appropriately? Clin Microbiol Infect </w:t>
      </w:r>
      <w:r w:rsidRPr="001E7A17">
        <w:rPr>
          <w:b/>
          <w:bCs/>
          <w:noProof/>
          <w:sz w:val="24"/>
          <w:szCs w:val="24"/>
        </w:rPr>
        <w:t>2017</w:t>
      </w:r>
      <w:r w:rsidRPr="001E7A17">
        <w:rPr>
          <w:noProof/>
          <w:sz w:val="24"/>
          <w:szCs w:val="24"/>
        </w:rPr>
        <w:t xml:space="preserve">; 23:524–532. </w:t>
      </w:r>
    </w:p>
    <w:p w14:paraId="22CDE1D0" w14:textId="5A0A5D21" w:rsidR="001E7A17" w:rsidRPr="001E7A17" w:rsidRDefault="001E7A17" w:rsidP="001E7A17">
      <w:pPr>
        <w:widowControl w:val="0"/>
        <w:ind w:left="640" w:hanging="640"/>
        <w:rPr>
          <w:noProof/>
          <w:sz w:val="24"/>
          <w:szCs w:val="24"/>
        </w:rPr>
      </w:pPr>
      <w:r w:rsidRPr="001E7A17">
        <w:rPr>
          <w:noProof/>
          <w:sz w:val="24"/>
          <w:szCs w:val="24"/>
        </w:rPr>
        <w:t xml:space="preserve">14. </w:t>
      </w:r>
      <w:r w:rsidRPr="001E7A17">
        <w:rPr>
          <w:noProof/>
          <w:sz w:val="24"/>
          <w:szCs w:val="24"/>
        </w:rPr>
        <w:tab/>
        <w:t xml:space="preserve">Rawson TM, Ahmad R, Toumazou C, Georgiou P, Holmes AH. Artificial intelligence can improve decision-making in infection management. Nat Hum Behav </w:t>
      </w:r>
      <w:r w:rsidRPr="001E7A17">
        <w:rPr>
          <w:b/>
          <w:bCs/>
          <w:noProof/>
          <w:sz w:val="24"/>
          <w:szCs w:val="24"/>
        </w:rPr>
        <w:t>2019</w:t>
      </w:r>
      <w:r w:rsidRPr="001E7A17">
        <w:rPr>
          <w:noProof/>
          <w:sz w:val="24"/>
          <w:szCs w:val="24"/>
        </w:rPr>
        <w:t xml:space="preserve">; </w:t>
      </w:r>
      <w:r w:rsidR="003C3C90">
        <w:rPr>
          <w:noProof/>
          <w:sz w:val="24"/>
          <w:szCs w:val="24"/>
        </w:rPr>
        <w:t>3(6):543-545</w:t>
      </w:r>
      <w:r w:rsidRPr="001E7A17">
        <w:rPr>
          <w:noProof/>
          <w:sz w:val="24"/>
          <w:szCs w:val="24"/>
        </w:rPr>
        <w:t xml:space="preserve"> </w:t>
      </w:r>
    </w:p>
    <w:p w14:paraId="4F5C9FB6" w14:textId="5AA39D25" w:rsidR="001E7A17" w:rsidRPr="001E7A17" w:rsidRDefault="001E7A17" w:rsidP="001E7A17">
      <w:pPr>
        <w:widowControl w:val="0"/>
        <w:ind w:left="640" w:hanging="640"/>
        <w:rPr>
          <w:noProof/>
          <w:sz w:val="24"/>
          <w:szCs w:val="24"/>
        </w:rPr>
      </w:pPr>
      <w:r w:rsidRPr="001E7A17">
        <w:rPr>
          <w:noProof/>
          <w:sz w:val="24"/>
          <w:szCs w:val="24"/>
        </w:rPr>
        <w:t xml:space="preserve">15. </w:t>
      </w:r>
      <w:r w:rsidRPr="001E7A17">
        <w:rPr>
          <w:noProof/>
          <w:sz w:val="24"/>
          <w:szCs w:val="24"/>
        </w:rPr>
        <w:tab/>
        <w:t xml:space="preserve">Andreassen S, Riekehr C, Kristensen B, Schønheyder HC, Leibovici L. Using probabilistic and decision–theoretic methods in treatment and prognosis modeling. Artif. Intell. Med. 1999; 15:121–134. </w:t>
      </w:r>
    </w:p>
    <w:p w14:paraId="2F67D6F8" w14:textId="51D06C55" w:rsidR="001E7A17" w:rsidRPr="001E7A17" w:rsidRDefault="001E7A17" w:rsidP="001E7A17">
      <w:pPr>
        <w:widowControl w:val="0"/>
        <w:ind w:left="640" w:hanging="640"/>
        <w:rPr>
          <w:noProof/>
          <w:sz w:val="24"/>
          <w:szCs w:val="24"/>
        </w:rPr>
      </w:pPr>
      <w:r w:rsidRPr="001E7A17">
        <w:rPr>
          <w:noProof/>
          <w:sz w:val="24"/>
          <w:szCs w:val="24"/>
        </w:rPr>
        <w:lastRenderedPageBreak/>
        <w:t xml:space="preserve">16. </w:t>
      </w:r>
      <w:r w:rsidRPr="001E7A17">
        <w:rPr>
          <w:noProof/>
          <w:sz w:val="24"/>
          <w:szCs w:val="24"/>
        </w:rPr>
        <w:tab/>
        <w:t xml:space="preserve">Paul M, Andreassen S, Nielsen AD, et al. Prediction of bacteremia using TREAT, a computerized decision-support system. Clin Infect Dis </w:t>
      </w:r>
      <w:r w:rsidRPr="001E7A17">
        <w:rPr>
          <w:b/>
          <w:bCs/>
          <w:noProof/>
          <w:sz w:val="24"/>
          <w:szCs w:val="24"/>
        </w:rPr>
        <w:t>2006</w:t>
      </w:r>
      <w:r w:rsidRPr="001E7A17">
        <w:rPr>
          <w:noProof/>
          <w:sz w:val="24"/>
          <w:szCs w:val="24"/>
        </w:rPr>
        <w:t xml:space="preserve">; 42:1274–82. </w:t>
      </w:r>
    </w:p>
    <w:p w14:paraId="3DAEB75E" w14:textId="43D8D531" w:rsidR="001E7A17" w:rsidRPr="001E7A17" w:rsidRDefault="001E7A17" w:rsidP="001E7A17">
      <w:pPr>
        <w:widowControl w:val="0"/>
        <w:ind w:left="640" w:hanging="640"/>
        <w:rPr>
          <w:noProof/>
          <w:sz w:val="24"/>
          <w:szCs w:val="24"/>
        </w:rPr>
      </w:pPr>
      <w:r w:rsidRPr="001E7A17">
        <w:rPr>
          <w:noProof/>
          <w:sz w:val="24"/>
          <w:szCs w:val="24"/>
        </w:rPr>
        <w:t xml:space="preserve">17. </w:t>
      </w:r>
      <w:r w:rsidRPr="001E7A17">
        <w:rPr>
          <w:noProof/>
          <w:sz w:val="24"/>
          <w:szCs w:val="24"/>
        </w:rPr>
        <w:tab/>
        <w:t xml:space="preserve">Paul M, Andreassen S, Tacconelli E, et al. Improving empirical antibiotic treatment using TREAT, a computerized decision support system: cluster randomized trial. J Antimicrob Chemother </w:t>
      </w:r>
      <w:r w:rsidRPr="001E7A17">
        <w:rPr>
          <w:b/>
          <w:bCs/>
          <w:noProof/>
          <w:sz w:val="24"/>
          <w:szCs w:val="24"/>
        </w:rPr>
        <w:t>2006</w:t>
      </w:r>
      <w:r w:rsidRPr="001E7A17">
        <w:rPr>
          <w:noProof/>
          <w:sz w:val="24"/>
          <w:szCs w:val="24"/>
        </w:rPr>
        <w:t>; 58:1238–1245.</w:t>
      </w:r>
    </w:p>
    <w:p w14:paraId="72BD71BA" w14:textId="70778A3F" w:rsidR="001E7A17" w:rsidRPr="001E7A17" w:rsidRDefault="001E7A17" w:rsidP="001E7A17">
      <w:pPr>
        <w:widowControl w:val="0"/>
        <w:ind w:left="640" w:hanging="640"/>
        <w:rPr>
          <w:noProof/>
          <w:sz w:val="24"/>
          <w:szCs w:val="24"/>
        </w:rPr>
      </w:pPr>
      <w:r w:rsidRPr="001E7A17">
        <w:rPr>
          <w:noProof/>
          <w:sz w:val="24"/>
          <w:szCs w:val="24"/>
        </w:rPr>
        <w:t xml:space="preserve">18. </w:t>
      </w:r>
      <w:r w:rsidRPr="001E7A17">
        <w:rPr>
          <w:noProof/>
          <w:sz w:val="24"/>
          <w:szCs w:val="24"/>
        </w:rPr>
        <w:tab/>
        <w:t xml:space="preserve">Paul M, Nielsen AD, Goldberg E, et al. Prediction of specific pathogens in patients with sepsis: evaluation of TREAT, a computerized decision support system. J Antimicrob Chemother </w:t>
      </w:r>
      <w:r w:rsidRPr="001E7A17">
        <w:rPr>
          <w:b/>
          <w:bCs/>
          <w:noProof/>
          <w:sz w:val="24"/>
          <w:szCs w:val="24"/>
        </w:rPr>
        <w:t>2007</w:t>
      </w:r>
      <w:r w:rsidRPr="001E7A17">
        <w:rPr>
          <w:noProof/>
          <w:sz w:val="24"/>
          <w:szCs w:val="24"/>
        </w:rPr>
        <w:t>; 59:1204–1207.</w:t>
      </w:r>
    </w:p>
    <w:p w14:paraId="68C0F1F1" w14:textId="34FF7DBC" w:rsidR="001E7A17" w:rsidRPr="001E7A17" w:rsidRDefault="001E7A17" w:rsidP="001E7A17">
      <w:pPr>
        <w:widowControl w:val="0"/>
        <w:ind w:left="640" w:hanging="640"/>
        <w:rPr>
          <w:noProof/>
          <w:sz w:val="24"/>
          <w:szCs w:val="24"/>
        </w:rPr>
      </w:pPr>
      <w:r w:rsidRPr="001E7A17">
        <w:rPr>
          <w:noProof/>
          <w:sz w:val="24"/>
          <w:szCs w:val="24"/>
        </w:rPr>
        <w:t xml:space="preserve">19. </w:t>
      </w:r>
      <w:r w:rsidRPr="001E7A17">
        <w:rPr>
          <w:noProof/>
          <w:sz w:val="24"/>
          <w:szCs w:val="24"/>
        </w:rPr>
        <w:tab/>
        <w:t xml:space="preserve">Leibovici L, Kariv G, Paul M. Long-term survival in patients included in a randomized controlled trial of TREAT, a decision support system for antibiotic treatment. J Antimicrob Chemother </w:t>
      </w:r>
      <w:r w:rsidRPr="001E7A17">
        <w:rPr>
          <w:b/>
          <w:bCs/>
          <w:noProof/>
          <w:sz w:val="24"/>
          <w:szCs w:val="24"/>
        </w:rPr>
        <w:t>2013</w:t>
      </w:r>
      <w:r w:rsidRPr="001E7A17">
        <w:rPr>
          <w:noProof/>
          <w:sz w:val="24"/>
          <w:szCs w:val="24"/>
        </w:rPr>
        <w:t xml:space="preserve">; 68:2664–6. </w:t>
      </w:r>
    </w:p>
    <w:p w14:paraId="4D0E90AD" w14:textId="77777777" w:rsidR="001E7A17" w:rsidRPr="001E7A17" w:rsidRDefault="001E7A17" w:rsidP="001E7A17">
      <w:pPr>
        <w:widowControl w:val="0"/>
        <w:ind w:left="640" w:hanging="640"/>
        <w:rPr>
          <w:noProof/>
          <w:sz w:val="24"/>
          <w:szCs w:val="24"/>
        </w:rPr>
      </w:pPr>
      <w:r w:rsidRPr="001E7A17">
        <w:rPr>
          <w:noProof/>
          <w:sz w:val="24"/>
          <w:szCs w:val="24"/>
        </w:rPr>
        <w:t xml:space="preserve">20. </w:t>
      </w:r>
      <w:r w:rsidRPr="001E7A17">
        <w:rPr>
          <w:noProof/>
          <w:sz w:val="24"/>
          <w:szCs w:val="24"/>
        </w:rPr>
        <w:tab/>
        <w:t xml:space="preserve">Kofoed K, Zalounina A, Andersen O, et al. Performance of the TREAT decision support system in an environment with a low prevalence of resistant pathogens. J Antimicrob Chemother </w:t>
      </w:r>
      <w:r w:rsidRPr="001E7A17">
        <w:rPr>
          <w:b/>
          <w:bCs/>
          <w:noProof/>
          <w:sz w:val="24"/>
          <w:szCs w:val="24"/>
        </w:rPr>
        <w:t>2009</w:t>
      </w:r>
      <w:r w:rsidRPr="001E7A17">
        <w:rPr>
          <w:noProof/>
          <w:sz w:val="24"/>
          <w:szCs w:val="24"/>
        </w:rPr>
        <w:t xml:space="preserve">; 63:400–404. </w:t>
      </w:r>
    </w:p>
    <w:p w14:paraId="42D12CCA" w14:textId="0EE1E1D7" w:rsidR="001E7A17" w:rsidRPr="001E7A17" w:rsidRDefault="001E7A17" w:rsidP="001E7A17">
      <w:pPr>
        <w:widowControl w:val="0"/>
        <w:ind w:left="640" w:hanging="640"/>
        <w:rPr>
          <w:noProof/>
          <w:sz w:val="24"/>
          <w:szCs w:val="24"/>
        </w:rPr>
      </w:pPr>
      <w:r w:rsidRPr="001E7A17">
        <w:rPr>
          <w:noProof/>
          <w:sz w:val="24"/>
          <w:szCs w:val="24"/>
        </w:rPr>
        <w:t xml:space="preserve">21. </w:t>
      </w:r>
      <w:r w:rsidRPr="001E7A17">
        <w:rPr>
          <w:noProof/>
          <w:sz w:val="24"/>
          <w:szCs w:val="24"/>
        </w:rPr>
        <w:tab/>
        <w:t xml:space="preserve">Mullett CJ, Thomas JG. Database-driven computerized antibiotic decision support: novel use of expert antibiotic susceptibility rules embedded in a pathogen-antibiotic logic matrix. AMIA </w:t>
      </w:r>
      <w:r w:rsidRPr="001E7A17">
        <w:rPr>
          <w:b/>
          <w:bCs/>
          <w:noProof/>
          <w:sz w:val="24"/>
          <w:szCs w:val="24"/>
        </w:rPr>
        <w:t>2003</w:t>
      </w:r>
      <w:r w:rsidRPr="001E7A17">
        <w:rPr>
          <w:noProof/>
          <w:sz w:val="24"/>
          <w:szCs w:val="24"/>
        </w:rPr>
        <w:t xml:space="preserve">; :480–483. </w:t>
      </w:r>
    </w:p>
    <w:p w14:paraId="6DB02975" w14:textId="0AA19D0C" w:rsidR="001E7A17" w:rsidRPr="001E7A17" w:rsidRDefault="001E7A17" w:rsidP="001E7A17">
      <w:pPr>
        <w:widowControl w:val="0"/>
        <w:ind w:left="640" w:hanging="640"/>
        <w:rPr>
          <w:noProof/>
          <w:sz w:val="24"/>
          <w:szCs w:val="24"/>
        </w:rPr>
      </w:pPr>
      <w:r w:rsidRPr="001E7A17">
        <w:rPr>
          <w:noProof/>
          <w:sz w:val="24"/>
          <w:szCs w:val="24"/>
        </w:rPr>
        <w:t xml:space="preserve">22. </w:t>
      </w:r>
      <w:r w:rsidRPr="001E7A17">
        <w:rPr>
          <w:noProof/>
          <w:sz w:val="24"/>
          <w:szCs w:val="24"/>
        </w:rPr>
        <w:tab/>
        <w:t xml:space="preserve">Mullett CJ, Thomas JG, Smith CL, Sarwari AR, Khakoo RA. Computerized antimicrobial decision support: an offline evaluation of a database-driven empiric antimicrobial guidance program in hospitalized patients with a bloodstream infection. Int J Med Inform </w:t>
      </w:r>
      <w:r w:rsidRPr="001E7A17">
        <w:rPr>
          <w:b/>
          <w:bCs/>
          <w:noProof/>
          <w:sz w:val="24"/>
          <w:szCs w:val="24"/>
        </w:rPr>
        <w:t>2004</w:t>
      </w:r>
      <w:r w:rsidRPr="001E7A17">
        <w:rPr>
          <w:noProof/>
          <w:sz w:val="24"/>
          <w:szCs w:val="24"/>
        </w:rPr>
        <w:t xml:space="preserve">; 73:455–60. </w:t>
      </w:r>
    </w:p>
    <w:p w14:paraId="1A3352CF" w14:textId="751281B7" w:rsidR="001E7A17" w:rsidRPr="001E7A17" w:rsidRDefault="001E7A17" w:rsidP="001E7A17">
      <w:pPr>
        <w:widowControl w:val="0"/>
        <w:ind w:left="640" w:hanging="640"/>
        <w:rPr>
          <w:noProof/>
          <w:sz w:val="24"/>
          <w:szCs w:val="24"/>
        </w:rPr>
      </w:pPr>
      <w:r w:rsidRPr="001E7A17">
        <w:rPr>
          <w:noProof/>
          <w:sz w:val="24"/>
          <w:szCs w:val="24"/>
        </w:rPr>
        <w:t xml:space="preserve">23. </w:t>
      </w:r>
      <w:r w:rsidRPr="001E7A17">
        <w:rPr>
          <w:noProof/>
          <w:sz w:val="24"/>
          <w:szCs w:val="24"/>
        </w:rPr>
        <w:tab/>
        <w:t xml:space="preserve">Papageorgiou EI. Fuzzy cognitive map software tool for treatment management of uncomplicated urinary tract infection. Comput Methods Programs Biomed </w:t>
      </w:r>
      <w:r w:rsidRPr="001E7A17">
        <w:rPr>
          <w:b/>
          <w:bCs/>
          <w:noProof/>
          <w:sz w:val="24"/>
          <w:szCs w:val="24"/>
        </w:rPr>
        <w:t>2012</w:t>
      </w:r>
      <w:r w:rsidRPr="001E7A17">
        <w:rPr>
          <w:noProof/>
          <w:sz w:val="24"/>
          <w:szCs w:val="24"/>
        </w:rPr>
        <w:t xml:space="preserve">; 105:233–245. </w:t>
      </w:r>
    </w:p>
    <w:p w14:paraId="3DFC98DB" w14:textId="620737B3" w:rsidR="001E7A17" w:rsidRPr="001E7A17" w:rsidRDefault="001E7A17" w:rsidP="001E7A17">
      <w:pPr>
        <w:widowControl w:val="0"/>
        <w:ind w:left="640" w:hanging="640"/>
        <w:rPr>
          <w:noProof/>
          <w:sz w:val="24"/>
          <w:szCs w:val="24"/>
        </w:rPr>
      </w:pPr>
      <w:r w:rsidRPr="001E7A17">
        <w:rPr>
          <w:noProof/>
          <w:sz w:val="24"/>
          <w:szCs w:val="24"/>
        </w:rPr>
        <w:t xml:space="preserve">24. </w:t>
      </w:r>
      <w:r w:rsidRPr="001E7A17">
        <w:rPr>
          <w:noProof/>
          <w:sz w:val="24"/>
          <w:szCs w:val="24"/>
        </w:rPr>
        <w:tab/>
        <w:t xml:space="preserve">Evans RS, Pestotnik SL, Classen DC, et al. A Computer-Assisted Management Program for Antibiotics and Other Antiinfective Agents. N Engl J Med </w:t>
      </w:r>
      <w:r w:rsidRPr="001E7A17">
        <w:rPr>
          <w:b/>
          <w:bCs/>
          <w:noProof/>
          <w:sz w:val="24"/>
          <w:szCs w:val="24"/>
        </w:rPr>
        <w:t>1998</w:t>
      </w:r>
      <w:r w:rsidRPr="001E7A17">
        <w:rPr>
          <w:noProof/>
          <w:sz w:val="24"/>
          <w:szCs w:val="24"/>
        </w:rPr>
        <w:t xml:space="preserve">; 338:232–238. </w:t>
      </w:r>
    </w:p>
    <w:p w14:paraId="1E80D23E" w14:textId="77777777" w:rsidR="001E7A17" w:rsidRPr="001E7A17" w:rsidRDefault="001E7A17" w:rsidP="001E7A17">
      <w:pPr>
        <w:widowControl w:val="0"/>
        <w:ind w:left="640" w:hanging="640"/>
        <w:rPr>
          <w:noProof/>
          <w:sz w:val="24"/>
          <w:szCs w:val="24"/>
        </w:rPr>
      </w:pPr>
      <w:r w:rsidRPr="001E7A17">
        <w:rPr>
          <w:noProof/>
          <w:sz w:val="24"/>
          <w:szCs w:val="24"/>
        </w:rPr>
        <w:t xml:space="preserve">25. </w:t>
      </w:r>
      <w:r w:rsidRPr="001E7A17">
        <w:rPr>
          <w:noProof/>
          <w:sz w:val="24"/>
          <w:szCs w:val="24"/>
        </w:rPr>
        <w:tab/>
        <w:t xml:space="preserve">Godo L, Puyol-Gruart J, Sabater J, Torra V, Barrufet P, Fàbregas X. A multi-agent system approach for monitoring the prescription of restricted use antibiotics. Artif Intell Med </w:t>
      </w:r>
      <w:r w:rsidRPr="001E7A17">
        <w:rPr>
          <w:b/>
          <w:bCs/>
          <w:noProof/>
          <w:sz w:val="24"/>
          <w:szCs w:val="24"/>
        </w:rPr>
        <w:t>2003</w:t>
      </w:r>
      <w:r w:rsidRPr="001E7A17">
        <w:rPr>
          <w:noProof/>
          <w:sz w:val="24"/>
          <w:szCs w:val="24"/>
        </w:rPr>
        <w:t xml:space="preserve">; 27:259–282. </w:t>
      </w:r>
    </w:p>
    <w:p w14:paraId="4F0E4F57" w14:textId="77777777" w:rsidR="001E7A17" w:rsidRPr="001E7A17" w:rsidRDefault="001E7A17" w:rsidP="001E7A17">
      <w:pPr>
        <w:widowControl w:val="0"/>
        <w:ind w:left="640" w:hanging="640"/>
        <w:rPr>
          <w:noProof/>
          <w:sz w:val="24"/>
          <w:szCs w:val="24"/>
        </w:rPr>
      </w:pPr>
      <w:r w:rsidRPr="001E7A17">
        <w:rPr>
          <w:noProof/>
          <w:sz w:val="24"/>
          <w:szCs w:val="24"/>
        </w:rPr>
        <w:t xml:space="preserve">26. </w:t>
      </w:r>
      <w:r w:rsidRPr="001E7A17">
        <w:rPr>
          <w:noProof/>
          <w:sz w:val="24"/>
          <w:szCs w:val="24"/>
        </w:rPr>
        <w:tab/>
        <w:t xml:space="preserve">Schmidt R, Gierl L. Case-based reasoning for antibiotics therapy advice: An investigation of retrieval algorithms and prototypes. Artif Intell Med </w:t>
      </w:r>
      <w:r w:rsidRPr="001E7A17">
        <w:rPr>
          <w:b/>
          <w:bCs/>
          <w:noProof/>
          <w:sz w:val="24"/>
          <w:szCs w:val="24"/>
        </w:rPr>
        <w:t>2001</w:t>
      </w:r>
      <w:r w:rsidRPr="001E7A17">
        <w:rPr>
          <w:noProof/>
          <w:sz w:val="24"/>
          <w:szCs w:val="24"/>
        </w:rPr>
        <w:t xml:space="preserve">; 23:171–186. </w:t>
      </w:r>
    </w:p>
    <w:p w14:paraId="7306ACFF" w14:textId="77777777" w:rsidR="001E7A17" w:rsidRPr="001E7A17" w:rsidRDefault="001E7A17" w:rsidP="001E7A17">
      <w:pPr>
        <w:widowControl w:val="0"/>
        <w:ind w:left="640" w:hanging="640"/>
        <w:rPr>
          <w:noProof/>
          <w:sz w:val="24"/>
          <w:szCs w:val="24"/>
        </w:rPr>
      </w:pPr>
      <w:r w:rsidRPr="001E7A17">
        <w:rPr>
          <w:noProof/>
          <w:sz w:val="24"/>
          <w:szCs w:val="24"/>
        </w:rPr>
        <w:t xml:space="preserve">27. </w:t>
      </w:r>
      <w:r w:rsidRPr="001E7A17">
        <w:rPr>
          <w:noProof/>
          <w:sz w:val="24"/>
          <w:szCs w:val="24"/>
        </w:rPr>
        <w:tab/>
        <w:t xml:space="preserve">Heindl B, Schmidt R, Schmid G, et al. A case-based consiliarius for therapy recommendation (ICONS): computer-based advice for calculated antibiotic therapy in intensive care medicine. Comput Methods Biomed </w:t>
      </w:r>
      <w:r w:rsidRPr="001E7A17">
        <w:rPr>
          <w:b/>
          <w:bCs/>
          <w:noProof/>
          <w:sz w:val="24"/>
          <w:szCs w:val="24"/>
        </w:rPr>
        <w:t>1997</w:t>
      </w:r>
      <w:r w:rsidRPr="001E7A17">
        <w:rPr>
          <w:noProof/>
          <w:sz w:val="24"/>
          <w:szCs w:val="24"/>
        </w:rPr>
        <w:t xml:space="preserve">; 52:117–127. </w:t>
      </w:r>
    </w:p>
    <w:p w14:paraId="62279E28" w14:textId="49F0AF5C" w:rsidR="001E7A17" w:rsidRPr="001E7A17" w:rsidRDefault="001E7A17" w:rsidP="001E7A17">
      <w:pPr>
        <w:widowControl w:val="0"/>
        <w:ind w:left="640" w:hanging="640"/>
        <w:rPr>
          <w:noProof/>
          <w:sz w:val="24"/>
          <w:szCs w:val="24"/>
        </w:rPr>
      </w:pPr>
      <w:r w:rsidRPr="001E7A17">
        <w:rPr>
          <w:noProof/>
          <w:sz w:val="24"/>
          <w:szCs w:val="24"/>
        </w:rPr>
        <w:t xml:space="preserve">28. </w:t>
      </w:r>
      <w:r w:rsidRPr="001E7A17">
        <w:rPr>
          <w:noProof/>
          <w:sz w:val="24"/>
          <w:szCs w:val="24"/>
        </w:rPr>
        <w:tab/>
        <w:t xml:space="preserve">Pantic M. Introduction to Machine Learning. London: </w:t>
      </w:r>
      <w:r w:rsidRPr="003C3C90">
        <w:rPr>
          <w:b/>
          <w:bCs/>
          <w:noProof/>
          <w:sz w:val="24"/>
          <w:szCs w:val="24"/>
        </w:rPr>
        <w:t>2016</w:t>
      </w:r>
      <w:r w:rsidRPr="001E7A17">
        <w:rPr>
          <w:noProof/>
          <w:sz w:val="24"/>
          <w:szCs w:val="24"/>
        </w:rPr>
        <w:t>. https://ibug.doc.ic.ac.uk/media/uploads/documents/courses/syllabus-CBR.pdf. Accessed 28 January 2018.</w:t>
      </w:r>
    </w:p>
    <w:p w14:paraId="24EB578C" w14:textId="31843464" w:rsidR="001E7A17" w:rsidRPr="001E7A17" w:rsidRDefault="001E7A17" w:rsidP="001E7A17">
      <w:pPr>
        <w:widowControl w:val="0"/>
        <w:ind w:left="640" w:hanging="640"/>
        <w:rPr>
          <w:noProof/>
          <w:sz w:val="24"/>
          <w:szCs w:val="24"/>
        </w:rPr>
      </w:pPr>
      <w:r w:rsidRPr="001E7A17">
        <w:rPr>
          <w:noProof/>
          <w:sz w:val="24"/>
          <w:szCs w:val="24"/>
        </w:rPr>
        <w:t xml:space="preserve">29. </w:t>
      </w:r>
      <w:r w:rsidRPr="001E7A17">
        <w:rPr>
          <w:noProof/>
          <w:sz w:val="24"/>
          <w:szCs w:val="24"/>
        </w:rPr>
        <w:tab/>
        <w:t xml:space="preserve">Perner P. Image mining: issues, framework, a generic tool and its application to medical-image diagnosis. Eng Appl Artif Intell </w:t>
      </w:r>
      <w:r w:rsidRPr="001E7A17">
        <w:rPr>
          <w:b/>
          <w:bCs/>
          <w:noProof/>
          <w:sz w:val="24"/>
          <w:szCs w:val="24"/>
        </w:rPr>
        <w:t>2002</w:t>
      </w:r>
      <w:r w:rsidRPr="001E7A17">
        <w:rPr>
          <w:noProof/>
          <w:sz w:val="24"/>
          <w:szCs w:val="24"/>
        </w:rPr>
        <w:t xml:space="preserve">; 15:205–216. </w:t>
      </w:r>
    </w:p>
    <w:p w14:paraId="738A68BA" w14:textId="37DA9D3F" w:rsidR="001E7A17" w:rsidRPr="001E7A17" w:rsidRDefault="001E7A17" w:rsidP="001E7A17">
      <w:pPr>
        <w:widowControl w:val="0"/>
        <w:ind w:left="640" w:hanging="640"/>
        <w:rPr>
          <w:noProof/>
          <w:sz w:val="24"/>
          <w:szCs w:val="24"/>
        </w:rPr>
      </w:pPr>
      <w:r w:rsidRPr="001E7A17">
        <w:rPr>
          <w:noProof/>
          <w:sz w:val="24"/>
          <w:szCs w:val="24"/>
        </w:rPr>
        <w:t xml:space="preserve">30. </w:t>
      </w:r>
      <w:r w:rsidRPr="001E7A17">
        <w:rPr>
          <w:noProof/>
          <w:sz w:val="24"/>
          <w:szCs w:val="24"/>
        </w:rPr>
        <w:tab/>
        <w:t xml:space="preserve">Petrovic S, Mishra N, Sundar S. A novel case based reasoning approach to radiotherapy planning. Expert Syst Appl </w:t>
      </w:r>
      <w:r w:rsidRPr="001E7A17">
        <w:rPr>
          <w:b/>
          <w:bCs/>
          <w:noProof/>
          <w:sz w:val="24"/>
          <w:szCs w:val="24"/>
        </w:rPr>
        <w:t>2011</w:t>
      </w:r>
      <w:r w:rsidRPr="001E7A17">
        <w:rPr>
          <w:noProof/>
          <w:sz w:val="24"/>
          <w:szCs w:val="24"/>
        </w:rPr>
        <w:t xml:space="preserve">; 38:10759–10769. </w:t>
      </w:r>
    </w:p>
    <w:p w14:paraId="1FE0A3BB" w14:textId="58CF4736" w:rsidR="001E7A17" w:rsidRPr="001E7A17" w:rsidRDefault="001E7A17" w:rsidP="001E7A17">
      <w:pPr>
        <w:widowControl w:val="0"/>
        <w:ind w:left="640" w:hanging="640"/>
        <w:rPr>
          <w:noProof/>
          <w:sz w:val="24"/>
          <w:szCs w:val="24"/>
        </w:rPr>
      </w:pPr>
      <w:r w:rsidRPr="001E7A17">
        <w:rPr>
          <w:noProof/>
          <w:sz w:val="24"/>
          <w:szCs w:val="24"/>
        </w:rPr>
        <w:t xml:space="preserve">31. </w:t>
      </w:r>
      <w:r w:rsidRPr="001E7A17">
        <w:rPr>
          <w:noProof/>
          <w:sz w:val="24"/>
          <w:szCs w:val="24"/>
        </w:rPr>
        <w:tab/>
        <w:t xml:space="preserve">Ahmed MU, Begum S, Funk P, Xiong N, von Scheele B. A multi-module case-based biofeedback system for stress treatment. Artif Intell Med </w:t>
      </w:r>
      <w:r w:rsidRPr="001E7A17">
        <w:rPr>
          <w:b/>
          <w:bCs/>
          <w:noProof/>
          <w:sz w:val="24"/>
          <w:szCs w:val="24"/>
        </w:rPr>
        <w:t>2011</w:t>
      </w:r>
      <w:r w:rsidRPr="001E7A17">
        <w:rPr>
          <w:noProof/>
          <w:sz w:val="24"/>
          <w:szCs w:val="24"/>
        </w:rPr>
        <w:t xml:space="preserve">; 51:107–115. </w:t>
      </w:r>
    </w:p>
    <w:p w14:paraId="07F5EFAA" w14:textId="22EBCDD7" w:rsidR="001E7A17" w:rsidRPr="001E7A17" w:rsidRDefault="001E7A17" w:rsidP="001E7A17">
      <w:pPr>
        <w:widowControl w:val="0"/>
        <w:ind w:left="640" w:hanging="640"/>
        <w:rPr>
          <w:noProof/>
          <w:sz w:val="24"/>
          <w:szCs w:val="24"/>
        </w:rPr>
      </w:pPr>
      <w:r w:rsidRPr="001E7A17">
        <w:rPr>
          <w:noProof/>
          <w:sz w:val="24"/>
          <w:szCs w:val="24"/>
        </w:rPr>
        <w:t xml:space="preserve">32. </w:t>
      </w:r>
      <w:r w:rsidRPr="001E7A17">
        <w:rPr>
          <w:noProof/>
          <w:sz w:val="24"/>
          <w:szCs w:val="24"/>
        </w:rPr>
        <w:tab/>
        <w:t xml:space="preserve">Hsu K-H, Chiu C, Chiu N-H, et al. A case-based classifier for hypertension detection. Knowledge-Based Syst </w:t>
      </w:r>
      <w:r w:rsidRPr="001E7A17">
        <w:rPr>
          <w:b/>
          <w:bCs/>
          <w:noProof/>
          <w:sz w:val="24"/>
          <w:szCs w:val="24"/>
        </w:rPr>
        <w:t>2011</w:t>
      </w:r>
      <w:r w:rsidRPr="001E7A17">
        <w:rPr>
          <w:noProof/>
          <w:sz w:val="24"/>
          <w:szCs w:val="24"/>
        </w:rPr>
        <w:t xml:space="preserve">; 24:33–39. </w:t>
      </w:r>
    </w:p>
    <w:p w14:paraId="00F7FF1D" w14:textId="4B44882C" w:rsidR="001E7A17" w:rsidRPr="001E7A17" w:rsidRDefault="001E7A17" w:rsidP="001E7A17">
      <w:pPr>
        <w:widowControl w:val="0"/>
        <w:ind w:left="640" w:hanging="640"/>
        <w:rPr>
          <w:noProof/>
          <w:sz w:val="24"/>
          <w:szCs w:val="24"/>
        </w:rPr>
      </w:pPr>
      <w:r w:rsidRPr="001E7A17">
        <w:rPr>
          <w:noProof/>
          <w:sz w:val="24"/>
          <w:szCs w:val="24"/>
        </w:rPr>
        <w:lastRenderedPageBreak/>
        <w:t xml:space="preserve">33. </w:t>
      </w:r>
      <w:r w:rsidRPr="001E7A17">
        <w:rPr>
          <w:noProof/>
          <w:sz w:val="24"/>
          <w:szCs w:val="24"/>
        </w:rPr>
        <w:tab/>
        <w:t>Bellazzi R, Montani S, Portinale L. Retrieval in a prototype-based case library: A case study in diabetes therapy revision. In: Smyth B, Cunningham P, eds. Advances in Case-Based Reasoning. Berlin, Heidelberg: Springer, 1998: 64–75.</w:t>
      </w:r>
    </w:p>
    <w:p w14:paraId="4502B169" w14:textId="1F28DC60" w:rsidR="001E7A17" w:rsidRPr="001E7A17" w:rsidRDefault="001E7A17" w:rsidP="001E7A17">
      <w:pPr>
        <w:widowControl w:val="0"/>
        <w:ind w:left="640" w:hanging="640"/>
        <w:rPr>
          <w:noProof/>
          <w:sz w:val="24"/>
          <w:szCs w:val="24"/>
        </w:rPr>
      </w:pPr>
      <w:r w:rsidRPr="001E7A17">
        <w:rPr>
          <w:noProof/>
          <w:sz w:val="24"/>
          <w:szCs w:val="24"/>
        </w:rPr>
        <w:t xml:space="preserve">34. </w:t>
      </w:r>
      <w:r w:rsidRPr="001E7A17">
        <w:rPr>
          <w:noProof/>
          <w:sz w:val="24"/>
          <w:szCs w:val="24"/>
        </w:rPr>
        <w:tab/>
        <w:t xml:space="preserve">Winter RM, Baraitser M, Douglas JM. A computerised data base for the diagnosis of rare dysmorphic syndromes. J Med Genet </w:t>
      </w:r>
      <w:r w:rsidRPr="001E7A17">
        <w:rPr>
          <w:b/>
          <w:bCs/>
          <w:noProof/>
          <w:sz w:val="24"/>
          <w:szCs w:val="24"/>
        </w:rPr>
        <w:t>1984</w:t>
      </w:r>
      <w:r w:rsidRPr="001E7A17">
        <w:rPr>
          <w:noProof/>
          <w:sz w:val="24"/>
          <w:szCs w:val="24"/>
        </w:rPr>
        <w:t xml:space="preserve">; 21:121–123. </w:t>
      </w:r>
    </w:p>
    <w:p w14:paraId="135CD3A1" w14:textId="7D9B00EC" w:rsidR="001E7A17" w:rsidRPr="001E7A17" w:rsidRDefault="001E7A17" w:rsidP="001E7A17">
      <w:pPr>
        <w:widowControl w:val="0"/>
        <w:ind w:left="640" w:hanging="640"/>
        <w:rPr>
          <w:noProof/>
          <w:sz w:val="24"/>
          <w:szCs w:val="24"/>
        </w:rPr>
      </w:pPr>
      <w:r w:rsidRPr="001E7A17">
        <w:rPr>
          <w:noProof/>
          <w:sz w:val="24"/>
          <w:szCs w:val="24"/>
        </w:rPr>
        <w:t xml:space="preserve">35. </w:t>
      </w:r>
      <w:r w:rsidRPr="001E7A17">
        <w:rPr>
          <w:noProof/>
          <w:sz w:val="24"/>
          <w:szCs w:val="24"/>
        </w:rPr>
        <w:tab/>
        <w:t xml:space="preserve">Gierl L, Stengel-Rutkowski S. Integrating consultation and semi-automatic knowledge acquisition in a prototype-based architecture: Experiences with dysmorphic syndromes. Artif Intell Med </w:t>
      </w:r>
      <w:r w:rsidRPr="001E7A17">
        <w:rPr>
          <w:b/>
          <w:bCs/>
          <w:noProof/>
          <w:sz w:val="24"/>
          <w:szCs w:val="24"/>
        </w:rPr>
        <w:t>1994</w:t>
      </w:r>
      <w:r w:rsidRPr="001E7A17">
        <w:rPr>
          <w:noProof/>
          <w:sz w:val="24"/>
          <w:szCs w:val="24"/>
        </w:rPr>
        <w:t xml:space="preserve">; 6:29–49. </w:t>
      </w:r>
    </w:p>
    <w:p w14:paraId="6B2F7531" w14:textId="3E7F6AD3" w:rsidR="001E7A17" w:rsidRPr="001E7A17" w:rsidRDefault="001E7A17" w:rsidP="001E7A17">
      <w:pPr>
        <w:widowControl w:val="0"/>
        <w:ind w:left="640" w:hanging="640"/>
        <w:rPr>
          <w:noProof/>
          <w:sz w:val="24"/>
          <w:szCs w:val="24"/>
        </w:rPr>
      </w:pPr>
      <w:r w:rsidRPr="001E7A17">
        <w:rPr>
          <w:noProof/>
          <w:sz w:val="24"/>
          <w:szCs w:val="24"/>
        </w:rPr>
        <w:t xml:space="preserve">36. </w:t>
      </w:r>
      <w:r w:rsidRPr="001E7A17">
        <w:rPr>
          <w:noProof/>
          <w:sz w:val="24"/>
          <w:szCs w:val="24"/>
        </w:rPr>
        <w:tab/>
        <w:t xml:space="preserve">Lin R-H, Chuang C-L. A hybrid diagnosis model for determining the types of the liver disease. Comput Biol Med </w:t>
      </w:r>
      <w:r w:rsidRPr="001E7A17">
        <w:rPr>
          <w:b/>
          <w:bCs/>
          <w:noProof/>
          <w:sz w:val="24"/>
          <w:szCs w:val="24"/>
        </w:rPr>
        <w:t>2010</w:t>
      </w:r>
      <w:r w:rsidRPr="001E7A17">
        <w:rPr>
          <w:noProof/>
          <w:sz w:val="24"/>
          <w:szCs w:val="24"/>
        </w:rPr>
        <w:t xml:space="preserve">; 40:665–670. </w:t>
      </w:r>
    </w:p>
    <w:p w14:paraId="16AFD15D" w14:textId="3931FBB1" w:rsidR="001E7A17" w:rsidRPr="001E7A17" w:rsidRDefault="001E7A17" w:rsidP="001E7A17">
      <w:pPr>
        <w:widowControl w:val="0"/>
        <w:ind w:left="640" w:hanging="640"/>
        <w:rPr>
          <w:noProof/>
          <w:sz w:val="24"/>
          <w:szCs w:val="24"/>
        </w:rPr>
      </w:pPr>
      <w:r w:rsidRPr="001E7A17">
        <w:rPr>
          <w:noProof/>
          <w:sz w:val="24"/>
          <w:szCs w:val="24"/>
        </w:rPr>
        <w:t xml:space="preserve">37. </w:t>
      </w:r>
      <w:r w:rsidRPr="001E7A17">
        <w:rPr>
          <w:noProof/>
          <w:sz w:val="24"/>
          <w:szCs w:val="24"/>
        </w:rPr>
        <w:tab/>
        <w:t xml:space="preserve">Reddy M, Pesl P, Xenou M, et al. Clinical Safety and Feasibility of the Advanced Bolus Calculator for Type 1 Diabetes Based on Case-Based Reasoning: A 6-Week Nonrandomized Single-Arm Pilot Study. Diabetes Technol Ther </w:t>
      </w:r>
      <w:r w:rsidRPr="001E7A17">
        <w:rPr>
          <w:b/>
          <w:bCs/>
          <w:noProof/>
          <w:sz w:val="24"/>
          <w:szCs w:val="24"/>
        </w:rPr>
        <w:t>2016</w:t>
      </w:r>
      <w:r w:rsidRPr="001E7A17">
        <w:rPr>
          <w:noProof/>
          <w:sz w:val="24"/>
          <w:szCs w:val="24"/>
        </w:rPr>
        <w:t xml:space="preserve">; :dia.2015.0413. </w:t>
      </w:r>
    </w:p>
    <w:p w14:paraId="71FF9A4C" w14:textId="4D918360" w:rsidR="001E7A17" w:rsidRPr="001E7A17" w:rsidRDefault="001E7A17" w:rsidP="001E7A17">
      <w:pPr>
        <w:widowControl w:val="0"/>
        <w:ind w:left="640" w:hanging="640"/>
        <w:rPr>
          <w:noProof/>
          <w:sz w:val="24"/>
          <w:szCs w:val="24"/>
        </w:rPr>
      </w:pPr>
      <w:r w:rsidRPr="001E7A17">
        <w:rPr>
          <w:noProof/>
          <w:sz w:val="24"/>
          <w:szCs w:val="24"/>
        </w:rPr>
        <w:t xml:space="preserve">38. </w:t>
      </w:r>
      <w:r w:rsidRPr="001E7A17">
        <w:rPr>
          <w:noProof/>
          <w:sz w:val="24"/>
          <w:szCs w:val="24"/>
        </w:rPr>
        <w:tab/>
        <w:t xml:space="preserve">Ahn H, Kim K. Global optimization of case-based reasoning for breast cytology diagnosis. Expert Syst Appl </w:t>
      </w:r>
      <w:r w:rsidRPr="001E7A17">
        <w:rPr>
          <w:b/>
          <w:bCs/>
          <w:noProof/>
          <w:sz w:val="24"/>
          <w:szCs w:val="24"/>
        </w:rPr>
        <w:t>2009</w:t>
      </w:r>
      <w:r w:rsidRPr="001E7A17">
        <w:rPr>
          <w:noProof/>
          <w:sz w:val="24"/>
          <w:szCs w:val="24"/>
        </w:rPr>
        <w:t xml:space="preserve">; 36:724–734. </w:t>
      </w:r>
    </w:p>
    <w:p w14:paraId="75CF5AAE" w14:textId="77777777" w:rsidR="001E7A17" w:rsidRPr="001E7A17" w:rsidRDefault="001E7A17" w:rsidP="001E7A17">
      <w:pPr>
        <w:widowControl w:val="0"/>
        <w:ind w:left="640" w:hanging="640"/>
        <w:rPr>
          <w:noProof/>
          <w:sz w:val="24"/>
          <w:szCs w:val="24"/>
        </w:rPr>
      </w:pPr>
      <w:r w:rsidRPr="001E7A17">
        <w:rPr>
          <w:noProof/>
          <w:sz w:val="24"/>
          <w:szCs w:val="24"/>
        </w:rPr>
        <w:t xml:space="preserve">39. </w:t>
      </w:r>
      <w:r w:rsidRPr="001E7A17">
        <w:rPr>
          <w:noProof/>
          <w:sz w:val="24"/>
          <w:szCs w:val="24"/>
        </w:rPr>
        <w:tab/>
        <w:t xml:space="preserve">Vihta KD, Stoesser N, Llewelyn MJ, et al. Trends over time in Escherichia coli bloodstream infections, urinary tract infections, and antibiotic susceptibilities in Oxfordshire, UK, 1998–2016: a study of electronic health records. Lancet Infect Dis </w:t>
      </w:r>
      <w:r w:rsidRPr="001E7A17">
        <w:rPr>
          <w:b/>
          <w:bCs/>
          <w:noProof/>
          <w:sz w:val="24"/>
          <w:szCs w:val="24"/>
        </w:rPr>
        <w:t>2018</w:t>
      </w:r>
      <w:r w:rsidRPr="001E7A17">
        <w:rPr>
          <w:noProof/>
          <w:sz w:val="24"/>
          <w:szCs w:val="24"/>
        </w:rPr>
        <w:t xml:space="preserve">; 18:1138–1149. </w:t>
      </w:r>
    </w:p>
    <w:p w14:paraId="2ED6B5D4" w14:textId="77777777" w:rsidR="001E7A17" w:rsidRPr="001E7A17" w:rsidRDefault="001E7A17" w:rsidP="001E7A17">
      <w:pPr>
        <w:widowControl w:val="0"/>
        <w:ind w:left="640" w:hanging="640"/>
        <w:rPr>
          <w:noProof/>
          <w:sz w:val="24"/>
          <w:szCs w:val="24"/>
        </w:rPr>
      </w:pPr>
      <w:r w:rsidRPr="001E7A17">
        <w:rPr>
          <w:noProof/>
          <w:sz w:val="24"/>
          <w:szCs w:val="24"/>
        </w:rPr>
        <w:t xml:space="preserve">40. </w:t>
      </w:r>
      <w:r w:rsidRPr="001E7A17">
        <w:rPr>
          <w:noProof/>
          <w:sz w:val="24"/>
          <w:szCs w:val="24"/>
        </w:rPr>
        <w:tab/>
        <w:t xml:space="preserve">Tumbarello M, Spanu T, Di Bidino R, et al. Costs of bloodstream infections caused by Escherichia coli and influence of extended-spectrum-β-lactamase production and inadequate initial antibiotic therapy. Antimicrob Agents Chemother </w:t>
      </w:r>
      <w:r w:rsidRPr="001E7A17">
        <w:rPr>
          <w:b/>
          <w:bCs/>
          <w:noProof/>
          <w:sz w:val="24"/>
          <w:szCs w:val="24"/>
        </w:rPr>
        <w:t>2010</w:t>
      </w:r>
      <w:r w:rsidRPr="001E7A17">
        <w:rPr>
          <w:noProof/>
          <w:sz w:val="24"/>
          <w:szCs w:val="24"/>
        </w:rPr>
        <w:t xml:space="preserve">; 54:4085–4091. </w:t>
      </w:r>
    </w:p>
    <w:p w14:paraId="7E0A6027" w14:textId="6269DE0D" w:rsidR="001E7A17" w:rsidRPr="001E7A17" w:rsidRDefault="001E7A17" w:rsidP="001E7A17">
      <w:pPr>
        <w:widowControl w:val="0"/>
        <w:ind w:left="640" w:hanging="640"/>
        <w:rPr>
          <w:noProof/>
          <w:sz w:val="24"/>
          <w:szCs w:val="24"/>
        </w:rPr>
      </w:pPr>
      <w:r w:rsidRPr="001E7A17">
        <w:rPr>
          <w:noProof/>
          <w:sz w:val="24"/>
          <w:szCs w:val="24"/>
        </w:rPr>
        <w:t xml:space="preserve">41. </w:t>
      </w:r>
      <w:r w:rsidRPr="001E7A17">
        <w:rPr>
          <w:noProof/>
          <w:sz w:val="24"/>
          <w:szCs w:val="24"/>
        </w:rPr>
        <w:tab/>
        <w:t xml:space="preserve">Gerber JS, Hersh AL, Kronman MP, Newland JG, Ross RK, Metjian TA. Development and Application of an Antibiotic Spectrum Index for Benchmarking Antibiotic Selection Patterns Across Hospitals. Infect Control Hosp Epidemiol </w:t>
      </w:r>
      <w:r w:rsidRPr="001E7A17">
        <w:rPr>
          <w:b/>
          <w:bCs/>
          <w:noProof/>
          <w:sz w:val="24"/>
          <w:szCs w:val="24"/>
        </w:rPr>
        <w:t>2017</w:t>
      </w:r>
      <w:r w:rsidRPr="001E7A17">
        <w:rPr>
          <w:noProof/>
          <w:sz w:val="24"/>
          <w:szCs w:val="24"/>
        </w:rPr>
        <w:t xml:space="preserve">; 38:993–997. </w:t>
      </w:r>
    </w:p>
    <w:p w14:paraId="6F17A5B6" w14:textId="1278934F" w:rsidR="001E7A17" w:rsidRPr="001E7A17" w:rsidRDefault="001E7A17" w:rsidP="001E7A17">
      <w:pPr>
        <w:widowControl w:val="0"/>
        <w:ind w:left="640" w:hanging="640"/>
        <w:rPr>
          <w:noProof/>
          <w:sz w:val="24"/>
          <w:szCs w:val="24"/>
        </w:rPr>
      </w:pPr>
      <w:r w:rsidRPr="001E7A17">
        <w:rPr>
          <w:noProof/>
          <w:sz w:val="24"/>
          <w:szCs w:val="24"/>
        </w:rPr>
        <w:t xml:space="preserve">42. </w:t>
      </w:r>
      <w:r w:rsidRPr="001E7A17">
        <w:rPr>
          <w:noProof/>
          <w:sz w:val="24"/>
          <w:szCs w:val="24"/>
        </w:rPr>
        <w:tab/>
        <w:t xml:space="preserve">Chen Y, Song B, Shan X, et al. Assessing antibiotic therapy effectiveness against the major bacterial pathogens in a hospital using an integrated index. Future Microbiol </w:t>
      </w:r>
      <w:r w:rsidRPr="001E7A17">
        <w:rPr>
          <w:b/>
          <w:bCs/>
          <w:noProof/>
          <w:sz w:val="24"/>
          <w:szCs w:val="24"/>
        </w:rPr>
        <w:t>2017</w:t>
      </w:r>
      <w:r w:rsidRPr="001E7A17">
        <w:rPr>
          <w:noProof/>
          <w:sz w:val="24"/>
          <w:szCs w:val="24"/>
        </w:rPr>
        <w:t xml:space="preserve">; 12:853–866. </w:t>
      </w:r>
    </w:p>
    <w:p w14:paraId="793D2688" w14:textId="3AEECF0D" w:rsidR="001E7A17" w:rsidRPr="001E7A17" w:rsidRDefault="001E7A17" w:rsidP="001E7A17">
      <w:pPr>
        <w:widowControl w:val="0"/>
        <w:ind w:left="640" w:hanging="640"/>
        <w:rPr>
          <w:noProof/>
          <w:sz w:val="24"/>
          <w:szCs w:val="24"/>
        </w:rPr>
      </w:pPr>
      <w:r w:rsidRPr="001E7A17">
        <w:rPr>
          <w:noProof/>
          <w:sz w:val="24"/>
          <w:szCs w:val="24"/>
        </w:rPr>
        <w:t xml:space="preserve">43. </w:t>
      </w:r>
      <w:r w:rsidRPr="001E7A17">
        <w:rPr>
          <w:noProof/>
          <w:sz w:val="24"/>
          <w:szCs w:val="24"/>
        </w:rPr>
        <w:tab/>
        <w:t>Hughes JS, Hurford A, Finley RL, Patrick DM, Wu J, Morris AM. How to measure the impacts of antibiotic resistance and antibiotic development on empiric therapy: new composite indices.</w:t>
      </w:r>
      <w:r w:rsidR="003C3C90" w:rsidRPr="003C3C90">
        <w:rPr>
          <w:b/>
          <w:bCs/>
          <w:noProof/>
          <w:sz w:val="24"/>
          <w:szCs w:val="24"/>
        </w:rPr>
        <w:t xml:space="preserve"> 2016</w:t>
      </w:r>
      <w:r w:rsidR="003C3C90">
        <w:rPr>
          <w:noProof/>
          <w:sz w:val="24"/>
          <w:szCs w:val="24"/>
        </w:rPr>
        <w:t>; 6(12):e012040</w:t>
      </w:r>
      <w:r w:rsidRPr="001E7A17">
        <w:rPr>
          <w:noProof/>
          <w:sz w:val="24"/>
          <w:szCs w:val="24"/>
        </w:rPr>
        <w:t xml:space="preserve"> </w:t>
      </w:r>
    </w:p>
    <w:p w14:paraId="39FC3381" w14:textId="36B2C67A" w:rsidR="001E7A17" w:rsidRPr="003C3C90" w:rsidRDefault="001E7A17" w:rsidP="001E7A17">
      <w:pPr>
        <w:widowControl w:val="0"/>
        <w:ind w:left="640" w:hanging="640"/>
        <w:rPr>
          <w:noProof/>
          <w:sz w:val="24"/>
          <w:szCs w:val="24"/>
        </w:rPr>
      </w:pPr>
      <w:r w:rsidRPr="001E7A17">
        <w:rPr>
          <w:noProof/>
          <w:sz w:val="24"/>
          <w:szCs w:val="24"/>
        </w:rPr>
        <w:t xml:space="preserve">44. </w:t>
      </w:r>
      <w:r w:rsidRPr="001E7A17">
        <w:rPr>
          <w:noProof/>
          <w:sz w:val="24"/>
          <w:szCs w:val="24"/>
        </w:rPr>
        <w:tab/>
        <w:t xml:space="preserve">Ciccolini M, Spoorenberg V, Geerlings SE, Prins JM, Grundmann H. Using an index-based approach to assess the population-level appropriateness of empirical antibiotic therapy. </w:t>
      </w:r>
      <w:r w:rsidR="003C3C90">
        <w:rPr>
          <w:noProof/>
          <w:sz w:val="24"/>
          <w:szCs w:val="24"/>
        </w:rPr>
        <w:t xml:space="preserve">Journal of Antimicrobial Chemotherapy. </w:t>
      </w:r>
      <w:r w:rsidR="003C3C90">
        <w:rPr>
          <w:b/>
          <w:bCs/>
          <w:noProof/>
          <w:sz w:val="24"/>
          <w:szCs w:val="24"/>
        </w:rPr>
        <w:t>2015</w:t>
      </w:r>
      <w:r w:rsidR="003C3C90">
        <w:rPr>
          <w:noProof/>
          <w:sz w:val="24"/>
          <w:szCs w:val="24"/>
        </w:rPr>
        <w:t>; 70(01);286-93</w:t>
      </w:r>
    </w:p>
    <w:p w14:paraId="1B50BEB2" w14:textId="037503E0" w:rsidR="001E7A17" w:rsidRPr="001E7A17" w:rsidRDefault="001E7A17" w:rsidP="001E7A17">
      <w:pPr>
        <w:widowControl w:val="0"/>
        <w:ind w:left="640" w:hanging="640"/>
        <w:rPr>
          <w:noProof/>
          <w:sz w:val="24"/>
          <w:szCs w:val="24"/>
        </w:rPr>
      </w:pPr>
      <w:r w:rsidRPr="001E7A17">
        <w:rPr>
          <w:noProof/>
          <w:sz w:val="24"/>
          <w:szCs w:val="24"/>
        </w:rPr>
        <w:t xml:space="preserve">45. </w:t>
      </w:r>
      <w:r w:rsidRPr="001E7A17">
        <w:rPr>
          <w:noProof/>
          <w:sz w:val="24"/>
          <w:szCs w:val="24"/>
        </w:rPr>
        <w:tab/>
        <w:t xml:space="preserve">Metjian TA, Hersh AL, Kronman M, Newland J, Ross R, Gerber JS. 373Development and Application of an Antibiotic Spectrum Index (AbSI) for Benchmarking Antibiotic Selection Patterns Across Hospitals. Open Forum Infect Dis </w:t>
      </w:r>
      <w:r w:rsidRPr="001E7A17">
        <w:rPr>
          <w:b/>
          <w:bCs/>
          <w:noProof/>
          <w:sz w:val="24"/>
          <w:szCs w:val="24"/>
        </w:rPr>
        <w:t>2014</w:t>
      </w:r>
      <w:r w:rsidRPr="001E7A17">
        <w:rPr>
          <w:noProof/>
          <w:sz w:val="24"/>
          <w:szCs w:val="24"/>
        </w:rPr>
        <w:t xml:space="preserve">; 1:S146–S146. </w:t>
      </w:r>
    </w:p>
    <w:p w14:paraId="03B07C8C" w14:textId="77777777" w:rsidR="001E7A17" w:rsidRPr="001E7A17" w:rsidRDefault="001E7A17" w:rsidP="001E7A17">
      <w:pPr>
        <w:widowControl w:val="0"/>
        <w:ind w:left="640" w:hanging="640"/>
        <w:rPr>
          <w:noProof/>
          <w:sz w:val="24"/>
          <w:szCs w:val="24"/>
        </w:rPr>
      </w:pPr>
      <w:r w:rsidRPr="001E7A17">
        <w:rPr>
          <w:noProof/>
          <w:sz w:val="24"/>
          <w:szCs w:val="24"/>
        </w:rPr>
        <w:t xml:space="preserve">46. </w:t>
      </w:r>
      <w:r w:rsidRPr="001E7A17">
        <w:rPr>
          <w:noProof/>
          <w:sz w:val="24"/>
          <w:szCs w:val="24"/>
        </w:rPr>
        <w:tab/>
        <w:t xml:space="preserve">Hsia Y, Lee BR, Versporten A, et al. Use of the WHO Access, Watch, and Reserve classification to define patterns of hospital antibiotic use (AWaRe): an analysis of paediatric survey data from 56 countries. Lancet Glob Heal </w:t>
      </w:r>
      <w:r w:rsidRPr="001E7A17">
        <w:rPr>
          <w:b/>
          <w:bCs/>
          <w:noProof/>
          <w:sz w:val="24"/>
          <w:szCs w:val="24"/>
        </w:rPr>
        <w:t>2019</w:t>
      </w:r>
      <w:r w:rsidRPr="001E7A17">
        <w:rPr>
          <w:noProof/>
          <w:sz w:val="24"/>
          <w:szCs w:val="24"/>
        </w:rPr>
        <w:t xml:space="preserve">; 7:e861–e871. </w:t>
      </w:r>
    </w:p>
    <w:p w14:paraId="24A6BE15" w14:textId="3027ABFF" w:rsidR="001E7A17" w:rsidRPr="001E7A17" w:rsidRDefault="001E7A17" w:rsidP="001E7A17">
      <w:pPr>
        <w:widowControl w:val="0"/>
        <w:ind w:left="640" w:hanging="640"/>
        <w:rPr>
          <w:noProof/>
          <w:sz w:val="24"/>
          <w:szCs w:val="24"/>
        </w:rPr>
      </w:pPr>
      <w:r w:rsidRPr="001E7A17">
        <w:rPr>
          <w:noProof/>
          <w:sz w:val="24"/>
          <w:szCs w:val="24"/>
        </w:rPr>
        <w:t xml:space="preserve">47. </w:t>
      </w:r>
      <w:r w:rsidRPr="001E7A17">
        <w:rPr>
          <w:noProof/>
          <w:sz w:val="24"/>
          <w:szCs w:val="24"/>
        </w:rPr>
        <w:tab/>
        <w:t xml:space="preserve">Hernandez B, Herrero P, Rawson TM, et al. Supervised learning for infection risk inference using pathology data. BMC Med Inform Decis Mak </w:t>
      </w:r>
      <w:r w:rsidRPr="001E7A17">
        <w:rPr>
          <w:b/>
          <w:bCs/>
          <w:noProof/>
          <w:sz w:val="24"/>
          <w:szCs w:val="24"/>
        </w:rPr>
        <w:t>2017</w:t>
      </w:r>
      <w:r w:rsidRPr="001E7A17">
        <w:rPr>
          <w:noProof/>
          <w:sz w:val="24"/>
          <w:szCs w:val="24"/>
        </w:rPr>
        <w:t xml:space="preserve">; 17:168. </w:t>
      </w:r>
    </w:p>
    <w:p w14:paraId="2BD70073" w14:textId="7CFE3325" w:rsidR="001E7A17" w:rsidRPr="001E7A17" w:rsidRDefault="001E7A17" w:rsidP="001E7A17">
      <w:pPr>
        <w:widowControl w:val="0"/>
        <w:ind w:left="640" w:hanging="640"/>
        <w:rPr>
          <w:noProof/>
          <w:sz w:val="24"/>
          <w:szCs w:val="24"/>
        </w:rPr>
      </w:pPr>
      <w:r w:rsidRPr="001E7A17">
        <w:rPr>
          <w:noProof/>
          <w:sz w:val="24"/>
          <w:szCs w:val="24"/>
        </w:rPr>
        <w:t xml:space="preserve">48. </w:t>
      </w:r>
      <w:r w:rsidRPr="001E7A17">
        <w:rPr>
          <w:noProof/>
          <w:sz w:val="24"/>
          <w:szCs w:val="24"/>
        </w:rPr>
        <w:tab/>
        <w:t xml:space="preserve">Rawson TM, Hernandez B, Moore LSP, et al. Supervised machine learning for </w:t>
      </w:r>
      <w:r w:rsidRPr="001E7A17">
        <w:rPr>
          <w:noProof/>
          <w:sz w:val="24"/>
          <w:szCs w:val="24"/>
        </w:rPr>
        <w:lastRenderedPageBreak/>
        <w:t xml:space="preserve">the prediction of infection on admission to hospital: a prospective observational cohort study. J Antimicrob Chemother </w:t>
      </w:r>
      <w:r w:rsidRPr="001E7A17">
        <w:rPr>
          <w:b/>
          <w:bCs/>
          <w:noProof/>
          <w:sz w:val="24"/>
          <w:szCs w:val="24"/>
        </w:rPr>
        <w:t>2019</w:t>
      </w:r>
      <w:r w:rsidRPr="001E7A17">
        <w:rPr>
          <w:noProof/>
          <w:sz w:val="24"/>
          <w:szCs w:val="24"/>
        </w:rPr>
        <w:t xml:space="preserve">; 74:1108–1115. </w:t>
      </w:r>
    </w:p>
    <w:p w14:paraId="723906ED" w14:textId="3EFD06A8" w:rsidR="001E7A17" w:rsidRPr="001E7A17" w:rsidRDefault="001E7A17" w:rsidP="001E7A17">
      <w:pPr>
        <w:widowControl w:val="0"/>
        <w:ind w:left="640" w:hanging="640"/>
        <w:rPr>
          <w:noProof/>
          <w:sz w:val="24"/>
          <w:szCs w:val="24"/>
        </w:rPr>
      </w:pPr>
      <w:r w:rsidRPr="001E7A17">
        <w:rPr>
          <w:noProof/>
          <w:sz w:val="24"/>
          <w:szCs w:val="24"/>
        </w:rPr>
        <w:t xml:space="preserve">49. </w:t>
      </w:r>
      <w:r w:rsidRPr="001E7A17">
        <w:rPr>
          <w:noProof/>
          <w:sz w:val="24"/>
          <w:szCs w:val="24"/>
        </w:rPr>
        <w:tab/>
        <w:t xml:space="preserve">Watson I, Marir F. Case-based reasoning: A review. Knowl Eng Rev </w:t>
      </w:r>
      <w:r w:rsidRPr="001E7A17">
        <w:rPr>
          <w:b/>
          <w:bCs/>
          <w:noProof/>
          <w:sz w:val="24"/>
          <w:szCs w:val="24"/>
        </w:rPr>
        <w:t>2017</w:t>
      </w:r>
      <w:r w:rsidRPr="001E7A17">
        <w:rPr>
          <w:noProof/>
          <w:sz w:val="24"/>
          <w:szCs w:val="24"/>
        </w:rPr>
        <w:t xml:space="preserve">; 94:327–354. </w:t>
      </w:r>
    </w:p>
    <w:p w14:paraId="10CBB96C" w14:textId="0BF52A62" w:rsidR="001E7A17" w:rsidRPr="001E7A17" w:rsidRDefault="001E7A17" w:rsidP="001E7A17">
      <w:pPr>
        <w:widowControl w:val="0"/>
        <w:ind w:left="640" w:hanging="640"/>
        <w:rPr>
          <w:noProof/>
          <w:sz w:val="24"/>
          <w:szCs w:val="24"/>
        </w:rPr>
      </w:pPr>
      <w:r w:rsidRPr="001E7A17">
        <w:rPr>
          <w:noProof/>
          <w:sz w:val="24"/>
          <w:szCs w:val="24"/>
        </w:rPr>
        <w:t xml:space="preserve">50. </w:t>
      </w:r>
      <w:r w:rsidRPr="001E7A17">
        <w:rPr>
          <w:noProof/>
          <w:sz w:val="24"/>
          <w:szCs w:val="24"/>
        </w:rPr>
        <w:tab/>
        <w:t xml:space="preserve">Aamodt A, Plaza E. Case-Based Reasoning: Foundational Issues, Methodological Variations, and System Approaches. AI Commun </w:t>
      </w:r>
      <w:r w:rsidRPr="001E7A17">
        <w:rPr>
          <w:b/>
          <w:bCs/>
          <w:noProof/>
          <w:sz w:val="24"/>
          <w:szCs w:val="24"/>
        </w:rPr>
        <w:t>1994</w:t>
      </w:r>
      <w:r w:rsidRPr="001E7A17">
        <w:rPr>
          <w:noProof/>
          <w:sz w:val="24"/>
          <w:szCs w:val="24"/>
        </w:rPr>
        <w:t xml:space="preserve">; 7:39–59. </w:t>
      </w:r>
    </w:p>
    <w:p w14:paraId="72951981" w14:textId="77777777" w:rsidR="001E7A17" w:rsidRPr="001E7A17" w:rsidRDefault="001E7A17" w:rsidP="001E7A17">
      <w:pPr>
        <w:widowControl w:val="0"/>
        <w:ind w:left="640" w:hanging="640"/>
        <w:rPr>
          <w:noProof/>
          <w:sz w:val="24"/>
          <w:szCs w:val="24"/>
        </w:rPr>
      </w:pPr>
      <w:r w:rsidRPr="001E7A17">
        <w:rPr>
          <w:noProof/>
          <w:sz w:val="24"/>
          <w:szCs w:val="24"/>
        </w:rPr>
        <w:t xml:space="preserve">51. </w:t>
      </w:r>
      <w:r w:rsidRPr="001E7A17">
        <w:rPr>
          <w:noProof/>
          <w:sz w:val="24"/>
          <w:szCs w:val="24"/>
        </w:rPr>
        <w:tab/>
        <w:t xml:space="preserve">DePestel DD, Eiland EH, Lusardi K, et al. Assessing appropriateness of antimicrobial therapy: in the eye of the interpreter. Clin Infect Dis </w:t>
      </w:r>
      <w:r w:rsidRPr="001E7A17">
        <w:rPr>
          <w:b/>
          <w:bCs/>
          <w:noProof/>
          <w:sz w:val="24"/>
          <w:szCs w:val="24"/>
        </w:rPr>
        <w:t>2014</w:t>
      </w:r>
      <w:r w:rsidRPr="001E7A17">
        <w:rPr>
          <w:noProof/>
          <w:sz w:val="24"/>
          <w:szCs w:val="24"/>
        </w:rPr>
        <w:t xml:space="preserve">; 59:S154–S161. </w:t>
      </w:r>
    </w:p>
    <w:p w14:paraId="5D006FAF" w14:textId="4042CA45" w:rsidR="001E7A17" w:rsidRPr="001E7A17" w:rsidRDefault="001E7A17" w:rsidP="001E7A17">
      <w:pPr>
        <w:widowControl w:val="0"/>
        <w:ind w:left="640" w:hanging="640"/>
        <w:rPr>
          <w:noProof/>
          <w:sz w:val="24"/>
          <w:szCs w:val="24"/>
        </w:rPr>
      </w:pPr>
      <w:r w:rsidRPr="001E7A17">
        <w:rPr>
          <w:noProof/>
          <w:sz w:val="24"/>
          <w:szCs w:val="24"/>
        </w:rPr>
        <w:t xml:space="preserve">52. </w:t>
      </w:r>
      <w:r w:rsidRPr="001E7A17">
        <w:rPr>
          <w:noProof/>
          <w:sz w:val="24"/>
          <w:szCs w:val="24"/>
        </w:rPr>
        <w:tab/>
        <w:t xml:space="preserve">Baur D, Gladstone BP, Burkert F, et al. Effect of antibiotic stewardship on the incidence of infection and colonisation with antibiotic-resistant bacteria and Clostridium difficile infection: a systematic review and meta-analysis. Lancet Infect Dis </w:t>
      </w:r>
      <w:r w:rsidRPr="001E7A17">
        <w:rPr>
          <w:b/>
          <w:bCs/>
          <w:noProof/>
          <w:sz w:val="24"/>
          <w:szCs w:val="24"/>
        </w:rPr>
        <w:t>2017</w:t>
      </w:r>
      <w:r w:rsidRPr="001E7A17">
        <w:rPr>
          <w:noProof/>
          <w:sz w:val="24"/>
          <w:szCs w:val="24"/>
        </w:rPr>
        <w:t xml:space="preserve">; 17:990–1001. </w:t>
      </w:r>
    </w:p>
    <w:p w14:paraId="74C9764C" w14:textId="5D569F91" w:rsidR="001E7A17" w:rsidRPr="001E7A17" w:rsidRDefault="001E7A17" w:rsidP="001E7A17">
      <w:pPr>
        <w:widowControl w:val="0"/>
        <w:ind w:left="640" w:hanging="640"/>
        <w:rPr>
          <w:noProof/>
          <w:sz w:val="24"/>
          <w:szCs w:val="24"/>
        </w:rPr>
      </w:pPr>
      <w:r w:rsidRPr="001E7A17">
        <w:rPr>
          <w:noProof/>
          <w:sz w:val="24"/>
          <w:szCs w:val="24"/>
        </w:rPr>
        <w:t xml:space="preserve">53. </w:t>
      </w:r>
      <w:r w:rsidRPr="001E7A17">
        <w:rPr>
          <w:noProof/>
          <w:sz w:val="24"/>
          <w:szCs w:val="24"/>
        </w:rPr>
        <w:tab/>
        <w:t xml:space="preserve">Sharland M, Pulcini C, Harbarth S, et al. Classifying antibiotics in the WHO Essential Medicines List for optimal use-be AWaRe. Lancet Infect Dis </w:t>
      </w:r>
      <w:r w:rsidRPr="001E7A17">
        <w:rPr>
          <w:b/>
          <w:bCs/>
          <w:noProof/>
          <w:sz w:val="24"/>
          <w:szCs w:val="24"/>
        </w:rPr>
        <w:t>2018</w:t>
      </w:r>
      <w:r w:rsidRPr="001E7A17">
        <w:rPr>
          <w:noProof/>
          <w:sz w:val="24"/>
          <w:szCs w:val="24"/>
        </w:rPr>
        <w:t xml:space="preserve">; 18:18–20. </w:t>
      </w:r>
    </w:p>
    <w:p w14:paraId="6FCC26C3" w14:textId="4C2DC2DA" w:rsidR="001E7A17" w:rsidRPr="001E7A17" w:rsidRDefault="001E7A17" w:rsidP="001E7A17">
      <w:pPr>
        <w:widowControl w:val="0"/>
        <w:ind w:left="640" w:hanging="640"/>
        <w:rPr>
          <w:noProof/>
          <w:sz w:val="24"/>
          <w:szCs w:val="24"/>
        </w:rPr>
      </w:pPr>
      <w:r w:rsidRPr="001E7A17">
        <w:rPr>
          <w:noProof/>
          <w:sz w:val="24"/>
          <w:szCs w:val="24"/>
        </w:rPr>
        <w:t xml:space="preserve">54. </w:t>
      </w:r>
      <w:r w:rsidRPr="001E7A17">
        <w:rPr>
          <w:noProof/>
          <w:sz w:val="24"/>
          <w:szCs w:val="24"/>
        </w:rPr>
        <w:tab/>
      </w:r>
      <w:r w:rsidR="003C3C90" w:rsidRPr="001E7A17">
        <w:rPr>
          <w:noProof/>
          <w:sz w:val="24"/>
          <w:szCs w:val="24"/>
        </w:rPr>
        <w:t>NICE</w:t>
      </w:r>
      <w:r w:rsidR="003C3C90">
        <w:rPr>
          <w:noProof/>
          <w:sz w:val="24"/>
          <w:szCs w:val="24"/>
        </w:rPr>
        <w:t xml:space="preserve">. </w:t>
      </w:r>
      <w:r w:rsidRPr="001E7A17">
        <w:rPr>
          <w:noProof/>
          <w:sz w:val="24"/>
          <w:szCs w:val="24"/>
        </w:rPr>
        <w:t>Multimorbidity and polypharmacy | Guidance and guidelines</w:t>
      </w:r>
      <w:r w:rsidR="003C3C90">
        <w:rPr>
          <w:noProof/>
          <w:sz w:val="24"/>
          <w:szCs w:val="24"/>
        </w:rPr>
        <w:t xml:space="preserve">. </w:t>
      </w:r>
      <w:r w:rsidR="003C3C90" w:rsidRPr="003C3C90">
        <w:rPr>
          <w:b/>
          <w:bCs/>
          <w:noProof/>
          <w:sz w:val="24"/>
          <w:szCs w:val="24"/>
        </w:rPr>
        <w:t>2019</w:t>
      </w:r>
      <w:r w:rsidR="003C3C90">
        <w:rPr>
          <w:b/>
          <w:bCs/>
          <w:noProof/>
          <w:sz w:val="24"/>
          <w:szCs w:val="24"/>
        </w:rPr>
        <w:t>.</w:t>
      </w:r>
      <w:r w:rsidRPr="001E7A17">
        <w:rPr>
          <w:noProof/>
          <w:sz w:val="24"/>
          <w:szCs w:val="24"/>
        </w:rPr>
        <w:t xml:space="preserve"> https://www.nice.org.uk/advice/ktt18.</w:t>
      </w:r>
    </w:p>
    <w:p w14:paraId="05F7E913" w14:textId="55DD4485" w:rsidR="001E7A17" w:rsidRPr="001E7A17" w:rsidRDefault="001E7A17" w:rsidP="001E7A17">
      <w:pPr>
        <w:widowControl w:val="0"/>
        <w:ind w:left="640" w:hanging="640"/>
        <w:rPr>
          <w:noProof/>
          <w:sz w:val="24"/>
          <w:szCs w:val="24"/>
        </w:rPr>
      </w:pPr>
      <w:r w:rsidRPr="001E7A17">
        <w:rPr>
          <w:noProof/>
          <w:sz w:val="24"/>
          <w:szCs w:val="24"/>
        </w:rPr>
        <w:t xml:space="preserve">55. </w:t>
      </w:r>
      <w:r w:rsidRPr="001E7A17">
        <w:rPr>
          <w:noProof/>
          <w:sz w:val="24"/>
          <w:szCs w:val="24"/>
        </w:rPr>
        <w:tab/>
        <w:t>Peiffer-Smadja N, Rawson TM, Ahmad R, et al. Machine learning for clinical decision support in infectious diseases: a narrative review of current applications. Clin. M</w:t>
      </w:r>
      <w:r w:rsidRPr="001D7334">
        <w:rPr>
          <w:noProof/>
          <w:sz w:val="24"/>
          <w:szCs w:val="24"/>
        </w:rPr>
        <w:t xml:space="preserve">icrobiol. Infect. </w:t>
      </w:r>
      <w:r w:rsidRPr="001D7334">
        <w:rPr>
          <w:b/>
          <w:bCs/>
          <w:noProof/>
          <w:sz w:val="24"/>
          <w:szCs w:val="24"/>
        </w:rPr>
        <w:t>2019</w:t>
      </w:r>
      <w:r w:rsidRPr="001D7334">
        <w:rPr>
          <w:noProof/>
          <w:sz w:val="24"/>
          <w:szCs w:val="24"/>
        </w:rPr>
        <w:t>;</w:t>
      </w:r>
      <w:r w:rsidR="003C3C90" w:rsidRPr="001D7334">
        <w:rPr>
          <w:noProof/>
          <w:sz w:val="24"/>
          <w:szCs w:val="24"/>
        </w:rPr>
        <w:t xml:space="preserve"> [Epub ahead of print] </w:t>
      </w:r>
      <w:r w:rsidR="001D7334" w:rsidRPr="001D7334">
        <w:rPr>
          <w:color w:val="000000"/>
          <w:sz w:val="24"/>
          <w:szCs w:val="24"/>
          <w:shd w:val="clear" w:color="auto" w:fill="FFFFFF"/>
        </w:rPr>
        <w:t> doi: 10.1016/j.cmi.2019.09.009.</w:t>
      </w:r>
      <w:r w:rsidRPr="001D7334">
        <w:rPr>
          <w:noProof/>
          <w:sz w:val="24"/>
          <w:szCs w:val="24"/>
        </w:rPr>
        <w:t xml:space="preserve"> </w:t>
      </w:r>
    </w:p>
    <w:p w14:paraId="12B5367A" w14:textId="37D56B08" w:rsidR="001E7A17" w:rsidRPr="001E7A17" w:rsidRDefault="001E7A17" w:rsidP="001E7A17">
      <w:pPr>
        <w:widowControl w:val="0"/>
        <w:ind w:left="640" w:hanging="640"/>
        <w:rPr>
          <w:noProof/>
          <w:sz w:val="24"/>
          <w:szCs w:val="24"/>
        </w:rPr>
      </w:pPr>
      <w:r w:rsidRPr="001E7A17">
        <w:rPr>
          <w:noProof/>
          <w:sz w:val="24"/>
          <w:szCs w:val="24"/>
        </w:rPr>
        <w:t xml:space="preserve">56. </w:t>
      </w:r>
      <w:r w:rsidRPr="001E7A17">
        <w:rPr>
          <w:noProof/>
          <w:sz w:val="24"/>
          <w:szCs w:val="24"/>
        </w:rPr>
        <w:tab/>
        <w:t xml:space="preserve">Paul M, Andreassen S, Tacconelli E, et al. Improving empirical antibiotic treatment using TREAT, a computerized decision support system: cluster randomized trial. J Antimicrob Chemother </w:t>
      </w:r>
      <w:r w:rsidRPr="001E7A17">
        <w:rPr>
          <w:b/>
          <w:bCs/>
          <w:noProof/>
          <w:sz w:val="24"/>
          <w:szCs w:val="24"/>
        </w:rPr>
        <w:t>2006</w:t>
      </w:r>
      <w:r w:rsidRPr="001E7A17">
        <w:rPr>
          <w:noProof/>
          <w:sz w:val="24"/>
          <w:szCs w:val="24"/>
        </w:rPr>
        <w:t xml:space="preserve">; 58:1238–1245. </w:t>
      </w:r>
    </w:p>
    <w:p w14:paraId="4CF79F1E" w14:textId="1177F21E" w:rsidR="001E7A17" w:rsidRPr="001E7A17" w:rsidRDefault="001E7A17" w:rsidP="001E7A17">
      <w:pPr>
        <w:widowControl w:val="0"/>
        <w:ind w:left="640" w:hanging="640"/>
        <w:rPr>
          <w:noProof/>
          <w:sz w:val="24"/>
        </w:rPr>
      </w:pPr>
      <w:r w:rsidRPr="001E7A17">
        <w:rPr>
          <w:noProof/>
          <w:sz w:val="24"/>
          <w:szCs w:val="24"/>
        </w:rPr>
        <w:t xml:space="preserve">57. </w:t>
      </w:r>
      <w:r w:rsidRPr="001E7A17">
        <w:rPr>
          <w:noProof/>
          <w:sz w:val="24"/>
          <w:szCs w:val="24"/>
        </w:rPr>
        <w:tab/>
        <w:t xml:space="preserve">Daly R, Shen Q, Aitken S. Learning Bayesian networks: approaches and issues. Knowl Eng Rev </w:t>
      </w:r>
      <w:r w:rsidRPr="001E7A17">
        <w:rPr>
          <w:b/>
          <w:bCs/>
          <w:noProof/>
          <w:sz w:val="24"/>
          <w:szCs w:val="24"/>
        </w:rPr>
        <w:t>2011</w:t>
      </w:r>
      <w:r w:rsidRPr="001E7A17">
        <w:rPr>
          <w:noProof/>
          <w:sz w:val="24"/>
          <w:szCs w:val="24"/>
        </w:rPr>
        <w:t xml:space="preserve">; 26:99–157. </w:t>
      </w:r>
    </w:p>
    <w:p w14:paraId="6BBFF8CA" w14:textId="1EEE2432" w:rsidR="0011549D" w:rsidRPr="00B57118" w:rsidRDefault="0011549D" w:rsidP="00FE18FB">
      <w:pPr>
        <w:widowControl w:val="0"/>
        <w:spacing w:line="276" w:lineRule="auto"/>
        <w:rPr>
          <w:b/>
          <w:sz w:val="24"/>
          <w:szCs w:val="24"/>
        </w:rPr>
        <w:sectPr w:rsidR="0011549D" w:rsidRPr="00B57118" w:rsidSect="007B595B">
          <w:pgSz w:w="11906" w:h="16838"/>
          <w:pgMar w:top="1440" w:right="1440" w:bottom="1440" w:left="1440" w:header="709" w:footer="709" w:gutter="0"/>
          <w:cols w:space="708"/>
          <w:docGrid w:linePitch="360"/>
        </w:sectPr>
      </w:pPr>
      <w:r>
        <w:rPr>
          <w:b/>
          <w:sz w:val="24"/>
          <w:szCs w:val="24"/>
        </w:rPr>
        <w:fldChar w:fldCharType="end"/>
      </w:r>
    </w:p>
    <w:p w14:paraId="6FDB3B26" w14:textId="016C071C" w:rsidR="0066786E" w:rsidRPr="0044562D" w:rsidRDefault="0066786E" w:rsidP="0066786E">
      <w:pPr>
        <w:rPr>
          <w:sz w:val="24"/>
          <w:szCs w:val="24"/>
        </w:rPr>
      </w:pPr>
      <w:r w:rsidRPr="0044562D">
        <w:rPr>
          <w:b/>
          <w:sz w:val="24"/>
          <w:szCs w:val="24"/>
        </w:rPr>
        <w:lastRenderedPageBreak/>
        <w:t xml:space="preserve">Table </w:t>
      </w:r>
      <w:r w:rsidR="00E55BF7" w:rsidRPr="0044562D">
        <w:rPr>
          <w:b/>
          <w:sz w:val="24"/>
          <w:szCs w:val="24"/>
        </w:rPr>
        <w:t>1</w:t>
      </w:r>
      <w:r w:rsidRPr="0044562D">
        <w:rPr>
          <w:b/>
          <w:sz w:val="24"/>
          <w:szCs w:val="24"/>
        </w:rPr>
        <w:t>.</w:t>
      </w:r>
      <w:r w:rsidRPr="0044562D">
        <w:rPr>
          <w:sz w:val="24"/>
          <w:szCs w:val="24"/>
        </w:rPr>
        <w:t xml:space="preserve"> Variables used within the clinical decision support system for antimicrobial selection.</w:t>
      </w:r>
    </w:p>
    <w:p w14:paraId="487924D4" w14:textId="77777777" w:rsidR="0066786E" w:rsidRDefault="0066786E" w:rsidP="0066786E">
      <w:r>
        <w:t xml:space="preserve"> </w:t>
      </w:r>
    </w:p>
    <w:tbl>
      <w:tblPr>
        <w:tblStyle w:val="PlainTable5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17"/>
        <w:gridCol w:w="1544"/>
        <w:gridCol w:w="1443"/>
        <w:gridCol w:w="1309"/>
        <w:gridCol w:w="1780"/>
        <w:gridCol w:w="1303"/>
      </w:tblGrid>
      <w:tr w:rsidR="0066786E" w14:paraId="6A5873F4" w14:textId="77777777" w:rsidTr="00506E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3" w:type="dxa"/>
            <w:tcBorders>
              <w:top w:val="single" w:sz="12" w:space="0" w:color="auto"/>
              <w:bottom w:val="single" w:sz="8" w:space="0" w:color="auto"/>
            </w:tcBorders>
            <w:vAlign w:val="center"/>
          </w:tcPr>
          <w:p w14:paraId="6A86B4F3" w14:textId="77777777" w:rsidR="0066786E" w:rsidRPr="00B618BB" w:rsidRDefault="0066786E" w:rsidP="00506E30">
            <w:pPr>
              <w:jc w:val="center"/>
              <w:rPr>
                <w:b/>
                <w:i w:val="0"/>
              </w:rPr>
            </w:pPr>
            <w:bookmarkStart w:id="1" w:name="_Hlk505956998"/>
            <w:r w:rsidRPr="00B618BB">
              <w:rPr>
                <w:b/>
                <w:i w:val="0"/>
              </w:rPr>
              <w:t>Category</w:t>
            </w:r>
          </w:p>
        </w:tc>
        <w:tc>
          <w:tcPr>
            <w:tcW w:w="1597" w:type="dxa"/>
            <w:tcBorders>
              <w:top w:val="single" w:sz="12" w:space="0" w:color="auto"/>
              <w:bottom w:val="single" w:sz="8" w:space="0" w:color="auto"/>
            </w:tcBorders>
            <w:vAlign w:val="center"/>
          </w:tcPr>
          <w:p w14:paraId="4CD8C99C" w14:textId="77777777" w:rsidR="0066786E" w:rsidRPr="00B618BB" w:rsidRDefault="0066786E" w:rsidP="00506E30">
            <w:pPr>
              <w:jc w:val="center"/>
              <w:cnfStyle w:val="100000000000" w:firstRow="1" w:lastRow="0" w:firstColumn="0" w:lastColumn="0" w:oddVBand="0" w:evenVBand="0" w:oddHBand="0" w:evenHBand="0" w:firstRowFirstColumn="0" w:firstRowLastColumn="0" w:lastRowFirstColumn="0" w:lastRowLastColumn="0"/>
              <w:rPr>
                <w:b/>
                <w:i w:val="0"/>
              </w:rPr>
            </w:pPr>
            <w:r w:rsidRPr="00B618BB">
              <w:rPr>
                <w:b/>
                <w:i w:val="0"/>
              </w:rPr>
              <w:t>Variable</w:t>
            </w:r>
          </w:p>
        </w:tc>
        <w:tc>
          <w:tcPr>
            <w:tcW w:w="1494" w:type="dxa"/>
            <w:tcBorders>
              <w:top w:val="single" w:sz="12" w:space="0" w:color="auto"/>
              <w:bottom w:val="single" w:sz="8" w:space="0" w:color="auto"/>
            </w:tcBorders>
            <w:vAlign w:val="center"/>
          </w:tcPr>
          <w:p w14:paraId="33BB3EC3" w14:textId="77777777" w:rsidR="0066786E" w:rsidRPr="00B618BB" w:rsidRDefault="0066786E" w:rsidP="00506E30">
            <w:pPr>
              <w:jc w:val="center"/>
              <w:cnfStyle w:val="100000000000" w:firstRow="1" w:lastRow="0" w:firstColumn="0" w:lastColumn="0" w:oddVBand="0" w:evenVBand="0" w:oddHBand="0" w:evenHBand="0" w:firstRowFirstColumn="0" w:firstRowLastColumn="0" w:lastRowFirstColumn="0" w:lastRowLastColumn="0"/>
              <w:rPr>
                <w:b/>
                <w:i w:val="0"/>
              </w:rPr>
            </w:pPr>
            <w:r w:rsidRPr="00B618BB">
              <w:rPr>
                <w:b/>
                <w:i w:val="0"/>
              </w:rPr>
              <w:t>Data type</w:t>
            </w:r>
          </w:p>
        </w:tc>
        <w:tc>
          <w:tcPr>
            <w:tcW w:w="1348" w:type="dxa"/>
            <w:tcBorders>
              <w:top w:val="single" w:sz="12" w:space="0" w:color="auto"/>
              <w:bottom w:val="single" w:sz="8" w:space="0" w:color="auto"/>
            </w:tcBorders>
            <w:vAlign w:val="center"/>
          </w:tcPr>
          <w:p w14:paraId="3163978E" w14:textId="77777777" w:rsidR="0066786E" w:rsidRPr="00B618BB" w:rsidRDefault="0066786E" w:rsidP="00506E30">
            <w:pPr>
              <w:jc w:val="center"/>
              <w:cnfStyle w:val="100000000000" w:firstRow="1" w:lastRow="0" w:firstColumn="0" w:lastColumn="0" w:oddVBand="0" w:evenVBand="0" w:oddHBand="0" w:evenHBand="0" w:firstRowFirstColumn="0" w:firstRowLastColumn="0" w:lastRowFirstColumn="0" w:lastRowLastColumn="0"/>
              <w:rPr>
                <w:b/>
                <w:i w:val="0"/>
              </w:rPr>
            </w:pPr>
            <w:r w:rsidRPr="00B618BB">
              <w:rPr>
                <w:b/>
                <w:i w:val="0"/>
              </w:rPr>
              <w:t>Currently available in CDSS</w:t>
            </w:r>
          </w:p>
        </w:tc>
        <w:tc>
          <w:tcPr>
            <w:tcW w:w="1826" w:type="dxa"/>
            <w:tcBorders>
              <w:top w:val="single" w:sz="12" w:space="0" w:color="auto"/>
              <w:bottom w:val="single" w:sz="8" w:space="0" w:color="auto"/>
            </w:tcBorders>
            <w:vAlign w:val="center"/>
          </w:tcPr>
          <w:p w14:paraId="54B9FED2" w14:textId="77777777" w:rsidR="0066786E" w:rsidRPr="00B618BB" w:rsidRDefault="0066786E" w:rsidP="00506E30">
            <w:pPr>
              <w:jc w:val="center"/>
              <w:cnfStyle w:val="100000000000" w:firstRow="1" w:lastRow="0" w:firstColumn="0" w:lastColumn="0" w:oddVBand="0" w:evenVBand="0" w:oddHBand="0" w:evenHBand="0" w:firstRowFirstColumn="0" w:firstRowLastColumn="0" w:lastRowFirstColumn="0" w:lastRowLastColumn="0"/>
              <w:rPr>
                <w:b/>
                <w:i w:val="0"/>
              </w:rPr>
            </w:pPr>
            <w:r>
              <w:rPr>
                <w:b/>
                <w:i w:val="0"/>
              </w:rPr>
              <w:t xml:space="preserve">Label / </w:t>
            </w:r>
            <w:r w:rsidRPr="00B618BB">
              <w:rPr>
                <w:b/>
                <w:i w:val="0"/>
              </w:rPr>
              <w:t>Range</w:t>
            </w:r>
          </w:p>
        </w:tc>
        <w:tc>
          <w:tcPr>
            <w:tcW w:w="1354" w:type="dxa"/>
            <w:tcBorders>
              <w:top w:val="single" w:sz="12" w:space="0" w:color="auto"/>
              <w:bottom w:val="single" w:sz="8" w:space="0" w:color="auto"/>
            </w:tcBorders>
            <w:vAlign w:val="center"/>
          </w:tcPr>
          <w:p w14:paraId="7E71AF21" w14:textId="77777777" w:rsidR="0066786E" w:rsidRPr="00B618BB" w:rsidRDefault="0066786E" w:rsidP="00506E30">
            <w:pPr>
              <w:jc w:val="center"/>
              <w:cnfStyle w:val="100000000000" w:firstRow="1" w:lastRow="0" w:firstColumn="0" w:lastColumn="0" w:oddVBand="0" w:evenVBand="0" w:oddHBand="0" w:evenHBand="0" w:firstRowFirstColumn="0" w:firstRowLastColumn="0" w:lastRowFirstColumn="0" w:lastRowLastColumn="0"/>
              <w:rPr>
                <w:b/>
                <w:i w:val="0"/>
              </w:rPr>
            </w:pPr>
            <w:r w:rsidRPr="00B618BB">
              <w:rPr>
                <w:b/>
                <w:i w:val="0"/>
              </w:rPr>
              <w:t>Included</w:t>
            </w:r>
          </w:p>
        </w:tc>
      </w:tr>
      <w:tr w:rsidR="0066786E" w14:paraId="641EAD35"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auto"/>
            </w:tcBorders>
            <w:vAlign w:val="center"/>
          </w:tcPr>
          <w:p w14:paraId="5E65584A" w14:textId="77777777" w:rsidR="0066786E" w:rsidRPr="003D1094" w:rsidRDefault="0066786E" w:rsidP="00506E30">
            <w:pPr>
              <w:rPr>
                <w:b/>
              </w:rPr>
            </w:pPr>
            <w:r w:rsidRPr="003D1094">
              <w:rPr>
                <w:b/>
              </w:rPr>
              <w:t>Patient information</w:t>
            </w:r>
          </w:p>
        </w:tc>
        <w:tc>
          <w:tcPr>
            <w:tcW w:w="1597" w:type="dxa"/>
            <w:tcBorders>
              <w:top w:val="single" w:sz="8" w:space="0" w:color="auto"/>
            </w:tcBorders>
            <w:vAlign w:val="center"/>
          </w:tcPr>
          <w:p w14:paraId="70F90A5D"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3D1094">
              <w:rPr>
                <w:sz w:val="18"/>
                <w:szCs w:val="18"/>
              </w:rPr>
              <w:t>Age</w:t>
            </w:r>
          </w:p>
        </w:tc>
        <w:tc>
          <w:tcPr>
            <w:tcW w:w="1494" w:type="dxa"/>
            <w:tcBorders>
              <w:top w:val="single" w:sz="8" w:space="0" w:color="auto"/>
            </w:tcBorders>
            <w:vAlign w:val="center"/>
          </w:tcPr>
          <w:p w14:paraId="1D0F78D0"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Extract</w:t>
            </w:r>
          </w:p>
        </w:tc>
        <w:tc>
          <w:tcPr>
            <w:tcW w:w="1348" w:type="dxa"/>
            <w:tcBorders>
              <w:top w:val="single" w:sz="8" w:space="0" w:color="auto"/>
            </w:tcBorders>
            <w:vAlign w:val="center"/>
          </w:tcPr>
          <w:p w14:paraId="759A941C"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tcBorders>
              <w:top w:val="single" w:sz="8" w:space="0" w:color="auto"/>
            </w:tcBorders>
            <w:vAlign w:val="center"/>
          </w:tcPr>
          <w:p w14:paraId="4630DA20"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0-110</w:t>
            </w:r>
          </w:p>
        </w:tc>
        <w:tc>
          <w:tcPr>
            <w:tcW w:w="1354" w:type="dxa"/>
            <w:tcBorders>
              <w:top w:val="single" w:sz="8" w:space="0" w:color="auto"/>
            </w:tcBorders>
            <w:vAlign w:val="center"/>
          </w:tcPr>
          <w:p w14:paraId="5B2CE374"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Yes </w:t>
            </w:r>
          </w:p>
        </w:tc>
      </w:tr>
      <w:tr w:rsidR="0066786E" w14:paraId="26794DEB" w14:textId="77777777" w:rsidTr="00506E30">
        <w:tc>
          <w:tcPr>
            <w:cnfStyle w:val="001000000000" w:firstRow="0" w:lastRow="0" w:firstColumn="1" w:lastColumn="0" w:oddVBand="0" w:evenVBand="0" w:oddHBand="0" w:evenHBand="0" w:firstRowFirstColumn="0" w:firstRowLastColumn="0" w:lastRowFirstColumn="0" w:lastRowLastColumn="0"/>
            <w:tcW w:w="1623" w:type="dxa"/>
            <w:vAlign w:val="center"/>
          </w:tcPr>
          <w:p w14:paraId="07E7C2D1" w14:textId="77777777" w:rsidR="0066786E" w:rsidRDefault="0066786E" w:rsidP="00506E30"/>
        </w:tc>
        <w:tc>
          <w:tcPr>
            <w:tcW w:w="1597" w:type="dxa"/>
            <w:vAlign w:val="center"/>
          </w:tcPr>
          <w:p w14:paraId="6129895E"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3D1094">
              <w:rPr>
                <w:sz w:val="18"/>
                <w:szCs w:val="18"/>
              </w:rPr>
              <w:t>Gender</w:t>
            </w:r>
          </w:p>
        </w:tc>
        <w:tc>
          <w:tcPr>
            <w:tcW w:w="1494" w:type="dxa"/>
            <w:vAlign w:val="center"/>
          </w:tcPr>
          <w:p w14:paraId="1187B2E5"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Extract</w:t>
            </w:r>
          </w:p>
        </w:tc>
        <w:tc>
          <w:tcPr>
            <w:tcW w:w="1348" w:type="dxa"/>
            <w:vAlign w:val="center"/>
          </w:tcPr>
          <w:p w14:paraId="1DE6A335"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vAlign w:val="center"/>
          </w:tcPr>
          <w:p w14:paraId="340FDB95"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Male / Female</w:t>
            </w:r>
          </w:p>
        </w:tc>
        <w:tc>
          <w:tcPr>
            <w:tcW w:w="1354" w:type="dxa"/>
            <w:vAlign w:val="center"/>
          </w:tcPr>
          <w:p w14:paraId="5F67A6DD"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66786E" w14:paraId="0B2B77EE"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16AEFDDA" w14:textId="77777777" w:rsidR="0066786E" w:rsidRDefault="0066786E" w:rsidP="00506E30"/>
        </w:tc>
        <w:tc>
          <w:tcPr>
            <w:tcW w:w="1597" w:type="dxa"/>
            <w:vAlign w:val="center"/>
          </w:tcPr>
          <w:p w14:paraId="524D40A1"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3D1094">
              <w:rPr>
                <w:sz w:val="18"/>
                <w:szCs w:val="18"/>
              </w:rPr>
              <w:t>Ethnicity</w:t>
            </w:r>
          </w:p>
        </w:tc>
        <w:tc>
          <w:tcPr>
            <w:tcW w:w="1494" w:type="dxa"/>
            <w:vAlign w:val="center"/>
          </w:tcPr>
          <w:p w14:paraId="78B52F4F"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Extract</w:t>
            </w:r>
          </w:p>
        </w:tc>
        <w:tc>
          <w:tcPr>
            <w:tcW w:w="1348" w:type="dxa"/>
            <w:vAlign w:val="center"/>
          </w:tcPr>
          <w:p w14:paraId="59E4ED32"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vAlign w:val="center"/>
          </w:tcPr>
          <w:p w14:paraId="3E6C8EFA"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&lt;String&gt;</w:t>
            </w:r>
          </w:p>
        </w:tc>
        <w:tc>
          <w:tcPr>
            <w:tcW w:w="1354" w:type="dxa"/>
            <w:vAlign w:val="center"/>
          </w:tcPr>
          <w:p w14:paraId="65B5D14E"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t>
            </w:r>
          </w:p>
        </w:tc>
      </w:tr>
      <w:tr w:rsidR="0066786E" w14:paraId="56AB0238" w14:textId="77777777" w:rsidTr="00506E30">
        <w:tc>
          <w:tcPr>
            <w:cnfStyle w:val="001000000000" w:firstRow="0" w:lastRow="0" w:firstColumn="1" w:lastColumn="0" w:oddVBand="0" w:evenVBand="0" w:oddHBand="0" w:evenHBand="0" w:firstRowFirstColumn="0" w:firstRowLastColumn="0" w:lastRowFirstColumn="0" w:lastRowLastColumn="0"/>
            <w:tcW w:w="1623" w:type="dxa"/>
            <w:vAlign w:val="center"/>
          </w:tcPr>
          <w:p w14:paraId="1DA489BB" w14:textId="77777777" w:rsidR="0066786E" w:rsidRDefault="0066786E" w:rsidP="00506E30"/>
        </w:tc>
        <w:tc>
          <w:tcPr>
            <w:tcW w:w="1597" w:type="dxa"/>
            <w:vAlign w:val="center"/>
          </w:tcPr>
          <w:p w14:paraId="4C447B1D"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3D1094">
              <w:rPr>
                <w:sz w:val="18"/>
                <w:szCs w:val="18"/>
              </w:rPr>
              <w:t>Name</w:t>
            </w:r>
          </w:p>
        </w:tc>
        <w:tc>
          <w:tcPr>
            <w:tcW w:w="1494" w:type="dxa"/>
            <w:vAlign w:val="center"/>
          </w:tcPr>
          <w:p w14:paraId="7A33D981"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Extract</w:t>
            </w:r>
          </w:p>
        </w:tc>
        <w:tc>
          <w:tcPr>
            <w:tcW w:w="1348" w:type="dxa"/>
            <w:vAlign w:val="center"/>
          </w:tcPr>
          <w:p w14:paraId="322C1F21"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vAlign w:val="center"/>
          </w:tcPr>
          <w:p w14:paraId="61B2F2CD"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&lt;String&gt;</w:t>
            </w:r>
          </w:p>
        </w:tc>
        <w:tc>
          <w:tcPr>
            <w:tcW w:w="1354" w:type="dxa"/>
            <w:vAlign w:val="center"/>
          </w:tcPr>
          <w:p w14:paraId="29199D0F"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66786E" w14:paraId="4CFA8FC2"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7980F9E7" w14:textId="77777777" w:rsidR="0066786E" w:rsidRDefault="0066786E" w:rsidP="00506E30"/>
        </w:tc>
        <w:tc>
          <w:tcPr>
            <w:tcW w:w="1597" w:type="dxa"/>
            <w:vAlign w:val="center"/>
          </w:tcPr>
          <w:p w14:paraId="640011C5"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3D1094">
              <w:rPr>
                <w:sz w:val="18"/>
                <w:szCs w:val="18"/>
              </w:rPr>
              <w:t>Admission date</w:t>
            </w:r>
          </w:p>
        </w:tc>
        <w:tc>
          <w:tcPr>
            <w:tcW w:w="1494" w:type="dxa"/>
            <w:vAlign w:val="center"/>
          </w:tcPr>
          <w:p w14:paraId="71B6A055"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Extract</w:t>
            </w:r>
          </w:p>
        </w:tc>
        <w:tc>
          <w:tcPr>
            <w:tcW w:w="1348" w:type="dxa"/>
            <w:vAlign w:val="center"/>
          </w:tcPr>
          <w:p w14:paraId="0631E10E"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vAlign w:val="center"/>
          </w:tcPr>
          <w:p w14:paraId="42939972"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DD/MM/YYYY</w:t>
            </w:r>
          </w:p>
        </w:tc>
        <w:tc>
          <w:tcPr>
            <w:tcW w:w="1354" w:type="dxa"/>
            <w:vAlign w:val="center"/>
          </w:tcPr>
          <w:p w14:paraId="33728F91"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66786E" w14:paraId="210B54C7" w14:textId="77777777" w:rsidTr="00506E30">
        <w:tc>
          <w:tcPr>
            <w:cnfStyle w:val="001000000000" w:firstRow="0" w:lastRow="0" w:firstColumn="1" w:lastColumn="0" w:oddVBand="0" w:evenVBand="0" w:oddHBand="0" w:evenHBand="0" w:firstRowFirstColumn="0" w:firstRowLastColumn="0" w:lastRowFirstColumn="0" w:lastRowLastColumn="0"/>
            <w:tcW w:w="1623" w:type="dxa"/>
            <w:tcBorders>
              <w:bottom w:val="nil"/>
            </w:tcBorders>
            <w:vAlign w:val="center"/>
          </w:tcPr>
          <w:p w14:paraId="4369D666" w14:textId="77777777" w:rsidR="0066786E" w:rsidRDefault="0066786E" w:rsidP="00506E30"/>
        </w:tc>
        <w:tc>
          <w:tcPr>
            <w:tcW w:w="1597" w:type="dxa"/>
            <w:tcBorders>
              <w:bottom w:val="nil"/>
            </w:tcBorders>
            <w:vAlign w:val="center"/>
          </w:tcPr>
          <w:p w14:paraId="4E52E77D"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3D1094">
              <w:rPr>
                <w:sz w:val="18"/>
                <w:szCs w:val="18"/>
              </w:rPr>
              <w:t>Current date</w:t>
            </w:r>
          </w:p>
        </w:tc>
        <w:tc>
          <w:tcPr>
            <w:tcW w:w="1494" w:type="dxa"/>
            <w:tcBorders>
              <w:bottom w:val="nil"/>
            </w:tcBorders>
            <w:vAlign w:val="center"/>
          </w:tcPr>
          <w:p w14:paraId="5D87777B"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Extract</w:t>
            </w:r>
          </w:p>
        </w:tc>
        <w:tc>
          <w:tcPr>
            <w:tcW w:w="1348" w:type="dxa"/>
            <w:tcBorders>
              <w:bottom w:val="nil"/>
            </w:tcBorders>
            <w:vAlign w:val="center"/>
          </w:tcPr>
          <w:p w14:paraId="30FF980E"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tcBorders>
              <w:bottom w:val="nil"/>
            </w:tcBorders>
            <w:vAlign w:val="center"/>
          </w:tcPr>
          <w:p w14:paraId="587919EA"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DD/MM/YYYY</w:t>
            </w:r>
          </w:p>
        </w:tc>
        <w:tc>
          <w:tcPr>
            <w:tcW w:w="1354" w:type="dxa"/>
            <w:tcBorders>
              <w:bottom w:val="nil"/>
            </w:tcBorders>
            <w:vAlign w:val="center"/>
          </w:tcPr>
          <w:p w14:paraId="38E41521"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66786E" w14:paraId="22D0F396"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Borders>
              <w:top w:val="nil"/>
              <w:bottom w:val="single" w:sz="8" w:space="0" w:color="auto"/>
            </w:tcBorders>
            <w:vAlign w:val="center"/>
          </w:tcPr>
          <w:p w14:paraId="4AC01C33" w14:textId="77777777" w:rsidR="0066786E" w:rsidRDefault="0066786E" w:rsidP="00506E30"/>
        </w:tc>
        <w:tc>
          <w:tcPr>
            <w:tcW w:w="1597" w:type="dxa"/>
            <w:tcBorders>
              <w:top w:val="nil"/>
              <w:bottom w:val="single" w:sz="8" w:space="0" w:color="auto"/>
            </w:tcBorders>
            <w:vAlign w:val="center"/>
          </w:tcPr>
          <w:p w14:paraId="4706BC6D"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Allergies</w:t>
            </w:r>
          </w:p>
        </w:tc>
        <w:tc>
          <w:tcPr>
            <w:tcW w:w="1494" w:type="dxa"/>
            <w:tcBorders>
              <w:top w:val="nil"/>
              <w:bottom w:val="single" w:sz="8" w:space="0" w:color="auto"/>
            </w:tcBorders>
            <w:vAlign w:val="center"/>
          </w:tcPr>
          <w:p w14:paraId="68776AA7"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Drop down OR</w:t>
            </w:r>
          </w:p>
          <w:p w14:paraId="48436654"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Free text</w:t>
            </w:r>
          </w:p>
        </w:tc>
        <w:tc>
          <w:tcPr>
            <w:tcW w:w="1348" w:type="dxa"/>
            <w:tcBorders>
              <w:top w:val="nil"/>
              <w:bottom w:val="single" w:sz="8" w:space="0" w:color="auto"/>
            </w:tcBorders>
            <w:vAlign w:val="center"/>
          </w:tcPr>
          <w:p w14:paraId="5CB9804D"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tcBorders>
              <w:top w:val="nil"/>
              <w:bottom w:val="single" w:sz="8" w:space="0" w:color="auto"/>
            </w:tcBorders>
            <w:vAlign w:val="center"/>
          </w:tcPr>
          <w:p w14:paraId="537BF75E"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Antibiotic name</w:t>
            </w:r>
          </w:p>
          <w:p w14:paraId="55CDB27B"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&lt;String&gt;</w:t>
            </w:r>
          </w:p>
        </w:tc>
        <w:tc>
          <w:tcPr>
            <w:tcW w:w="1354" w:type="dxa"/>
            <w:tcBorders>
              <w:top w:val="nil"/>
              <w:bottom w:val="single" w:sz="8" w:space="0" w:color="auto"/>
            </w:tcBorders>
            <w:vAlign w:val="center"/>
          </w:tcPr>
          <w:p w14:paraId="4F44F0A6"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66786E" w14:paraId="1E8BE9C1" w14:textId="77777777" w:rsidTr="00506E30">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auto"/>
            </w:tcBorders>
            <w:vAlign w:val="center"/>
          </w:tcPr>
          <w:p w14:paraId="451D8ED1" w14:textId="77777777" w:rsidR="0066786E" w:rsidRPr="003D1094" w:rsidRDefault="0066786E" w:rsidP="00506E30">
            <w:pPr>
              <w:rPr>
                <w:b/>
              </w:rPr>
            </w:pPr>
            <w:r w:rsidRPr="003D1094">
              <w:rPr>
                <w:b/>
              </w:rPr>
              <w:t>Physiological parameters</w:t>
            </w:r>
          </w:p>
        </w:tc>
        <w:tc>
          <w:tcPr>
            <w:tcW w:w="1597" w:type="dxa"/>
            <w:tcBorders>
              <w:top w:val="single" w:sz="8" w:space="0" w:color="auto"/>
            </w:tcBorders>
            <w:vAlign w:val="center"/>
          </w:tcPr>
          <w:p w14:paraId="19FCD327"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Oxygen saturation</w:t>
            </w:r>
          </w:p>
        </w:tc>
        <w:tc>
          <w:tcPr>
            <w:tcW w:w="1494" w:type="dxa"/>
            <w:tcBorders>
              <w:top w:val="single" w:sz="8" w:space="0" w:color="auto"/>
            </w:tcBorders>
            <w:vAlign w:val="center"/>
          </w:tcPr>
          <w:p w14:paraId="133D2FE0"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Number</w:t>
            </w:r>
          </w:p>
        </w:tc>
        <w:tc>
          <w:tcPr>
            <w:tcW w:w="1348" w:type="dxa"/>
            <w:tcBorders>
              <w:top w:val="single" w:sz="8" w:space="0" w:color="auto"/>
            </w:tcBorders>
            <w:vAlign w:val="center"/>
          </w:tcPr>
          <w:p w14:paraId="2D625A66"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t>
            </w:r>
          </w:p>
        </w:tc>
        <w:tc>
          <w:tcPr>
            <w:tcW w:w="1826" w:type="dxa"/>
            <w:tcBorders>
              <w:top w:val="single" w:sz="8" w:space="0" w:color="auto"/>
            </w:tcBorders>
            <w:vAlign w:val="center"/>
          </w:tcPr>
          <w:p w14:paraId="3132D379"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0-100</w:t>
            </w:r>
          </w:p>
        </w:tc>
        <w:tc>
          <w:tcPr>
            <w:tcW w:w="1354" w:type="dxa"/>
            <w:tcBorders>
              <w:top w:val="single" w:sz="8" w:space="0" w:color="auto"/>
            </w:tcBorders>
            <w:vAlign w:val="center"/>
          </w:tcPr>
          <w:p w14:paraId="05E78953"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66786E" w14:paraId="079F1377"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78935838" w14:textId="77777777" w:rsidR="0066786E" w:rsidRPr="003D1094" w:rsidRDefault="0066786E" w:rsidP="00506E30">
            <w:pPr>
              <w:rPr>
                <w:b/>
              </w:rPr>
            </w:pPr>
          </w:p>
        </w:tc>
        <w:tc>
          <w:tcPr>
            <w:tcW w:w="1597" w:type="dxa"/>
            <w:vAlign w:val="center"/>
          </w:tcPr>
          <w:p w14:paraId="47AC44A5"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Temperature</w:t>
            </w:r>
          </w:p>
        </w:tc>
        <w:tc>
          <w:tcPr>
            <w:tcW w:w="1494" w:type="dxa"/>
            <w:vAlign w:val="center"/>
          </w:tcPr>
          <w:p w14:paraId="36D241C9"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Number</w:t>
            </w:r>
          </w:p>
        </w:tc>
        <w:tc>
          <w:tcPr>
            <w:tcW w:w="1348" w:type="dxa"/>
            <w:vAlign w:val="center"/>
          </w:tcPr>
          <w:p w14:paraId="3B329FAD"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vAlign w:val="center"/>
          </w:tcPr>
          <w:p w14:paraId="202479A7"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25-43</w:t>
            </w:r>
          </w:p>
        </w:tc>
        <w:tc>
          <w:tcPr>
            <w:tcW w:w="1354" w:type="dxa"/>
            <w:vAlign w:val="center"/>
          </w:tcPr>
          <w:p w14:paraId="325BD249"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66786E" w14:paraId="7D29F964" w14:textId="77777777" w:rsidTr="00506E30">
        <w:tc>
          <w:tcPr>
            <w:cnfStyle w:val="001000000000" w:firstRow="0" w:lastRow="0" w:firstColumn="1" w:lastColumn="0" w:oddVBand="0" w:evenVBand="0" w:oddHBand="0" w:evenHBand="0" w:firstRowFirstColumn="0" w:firstRowLastColumn="0" w:lastRowFirstColumn="0" w:lastRowLastColumn="0"/>
            <w:tcW w:w="1623" w:type="dxa"/>
            <w:vAlign w:val="center"/>
          </w:tcPr>
          <w:p w14:paraId="7CBA60A4" w14:textId="77777777" w:rsidR="0066786E" w:rsidRPr="003D1094" w:rsidRDefault="0066786E" w:rsidP="00506E30">
            <w:pPr>
              <w:rPr>
                <w:b/>
              </w:rPr>
            </w:pPr>
          </w:p>
        </w:tc>
        <w:tc>
          <w:tcPr>
            <w:tcW w:w="1597" w:type="dxa"/>
            <w:vAlign w:val="center"/>
          </w:tcPr>
          <w:p w14:paraId="151A7E6C"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Heart Rate</w:t>
            </w:r>
          </w:p>
        </w:tc>
        <w:tc>
          <w:tcPr>
            <w:tcW w:w="1494" w:type="dxa"/>
            <w:vAlign w:val="center"/>
          </w:tcPr>
          <w:p w14:paraId="3470BF0A"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Number</w:t>
            </w:r>
          </w:p>
        </w:tc>
        <w:tc>
          <w:tcPr>
            <w:tcW w:w="1348" w:type="dxa"/>
            <w:vAlign w:val="center"/>
          </w:tcPr>
          <w:p w14:paraId="645DB93F"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vAlign w:val="center"/>
          </w:tcPr>
          <w:p w14:paraId="7A98A530"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0-250</w:t>
            </w:r>
          </w:p>
        </w:tc>
        <w:tc>
          <w:tcPr>
            <w:tcW w:w="1354" w:type="dxa"/>
            <w:vAlign w:val="center"/>
          </w:tcPr>
          <w:p w14:paraId="4D061394"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66786E" w14:paraId="2AEF3CBE"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4E516F5B" w14:textId="77777777" w:rsidR="0066786E" w:rsidRPr="003D1094" w:rsidRDefault="0066786E" w:rsidP="00506E30">
            <w:pPr>
              <w:rPr>
                <w:b/>
              </w:rPr>
            </w:pPr>
          </w:p>
        </w:tc>
        <w:tc>
          <w:tcPr>
            <w:tcW w:w="1597" w:type="dxa"/>
            <w:vAlign w:val="center"/>
          </w:tcPr>
          <w:p w14:paraId="2529E3FB"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Blood Pressure</w:t>
            </w:r>
          </w:p>
        </w:tc>
        <w:tc>
          <w:tcPr>
            <w:tcW w:w="1494" w:type="dxa"/>
            <w:vAlign w:val="center"/>
          </w:tcPr>
          <w:p w14:paraId="531BD991"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Number</w:t>
            </w:r>
          </w:p>
        </w:tc>
        <w:tc>
          <w:tcPr>
            <w:tcW w:w="1348" w:type="dxa"/>
            <w:vAlign w:val="center"/>
          </w:tcPr>
          <w:p w14:paraId="6E767128"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vAlign w:val="center"/>
          </w:tcPr>
          <w:p w14:paraId="50DFF16F"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Systolic / 0-250</w:t>
            </w:r>
          </w:p>
          <w:p w14:paraId="3A3E0A5D"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Diastolic / 0-150</w:t>
            </w:r>
          </w:p>
        </w:tc>
        <w:tc>
          <w:tcPr>
            <w:tcW w:w="1354" w:type="dxa"/>
            <w:vAlign w:val="center"/>
          </w:tcPr>
          <w:p w14:paraId="79205FDB"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p w14:paraId="6A0A5F19"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t>
            </w:r>
          </w:p>
        </w:tc>
      </w:tr>
      <w:tr w:rsidR="0066786E" w14:paraId="57FD2829" w14:textId="77777777" w:rsidTr="00506E30">
        <w:tc>
          <w:tcPr>
            <w:cnfStyle w:val="001000000000" w:firstRow="0" w:lastRow="0" w:firstColumn="1" w:lastColumn="0" w:oddVBand="0" w:evenVBand="0" w:oddHBand="0" w:evenHBand="0" w:firstRowFirstColumn="0" w:firstRowLastColumn="0" w:lastRowFirstColumn="0" w:lastRowLastColumn="0"/>
            <w:tcW w:w="1623" w:type="dxa"/>
            <w:vAlign w:val="center"/>
          </w:tcPr>
          <w:p w14:paraId="36FA05C3" w14:textId="77777777" w:rsidR="0066786E" w:rsidRPr="003D1094" w:rsidRDefault="0066786E" w:rsidP="00506E30">
            <w:pPr>
              <w:rPr>
                <w:b/>
              </w:rPr>
            </w:pPr>
          </w:p>
        </w:tc>
        <w:tc>
          <w:tcPr>
            <w:tcW w:w="1597" w:type="dxa"/>
            <w:vAlign w:val="center"/>
          </w:tcPr>
          <w:p w14:paraId="30BBE148"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Respiratory Rate</w:t>
            </w:r>
          </w:p>
        </w:tc>
        <w:tc>
          <w:tcPr>
            <w:tcW w:w="1494" w:type="dxa"/>
            <w:vAlign w:val="center"/>
          </w:tcPr>
          <w:p w14:paraId="32BE6006"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Number</w:t>
            </w:r>
          </w:p>
        </w:tc>
        <w:tc>
          <w:tcPr>
            <w:tcW w:w="1348" w:type="dxa"/>
            <w:vAlign w:val="center"/>
          </w:tcPr>
          <w:p w14:paraId="4C7689FD"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vAlign w:val="center"/>
          </w:tcPr>
          <w:p w14:paraId="7A989782"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0-50</w:t>
            </w:r>
          </w:p>
        </w:tc>
        <w:tc>
          <w:tcPr>
            <w:tcW w:w="1354" w:type="dxa"/>
            <w:vAlign w:val="center"/>
          </w:tcPr>
          <w:p w14:paraId="4AF945F2"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66786E" w14:paraId="2F3F2102"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Borders>
              <w:bottom w:val="nil"/>
            </w:tcBorders>
            <w:vAlign w:val="center"/>
          </w:tcPr>
          <w:p w14:paraId="25FA7F2B" w14:textId="77777777" w:rsidR="0066786E" w:rsidRPr="003D1094" w:rsidRDefault="0066786E" w:rsidP="00506E30">
            <w:pPr>
              <w:rPr>
                <w:b/>
              </w:rPr>
            </w:pPr>
          </w:p>
        </w:tc>
        <w:tc>
          <w:tcPr>
            <w:tcW w:w="1597" w:type="dxa"/>
            <w:tcBorders>
              <w:bottom w:val="nil"/>
            </w:tcBorders>
            <w:vAlign w:val="center"/>
          </w:tcPr>
          <w:p w14:paraId="15ED5909"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Glasgow Coma Scale</w:t>
            </w:r>
          </w:p>
        </w:tc>
        <w:tc>
          <w:tcPr>
            <w:tcW w:w="1494" w:type="dxa"/>
            <w:tcBorders>
              <w:bottom w:val="nil"/>
            </w:tcBorders>
            <w:vAlign w:val="center"/>
          </w:tcPr>
          <w:p w14:paraId="4D7D5B87"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Number</w:t>
            </w:r>
          </w:p>
        </w:tc>
        <w:tc>
          <w:tcPr>
            <w:tcW w:w="1348" w:type="dxa"/>
            <w:tcBorders>
              <w:bottom w:val="nil"/>
            </w:tcBorders>
            <w:vAlign w:val="center"/>
          </w:tcPr>
          <w:p w14:paraId="5D2D18CB"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t>
            </w:r>
          </w:p>
        </w:tc>
        <w:tc>
          <w:tcPr>
            <w:tcW w:w="1826" w:type="dxa"/>
            <w:tcBorders>
              <w:bottom w:val="nil"/>
            </w:tcBorders>
            <w:vAlign w:val="center"/>
          </w:tcPr>
          <w:p w14:paraId="261CF9EA"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3-15</w:t>
            </w:r>
          </w:p>
        </w:tc>
        <w:tc>
          <w:tcPr>
            <w:tcW w:w="1354" w:type="dxa"/>
            <w:tcBorders>
              <w:bottom w:val="nil"/>
            </w:tcBorders>
            <w:vAlign w:val="center"/>
          </w:tcPr>
          <w:p w14:paraId="40AC5B80"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t>
            </w:r>
          </w:p>
        </w:tc>
      </w:tr>
      <w:tr w:rsidR="0066786E" w14:paraId="1FB713A0" w14:textId="77777777" w:rsidTr="00506E30">
        <w:tc>
          <w:tcPr>
            <w:cnfStyle w:val="001000000000" w:firstRow="0" w:lastRow="0" w:firstColumn="1" w:lastColumn="0" w:oddVBand="0" w:evenVBand="0" w:oddHBand="0" w:evenHBand="0" w:firstRowFirstColumn="0" w:firstRowLastColumn="0" w:lastRowFirstColumn="0" w:lastRowLastColumn="0"/>
            <w:tcW w:w="1623" w:type="dxa"/>
            <w:tcBorders>
              <w:top w:val="nil"/>
              <w:bottom w:val="single" w:sz="8" w:space="0" w:color="auto"/>
            </w:tcBorders>
            <w:vAlign w:val="center"/>
          </w:tcPr>
          <w:p w14:paraId="23E20599" w14:textId="77777777" w:rsidR="0066786E" w:rsidRPr="003D1094" w:rsidRDefault="0066786E" w:rsidP="00506E30">
            <w:pPr>
              <w:rPr>
                <w:b/>
              </w:rPr>
            </w:pPr>
          </w:p>
        </w:tc>
        <w:tc>
          <w:tcPr>
            <w:tcW w:w="1597" w:type="dxa"/>
            <w:tcBorders>
              <w:top w:val="nil"/>
              <w:bottom w:val="single" w:sz="8" w:space="0" w:color="auto"/>
            </w:tcBorders>
            <w:vAlign w:val="center"/>
          </w:tcPr>
          <w:p w14:paraId="30FD7714"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Fluid balance </w:t>
            </w:r>
          </w:p>
        </w:tc>
        <w:tc>
          <w:tcPr>
            <w:tcW w:w="1494" w:type="dxa"/>
            <w:tcBorders>
              <w:top w:val="nil"/>
              <w:bottom w:val="single" w:sz="8" w:space="0" w:color="auto"/>
            </w:tcBorders>
            <w:vAlign w:val="center"/>
          </w:tcPr>
          <w:p w14:paraId="06CE1276"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Number</w:t>
            </w:r>
          </w:p>
        </w:tc>
        <w:tc>
          <w:tcPr>
            <w:tcW w:w="1348" w:type="dxa"/>
            <w:tcBorders>
              <w:top w:val="nil"/>
              <w:bottom w:val="single" w:sz="8" w:space="0" w:color="auto"/>
            </w:tcBorders>
            <w:vAlign w:val="center"/>
          </w:tcPr>
          <w:p w14:paraId="2AA6E454"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t>
            </w:r>
          </w:p>
        </w:tc>
        <w:tc>
          <w:tcPr>
            <w:tcW w:w="1826" w:type="dxa"/>
            <w:tcBorders>
              <w:top w:val="nil"/>
              <w:bottom w:val="single" w:sz="8" w:space="0" w:color="auto"/>
            </w:tcBorders>
            <w:vAlign w:val="center"/>
          </w:tcPr>
          <w:p w14:paraId="5F922B7A"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-5000 - + 5000</w:t>
            </w:r>
          </w:p>
        </w:tc>
        <w:tc>
          <w:tcPr>
            <w:tcW w:w="1354" w:type="dxa"/>
            <w:tcBorders>
              <w:top w:val="nil"/>
              <w:bottom w:val="single" w:sz="8" w:space="0" w:color="auto"/>
            </w:tcBorders>
            <w:vAlign w:val="center"/>
          </w:tcPr>
          <w:p w14:paraId="059AD3AC"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t>
            </w:r>
          </w:p>
        </w:tc>
      </w:tr>
      <w:tr w:rsidR="0066786E" w14:paraId="1581F92B"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auto"/>
            </w:tcBorders>
            <w:vAlign w:val="center"/>
          </w:tcPr>
          <w:p w14:paraId="4D78A60F" w14:textId="77777777" w:rsidR="0066786E" w:rsidRPr="003D1094" w:rsidRDefault="0066786E" w:rsidP="00506E30">
            <w:pPr>
              <w:rPr>
                <w:b/>
              </w:rPr>
            </w:pPr>
            <w:r>
              <w:rPr>
                <w:b/>
              </w:rPr>
              <w:t>Localising infection</w:t>
            </w:r>
          </w:p>
        </w:tc>
        <w:tc>
          <w:tcPr>
            <w:tcW w:w="1597" w:type="dxa"/>
            <w:tcBorders>
              <w:top w:val="single" w:sz="8" w:space="0" w:color="auto"/>
            </w:tcBorders>
            <w:vAlign w:val="center"/>
          </w:tcPr>
          <w:p w14:paraId="28876B7C"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Clinical symptoms</w:t>
            </w:r>
          </w:p>
        </w:tc>
        <w:tc>
          <w:tcPr>
            <w:tcW w:w="1494" w:type="dxa"/>
            <w:tcBorders>
              <w:top w:val="single" w:sz="8" w:space="0" w:color="auto"/>
            </w:tcBorders>
            <w:vAlign w:val="center"/>
          </w:tcPr>
          <w:p w14:paraId="6E334C4F"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Free text</w:t>
            </w:r>
          </w:p>
        </w:tc>
        <w:tc>
          <w:tcPr>
            <w:tcW w:w="1348" w:type="dxa"/>
            <w:tcBorders>
              <w:top w:val="single" w:sz="8" w:space="0" w:color="auto"/>
            </w:tcBorders>
            <w:vAlign w:val="center"/>
          </w:tcPr>
          <w:p w14:paraId="410371DA"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t>
            </w:r>
          </w:p>
        </w:tc>
        <w:tc>
          <w:tcPr>
            <w:tcW w:w="1826" w:type="dxa"/>
            <w:tcBorders>
              <w:top w:val="single" w:sz="8" w:space="0" w:color="auto"/>
            </w:tcBorders>
            <w:vAlign w:val="center"/>
          </w:tcPr>
          <w:p w14:paraId="3C339B7A"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&lt;String&gt;</w:t>
            </w:r>
          </w:p>
        </w:tc>
        <w:tc>
          <w:tcPr>
            <w:tcW w:w="1354" w:type="dxa"/>
            <w:tcBorders>
              <w:top w:val="single" w:sz="8" w:space="0" w:color="auto"/>
            </w:tcBorders>
            <w:vAlign w:val="center"/>
          </w:tcPr>
          <w:p w14:paraId="22E064A6"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t>
            </w:r>
          </w:p>
        </w:tc>
      </w:tr>
      <w:tr w:rsidR="0066786E" w14:paraId="42CD91E0" w14:textId="77777777" w:rsidTr="00506E30">
        <w:tc>
          <w:tcPr>
            <w:cnfStyle w:val="001000000000" w:firstRow="0" w:lastRow="0" w:firstColumn="1" w:lastColumn="0" w:oddVBand="0" w:evenVBand="0" w:oddHBand="0" w:evenHBand="0" w:firstRowFirstColumn="0" w:firstRowLastColumn="0" w:lastRowFirstColumn="0" w:lastRowLastColumn="0"/>
            <w:tcW w:w="1623" w:type="dxa"/>
            <w:tcBorders>
              <w:bottom w:val="nil"/>
            </w:tcBorders>
            <w:vAlign w:val="center"/>
          </w:tcPr>
          <w:p w14:paraId="36409753" w14:textId="77777777" w:rsidR="0066786E" w:rsidRPr="003D1094" w:rsidRDefault="0066786E" w:rsidP="00506E30">
            <w:pPr>
              <w:rPr>
                <w:b/>
              </w:rPr>
            </w:pPr>
          </w:p>
        </w:tc>
        <w:tc>
          <w:tcPr>
            <w:tcW w:w="1597" w:type="dxa"/>
            <w:tcBorders>
              <w:bottom w:val="nil"/>
            </w:tcBorders>
            <w:vAlign w:val="center"/>
          </w:tcPr>
          <w:p w14:paraId="66FA2789"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Signs on examination</w:t>
            </w:r>
          </w:p>
        </w:tc>
        <w:tc>
          <w:tcPr>
            <w:tcW w:w="1494" w:type="dxa"/>
            <w:tcBorders>
              <w:bottom w:val="nil"/>
            </w:tcBorders>
            <w:vAlign w:val="center"/>
          </w:tcPr>
          <w:p w14:paraId="25CBB18D"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 down for:</w:t>
            </w:r>
          </w:p>
          <w:p w14:paraId="12672E97"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 </w:t>
            </w:r>
            <w:r w:rsidRPr="001A0F04">
              <w:rPr>
                <w:sz w:val="18"/>
                <w:szCs w:val="18"/>
              </w:rPr>
              <w:t>Chest auscultation</w:t>
            </w:r>
          </w:p>
          <w:p w14:paraId="1B730B75"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ii) Abdominal palpation</w:t>
            </w:r>
          </w:p>
          <w:p w14:paraId="278B4E9D" w14:textId="77777777" w:rsidR="0066786E" w:rsidRPr="001A0F0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iii) Heart sounds</w:t>
            </w:r>
          </w:p>
          <w:p w14:paraId="26539EF9"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p>
        </w:tc>
        <w:tc>
          <w:tcPr>
            <w:tcW w:w="1348" w:type="dxa"/>
            <w:tcBorders>
              <w:bottom w:val="nil"/>
            </w:tcBorders>
            <w:vAlign w:val="center"/>
          </w:tcPr>
          <w:p w14:paraId="71068A4D"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tcBorders>
              <w:bottom w:val="nil"/>
            </w:tcBorders>
            <w:vAlign w:val="center"/>
          </w:tcPr>
          <w:p w14:paraId="22F48FA1" w14:textId="77777777" w:rsidR="0066786E" w:rsidRDefault="0066786E" w:rsidP="0066786E">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Crackles / Crepitations / Dull / Clear / Wheeze</w:t>
            </w:r>
          </w:p>
          <w:p w14:paraId="1B36DD72" w14:textId="77777777" w:rsidR="0066786E" w:rsidRDefault="0066786E" w:rsidP="0066786E">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SNT / Tender / Rigid / Ascites</w:t>
            </w:r>
          </w:p>
          <w:p w14:paraId="22DA1C9B" w14:textId="77777777" w:rsidR="0066786E" w:rsidRPr="00B618BB" w:rsidRDefault="0066786E" w:rsidP="0066786E">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Normal / Murmur (new) / Murmur (old)</w:t>
            </w:r>
          </w:p>
        </w:tc>
        <w:tc>
          <w:tcPr>
            <w:tcW w:w="1354" w:type="dxa"/>
            <w:tcBorders>
              <w:bottom w:val="nil"/>
            </w:tcBorders>
            <w:vAlign w:val="center"/>
          </w:tcPr>
          <w:p w14:paraId="24883702"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p w14:paraId="18B31342"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p>
          <w:p w14:paraId="28F6820D"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p>
          <w:p w14:paraId="13E7F39C"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p>
          <w:p w14:paraId="447954B4"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p>
          <w:p w14:paraId="7DB35D98"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p w14:paraId="651A991C"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p>
          <w:p w14:paraId="4870C1FB"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p>
          <w:p w14:paraId="28CE88DC"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p>
          <w:p w14:paraId="16652F20"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t>
            </w:r>
          </w:p>
        </w:tc>
      </w:tr>
      <w:tr w:rsidR="0066786E" w14:paraId="1AB428C6"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Borders>
              <w:top w:val="nil"/>
              <w:bottom w:val="single" w:sz="8" w:space="0" w:color="auto"/>
            </w:tcBorders>
            <w:vAlign w:val="center"/>
          </w:tcPr>
          <w:p w14:paraId="63622181" w14:textId="77777777" w:rsidR="0066786E" w:rsidRPr="003D1094" w:rsidRDefault="0066786E" w:rsidP="00506E30">
            <w:pPr>
              <w:rPr>
                <w:b/>
              </w:rPr>
            </w:pPr>
          </w:p>
        </w:tc>
        <w:tc>
          <w:tcPr>
            <w:tcW w:w="1597" w:type="dxa"/>
            <w:tcBorders>
              <w:top w:val="nil"/>
              <w:bottom w:val="single" w:sz="8" w:space="0" w:color="auto"/>
            </w:tcBorders>
            <w:vAlign w:val="center"/>
          </w:tcPr>
          <w:p w14:paraId="46AC379E"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Likely infection site</w:t>
            </w:r>
          </w:p>
        </w:tc>
        <w:tc>
          <w:tcPr>
            <w:tcW w:w="1494" w:type="dxa"/>
            <w:tcBorders>
              <w:top w:val="nil"/>
              <w:bottom w:val="single" w:sz="8" w:space="0" w:color="auto"/>
            </w:tcBorders>
            <w:vAlign w:val="center"/>
          </w:tcPr>
          <w:p w14:paraId="57DE7580"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Drop down OR Free text</w:t>
            </w:r>
          </w:p>
        </w:tc>
        <w:tc>
          <w:tcPr>
            <w:tcW w:w="1348" w:type="dxa"/>
            <w:tcBorders>
              <w:top w:val="nil"/>
              <w:bottom w:val="single" w:sz="8" w:space="0" w:color="auto"/>
            </w:tcBorders>
            <w:vAlign w:val="center"/>
          </w:tcPr>
          <w:p w14:paraId="0C4E85D2"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tcBorders>
              <w:top w:val="nil"/>
              <w:bottom w:val="single" w:sz="8" w:space="0" w:color="auto"/>
            </w:tcBorders>
            <w:vAlign w:val="center"/>
          </w:tcPr>
          <w:p w14:paraId="3B70865B"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&lt;String&gt;</w:t>
            </w:r>
          </w:p>
        </w:tc>
        <w:tc>
          <w:tcPr>
            <w:tcW w:w="1354" w:type="dxa"/>
            <w:tcBorders>
              <w:top w:val="nil"/>
              <w:bottom w:val="single" w:sz="8" w:space="0" w:color="auto"/>
            </w:tcBorders>
            <w:vAlign w:val="center"/>
          </w:tcPr>
          <w:p w14:paraId="66DF2C52"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66786E" w14:paraId="7F71DD3A" w14:textId="77777777" w:rsidTr="00506E30">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auto"/>
            </w:tcBorders>
            <w:vAlign w:val="center"/>
          </w:tcPr>
          <w:p w14:paraId="0C8CE563" w14:textId="77777777" w:rsidR="0066786E" w:rsidRPr="003D1094" w:rsidRDefault="0066786E" w:rsidP="00506E30">
            <w:pPr>
              <w:rPr>
                <w:b/>
              </w:rPr>
            </w:pPr>
            <w:r>
              <w:rPr>
                <w:b/>
              </w:rPr>
              <w:t>Investigation results</w:t>
            </w:r>
          </w:p>
        </w:tc>
        <w:tc>
          <w:tcPr>
            <w:tcW w:w="1597" w:type="dxa"/>
            <w:tcBorders>
              <w:top w:val="single" w:sz="8" w:space="0" w:color="auto"/>
            </w:tcBorders>
            <w:vAlign w:val="center"/>
          </w:tcPr>
          <w:p w14:paraId="1448B5F3"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C-Reactive Protein</w:t>
            </w:r>
          </w:p>
        </w:tc>
        <w:tc>
          <w:tcPr>
            <w:tcW w:w="1494" w:type="dxa"/>
            <w:tcBorders>
              <w:top w:val="single" w:sz="8" w:space="0" w:color="auto"/>
            </w:tcBorders>
            <w:vAlign w:val="center"/>
          </w:tcPr>
          <w:p w14:paraId="4478DA7B"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Extract</w:t>
            </w:r>
          </w:p>
        </w:tc>
        <w:tc>
          <w:tcPr>
            <w:tcW w:w="1348" w:type="dxa"/>
            <w:tcBorders>
              <w:top w:val="single" w:sz="8" w:space="0" w:color="auto"/>
            </w:tcBorders>
            <w:vAlign w:val="center"/>
          </w:tcPr>
          <w:p w14:paraId="6B628B28"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tcBorders>
              <w:top w:val="single" w:sz="8" w:space="0" w:color="auto"/>
            </w:tcBorders>
            <w:vAlign w:val="center"/>
          </w:tcPr>
          <w:p w14:paraId="3E815BA4"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0-550</w:t>
            </w:r>
          </w:p>
        </w:tc>
        <w:tc>
          <w:tcPr>
            <w:tcW w:w="1354" w:type="dxa"/>
            <w:tcBorders>
              <w:top w:val="single" w:sz="8" w:space="0" w:color="auto"/>
            </w:tcBorders>
            <w:vAlign w:val="center"/>
          </w:tcPr>
          <w:p w14:paraId="03A581D1"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66786E" w14:paraId="32D23012"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4E410403" w14:textId="77777777" w:rsidR="0066786E" w:rsidRPr="003D1094" w:rsidRDefault="0066786E" w:rsidP="00506E30">
            <w:pPr>
              <w:rPr>
                <w:b/>
              </w:rPr>
            </w:pPr>
          </w:p>
        </w:tc>
        <w:tc>
          <w:tcPr>
            <w:tcW w:w="1597" w:type="dxa"/>
            <w:vAlign w:val="center"/>
          </w:tcPr>
          <w:p w14:paraId="2F43D05E"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White Cell Count</w:t>
            </w:r>
          </w:p>
        </w:tc>
        <w:tc>
          <w:tcPr>
            <w:tcW w:w="1494" w:type="dxa"/>
            <w:vAlign w:val="center"/>
          </w:tcPr>
          <w:p w14:paraId="579D617E"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Extract</w:t>
            </w:r>
          </w:p>
        </w:tc>
        <w:tc>
          <w:tcPr>
            <w:tcW w:w="1348" w:type="dxa"/>
            <w:vAlign w:val="center"/>
          </w:tcPr>
          <w:p w14:paraId="4BB1F338"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vAlign w:val="center"/>
          </w:tcPr>
          <w:p w14:paraId="04CC7A06"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0-55</w:t>
            </w:r>
          </w:p>
        </w:tc>
        <w:tc>
          <w:tcPr>
            <w:tcW w:w="1354" w:type="dxa"/>
            <w:vAlign w:val="center"/>
          </w:tcPr>
          <w:p w14:paraId="3371E104"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66786E" w14:paraId="296641CA" w14:textId="77777777" w:rsidTr="00506E30">
        <w:tc>
          <w:tcPr>
            <w:cnfStyle w:val="001000000000" w:firstRow="0" w:lastRow="0" w:firstColumn="1" w:lastColumn="0" w:oddVBand="0" w:evenVBand="0" w:oddHBand="0" w:evenHBand="0" w:firstRowFirstColumn="0" w:firstRowLastColumn="0" w:lastRowFirstColumn="0" w:lastRowLastColumn="0"/>
            <w:tcW w:w="1623" w:type="dxa"/>
            <w:vAlign w:val="center"/>
          </w:tcPr>
          <w:p w14:paraId="448ADF4E" w14:textId="77777777" w:rsidR="0066786E" w:rsidRPr="003D1094" w:rsidRDefault="0066786E" w:rsidP="00506E30">
            <w:pPr>
              <w:rPr>
                <w:b/>
              </w:rPr>
            </w:pPr>
          </w:p>
        </w:tc>
        <w:tc>
          <w:tcPr>
            <w:tcW w:w="1597" w:type="dxa"/>
            <w:vAlign w:val="center"/>
          </w:tcPr>
          <w:p w14:paraId="1EA59917"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Full blood count</w:t>
            </w:r>
          </w:p>
        </w:tc>
        <w:tc>
          <w:tcPr>
            <w:tcW w:w="1494" w:type="dxa"/>
            <w:vAlign w:val="center"/>
          </w:tcPr>
          <w:p w14:paraId="51EED475"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Extract</w:t>
            </w:r>
          </w:p>
        </w:tc>
        <w:tc>
          <w:tcPr>
            <w:tcW w:w="1348" w:type="dxa"/>
            <w:vAlign w:val="center"/>
          </w:tcPr>
          <w:p w14:paraId="525962D2"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vAlign w:val="center"/>
          </w:tcPr>
          <w:p w14:paraId="4A30F5B8"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0-210</w:t>
            </w:r>
          </w:p>
        </w:tc>
        <w:tc>
          <w:tcPr>
            <w:tcW w:w="1354" w:type="dxa"/>
            <w:vAlign w:val="center"/>
          </w:tcPr>
          <w:p w14:paraId="534F6F1B"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66786E" w14:paraId="0F0BFFCF"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52F6BA33" w14:textId="77777777" w:rsidR="0066786E" w:rsidRPr="003D1094" w:rsidRDefault="0066786E" w:rsidP="00506E30">
            <w:pPr>
              <w:rPr>
                <w:b/>
              </w:rPr>
            </w:pPr>
          </w:p>
        </w:tc>
        <w:tc>
          <w:tcPr>
            <w:tcW w:w="1597" w:type="dxa"/>
            <w:vAlign w:val="center"/>
          </w:tcPr>
          <w:p w14:paraId="5E520BDF"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Liver Function</w:t>
            </w:r>
          </w:p>
        </w:tc>
        <w:tc>
          <w:tcPr>
            <w:tcW w:w="1494" w:type="dxa"/>
            <w:vAlign w:val="center"/>
          </w:tcPr>
          <w:p w14:paraId="0C9E3F95"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Extract</w:t>
            </w:r>
          </w:p>
        </w:tc>
        <w:tc>
          <w:tcPr>
            <w:tcW w:w="1348" w:type="dxa"/>
            <w:vAlign w:val="center"/>
          </w:tcPr>
          <w:p w14:paraId="2DF9FB3D"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vAlign w:val="center"/>
          </w:tcPr>
          <w:p w14:paraId="6A283145"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ALT: 0-10000</w:t>
            </w:r>
          </w:p>
          <w:p w14:paraId="22F7034D"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ALP: 0-2000</w:t>
            </w:r>
          </w:p>
        </w:tc>
        <w:tc>
          <w:tcPr>
            <w:tcW w:w="1354" w:type="dxa"/>
            <w:vAlign w:val="center"/>
          </w:tcPr>
          <w:p w14:paraId="794675A3"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p w14:paraId="1F1BF829"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66786E" w14:paraId="12355C5C" w14:textId="77777777" w:rsidTr="00506E30">
        <w:tc>
          <w:tcPr>
            <w:cnfStyle w:val="001000000000" w:firstRow="0" w:lastRow="0" w:firstColumn="1" w:lastColumn="0" w:oddVBand="0" w:evenVBand="0" w:oddHBand="0" w:evenHBand="0" w:firstRowFirstColumn="0" w:firstRowLastColumn="0" w:lastRowFirstColumn="0" w:lastRowLastColumn="0"/>
            <w:tcW w:w="1623" w:type="dxa"/>
            <w:vAlign w:val="center"/>
          </w:tcPr>
          <w:p w14:paraId="5A61638B" w14:textId="77777777" w:rsidR="0066786E" w:rsidRPr="003D1094" w:rsidRDefault="0066786E" w:rsidP="00506E30">
            <w:pPr>
              <w:rPr>
                <w:b/>
              </w:rPr>
            </w:pPr>
          </w:p>
        </w:tc>
        <w:tc>
          <w:tcPr>
            <w:tcW w:w="1597" w:type="dxa"/>
            <w:vAlign w:val="center"/>
          </w:tcPr>
          <w:p w14:paraId="65349FF0"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Renal Function</w:t>
            </w:r>
          </w:p>
        </w:tc>
        <w:tc>
          <w:tcPr>
            <w:tcW w:w="1494" w:type="dxa"/>
            <w:vAlign w:val="center"/>
          </w:tcPr>
          <w:p w14:paraId="2EE8AF3A"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Extract</w:t>
            </w:r>
          </w:p>
        </w:tc>
        <w:tc>
          <w:tcPr>
            <w:tcW w:w="1348" w:type="dxa"/>
            <w:vAlign w:val="center"/>
          </w:tcPr>
          <w:p w14:paraId="2F971345"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vAlign w:val="center"/>
          </w:tcPr>
          <w:p w14:paraId="51CB17AE"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Cr: 0-1000</w:t>
            </w:r>
          </w:p>
        </w:tc>
        <w:tc>
          <w:tcPr>
            <w:tcW w:w="1354" w:type="dxa"/>
            <w:vAlign w:val="center"/>
          </w:tcPr>
          <w:p w14:paraId="77585157"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66786E" w14:paraId="5C08DBD7"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242502AD" w14:textId="77777777" w:rsidR="0066786E" w:rsidRPr="003D1094" w:rsidRDefault="0066786E" w:rsidP="00506E30">
            <w:pPr>
              <w:rPr>
                <w:b/>
              </w:rPr>
            </w:pPr>
          </w:p>
        </w:tc>
        <w:tc>
          <w:tcPr>
            <w:tcW w:w="1597" w:type="dxa"/>
            <w:vAlign w:val="center"/>
          </w:tcPr>
          <w:p w14:paraId="3AE464BD"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Lactate</w:t>
            </w:r>
          </w:p>
        </w:tc>
        <w:tc>
          <w:tcPr>
            <w:tcW w:w="1494" w:type="dxa"/>
            <w:vAlign w:val="center"/>
          </w:tcPr>
          <w:p w14:paraId="66F981D9"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Number</w:t>
            </w:r>
          </w:p>
        </w:tc>
        <w:tc>
          <w:tcPr>
            <w:tcW w:w="1348" w:type="dxa"/>
            <w:vAlign w:val="center"/>
          </w:tcPr>
          <w:p w14:paraId="0CF73DD9"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vAlign w:val="center"/>
          </w:tcPr>
          <w:p w14:paraId="040C6369"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0-12</w:t>
            </w:r>
          </w:p>
        </w:tc>
        <w:tc>
          <w:tcPr>
            <w:tcW w:w="1354" w:type="dxa"/>
            <w:vAlign w:val="center"/>
          </w:tcPr>
          <w:p w14:paraId="6A4E61BF"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66786E" w14:paraId="473D174E" w14:textId="77777777" w:rsidTr="00506E30">
        <w:tc>
          <w:tcPr>
            <w:cnfStyle w:val="001000000000" w:firstRow="0" w:lastRow="0" w:firstColumn="1" w:lastColumn="0" w:oddVBand="0" w:evenVBand="0" w:oddHBand="0" w:evenHBand="0" w:firstRowFirstColumn="0" w:firstRowLastColumn="0" w:lastRowFirstColumn="0" w:lastRowLastColumn="0"/>
            <w:tcW w:w="1623" w:type="dxa"/>
            <w:tcBorders>
              <w:bottom w:val="nil"/>
            </w:tcBorders>
            <w:vAlign w:val="center"/>
          </w:tcPr>
          <w:p w14:paraId="5AE69FD2" w14:textId="77777777" w:rsidR="0066786E" w:rsidRPr="003D1094" w:rsidRDefault="0066786E" w:rsidP="00506E30">
            <w:pPr>
              <w:rPr>
                <w:b/>
              </w:rPr>
            </w:pPr>
          </w:p>
        </w:tc>
        <w:tc>
          <w:tcPr>
            <w:tcW w:w="1597" w:type="dxa"/>
            <w:tcBorders>
              <w:bottom w:val="nil"/>
            </w:tcBorders>
            <w:vAlign w:val="center"/>
          </w:tcPr>
          <w:p w14:paraId="5C8E1786"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Microbiology</w:t>
            </w:r>
          </w:p>
        </w:tc>
        <w:tc>
          <w:tcPr>
            <w:tcW w:w="1494" w:type="dxa"/>
            <w:tcBorders>
              <w:bottom w:val="nil"/>
            </w:tcBorders>
            <w:vAlign w:val="center"/>
          </w:tcPr>
          <w:p w14:paraId="52296085"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Extract</w:t>
            </w:r>
          </w:p>
        </w:tc>
        <w:tc>
          <w:tcPr>
            <w:tcW w:w="1348" w:type="dxa"/>
            <w:tcBorders>
              <w:bottom w:val="nil"/>
            </w:tcBorders>
            <w:vAlign w:val="center"/>
          </w:tcPr>
          <w:p w14:paraId="1868BD4A"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tcBorders>
              <w:bottom w:val="nil"/>
            </w:tcBorders>
            <w:vAlign w:val="center"/>
          </w:tcPr>
          <w:p w14:paraId="053273BD"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Organism</w:t>
            </w:r>
          </w:p>
          <w:p w14:paraId="7B8EC172"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Susceptibility profile</w:t>
            </w:r>
          </w:p>
          <w:p w14:paraId="2EA01D90"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Site of culture</w:t>
            </w:r>
          </w:p>
        </w:tc>
        <w:tc>
          <w:tcPr>
            <w:tcW w:w="1354" w:type="dxa"/>
            <w:tcBorders>
              <w:bottom w:val="nil"/>
            </w:tcBorders>
            <w:vAlign w:val="center"/>
          </w:tcPr>
          <w:p w14:paraId="4F9AED8F"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p w14:paraId="05987566"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p w14:paraId="44DC737D"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p>
          <w:p w14:paraId="58476D68"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66786E" w14:paraId="3461C245"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Borders>
              <w:top w:val="nil"/>
              <w:bottom w:val="single" w:sz="8" w:space="0" w:color="auto"/>
            </w:tcBorders>
            <w:vAlign w:val="center"/>
          </w:tcPr>
          <w:p w14:paraId="0DB3F417" w14:textId="77777777" w:rsidR="0066786E" w:rsidRPr="003D1094" w:rsidRDefault="0066786E" w:rsidP="00506E30">
            <w:pPr>
              <w:rPr>
                <w:b/>
              </w:rPr>
            </w:pPr>
          </w:p>
        </w:tc>
        <w:tc>
          <w:tcPr>
            <w:tcW w:w="1597" w:type="dxa"/>
            <w:tcBorders>
              <w:top w:val="nil"/>
              <w:bottom w:val="single" w:sz="8" w:space="0" w:color="auto"/>
            </w:tcBorders>
            <w:vAlign w:val="center"/>
          </w:tcPr>
          <w:p w14:paraId="4BA7C749"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Radiology</w:t>
            </w:r>
          </w:p>
        </w:tc>
        <w:tc>
          <w:tcPr>
            <w:tcW w:w="1494" w:type="dxa"/>
            <w:tcBorders>
              <w:top w:val="nil"/>
              <w:bottom w:val="single" w:sz="8" w:space="0" w:color="auto"/>
            </w:tcBorders>
            <w:vAlign w:val="center"/>
          </w:tcPr>
          <w:p w14:paraId="7E950672"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Drop down - CXR</w:t>
            </w:r>
          </w:p>
        </w:tc>
        <w:tc>
          <w:tcPr>
            <w:tcW w:w="1348" w:type="dxa"/>
            <w:tcBorders>
              <w:top w:val="nil"/>
              <w:bottom w:val="single" w:sz="8" w:space="0" w:color="auto"/>
            </w:tcBorders>
            <w:vAlign w:val="center"/>
          </w:tcPr>
          <w:p w14:paraId="362535D5"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tcBorders>
              <w:top w:val="nil"/>
              <w:bottom w:val="single" w:sz="8" w:space="0" w:color="auto"/>
            </w:tcBorders>
            <w:vAlign w:val="center"/>
          </w:tcPr>
          <w:p w14:paraId="4C8EEDF1"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Clear / Consolidation / Effusion / Oedema</w:t>
            </w:r>
          </w:p>
        </w:tc>
        <w:tc>
          <w:tcPr>
            <w:tcW w:w="1354" w:type="dxa"/>
            <w:tcBorders>
              <w:top w:val="nil"/>
              <w:bottom w:val="single" w:sz="8" w:space="0" w:color="auto"/>
            </w:tcBorders>
            <w:vAlign w:val="center"/>
          </w:tcPr>
          <w:p w14:paraId="224B0DEB"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66786E" w14:paraId="067D3423" w14:textId="77777777" w:rsidTr="00506E30">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auto"/>
              <w:bottom w:val="nil"/>
            </w:tcBorders>
            <w:vAlign w:val="center"/>
          </w:tcPr>
          <w:p w14:paraId="25669900" w14:textId="77777777" w:rsidR="0066786E" w:rsidRPr="003D1094" w:rsidRDefault="0066786E" w:rsidP="00506E30">
            <w:pPr>
              <w:rPr>
                <w:b/>
              </w:rPr>
            </w:pPr>
            <w:r>
              <w:rPr>
                <w:b/>
              </w:rPr>
              <w:t>Determining severity</w:t>
            </w:r>
          </w:p>
        </w:tc>
        <w:tc>
          <w:tcPr>
            <w:tcW w:w="1597" w:type="dxa"/>
            <w:tcBorders>
              <w:top w:val="single" w:sz="8" w:space="0" w:color="auto"/>
              <w:bottom w:val="nil"/>
            </w:tcBorders>
            <w:vAlign w:val="center"/>
          </w:tcPr>
          <w:p w14:paraId="6C0856DC"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SIRS criteria*</w:t>
            </w:r>
          </w:p>
        </w:tc>
        <w:tc>
          <w:tcPr>
            <w:tcW w:w="1494" w:type="dxa"/>
            <w:tcBorders>
              <w:top w:val="single" w:sz="8" w:space="0" w:color="auto"/>
              <w:bottom w:val="nil"/>
            </w:tcBorders>
            <w:vAlign w:val="center"/>
          </w:tcPr>
          <w:p w14:paraId="16F9292A"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Extract</w:t>
            </w:r>
          </w:p>
        </w:tc>
        <w:tc>
          <w:tcPr>
            <w:tcW w:w="1348" w:type="dxa"/>
            <w:tcBorders>
              <w:top w:val="single" w:sz="8" w:space="0" w:color="auto"/>
              <w:bottom w:val="nil"/>
            </w:tcBorders>
            <w:vAlign w:val="center"/>
          </w:tcPr>
          <w:p w14:paraId="6FACF1D1"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t>
            </w:r>
          </w:p>
        </w:tc>
        <w:tc>
          <w:tcPr>
            <w:tcW w:w="1826" w:type="dxa"/>
            <w:tcBorders>
              <w:top w:val="single" w:sz="8" w:space="0" w:color="auto"/>
              <w:bottom w:val="nil"/>
            </w:tcBorders>
            <w:vAlign w:val="center"/>
          </w:tcPr>
          <w:p w14:paraId="58C5DCA7"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w:t>
            </w:r>
          </w:p>
        </w:tc>
        <w:tc>
          <w:tcPr>
            <w:tcW w:w="1354" w:type="dxa"/>
            <w:tcBorders>
              <w:top w:val="single" w:sz="8" w:space="0" w:color="auto"/>
              <w:bottom w:val="nil"/>
            </w:tcBorders>
            <w:vAlign w:val="center"/>
          </w:tcPr>
          <w:p w14:paraId="39AEEB14" w14:textId="77777777" w:rsidR="0066786E" w:rsidRPr="003D1094"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t>
            </w:r>
          </w:p>
        </w:tc>
      </w:tr>
      <w:tr w:rsidR="0066786E" w14:paraId="60139FE6"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Borders>
              <w:top w:val="nil"/>
              <w:bottom w:val="single" w:sz="8" w:space="0" w:color="auto"/>
            </w:tcBorders>
            <w:vAlign w:val="center"/>
          </w:tcPr>
          <w:p w14:paraId="0C45DC57" w14:textId="77777777" w:rsidR="0066786E" w:rsidRPr="003D1094" w:rsidRDefault="0066786E" w:rsidP="00506E30">
            <w:pPr>
              <w:rPr>
                <w:b/>
              </w:rPr>
            </w:pPr>
          </w:p>
        </w:tc>
        <w:tc>
          <w:tcPr>
            <w:tcW w:w="1597" w:type="dxa"/>
            <w:tcBorders>
              <w:top w:val="nil"/>
              <w:bottom w:val="single" w:sz="8" w:space="0" w:color="auto"/>
            </w:tcBorders>
            <w:vAlign w:val="center"/>
          </w:tcPr>
          <w:p w14:paraId="6F229CDE"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In-vitro susceptibility profiles</w:t>
            </w:r>
          </w:p>
        </w:tc>
        <w:tc>
          <w:tcPr>
            <w:tcW w:w="1494" w:type="dxa"/>
            <w:tcBorders>
              <w:top w:val="nil"/>
              <w:bottom w:val="single" w:sz="8" w:space="0" w:color="auto"/>
            </w:tcBorders>
            <w:vAlign w:val="center"/>
          </w:tcPr>
          <w:p w14:paraId="1DE8D162"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Extract</w:t>
            </w:r>
          </w:p>
        </w:tc>
        <w:tc>
          <w:tcPr>
            <w:tcW w:w="1348" w:type="dxa"/>
            <w:tcBorders>
              <w:top w:val="nil"/>
              <w:bottom w:val="single" w:sz="8" w:space="0" w:color="auto"/>
            </w:tcBorders>
            <w:vAlign w:val="center"/>
          </w:tcPr>
          <w:p w14:paraId="07B56343"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tcBorders>
              <w:top w:val="nil"/>
              <w:bottom w:val="single" w:sz="8" w:space="0" w:color="auto"/>
            </w:tcBorders>
            <w:vAlign w:val="center"/>
          </w:tcPr>
          <w:p w14:paraId="54ADBFD4"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See above</w:t>
            </w:r>
          </w:p>
        </w:tc>
        <w:tc>
          <w:tcPr>
            <w:tcW w:w="1354" w:type="dxa"/>
            <w:tcBorders>
              <w:top w:val="nil"/>
              <w:bottom w:val="single" w:sz="8" w:space="0" w:color="auto"/>
            </w:tcBorders>
            <w:vAlign w:val="center"/>
          </w:tcPr>
          <w:p w14:paraId="28A51497" w14:textId="77777777" w:rsidR="0066786E" w:rsidRPr="003D1094"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66786E" w14:paraId="0E6D3A61" w14:textId="77777777" w:rsidTr="00506E30">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auto"/>
            </w:tcBorders>
            <w:vAlign w:val="center"/>
          </w:tcPr>
          <w:p w14:paraId="6BEA197D" w14:textId="77777777" w:rsidR="0066786E" w:rsidRPr="00FA1B62" w:rsidRDefault="0066786E" w:rsidP="00506E30">
            <w:pPr>
              <w:rPr>
                <w:b/>
              </w:rPr>
            </w:pPr>
            <w:r w:rsidRPr="00FA1B62">
              <w:rPr>
                <w:b/>
              </w:rPr>
              <w:lastRenderedPageBreak/>
              <w:t>Miscellaneous parameters</w:t>
            </w:r>
          </w:p>
        </w:tc>
        <w:tc>
          <w:tcPr>
            <w:tcW w:w="1597" w:type="dxa"/>
            <w:tcBorders>
              <w:top w:val="single" w:sz="8" w:space="0" w:color="auto"/>
            </w:tcBorders>
            <w:vAlign w:val="center"/>
          </w:tcPr>
          <w:p w14:paraId="0EE0AF93"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Indwelling lines</w:t>
            </w:r>
          </w:p>
        </w:tc>
        <w:tc>
          <w:tcPr>
            <w:tcW w:w="1494" w:type="dxa"/>
            <w:tcBorders>
              <w:top w:val="single" w:sz="8" w:space="0" w:color="auto"/>
            </w:tcBorders>
            <w:vAlign w:val="center"/>
          </w:tcPr>
          <w:p w14:paraId="5CBC41E3"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Tick box</w:t>
            </w:r>
          </w:p>
        </w:tc>
        <w:tc>
          <w:tcPr>
            <w:tcW w:w="1348" w:type="dxa"/>
            <w:tcBorders>
              <w:top w:val="single" w:sz="8" w:space="0" w:color="auto"/>
            </w:tcBorders>
            <w:vAlign w:val="center"/>
          </w:tcPr>
          <w:p w14:paraId="3D38971A"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Yes</w:t>
            </w:r>
          </w:p>
        </w:tc>
        <w:tc>
          <w:tcPr>
            <w:tcW w:w="1826" w:type="dxa"/>
            <w:tcBorders>
              <w:top w:val="single" w:sz="8" w:space="0" w:color="auto"/>
            </w:tcBorders>
            <w:vAlign w:val="center"/>
          </w:tcPr>
          <w:p w14:paraId="3F09A107"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 xml:space="preserve">Urinary catheter </w:t>
            </w:r>
          </w:p>
          <w:p w14:paraId="6F73688D"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CVC line</w:t>
            </w:r>
          </w:p>
        </w:tc>
        <w:tc>
          <w:tcPr>
            <w:tcW w:w="1354" w:type="dxa"/>
            <w:tcBorders>
              <w:top w:val="single" w:sz="8" w:space="0" w:color="auto"/>
            </w:tcBorders>
            <w:vAlign w:val="center"/>
          </w:tcPr>
          <w:p w14:paraId="397ECF5A"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Yes</w:t>
            </w:r>
          </w:p>
          <w:p w14:paraId="50E57959"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Yes</w:t>
            </w:r>
          </w:p>
        </w:tc>
      </w:tr>
      <w:tr w:rsidR="0066786E" w14:paraId="53B102B7"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0F65560F" w14:textId="77777777" w:rsidR="0066786E" w:rsidRPr="00FA1B62" w:rsidRDefault="0066786E" w:rsidP="00506E30">
            <w:pPr>
              <w:rPr>
                <w:b/>
              </w:rPr>
            </w:pPr>
            <w:r w:rsidRPr="00FA1B62">
              <w:rPr>
                <w:b/>
              </w:rPr>
              <w:t>(not identified</w:t>
            </w:r>
          </w:p>
        </w:tc>
        <w:tc>
          <w:tcPr>
            <w:tcW w:w="1597" w:type="dxa"/>
            <w:vAlign w:val="center"/>
          </w:tcPr>
          <w:p w14:paraId="3DA3477B"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Airway management</w:t>
            </w:r>
          </w:p>
        </w:tc>
        <w:tc>
          <w:tcPr>
            <w:tcW w:w="1494" w:type="dxa"/>
            <w:vAlign w:val="center"/>
          </w:tcPr>
          <w:p w14:paraId="3BF9FED8"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Drop down</w:t>
            </w:r>
          </w:p>
        </w:tc>
        <w:tc>
          <w:tcPr>
            <w:tcW w:w="1348" w:type="dxa"/>
            <w:vAlign w:val="center"/>
          </w:tcPr>
          <w:p w14:paraId="00B2710D"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Yes</w:t>
            </w:r>
          </w:p>
        </w:tc>
        <w:tc>
          <w:tcPr>
            <w:tcW w:w="1826" w:type="dxa"/>
            <w:vAlign w:val="center"/>
          </w:tcPr>
          <w:p w14:paraId="58A7A543"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Own / Trachy / Intubated / NIV</w:t>
            </w:r>
          </w:p>
        </w:tc>
        <w:tc>
          <w:tcPr>
            <w:tcW w:w="1354" w:type="dxa"/>
            <w:vAlign w:val="center"/>
          </w:tcPr>
          <w:p w14:paraId="327BD542"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Yes</w:t>
            </w:r>
          </w:p>
        </w:tc>
      </w:tr>
      <w:tr w:rsidR="0066786E" w14:paraId="4D83E563" w14:textId="77777777" w:rsidTr="00506E30">
        <w:tc>
          <w:tcPr>
            <w:cnfStyle w:val="001000000000" w:firstRow="0" w:lastRow="0" w:firstColumn="1" w:lastColumn="0" w:oddVBand="0" w:evenVBand="0" w:oddHBand="0" w:evenHBand="0" w:firstRowFirstColumn="0" w:firstRowLastColumn="0" w:lastRowFirstColumn="0" w:lastRowLastColumn="0"/>
            <w:tcW w:w="1623" w:type="dxa"/>
            <w:vAlign w:val="center"/>
          </w:tcPr>
          <w:p w14:paraId="48C21A18" w14:textId="77777777" w:rsidR="0066786E" w:rsidRPr="00FA1B62" w:rsidRDefault="0066786E" w:rsidP="00506E30">
            <w:pPr>
              <w:rPr>
                <w:b/>
              </w:rPr>
            </w:pPr>
            <w:r w:rsidRPr="00FA1B62">
              <w:rPr>
                <w:b/>
              </w:rPr>
              <w:t xml:space="preserve">in chapter </w:t>
            </w:r>
          </w:p>
        </w:tc>
        <w:tc>
          <w:tcPr>
            <w:tcW w:w="1597" w:type="dxa"/>
            <w:vAlign w:val="center"/>
          </w:tcPr>
          <w:p w14:paraId="596FEEF9"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HIV status</w:t>
            </w:r>
          </w:p>
        </w:tc>
        <w:tc>
          <w:tcPr>
            <w:tcW w:w="1494" w:type="dxa"/>
            <w:vAlign w:val="center"/>
          </w:tcPr>
          <w:p w14:paraId="362FA1A5"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Tick box</w:t>
            </w:r>
          </w:p>
        </w:tc>
        <w:tc>
          <w:tcPr>
            <w:tcW w:w="1348" w:type="dxa"/>
            <w:vAlign w:val="center"/>
          </w:tcPr>
          <w:p w14:paraId="5C5912F4"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Yes</w:t>
            </w:r>
          </w:p>
        </w:tc>
        <w:tc>
          <w:tcPr>
            <w:tcW w:w="1826" w:type="dxa"/>
            <w:vAlign w:val="center"/>
          </w:tcPr>
          <w:p w14:paraId="6038F693"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HIV positive</w:t>
            </w:r>
          </w:p>
        </w:tc>
        <w:tc>
          <w:tcPr>
            <w:tcW w:w="1354" w:type="dxa"/>
            <w:vAlign w:val="center"/>
          </w:tcPr>
          <w:p w14:paraId="045860BD"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Yes</w:t>
            </w:r>
          </w:p>
        </w:tc>
      </w:tr>
      <w:tr w:rsidR="0066786E" w14:paraId="27AA1A1F"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5803DFAE" w14:textId="77777777" w:rsidR="0066786E" w:rsidRPr="00FA1B62" w:rsidRDefault="0066786E" w:rsidP="00506E30">
            <w:pPr>
              <w:rPr>
                <w:b/>
              </w:rPr>
            </w:pPr>
            <w:r w:rsidRPr="00FA1B62">
              <w:rPr>
                <w:b/>
              </w:rPr>
              <w:t>two)</w:t>
            </w:r>
          </w:p>
        </w:tc>
        <w:tc>
          <w:tcPr>
            <w:tcW w:w="1597" w:type="dxa"/>
            <w:vAlign w:val="center"/>
          </w:tcPr>
          <w:p w14:paraId="27A8F273"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Diabetes</w:t>
            </w:r>
          </w:p>
        </w:tc>
        <w:tc>
          <w:tcPr>
            <w:tcW w:w="1494" w:type="dxa"/>
            <w:vAlign w:val="center"/>
          </w:tcPr>
          <w:p w14:paraId="1769F042"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Tick box</w:t>
            </w:r>
          </w:p>
        </w:tc>
        <w:tc>
          <w:tcPr>
            <w:tcW w:w="1348" w:type="dxa"/>
            <w:vAlign w:val="center"/>
          </w:tcPr>
          <w:p w14:paraId="5632DC95"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Yes</w:t>
            </w:r>
          </w:p>
        </w:tc>
        <w:tc>
          <w:tcPr>
            <w:tcW w:w="1826" w:type="dxa"/>
            <w:vAlign w:val="center"/>
          </w:tcPr>
          <w:p w14:paraId="78451A57"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Diabetic</w:t>
            </w:r>
          </w:p>
        </w:tc>
        <w:tc>
          <w:tcPr>
            <w:tcW w:w="1354" w:type="dxa"/>
            <w:vAlign w:val="center"/>
          </w:tcPr>
          <w:p w14:paraId="0E10701F"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Yes</w:t>
            </w:r>
          </w:p>
        </w:tc>
      </w:tr>
      <w:tr w:rsidR="0066786E" w14:paraId="3F71D550" w14:textId="77777777" w:rsidTr="00506E30">
        <w:tc>
          <w:tcPr>
            <w:cnfStyle w:val="001000000000" w:firstRow="0" w:lastRow="0" w:firstColumn="1" w:lastColumn="0" w:oddVBand="0" w:evenVBand="0" w:oddHBand="0" w:evenHBand="0" w:firstRowFirstColumn="0" w:firstRowLastColumn="0" w:lastRowFirstColumn="0" w:lastRowLastColumn="0"/>
            <w:tcW w:w="1623" w:type="dxa"/>
            <w:vAlign w:val="center"/>
          </w:tcPr>
          <w:p w14:paraId="43B8EE54" w14:textId="77777777" w:rsidR="0066786E" w:rsidRPr="00FA1B62" w:rsidRDefault="0066786E" w:rsidP="00506E30">
            <w:pPr>
              <w:rPr>
                <w:b/>
              </w:rPr>
            </w:pPr>
          </w:p>
        </w:tc>
        <w:tc>
          <w:tcPr>
            <w:tcW w:w="1597" w:type="dxa"/>
            <w:vAlign w:val="center"/>
          </w:tcPr>
          <w:p w14:paraId="289BE8E7"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Pregnant</w:t>
            </w:r>
          </w:p>
        </w:tc>
        <w:tc>
          <w:tcPr>
            <w:tcW w:w="1494" w:type="dxa"/>
            <w:vAlign w:val="center"/>
          </w:tcPr>
          <w:p w14:paraId="0042BE56"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Tick box</w:t>
            </w:r>
          </w:p>
        </w:tc>
        <w:tc>
          <w:tcPr>
            <w:tcW w:w="1348" w:type="dxa"/>
            <w:vAlign w:val="center"/>
          </w:tcPr>
          <w:p w14:paraId="1B8CA99C"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Yes</w:t>
            </w:r>
          </w:p>
        </w:tc>
        <w:tc>
          <w:tcPr>
            <w:tcW w:w="1826" w:type="dxa"/>
            <w:vAlign w:val="center"/>
          </w:tcPr>
          <w:p w14:paraId="7E537A45"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Pregnant</w:t>
            </w:r>
          </w:p>
        </w:tc>
        <w:tc>
          <w:tcPr>
            <w:tcW w:w="1354" w:type="dxa"/>
            <w:vAlign w:val="center"/>
          </w:tcPr>
          <w:p w14:paraId="6386A4EC"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Yes</w:t>
            </w:r>
          </w:p>
        </w:tc>
      </w:tr>
      <w:tr w:rsidR="0066786E" w14:paraId="2526ADE0"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0D114744" w14:textId="77777777" w:rsidR="0066786E" w:rsidRPr="00FA1B62" w:rsidRDefault="0066786E" w:rsidP="00506E30">
            <w:pPr>
              <w:rPr>
                <w:b/>
              </w:rPr>
            </w:pPr>
          </w:p>
        </w:tc>
        <w:tc>
          <w:tcPr>
            <w:tcW w:w="1597" w:type="dxa"/>
            <w:vAlign w:val="center"/>
          </w:tcPr>
          <w:p w14:paraId="6AE7B013"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Renal support</w:t>
            </w:r>
          </w:p>
        </w:tc>
        <w:tc>
          <w:tcPr>
            <w:tcW w:w="1494" w:type="dxa"/>
            <w:vAlign w:val="center"/>
          </w:tcPr>
          <w:p w14:paraId="555AC7D4"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Drop down</w:t>
            </w:r>
          </w:p>
        </w:tc>
        <w:tc>
          <w:tcPr>
            <w:tcW w:w="1348" w:type="dxa"/>
            <w:vAlign w:val="center"/>
          </w:tcPr>
          <w:p w14:paraId="16B104D5"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Yes</w:t>
            </w:r>
          </w:p>
        </w:tc>
        <w:tc>
          <w:tcPr>
            <w:tcW w:w="1826" w:type="dxa"/>
            <w:vAlign w:val="center"/>
          </w:tcPr>
          <w:p w14:paraId="201319AD"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None / Dialysis / Transplant / CVVH</w:t>
            </w:r>
          </w:p>
        </w:tc>
        <w:tc>
          <w:tcPr>
            <w:tcW w:w="1354" w:type="dxa"/>
            <w:vAlign w:val="center"/>
          </w:tcPr>
          <w:p w14:paraId="17CCC177"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Yes</w:t>
            </w:r>
          </w:p>
        </w:tc>
      </w:tr>
      <w:tr w:rsidR="0066786E" w14:paraId="206B40E0" w14:textId="77777777" w:rsidTr="00506E30">
        <w:tc>
          <w:tcPr>
            <w:cnfStyle w:val="001000000000" w:firstRow="0" w:lastRow="0" w:firstColumn="1" w:lastColumn="0" w:oddVBand="0" w:evenVBand="0" w:oddHBand="0" w:evenHBand="0" w:firstRowFirstColumn="0" w:firstRowLastColumn="0" w:lastRowFirstColumn="0" w:lastRowLastColumn="0"/>
            <w:tcW w:w="1623" w:type="dxa"/>
            <w:vAlign w:val="center"/>
          </w:tcPr>
          <w:p w14:paraId="57E93454" w14:textId="77777777" w:rsidR="0066786E" w:rsidRPr="00FA1B62" w:rsidRDefault="0066786E" w:rsidP="00506E30">
            <w:pPr>
              <w:rPr>
                <w:b/>
              </w:rPr>
            </w:pPr>
          </w:p>
        </w:tc>
        <w:tc>
          <w:tcPr>
            <w:tcW w:w="1597" w:type="dxa"/>
            <w:vAlign w:val="center"/>
          </w:tcPr>
          <w:p w14:paraId="28895F12"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Inotropic support</w:t>
            </w:r>
          </w:p>
        </w:tc>
        <w:tc>
          <w:tcPr>
            <w:tcW w:w="1494" w:type="dxa"/>
            <w:vAlign w:val="center"/>
          </w:tcPr>
          <w:p w14:paraId="3911063D"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Tick box</w:t>
            </w:r>
          </w:p>
        </w:tc>
        <w:tc>
          <w:tcPr>
            <w:tcW w:w="1348" w:type="dxa"/>
            <w:vAlign w:val="center"/>
          </w:tcPr>
          <w:p w14:paraId="5D291DB0"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Yes</w:t>
            </w:r>
          </w:p>
        </w:tc>
        <w:tc>
          <w:tcPr>
            <w:tcW w:w="1826" w:type="dxa"/>
            <w:vAlign w:val="center"/>
          </w:tcPr>
          <w:p w14:paraId="0D64C660"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 xml:space="preserve">Yes </w:t>
            </w:r>
          </w:p>
        </w:tc>
        <w:tc>
          <w:tcPr>
            <w:tcW w:w="1354" w:type="dxa"/>
            <w:vAlign w:val="center"/>
          </w:tcPr>
          <w:p w14:paraId="6E1B17C1"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No</w:t>
            </w:r>
          </w:p>
        </w:tc>
      </w:tr>
      <w:tr w:rsidR="0066786E" w14:paraId="030FAED2"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4DA48B4B" w14:textId="77777777" w:rsidR="0066786E" w:rsidRPr="00FA1B62" w:rsidRDefault="0066786E" w:rsidP="00506E30">
            <w:pPr>
              <w:rPr>
                <w:b/>
              </w:rPr>
            </w:pPr>
          </w:p>
        </w:tc>
        <w:tc>
          <w:tcPr>
            <w:tcW w:w="1597" w:type="dxa"/>
            <w:vAlign w:val="center"/>
          </w:tcPr>
          <w:p w14:paraId="3C80A5BF"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Hospital No.</w:t>
            </w:r>
          </w:p>
        </w:tc>
        <w:tc>
          <w:tcPr>
            <w:tcW w:w="1494" w:type="dxa"/>
            <w:vAlign w:val="center"/>
          </w:tcPr>
          <w:p w14:paraId="2E6360A3"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Extract</w:t>
            </w:r>
          </w:p>
        </w:tc>
        <w:tc>
          <w:tcPr>
            <w:tcW w:w="1348" w:type="dxa"/>
            <w:vAlign w:val="center"/>
          </w:tcPr>
          <w:p w14:paraId="357F154C"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Yes</w:t>
            </w:r>
          </w:p>
        </w:tc>
        <w:tc>
          <w:tcPr>
            <w:tcW w:w="1826" w:type="dxa"/>
            <w:vAlign w:val="center"/>
          </w:tcPr>
          <w:p w14:paraId="6760D468"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&lt;String&gt;</w:t>
            </w:r>
          </w:p>
        </w:tc>
        <w:tc>
          <w:tcPr>
            <w:tcW w:w="1354" w:type="dxa"/>
            <w:vAlign w:val="center"/>
          </w:tcPr>
          <w:p w14:paraId="08C184C8"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Yes</w:t>
            </w:r>
          </w:p>
        </w:tc>
      </w:tr>
      <w:tr w:rsidR="0066786E" w14:paraId="0874C069" w14:textId="77777777" w:rsidTr="00506E30">
        <w:tc>
          <w:tcPr>
            <w:cnfStyle w:val="001000000000" w:firstRow="0" w:lastRow="0" w:firstColumn="1" w:lastColumn="0" w:oddVBand="0" w:evenVBand="0" w:oddHBand="0" w:evenHBand="0" w:firstRowFirstColumn="0" w:firstRowLastColumn="0" w:lastRowFirstColumn="0" w:lastRowLastColumn="0"/>
            <w:tcW w:w="1623" w:type="dxa"/>
            <w:tcBorders>
              <w:bottom w:val="nil"/>
            </w:tcBorders>
            <w:vAlign w:val="center"/>
          </w:tcPr>
          <w:p w14:paraId="0BB270AE" w14:textId="77777777" w:rsidR="0066786E" w:rsidRPr="00FA1B62" w:rsidRDefault="0066786E" w:rsidP="00506E30">
            <w:pPr>
              <w:rPr>
                <w:b/>
              </w:rPr>
            </w:pPr>
          </w:p>
        </w:tc>
        <w:tc>
          <w:tcPr>
            <w:tcW w:w="1597" w:type="dxa"/>
            <w:tcBorders>
              <w:bottom w:val="nil"/>
            </w:tcBorders>
            <w:vAlign w:val="center"/>
          </w:tcPr>
          <w:p w14:paraId="57997424"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NHS No.</w:t>
            </w:r>
          </w:p>
        </w:tc>
        <w:tc>
          <w:tcPr>
            <w:tcW w:w="1494" w:type="dxa"/>
            <w:tcBorders>
              <w:bottom w:val="nil"/>
            </w:tcBorders>
            <w:vAlign w:val="center"/>
          </w:tcPr>
          <w:p w14:paraId="35096B00"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Extract</w:t>
            </w:r>
          </w:p>
        </w:tc>
        <w:tc>
          <w:tcPr>
            <w:tcW w:w="1348" w:type="dxa"/>
            <w:tcBorders>
              <w:bottom w:val="nil"/>
            </w:tcBorders>
            <w:vAlign w:val="center"/>
          </w:tcPr>
          <w:p w14:paraId="455AB910"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Yes</w:t>
            </w:r>
          </w:p>
        </w:tc>
        <w:tc>
          <w:tcPr>
            <w:tcW w:w="1826" w:type="dxa"/>
            <w:tcBorders>
              <w:bottom w:val="nil"/>
            </w:tcBorders>
            <w:vAlign w:val="center"/>
          </w:tcPr>
          <w:p w14:paraId="447A8164"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&lt;String&gt;</w:t>
            </w:r>
          </w:p>
        </w:tc>
        <w:tc>
          <w:tcPr>
            <w:tcW w:w="1354" w:type="dxa"/>
            <w:tcBorders>
              <w:bottom w:val="nil"/>
            </w:tcBorders>
            <w:vAlign w:val="center"/>
          </w:tcPr>
          <w:p w14:paraId="2AC2A65B" w14:textId="77777777" w:rsidR="0066786E" w:rsidRPr="00FA1B62"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sidRPr="00FA1B62">
              <w:rPr>
                <w:sz w:val="18"/>
                <w:szCs w:val="18"/>
              </w:rPr>
              <w:t>Yes</w:t>
            </w:r>
          </w:p>
        </w:tc>
      </w:tr>
      <w:tr w:rsidR="0066786E" w14:paraId="23A03D12"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Borders>
              <w:top w:val="nil"/>
              <w:bottom w:val="single" w:sz="8" w:space="0" w:color="auto"/>
            </w:tcBorders>
            <w:vAlign w:val="center"/>
          </w:tcPr>
          <w:p w14:paraId="02063D56" w14:textId="77777777" w:rsidR="0066786E" w:rsidRPr="00FA1B62" w:rsidRDefault="0066786E" w:rsidP="00506E30">
            <w:pPr>
              <w:rPr>
                <w:b/>
              </w:rPr>
            </w:pPr>
          </w:p>
        </w:tc>
        <w:tc>
          <w:tcPr>
            <w:tcW w:w="1597" w:type="dxa"/>
            <w:tcBorders>
              <w:top w:val="nil"/>
              <w:bottom w:val="single" w:sz="8" w:space="0" w:color="auto"/>
            </w:tcBorders>
            <w:vAlign w:val="center"/>
          </w:tcPr>
          <w:p w14:paraId="446BC0C4"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Ward name</w:t>
            </w:r>
          </w:p>
        </w:tc>
        <w:tc>
          <w:tcPr>
            <w:tcW w:w="1494" w:type="dxa"/>
            <w:tcBorders>
              <w:top w:val="nil"/>
              <w:bottom w:val="single" w:sz="8" w:space="0" w:color="auto"/>
            </w:tcBorders>
            <w:vAlign w:val="center"/>
          </w:tcPr>
          <w:p w14:paraId="74CF05B4"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Extract</w:t>
            </w:r>
          </w:p>
        </w:tc>
        <w:tc>
          <w:tcPr>
            <w:tcW w:w="1348" w:type="dxa"/>
            <w:tcBorders>
              <w:top w:val="nil"/>
              <w:bottom w:val="single" w:sz="8" w:space="0" w:color="auto"/>
            </w:tcBorders>
            <w:vAlign w:val="center"/>
          </w:tcPr>
          <w:p w14:paraId="451ACDD1"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Yes</w:t>
            </w:r>
          </w:p>
        </w:tc>
        <w:tc>
          <w:tcPr>
            <w:tcW w:w="1826" w:type="dxa"/>
            <w:tcBorders>
              <w:top w:val="nil"/>
              <w:bottom w:val="single" w:sz="8" w:space="0" w:color="auto"/>
            </w:tcBorders>
            <w:vAlign w:val="center"/>
          </w:tcPr>
          <w:p w14:paraId="3056957B"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&lt;String&gt;</w:t>
            </w:r>
          </w:p>
        </w:tc>
        <w:tc>
          <w:tcPr>
            <w:tcW w:w="1354" w:type="dxa"/>
            <w:tcBorders>
              <w:top w:val="nil"/>
              <w:bottom w:val="single" w:sz="8" w:space="0" w:color="auto"/>
            </w:tcBorders>
            <w:vAlign w:val="center"/>
          </w:tcPr>
          <w:p w14:paraId="04B15F43" w14:textId="77777777" w:rsidR="0066786E" w:rsidRPr="00FA1B62"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sidRPr="00FA1B62">
              <w:rPr>
                <w:sz w:val="18"/>
                <w:szCs w:val="18"/>
              </w:rPr>
              <w:t>Yes</w:t>
            </w:r>
          </w:p>
        </w:tc>
      </w:tr>
      <w:tr w:rsidR="0066786E" w14:paraId="72863764" w14:textId="77777777" w:rsidTr="00506E30">
        <w:tc>
          <w:tcPr>
            <w:cnfStyle w:val="001000000000" w:firstRow="0" w:lastRow="0" w:firstColumn="1" w:lastColumn="0" w:oddVBand="0" w:evenVBand="0" w:oddHBand="0" w:evenHBand="0" w:firstRowFirstColumn="0" w:firstRowLastColumn="0" w:lastRowFirstColumn="0" w:lastRowLastColumn="0"/>
            <w:tcW w:w="1623" w:type="dxa"/>
            <w:tcBorders>
              <w:top w:val="single" w:sz="8" w:space="0" w:color="auto"/>
            </w:tcBorders>
            <w:vAlign w:val="center"/>
          </w:tcPr>
          <w:p w14:paraId="5553AA10" w14:textId="77777777" w:rsidR="0066786E" w:rsidRPr="003D1094" w:rsidRDefault="0066786E" w:rsidP="00506E30">
            <w:pPr>
              <w:rPr>
                <w:b/>
              </w:rPr>
            </w:pPr>
            <w:r>
              <w:rPr>
                <w:b/>
              </w:rPr>
              <w:t>Outcome</w:t>
            </w:r>
          </w:p>
        </w:tc>
        <w:tc>
          <w:tcPr>
            <w:tcW w:w="1597" w:type="dxa"/>
            <w:tcBorders>
              <w:top w:val="single" w:sz="8" w:space="0" w:color="auto"/>
            </w:tcBorders>
            <w:vAlign w:val="center"/>
          </w:tcPr>
          <w:p w14:paraId="05B00F71"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Antibiotic prescription</w:t>
            </w:r>
          </w:p>
        </w:tc>
        <w:tc>
          <w:tcPr>
            <w:tcW w:w="1494" w:type="dxa"/>
            <w:tcBorders>
              <w:top w:val="single" w:sz="8" w:space="0" w:color="auto"/>
            </w:tcBorders>
            <w:vAlign w:val="center"/>
          </w:tcPr>
          <w:p w14:paraId="4E4D1D8B"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Drop down</w:t>
            </w:r>
          </w:p>
        </w:tc>
        <w:tc>
          <w:tcPr>
            <w:tcW w:w="1348" w:type="dxa"/>
            <w:tcBorders>
              <w:top w:val="single" w:sz="8" w:space="0" w:color="auto"/>
            </w:tcBorders>
            <w:vAlign w:val="center"/>
          </w:tcPr>
          <w:p w14:paraId="7F733FE0"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tcBorders>
              <w:top w:val="single" w:sz="8" w:space="0" w:color="auto"/>
            </w:tcBorders>
            <w:vAlign w:val="center"/>
          </w:tcPr>
          <w:p w14:paraId="0366612D"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Antibiotic selection</w:t>
            </w:r>
          </w:p>
        </w:tc>
        <w:tc>
          <w:tcPr>
            <w:tcW w:w="1354" w:type="dxa"/>
            <w:tcBorders>
              <w:top w:val="single" w:sz="8" w:space="0" w:color="auto"/>
            </w:tcBorders>
            <w:vAlign w:val="center"/>
          </w:tcPr>
          <w:p w14:paraId="09AAA4F0"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r>
      <w:tr w:rsidR="0066786E" w14:paraId="12BF84B8"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2207FDFA" w14:textId="77777777" w:rsidR="0066786E" w:rsidRPr="003D1094" w:rsidRDefault="0066786E" w:rsidP="00506E30">
            <w:pPr>
              <w:rPr>
                <w:b/>
              </w:rPr>
            </w:pPr>
          </w:p>
        </w:tc>
        <w:tc>
          <w:tcPr>
            <w:tcW w:w="1597" w:type="dxa"/>
            <w:vAlign w:val="center"/>
          </w:tcPr>
          <w:p w14:paraId="27A72308"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Successful?</w:t>
            </w:r>
          </w:p>
        </w:tc>
        <w:tc>
          <w:tcPr>
            <w:tcW w:w="1494" w:type="dxa"/>
            <w:vAlign w:val="center"/>
          </w:tcPr>
          <w:p w14:paraId="51F7C11F"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Drop down</w:t>
            </w:r>
          </w:p>
        </w:tc>
        <w:tc>
          <w:tcPr>
            <w:tcW w:w="1348" w:type="dxa"/>
            <w:vAlign w:val="center"/>
          </w:tcPr>
          <w:p w14:paraId="28B8AC96"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6" w:type="dxa"/>
            <w:vAlign w:val="center"/>
          </w:tcPr>
          <w:p w14:paraId="4FC1C6AA"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 No – escalated / Yes – completed / Yes – de-escalated / Unknown</w:t>
            </w:r>
          </w:p>
        </w:tc>
        <w:tc>
          <w:tcPr>
            <w:tcW w:w="1354" w:type="dxa"/>
            <w:vAlign w:val="center"/>
          </w:tcPr>
          <w:p w14:paraId="57EF4F3C"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t>
            </w:r>
          </w:p>
        </w:tc>
      </w:tr>
      <w:tr w:rsidR="0066786E" w14:paraId="42187CDA" w14:textId="77777777" w:rsidTr="00506E30">
        <w:tc>
          <w:tcPr>
            <w:cnfStyle w:val="001000000000" w:firstRow="0" w:lastRow="0" w:firstColumn="1" w:lastColumn="0" w:oddVBand="0" w:evenVBand="0" w:oddHBand="0" w:evenHBand="0" w:firstRowFirstColumn="0" w:firstRowLastColumn="0" w:lastRowFirstColumn="0" w:lastRowLastColumn="0"/>
            <w:tcW w:w="1623" w:type="dxa"/>
            <w:vAlign w:val="center"/>
          </w:tcPr>
          <w:p w14:paraId="58534B1A" w14:textId="77777777" w:rsidR="0066786E" w:rsidRPr="003D1094" w:rsidRDefault="0066786E" w:rsidP="00506E30">
            <w:pPr>
              <w:rPr>
                <w:b/>
              </w:rPr>
            </w:pPr>
          </w:p>
        </w:tc>
        <w:tc>
          <w:tcPr>
            <w:tcW w:w="1597" w:type="dxa"/>
            <w:vAlign w:val="center"/>
          </w:tcPr>
          <w:p w14:paraId="0E75107F"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Death</w:t>
            </w:r>
          </w:p>
        </w:tc>
        <w:tc>
          <w:tcPr>
            <w:tcW w:w="1494" w:type="dxa"/>
            <w:vAlign w:val="center"/>
          </w:tcPr>
          <w:p w14:paraId="3C0688C4"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Tick box</w:t>
            </w:r>
          </w:p>
        </w:tc>
        <w:tc>
          <w:tcPr>
            <w:tcW w:w="1348" w:type="dxa"/>
            <w:vAlign w:val="center"/>
          </w:tcPr>
          <w:p w14:paraId="61B99C9F"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826" w:type="dxa"/>
            <w:vAlign w:val="center"/>
          </w:tcPr>
          <w:p w14:paraId="28BA5C4D"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1354" w:type="dxa"/>
            <w:vAlign w:val="center"/>
          </w:tcPr>
          <w:p w14:paraId="1073B5F7" w14:textId="77777777" w:rsidR="0066786E" w:rsidRDefault="0066786E" w:rsidP="00506E3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t>
            </w:r>
          </w:p>
        </w:tc>
      </w:tr>
      <w:tr w:rsidR="0066786E" w14:paraId="185645FD" w14:textId="77777777" w:rsidTr="0050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407A92E8" w14:textId="77777777" w:rsidR="0066786E" w:rsidRPr="003D1094" w:rsidRDefault="0066786E" w:rsidP="00506E30">
            <w:pPr>
              <w:rPr>
                <w:b/>
              </w:rPr>
            </w:pPr>
          </w:p>
        </w:tc>
        <w:tc>
          <w:tcPr>
            <w:tcW w:w="1597" w:type="dxa"/>
            <w:vAlign w:val="center"/>
          </w:tcPr>
          <w:p w14:paraId="3962B4B5"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Reason for death</w:t>
            </w:r>
          </w:p>
        </w:tc>
        <w:tc>
          <w:tcPr>
            <w:tcW w:w="1494" w:type="dxa"/>
            <w:vAlign w:val="center"/>
          </w:tcPr>
          <w:p w14:paraId="1ABB6936"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Free text</w:t>
            </w:r>
          </w:p>
        </w:tc>
        <w:tc>
          <w:tcPr>
            <w:tcW w:w="1348" w:type="dxa"/>
            <w:vAlign w:val="center"/>
          </w:tcPr>
          <w:p w14:paraId="22BFEDD9"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t>
            </w:r>
          </w:p>
        </w:tc>
        <w:tc>
          <w:tcPr>
            <w:tcW w:w="1826" w:type="dxa"/>
            <w:vAlign w:val="center"/>
          </w:tcPr>
          <w:p w14:paraId="38145E45"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&lt;String&gt;</w:t>
            </w:r>
          </w:p>
        </w:tc>
        <w:tc>
          <w:tcPr>
            <w:tcW w:w="1354" w:type="dxa"/>
            <w:vAlign w:val="center"/>
          </w:tcPr>
          <w:p w14:paraId="00715F00" w14:textId="77777777" w:rsidR="0066786E" w:rsidRDefault="0066786E" w:rsidP="00506E30">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t>
            </w:r>
          </w:p>
        </w:tc>
      </w:tr>
    </w:tbl>
    <w:bookmarkEnd w:id="1"/>
    <w:p w14:paraId="40C7BD39" w14:textId="77777777" w:rsidR="0066786E" w:rsidRDefault="0066786E" w:rsidP="0066786E">
      <w:r w:rsidRPr="00624FB9">
        <w:rPr>
          <w:noProof/>
          <w:lang w:eastAsia="en-GB"/>
        </w:rPr>
        <mc:AlternateContent>
          <mc:Choice Requires="wps">
            <w:drawing>
              <wp:anchor distT="0" distB="0" distL="114300" distR="114300" simplePos="0" relativeHeight="251656192" behindDoc="0" locked="0" layoutInCell="1" allowOverlap="1" wp14:anchorId="0295E902" wp14:editId="4C189B63">
                <wp:simplePos x="0" y="0"/>
                <wp:positionH relativeFrom="column">
                  <wp:posOffset>-47625</wp:posOffset>
                </wp:positionH>
                <wp:positionV relativeFrom="paragraph">
                  <wp:posOffset>206375</wp:posOffset>
                </wp:positionV>
                <wp:extent cx="5848350" cy="680720"/>
                <wp:effectExtent l="0" t="0" r="0" b="254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680720"/>
                        </a:xfrm>
                        <a:prstGeom prst="rect">
                          <a:avLst/>
                        </a:prstGeom>
                        <a:solidFill>
                          <a:srgbClr val="FFFFFF"/>
                        </a:solidFill>
                        <a:ln w="9525">
                          <a:noFill/>
                          <a:miter lim="800000"/>
                          <a:headEnd/>
                          <a:tailEnd/>
                        </a:ln>
                      </wps:spPr>
                      <wps:txbx>
                        <w:txbxContent>
                          <w:p w14:paraId="2571A7D8" w14:textId="77777777" w:rsidR="00021E8A" w:rsidRPr="00624FB9" w:rsidRDefault="00021E8A" w:rsidP="0066786E">
                            <w:pPr>
                              <w:rPr>
                                <w:sz w:val="18"/>
                                <w:szCs w:val="18"/>
                              </w:rPr>
                            </w:pPr>
                            <w:r w:rsidRPr="00624FB9">
                              <w:rPr>
                                <w:b/>
                                <w:sz w:val="18"/>
                                <w:szCs w:val="18"/>
                              </w:rPr>
                              <w:t xml:space="preserve">Legend: </w:t>
                            </w:r>
                            <w:r>
                              <w:rPr>
                                <w:sz w:val="18"/>
                                <w:szCs w:val="18"/>
                              </w:rPr>
                              <w:t>CXR = chest x-ray; SIRS = systemic inflammatory response syndrome; SNT = soft, non-tender; CVC = central venous catheter; Trachy = tracheostomy; CVVH = continuous veno-venous haemofiltration; NIV = non-invasive ventilation; HIV = human immunodeficiency virus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95E902" id="_x0000_t202" coordsize="21600,21600" o:spt="202" path="m,l,21600r21600,l21600,xe">
                <v:stroke joinstyle="miter"/>
                <v:path gradientshapeok="t" o:connecttype="rect"/>
              </v:shapetype>
              <v:shape id="Text Box 2" o:spid="_x0000_s1026" type="#_x0000_t202" style="position:absolute;margin-left:-3.75pt;margin-top:16.25pt;width:460.5pt;height:53.6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" stroked="f">
                <v:textbox style="mso-fit-shape-to-text:t">
                  <w:txbxContent>
                    <w:p w14:paraId="2571A7D8" w14:textId="77777777" w:rsidR="00021E8A" w:rsidRPr="00624FB9" w:rsidRDefault="00021E8A" w:rsidP="0066786E">
                      <w:pPr>
                        <w:rPr>
                          <w:sz w:val="18"/>
                          <w:szCs w:val="18"/>
                        </w:rPr>
                      </w:pPr>
                      <w:r w:rsidRPr="00624FB9">
                        <w:rPr>
                          <w:b/>
                          <w:sz w:val="18"/>
                          <w:szCs w:val="18"/>
                        </w:rPr>
                        <w:t xml:space="preserve">Legend: </w:t>
                      </w:r>
                      <w:r>
                        <w:rPr>
                          <w:sz w:val="18"/>
                          <w:szCs w:val="18"/>
                        </w:rPr>
                        <w:t>CXR = chest x-ray; SIRS = systemic inflammatory response syndrome; SNT = soft, non-tender; CVC = central venous catheter; Trachy = tracheostomy; CVVH = continuous veno-venous haemofiltration; NIV = non-invasive ventilation; HIV = human immunodeficiency virus</w:t>
                      </w:r>
                    </w:p>
                  </w:txbxContent>
                </v:textbox>
              </v:shape>
            </w:pict>
          </mc:Fallback>
        </mc:AlternateContent>
      </w:r>
      <w:r>
        <w:br w:type="page"/>
      </w:r>
    </w:p>
    <w:p w14:paraId="49B30F88" w14:textId="43577578" w:rsidR="00ED4890" w:rsidRPr="0044562D" w:rsidRDefault="00ED4890" w:rsidP="0011549D">
      <w:pPr>
        <w:rPr>
          <w:b/>
          <w:sz w:val="24"/>
          <w:szCs w:val="24"/>
        </w:rPr>
      </w:pPr>
      <w:r w:rsidRPr="0044562D">
        <w:rPr>
          <w:b/>
          <w:sz w:val="24"/>
          <w:szCs w:val="24"/>
        </w:rPr>
        <w:lastRenderedPageBreak/>
        <w:t xml:space="preserve">Table </w:t>
      </w:r>
      <w:r w:rsidR="00E55BF7" w:rsidRPr="0044562D">
        <w:rPr>
          <w:b/>
          <w:sz w:val="24"/>
          <w:szCs w:val="24"/>
        </w:rPr>
        <w:t>2</w:t>
      </w:r>
      <w:r w:rsidRPr="0044562D">
        <w:rPr>
          <w:b/>
          <w:sz w:val="24"/>
          <w:szCs w:val="24"/>
        </w:rPr>
        <w:t>.</w:t>
      </w:r>
      <w:r w:rsidR="0044562D" w:rsidRPr="0044562D">
        <w:rPr>
          <w:b/>
          <w:sz w:val="24"/>
          <w:szCs w:val="24"/>
        </w:rPr>
        <w:t xml:space="preserve"> Comparison of prescriber and CBR antimicrobial spectrum index </w:t>
      </w:r>
    </w:p>
    <w:p w14:paraId="7567B210" w14:textId="77777777" w:rsidR="00ED4890" w:rsidRDefault="00ED4890" w:rsidP="0011549D">
      <w:pPr>
        <w:rPr>
          <w:b/>
        </w:rPr>
      </w:pPr>
    </w:p>
    <w:p w14:paraId="262711F7" w14:textId="77777777" w:rsidR="00ED4890" w:rsidRDefault="00ED4890" w:rsidP="0011549D">
      <w:pPr>
        <w:rPr>
          <w:b/>
        </w:rPr>
      </w:pPr>
    </w:p>
    <w:p w14:paraId="43E8F7D6" w14:textId="623E39C8" w:rsidR="00ED4890" w:rsidRDefault="0044562D" w:rsidP="0011549D">
      <w:pPr>
        <w:rPr>
          <w:b/>
        </w:rPr>
      </w:pPr>
      <w:r w:rsidRPr="00624FB9">
        <w:rPr>
          <w:noProof/>
          <w:lang w:eastAsia="en-GB"/>
        </w:rPr>
        <mc:AlternateContent>
          <mc:Choice Requires="wps">
            <w:drawing>
              <wp:anchor distT="0" distB="0" distL="114300" distR="114300" simplePos="0" relativeHeight="251659264" behindDoc="0" locked="0" layoutInCell="1" allowOverlap="1" wp14:anchorId="6D6B132C" wp14:editId="797709E8">
                <wp:simplePos x="0" y="0"/>
                <wp:positionH relativeFrom="column">
                  <wp:posOffset>-95361</wp:posOffset>
                </wp:positionH>
                <wp:positionV relativeFrom="paragraph">
                  <wp:posOffset>2490470</wp:posOffset>
                </wp:positionV>
                <wp:extent cx="5947575" cy="6807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575" cy="680720"/>
                        </a:xfrm>
                        <a:prstGeom prst="rect">
                          <a:avLst/>
                        </a:prstGeom>
                        <a:solidFill>
                          <a:srgbClr val="FFFFFF"/>
                        </a:solidFill>
                        <a:ln w="9525">
                          <a:noFill/>
                          <a:miter lim="800000"/>
                          <a:headEnd/>
                          <a:tailEnd/>
                        </a:ln>
                      </wps:spPr>
                      <wps:txbx>
                        <w:txbxContent>
                          <w:p w14:paraId="5B7FC21E" w14:textId="0AFBBD00" w:rsidR="00021E8A" w:rsidRPr="00624FB9" w:rsidRDefault="00021E8A" w:rsidP="0044562D">
                            <w:pPr>
                              <w:rPr>
                                <w:sz w:val="18"/>
                                <w:szCs w:val="18"/>
                              </w:rPr>
                            </w:pPr>
                            <w:r w:rsidRPr="00624FB9">
                              <w:rPr>
                                <w:b/>
                                <w:sz w:val="18"/>
                                <w:szCs w:val="18"/>
                              </w:rPr>
                              <w:t xml:space="preserve">Legend: </w:t>
                            </w:r>
                            <w:r>
                              <w:rPr>
                                <w:sz w:val="18"/>
                                <w:szCs w:val="18"/>
                              </w:rPr>
                              <w:t xml:space="preserve">ASI = Antimicrobial Spectrum Index (range: 0-14); </w:t>
                            </w:r>
                            <w:r w:rsidRPr="00FA7F1C">
                              <w:rPr>
                                <w:bCs/>
                                <w:sz w:val="18"/>
                                <w:szCs w:val="18"/>
                              </w:rPr>
                              <w:t>CBR = Case-Based Reasoning;</w:t>
                            </w:r>
                            <w:r>
                              <w:rPr>
                                <w:b/>
                                <w:sz w:val="18"/>
                                <w:szCs w:val="18"/>
                              </w:rPr>
                              <w:t xml:space="preserve"> </w:t>
                            </w:r>
                            <w:r>
                              <w:rPr>
                                <w:sz w:val="18"/>
                                <w:szCs w:val="18"/>
                              </w:rPr>
                              <w:t>E.coli = Escherichia coli; BSI = Blood stream infection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6B132C" id="_x0000_s1027" type="#_x0000_t202" style="position:absolute;margin-left:-7.5pt;margin-top:196.1pt;width:468.3pt;height:53.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" stroked="f">
                <v:textbox style="mso-fit-shape-to-text:t">
                  <w:txbxContent>
                    <w:p w14:paraId="5B7FC21E" w14:textId="0AFBBD00" w:rsidR="00021E8A" w:rsidRPr="00624FB9" w:rsidRDefault="00021E8A" w:rsidP="0044562D">
                      <w:pPr>
                        <w:rPr>
                          <w:sz w:val="18"/>
                          <w:szCs w:val="18"/>
                        </w:rPr>
                      </w:pPr>
                      <w:r w:rsidRPr="00624FB9">
                        <w:rPr>
                          <w:b/>
                          <w:sz w:val="18"/>
                          <w:szCs w:val="18"/>
                        </w:rPr>
                        <w:t xml:space="preserve">Legend: </w:t>
                      </w:r>
                      <w:r>
                        <w:rPr>
                          <w:sz w:val="18"/>
                          <w:szCs w:val="18"/>
                        </w:rPr>
                        <w:t xml:space="preserve">ASI = Antimicrobial Spectrum Index (range: 0-14); </w:t>
                      </w:r>
                      <w:r w:rsidRPr="00FA7F1C">
                        <w:rPr>
                          <w:bCs/>
                          <w:sz w:val="18"/>
                          <w:szCs w:val="18"/>
                        </w:rPr>
                        <w:t>CBR = Case-Based Reasoning;</w:t>
                      </w:r>
                      <w:r>
                        <w:rPr>
                          <w:b/>
                          <w:sz w:val="18"/>
                          <w:szCs w:val="18"/>
                        </w:rPr>
                        <w:t xml:space="preserve"> </w:t>
                      </w:r>
                      <w:r>
                        <w:rPr>
                          <w:sz w:val="18"/>
                          <w:szCs w:val="18"/>
                        </w:rPr>
                        <w:t>E.coli = Escherichia coli; BSI = Blood stream infection</w:t>
                      </w:r>
                    </w:p>
                  </w:txbxContent>
                </v:textbox>
              </v:shape>
            </w:pict>
          </mc:Fallback>
        </mc:AlternateContent>
      </w:r>
    </w:p>
    <w:tbl>
      <w:tblPr>
        <w:tblStyle w:val="GridTable2"/>
        <w:tblW w:w="5120" w:type="pct"/>
        <w:tblLook w:val="04A0" w:firstRow="1" w:lastRow="0" w:firstColumn="1" w:lastColumn="0" w:noHBand="0" w:noVBand="1"/>
      </w:tblPr>
      <w:tblGrid>
        <w:gridCol w:w="3976"/>
        <w:gridCol w:w="2077"/>
        <w:gridCol w:w="1935"/>
        <w:gridCol w:w="1244"/>
      </w:tblGrid>
      <w:tr w:rsidR="007F78F7" w:rsidRPr="007F78F7" w14:paraId="444EB15E" w14:textId="77777777" w:rsidTr="0044562D">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153" w:type="pct"/>
            <w:tcBorders>
              <w:top w:val="single" w:sz="4" w:space="0" w:color="auto"/>
              <w:left w:val="single" w:sz="4" w:space="0" w:color="auto"/>
            </w:tcBorders>
            <w:noWrap/>
            <w:vAlign w:val="center"/>
            <w:hideMark/>
          </w:tcPr>
          <w:p w14:paraId="726DAEB3" w14:textId="23257396" w:rsidR="007F78F7" w:rsidRPr="007F78F7" w:rsidRDefault="007F78F7" w:rsidP="007F78F7">
            <w:pPr>
              <w:autoSpaceDE/>
              <w:autoSpaceDN/>
              <w:adjustRightInd/>
              <w:jc w:val="center"/>
              <w:rPr>
                <w:rFonts w:eastAsia="Times New Roman"/>
                <w:color w:val="000000"/>
                <w:sz w:val="22"/>
                <w:szCs w:val="22"/>
                <w:lang w:eastAsia="en-GB"/>
              </w:rPr>
            </w:pPr>
          </w:p>
        </w:tc>
        <w:tc>
          <w:tcPr>
            <w:tcW w:w="1125" w:type="pct"/>
            <w:tcBorders>
              <w:top w:val="single" w:sz="4" w:space="0" w:color="auto"/>
            </w:tcBorders>
            <w:noWrap/>
            <w:vAlign w:val="center"/>
            <w:hideMark/>
          </w:tcPr>
          <w:p w14:paraId="44F05169" w14:textId="77777777" w:rsidR="007F78F7" w:rsidRDefault="007F78F7" w:rsidP="007F78F7">
            <w:pPr>
              <w:autoSpaceDE/>
              <w:autoSpaceDN/>
              <w:adjustRightInd/>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szCs w:val="22"/>
                <w:lang w:eastAsia="en-GB"/>
              </w:rPr>
            </w:pPr>
            <w:r w:rsidRPr="007F78F7">
              <w:rPr>
                <w:rFonts w:eastAsia="Times New Roman"/>
                <w:color w:val="000000"/>
                <w:sz w:val="22"/>
                <w:szCs w:val="22"/>
                <w:lang w:eastAsia="en-GB"/>
              </w:rPr>
              <w:t>Prescriber ASI</w:t>
            </w:r>
          </w:p>
          <w:p w14:paraId="74D40DA6" w14:textId="70E990E7" w:rsidR="007F78F7" w:rsidRPr="007F78F7" w:rsidRDefault="007F78F7" w:rsidP="007F78F7">
            <w:pPr>
              <w:autoSpaceDE/>
              <w:autoSpaceDN/>
              <w:adjustRightInd/>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lang w:eastAsia="en-GB"/>
              </w:rPr>
            </w:pPr>
            <w:r>
              <w:rPr>
                <w:rFonts w:eastAsia="Times New Roman"/>
                <w:color w:val="000000"/>
                <w:sz w:val="22"/>
                <w:szCs w:val="22"/>
                <w:lang w:eastAsia="en-GB"/>
              </w:rPr>
              <w:t>(range)</w:t>
            </w:r>
          </w:p>
        </w:tc>
        <w:tc>
          <w:tcPr>
            <w:tcW w:w="1048" w:type="pct"/>
            <w:tcBorders>
              <w:top w:val="single" w:sz="4" w:space="0" w:color="auto"/>
            </w:tcBorders>
            <w:noWrap/>
            <w:vAlign w:val="center"/>
            <w:hideMark/>
          </w:tcPr>
          <w:p w14:paraId="0F7FE74F" w14:textId="77777777" w:rsidR="007F78F7" w:rsidRDefault="007F78F7" w:rsidP="007F78F7">
            <w:pPr>
              <w:autoSpaceDE/>
              <w:autoSpaceDN/>
              <w:adjustRightInd/>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22"/>
                <w:szCs w:val="22"/>
                <w:lang w:eastAsia="en-GB"/>
              </w:rPr>
            </w:pPr>
            <w:r w:rsidRPr="007F78F7">
              <w:rPr>
                <w:rFonts w:eastAsia="Times New Roman"/>
                <w:color w:val="000000"/>
                <w:sz w:val="22"/>
                <w:szCs w:val="22"/>
                <w:lang w:eastAsia="en-GB"/>
              </w:rPr>
              <w:t>CBR ASI</w:t>
            </w:r>
          </w:p>
          <w:p w14:paraId="061C86A1" w14:textId="38D988F5" w:rsidR="007F78F7" w:rsidRPr="007F78F7" w:rsidRDefault="007F78F7" w:rsidP="007F78F7">
            <w:pPr>
              <w:autoSpaceDE/>
              <w:autoSpaceDN/>
              <w:adjustRightInd/>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lang w:eastAsia="en-GB"/>
              </w:rPr>
            </w:pPr>
            <w:r>
              <w:rPr>
                <w:rFonts w:eastAsia="Times New Roman"/>
                <w:color w:val="000000"/>
                <w:sz w:val="22"/>
                <w:szCs w:val="22"/>
                <w:lang w:eastAsia="en-GB"/>
              </w:rPr>
              <w:t>(range)</w:t>
            </w:r>
          </w:p>
        </w:tc>
        <w:tc>
          <w:tcPr>
            <w:tcW w:w="674" w:type="pct"/>
            <w:tcBorders>
              <w:top w:val="single" w:sz="4" w:space="0" w:color="auto"/>
              <w:right w:val="single" w:sz="4" w:space="0" w:color="auto"/>
            </w:tcBorders>
            <w:noWrap/>
            <w:vAlign w:val="center"/>
            <w:hideMark/>
          </w:tcPr>
          <w:p w14:paraId="0F658291" w14:textId="77777777" w:rsidR="007F78F7" w:rsidRPr="007F78F7" w:rsidRDefault="007F78F7" w:rsidP="007F78F7">
            <w:pPr>
              <w:autoSpaceDE/>
              <w:autoSpaceDN/>
              <w:adjustRightInd/>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p-value</w:t>
            </w:r>
          </w:p>
        </w:tc>
      </w:tr>
      <w:tr w:rsidR="007F78F7" w:rsidRPr="007F78F7" w14:paraId="584E6A9A" w14:textId="77777777" w:rsidTr="0044562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53" w:type="pct"/>
            <w:tcBorders>
              <w:left w:val="single" w:sz="4" w:space="0" w:color="auto"/>
            </w:tcBorders>
            <w:noWrap/>
            <w:vAlign w:val="center"/>
            <w:hideMark/>
          </w:tcPr>
          <w:p w14:paraId="19F741EF" w14:textId="6ED0054D" w:rsidR="007F78F7" w:rsidRPr="007F78F7" w:rsidRDefault="007F78F7" w:rsidP="007F78F7">
            <w:pPr>
              <w:autoSpaceDE/>
              <w:autoSpaceDN/>
              <w:adjustRightInd/>
              <w:rPr>
                <w:rFonts w:eastAsia="Times New Roman"/>
                <w:color w:val="000000"/>
                <w:sz w:val="22"/>
                <w:szCs w:val="22"/>
                <w:lang w:eastAsia="en-GB"/>
              </w:rPr>
            </w:pPr>
            <w:r w:rsidRPr="007F78F7">
              <w:rPr>
                <w:rFonts w:eastAsia="Times New Roman"/>
                <w:color w:val="000000"/>
                <w:sz w:val="22"/>
                <w:szCs w:val="22"/>
                <w:lang w:eastAsia="en-GB"/>
              </w:rPr>
              <w:t>Intention-to-treat</w:t>
            </w:r>
          </w:p>
        </w:tc>
        <w:tc>
          <w:tcPr>
            <w:tcW w:w="1125" w:type="pct"/>
            <w:noWrap/>
            <w:vAlign w:val="center"/>
            <w:hideMark/>
          </w:tcPr>
          <w:p w14:paraId="3DA93F0C" w14:textId="77777777" w:rsidR="007F78F7" w:rsidRPr="007F78F7"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en-GB"/>
              </w:rPr>
            </w:pPr>
          </w:p>
        </w:tc>
        <w:tc>
          <w:tcPr>
            <w:tcW w:w="1048" w:type="pct"/>
            <w:noWrap/>
            <w:vAlign w:val="center"/>
            <w:hideMark/>
          </w:tcPr>
          <w:p w14:paraId="20E4854E" w14:textId="77777777" w:rsidR="007F78F7" w:rsidRPr="007F78F7"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c>
          <w:tcPr>
            <w:tcW w:w="674" w:type="pct"/>
            <w:tcBorders>
              <w:right w:val="single" w:sz="4" w:space="0" w:color="auto"/>
            </w:tcBorders>
            <w:noWrap/>
            <w:vAlign w:val="center"/>
            <w:hideMark/>
          </w:tcPr>
          <w:p w14:paraId="79DAC1EC" w14:textId="3D684393" w:rsidR="007F78F7" w:rsidRPr="007F78F7"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en-GB"/>
              </w:rPr>
            </w:pPr>
          </w:p>
        </w:tc>
      </w:tr>
      <w:tr w:rsidR="002A4319" w:rsidRPr="007F78F7" w14:paraId="1EF7E2F6" w14:textId="77777777" w:rsidTr="0044562D">
        <w:trPr>
          <w:trHeight w:val="345"/>
        </w:trPr>
        <w:tc>
          <w:tcPr>
            <w:cnfStyle w:val="001000000000" w:firstRow="0" w:lastRow="0" w:firstColumn="1" w:lastColumn="0" w:oddVBand="0" w:evenVBand="0" w:oddHBand="0" w:evenHBand="0" w:firstRowFirstColumn="0" w:firstRowLastColumn="0" w:lastRowFirstColumn="0" w:lastRowLastColumn="0"/>
            <w:tcW w:w="2153" w:type="pct"/>
            <w:tcBorders>
              <w:left w:val="single" w:sz="4" w:space="0" w:color="auto"/>
            </w:tcBorders>
            <w:noWrap/>
            <w:vAlign w:val="center"/>
            <w:hideMark/>
          </w:tcPr>
          <w:p w14:paraId="535C7720" w14:textId="77777777" w:rsidR="007F78F7" w:rsidRPr="0044562D" w:rsidRDefault="007F78F7" w:rsidP="007F78F7">
            <w:pPr>
              <w:autoSpaceDE/>
              <w:autoSpaceDN/>
              <w:adjustRightInd/>
              <w:jc w:val="center"/>
              <w:rPr>
                <w:rFonts w:eastAsia="Times New Roman"/>
                <w:b w:val="0"/>
                <w:bCs w:val="0"/>
                <w:color w:val="000000"/>
                <w:sz w:val="22"/>
                <w:szCs w:val="22"/>
                <w:lang w:eastAsia="en-GB"/>
              </w:rPr>
            </w:pPr>
            <w:r w:rsidRPr="0044562D">
              <w:rPr>
                <w:rFonts w:eastAsia="Times New Roman"/>
                <w:b w:val="0"/>
                <w:bCs w:val="0"/>
                <w:color w:val="000000"/>
                <w:sz w:val="22"/>
                <w:szCs w:val="22"/>
                <w:lang w:eastAsia="en-GB"/>
              </w:rPr>
              <w:t>Total (n = 224)</w:t>
            </w:r>
          </w:p>
        </w:tc>
        <w:tc>
          <w:tcPr>
            <w:tcW w:w="1125" w:type="pct"/>
            <w:noWrap/>
            <w:vAlign w:val="center"/>
            <w:hideMark/>
          </w:tcPr>
          <w:p w14:paraId="1D52F705" w14:textId="77777777" w:rsidR="007F78F7" w:rsidRPr="007F78F7"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8 (0-12)</w:t>
            </w:r>
          </w:p>
        </w:tc>
        <w:tc>
          <w:tcPr>
            <w:tcW w:w="1048" w:type="pct"/>
            <w:noWrap/>
            <w:vAlign w:val="center"/>
            <w:hideMark/>
          </w:tcPr>
          <w:p w14:paraId="12DB3FFA" w14:textId="05458C9C" w:rsidR="007F78F7" w:rsidRPr="007F78F7"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6 (0-13)</w:t>
            </w:r>
          </w:p>
        </w:tc>
        <w:tc>
          <w:tcPr>
            <w:tcW w:w="674" w:type="pct"/>
            <w:tcBorders>
              <w:right w:val="single" w:sz="4" w:space="0" w:color="auto"/>
            </w:tcBorders>
            <w:noWrap/>
            <w:vAlign w:val="center"/>
            <w:hideMark/>
          </w:tcPr>
          <w:p w14:paraId="00322667" w14:textId="77777777" w:rsidR="007F78F7" w:rsidRPr="0044562D"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 w:val="22"/>
                <w:szCs w:val="22"/>
                <w:lang w:eastAsia="en-GB"/>
              </w:rPr>
            </w:pPr>
            <w:r w:rsidRPr="0044562D">
              <w:rPr>
                <w:rFonts w:eastAsia="Times New Roman"/>
                <w:b/>
                <w:bCs/>
                <w:i/>
                <w:iCs/>
                <w:color w:val="000000"/>
                <w:sz w:val="22"/>
                <w:szCs w:val="22"/>
                <w:lang w:eastAsia="en-GB"/>
              </w:rPr>
              <w:t>0.009</w:t>
            </w:r>
          </w:p>
        </w:tc>
      </w:tr>
      <w:tr w:rsidR="007F78F7" w:rsidRPr="007F78F7" w14:paraId="5D63AF57" w14:textId="77777777" w:rsidTr="0044562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53" w:type="pct"/>
            <w:tcBorders>
              <w:left w:val="single" w:sz="4" w:space="0" w:color="auto"/>
            </w:tcBorders>
            <w:noWrap/>
            <w:vAlign w:val="center"/>
            <w:hideMark/>
          </w:tcPr>
          <w:p w14:paraId="26CAAAEC" w14:textId="22874786" w:rsidR="007F78F7" w:rsidRPr="0044562D" w:rsidRDefault="0044562D" w:rsidP="007F78F7">
            <w:pPr>
              <w:autoSpaceDE/>
              <w:autoSpaceDN/>
              <w:adjustRightInd/>
              <w:jc w:val="center"/>
              <w:rPr>
                <w:rFonts w:eastAsia="Times New Roman"/>
                <w:b w:val="0"/>
                <w:bCs w:val="0"/>
                <w:color w:val="000000"/>
                <w:sz w:val="22"/>
                <w:szCs w:val="22"/>
                <w:lang w:eastAsia="en-GB"/>
              </w:rPr>
            </w:pPr>
            <w:r w:rsidRPr="0044562D">
              <w:rPr>
                <w:rFonts w:eastAsia="Times New Roman"/>
                <w:b w:val="0"/>
                <w:bCs w:val="0"/>
                <w:color w:val="000000"/>
                <w:sz w:val="22"/>
                <w:szCs w:val="22"/>
                <w:lang w:eastAsia="en-GB"/>
              </w:rPr>
              <w:t>E.coli BSI</w:t>
            </w:r>
            <w:r w:rsidR="007F78F7" w:rsidRPr="0044562D">
              <w:rPr>
                <w:rFonts w:eastAsia="Times New Roman"/>
                <w:b w:val="0"/>
                <w:bCs w:val="0"/>
                <w:color w:val="000000"/>
                <w:sz w:val="22"/>
                <w:szCs w:val="22"/>
                <w:lang w:eastAsia="en-GB"/>
              </w:rPr>
              <w:t xml:space="preserve"> (n=145)</w:t>
            </w:r>
          </w:p>
        </w:tc>
        <w:tc>
          <w:tcPr>
            <w:tcW w:w="1125" w:type="pct"/>
            <w:noWrap/>
            <w:vAlign w:val="center"/>
            <w:hideMark/>
          </w:tcPr>
          <w:p w14:paraId="480BE066" w14:textId="77777777" w:rsidR="007F78F7" w:rsidRPr="007F78F7"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8 (2-12)</w:t>
            </w:r>
          </w:p>
        </w:tc>
        <w:tc>
          <w:tcPr>
            <w:tcW w:w="1048" w:type="pct"/>
            <w:noWrap/>
            <w:vAlign w:val="center"/>
            <w:hideMark/>
          </w:tcPr>
          <w:p w14:paraId="0AAC7988" w14:textId="77777777" w:rsidR="007F78F7" w:rsidRPr="007F78F7"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8 (2-12)</w:t>
            </w:r>
          </w:p>
        </w:tc>
        <w:tc>
          <w:tcPr>
            <w:tcW w:w="674" w:type="pct"/>
            <w:tcBorders>
              <w:right w:val="single" w:sz="4" w:space="0" w:color="auto"/>
            </w:tcBorders>
            <w:noWrap/>
            <w:vAlign w:val="center"/>
            <w:hideMark/>
          </w:tcPr>
          <w:p w14:paraId="15BF0D08" w14:textId="77777777" w:rsidR="007F78F7" w:rsidRPr="0044562D"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i/>
                <w:iCs/>
                <w:color w:val="000000"/>
                <w:sz w:val="22"/>
                <w:szCs w:val="22"/>
                <w:lang w:eastAsia="en-GB"/>
              </w:rPr>
            </w:pPr>
            <w:r w:rsidRPr="0044562D">
              <w:rPr>
                <w:rFonts w:eastAsia="Times New Roman"/>
                <w:i/>
                <w:iCs/>
                <w:color w:val="000000"/>
                <w:sz w:val="22"/>
                <w:szCs w:val="22"/>
                <w:lang w:eastAsia="en-GB"/>
              </w:rPr>
              <w:t>0.158</w:t>
            </w:r>
          </w:p>
        </w:tc>
      </w:tr>
      <w:tr w:rsidR="002A4319" w:rsidRPr="007F78F7" w14:paraId="6F5425CD" w14:textId="77777777" w:rsidTr="0044562D">
        <w:trPr>
          <w:trHeight w:val="345"/>
        </w:trPr>
        <w:tc>
          <w:tcPr>
            <w:cnfStyle w:val="001000000000" w:firstRow="0" w:lastRow="0" w:firstColumn="1" w:lastColumn="0" w:oddVBand="0" w:evenVBand="0" w:oddHBand="0" w:evenHBand="0" w:firstRowFirstColumn="0" w:firstRowLastColumn="0" w:lastRowFirstColumn="0" w:lastRowLastColumn="0"/>
            <w:tcW w:w="2153" w:type="pct"/>
            <w:tcBorders>
              <w:left w:val="single" w:sz="4" w:space="0" w:color="auto"/>
            </w:tcBorders>
            <w:noWrap/>
            <w:vAlign w:val="center"/>
            <w:hideMark/>
          </w:tcPr>
          <w:p w14:paraId="544A88BA" w14:textId="61988723" w:rsidR="007F78F7" w:rsidRPr="0044562D" w:rsidRDefault="0044562D" w:rsidP="007F78F7">
            <w:pPr>
              <w:autoSpaceDE/>
              <w:autoSpaceDN/>
              <w:adjustRightInd/>
              <w:jc w:val="center"/>
              <w:rPr>
                <w:rFonts w:eastAsia="Times New Roman"/>
                <w:b w:val="0"/>
                <w:bCs w:val="0"/>
                <w:color w:val="000000"/>
                <w:sz w:val="22"/>
                <w:szCs w:val="22"/>
                <w:lang w:eastAsia="en-GB"/>
              </w:rPr>
            </w:pPr>
            <w:r w:rsidRPr="0044562D">
              <w:rPr>
                <w:rFonts w:eastAsia="Times New Roman"/>
                <w:b w:val="0"/>
                <w:bCs w:val="0"/>
                <w:color w:val="000000"/>
                <w:sz w:val="22"/>
                <w:szCs w:val="22"/>
                <w:lang w:eastAsia="en-GB"/>
              </w:rPr>
              <w:t>Ward cases</w:t>
            </w:r>
            <w:r w:rsidR="007F78F7" w:rsidRPr="0044562D">
              <w:rPr>
                <w:rFonts w:eastAsia="Times New Roman"/>
                <w:b w:val="0"/>
                <w:bCs w:val="0"/>
                <w:color w:val="000000"/>
                <w:sz w:val="22"/>
                <w:szCs w:val="22"/>
                <w:lang w:eastAsia="en-GB"/>
              </w:rPr>
              <w:t xml:space="preserve"> (n = 79)</w:t>
            </w:r>
          </w:p>
        </w:tc>
        <w:tc>
          <w:tcPr>
            <w:tcW w:w="1125" w:type="pct"/>
            <w:noWrap/>
            <w:vAlign w:val="center"/>
            <w:hideMark/>
          </w:tcPr>
          <w:p w14:paraId="4A6C2588" w14:textId="77777777" w:rsidR="007F78F7" w:rsidRPr="007F78F7"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6 (0-12)</w:t>
            </w:r>
          </w:p>
        </w:tc>
        <w:tc>
          <w:tcPr>
            <w:tcW w:w="1048" w:type="pct"/>
            <w:noWrap/>
            <w:vAlign w:val="center"/>
            <w:hideMark/>
          </w:tcPr>
          <w:p w14:paraId="31E8A3B4" w14:textId="77777777" w:rsidR="007F78F7" w:rsidRPr="007F78F7"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5 (0-13)</w:t>
            </w:r>
          </w:p>
        </w:tc>
        <w:tc>
          <w:tcPr>
            <w:tcW w:w="674" w:type="pct"/>
            <w:tcBorders>
              <w:right w:val="single" w:sz="4" w:space="0" w:color="auto"/>
            </w:tcBorders>
            <w:noWrap/>
            <w:vAlign w:val="center"/>
            <w:hideMark/>
          </w:tcPr>
          <w:p w14:paraId="44DD0D4D" w14:textId="77777777" w:rsidR="007F78F7" w:rsidRPr="0044562D"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 w:val="22"/>
                <w:szCs w:val="22"/>
                <w:lang w:eastAsia="en-GB"/>
              </w:rPr>
            </w:pPr>
            <w:r w:rsidRPr="0044562D">
              <w:rPr>
                <w:rFonts w:eastAsia="Times New Roman"/>
                <w:b/>
                <w:bCs/>
                <w:i/>
                <w:iCs/>
                <w:color w:val="000000"/>
                <w:sz w:val="22"/>
                <w:szCs w:val="22"/>
                <w:lang w:eastAsia="en-GB"/>
              </w:rPr>
              <w:t>0.015</w:t>
            </w:r>
          </w:p>
        </w:tc>
      </w:tr>
      <w:tr w:rsidR="007F78F7" w:rsidRPr="007F78F7" w14:paraId="0F4B5EC0" w14:textId="77777777" w:rsidTr="0044562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53" w:type="pct"/>
            <w:tcBorders>
              <w:left w:val="single" w:sz="4" w:space="0" w:color="auto"/>
            </w:tcBorders>
            <w:noWrap/>
            <w:vAlign w:val="center"/>
            <w:hideMark/>
          </w:tcPr>
          <w:p w14:paraId="0A3B19B8" w14:textId="77777777" w:rsidR="007F78F7" w:rsidRPr="007F78F7" w:rsidRDefault="007F78F7" w:rsidP="007F78F7">
            <w:pPr>
              <w:autoSpaceDE/>
              <w:autoSpaceDN/>
              <w:adjustRightInd/>
              <w:rPr>
                <w:rFonts w:eastAsia="Times New Roman"/>
                <w:color w:val="000000"/>
                <w:sz w:val="22"/>
                <w:szCs w:val="22"/>
                <w:lang w:eastAsia="en-GB"/>
              </w:rPr>
            </w:pPr>
            <w:r w:rsidRPr="007F78F7">
              <w:rPr>
                <w:rFonts w:eastAsia="Times New Roman"/>
                <w:color w:val="000000"/>
                <w:sz w:val="22"/>
                <w:szCs w:val="22"/>
                <w:lang w:eastAsia="en-GB"/>
              </w:rPr>
              <w:t>Per Protocol</w:t>
            </w:r>
          </w:p>
        </w:tc>
        <w:tc>
          <w:tcPr>
            <w:tcW w:w="1125" w:type="pct"/>
            <w:noWrap/>
            <w:vAlign w:val="center"/>
            <w:hideMark/>
          </w:tcPr>
          <w:p w14:paraId="18565F38" w14:textId="77777777" w:rsidR="007F78F7" w:rsidRPr="007F78F7"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en-GB"/>
              </w:rPr>
            </w:pPr>
          </w:p>
        </w:tc>
        <w:tc>
          <w:tcPr>
            <w:tcW w:w="1048" w:type="pct"/>
            <w:noWrap/>
            <w:vAlign w:val="center"/>
            <w:hideMark/>
          </w:tcPr>
          <w:p w14:paraId="448FA3BC" w14:textId="77777777" w:rsidR="007F78F7" w:rsidRPr="007F78F7"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lang w:eastAsia="en-GB"/>
              </w:rPr>
            </w:pPr>
          </w:p>
        </w:tc>
        <w:tc>
          <w:tcPr>
            <w:tcW w:w="674" w:type="pct"/>
            <w:tcBorders>
              <w:right w:val="single" w:sz="4" w:space="0" w:color="auto"/>
            </w:tcBorders>
            <w:noWrap/>
            <w:vAlign w:val="center"/>
            <w:hideMark/>
          </w:tcPr>
          <w:p w14:paraId="55894C92" w14:textId="63F527C1" w:rsidR="007F78F7" w:rsidRPr="0044562D"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i/>
                <w:iCs/>
                <w:color w:val="000000"/>
                <w:sz w:val="22"/>
                <w:szCs w:val="22"/>
                <w:lang w:eastAsia="en-GB"/>
              </w:rPr>
            </w:pPr>
          </w:p>
        </w:tc>
      </w:tr>
      <w:tr w:rsidR="002A4319" w:rsidRPr="007F78F7" w14:paraId="39C8107C" w14:textId="77777777" w:rsidTr="0044562D">
        <w:trPr>
          <w:trHeight w:val="345"/>
        </w:trPr>
        <w:tc>
          <w:tcPr>
            <w:cnfStyle w:val="001000000000" w:firstRow="0" w:lastRow="0" w:firstColumn="1" w:lastColumn="0" w:oddVBand="0" w:evenVBand="0" w:oddHBand="0" w:evenHBand="0" w:firstRowFirstColumn="0" w:firstRowLastColumn="0" w:lastRowFirstColumn="0" w:lastRowLastColumn="0"/>
            <w:tcW w:w="2153" w:type="pct"/>
            <w:tcBorders>
              <w:left w:val="single" w:sz="4" w:space="0" w:color="auto"/>
            </w:tcBorders>
            <w:noWrap/>
            <w:vAlign w:val="center"/>
            <w:hideMark/>
          </w:tcPr>
          <w:p w14:paraId="597E99D4" w14:textId="77777777" w:rsidR="007F78F7" w:rsidRPr="0044562D" w:rsidRDefault="007F78F7" w:rsidP="007F78F7">
            <w:pPr>
              <w:autoSpaceDE/>
              <w:autoSpaceDN/>
              <w:adjustRightInd/>
              <w:jc w:val="center"/>
              <w:rPr>
                <w:rFonts w:eastAsia="Times New Roman"/>
                <w:b w:val="0"/>
                <w:bCs w:val="0"/>
                <w:color w:val="000000"/>
                <w:sz w:val="22"/>
                <w:szCs w:val="22"/>
                <w:lang w:eastAsia="en-GB"/>
              </w:rPr>
            </w:pPr>
            <w:r w:rsidRPr="0044562D">
              <w:rPr>
                <w:rFonts w:eastAsia="Times New Roman"/>
                <w:b w:val="0"/>
                <w:bCs w:val="0"/>
                <w:color w:val="000000"/>
                <w:sz w:val="22"/>
                <w:szCs w:val="22"/>
                <w:lang w:eastAsia="en-GB"/>
              </w:rPr>
              <w:t>Total (n = 202)</w:t>
            </w:r>
          </w:p>
        </w:tc>
        <w:tc>
          <w:tcPr>
            <w:tcW w:w="1125" w:type="pct"/>
            <w:noWrap/>
            <w:vAlign w:val="center"/>
            <w:hideMark/>
          </w:tcPr>
          <w:p w14:paraId="68E04F0D" w14:textId="77777777" w:rsidR="007F78F7" w:rsidRPr="007F78F7"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8 (0-12)</w:t>
            </w:r>
          </w:p>
        </w:tc>
        <w:tc>
          <w:tcPr>
            <w:tcW w:w="1048" w:type="pct"/>
            <w:noWrap/>
            <w:vAlign w:val="center"/>
            <w:hideMark/>
          </w:tcPr>
          <w:p w14:paraId="00459B4A" w14:textId="77777777" w:rsidR="007F78F7" w:rsidRPr="007F78F7"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7 (0-12)</w:t>
            </w:r>
          </w:p>
        </w:tc>
        <w:tc>
          <w:tcPr>
            <w:tcW w:w="674" w:type="pct"/>
            <w:tcBorders>
              <w:right w:val="single" w:sz="4" w:space="0" w:color="auto"/>
            </w:tcBorders>
            <w:noWrap/>
            <w:vAlign w:val="center"/>
            <w:hideMark/>
          </w:tcPr>
          <w:p w14:paraId="09631923" w14:textId="77777777" w:rsidR="007F78F7" w:rsidRPr="0044562D"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 w:val="22"/>
                <w:szCs w:val="22"/>
                <w:lang w:eastAsia="en-GB"/>
              </w:rPr>
            </w:pPr>
            <w:r w:rsidRPr="0044562D">
              <w:rPr>
                <w:rFonts w:eastAsia="Times New Roman"/>
                <w:b/>
                <w:bCs/>
                <w:i/>
                <w:iCs/>
                <w:color w:val="000000"/>
                <w:sz w:val="22"/>
                <w:szCs w:val="22"/>
                <w:lang w:eastAsia="en-GB"/>
              </w:rPr>
              <w:t>0.006</w:t>
            </w:r>
          </w:p>
        </w:tc>
      </w:tr>
      <w:tr w:rsidR="007F78F7" w:rsidRPr="007F78F7" w14:paraId="4D39CF9E" w14:textId="77777777" w:rsidTr="0044562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53" w:type="pct"/>
            <w:tcBorders>
              <w:left w:val="single" w:sz="4" w:space="0" w:color="auto"/>
            </w:tcBorders>
            <w:noWrap/>
            <w:vAlign w:val="center"/>
            <w:hideMark/>
          </w:tcPr>
          <w:p w14:paraId="4B2D32D0" w14:textId="77DD398F" w:rsidR="007F78F7" w:rsidRPr="0044562D" w:rsidRDefault="0044562D" w:rsidP="007F78F7">
            <w:pPr>
              <w:autoSpaceDE/>
              <w:autoSpaceDN/>
              <w:adjustRightInd/>
              <w:jc w:val="center"/>
              <w:rPr>
                <w:rFonts w:eastAsia="Times New Roman"/>
                <w:b w:val="0"/>
                <w:bCs w:val="0"/>
                <w:color w:val="000000"/>
                <w:sz w:val="22"/>
                <w:szCs w:val="22"/>
                <w:lang w:eastAsia="en-GB"/>
              </w:rPr>
            </w:pPr>
            <w:r w:rsidRPr="0044562D">
              <w:rPr>
                <w:rFonts w:eastAsia="Times New Roman"/>
                <w:b w:val="0"/>
                <w:bCs w:val="0"/>
                <w:color w:val="000000"/>
                <w:sz w:val="22"/>
                <w:szCs w:val="22"/>
                <w:lang w:eastAsia="en-GB"/>
              </w:rPr>
              <w:t>E.coli BSI</w:t>
            </w:r>
            <w:r w:rsidR="007F78F7" w:rsidRPr="0044562D">
              <w:rPr>
                <w:rFonts w:eastAsia="Times New Roman"/>
                <w:b w:val="0"/>
                <w:bCs w:val="0"/>
                <w:color w:val="000000"/>
                <w:sz w:val="22"/>
                <w:szCs w:val="22"/>
                <w:lang w:eastAsia="en-GB"/>
              </w:rPr>
              <w:t xml:space="preserve"> (n = 138)</w:t>
            </w:r>
          </w:p>
        </w:tc>
        <w:tc>
          <w:tcPr>
            <w:tcW w:w="1125" w:type="pct"/>
            <w:noWrap/>
            <w:vAlign w:val="center"/>
            <w:hideMark/>
          </w:tcPr>
          <w:p w14:paraId="200334F3" w14:textId="77777777" w:rsidR="007F78F7" w:rsidRPr="007F78F7"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8 (2-12)</w:t>
            </w:r>
          </w:p>
        </w:tc>
        <w:tc>
          <w:tcPr>
            <w:tcW w:w="1048" w:type="pct"/>
            <w:noWrap/>
            <w:vAlign w:val="center"/>
            <w:hideMark/>
          </w:tcPr>
          <w:p w14:paraId="36130A85" w14:textId="77777777" w:rsidR="007F78F7" w:rsidRPr="007F78F7"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8 (2-12)</w:t>
            </w:r>
          </w:p>
        </w:tc>
        <w:tc>
          <w:tcPr>
            <w:tcW w:w="674" w:type="pct"/>
            <w:tcBorders>
              <w:right w:val="single" w:sz="4" w:space="0" w:color="auto"/>
            </w:tcBorders>
            <w:noWrap/>
            <w:vAlign w:val="center"/>
            <w:hideMark/>
          </w:tcPr>
          <w:p w14:paraId="13876BA8" w14:textId="77777777" w:rsidR="007F78F7" w:rsidRPr="0044562D" w:rsidRDefault="007F78F7" w:rsidP="007F78F7">
            <w:pPr>
              <w:autoSpaceDE/>
              <w:autoSpaceDN/>
              <w:adjustRightInd/>
              <w:jc w:val="center"/>
              <w:cnfStyle w:val="000000100000" w:firstRow="0" w:lastRow="0" w:firstColumn="0" w:lastColumn="0" w:oddVBand="0" w:evenVBand="0" w:oddHBand="1" w:evenHBand="0" w:firstRowFirstColumn="0" w:firstRowLastColumn="0" w:lastRowFirstColumn="0" w:lastRowLastColumn="0"/>
              <w:rPr>
                <w:rFonts w:eastAsia="Times New Roman"/>
                <w:i/>
                <w:iCs/>
                <w:color w:val="000000"/>
                <w:sz w:val="22"/>
                <w:szCs w:val="22"/>
                <w:lang w:eastAsia="en-GB"/>
              </w:rPr>
            </w:pPr>
            <w:r w:rsidRPr="0044562D">
              <w:rPr>
                <w:rFonts w:eastAsia="Times New Roman"/>
                <w:i/>
                <w:iCs/>
                <w:color w:val="000000"/>
                <w:sz w:val="22"/>
                <w:szCs w:val="22"/>
                <w:lang w:eastAsia="en-GB"/>
              </w:rPr>
              <w:t>0.188</w:t>
            </w:r>
          </w:p>
        </w:tc>
      </w:tr>
      <w:tr w:rsidR="002A4319" w:rsidRPr="007F78F7" w14:paraId="3EB3E93E" w14:textId="77777777" w:rsidTr="0044562D">
        <w:trPr>
          <w:trHeight w:val="363"/>
        </w:trPr>
        <w:tc>
          <w:tcPr>
            <w:cnfStyle w:val="001000000000" w:firstRow="0" w:lastRow="0" w:firstColumn="1" w:lastColumn="0" w:oddVBand="0" w:evenVBand="0" w:oddHBand="0" w:evenHBand="0" w:firstRowFirstColumn="0" w:firstRowLastColumn="0" w:lastRowFirstColumn="0" w:lastRowLastColumn="0"/>
            <w:tcW w:w="2153" w:type="pct"/>
            <w:tcBorders>
              <w:left w:val="single" w:sz="4" w:space="0" w:color="auto"/>
            </w:tcBorders>
            <w:noWrap/>
            <w:vAlign w:val="center"/>
            <w:hideMark/>
          </w:tcPr>
          <w:p w14:paraId="3DDEB418" w14:textId="786F55DF" w:rsidR="007F78F7" w:rsidRPr="0044562D" w:rsidRDefault="0044562D" w:rsidP="007F78F7">
            <w:pPr>
              <w:autoSpaceDE/>
              <w:autoSpaceDN/>
              <w:adjustRightInd/>
              <w:jc w:val="center"/>
              <w:rPr>
                <w:rFonts w:eastAsia="Times New Roman"/>
                <w:b w:val="0"/>
                <w:bCs w:val="0"/>
                <w:color w:val="000000"/>
                <w:sz w:val="22"/>
                <w:szCs w:val="22"/>
                <w:lang w:eastAsia="en-GB"/>
              </w:rPr>
            </w:pPr>
            <w:r w:rsidRPr="0044562D">
              <w:rPr>
                <w:rFonts w:eastAsia="Times New Roman"/>
                <w:b w:val="0"/>
                <w:bCs w:val="0"/>
                <w:color w:val="000000"/>
                <w:sz w:val="22"/>
                <w:szCs w:val="22"/>
                <w:lang w:eastAsia="en-GB"/>
              </w:rPr>
              <w:t>Ward cases</w:t>
            </w:r>
            <w:r w:rsidR="007F78F7" w:rsidRPr="0044562D">
              <w:rPr>
                <w:rFonts w:eastAsia="Times New Roman"/>
                <w:b w:val="0"/>
                <w:bCs w:val="0"/>
                <w:color w:val="000000"/>
                <w:sz w:val="22"/>
                <w:szCs w:val="22"/>
                <w:lang w:eastAsia="en-GB"/>
              </w:rPr>
              <w:t xml:space="preserve"> (n=64)</w:t>
            </w:r>
          </w:p>
        </w:tc>
        <w:tc>
          <w:tcPr>
            <w:tcW w:w="1125" w:type="pct"/>
            <w:noWrap/>
            <w:vAlign w:val="center"/>
            <w:hideMark/>
          </w:tcPr>
          <w:p w14:paraId="23AFD270" w14:textId="77777777" w:rsidR="007F78F7" w:rsidRPr="007F78F7"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6 (0-12)</w:t>
            </w:r>
          </w:p>
        </w:tc>
        <w:tc>
          <w:tcPr>
            <w:tcW w:w="1048" w:type="pct"/>
            <w:noWrap/>
            <w:vAlign w:val="center"/>
            <w:hideMark/>
          </w:tcPr>
          <w:p w14:paraId="2B28E4BC" w14:textId="77777777" w:rsidR="007F78F7" w:rsidRPr="007F78F7"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lang w:eastAsia="en-GB"/>
              </w:rPr>
            </w:pPr>
            <w:r w:rsidRPr="007F78F7">
              <w:rPr>
                <w:rFonts w:eastAsia="Times New Roman"/>
                <w:color w:val="000000"/>
                <w:sz w:val="22"/>
                <w:szCs w:val="22"/>
                <w:lang w:eastAsia="en-GB"/>
              </w:rPr>
              <w:t>5 (0-12)</w:t>
            </w:r>
          </w:p>
        </w:tc>
        <w:tc>
          <w:tcPr>
            <w:tcW w:w="674" w:type="pct"/>
            <w:tcBorders>
              <w:right w:val="single" w:sz="4" w:space="0" w:color="auto"/>
            </w:tcBorders>
            <w:noWrap/>
            <w:vAlign w:val="center"/>
            <w:hideMark/>
          </w:tcPr>
          <w:p w14:paraId="5ADBD62A" w14:textId="3CF10EFD" w:rsidR="007F78F7" w:rsidRPr="0044562D" w:rsidRDefault="007F78F7" w:rsidP="007F78F7">
            <w:pPr>
              <w:autoSpaceDE/>
              <w:autoSpaceDN/>
              <w:adjustRightInd/>
              <w:jc w:val="center"/>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 w:val="22"/>
                <w:szCs w:val="22"/>
                <w:lang w:eastAsia="en-GB"/>
              </w:rPr>
            </w:pPr>
            <w:r w:rsidRPr="0044562D">
              <w:rPr>
                <w:rFonts w:eastAsia="Times New Roman"/>
                <w:b/>
                <w:bCs/>
                <w:i/>
                <w:iCs/>
                <w:color w:val="000000"/>
                <w:sz w:val="22"/>
                <w:szCs w:val="22"/>
                <w:lang w:eastAsia="en-GB"/>
              </w:rPr>
              <w:t>0.030</w:t>
            </w:r>
          </w:p>
        </w:tc>
      </w:tr>
    </w:tbl>
    <w:p w14:paraId="5B78B50B" w14:textId="77777777" w:rsidR="00ED4890" w:rsidRDefault="00ED4890" w:rsidP="0011549D">
      <w:pPr>
        <w:rPr>
          <w:b/>
        </w:rPr>
        <w:sectPr w:rsidR="00ED4890" w:rsidSect="0066786E">
          <w:pgSz w:w="11906" w:h="16838"/>
          <w:pgMar w:top="1440" w:right="1440" w:bottom="1440" w:left="1440" w:header="708" w:footer="708" w:gutter="0"/>
          <w:cols w:space="708"/>
          <w:docGrid w:linePitch="360"/>
        </w:sectPr>
      </w:pPr>
    </w:p>
    <w:p w14:paraId="40E5E95F" w14:textId="7E7D3577" w:rsidR="00703F3B" w:rsidRPr="0044562D" w:rsidRDefault="00703F3B" w:rsidP="00FA7F1C">
      <w:pPr>
        <w:jc w:val="both"/>
        <w:rPr>
          <w:b/>
          <w:sz w:val="24"/>
          <w:szCs w:val="24"/>
        </w:rPr>
      </w:pPr>
      <w:r w:rsidRPr="0044562D">
        <w:rPr>
          <w:b/>
          <w:sz w:val="24"/>
          <w:szCs w:val="24"/>
        </w:rPr>
        <w:lastRenderedPageBreak/>
        <w:t xml:space="preserve">Table </w:t>
      </w:r>
      <w:r w:rsidR="00E55BF7" w:rsidRPr="0044562D">
        <w:rPr>
          <w:b/>
          <w:sz w:val="24"/>
          <w:szCs w:val="24"/>
        </w:rPr>
        <w:t>3.</w:t>
      </w:r>
      <w:r w:rsidRPr="0044562D">
        <w:rPr>
          <w:b/>
          <w:sz w:val="24"/>
          <w:szCs w:val="24"/>
        </w:rPr>
        <w:t xml:space="preserve"> </w:t>
      </w:r>
      <w:r w:rsidR="00FA7F1C" w:rsidRPr="00FA7F1C">
        <w:rPr>
          <w:bCs/>
          <w:sz w:val="24"/>
          <w:szCs w:val="24"/>
        </w:rPr>
        <w:t>Comparison of prescriber and CBR recommendations using WHO Access, Watch, Reserve classification system.</w:t>
      </w:r>
    </w:p>
    <w:p w14:paraId="032B4CF2" w14:textId="2F67E5CA" w:rsidR="00703F3B" w:rsidRDefault="00703F3B" w:rsidP="00ED4890">
      <w:pPr>
        <w:rPr>
          <w:b/>
        </w:rPr>
      </w:pPr>
    </w:p>
    <w:tbl>
      <w:tblPr>
        <w:tblpPr w:leftFromText="180" w:rightFromText="180" w:vertAnchor="page" w:horzAnchor="margin" w:tblpXSpec="center" w:tblpY="2611"/>
        <w:tblW w:w="1028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1373"/>
        <w:gridCol w:w="1057"/>
        <w:gridCol w:w="1020"/>
        <w:gridCol w:w="1640"/>
        <w:gridCol w:w="1373"/>
        <w:gridCol w:w="961"/>
        <w:gridCol w:w="1020"/>
      </w:tblGrid>
      <w:tr w:rsidR="00681ED3" w:rsidRPr="00681ED3" w14:paraId="7F6AAB31" w14:textId="77777777" w:rsidTr="006305D0">
        <w:trPr>
          <w:trHeight w:val="267"/>
        </w:trPr>
        <w:tc>
          <w:tcPr>
            <w:tcW w:w="1838" w:type="dxa"/>
            <w:tcBorders>
              <w:top w:val="single" w:sz="4" w:space="0" w:color="auto"/>
              <w:bottom w:val="single" w:sz="4" w:space="0" w:color="auto"/>
            </w:tcBorders>
            <w:shd w:val="clear" w:color="auto" w:fill="A6A6A6" w:themeFill="background1" w:themeFillShade="A6"/>
            <w:noWrap/>
            <w:vAlign w:val="center"/>
            <w:hideMark/>
          </w:tcPr>
          <w:p w14:paraId="2FAC3959"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 </w:t>
            </w:r>
          </w:p>
        </w:tc>
        <w:tc>
          <w:tcPr>
            <w:tcW w:w="1373" w:type="dxa"/>
            <w:tcBorders>
              <w:top w:val="single" w:sz="4" w:space="0" w:color="auto"/>
              <w:bottom w:val="single" w:sz="4" w:space="0" w:color="auto"/>
            </w:tcBorders>
            <w:shd w:val="clear" w:color="auto" w:fill="A6A6A6" w:themeFill="background1" w:themeFillShade="A6"/>
            <w:noWrap/>
            <w:vAlign w:val="center"/>
            <w:hideMark/>
          </w:tcPr>
          <w:p w14:paraId="7D20DD60" w14:textId="69603CDC" w:rsidR="00703F3B" w:rsidRPr="00681ED3" w:rsidRDefault="00703F3B" w:rsidP="006305D0">
            <w:pPr>
              <w:autoSpaceDE/>
              <w:autoSpaceDN/>
              <w:adjustRightInd/>
              <w:jc w:val="center"/>
              <w:rPr>
                <w:rFonts w:eastAsia="Times New Roman"/>
                <w:b/>
                <w:bCs/>
                <w:color w:val="000000"/>
                <w:lang w:eastAsia="en-GB"/>
              </w:rPr>
            </w:pPr>
            <w:r w:rsidRPr="00681ED3">
              <w:rPr>
                <w:rFonts w:eastAsia="Times New Roman"/>
                <w:b/>
                <w:bCs/>
                <w:color w:val="000000"/>
                <w:lang w:eastAsia="en-GB"/>
              </w:rPr>
              <w:t xml:space="preserve">Prescriber </w:t>
            </w:r>
          </w:p>
        </w:tc>
        <w:tc>
          <w:tcPr>
            <w:tcW w:w="1057" w:type="dxa"/>
            <w:tcBorders>
              <w:top w:val="single" w:sz="4" w:space="0" w:color="auto"/>
              <w:bottom w:val="single" w:sz="4" w:space="0" w:color="auto"/>
            </w:tcBorders>
            <w:shd w:val="clear" w:color="auto" w:fill="A6A6A6" w:themeFill="background1" w:themeFillShade="A6"/>
            <w:noWrap/>
            <w:vAlign w:val="center"/>
            <w:hideMark/>
          </w:tcPr>
          <w:p w14:paraId="70D9A81A" w14:textId="2C0BAED9" w:rsidR="00703F3B" w:rsidRPr="00681ED3" w:rsidRDefault="00703F3B" w:rsidP="006305D0">
            <w:pPr>
              <w:autoSpaceDE/>
              <w:autoSpaceDN/>
              <w:adjustRightInd/>
              <w:jc w:val="center"/>
              <w:rPr>
                <w:rFonts w:eastAsia="Times New Roman"/>
                <w:b/>
                <w:bCs/>
                <w:color w:val="000000"/>
                <w:lang w:eastAsia="en-GB"/>
              </w:rPr>
            </w:pPr>
            <w:r w:rsidRPr="00681ED3">
              <w:rPr>
                <w:rFonts w:eastAsia="Times New Roman"/>
                <w:b/>
                <w:bCs/>
                <w:color w:val="000000"/>
                <w:lang w:eastAsia="en-GB"/>
              </w:rPr>
              <w:t xml:space="preserve">CBR </w:t>
            </w:r>
          </w:p>
        </w:tc>
        <w:tc>
          <w:tcPr>
            <w:tcW w:w="1020" w:type="dxa"/>
            <w:tcBorders>
              <w:top w:val="single" w:sz="4" w:space="0" w:color="auto"/>
              <w:bottom w:val="single" w:sz="4" w:space="0" w:color="auto"/>
              <w:right w:val="single" w:sz="4" w:space="0" w:color="auto"/>
            </w:tcBorders>
            <w:shd w:val="clear" w:color="auto" w:fill="A6A6A6" w:themeFill="background1" w:themeFillShade="A6"/>
            <w:noWrap/>
            <w:vAlign w:val="center"/>
            <w:hideMark/>
          </w:tcPr>
          <w:p w14:paraId="6912F3F0" w14:textId="77777777" w:rsidR="00703F3B" w:rsidRPr="00681ED3" w:rsidRDefault="00703F3B" w:rsidP="006305D0">
            <w:pPr>
              <w:autoSpaceDE/>
              <w:autoSpaceDN/>
              <w:adjustRightInd/>
              <w:jc w:val="center"/>
              <w:rPr>
                <w:rFonts w:eastAsia="Times New Roman"/>
                <w:b/>
                <w:bCs/>
                <w:color w:val="000000"/>
                <w:lang w:eastAsia="en-GB"/>
              </w:rPr>
            </w:pPr>
            <w:r w:rsidRPr="00681ED3">
              <w:rPr>
                <w:rFonts w:eastAsia="Times New Roman"/>
                <w:b/>
                <w:bCs/>
                <w:color w:val="000000"/>
                <w:lang w:eastAsia="en-GB"/>
              </w:rPr>
              <w:t>p-value</w:t>
            </w:r>
          </w:p>
        </w:tc>
        <w:tc>
          <w:tcPr>
            <w:tcW w:w="1640" w:type="dxa"/>
            <w:tcBorders>
              <w:top w:val="single" w:sz="4" w:space="0" w:color="auto"/>
              <w:left w:val="single" w:sz="4" w:space="0" w:color="auto"/>
              <w:bottom w:val="single" w:sz="4" w:space="0" w:color="auto"/>
            </w:tcBorders>
            <w:shd w:val="clear" w:color="auto" w:fill="A6A6A6" w:themeFill="background1" w:themeFillShade="A6"/>
            <w:noWrap/>
            <w:vAlign w:val="center"/>
            <w:hideMark/>
          </w:tcPr>
          <w:p w14:paraId="17254031" w14:textId="77777777" w:rsidR="00703F3B" w:rsidRPr="00681ED3" w:rsidRDefault="00703F3B" w:rsidP="006305D0">
            <w:pPr>
              <w:autoSpaceDE/>
              <w:autoSpaceDN/>
              <w:adjustRightInd/>
              <w:rPr>
                <w:rFonts w:eastAsia="Times New Roman"/>
                <w:b/>
                <w:bCs/>
                <w:color w:val="000000"/>
                <w:lang w:eastAsia="en-GB"/>
              </w:rPr>
            </w:pPr>
            <w:r w:rsidRPr="00681ED3">
              <w:rPr>
                <w:rFonts w:eastAsia="Times New Roman"/>
                <w:b/>
                <w:bCs/>
                <w:color w:val="000000"/>
                <w:lang w:eastAsia="en-GB"/>
              </w:rPr>
              <w:t> </w:t>
            </w:r>
          </w:p>
        </w:tc>
        <w:tc>
          <w:tcPr>
            <w:tcW w:w="1373" w:type="dxa"/>
            <w:tcBorders>
              <w:top w:val="single" w:sz="4" w:space="0" w:color="auto"/>
              <w:bottom w:val="single" w:sz="4" w:space="0" w:color="auto"/>
            </w:tcBorders>
            <w:shd w:val="clear" w:color="auto" w:fill="A6A6A6" w:themeFill="background1" w:themeFillShade="A6"/>
            <w:noWrap/>
            <w:vAlign w:val="center"/>
            <w:hideMark/>
          </w:tcPr>
          <w:p w14:paraId="0B1C50E6" w14:textId="573F7606" w:rsidR="00703F3B" w:rsidRPr="00681ED3" w:rsidRDefault="00703F3B" w:rsidP="006305D0">
            <w:pPr>
              <w:autoSpaceDE/>
              <w:autoSpaceDN/>
              <w:adjustRightInd/>
              <w:jc w:val="center"/>
              <w:rPr>
                <w:rFonts w:eastAsia="Times New Roman"/>
                <w:b/>
                <w:bCs/>
                <w:color w:val="000000"/>
                <w:lang w:eastAsia="en-GB"/>
              </w:rPr>
            </w:pPr>
            <w:r w:rsidRPr="00681ED3">
              <w:rPr>
                <w:rFonts w:eastAsia="Times New Roman"/>
                <w:b/>
                <w:bCs/>
                <w:color w:val="000000"/>
                <w:lang w:eastAsia="en-GB"/>
              </w:rPr>
              <w:t xml:space="preserve">Prescriber </w:t>
            </w:r>
          </w:p>
        </w:tc>
        <w:tc>
          <w:tcPr>
            <w:tcW w:w="961" w:type="dxa"/>
            <w:tcBorders>
              <w:top w:val="single" w:sz="4" w:space="0" w:color="auto"/>
              <w:bottom w:val="single" w:sz="4" w:space="0" w:color="auto"/>
            </w:tcBorders>
            <w:shd w:val="clear" w:color="auto" w:fill="A6A6A6" w:themeFill="background1" w:themeFillShade="A6"/>
            <w:noWrap/>
            <w:vAlign w:val="center"/>
            <w:hideMark/>
          </w:tcPr>
          <w:p w14:paraId="58584AC4" w14:textId="389FB10D" w:rsidR="00703F3B" w:rsidRPr="00681ED3" w:rsidRDefault="00703F3B" w:rsidP="006305D0">
            <w:pPr>
              <w:autoSpaceDE/>
              <w:autoSpaceDN/>
              <w:adjustRightInd/>
              <w:jc w:val="center"/>
              <w:rPr>
                <w:rFonts w:eastAsia="Times New Roman"/>
                <w:b/>
                <w:bCs/>
                <w:color w:val="000000"/>
                <w:lang w:eastAsia="en-GB"/>
              </w:rPr>
            </w:pPr>
            <w:r w:rsidRPr="00681ED3">
              <w:rPr>
                <w:rFonts w:eastAsia="Times New Roman"/>
                <w:b/>
                <w:bCs/>
                <w:color w:val="000000"/>
                <w:lang w:eastAsia="en-GB"/>
              </w:rPr>
              <w:t xml:space="preserve">CBR </w:t>
            </w:r>
          </w:p>
        </w:tc>
        <w:tc>
          <w:tcPr>
            <w:tcW w:w="1020" w:type="dxa"/>
            <w:tcBorders>
              <w:top w:val="single" w:sz="4" w:space="0" w:color="auto"/>
              <w:bottom w:val="single" w:sz="4" w:space="0" w:color="auto"/>
            </w:tcBorders>
            <w:shd w:val="clear" w:color="auto" w:fill="A6A6A6" w:themeFill="background1" w:themeFillShade="A6"/>
            <w:noWrap/>
            <w:vAlign w:val="center"/>
            <w:hideMark/>
          </w:tcPr>
          <w:p w14:paraId="4E39186B" w14:textId="77777777" w:rsidR="00703F3B" w:rsidRPr="00681ED3" w:rsidRDefault="00703F3B" w:rsidP="006305D0">
            <w:pPr>
              <w:autoSpaceDE/>
              <w:autoSpaceDN/>
              <w:adjustRightInd/>
              <w:jc w:val="center"/>
              <w:rPr>
                <w:rFonts w:eastAsia="Times New Roman"/>
                <w:b/>
                <w:bCs/>
                <w:color w:val="000000"/>
                <w:lang w:eastAsia="en-GB"/>
              </w:rPr>
            </w:pPr>
            <w:r w:rsidRPr="00681ED3">
              <w:rPr>
                <w:rFonts w:eastAsia="Times New Roman"/>
                <w:b/>
                <w:bCs/>
                <w:color w:val="000000"/>
                <w:lang w:eastAsia="en-GB"/>
              </w:rPr>
              <w:t>p-value</w:t>
            </w:r>
          </w:p>
        </w:tc>
      </w:tr>
      <w:tr w:rsidR="00681ED3" w:rsidRPr="00681ED3" w14:paraId="5300B938" w14:textId="77777777" w:rsidTr="006305D0">
        <w:trPr>
          <w:trHeight w:val="255"/>
        </w:trPr>
        <w:tc>
          <w:tcPr>
            <w:tcW w:w="1838" w:type="dxa"/>
            <w:tcBorders>
              <w:top w:val="single" w:sz="4" w:space="0" w:color="auto"/>
              <w:bottom w:val="nil"/>
            </w:tcBorders>
            <w:shd w:val="clear" w:color="auto" w:fill="D9D9D9" w:themeFill="background1" w:themeFillShade="D9"/>
            <w:noWrap/>
            <w:vAlign w:val="center"/>
            <w:hideMark/>
          </w:tcPr>
          <w:p w14:paraId="3A366D57" w14:textId="77777777" w:rsidR="00703F3B" w:rsidRPr="00681ED3" w:rsidRDefault="00703F3B" w:rsidP="006305D0">
            <w:pPr>
              <w:autoSpaceDE/>
              <w:autoSpaceDN/>
              <w:adjustRightInd/>
              <w:rPr>
                <w:rFonts w:eastAsia="Times New Roman"/>
                <w:b/>
                <w:bCs/>
                <w:color w:val="000000"/>
                <w:lang w:eastAsia="en-GB"/>
              </w:rPr>
            </w:pPr>
            <w:r w:rsidRPr="00681ED3">
              <w:rPr>
                <w:rFonts w:eastAsia="Times New Roman"/>
                <w:b/>
                <w:bCs/>
                <w:color w:val="000000"/>
                <w:lang w:eastAsia="en-GB"/>
              </w:rPr>
              <w:t xml:space="preserve">Intention-to-treat </w:t>
            </w:r>
          </w:p>
        </w:tc>
        <w:tc>
          <w:tcPr>
            <w:tcW w:w="1373" w:type="dxa"/>
            <w:tcBorders>
              <w:top w:val="single" w:sz="4" w:space="0" w:color="auto"/>
              <w:bottom w:val="nil"/>
            </w:tcBorders>
            <w:shd w:val="clear" w:color="auto" w:fill="D9D9D9" w:themeFill="background1" w:themeFillShade="D9"/>
            <w:noWrap/>
            <w:vAlign w:val="center"/>
            <w:hideMark/>
          </w:tcPr>
          <w:p w14:paraId="550D63DE" w14:textId="77777777" w:rsidR="00703F3B" w:rsidRPr="00681ED3" w:rsidRDefault="00703F3B" w:rsidP="006305D0">
            <w:pPr>
              <w:autoSpaceDE/>
              <w:autoSpaceDN/>
              <w:adjustRightInd/>
              <w:rPr>
                <w:rFonts w:eastAsia="Times New Roman"/>
                <w:b/>
                <w:bCs/>
                <w:color w:val="000000"/>
                <w:lang w:eastAsia="en-GB"/>
              </w:rPr>
            </w:pPr>
          </w:p>
        </w:tc>
        <w:tc>
          <w:tcPr>
            <w:tcW w:w="1057" w:type="dxa"/>
            <w:tcBorders>
              <w:top w:val="single" w:sz="4" w:space="0" w:color="auto"/>
              <w:bottom w:val="nil"/>
            </w:tcBorders>
            <w:shd w:val="clear" w:color="auto" w:fill="D9D9D9" w:themeFill="background1" w:themeFillShade="D9"/>
            <w:noWrap/>
            <w:vAlign w:val="center"/>
            <w:hideMark/>
          </w:tcPr>
          <w:p w14:paraId="7DBD1D80" w14:textId="77777777" w:rsidR="00703F3B" w:rsidRPr="00681ED3" w:rsidRDefault="00703F3B" w:rsidP="006305D0">
            <w:pPr>
              <w:autoSpaceDE/>
              <w:autoSpaceDN/>
              <w:adjustRightInd/>
              <w:rPr>
                <w:rFonts w:eastAsia="Times New Roman"/>
                <w:lang w:eastAsia="en-GB"/>
              </w:rPr>
            </w:pPr>
          </w:p>
        </w:tc>
        <w:tc>
          <w:tcPr>
            <w:tcW w:w="1020" w:type="dxa"/>
            <w:tcBorders>
              <w:top w:val="single" w:sz="4" w:space="0" w:color="auto"/>
              <w:bottom w:val="nil"/>
              <w:right w:val="single" w:sz="4" w:space="0" w:color="auto"/>
            </w:tcBorders>
            <w:shd w:val="clear" w:color="auto" w:fill="D9D9D9" w:themeFill="background1" w:themeFillShade="D9"/>
            <w:noWrap/>
            <w:vAlign w:val="center"/>
            <w:hideMark/>
          </w:tcPr>
          <w:p w14:paraId="5B21C03E" w14:textId="77777777" w:rsidR="00703F3B" w:rsidRPr="00681ED3" w:rsidRDefault="00703F3B" w:rsidP="006305D0">
            <w:pPr>
              <w:autoSpaceDE/>
              <w:autoSpaceDN/>
              <w:adjustRightInd/>
              <w:rPr>
                <w:rFonts w:eastAsia="Times New Roman"/>
                <w:lang w:eastAsia="en-GB"/>
              </w:rPr>
            </w:pPr>
          </w:p>
        </w:tc>
        <w:tc>
          <w:tcPr>
            <w:tcW w:w="1640" w:type="dxa"/>
            <w:tcBorders>
              <w:top w:val="single" w:sz="4" w:space="0" w:color="auto"/>
              <w:left w:val="single" w:sz="4" w:space="0" w:color="auto"/>
              <w:bottom w:val="nil"/>
            </w:tcBorders>
            <w:shd w:val="clear" w:color="auto" w:fill="D9D9D9" w:themeFill="background1" w:themeFillShade="D9"/>
            <w:noWrap/>
            <w:vAlign w:val="center"/>
            <w:hideMark/>
          </w:tcPr>
          <w:p w14:paraId="38D8F765" w14:textId="77777777" w:rsidR="00703F3B" w:rsidRPr="00681ED3" w:rsidRDefault="00703F3B" w:rsidP="006305D0">
            <w:pPr>
              <w:autoSpaceDE/>
              <w:autoSpaceDN/>
              <w:adjustRightInd/>
              <w:rPr>
                <w:rFonts w:eastAsia="Times New Roman"/>
                <w:b/>
                <w:bCs/>
                <w:color w:val="000000"/>
                <w:lang w:eastAsia="en-GB"/>
              </w:rPr>
            </w:pPr>
            <w:r w:rsidRPr="00681ED3">
              <w:rPr>
                <w:rFonts w:eastAsia="Times New Roman"/>
                <w:b/>
                <w:bCs/>
                <w:color w:val="000000"/>
                <w:lang w:eastAsia="en-GB"/>
              </w:rPr>
              <w:t>Per Protocol</w:t>
            </w:r>
          </w:p>
        </w:tc>
        <w:tc>
          <w:tcPr>
            <w:tcW w:w="1373" w:type="dxa"/>
            <w:tcBorders>
              <w:top w:val="single" w:sz="4" w:space="0" w:color="auto"/>
              <w:bottom w:val="nil"/>
            </w:tcBorders>
            <w:shd w:val="clear" w:color="auto" w:fill="D9D9D9" w:themeFill="background1" w:themeFillShade="D9"/>
            <w:noWrap/>
            <w:vAlign w:val="center"/>
            <w:hideMark/>
          </w:tcPr>
          <w:p w14:paraId="7697B49B" w14:textId="77777777" w:rsidR="00703F3B" w:rsidRPr="00681ED3" w:rsidRDefault="00703F3B" w:rsidP="006305D0">
            <w:pPr>
              <w:autoSpaceDE/>
              <w:autoSpaceDN/>
              <w:adjustRightInd/>
              <w:rPr>
                <w:rFonts w:eastAsia="Times New Roman"/>
                <w:b/>
                <w:bCs/>
                <w:color w:val="000000"/>
                <w:lang w:eastAsia="en-GB"/>
              </w:rPr>
            </w:pPr>
          </w:p>
        </w:tc>
        <w:tc>
          <w:tcPr>
            <w:tcW w:w="961" w:type="dxa"/>
            <w:tcBorders>
              <w:top w:val="single" w:sz="4" w:space="0" w:color="auto"/>
              <w:bottom w:val="nil"/>
            </w:tcBorders>
            <w:shd w:val="clear" w:color="auto" w:fill="D9D9D9" w:themeFill="background1" w:themeFillShade="D9"/>
            <w:noWrap/>
            <w:vAlign w:val="center"/>
            <w:hideMark/>
          </w:tcPr>
          <w:p w14:paraId="34F8931F" w14:textId="77777777" w:rsidR="00703F3B" w:rsidRPr="00681ED3" w:rsidRDefault="00703F3B" w:rsidP="006305D0">
            <w:pPr>
              <w:autoSpaceDE/>
              <w:autoSpaceDN/>
              <w:adjustRightInd/>
              <w:rPr>
                <w:rFonts w:eastAsia="Times New Roman"/>
                <w:lang w:eastAsia="en-GB"/>
              </w:rPr>
            </w:pPr>
          </w:p>
        </w:tc>
        <w:tc>
          <w:tcPr>
            <w:tcW w:w="1020" w:type="dxa"/>
            <w:tcBorders>
              <w:top w:val="single" w:sz="4" w:space="0" w:color="auto"/>
              <w:bottom w:val="nil"/>
            </w:tcBorders>
            <w:shd w:val="clear" w:color="auto" w:fill="D9D9D9" w:themeFill="background1" w:themeFillShade="D9"/>
            <w:noWrap/>
            <w:vAlign w:val="center"/>
            <w:hideMark/>
          </w:tcPr>
          <w:p w14:paraId="3F30ECFF"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r>
      <w:tr w:rsidR="00681ED3" w:rsidRPr="00681ED3" w14:paraId="7E005610" w14:textId="77777777" w:rsidTr="006305D0">
        <w:trPr>
          <w:trHeight w:val="255"/>
        </w:trPr>
        <w:tc>
          <w:tcPr>
            <w:tcW w:w="1838" w:type="dxa"/>
            <w:tcBorders>
              <w:top w:val="nil"/>
              <w:bottom w:val="single" w:sz="4" w:space="0" w:color="auto"/>
            </w:tcBorders>
            <w:shd w:val="clear" w:color="auto" w:fill="D9D9D9" w:themeFill="background1" w:themeFillShade="D9"/>
            <w:noWrap/>
            <w:vAlign w:val="center"/>
            <w:hideMark/>
          </w:tcPr>
          <w:p w14:paraId="5DCE773A" w14:textId="77777777" w:rsidR="00703F3B" w:rsidRPr="00681ED3" w:rsidRDefault="00703F3B" w:rsidP="006305D0">
            <w:pPr>
              <w:autoSpaceDE/>
              <w:autoSpaceDN/>
              <w:adjustRightInd/>
              <w:rPr>
                <w:rFonts w:eastAsia="Times New Roman"/>
                <w:b/>
                <w:bCs/>
                <w:color w:val="000000"/>
                <w:lang w:eastAsia="en-GB"/>
              </w:rPr>
            </w:pPr>
            <w:r w:rsidRPr="00681ED3">
              <w:rPr>
                <w:rFonts w:eastAsia="Times New Roman"/>
                <w:b/>
                <w:bCs/>
                <w:color w:val="000000"/>
                <w:lang w:eastAsia="en-GB"/>
              </w:rPr>
              <w:t>Total (n = 224)</w:t>
            </w:r>
          </w:p>
        </w:tc>
        <w:tc>
          <w:tcPr>
            <w:tcW w:w="1373" w:type="dxa"/>
            <w:tcBorders>
              <w:top w:val="nil"/>
              <w:bottom w:val="single" w:sz="4" w:space="0" w:color="auto"/>
            </w:tcBorders>
            <w:shd w:val="clear" w:color="auto" w:fill="D9D9D9" w:themeFill="background1" w:themeFillShade="D9"/>
            <w:noWrap/>
            <w:vAlign w:val="center"/>
            <w:hideMark/>
          </w:tcPr>
          <w:p w14:paraId="54C0DCC3" w14:textId="77777777" w:rsidR="00703F3B" w:rsidRPr="00681ED3" w:rsidRDefault="00703F3B" w:rsidP="006305D0">
            <w:pPr>
              <w:autoSpaceDE/>
              <w:autoSpaceDN/>
              <w:adjustRightInd/>
              <w:jc w:val="center"/>
              <w:rPr>
                <w:rFonts w:eastAsia="Times New Roman"/>
                <w:b/>
                <w:bCs/>
                <w:color w:val="000000"/>
                <w:lang w:eastAsia="en-GB"/>
              </w:rPr>
            </w:pPr>
          </w:p>
        </w:tc>
        <w:tc>
          <w:tcPr>
            <w:tcW w:w="1057" w:type="dxa"/>
            <w:tcBorders>
              <w:top w:val="nil"/>
              <w:bottom w:val="single" w:sz="4" w:space="0" w:color="auto"/>
            </w:tcBorders>
            <w:shd w:val="clear" w:color="auto" w:fill="D9D9D9" w:themeFill="background1" w:themeFillShade="D9"/>
            <w:noWrap/>
            <w:vAlign w:val="center"/>
            <w:hideMark/>
          </w:tcPr>
          <w:p w14:paraId="05E205E0" w14:textId="77777777" w:rsidR="00703F3B" w:rsidRPr="00681ED3" w:rsidRDefault="00703F3B" w:rsidP="006305D0">
            <w:pPr>
              <w:autoSpaceDE/>
              <w:autoSpaceDN/>
              <w:adjustRightInd/>
              <w:jc w:val="center"/>
              <w:rPr>
                <w:rFonts w:eastAsia="Times New Roman"/>
                <w:lang w:eastAsia="en-GB"/>
              </w:rPr>
            </w:pPr>
          </w:p>
        </w:tc>
        <w:tc>
          <w:tcPr>
            <w:tcW w:w="1020" w:type="dxa"/>
            <w:tcBorders>
              <w:top w:val="nil"/>
              <w:bottom w:val="single" w:sz="4" w:space="0" w:color="auto"/>
              <w:right w:val="single" w:sz="4" w:space="0" w:color="auto"/>
            </w:tcBorders>
            <w:shd w:val="clear" w:color="auto" w:fill="D9D9D9" w:themeFill="background1" w:themeFillShade="D9"/>
            <w:noWrap/>
            <w:vAlign w:val="center"/>
            <w:hideMark/>
          </w:tcPr>
          <w:p w14:paraId="4B081E78" w14:textId="4E6C1AFB" w:rsidR="00703F3B" w:rsidRPr="00681ED3" w:rsidRDefault="00681ED3" w:rsidP="006305D0">
            <w:pPr>
              <w:autoSpaceDE/>
              <w:autoSpaceDN/>
              <w:adjustRightInd/>
              <w:jc w:val="center"/>
              <w:rPr>
                <w:rFonts w:eastAsia="Times New Roman"/>
                <w:b/>
                <w:bCs/>
                <w:i/>
                <w:iCs/>
                <w:lang w:eastAsia="en-GB"/>
              </w:rPr>
            </w:pPr>
            <w:r w:rsidRPr="00681ED3">
              <w:rPr>
                <w:rFonts w:eastAsia="Times New Roman"/>
                <w:b/>
                <w:bCs/>
                <w:i/>
                <w:iCs/>
                <w:color w:val="000000"/>
                <w:lang w:eastAsia="en-GB"/>
              </w:rPr>
              <w:t>&lt;0.001</w:t>
            </w:r>
          </w:p>
        </w:tc>
        <w:tc>
          <w:tcPr>
            <w:tcW w:w="1640" w:type="dxa"/>
            <w:tcBorders>
              <w:top w:val="nil"/>
              <w:left w:val="single" w:sz="4" w:space="0" w:color="auto"/>
              <w:bottom w:val="single" w:sz="4" w:space="0" w:color="auto"/>
            </w:tcBorders>
            <w:shd w:val="clear" w:color="auto" w:fill="D9D9D9" w:themeFill="background1" w:themeFillShade="D9"/>
            <w:noWrap/>
            <w:vAlign w:val="center"/>
            <w:hideMark/>
          </w:tcPr>
          <w:p w14:paraId="1185AEFF" w14:textId="77777777" w:rsidR="00703F3B" w:rsidRPr="00681ED3" w:rsidRDefault="00703F3B" w:rsidP="006305D0">
            <w:pPr>
              <w:autoSpaceDE/>
              <w:autoSpaceDN/>
              <w:adjustRightInd/>
              <w:rPr>
                <w:rFonts w:eastAsia="Times New Roman"/>
                <w:b/>
                <w:bCs/>
                <w:color w:val="000000"/>
                <w:lang w:eastAsia="en-GB"/>
              </w:rPr>
            </w:pPr>
            <w:r w:rsidRPr="00681ED3">
              <w:rPr>
                <w:rFonts w:eastAsia="Times New Roman"/>
                <w:b/>
                <w:bCs/>
                <w:color w:val="000000"/>
                <w:lang w:eastAsia="en-GB"/>
              </w:rPr>
              <w:t>Total (n = 202)</w:t>
            </w:r>
          </w:p>
        </w:tc>
        <w:tc>
          <w:tcPr>
            <w:tcW w:w="1373" w:type="dxa"/>
            <w:tcBorders>
              <w:top w:val="nil"/>
              <w:bottom w:val="single" w:sz="4" w:space="0" w:color="auto"/>
            </w:tcBorders>
            <w:shd w:val="clear" w:color="auto" w:fill="D9D9D9" w:themeFill="background1" w:themeFillShade="D9"/>
            <w:noWrap/>
            <w:vAlign w:val="center"/>
            <w:hideMark/>
          </w:tcPr>
          <w:p w14:paraId="50973877" w14:textId="77777777" w:rsidR="00703F3B" w:rsidRPr="00681ED3" w:rsidRDefault="00703F3B" w:rsidP="006305D0">
            <w:pPr>
              <w:autoSpaceDE/>
              <w:autoSpaceDN/>
              <w:adjustRightInd/>
              <w:jc w:val="center"/>
              <w:rPr>
                <w:rFonts w:eastAsia="Times New Roman"/>
                <w:b/>
                <w:bCs/>
                <w:color w:val="000000"/>
                <w:lang w:eastAsia="en-GB"/>
              </w:rPr>
            </w:pPr>
          </w:p>
        </w:tc>
        <w:tc>
          <w:tcPr>
            <w:tcW w:w="961" w:type="dxa"/>
            <w:tcBorders>
              <w:top w:val="nil"/>
              <w:bottom w:val="single" w:sz="4" w:space="0" w:color="auto"/>
            </w:tcBorders>
            <w:shd w:val="clear" w:color="auto" w:fill="D9D9D9" w:themeFill="background1" w:themeFillShade="D9"/>
            <w:noWrap/>
            <w:vAlign w:val="center"/>
            <w:hideMark/>
          </w:tcPr>
          <w:p w14:paraId="545E002D" w14:textId="77777777" w:rsidR="00703F3B" w:rsidRPr="00681ED3" w:rsidRDefault="00703F3B" w:rsidP="006305D0">
            <w:pPr>
              <w:autoSpaceDE/>
              <w:autoSpaceDN/>
              <w:adjustRightInd/>
              <w:jc w:val="center"/>
              <w:rPr>
                <w:rFonts w:eastAsia="Times New Roman"/>
                <w:lang w:eastAsia="en-GB"/>
              </w:rPr>
            </w:pPr>
          </w:p>
        </w:tc>
        <w:tc>
          <w:tcPr>
            <w:tcW w:w="1020" w:type="dxa"/>
            <w:tcBorders>
              <w:top w:val="nil"/>
              <w:bottom w:val="single" w:sz="4" w:space="0" w:color="auto"/>
            </w:tcBorders>
            <w:shd w:val="clear" w:color="auto" w:fill="D9D9D9" w:themeFill="background1" w:themeFillShade="D9"/>
            <w:noWrap/>
            <w:vAlign w:val="center"/>
            <w:hideMark/>
          </w:tcPr>
          <w:p w14:paraId="35399B1C" w14:textId="77777777" w:rsidR="00703F3B" w:rsidRPr="00681ED3" w:rsidRDefault="00703F3B" w:rsidP="006305D0">
            <w:pPr>
              <w:autoSpaceDE/>
              <w:autoSpaceDN/>
              <w:adjustRightInd/>
              <w:jc w:val="center"/>
              <w:rPr>
                <w:rFonts w:eastAsia="Times New Roman"/>
                <w:b/>
                <w:bCs/>
                <w:i/>
                <w:iCs/>
                <w:color w:val="000000"/>
                <w:lang w:eastAsia="en-GB"/>
              </w:rPr>
            </w:pPr>
            <w:r w:rsidRPr="00681ED3">
              <w:rPr>
                <w:rFonts w:eastAsia="Times New Roman"/>
                <w:b/>
                <w:bCs/>
                <w:i/>
                <w:iCs/>
                <w:color w:val="000000"/>
                <w:lang w:eastAsia="en-GB"/>
              </w:rPr>
              <w:t>&lt;0.001</w:t>
            </w:r>
          </w:p>
        </w:tc>
      </w:tr>
      <w:tr w:rsidR="00681ED3" w:rsidRPr="00681ED3" w14:paraId="7D1F9611" w14:textId="77777777" w:rsidTr="006305D0">
        <w:trPr>
          <w:trHeight w:val="243"/>
        </w:trPr>
        <w:tc>
          <w:tcPr>
            <w:tcW w:w="1838" w:type="dxa"/>
            <w:tcBorders>
              <w:top w:val="single" w:sz="4" w:space="0" w:color="auto"/>
              <w:bottom w:val="nil"/>
            </w:tcBorders>
            <w:shd w:val="clear" w:color="auto" w:fill="auto"/>
            <w:noWrap/>
            <w:vAlign w:val="center"/>
            <w:hideMark/>
          </w:tcPr>
          <w:p w14:paraId="6DF29C4B"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No treatment</w:t>
            </w:r>
          </w:p>
        </w:tc>
        <w:tc>
          <w:tcPr>
            <w:tcW w:w="1373" w:type="dxa"/>
            <w:tcBorders>
              <w:top w:val="single" w:sz="4" w:space="0" w:color="auto"/>
              <w:bottom w:val="nil"/>
            </w:tcBorders>
            <w:shd w:val="clear" w:color="auto" w:fill="auto"/>
            <w:noWrap/>
            <w:vAlign w:val="center"/>
            <w:hideMark/>
          </w:tcPr>
          <w:p w14:paraId="0F62EC73"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16 (7)</w:t>
            </w:r>
          </w:p>
        </w:tc>
        <w:tc>
          <w:tcPr>
            <w:tcW w:w="1057" w:type="dxa"/>
            <w:tcBorders>
              <w:top w:val="single" w:sz="4" w:space="0" w:color="auto"/>
              <w:bottom w:val="nil"/>
            </w:tcBorders>
            <w:shd w:val="clear" w:color="auto" w:fill="auto"/>
            <w:noWrap/>
            <w:vAlign w:val="center"/>
            <w:hideMark/>
          </w:tcPr>
          <w:p w14:paraId="6115AD59"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15 (7)</w:t>
            </w:r>
          </w:p>
        </w:tc>
        <w:tc>
          <w:tcPr>
            <w:tcW w:w="1020" w:type="dxa"/>
            <w:tcBorders>
              <w:top w:val="single" w:sz="4" w:space="0" w:color="auto"/>
              <w:bottom w:val="nil"/>
              <w:right w:val="single" w:sz="4" w:space="0" w:color="auto"/>
            </w:tcBorders>
            <w:shd w:val="clear" w:color="auto" w:fill="auto"/>
            <w:noWrap/>
            <w:vAlign w:val="center"/>
            <w:hideMark/>
          </w:tcPr>
          <w:p w14:paraId="17A82AAB" w14:textId="77777777" w:rsidR="00703F3B" w:rsidRPr="00681ED3" w:rsidRDefault="00703F3B" w:rsidP="006305D0">
            <w:pPr>
              <w:autoSpaceDE/>
              <w:autoSpaceDN/>
              <w:adjustRightInd/>
              <w:jc w:val="center"/>
              <w:rPr>
                <w:rFonts w:eastAsia="Times New Roman"/>
                <w:i/>
                <w:iCs/>
                <w:color w:val="000000"/>
                <w:lang w:eastAsia="en-GB"/>
              </w:rPr>
            </w:pPr>
          </w:p>
        </w:tc>
        <w:tc>
          <w:tcPr>
            <w:tcW w:w="1640" w:type="dxa"/>
            <w:tcBorders>
              <w:top w:val="single" w:sz="4" w:space="0" w:color="auto"/>
              <w:left w:val="single" w:sz="4" w:space="0" w:color="auto"/>
              <w:bottom w:val="nil"/>
            </w:tcBorders>
            <w:shd w:val="clear" w:color="auto" w:fill="auto"/>
            <w:noWrap/>
            <w:vAlign w:val="center"/>
            <w:hideMark/>
          </w:tcPr>
          <w:p w14:paraId="297994D9"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No treatment</w:t>
            </w:r>
          </w:p>
        </w:tc>
        <w:tc>
          <w:tcPr>
            <w:tcW w:w="1373" w:type="dxa"/>
            <w:tcBorders>
              <w:top w:val="single" w:sz="4" w:space="0" w:color="auto"/>
              <w:bottom w:val="nil"/>
            </w:tcBorders>
            <w:shd w:val="clear" w:color="auto" w:fill="auto"/>
            <w:noWrap/>
            <w:vAlign w:val="center"/>
            <w:hideMark/>
          </w:tcPr>
          <w:p w14:paraId="3850218C"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15 (7)</w:t>
            </w:r>
          </w:p>
        </w:tc>
        <w:tc>
          <w:tcPr>
            <w:tcW w:w="961" w:type="dxa"/>
            <w:tcBorders>
              <w:top w:val="single" w:sz="4" w:space="0" w:color="auto"/>
              <w:bottom w:val="nil"/>
            </w:tcBorders>
            <w:shd w:val="clear" w:color="auto" w:fill="auto"/>
            <w:noWrap/>
            <w:vAlign w:val="center"/>
            <w:hideMark/>
          </w:tcPr>
          <w:p w14:paraId="7523D418"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15 (7)</w:t>
            </w:r>
          </w:p>
        </w:tc>
        <w:tc>
          <w:tcPr>
            <w:tcW w:w="1020" w:type="dxa"/>
            <w:tcBorders>
              <w:top w:val="single" w:sz="4" w:space="0" w:color="auto"/>
              <w:bottom w:val="nil"/>
            </w:tcBorders>
            <w:shd w:val="clear" w:color="auto" w:fill="auto"/>
            <w:noWrap/>
            <w:vAlign w:val="center"/>
            <w:hideMark/>
          </w:tcPr>
          <w:p w14:paraId="7A8C8D8F"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 </w:t>
            </w:r>
          </w:p>
        </w:tc>
      </w:tr>
      <w:tr w:rsidR="00681ED3" w:rsidRPr="00681ED3" w14:paraId="4069910C" w14:textId="77777777" w:rsidTr="006305D0">
        <w:trPr>
          <w:trHeight w:val="273"/>
        </w:trPr>
        <w:tc>
          <w:tcPr>
            <w:tcW w:w="1838" w:type="dxa"/>
            <w:tcBorders>
              <w:top w:val="nil"/>
              <w:bottom w:val="nil"/>
            </w:tcBorders>
            <w:shd w:val="clear" w:color="auto" w:fill="auto"/>
            <w:noWrap/>
            <w:vAlign w:val="center"/>
            <w:hideMark/>
          </w:tcPr>
          <w:p w14:paraId="3FCCF267" w14:textId="635A90AD"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Access</w:t>
            </w:r>
          </w:p>
        </w:tc>
        <w:tc>
          <w:tcPr>
            <w:tcW w:w="1373" w:type="dxa"/>
            <w:tcBorders>
              <w:top w:val="nil"/>
              <w:bottom w:val="nil"/>
            </w:tcBorders>
            <w:shd w:val="clear" w:color="auto" w:fill="auto"/>
            <w:noWrap/>
            <w:vAlign w:val="center"/>
            <w:hideMark/>
          </w:tcPr>
          <w:p w14:paraId="347C265F"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79 (35)</w:t>
            </w:r>
          </w:p>
        </w:tc>
        <w:tc>
          <w:tcPr>
            <w:tcW w:w="1057" w:type="dxa"/>
            <w:tcBorders>
              <w:top w:val="nil"/>
              <w:bottom w:val="nil"/>
            </w:tcBorders>
            <w:shd w:val="clear" w:color="auto" w:fill="auto"/>
            <w:noWrap/>
            <w:vAlign w:val="center"/>
            <w:hideMark/>
          </w:tcPr>
          <w:p w14:paraId="19D8D2E5"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110 (49)</w:t>
            </w:r>
          </w:p>
        </w:tc>
        <w:tc>
          <w:tcPr>
            <w:tcW w:w="1020" w:type="dxa"/>
            <w:tcBorders>
              <w:top w:val="nil"/>
              <w:bottom w:val="nil"/>
              <w:right w:val="single" w:sz="4" w:space="0" w:color="auto"/>
            </w:tcBorders>
            <w:shd w:val="clear" w:color="auto" w:fill="auto"/>
            <w:noWrap/>
            <w:vAlign w:val="center"/>
            <w:hideMark/>
          </w:tcPr>
          <w:p w14:paraId="2E1F6080" w14:textId="77777777" w:rsidR="00703F3B" w:rsidRPr="00681ED3" w:rsidRDefault="00703F3B" w:rsidP="006305D0">
            <w:pPr>
              <w:autoSpaceDE/>
              <w:autoSpaceDN/>
              <w:adjustRightInd/>
              <w:jc w:val="center"/>
              <w:rPr>
                <w:rFonts w:eastAsia="Times New Roman"/>
                <w:i/>
                <w:iCs/>
                <w:color w:val="000000"/>
                <w:lang w:eastAsia="en-GB"/>
              </w:rPr>
            </w:pPr>
          </w:p>
        </w:tc>
        <w:tc>
          <w:tcPr>
            <w:tcW w:w="1640" w:type="dxa"/>
            <w:tcBorders>
              <w:top w:val="nil"/>
              <w:left w:val="single" w:sz="4" w:space="0" w:color="auto"/>
              <w:bottom w:val="nil"/>
            </w:tcBorders>
            <w:shd w:val="clear" w:color="auto" w:fill="auto"/>
            <w:noWrap/>
            <w:vAlign w:val="center"/>
            <w:hideMark/>
          </w:tcPr>
          <w:p w14:paraId="04C5E904"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Access</w:t>
            </w:r>
          </w:p>
        </w:tc>
        <w:tc>
          <w:tcPr>
            <w:tcW w:w="1373" w:type="dxa"/>
            <w:tcBorders>
              <w:top w:val="nil"/>
              <w:bottom w:val="nil"/>
            </w:tcBorders>
            <w:shd w:val="clear" w:color="auto" w:fill="auto"/>
            <w:noWrap/>
            <w:vAlign w:val="center"/>
            <w:hideMark/>
          </w:tcPr>
          <w:p w14:paraId="3789021D"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72 (36)</w:t>
            </w:r>
          </w:p>
        </w:tc>
        <w:tc>
          <w:tcPr>
            <w:tcW w:w="961" w:type="dxa"/>
            <w:tcBorders>
              <w:top w:val="nil"/>
              <w:bottom w:val="nil"/>
            </w:tcBorders>
            <w:shd w:val="clear" w:color="auto" w:fill="auto"/>
            <w:noWrap/>
            <w:vAlign w:val="center"/>
            <w:hideMark/>
          </w:tcPr>
          <w:p w14:paraId="1E22ED33"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99 (49)</w:t>
            </w:r>
          </w:p>
        </w:tc>
        <w:tc>
          <w:tcPr>
            <w:tcW w:w="1020" w:type="dxa"/>
            <w:tcBorders>
              <w:top w:val="nil"/>
              <w:bottom w:val="nil"/>
            </w:tcBorders>
            <w:shd w:val="clear" w:color="auto" w:fill="auto"/>
            <w:noWrap/>
            <w:vAlign w:val="center"/>
            <w:hideMark/>
          </w:tcPr>
          <w:p w14:paraId="3CF28F20"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 </w:t>
            </w:r>
          </w:p>
        </w:tc>
      </w:tr>
      <w:tr w:rsidR="00681ED3" w:rsidRPr="00681ED3" w14:paraId="5B915BB7" w14:textId="77777777" w:rsidTr="006305D0">
        <w:trPr>
          <w:trHeight w:val="357"/>
        </w:trPr>
        <w:tc>
          <w:tcPr>
            <w:tcW w:w="1838" w:type="dxa"/>
            <w:tcBorders>
              <w:top w:val="nil"/>
              <w:bottom w:val="nil"/>
            </w:tcBorders>
            <w:shd w:val="clear" w:color="auto" w:fill="auto"/>
            <w:noWrap/>
            <w:vAlign w:val="center"/>
            <w:hideMark/>
          </w:tcPr>
          <w:p w14:paraId="2CEE4BB5"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Watch</w:t>
            </w:r>
          </w:p>
        </w:tc>
        <w:tc>
          <w:tcPr>
            <w:tcW w:w="1373" w:type="dxa"/>
            <w:tcBorders>
              <w:top w:val="nil"/>
              <w:bottom w:val="nil"/>
            </w:tcBorders>
            <w:shd w:val="clear" w:color="auto" w:fill="auto"/>
            <w:noWrap/>
            <w:vAlign w:val="center"/>
            <w:hideMark/>
          </w:tcPr>
          <w:p w14:paraId="4CDB2A22"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127 (57)</w:t>
            </w:r>
          </w:p>
        </w:tc>
        <w:tc>
          <w:tcPr>
            <w:tcW w:w="1057" w:type="dxa"/>
            <w:tcBorders>
              <w:top w:val="nil"/>
              <w:bottom w:val="nil"/>
            </w:tcBorders>
            <w:shd w:val="clear" w:color="auto" w:fill="auto"/>
            <w:noWrap/>
            <w:vAlign w:val="center"/>
            <w:hideMark/>
          </w:tcPr>
          <w:p w14:paraId="0EEC29DB"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97 (43)</w:t>
            </w:r>
          </w:p>
        </w:tc>
        <w:tc>
          <w:tcPr>
            <w:tcW w:w="1020" w:type="dxa"/>
            <w:tcBorders>
              <w:top w:val="nil"/>
              <w:bottom w:val="nil"/>
              <w:right w:val="single" w:sz="4" w:space="0" w:color="auto"/>
            </w:tcBorders>
            <w:shd w:val="clear" w:color="auto" w:fill="auto"/>
            <w:noWrap/>
            <w:vAlign w:val="center"/>
            <w:hideMark/>
          </w:tcPr>
          <w:p w14:paraId="150E5F53" w14:textId="77777777" w:rsidR="00703F3B" w:rsidRPr="00681ED3" w:rsidRDefault="00703F3B" w:rsidP="006305D0">
            <w:pPr>
              <w:autoSpaceDE/>
              <w:autoSpaceDN/>
              <w:adjustRightInd/>
              <w:jc w:val="center"/>
              <w:rPr>
                <w:rFonts w:eastAsia="Times New Roman"/>
                <w:i/>
                <w:iCs/>
                <w:color w:val="000000"/>
                <w:lang w:eastAsia="en-GB"/>
              </w:rPr>
            </w:pPr>
          </w:p>
        </w:tc>
        <w:tc>
          <w:tcPr>
            <w:tcW w:w="1640" w:type="dxa"/>
            <w:tcBorders>
              <w:top w:val="nil"/>
              <w:left w:val="single" w:sz="4" w:space="0" w:color="auto"/>
              <w:bottom w:val="nil"/>
            </w:tcBorders>
            <w:shd w:val="clear" w:color="auto" w:fill="auto"/>
            <w:noWrap/>
            <w:vAlign w:val="center"/>
            <w:hideMark/>
          </w:tcPr>
          <w:p w14:paraId="636B9F6F"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Watch</w:t>
            </w:r>
          </w:p>
        </w:tc>
        <w:tc>
          <w:tcPr>
            <w:tcW w:w="1373" w:type="dxa"/>
            <w:tcBorders>
              <w:top w:val="nil"/>
              <w:bottom w:val="nil"/>
            </w:tcBorders>
            <w:shd w:val="clear" w:color="auto" w:fill="auto"/>
            <w:noWrap/>
            <w:vAlign w:val="center"/>
            <w:hideMark/>
          </w:tcPr>
          <w:p w14:paraId="32D04C94"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114 (56)</w:t>
            </w:r>
          </w:p>
        </w:tc>
        <w:tc>
          <w:tcPr>
            <w:tcW w:w="961" w:type="dxa"/>
            <w:tcBorders>
              <w:top w:val="nil"/>
              <w:bottom w:val="nil"/>
            </w:tcBorders>
            <w:shd w:val="clear" w:color="auto" w:fill="auto"/>
            <w:noWrap/>
            <w:vAlign w:val="center"/>
            <w:hideMark/>
          </w:tcPr>
          <w:p w14:paraId="7C1688C7"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88 (44)</w:t>
            </w:r>
          </w:p>
        </w:tc>
        <w:tc>
          <w:tcPr>
            <w:tcW w:w="1020" w:type="dxa"/>
            <w:tcBorders>
              <w:top w:val="nil"/>
              <w:bottom w:val="nil"/>
            </w:tcBorders>
            <w:shd w:val="clear" w:color="auto" w:fill="auto"/>
            <w:noWrap/>
            <w:vAlign w:val="center"/>
            <w:hideMark/>
          </w:tcPr>
          <w:p w14:paraId="078A3148"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r>
      <w:tr w:rsidR="00681ED3" w:rsidRPr="00681ED3" w14:paraId="53ACD253" w14:textId="77777777" w:rsidTr="006305D0">
        <w:trPr>
          <w:trHeight w:val="212"/>
        </w:trPr>
        <w:tc>
          <w:tcPr>
            <w:tcW w:w="1838" w:type="dxa"/>
            <w:tcBorders>
              <w:top w:val="nil"/>
              <w:bottom w:val="single" w:sz="4" w:space="0" w:color="auto"/>
            </w:tcBorders>
            <w:shd w:val="clear" w:color="auto" w:fill="auto"/>
            <w:noWrap/>
            <w:vAlign w:val="center"/>
            <w:hideMark/>
          </w:tcPr>
          <w:p w14:paraId="72785D09"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Reserve</w:t>
            </w:r>
          </w:p>
        </w:tc>
        <w:tc>
          <w:tcPr>
            <w:tcW w:w="1373" w:type="dxa"/>
            <w:tcBorders>
              <w:top w:val="nil"/>
              <w:bottom w:val="single" w:sz="4" w:space="0" w:color="auto"/>
            </w:tcBorders>
            <w:shd w:val="clear" w:color="auto" w:fill="auto"/>
            <w:noWrap/>
            <w:vAlign w:val="center"/>
            <w:hideMark/>
          </w:tcPr>
          <w:p w14:paraId="0E960F25"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2 (1)</w:t>
            </w:r>
          </w:p>
        </w:tc>
        <w:tc>
          <w:tcPr>
            <w:tcW w:w="1057" w:type="dxa"/>
            <w:tcBorders>
              <w:top w:val="nil"/>
              <w:bottom w:val="single" w:sz="4" w:space="0" w:color="auto"/>
            </w:tcBorders>
            <w:shd w:val="clear" w:color="auto" w:fill="auto"/>
            <w:noWrap/>
            <w:vAlign w:val="center"/>
            <w:hideMark/>
          </w:tcPr>
          <w:p w14:paraId="2DCFAF12"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2 (1)</w:t>
            </w:r>
          </w:p>
        </w:tc>
        <w:tc>
          <w:tcPr>
            <w:tcW w:w="1020" w:type="dxa"/>
            <w:tcBorders>
              <w:top w:val="nil"/>
              <w:bottom w:val="single" w:sz="4" w:space="0" w:color="auto"/>
              <w:right w:val="single" w:sz="4" w:space="0" w:color="auto"/>
            </w:tcBorders>
            <w:shd w:val="clear" w:color="auto" w:fill="auto"/>
            <w:noWrap/>
            <w:vAlign w:val="center"/>
            <w:hideMark/>
          </w:tcPr>
          <w:p w14:paraId="137C1AF6" w14:textId="77777777" w:rsidR="00703F3B" w:rsidRPr="00681ED3" w:rsidRDefault="00703F3B" w:rsidP="006305D0">
            <w:pPr>
              <w:autoSpaceDE/>
              <w:autoSpaceDN/>
              <w:adjustRightInd/>
              <w:jc w:val="center"/>
              <w:rPr>
                <w:rFonts w:eastAsia="Times New Roman"/>
                <w:i/>
                <w:iCs/>
                <w:color w:val="000000"/>
                <w:lang w:eastAsia="en-GB"/>
              </w:rPr>
            </w:pPr>
          </w:p>
        </w:tc>
        <w:tc>
          <w:tcPr>
            <w:tcW w:w="1640" w:type="dxa"/>
            <w:tcBorders>
              <w:top w:val="nil"/>
              <w:left w:val="single" w:sz="4" w:space="0" w:color="auto"/>
              <w:bottom w:val="single" w:sz="4" w:space="0" w:color="auto"/>
            </w:tcBorders>
            <w:shd w:val="clear" w:color="auto" w:fill="auto"/>
            <w:noWrap/>
            <w:vAlign w:val="center"/>
            <w:hideMark/>
          </w:tcPr>
          <w:p w14:paraId="1B23058B"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Reserve</w:t>
            </w:r>
          </w:p>
        </w:tc>
        <w:tc>
          <w:tcPr>
            <w:tcW w:w="1373" w:type="dxa"/>
            <w:tcBorders>
              <w:top w:val="nil"/>
              <w:bottom w:val="single" w:sz="4" w:space="0" w:color="auto"/>
            </w:tcBorders>
            <w:shd w:val="clear" w:color="auto" w:fill="auto"/>
            <w:noWrap/>
            <w:vAlign w:val="center"/>
            <w:hideMark/>
          </w:tcPr>
          <w:p w14:paraId="2998657D"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 (1)</w:t>
            </w:r>
          </w:p>
        </w:tc>
        <w:tc>
          <w:tcPr>
            <w:tcW w:w="961" w:type="dxa"/>
            <w:tcBorders>
              <w:top w:val="nil"/>
              <w:bottom w:val="single" w:sz="4" w:space="0" w:color="auto"/>
            </w:tcBorders>
            <w:shd w:val="clear" w:color="auto" w:fill="auto"/>
            <w:noWrap/>
            <w:vAlign w:val="center"/>
            <w:hideMark/>
          </w:tcPr>
          <w:p w14:paraId="567A2488"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0 (0)</w:t>
            </w:r>
          </w:p>
        </w:tc>
        <w:tc>
          <w:tcPr>
            <w:tcW w:w="1020" w:type="dxa"/>
            <w:tcBorders>
              <w:top w:val="nil"/>
              <w:bottom w:val="single" w:sz="4" w:space="0" w:color="auto"/>
            </w:tcBorders>
            <w:shd w:val="clear" w:color="auto" w:fill="auto"/>
            <w:noWrap/>
            <w:vAlign w:val="center"/>
            <w:hideMark/>
          </w:tcPr>
          <w:p w14:paraId="26D8511F"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r>
      <w:tr w:rsidR="00681ED3" w:rsidRPr="00681ED3" w14:paraId="0FA12134" w14:textId="77777777" w:rsidTr="006305D0">
        <w:trPr>
          <w:trHeight w:val="279"/>
        </w:trPr>
        <w:tc>
          <w:tcPr>
            <w:tcW w:w="1838" w:type="dxa"/>
            <w:tcBorders>
              <w:top w:val="single" w:sz="4" w:space="0" w:color="auto"/>
              <w:bottom w:val="single" w:sz="4" w:space="0" w:color="auto"/>
            </w:tcBorders>
            <w:shd w:val="clear" w:color="auto" w:fill="D9D9D9" w:themeFill="background1" w:themeFillShade="D9"/>
            <w:noWrap/>
            <w:vAlign w:val="center"/>
            <w:hideMark/>
          </w:tcPr>
          <w:p w14:paraId="280D9F9B" w14:textId="694F6C23" w:rsidR="00703F3B" w:rsidRPr="00681ED3" w:rsidRDefault="00703F3B" w:rsidP="006305D0">
            <w:pPr>
              <w:autoSpaceDE/>
              <w:autoSpaceDN/>
              <w:adjustRightInd/>
              <w:rPr>
                <w:rFonts w:eastAsia="Times New Roman"/>
                <w:b/>
                <w:bCs/>
                <w:color w:val="000000"/>
                <w:lang w:eastAsia="en-GB"/>
              </w:rPr>
            </w:pPr>
            <w:r w:rsidRPr="00E37AED">
              <w:rPr>
                <w:rFonts w:eastAsia="Times New Roman"/>
                <w:b/>
                <w:bCs/>
                <w:i/>
                <w:iCs/>
                <w:color w:val="000000"/>
                <w:lang w:eastAsia="en-GB"/>
              </w:rPr>
              <w:t>E.coli</w:t>
            </w:r>
            <w:r w:rsidRPr="00681ED3">
              <w:rPr>
                <w:rFonts w:eastAsia="Times New Roman"/>
                <w:b/>
                <w:bCs/>
                <w:color w:val="000000"/>
                <w:lang w:eastAsia="en-GB"/>
              </w:rPr>
              <w:t xml:space="preserve"> </w:t>
            </w:r>
            <w:r w:rsidR="0022151E" w:rsidRPr="00EF50CE">
              <w:rPr>
                <w:rFonts w:eastAsia="Times New Roman"/>
                <w:b/>
                <w:bCs/>
                <w:color w:val="000000"/>
                <w:lang w:eastAsia="en-GB"/>
              </w:rPr>
              <w:t>patients</w:t>
            </w:r>
            <w:r w:rsidR="00817EFF">
              <w:rPr>
                <w:rFonts w:eastAsia="Times New Roman"/>
                <w:b/>
                <w:bCs/>
                <w:color w:val="000000"/>
                <w:lang w:eastAsia="en-GB"/>
              </w:rPr>
              <w:t>*</w:t>
            </w:r>
            <w:r w:rsidRPr="00681ED3">
              <w:rPr>
                <w:rFonts w:eastAsia="Times New Roman"/>
                <w:b/>
                <w:bCs/>
                <w:color w:val="000000"/>
                <w:lang w:eastAsia="en-GB"/>
              </w:rPr>
              <w:t xml:space="preserve"> (n=145)</w:t>
            </w:r>
          </w:p>
        </w:tc>
        <w:tc>
          <w:tcPr>
            <w:tcW w:w="1373" w:type="dxa"/>
            <w:tcBorders>
              <w:top w:val="single" w:sz="4" w:space="0" w:color="auto"/>
              <w:bottom w:val="single" w:sz="4" w:space="0" w:color="auto"/>
            </w:tcBorders>
            <w:shd w:val="clear" w:color="auto" w:fill="D9D9D9" w:themeFill="background1" w:themeFillShade="D9"/>
            <w:noWrap/>
            <w:vAlign w:val="center"/>
            <w:hideMark/>
          </w:tcPr>
          <w:p w14:paraId="2DB0D4E7" w14:textId="77777777" w:rsidR="00703F3B" w:rsidRPr="00681ED3" w:rsidRDefault="00703F3B" w:rsidP="006305D0">
            <w:pPr>
              <w:autoSpaceDE/>
              <w:autoSpaceDN/>
              <w:adjustRightInd/>
              <w:jc w:val="center"/>
              <w:rPr>
                <w:rFonts w:eastAsia="Times New Roman"/>
                <w:b/>
                <w:bCs/>
                <w:color w:val="000000"/>
                <w:lang w:eastAsia="en-GB"/>
              </w:rPr>
            </w:pPr>
          </w:p>
        </w:tc>
        <w:tc>
          <w:tcPr>
            <w:tcW w:w="1057" w:type="dxa"/>
            <w:tcBorders>
              <w:top w:val="single" w:sz="4" w:space="0" w:color="auto"/>
              <w:bottom w:val="single" w:sz="4" w:space="0" w:color="auto"/>
            </w:tcBorders>
            <w:shd w:val="clear" w:color="auto" w:fill="D9D9D9" w:themeFill="background1" w:themeFillShade="D9"/>
            <w:noWrap/>
            <w:vAlign w:val="center"/>
            <w:hideMark/>
          </w:tcPr>
          <w:p w14:paraId="73E4625A" w14:textId="77777777" w:rsidR="00703F3B" w:rsidRPr="00681ED3" w:rsidRDefault="00703F3B" w:rsidP="006305D0">
            <w:pPr>
              <w:autoSpaceDE/>
              <w:autoSpaceDN/>
              <w:adjustRightInd/>
              <w:jc w:val="center"/>
              <w:rPr>
                <w:rFonts w:eastAsia="Times New Roman"/>
                <w:lang w:eastAsia="en-GB"/>
              </w:rPr>
            </w:pPr>
          </w:p>
        </w:tc>
        <w:tc>
          <w:tcPr>
            <w:tcW w:w="1020"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1B9E1EFE" w14:textId="2453F756" w:rsidR="00703F3B" w:rsidRPr="00681ED3" w:rsidRDefault="00681ED3" w:rsidP="006305D0">
            <w:pPr>
              <w:autoSpaceDE/>
              <w:autoSpaceDN/>
              <w:adjustRightInd/>
              <w:jc w:val="center"/>
              <w:rPr>
                <w:rFonts w:eastAsia="Times New Roman"/>
                <w:b/>
                <w:bCs/>
                <w:i/>
                <w:iCs/>
                <w:lang w:eastAsia="en-GB"/>
              </w:rPr>
            </w:pPr>
            <w:r w:rsidRPr="00681ED3">
              <w:rPr>
                <w:rFonts w:eastAsia="Times New Roman"/>
                <w:b/>
                <w:bCs/>
                <w:i/>
                <w:iCs/>
                <w:color w:val="000000"/>
                <w:lang w:eastAsia="en-GB"/>
              </w:rPr>
              <w:t>&lt;0.001</w:t>
            </w:r>
          </w:p>
        </w:tc>
        <w:tc>
          <w:tcPr>
            <w:tcW w:w="1640"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072FCFC8" w14:textId="77777777" w:rsidR="006305D0" w:rsidRDefault="00703F3B" w:rsidP="006305D0">
            <w:pPr>
              <w:autoSpaceDE/>
              <w:autoSpaceDN/>
              <w:adjustRightInd/>
              <w:rPr>
                <w:rFonts w:eastAsia="Times New Roman"/>
                <w:b/>
                <w:bCs/>
                <w:color w:val="000000"/>
                <w:lang w:eastAsia="en-GB"/>
              </w:rPr>
            </w:pPr>
            <w:r w:rsidRPr="00EF50CE">
              <w:rPr>
                <w:rFonts w:eastAsia="Times New Roman"/>
                <w:b/>
                <w:bCs/>
                <w:i/>
                <w:color w:val="000000"/>
                <w:lang w:eastAsia="en-GB"/>
              </w:rPr>
              <w:t xml:space="preserve">E.coli </w:t>
            </w:r>
            <w:r w:rsidR="0022151E" w:rsidRPr="00EF50CE">
              <w:rPr>
                <w:rFonts w:eastAsia="Times New Roman"/>
                <w:b/>
                <w:bCs/>
                <w:color w:val="000000"/>
                <w:lang w:eastAsia="en-GB"/>
              </w:rPr>
              <w:t>patients</w:t>
            </w:r>
            <w:r w:rsidRPr="00681ED3">
              <w:rPr>
                <w:rFonts w:eastAsia="Times New Roman"/>
                <w:b/>
                <w:bCs/>
                <w:color w:val="000000"/>
                <w:lang w:eastAsia="en-GB"/>
              </w:rPr>
              <w:t xml:space="preserve"> </w:t>
            </w:r>
          </w:p>
          <w:p w14:paraId="1C17B956" w14:textId="24F9333F" w:rsidR="00703F3B" w:rsidRPr="00681ED3" w:rsidRDefault="00703F3B" w:rsidP="006305D0">
            <w:pPr>
              <w:autoSpaceDE/>
              <w:autoSpaceDN/>
              <w:adjustRightInd/>
              <w:rPr>
                <w:rFonts w:eastAsia="Times New Roman"/>
                <w:b/>
                <w:bCs/>
                <w:color w:val="000000"/>
                <w:lang w:eastAsia="en-GB"/>
              </w:rPr>
            </w:pPr>
            <w:r w:rsidRPr="00681ED3">
              <w:rPr>
                <w:rFonts w:eastAsia="Times New Roman"/>
                <w:b/>
                <w:bCs/>
                <w:color w:val="000000"/>
                <w:lang w:eastAsia="en-GB"/>
              </w:rPr>
              <w:t>(n = 138)</w:t>
            </w:r>
          </w:p>
        </w:tc>
        <w:tc>
          <w:tcPr>
            <w:tcW w:w="1373" w:type="dxa"/>
            <w:tcBorders>
              <w:top w:val="single" w:sz="4" w:space="0" w:color="auto"/>
              <w:bottom w:val="single" w:sz="4" w:space="0" w:color="auto"/>
            </w:tcBorders>
            <w:shd w:val="clear" w:color="auto" w:fill="D9D9D9" w:themeFill="background1" w:themeFillShade="D9"/>
            <w:noWrap/>
            <w:vAlign w:val="center"/>
            <w:hideMark/>
          </w:tcPr>
          <w:p w14:paraId="552DE185" w14:textId="77777777" w:rsidR="00703F3B" w:rsidRPr="00681ED3" w:rsidRDefault="00703F3B" w:rsidP="006305D0">
            <w:pPr>
              <w:autoSpaceDE/>
              <w:autoSpaceDN/>
              <w:adjustRightInd/>
              <w:jc w:val="center"/>
              <w:rPr>
                <w:rFonts w:eastAsia="Times New Roman"/>
                <w:b/>
                <w:bCs/>
                <w:color w:val="000000"/>
                <w:lang w:eastAsia="en-GB"/>
              </w:rPr>
            </w:pPr>
          </w:p>
        </w:tc>
        <w:tc>
          <w:tcPr>
            <w:tcW w:w="961" w:type="dxa"/>
            <w:tcBorders>
              <w:top w:val="single" w:sz="4" w:space="0" w:color="auto"/>
              <w:bottom w:val="single" w:sz="4" w:space="0" w:color="auto"/>
            </w:tcBorders>
            <w:shd w:val="clear" w:color="auto" w:fill="D9D9D9" w:themeFill="background1" w:themeFillShade="D9"/>
            <w:noWrap/>
            <w:vAlign w:val="center"/>
            <w:hideMark/>
          </w:tcPr>
          <w:p w14:paraId="5C319DE1" w14:textId="77777777" w:rsidR="00703F3B" w:rsidRPr="00681ED3" w:rsidRDefault="00703F3B" w:rsidP="006305D0">
            <w:pPr>
              <w:autoSpaceDE/>
              <w:autoSpaceDN/>
              <w:adjustRightInd/>
              <w:rPr>
                <w:rFonts w:eastAsia="Times New Roman"/>
                <w:lang w:eastAsia="en-GB"/>
              </w:rPr>
            </w:pPr>
          </w:p>
        </w:tc>
        <w:tc>
          <w:tcPr>
            <w:tcW w:w="1020" w:type="dxa"/>
            <w:tcBorders>
              <w:top w:val="single" w:sz="4" w:space="0" w:color="auto"/>
              <w:bottom w:val="single" w:sz="4" w:space="0" w:color="auto"/>
            </w:tcBorders>
            <w:shd w:val="clear" w:color="auto" w:fill="D9D9D9" w:themeFill="background1" w:themeFillShade="D9"/>
            <w:noWrap/>
            <w:vAlign w:val="center"/>
            <w:hideMark/>
          </w:tcPr>
          <w:p w14:paraId="7682B686" w14:textId="75C44FA1" w:rsidR="00703F3B" w:rsidRPr="00681ED3" w:rsidRDefault="00703F3B" w:rsidP="006305D0">
            <w:pPr>
              <w:autoSpaceDE/>
              <w:autoSpaceDN/>
              <w:adjustRightInd/>
              <w:jc w:val="right"/>
              <w:rPr>
                <w:rFonts w:eastAsia="Times New Roman"/>
                <w:b/>
                <w:bCs/>
                <w:i/>
                <w:iCs/>
                <w:color w:val="000000"/>
                <w:lang w:eastAsia="en-GB"/>
              </w:rPr>
            </w:pPr>
            <w:r w:rsidRPr="00681ED3">
              <w:rPr>
                <w:rFonts w:eastAsia="Times New Roman"/>
                <w:b/>
                <w:bCs/>
                <w:i/>
                <w:iCs/>
                <w:color w:val="000000"/>
                <w:lang w:eastAsia="en-GB"/>
              </w:rPr>
              <w:t>0.</w:t>
            </w:r>
            <w:r w:rsidR="00681ED3" w:rsidRPr="00681ED3">
              <w:rPr>
                <w:rFonts w:eastAsia="Times New Roman"/>
                <w:b/>
                <w:bCs/>
                <w:i/>
                <w:iCs/>
                <w:color w:val="000000"/>
                <w:lang w:eastAsia="en-GB"/>
              </w:rPr>
              <w:t>0</w:t>
            </w:r>
            <w:r w:rsidRPr="00681ED3">
              <w:rPr>
                <w:rFonts w:eastAsia="Times New Roman"/>
                <w:b/>
                <w:bCs/>
                <w:i/>
                <w:iCs/>
                <w:color w:val="000000"/>
                <w:lang w:eastAsia="en-GB"/>
              </w:rPr>
              <w:t>31</w:t>
            </w:r>
          </w:p>
        </w:tc>
      </w:tr>
      <w:tr w:rsidR="00681ED3" w:rsidRPr="00681ED3" w14:paraId="10C5BD58" w14:textId="77777777" w:rsidTr="006305D0">
        <w:trPr>
          <w:trHeight w:val="243"/>
        </w:trPr>
        <w:tc>
          <w:tcPr>
            <w:tcW w:w="1838" w:type="dxa"/>
            <w:tcBorders>
              <w:top w:val="single" w:sz="4" w:space="0" w:color="auto"/>
              <w:bottom w:val="nil"/>
            </w:tcBorders>
            <w:shd w:val="clear" w:color="auto" w:fill="auto"/>
            <w:noWrap/>
            <w:vAlign w:val="center"/>
            <w:hideMark/>
          </w:tcPr>
          <w:p w14:paraId="3383785F"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No treatment</w:t>
            </w:r>
          </w:p>
        </w:tc>
        <w:tc>
          <w:tcPr>
            <w:tcW w:w="1373" w:type="dxa"/>
            <w:tcBorders>
              <w:top w:val="single" w:sz="4" w:space="0" w:color="auto"/>
              <w:bottom w:val="nil"/>
            </w:tcBorders>
            <w:shd w:val="clear" w:color="auto" w:fill="auto"/>
            <w:noWrap/>
            <w:vAlign w:val="center"/>
            <w:hideMark/>
          </w:tcPr>
          <w:p w14:paraId="55AD9BFE"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0 (0)</w:t>
            </w:r>
          </w:p>
        </w:tc>
        <w:tc>
          <w:tcPr>
            <w:tcW w:w="1057" w:type="dxa"/>
            <w:tcBorders>
              <w:top w:val="single" w:sz="4" w:space="0" w:color="auto"/>
              <w:bottom w:val="nil"/>
            </w:tcBorders>
            <w:shd w:val="clear" w:color="auto" w:fill="auto"/>
            <w:noWrap/>
            <w:vAlign w:val="center"/>
            <w:hideMark/>
          </w:tcPr>
          <w:p w14:paraId="0046440E"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0 (0)</w:t>
            </w:r>
          </w:p>
        </w:tc>
        <w:tc>
          <w:tcPr>
            <w:tcW w:w="1020" w:type="dxa"/>
            <w:tcBorders>
              <w:top w:val="single" w:sz="4" w:space="0" w:color="auto"/>
              <w:bottom w:val="nil"/>
              <w:right w:val="single" w:sz="4" w:space="0" w:color="auto"/>
            </w:tcBorders>
            <w:shd w:val="clear" w:color="auto" w:fill="auto"/>
            <w:noWrap/>
            <w:vAlign w:val="center"/>
            <w:hideMark/>
          </w:tcPr>
          <w:p w14:paraId="22AD8C54" w14:textId="77777777" w:rsidR="00703F3B" w:rsidRPr="00681ED3" w:rsidRDefault="00703F3B" w:rsidP="006305D0">
            <w:pPr>
              <w:autoSpaceDE/>
              <w:autoSpaceDN/>
              <w:adjustRightInd/>
              <w:jc w:val="center"/>
              <w:rPr>
                <w:rFonts w:eastAsia="Times New Roman"/>
                <w:i/>
                <w:iCs/>
                <w:color w:val="000000"/>
                <w:lang w:eastAsia="en-GB"/>
              </w:rPr>
            </w:pPr>
          </w:p>
        </w:tc>
        <w:tc>
          <w:tcPr>
            <w:tcW w:w="1640" w:type="dxa"/>
            <w:tcBorders>
              <w:top w:val="single" w:sz="4" w:space="0" w:color="auto"/>
              <w:left w:val="single" w:sz="4" w:space="0" w:color="auto"/>
              <w:bottom w:val="nil"/>
            </w:tcBorders>
            <w:shd w:val="clear" w:color="auto" w:fill="auto"/>
            <w:noWrap/>
            <w:vAlign w:val="center"/>
            <w:hideMark/>
          </w:tcPr>
          <w:p w14:paraId="76ED31AE"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No treatment</w:t>
            </w:r>
          </w:p>
        </w:tc>
        <w:tc>
          <w:tcPr>
            <w:tcW w:w="1373" w:type="dxa"/>
            <w:tcBorders>
              <w:top w:val="single" w:sz="4" w:space="0" w:color="auto"/>
              <w:bottom w:val="nil"/>
            </w:tcBorders>
            <w:shd w:val="clear" w:color="auto" w:fill="auto"/>
            <w:noWrap/>
            <w:vAlign w:val="center"/>
            <w:hideMark/>
          </w:tcPr>
          <w:p w14:paraId="0497CD29"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0 (0)</w:t>
            </w:r>
          </w:p>
        </w:tc>
        <w:tc>
          <w:tcPr>
            <w:tcW w:w="961" w:type="dxa"/>
            <w:tcBorders>
              <w:top w:val="single" w:sz="4" w:space="0" w:color="auto"/>
              <w:bottom w:val="nil"/>
            </w:tcBorders>
            <w:shd w:val="clear" w:color="auto" w:fill="auto"/>
            <w:noWrap/>
            <w:vAlign w:val="center"/>
            <w:hideMark/>
          </w:tcPr>
          <w:p w14:paraId="4EA65591"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0 (0)</w:t>
            </w:r>
          </w:p>
        </w:tc>
        <w:tc>
          <w:tcPr>
            <w:tcW w:w="1020" w:type="dxa"/>
            <w:tcBorders>
              <w:top w:val="single" w:sz="4" w:space="0" w:color="auto"/>
              <w:bottom w:val="nil"/>
            </w:tcBorders>
            <w:shd w:val="clear" w:color="auto" w:fill="auto"/>
            <w:noWrap/>
            <w:vAlign w:val="center"/>
            <w:hideMark/>
          </w:tcPr>
          <w:p w14:paraId="5E2D73F1"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r>
      <w:tr w:rsidR="00681ED3" w:rsidRPr="00681ED3" w14:paraId="0E116C8E" w14:textId="77777777" w:rsidTr="006305D0">
        <w:trPr>
          <w:trHeight w:val="292"/>
        </w:trPr>
        <w:tc>
          <w:tcPr>
            <w:tcW w:w="1838" w:type="dxa"/>
            <w:tcBorders>
              <w:top w:val="nil"/>
              <w:bottom w:val="nil"/>
            </w:tcBorders>
            <w:shd w:val="clear" w:color="auto" w:fill="auto"/>
            <w:noWrap/>
            <w:vAlign w:val="center"/>
            <w:hideMark/>
          </w:tcPr>
          <w:p w14:paraId="0CFD95D0" w14:textId="0F4FFA70"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Access</w:t>
            </w:r>
          </w:p>
        </w:tc>
        <w:tc>
          <w:tcPr>
            <w:tcW w:w="1373" w:type="dxa"/>
            <w:tcBorders>
              <w:top w:val="nil"/>
              <w:bottom w:val="nil"/>
            </w:tcBorders>
            <w:shd w:val="clear" w:color="auto" w:fill="auto"/>
            <w:noWrap/>
            <w:vAlign w:val="center"/>
            <w:hideMark/>
          </w:tcPr>
          <w:p w14:paraId="776912EB"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54 (37)</w:t>
            </w:r>
          </w:p>
        </w:tc>
        <w:tc>
          <w:tcPr>
            <w:tcW w:w="1057" w:type="dxa"/>
            <w:tcBorders>
              <w:top w:val="nil"/>
              <w:bottom w:val="nil"/>
            </w:tcBorders>
            <w:shd w:val="clear" w:color="auto" w:fill="auto"/>
            <w:noWrap/>
            <w:vAlign w:val="center"/>
            <w:hideMark/>
          </w:tcPr>
          <w:p w14:paraId="1507B0B8"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74 (51)</w:t>
            </w:r>
          </w:p>
        </w:tc>
        <w:tc>
          <w:tcPr>
            <w:tcW w:w="1020" w:type="dxa"/>
            <w:tcBorders>
              <w:top w:val="nil"/>
              <w:bottom w:val="nil"/>
              <w:right w:val="single" w:sz="4" w:space="0" w:color="auto"/>
            </w:tcBorders>
            <w:shd w:val="clear" w:color="auto" w:fill="auto"/>
            <w:noWrap/>
            <w:vAlign w:val="center"/>
            <w:hideMark/>
          </w:tcPr>
          <w:p w14:paraId="63133352" w14:textId="77777777" w:rsidR="00703F3B" w:rsidRPr="00681ED3" w:rsidRDefault="00703F3B" w:rsidP="006305D0">
            <w:pPr>
              <w:autoSpaceDE/>
              <w:autoSpaceDN/>
              <w:adjustRightInd/>
              <w:jc w:val="center"/>
              <w:rPr>
                <w:rFonts w:eastAsia="Times New Roman"/>
                <w:i/>
                <w:iCs/>
                <w:color w:val="000000"/>
                <w:lang w:eastAsia="en-GB"/>
              </w:rPr>
            </w:pPr>
          </w:p>
        </w:tc>
        <w:tc>
          <w:tcPr>
            <w:tcW w:w="1640" w:type="dxa"/>
            <w:tcBorders>
              <w:top w:val="nil"/>
              <w:left w:val="single" w:sz="4" w:space="0" w:color="auto"/>
              <w:bottom w:val="nil"/>
            </w:tcBorders>
            <w:shd w:val="clear" w:color="auto" w:fill="auto"/>
            <w:noWrap/>
            <w:vAlign w:val="center"/>
            <w:hideMark/>
          </w:tcPr>
          <w:p w14:paraId="72A4BEA2"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Access</w:t>
            </w:r>
          </w:p>
        </w:tc>
        <w:tc>
          <w:tcPr>
            <w:tcW w:w="1373" w:type="dxa"/>
            <w:tcBorders>
              <w:top w:val="nil"/>
              <w:bottom w:val="nil"/>
            </w:tcBorders>
            <w:shd w:val="clear" w:color="auto" w:fill="auto"/>
            <w:noWrap/>
            <w:vAlign w:val="center"/>
            <w:hideMark/>
          </w:tcPr>
          <w:p w14:paraId="353231A2"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53 (38)</w:t>
            </w:r>
          </w:p>
        </w:tc>
        <w:tc>
          <w:tcPr>
            <w:tcW w:w="961" w:type="dxa"/>
            <w:tcBorders>
              <w:top w:val="nil"/>
              <w:bottom w:val="nil"/>
            </w:tcBorders>
            <w:shd w:val="clear" w:color="auto" w:fill="auto"/>
            <w:noWrap/>
            <w:vAlign w:val="center"/>
            <w:hideMark/>
          </w:tcPr>
          <w:p w14:paraId="61A6D32A"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70 (51)</w:t>
            </w:r>
          </w:p>
        </w:tc>
        <w:tc>
          <w:tcPr>
            <w:tcW w:w="1020" w:type="dxa"/>
            <w:tcBorders>
              <w:top w:val="nil"/>
              <w:bottom w:val="nil"/>
            </w:tcBorders>
            <w:shd w:val="clear" w:color="auto" w:fill="auto"/>
            <w:noWrap/>
            <w:vAlign w:val="center"/>
            <w:hideMark/>
          </w:tcPr>
          <w:p w14:paraId="57FFDEC1"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r>
      <w:tr w:rsidR="00681ED3" w:rsidRPr="00681ED3" w14:paraId="72134E9E" w14:textId="77777777" w:rsidTr="006305D0">
        <w:trPr>
          <w:trHeight w:val="320"/>
        </w:trPr>
        <w:tc>
          <w:tcPr>
            <w:tcW w:w="1838" w:type="dxa"/>
            <w:tcBorders>
              <w:top w:val="nil"/>
              <w:bottom w:val="nil"/>
            </w:tcBorders>
            <w:shd w:val="clear" w:color="auto" w:fill="auto"/>
            <w:noWrap/>
            <w:vAlign w:val="center"/>
            <w:hideMark/>
          </w:tcPr>
          <w:p w14:paraId="4D7E4047"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Watch</w:t>
            </w:r>
          </w:p>
        </w:tc>
        <w:tc>
          <w:tcPr>
            <w:tcW w:w="1373" w:type="dxa"/>
            <w:tcBorders>
              <w:top w:val="nil"/>
              <w:bottom w:val="nil"/>
            </w:tcBorders>
            <w:shd w:val="clear" w:color="auto" w:fill="auto"/>
            <w:noWrap/>
            <w:vAlign w:val="center"/>
            <w:hideMark/>
          </w:tcPr>
          <w:p w14:paraId="7F74C293"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90 (62)</w:t>
            </w:r>
          </w:p>
        </w:tc>
        <w:tc>
          <w:tcPr>
            <w:tcW w:w="1057" w:type="dxa"/>
            <w:tcBorders>
              <w:top w:val="nil"/>
              <w:bottom w:val="nil"/>
            </w:tcBorders>
            <w:shd w:val="clear" w:color="auto" w:fill="auto"/>
            <w:noWrap/>
            <w:vAlign w:val="center"/>
            <w:hideMark/>
          </w:tcPr>
          <w:p w14:paraId="3D5978FD"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71 (49)</w:t>
            </w:r>
          </w:p>
        </w:tc>
        <w:tc>
          <w:tcPr>
            <w:tcW w:w="1020" w:type="dxa"/>
            <w:tcBorders>
              <w:top w:val="nil"/>
              <w:bottom w:val="nil"/>
              <w:right w:val="single" w:sz="4" w:space="0" w:color="auto"/>
            </w:tcBorders>
            <w:shd w:val="clear" w:color="auto" w:fill="auto"/>
            <w:noWrap/>
            <w:vAlign w:val="center"/>
            <w:hideMark/>
          </w:tcPr>
          <w:p w14:paraId="2C8357DB" w14:textId="77777777" w:rsidR="00703F3B" w:rsidRPr="00681ED3" w:rsidRDefault="00703F3B" w:rsidP="006305D0">
            <w:pPr>
              <w:autoSpaceDE/>
              <w:autoSpaceDN/>
              <w:adjustRightInd/>
              <w:jc w:val="center"/>
              <w:rPr>
                <w:rFonts w:eastAsia="Times New Roman"/>
                <w:i/>
                <w:iCs/>
                <w:color w:val="000000"/>
                <w:lang w:eastAsia="en-GB"/>
              </w:rPr>
            </w:pPr>
          </w:p>
        </w:tc>
        <w:tc>
          <w:tcPr>
            <w:tcW w:w="1640" w:type="dxa"/>
            <w:tcBorders>
              <w:top w:val="nil"/>
              <w:left w:val="single" w:sz="4" w:space="0" w:color="auto"/>
              <w:bottom w:val="nil"/>
            </w:tcBorders>
            <w:shd w:val="clear" w:color="auto" w:fill="auto"/>
            <w:noWrap/>
            <w:vAlign w:val="center"/>
            <w:hideMark/>
          </w:tcPr>
          <w:p w14:paraId="45CE2D26"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Watch</w:t>
            </w:r>
          </w:p>
        </w:tc>
        <w:tc>
          <w:tcPr>
            <w:tcW w:w="1373" w:type="dxa"/>
            <w:tcBorders>
              <w:top w:val="nil"/>
              <w:bottom w:val="nil"/>
            </w:tcBorders>
            <w:shd w:val="clear" w:color="auto" w:fill="auto"/>
            <w:noWrap/>
            <w:vAlign w:val="center"/>
            <w:hideMark/>
          </w:tcPr>
          <w:p w14:paraId="11A6D450"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84 (61)</w:t>
            </w:r>
          </w:p>
        </w:tc>
        <w:tc>
          <w:tcPr>
            <w:tcW w:w="961" w:type="dxa"/>
            <w:tcBorders>
              <w:top w:val="nil"/>
              <w:bottom w:val="nil"/>
            </w:tcBorders>
            <w:shd w:val="clear" w:color="auto" w:fill="auto"/>
            <w:noWrap/>
            <w:vAlign w:val="center"/>
            <w:hideMark/>
          </w:tcPr>
          <w:p w14:paraId="482BBBCE"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68 (49)</w:t>
            </w:r>
          </w:p>
        </w:tc>
        <w:tc>
          <w:tcPr>
            <w:tcW w:w="1020" w:type="dxa"/>
            <w:tcBorders>
              <w:top w:val="nil"/>
              <w:bottom w:val="nil"/>
            </w:tcBorders>
            <w:shd w:val="clear" w:color="auto" w:fill="auto"/>
            <w:noWrap/>
            <w:vAlign w:val="center"/>
            <w:hideMark/>
          </w:tcPr>
          <w:p w14:paraId="50D0B742"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r>
      <w:tr w:rsidR="00681ED3" w:rsidRPr="00681ED3" w14:paraId="7684FD3B" w14:textId="77777777" w:rsidTr="006305D0">
        <w:trPr>
          <w:trHeight w:val="198"/>
        </w:trPr>
        <w:tc>
          <w:tcPr>
            <w:tcW w:w="1838" w:type="dxa"/>
            <w:tcBorders>
              <w:top w:val="nil"/>
              <w:bottom w:val="single" w:sz="4" w:space="0" w:color="auto"/>
            </w:tcBorders>
            <w:shd w:val="clear" w:color="auto" w:fill="auto"/>
            <w:noWrap/>
            <w:vAlign w:val="center"/>
            <w:hideMark/>
          </w:tcPr>
          <w:p w14:paraId="69BBF5F6"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Reserve</w:t>
            </w:r>
          </w:p>
        </w:tc>
        <w:tc>
          <w:tcPr>
            <w:tcW w:w="1373" w:type="dxa"/>
            <w:tcBorders>
              <w:top w:val="nil"/>
              <w:bottom w:val="single" w:sz="4" w:space="0" w:color="auto"/>
            </w:tcBorders>
            <w:shd w:val="clear" w:color="auto" w:fill="auto"/>
            <w:noWrap/>
            <w:vAlign w:val="center"/>
            <w:hideMark/>
          </w:tcPr>
          <w:p w14:paraId="6AD7D43A"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 (1)</w:t>
            </w:r>
          </w:p>
        </w:tc>
        <w:tc>
          <w:tcPr>
            <w:tcW w:w="1057" w:type="dxa"/>
            <w:tcBorders>
              <w:top w:val="nil"/>
              <w:bottom w:val="single" w:sz="4" w:space="0" w:color="auto"/>
            </w:tcBorders>
            <w:shd w:val="clear" w:color="auto" w:fill="auto"/>
            <w:noWrap/>
            <w:vAlign w:val="center"/>
            <w:hideMark/>
          </w:tcPr>
          <w:p w14:paraId="74F5AA8E"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0 (0)</w:t>
            </w:r>
          </w:p>
        </w:tc>
        <w:tc>
          <w:tcPr>
            <w:tcW w:w="1020" w:type="dxa"/>
            <w:tcBorders>
              <w:top w:val="nil"/>
              <w:bottom w:val="single" w:sz="4" w:space="0" w:color="auto"/>
              <w:right w:val="single" w:sz="4" w:space="0" w:color="auto"/>
            </w:tcBorders>
            <w:shd w:val="clear" w:color="auto" w:fill="auto"/>
            <w:noWrap/>
            <w:vAlign w:val="center"/>
            <w:hideMark/>
          </w:tcPr>
          <w:p w14:paraId="0F9D0299" w14:textId="77777777" w:rsidR="00703F3B" w:rsidRPr="00681ED3" w:rsidRDefault="00703F3B" w:rsidP="006305D0">
            <w:pPr>
              <w:autoSpaceDE/>
              <w:autoSpaceDN/>
              <w:adjustRightInd/>
              <w:jc w:val="center"/>
              <w:rPr>
                <w:rFonts w:eastAsia="Times New Roman"/>
                <w:i/>
                <w:iCs/>
                <w:color w:val="000000"/>
                <w:lang w:eastAsia="en-GB"/>
              </w:rPr>
            </w:pPr>
          </w:p>
        </w:tc>
        <w:tc>
          <w:tcPr>
            <w:tcW w:w="1640" w:type="dxa"/>
            <w:tcBorders>
              <w:top w:val="nil"/>
              <w:left w:val="single" w:sz="4" w:space="0" w:color="auto"/>
              <w:bottom w:val="single" w:sz="4" w:space="0" w:color="auto"/>
            </w:tcBorders>
            <w:shd w:val="clear" w:color="auto" w:fill="auto"/>
            <w:noWrap/>
            <w:vAlign w:val="center"/>
            <w:hideMark/>
          </w:tcPr>
          <w:p w14:paraId="1579688C"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Reserve</w:t>
            </w:r>
          </w:p>
        </w:tc>
        <w:tc>
          <w:tcPr>
            <w:tcW w:w="1373" w:type="dxa"/>
            <w:tcBorders>
              <w:top w:val="nil"/>
              <w:bottom w:val="single" w:sz="4" w:space="0" w:color="auto"/>
            </w:tcBorders>
            <w:shd w:val="clear" w:color="auto" w:fill="auto"/>
            <w:noWrap/>
            <w:vAlign w:val="center"/>
            <w:hideMark/>
          </w:tcPr>
          <w:p w14:paraId="6DAC88D7"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 (1)</w:t>
            </w:r>
          </w:p>
        </w:tc>
        <w:tc>
          <w:tcPr>
            <w:tcW w:w="961" w:type="dxa"/>
            <w:tcBorders>
              <w:top w:val="nil"/>
              <w:bottom w:val="single" w:sz="4" w:space="0" w:color="auto"/>
            </w:tcBorders>
            <w:shd w:val="clear" w:color="auto" w:fill="auto"/>
            <w:noWrap/>
            <w:vAlign w:val="center"/>
            <w:hideMark/>
          </w:tcPr>
          <w:p w14:paraId="0F0A92F9"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0 (0)</w:t>
            </w:r>
          </w:p>
        </w:tc>
        <w:tc>
          <w:tcPr>
            <w:tcW w:w="1020" w:type="dxa"/>
            <w:tcBorders>
              <w:top w:val="nil"/>
              <w:bottom w:val="single" w:sz="4" w:space="0" w:color="auto"/>
            </w:tcBorders>
            <w:shd w:val="clear" w:color="auto" w:fill="auto"/>
            <w:noWrap/>
            <w:vAlign w:val="center"/>
            <w:hideMark/>
          </w:tcPr>
          <w:p w14:paraId="23B51F78"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r>
      <w:tr w:rsidR="00681ED3" w:rsidRPr="00681ED3" w14:paraId="0B4D5145" w14:textId="77777777" w:rsidTr="006305D0">
        <w:trPr>
          <w:trHeight w:val="240"/>
        </w:trPr>
        <w:tc>
          <w:tcPr>
            <w:tcW w:w="1838" w:type="dxa"/>
            <w:tcBorders>
              <w:top w:val="single" w:sz="4" w:space="0" w:color="auto"/>
              <w:bottom w:val="single" w:sz="4" w:space="0" w:color="auto"/>
            </w:tcBorders>
            <w:shd w:val="clear" w:color="auto" w:fill="D9D9D9" w:themeFill="background1" w:themeFillShade="D9"/>
            <w:noWrap/>
            <w:vAlign w:val="center"/>
            <w:hideMark/>
          </w:tcPr>
          <w:p w14:paraId="3B617603" w14:textId="77777777" w:rsidR="006305D0" w:rsidRDefault="00703F3B" w:rsidP="006305D0">
            <w:pPr>
              <w:autoSpaceDE/>
              <w:autoSpaceDN/>
              <w:adjustRightInd/>
              <w:rPr>
                <w:rFonts w:eastAsia="Times New Roman"/>
                <w:b/>
                <w:bCs/>
                <w:color w:val="000000"/>
                <w:lang w:eastAsia="en-GB"/>
              </w:rPr>
            </w:pPr>
            <w:r w:rsidRPr="00EF50CE">
              <w:rPr>
                <w:rFonts w:eastAsia="Times New Roman"/>
                <w:b/>
                <w:bCs/>
                <w:color w:val="000000"/>
                <w:lang w:eastAsia="en-GB"/>
              </w:rPr>
              <w:t xml:space="preserve">Ward </w:t>
            </w:r>
            <w:r w:rsidR="0022151E" w:rsidRPr="00EF50CE">
              <w:rPr>
                <w:rFonts w:eastAsia="Times New Roman"/>
                <w:b/>
                <w:bCs/>
                <w:color w:val="000000"/>
                <w:lang w:eastAsia="en-GB"/>
              </w:rPr>
              <w:t>patients</w:t>
            </w:r>
            <w:r w:rsidR="0063471F" w:rsidRPr="00EF50CE">
              <w:rPr>
                <w:rFonts w:eastAsia="Times New Roman"/>
                <w:b/>
                <w:bCs/>
                <w:color w:val="000000"/>
                <w:lang w:eastAsia="en-GB"/>
              </w:rPr>
              <w:t>**</w:t>
            </w:r>
            <w:r w:rsidRPr="00EF50CE">
              <w:rPr>
                <w:rFonts w:eastAsia="Times New Roman"/>
                <w:b/>
                <w:bCs/>
                <w:color w:val="000000"/>
                <w:lang w:eastAsia="en-GB"/>
              </w:rPr>
              <w:t xml:space="preserve"> </w:t>
            </w:r>
          </w:p>
          <w:p w14:paraId="66F3BAF0" w14:textId="3A827F7B" w:rsidR="00703F3B" w:rsidRPr="00EF50CE" w:rsidRDefault="00703F3B" w:rsidP="006305D0">
            <w:pPr>
              <w:autoSpaceDE/>
              <w:autoSpaceDN/>
              <w:adjustRightInd/>
              <w:rPr>
                <w:rFonts w:eastAsia="Times New Roman"/>
                <w:b/>
                <w:bCs/>
                <w:color w:val="000000"/>
                <w:lang w:eastAsia="en-GB"/>
              </w:rPr>
            </w:pPr>
            <w:r w:rsidRPr="00EF50CE">
              <w:rPr>
                <w:rFonts w:eastAsia="Times New Roman"/>
                <w:b/>
                <w:bCs/>
                <w:color w:val="000000"/>
                <w:lang w:eastAsia="en-GB"/>
              </w:rPr>
              <w:t>(n = 79)</w:t>
            </w:r>
          </w:p>
        </w:tc>
        <w:tc>
          <w:tcPr>
            <w:tcW w:w="1373" w:type="dxa"/>
            <w:tcBorders>
              <w:top w:val="single" w:sz="4" w:space="0" w:color="auto"/>
              <w:bottom w:val="single" w:sz="4" w:space="0" w:color="auto"/>
            </w:tcBorders>
            <w:shd w:val="clear" w:color="auto" w:fill="D9D9D9" w:themeFill="background1" w:themeFillShade="D9"/>
            <w:noWrap/>
            <w:vAlign w:val="center"/>
            <w:hideMark/>
          </w:tcPr>
          <w:p w14:paraId="2F5788CB" w14:textId="77777777" w:rsidR="00703F3B" w:rsidRPr="00681ED3" w:rsidRDefault="00703F3B" w:rsidP="006305D0">
            <w:pPr>
              <w:autoSpaceDE/>
              <w:autoSpaceDN/>
              <w:adjustRightInd/>
              <w:jc w:val="center"/>
              <w:rPr>
                <w:rFonts w:eastAsia="Times New Roman"/>
                <w:b/>
                <w:bCs/>
                <w:color w:val="000000"/>
                <w:lang w:eastAsia="en-GB"/>
              </w:rPr>
            </w:pPr>
          </w:p>
        </w:tc>
        <w:tc>
          <w:tcPr>
            <w:tcW w:w="1057" w:type="dxa"/>
            <w:tcBorders>
              <w:top w:val="single" w:sz="4" w:space="0" w:color="auto"/>
              <w:bottom w:val="single" w:sz="4" w:space="0" w:color="auto"/>
            </w:tcBorders>
            <w:shd w:val="clear" w:color="auto" w:fill="D9D9D9" w:themeFill="background1" w:themeFillShade="D9"/>
            <w:noWrap/>
            <w:vAlign w:val="center"/>
            <w:hideMark/>
          </w:tcPr>
          <w:p w14:paraId="4C279409" w14:textId="77777777" w:rsidR="00703F3B" w:rsidRPr="00681ED3" w:rsidRDefault="00703F3B" w:rsidP="006305D0">
            <w:pPr>
              <w:autoSpaceDE/>
              <w:autoSpaceDN/>
              <w:adjustRightInd/>
              <w:jc w:val="center"/>
              <w:rPr>
                <w:rFonts w:eastAsia="Times New Roman"/>
                <w:lang w:eastAsia="en-GB"/>
              </w:rPr>
            </w:pPr>
          </w:p>
        </w:tc>
        <w:tc>
          <w:tcPr>
            <w:tcW w:w="1020"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2566F144" w14:textId="44446426" w:rsidR="00703F3B" w:rsidRPr="00681ED3" w:rsidRDefault="00681ED3" w:rsidP="006305D0">
            <w:pPr>
              <w:autoSpaceDE/>
              <w:autoSpaceDN/>
              <w:adjustRightInd/>
              <w:jc w:val="center"/>
              <w:rPr>
                <w:rFonts w:eastAsia="Times New Roman"/>
                <w:b/>
                <w:bCs/>
                <w:i/>
                <w:iCs/>
                <w:lang w:eastAsia="en-GB"/>
              </w:rPr>
            </w:pPr>
            <w:r w:rsidRPr="00681ED3">
              <w:rPr>
                <w:rFonts w:eastAsia="Times New Roman"/>
                <w:b/>
                <w:bCs/>
                <w:i/>
                <w:iCs/>
                <w:color w:val="000000"/>
                <w:lang w:eastAsia="en-GB"/>
              </w:rPr>
              <w:t>&lt;0.001</w:t>
            </w:r>
          </w:p>
        </w:tc>
        <w:tc>
          <w:tcPr>
            <w:tcW w:w="1640"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794288EE" w14:textId="0A45452C" w:rsidR="00703F3B" w:rsidRPr="00681ED3" w:rsidRDefault="00703F3B" w:rsidP="006305D0">
            <w:pPr>
              <w:autoSpaceDE/>
              <w:autoSpaceDN/>
              <w:adjustRightInd/>
              <w:rPr>
                <w:rFonts w:eastAsia="Times New Roman"/>
                <w:b/>
                <w:bCs/>
                <w:color w:val="000000"/>
                <w:lang w:eastAsia="en-GB"/>
              </w:rPr>
            </w:pPr>
            <w:r w:rsidRPr="00681ED3">
              <w:rPr>
                <w:rFonts w:eastAsia="Times New Roman"/>
                <w:b/>
                <w:bCs/>
                <w:color w:val="000000"/>
                <w:lang w:eastAsia="en-GB"/>
              </w:rPr>
              <w:t xml:space="preserve">Ward </w:t>
            </w:r>
            <w:r w:rsidR="0022151E" w:rsidRPr="00EF50CE">
              <w:rPr>
                <w:rFonts w:eastAsia="Times New Roman"/>
                <w:b/>
                <w:bCs/>
                <w:color w:val="000000"/>
                <w:lang w:eastAsia="en-GB"/>
              </w:rPr>
              <w:t>patients</w:t>
            </w:r>
            <w:r w:rsidRPr="00EF50CE">
              <w:rPr>
                <w:rFonts w:eastAsia="Times New Roman"/>
                <w:b/>
                <w:bCs/>
                <w:color w:val="000000"/>
                <w:lang w:eastAsia="en-GB"/>
              </w:rPr>
              <w:t xml:space="preserve"> </w:t>
            </w:r>
            <w:r w:rsidRPr="00681ED3">
              <w:rPr>
                <w:rFonts w:eastAsia="Times New Roman"/>
                <w:b/>
                <w:bCs/>
                <w:color w:val="000000"/>
                <w:lang w:eastAsia="en-GB"/>
              </w:rPr>
              <w:t>(n=64)</w:t>
            </w:r>
          </w:p>
        </w:tc>
        <w:tc>
          <w:tcPr>
            <w:tcW w:w="1373" w:type="dxa"/>
            <w:tcBorders>
              <w:top w:val="single" w:sz="4" w:space="0" w:color="auto"/>
              <w:bottom w:val="single" w:sz="4" w:space="0" w:color="auto"/>
            </w:tcBorders>
            <w:shd w:val="clear" w:color="auto" w:fill="D9D9D9" w:themeFill="background1" w:themeFillShade="D9"/>
            <w:noWrap/>
            <w:vAlign w:val="center"/>
            <w:hideMark/>
          </w:tcPr>
          <w:p w14:paraId="088BFA64" w14:textId="77777777" w:rsidR="00703F3B" w:rsidRPr="00681ED3" w:rsidRDefault="00703F3B" w:rsidP="006305D0">
            <w:pPr>
              <w:autoSpaceDE/>
              <w:autoSpaceDN/>
              <w:adjustRightInd/>
              <w:jc w:val="center"/>
              <w:rPr>
                <w:rFonts w:eastAsia="Times New Roman"/>
                <w:b/>
                <w:bCs/>
                <w:color w:val="000000"/>
                <w:lang w:eastAsia="en-GB"/>
              </w:rPr>
            </w:pPr>
          </w:p>
        </w:tc>
        <w:tc>
          <w:tcPr>
            <w:tcW w:w="961" w:type="dxa"/>
            <w:tcBorders>
              <w:top w:val="single" w:sz="4" w:space="0" w:color="auto"/>
              <w:bottom w:val="single" w:sz="4" w:space="0" w:color="auto"/>
            </w:tcBorders>
            <w:shd w:val="clear" w:color="auto" w:fill="D9D9D9" w:themeFill="background1" w:themeFillShade="D9"/>
            <w:noWrap/>
            <w:vAlign w:val="center"/>
            <w:hideMark/>
          </w:tcPr>
          <w:p w14:paraId="7D117F67" w14:textId="77777777" w:rsidR="00703F3B" w:rsidRPr="00681ED3" w:rsidRDefault="00703F3B" w:rsidP="006305D0">
            <w:pPr>
              <w:autoSpaceDE/>
              <w:autoSpaceDN/>
              <w:adjustRightInd/>
              <w:rPr>
                <w:rFonts w:eastAsia="Times New Roman"/>
                <w:lang w:eastAsia="en-GB"/>
              </w:rPr>
            </w:pPr>
          </w:p>
        </w:tc>
        <w:tc>
          <w:tcPr>
            <w:tcW w:w="1020" w:type="dxa"/>
            <w:tcBorders>
              <w:top w:val="single" w:sz="4" w:space="0" w:color="auto"/>
              <w:bottom w:val="single" w:sz="4" w:space="0" w:color="auto"/>
            </w:tcBorders>
            <w:shd w:val="clear" w:color="auto" w:fill="D9D9D9" w:themeFill="background1" w:themeFillShade="D9"/>
            <w:noWrap/>
            <w:vAlign w:val="center"/>
            <w:hideMark/>
          </w:tcPr>
          <w:p w14:paraId="235191A6" w14:textId="77777777" w:rsidR="00703F3B" w:rsidRPr="00681ED3" w:rsidRDefault="00703F3B" w:rsidP="006305D0">
            <w:pPr>
              <w:autoSpaceDE/>
              <w:autoSpaceDN/>
              <w:adjustRightInd/>
              <w:rPr>
                <w:rFonts w:eastAsia="Times New Roman"/>
                <w:b/>
                <w:bCs/>
                <w:i/>
                <w:iCs/>
                <w:color w:val="000000"/>
                <w:lang w:eastAsia="en-GB"/>
              </w:rPr>
            </w:pPr>
            <w:r w:rsidRPr="00681ED3">
              <w:rPr>
                <w:rFonts w:eastAsia="Times New Roman"/>
                <w:b/>
                <w:bCs/>
                <w:i/>
                <w:iCs/>
                <w:color w:val="000000"/>
                <w:lang w:eastAsia="en-GB"/>
              </w:rPr>
              <w:t>&lt;0.001</w:t>
            </w:r>
          </w:p>
        </w:tc>
      </w:tr>
      <w:tr w:rsidR="00681ED3" w:rsidRPr="00681ED3" w14:paraId="48C96EEC" w14:textId="77777777" w:rsidTr="006305D0">
        <w:trPr>
          <w:trHeight w:val="401"/>
        </w:trPr>
        <w:tc>
          <w:tcPr>
            <w:tcW w:w="1838" w:type="dxa"/>
            <w:tcBorders>
              <w:top w:val="single" w:sz="4" w:space="0" w:color="auto"/>
            </w:tcBorders>
            <w:shd w:val="clear" w:color="auto" w:fill="auto"/>
            <w:noWrap/>
            <w:vAlign w:val="center"/>
            <w:hideMark/>
          </w:tcPr>
          <w:p w14:paraId="30336DE1"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No treatment</w:t>
            </w:r>
          </w:p>
        </w:tc>
        <w:tc>
          <w:tcPr>
            <w:tcW w:w="1373" w:type="dxa"/>
            <w:tcBorders>
              <w:top w:val="single" w:sz="4" w:space="0" w:color="auto"/>
            </w:tcBorders>
            <w:shd w:val="clear" w:color="auto" w:fill="auto"/>
            <w:noWrap/>
            <w:vAlign w:val="center"/>
            <w:hideMark/>
          </w:tcPr>
          <w:p w14:paraId="400B11DA"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16 (20)</w:t>
            </w:r>
          </w:p>
        </w:tc>
        <w:tc>
          <w:tcPr>
            <w:tcW w:w="1057" w:type="dxa"/>
            <w:tcBorders>
              <w:top w:val="single" w:sz="4" w:space="0" w:color="auto"/>
            </w:tcBorders>
            <w:shd w:val="clear" w:color="auto" w:fill="auto"/>
            <w:noWrap/>
            <w:vAlign w:val="center"/>
            <w:hideMark/>
          </w:tcPr>
          <w:p w14:paraId="03B8AC1E"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15 (19)</w:t>
            </w:r>
          </w:p>
        </w:tc>
        <w:tc>
          <w:tcPr>
            <w:tcW w:w="1020" w:type="dxa"/>
            <w:tcBorders>
              <w:top w:val="single" w:sz="4" w:space="0" w:color="auto"/>
              <w:right w:val="single" w:sz="4" w:space="0" w:color="auto"/>
            </w:tcBorders>
            <w:shd w:val="clear" w:color="auto" w:fill="auto"/>
            <w:noWrap/>
            <w:vAlign w:val="center"/>
            <w:hideMark/>
          </w:tcPr>
          <w:p w14:paraId="5EAFBF28" w14:textId="77777777" w:rsidR="00703F3B" w:rsidRPr="00681ED3" w:rsidRDefault="00703F3B" w:rsidP="006305D0">
            <w:pPr>
              <w:autoSpaceDE/>
              <w:autoSpaceDN/>
              <w:adjustRightInd/>
              <w:jc w:val="center"/>
              <w:rPr>
                <w:rFonts w:eastAsia="Times New Roman"/>
                <w:color w:val="000000"/>
                <w:lang w:eastAsia="en-GB"/>
              </w:rPr>
            </w:pPr>
          </w:p>
        </w:tc>
        <w:tc>
          <w:tcPr>
            <w:tcW w:w="1640" w:type="dxa"/>
            <w:tcBorders>
              <w:top w:val="single" w:sz="4" w:space="0" w:color="auto"/>
              <w:left w:val="single" w:sz="4" w:space="0" w:color="auto"/>
            </w:tcBorders>
            <w:shd w:val="clear" w:color="auto" w:fill="auto"/>
            <w:noWrap/>
            <w:vAlign w:val="center"/>
            <w:hideMark/>
          </w:tcPr>
          <w:p w14:paraId="17454D95"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No treatment</w:t>
            </w:r>
          </w:p>
        </w:tc>
        <w:tc>
          <w:tcPr>
            <w:tcW w:w="1373" w:type="dxa"/>
            <w:tcBorders>
              <w:top w:val="single" w:sz="4" w:space="0" w:color="auto"/>
            </w:tcBorders>
            <w:shd w:val="clear" w:color="auto" w:fill="auto"/>
            <w:noWrap/>
            <w:vAlign w:val="center"/>
            <w:hideMark/>
          </w:tcPr>
          <w:p w14:paraId="58BDFDC2"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15 (23)</w:t>
            </w:r>
          </w:p>
        </w:tc>
        <w:tc>
          <w:tcPr>
            <w:tcW w:w="961" w:type="dxa"/>
            <w:tcBorders>
              <w:top w:val="single" w:sz="4" w:space="0" w:color="auto"/>
            </w:tcBorders>
            <w:shd w:val="clear" w:color="auto" w:fill="auto"/>
            <w:noWrap/>
            <w:vAlign w:val="center"/>
            <w:hideMark/>
          </w:tcPr>
          <w:p w14:paraId="0BBCD0E6"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15 (23)</w:t>
            </w:r>
          </w:p>
        </w:tc>
        <w:tc>
          <w:tcPr>
            <w:tcW w:w="1020" w:type="dxa"/>
            <w:tcBorders>
              <w:top w:val="single" w:sz="4" w:space="0" w:color="auto"/>
            </w:tcBorders>
            <w:shd w:val="clear" w:color="auto" w:fill="auto"/>
            <w:noWrap/>
            <w:vAlign w:val="center"/>
            <w:hideMark/>
          </w:tcPr>
          <w:p w14:paraId="65A6BDBA"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r>
      <w:tr w:rsidR="00681ED3" w:rsidRPr="00681ED3" w14:paraId="1989FD4A" w14:textId="77777777" w:rsidTr="006305D0">
        <w:trPr>
          <w:trHeight w:val="56"/>
        </w:trPr>
        <w:tc>
          <w:tcPr>
            <w:tcW w:w="1838" w:type="dxa"/>
            <w:shd w:val="clear" w:color="auto" w:fill="auto"/>
            <w:noWrap/>
            <w:vAlign w:val="center"/>
            <w:hideMark/>
          </w:tcPr>
          <w:p w14:paraId="72B13237" w14:textId="4DE31C0A"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Access</w:t>
            </w:r>
          </w:p>
        </w:tc>
        <w:tc>
          <w:tcPr>
            <w:tcW w:w="1373" w:type="dxa"/>
            <w:shd w:val="clear" w:color="auto" w:fill="auto"/>
            <w:noWrap/>
            <w:vAlign w:val="center"/>
            <w:hideMark/>
          </w:tcPr>
          <w:p w14:paraId="12E06A0F"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25 (32)</w:t>
            </w:r>
          </w:p>
        </w:tc>
        <w:tc>
          <w:tcPr>
            <w:tcW w:w="1057" w:type="dxa"/>
            <w:shd w:val="clear" w:color="auto" w:fill="auto"/>
            <w:noWrap/>
            <w:vAlign w:val="center"/>
            <w:hideMark/>
          </w:tcPr>
          <w:p w14:paraId="46518183"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36 (46)</w:t>
            </w:r>
          </w:p>
        </w:tc>
        <w:tc>
          <w:tcPr>
            <w:tcW w:w="1020" w:type="dxa"/>
            <w:tcBorders>
              <w:right w:val="single" w:sz="4" w:space="0" w:color="auto"/>
            </w:tcBorders>
            <w:shd w:val="clear" w:color="auto" w:fill="auto"/>
            <w:noWrap/>
            <w:vAlign w:val="center"/>
            <w:hideMark/>
          </w:tcPr>
          <w:p w14:paraId="3FE2640B" w14:textId="77777777" w:rsidR="00703F3B" w:rsidRPr="00681ED3" w:rsidRDefault="00703F3B" w:rsidP="006305D0">
            <w:pPr>
              <w:autoSpaceDE/>
              <w:autoSpaceDN/>
              <w:adjustRightInd/>
              <w:jc w:val="center"/>
              <w:rPr>
                <w:rFonts w:eastAsia="Times New Roman"/>
                <w:color w:val="000000"/>
                <w:lang w:eastAsia="en-GB"/>
              </w:rPr>
            </w:pPr>
          </w:p>
        </w:tc>
        <w:tc>
          <w:tcPr>
            <w:tcW w:w="1640" w:type="dxa"/>
            <w:tcBorders>
              <w:left w:val="single" w:sz="4" w:space="0" w:color="auto"/>
            </w:tcBorders>
            <w:shd w:val="clear" w:color="auto" w:fill="auto"/>
            <w:noWrap/>
            <w:vAlign w:val="center"/>
            <w:hideMark/>
          </w:tcPr>
          <w:p w14:paraId="6B24D196"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Access</w:t>
            </w:r>
          </w:p>
        </w:tc>
        <w:tc>
          <w:tcPr>
            <w:tcW w:w="1373" w:type="dxa"/>
            <w:shd w:val="clear" w:color="auto" w:fill="auto"/>
            <w:noWrap/>
            <w:vAlign w:val="center"/>
            <w:hideMark/>
          </w:tcPr>
          <w:p w14:paraId="7E894E4A"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19 (30)</w:t>
            </w:r>
          </w:p>
        </w:tc>
        <w:tc>
          <w:tcPr>
            <w:tcW w:w="961" w:type="dxa"/>
            <w:shd w:val="clear" w:color="auto" w:fill="auto"/>
            <w:noWrap/>
            <w:vAlign w:val="center"/>
            <w:hideMark/>
          </w:tcPr>
          <w:p w14:paraId="748D752D"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29 (45)</w:t>
            </w:r>
          </w:p>
        </w:tc>
        <w:tc>
          <w:tcPr>
            <w:tcW w:w="1020" w:type="dxa"/>
            <w:shd w:val="clear" w:color="auto" w:fill="auto"/>
            <w:noWrap/>
            <w:vAlign w:val="center"/>
            <w:hideMark/>
          </w:tcPr>
          <w:p w14:paraId="71D528C5"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r>
      <w:tr w:rsidR="00681ED3" w:rsidRPr="00681ED3" w14:paraId="2E671306" w14:textId="77777777" w:rsidTr="006305D0">
        <w:trPr>
          <w:trHeight w:val="411"/>
        </w:trPr>
        <w:tc>
          <w:tcPr>
            <w:tcW w:w="1838" w:type="dxa"/>
            <w:shd w:val="clear" w:color="auto" w:fill="auto"/>
            <w:noWrap/>
            <w:vAlign w:val="center"/>
            <w:hideMark/>
          </w:tcPr>
          <w:p w14:paraId="5DC6ACC3"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Watch</w:t>
            </w:r>
          </w:p>
        </w:tc>
        <w:tc>
          <w:tcPr>
            <w:tcW w:w="1373" w:type="dxa"/>
            <w:shd w:val="clear" w:color="auto" w:fill="auto"/>
            <w:noWrap/>
            <w:vAlign w:val="center"/>
            <w:hideMark/>
          </w:tcPr>
          <w:p w14:paraId="29DEAD7A"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37 (47)</w:t>
            </w:r>
          </w:p>
        </w:tc>
        <w:tc>
          <w:tcPr>
            <w:tcW w:w="1057" w:type="dxa"/>
            <w:shd w:val="clear" w:color="auto" w:fill="auto"/>
            <w:noWrap/>
            <w:vAlign w:val="center"/>
            <w:hideMark/>
          </w:tcPr>
          <w:p w14:paraId="5EB1E5BA"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26 (33)</w:t>
            </w:r>
          </w:p>
        </w:tc>
        <w:tc>
          <w:tcPr>
            <w:tcW w:w="1020" w:type="dxa"/>
            <w:tcBorders>
              <w:right w:val="single" w:sz="4" w:space="0" w:color="auto"/>
            </w:tcBorders>
            <w:shd w:val="clear" w:color="auto" w:fill="auto"/>
            <w:noWrap/>
            <w:vAlign w:val="center"/>
            <w:hideMark/>
          </w:tcPr>
          <w:p w14:paraId="69C70A8D" w14:textId="77777777" w:rsidR="00703F3B" w:rsidRPr="00681ED3" w:rsidRDefault="00703F3B" w:rsidP="006305D0">
            <w:pPr>
              <w:autoSpaceDE/>
              <w:autoSpaceDN/>
              <w:adjustRightInd/>
              <w:jc w:val="center"/>
              <w:rPr>
                <w:rFonts w:eastAsia="Times New Roman"/>
                <w:color w:val="000000"/>
                <w:lang w:eastAsia="en-GB"/>
              </w:rPr>
            </w:pPr>
          </w:p>
        </w:tc>
        <w:tc>
          <w:tcPr>
            <w:tcW w:w="1640" w:type="dxa"/>
            <w:tcBorders>
              <w:left w:val="single" w:sz="4" w:space="0" w:color="auto"/>
            </w:tcBorders>
            <w:shd w:val="clear" w:color="auto" w:fill="auto"/>
            <w:noWrap/>
            <w:vAlign w:val="center"/>
            <w:hideMark/>
          </w:tcPr>
          <w:p w14:paraId="13ECB857"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Watch</w:t>
            </w:r>
          </w:p>
        </w:tc>
        <w:tc>
          <w:tcPr>
            <w:tcW w:w="1373" w:type="dxa"/>
            <w:shd w:val="clear" w:color="auto" w:fill="auto"/>
            <w:noWrap/>
            <w:vAlign w:val="center"/>
            <w:hideMark/>
          </w:tcPr>
          <w:p w14:paraId="7B689168"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30 (47)</w:t>
            </w:r>
          </w:p>
        </w:tc>
        <w:tc>
          <w:tcPr>
            <w:tcW w:w="961" w:type="dxa"/>
            <w:shd w:val="clear" w:color="auto" w:fill="auto"/>
            <w:noWrap/>
            <w:vAlign w:val="center"/>
            <w:hideMark/>
          </w:tcPr>
          <w:p w14:paraId="759F3EA3"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20 (31)</w:t>
            </w:r>
          </w:p>
        </w:tc>
        <w:tc>
          <w:tcPr>
            <w:tcW w:w="1020" w:type="dxa"/>
            <w:shd w:val="clear" w:color="auto" w:fill="auto"/>
            <w:noWrap/>
            <w:vAlign w:val="center"/>
            <w:hideMark/>
          </w:tcPr>
          <w:p w14:paraId="7932D6CB"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r>
      <w:tr w:rsidR="00681ED3" w:rsidRPr="00681ED3" w14:paraId="31B994A7" w14:textId="77777777" w:rsidTr="006305D0">
        <w:trPr>
          <w:trHeight w:val="150"/>
        </w:trPr>
        <w:tc>
          <w:tcPr>
            <w:tcW w:w="1838" w:type="dxa"/>
            <w:shd w:val="clear" w:color="auto" w:fill="auto"/>
            <w:noWrap/>
            <w:vAlign w:val="center"/>
            <w:hideMark/>
          </w:tcPr>
          <w:p w14:paraId="43518899" w14:textId="77AD6426"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Reserve</w:t>
            </w:r>
          </w:p>
        </w:tc>
        <w:tc>
          <w:tcPr>
            <w:tcW w:w="1373" w:type="dxa"/>
            <w:shd w:val="clear" w:color="auto" w:fill="auto"/>
            <w:noWrap/>
            <w:vAlign w:val="center"/>
            <w:hideMark/>
          </w:tcPr>
          <w:p w14:paraId="29F230FF"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1 (1)</w:t>
            </w:r>
          </w:p>
        </w:tc>
        <w:tc>
          <w:tcPr>
            <w:tcW w:w="1057" w:type="dxa"/>
            <w:shd w:val="clear" w:color="auto" w:fill="auto"/>
            <w:noWrap/>
            <w:vAlign w:val="center"/>
            <w:hideMark/>
          </w:tcPr>
          <w:p w14:paraId="4B4E7131"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2 (3)</w:t>
            </w:r>
          </w:p>
        </w:tc>
        <w:tc>
          <w:tcPr>
            <w:tcW w:w="1020" w:type="dxa"/>
            <w:tcBorders>
              <w:right w:val="single" w:sz="4" w:space="0" w:color="auto"/>
            </w:tcBorders>
            <w:shd w:val="clear" w:color="auto" w:fill="auto"/>
            <w:noWrap/>
            <w:vAlign w:val="center"/>
            <w:hideMark/>
          </w:tcPr>
          <w:p w14:paraId="1B593461"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c>
          <w:tcPr>
            <w:tcW w:w="1640" w:type="dxa"/>
            <w:tcBorders>
              <w:left w:val="single" w:sz="4" w:space="0" w:color="auto"/>
              <w:bottom w:val="single" w:sz="4" w:space="0" w:color="auto"/>
            </w:tcBorders>
            <w:shd w:val="clear" w:color="auto" w:fill="auto"/>
            <w:noWrap/>
            <w:vAlign w:val="center"/>
            <w:hideMark/>
          </w:tcPr>
          <w:p w14:paraId="483B1CF8" w14:textId="77777777" w:rsidR="00703F3B" w:rsidRPr="00681ED3" w:rsidRDefault="00703F3B" w:rsidP="006305D0">
            <w:pPr>
              <w:autoSpaceDE/>
              <w:autoSpaceDN/>
              <w:adjustRightInd/>
              <w:rPr>
                <w:rFonts w:eastAsia="Times New Roman"/>
                <w:i/>
                <w:iCs/>
                <w:color w:val="000000"/>
                <w:lang w:eastAsia="en-GB"/>
              </w:rPr>
            </w:pPr>
            <w:r w:rsidRPr="00681ED3">
              <w:rPr>
                <w:rFonts w:eastAsia="Times New Roman"/>
                <w:i/>
                <w:iCs/>
                <w:color w:val="000000"/>
                <w:lang w:eastAsia="en-GB"/>
              </w:rPr>
              <w:t>Reserve</w:t>
            </w:r>
          </w:p>
        </w:tc>
        <w:tc>
          <w:tcPr>
            <w:tcW w:w="1373" w:type="dxa"/>
            <w:tcBorders>
              <w:bottom w:val="single" w:sz="4" w:space="0" w:color="auto"/>
            </w:tcBorders>
            <w:shd w:val="clear" w:color="auto" w:fill="auto"/>
            <w:noWrap/>
            <w:vAlign w:val="center"/>
            <w:hideMark/>
          </w:tcPr>
          <w:p w14:paraId="1ED3249F"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0 (0)</w:t>
            </w:r>
          </w:p>
        </w:tc>
        <w:tc>
          <w:tcPr>
            <w:tcW w:w="961" w:type="dxa"/>
            <w:tcBorders>
              <w:bottom w:val="single" w:sz="4" w:space="0" w:color="auto"/>
            </w:tcBorders>
            <w:shd w:val="clear" w:color="auto" w:fill="auto"/>
            <w:noWrap/>
            <w:vAlign w:val="center"/>
            <w:hideMark/>
          </w:tcPr>
          <w:p w14:paraId="2530A907" w14:textId="77777777" w:rsidR="00703F3B" w:rsidRPr="00681ED3" w:rsidRDefault="00703F3B" w:rsidP="006305D0">
            <w:pPr>
              <w:autoSpaceDE/>
              <w:autoSpaceDN/>
              <w:adjustRightInd/>
              <w:jc w:val="center"/>
              <w:rPr>
                <w:rFonts w:eastAsia="Times New Roman"/>
                <w:color w:val="000000"/>
                <w:lang w:eastAsia="en-GB"/>
              </w:rPr>
            </w:pPr>
            <w:r w:rsidRPr="00681ED3">
              <w:rPr>
                <w:rFonts w:eastAsia="Times New Roman"/>
                <w:color w:val="000000"/>
                <w:lang w:eastAsia="en-GB"/>
              </w:rPr>
              <w:t>0 (0)</w:t>
            </w:r>
          </w:p>
        </w:tc>
        <w:tc>
          <w:tcPr>
            <w:tcW w:w="1020" w:type="dxa"/>
            <w:tcBorders>
              <w:bottom w:val="single" w:sz="4" w:space="0" w:color="auto"/>
            </w:tcBorders>
            <w:shd w:val="clear" w:color="auto" w:fill="auto"/>
            <w:noWrap/>
            <w:vAlign w:val="center"/>
            <w:hideMark/>
          </w:tcPr>
          <w:p w14:paraId="56D12D09" w14:textId="77777777" w:rsidR="00703F3B" w:rsidRPr="00681ED3" w:rsidRDefault="00703F3B" w:rsidP="006305D0">
            <w:pPr>
              <w:autoSpaceDE/>
              <w:autoSpaceDN/>
              <w:adjustRightInd/>
              <w:rPr>
                <w:rFonts w:eastAsia="Times New Roman"/>
                <w:color w:val="000000"/>
                <w:lang w:eastAsia="en-GB"/>
              </w:rPr>
            </w:pPr>
            <w:r w:rsidRPr="00681ED3">
              <w:rPr>
                <w:rFonts w:eastAsia="Times New Roman"/>
                <w:color w:val="000000"/>
                <w:lang w:eastAsia="en-GB"/>
              </w:rPr>
              <w:t> </w:t>
            </w:r>
          </w:p>
        </w:tc>
      </w:tr>
    </w:tbl>
    <w:p w14:paraId="7E263874" w14:textId="51E7F9CB" w:rsidR="00703F3B" w:rsidRDefault="006305D0" w:rsidP="00ED4890">
      <w:pPr>
        <w:rPr>
          <w:b/>
        </w:rPr>
        <w:sectPr w:rsidR="00703F3B" w:rsidSect="00681ED3">
          <w:pgSz w:w="11906" w:h="16838"/>
          <w:pgMar w:top="1440" w:right="1440" w:bottom="1440" w:left="1440" w:header="708" w:footer="708" w:gutter="0"/>
          <w:cols w:space="708"/>
          <w:docGrid w:linePitch="360"/>
        </w:sectPr>
      </w:pPr>
      <w:r w:rsidRPr="00624FB9">
        <w:rPr>
          <w:noProof/>
          <w:lang w:eastAsia="en-GB"/>
        </w:rPr>
        <mc:AlternateContent>
          <mc:Choice Requires="wps">
            <w:drawing>
              <wp:anchor distT="0" distB="0" distL="114300" distR="114300" simplePos="0" relativeHeight="251662336" behindDoc="0" locked="0" layoutInCell="1" allowOverlap="1" wp14:anchorId="119166E0" wp14:editId="15B01CC4">
                <wp:simplePos x="0" y="0"/>
                <wp:positionH relativeFrom="margin">
                  <wp:align>center</wp:align>
                </wp:positionH>
                <wp:positionV relativeFrom="paragraph">
                  <wp:posOffset>3618230</wp:posOffset>
                </wp:positionV>
                <wp:extent cx="6543675" cy="680720"/>
                <wp:effectExtent l="0" t="0" r="9525"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80720"/>
                        </a:xfrm>
                        <a:prstGeom prst="rect">
                          <a:avLst/>
                        </a:prstGeom>
                        <a:solidFill>
                          <a:srgbClr val="FFFFFF"/>
                        </a:solidFill>
                        <a:ln w="9525">
                          <a:noFill/>
                          <a:miter lim="800000"/>
                          <a:headEnd/>
                          <a:tailEnd/>
                        </a:ln>
                      </wps:spPr>
                      <wps:txbx>
                        <w:txbxContent>
                          <w:p w14:paraId="6AF1EB31" w14:textId="0362F8DB" w:rsidR="00021E8A" w:rsidRDefault="00021E8A" w:rsidP="00FA7F1C">
                            <w:pPr>
                              <w:rPr>
                                <w:sz w:val="18"/>
                                <w:szCs w:val="18"/>
                              </w:rPr>
                            </w:pPr>
                            <w:r w:rsidRPr="00624FB9">
                              <w:rPr>
                                <w:b/>
                                <w:sz w:val="18"/>
                                <w:szCs w:val="18"/>
                              </w:rPr>
                              <w:t xml:space="preserve">Legend: </w:t>
                            </w:r>
                            <w:r w:rsidRPr="00FA7F1C">
                              <w:rPr>
                                <w:bCs/>
                                <w:sz w:val="18"/>
                                <w:szCs w:val="18"/>
                              </w:rPr>
                              <w:t>CBR = Case-Based Reasoning;</w:t>
                            </w:r>
                            <w:r>
                              <w:rPr>
                                <w:b/>
                                <w:sz w:val="18"/>
                                <w:szCs w:val="18"/>
                              </w:rPr>
                              <w:t xml:space="preserve"> </w:t>
                            </w:r>
                            <w:r>
                              <w:rPr>
                                <w:sz w:val="18"/>
                                <w:szCs w:val="18"/>
                              </w:rPr>
                              <w:t>E.coli = Escherichia coli; BSI = Blood stream infection</w:t>
                            </w:r>
                          </w:p>
                          <w:p w14:paraId="53B5B769" w14:textId="77777777" w:rsidR="00021E8A" w:rsidRDefault="00021E8A" w:rsidP="00FA7F1C">
                            <w:pPr>
                              <w:rPr>
                                <w:sz w:val="18"/>
                                <w:szCs w:val="18"/>
                              </w:rPr>
                            </w:pPr>
                          </w:p>
                          <w:p w14:paraId="0A84E5EF" w14:textId="49B3BAF7" w:rsidR="00021E8A" w:rsidRDefault="00021E8A" w:rsidP="00FA7F1C">
                            <w:pPr>
                              <w:rPr>
                                <w:sz w:val="18"/>
                                <w:szCs w:val="18"/>
                              </w:rPr>
                            </w:pPr>
                            <w:r>
                              <w:rPr>
                                <w:sz w:val="18"/>
                                <w:szCs w:val="18"/>
                              </w:rPr>
                              <w:t>*=  Patients identified with confirmed Escherichia coli blood stream infections</w:t>
                            </w:r>
                          </w:p>
                          <w:p w14:paraId="06F188F5" w14:textId="77650C8B" w:rsidR="00021E8A" w:rsidRPr="00624FB9" w:rsidRDefault="00021E8A" w:rsidP="00FA7F1C">
                            <w:pPr>
                              <w:rPr>
                                <w:sz w:val="18"/>
                                <w:szCs w:val="18"/>
                              </w:rPr>
                            </w:pPr>
                            <w:r>
                              <w:rPr>
                                <w:sz w:val="18"/>
                                <w:szCs w:val="18"/>
                              </w:rPr>
                              <w:t>** =</w:t>
                            </w:r>
                            <w:r w:rsidRPr="00817EFF">
                              <w:rPr>
                                <w:sz w:val="18"/>
                                <w:szCs w:val="18"/>
                              </w:rPr>
                              <w:t xml:space="preserve"> </w:t>
                            </w:r>
                            <w:r>
                              <w:rPr>
                                <w:sz w:val="18"/>
                                <w:szCs w:val="18"/>
                              </w:rPr>
                              <w:t>Patients identified on inpatient wards presenting with suspected infection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9166E0" id="_x0000_s1028" type="#_x0000_t202" style="position:absolute;margin-left:0;margin-top:284.9pt;width:515.25pt;height:53.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" stroked="f">
                <v:textbox style="mso-fit-shape-to-text:t">
                  <w:txbxContent>
                    <w:p w14:paraId="6AF1EB31" w14:textId="0362F8DB" w:rsidR="00021E8A" w:rsidRDefault="00021E8A" w:rsidP="00FA7F1C">
                      <w:pPr>
                        <w:rPr>
                          <w:sz w:val="18"/>
                          <w:szCs w:val="18"/>
                        </w:rPr>
                      </w:pPr>
                      <w:r w:rsidRPr="00624FB9">
                        <w:rPr>
                          <w:b/>
                          <w:sz w:val="18"/>
                          <w:szCs w:val="18"/>
                        </w:rPr>
                        <w:t xml:space="preserve">Legend: </w:t>
                      </w:r>
                      <w:r w:rsidRPr="00FA7F1C">
                        <w:rPr>
                          <w:bCs/>
                          <w:sz w:val="18"/>
                          <w:szCs w:val="18"/>
                        </w:rPr>
                        <w:t>CBR = Case-Based Reasoning;</w:t>
                      </w:r>
                      <w:r>
                        <w:rPr>
                          <w:b/>
                          <w:sz w:val="18"/>
                          <w:szCs w:val="18"/>
                        </w:rPr>
                        <w:t xml:space="preserve"> </w:t>
                      </w:r>
                      <w:r>
                        <w:rPr>
                          <w:sz w:val="18"/>
                          <w:szCs w:val="18"/>
                        </w:rPr>
                        <w:t>E.coli = Escherichia coli; BSI = Blood stream infection</w:t>
                      </w:r>
                    </w:p>
                    <w:p w14:paraId="53B5B769" w14:textId="77777777" w:rsidR="00021E8A" w:rsidRDefault="00021E8A" w:rsidP="00FA7F1C">
                      <w:pPr>
                        <w:rPr>
                          <w:sz w:val="18"/>
                          <w:szCs w:val="18"/>
                        </w:rPr>
                      </w:pPr>
                    </w:p>
                    <w:p w14:paraId="0A84E5EF" w14:textId="49B3BAF7" w:rsidR="00021E8A" w:rsidRDefault="00021E8A" w:rsidP="00FA7F1C">
                      <w:pPr>
                        <w:rPr>
                          <w:sz w:val="18"/>
                          <w:szCs w:val="18"/>
                        </w:rPr>
                      </w:pPr>
                      <w:r>
                        <w:rPr>
                          <w:sz w:val="18"/>
                          <w:szCs w:val="18"/>
                        </w:rPr>
                        <w:t>*=  Patients identified with confirmed Escherichia coli blood stream infections</w:t>
                      </w:r>
                    </w:p>
                    <w:p w14:paraId="06F188F5" w14:textId="77650C8B" w:rsidR="00021E8A" w:rsidRPr="00624FB9" w:rsidRDefault="00021E8A" w:rsidP="00FA7F1C">
                      <w:pPr>
                        <w:rPr>
                          <w:sz w:val="18"/>
                          <w:szCs w:val="18"/>
                        </w:rPr>
                      </w:pPr>
                      <w:r>
                        <w:rPr>
                          <w:sz w:val="18"/>
                          <w:szCs w:val="18"/>
                        </w:rPr>
                        <w:t>** =</w:t>
                      </w:r>
                      <w:r w:rsidRPr="00817EFF">
                        <w:rPr>
                          <w:sz w:val="18"/>
                          <w:szCs w:val="18"/>
                        </w:rPr>
                        <w:t xml:space="preserve"> </w:t>
                      </w:r>
                      <w:r>
                        <w:rPr>
                          <w:sz w:val="18"/>
                          <w:szCs w:val="18"/>
                        </w:rPr>
                        <w:t>Patients identified on inpatient wards presenting with suspected infection</w:t>
                      </w:r>
                    </w:p>
                  </w:txbxContent>
                </v:textbox>
                <w10:wrap anchorx="margin"/>
              </v:shape>
            </w:pict>
          </mc:Fallback>
        </mc:AlternateContent>
      </w:r>
    </w:p>
    <w:p w14:paraId="77FF9DCC" w14:textId="5A031330" w:rsidR="00681ED3" w:rsidRPr="00FA7F1C" w:rsidRDefault="00E72D91" w:rsidP="00ED4890">
      <w:pPr>
        <w:rPr>
          <w:sz w:val="24"/>
          <w:szCs w:val="24"/>
        </w:rPr>
      </w:pPr>
      <w:r w:rsidRPr="00FA7F1C">
        <w:rPr>
          <w:b/>
          <w:sz w:val="24"/>
          <w:szCs w:val="24"/>
        </w:rPr>
        <w:lastRenderedPageBreak/>
        <w:t xml:space="preserve">Figure 1. </w:t>
      </w:r>
      <w:r w:rsidR="00ED4890" w:rsidRPr="00FA7F1C">
        <w:rPr>
          <w:b/>
          <w:sz w:val="24"/>
          <w:szCs w:val="24"/>
        </w:rPr>
        <w:t xml:space="preserve"> </w:t>
      </w:r>
      <w:r w:rsidR="001A403E" w:rsidRPr="00FA7F1C">
        <w:rPr>
          <w:sz w:val="24"/>
          <w:szCs w:val="24"/>
        </w:rPr>
        <w:t>Clinical Decision Support System graphical user interface examples.</w:t>
      </w:r>
    </w:p>
    <w:p w14:paraId="0B696008" w14:textId="4A080032" w:rsidR="00681ED3" w:rsidRDefault="005E5A5C" w:rsidP="00ED4890">
      <w:pPr>
        <w:sectPr w:rsidR="00681ED3" w:rsidSect="00B600A1">
          <w:pgSz w:w="16838" w:h="11906" w:orient="landscape"/>
          <w:pgMar w:top="1440" w:right="1440" w:bottom="1440" w:left="1440" w:header="708" w:footer="708" w:gutter="0"/>
          <w:cols w:space="708"/>
          <w:docGrid w:linePitch="360"/>
        </w:sectPr>
      </w:pPr>
      <w:r w:rsidRPr="00681ED3">
        <w:rPr>
          <w:noProof/>
          <w:lang w:eastAsia="en-GB"/>
        </w:rPr>
        <mc:AlternateContent>
          <mc:Choice Requires="wps">
            <w:drawing>
              <wp:anchor distT="45720" distB="45720" distL="114300" distR="114300" simplePos="0" relativeHeight="251659776" behindDoc="0" locked="0" layoutInCell="1" allowOverlap="1" wp14:anchorId="2DCD6261" wp14:editId="3DE45F41">
                <wp:simplePos x="0" y="0"/>
                <wp:positionH relativeFrom="margin">
                  <wp:posOffset>6985</wp:posOffset>
                </wp:positionH>
                <wp:positionV relativeFrom="paragraph">
                  <wp:posOffset>4842510</wp:posOffset>
                </wp:positionV>
                <wp:extent cx="8849360" cy="7092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9360" cy="709295"/>
                        </a:xfrm>
                        <a:prstGeom prst="rect">
                          <a:avLst/>
                        </a:prstGeom>
                        <a:noFill/>
                        <a:ln w="9525">
                          <a:noFill/>
                          <a:miter lim="800000"/>
                          <a:headEnd/>
                          <a:tailEnd/>
                        </a:ln>
                      </wps:spPr>
                      <wps:txbx>
                        <w:txbxContent>
                          <w:p w14:paraId="24559C5D" w14:textId="75CBBF0A" w:rsidR="00021E8A" w:rsidRDefault="00021E8A" w:rsidP="00681ED3">
                            <w:pPr>
                              <w:jc w:val="both"/>
                              <w:rPr>
                                <w:sz w:val="16"/>
                                <w:szCs w:val="16"/>
                              </w:rPr>
                            </w:pPr>
                            <w:r w:rsidRPr="001A403E">
                              <w:rPr>
                                <w:b/>
                                <w:sz w:val="16"/>
                                <w:szCs w:val="16"/>
                              </w:rPr>
                              <w:t xml:space="preserve">Legend: </w:t>
                            </w:r>
                            <w:r w:rsidRPr="0073681F">
                              <w:rPr>
                                <w:i/>
                                <w:sz w:val="16"/>
                                <w:szCs w:val="16"/>
                              </w:rPr>
                              <w:t>Top row main panel</w:t>
                            </w:r>
                            <w:r>
                              <w:rPr>
                                <w:sz w:val="16"/>
                                <w:szCs w:val="16"/>
                              </w:rPr>
                              <w:t xml:space="preserve">: Example of the opening page of main and side panel with a summary of current patient information. Most similar cases within the case-base are also available for comparison in the side panel. </w:t>
                            </w:r>
                            <w:r>
                              <w:rPr>
                                <w:i/>
                                <w:sz w:val="16"/>
                                <w:szCs w:val="16"/>
                              </w:rPr>
                              <w:t xml:space="preserve">Top row side panel: </w:t>
                            </w:r>
                            <w:r>
                              <w:rPr>
                                <w:sz w:val="16"/>
                                <w:szCs w:val="16"/>
                              </w:rPr>
                              <w:t xml:space="preserve">CBR results matching the current patient case to most similar cases identified within the case-base. </w:t>
                            </w:r>
                            <w:r>
                              <w:rPr>
                                <w:i/>
                                <w:sz w:val="16"/>
                                <w:szCs w:val="16"/>
                              </w:rPr>
                              <w:t>Bottom row main panel:</w:t>
                            </w:r>
                            <w:r>
                              <w:rPr>
                                <w:sz w:val="16"/>
                                <w:szCs w:val="16"/>
                              </w:rPr>
                              <w:t xml:space="preserve"> Blood test result data can be graphically displayed allowing the user to monitor trends in blood parameters commonly considered during antimicrobial prescribing. </w:t>
                            </w:r>
                            <w:r>
                              <w:rPr>
                                <w:i/>
                                <w:sz w:val="16"/>
                                <w:szCs w:val="16"/>
                              </w:rPr>
                              <w:t xml:space="preserve">Bottom row side panel: </w:t>
                            </w:r>
                            <w:r>
                              <w:rPr>
                                <w:sz w:val="16"/>
                                <w:szCs w:val="16"/>
                              </w:rPr>
                              <w:t>CBR results providing the most common antimicrobials in similar cases (grouped antimicrobials) with likelihood of success. This panel also highlights drugs that have been unsuccessful in similar cases.</w:t>
                            </w:r>
                          </w:p>
                          <w:p w14:paraId="035C5C01" w14:textId="77777777" w:rsidR="00021E8A" w:rsidRPr="00131CDE" w:rsidRDefault="00021E8A" w:rsidP="00681ED3">
                            <w:pPr>
                              <w:jc w:val="both"/>
                              <w:rPr>
                                <w:sz w:val="16"/>
                                <w:szCs w:val="16"/>
                              </w:rPr>
                            </w:pPr>
                            <w:r w:rsidRPr="00131CDE">
                              <w:rPr>
                                <w:sz w:val="16"/>
                                <w:szCs w:val="16"/>
                              </w:rPr>
                              <w:t>CBR = Case-Based-Reasoning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D6261" id="_x0000_s1029" type="#_x0000_t202" style="position:absolute;margin-left:.55pt;margin-top:381.3pt;width:696.8pt;height:55.8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" filled="f" stroked="f">
                <v:textbox>
                  <w:txbxContent>
                    <w:p w14:paraId="24559C5D" w14:textId="75CBBF0A" w:rsidR="00021E8A" w:rsidRDefault="00021E8A" w:rsidP="00681ED3">
                      <w:pPr>
                        <w:jc w:val="both"/>
                        <w:rPr>
                          <w:sz w:val="16"/>
                          <w:szCs w:val="16"/>
                        </w:rPr>
                      </w:pPr>
                      <w:r w:rsidRPr="001A403E">
                        <w:rPr>
                          <w:b/>
                          <w:sz w:val="16"/>
                          <w:szCs w:val="16"/>
                        </w:rPr>
                        <w:t xml:space="preserve">Legend: </w:t>
                      </w:r>
                      <w:r w:rsidRPr="0073681F">
                        <w:rPr>
                          <w:i/>
                          <w:sz w:val="16"/>
                          <w:szCs w:val="16"/>
                        </w:rPr>
                        <w:t>Top row main panel</w:t>
                      </w:r>
                      <w:r>
                        <w:rPr>
                          <w:sz w:val="16"/>
                          <w:szCs w:val="16"/>
                        </w:rPr>
                        <w:t xml:space="preserve">: Example of the opening page of main and side panel with a summary of current patient information. Most similar cases within the case-base are also available for comparison in the side panel. </w:t>
                      </w:r>
                      <w:r>
                        <w:rPr>
                          <w:i/>
                          <w:sz w:val="16"/>
                          <w:szCs w:val="16"/>
                        </w:rPr>
                        <w:t xml:space="preserve">Top row side panel: </w:t>
                      </w:r>
                      <w:r>
                        <w:rPr>
                          <w:sz w:val="16"/>
                          <w:szCs w:val="16"/>
                        </w:rPr>
                        <w:t xml:space="preserve">CBR results matching the current patient case to most similar cases identified within the case-base. </w:t>
                      </w:r>
                      <w:r>
                        <w:rPr>
                          <w:i/>
                          <w:sz w:val="16"/>
                          <w:szCs w:val="16"/>
                        </w:rPr>
                        <w:t>Bottom row main panel:</w:t>
                      </w:r>
                      <w:r>
                        <w:rPr>
                          <w:sz w:val="16"/>
                          <w:szCs w:val="16"/>
                        </w:rPr>
                        <w:t xml:space="preserve"> Blood test result data can be graphically displayed allowing the user to monitor trends in blood parameters commonly considered during antimicrobial prescribing. </w:t>
                      </w:r>
                      <w:r>
                        <w:rPr>
                          <w:i/>
                          <w:sz w:val="16"/>
                          <w:szCs w:val="16"/>
                        </w:rPr>
                        <w:t xml:space="preserve">Bottom row side panel: </w:t>
                      </w:r>
                      <w:r>
                        <w:rPr>
                          <w:sz w:val="16"/>
                          <w:szCs w:val="16"/>
                        </w:rPr>
                        <w:t>CBR results providing the most common antimicrobials in similar cases (grouped antimicrobials) with likelihood of success. This panel also highlights drugs that have been unsuccessful in similar cases.</w:t>
                      </w:r>
                    </w:p>
                    <w:p w14:paraId="035C5C01" w14:textId="77777777" w:rsidR="00021E8A" w:rsidRPr="00131CDE" w:rsidRDefault="00021E8A" w:rsidP="00681ED3">
                      <w:pPr>
                        <w:jc w:val="both"/>
                        <w:rPr>
                          <w:sz w:val="16"/>
                          <w:szCs w:val="16"/>
                        </w:rPr>
                      </w:pPr>
                      <w:r w:rsidRPr="00131CDE">
                        <w:rPr>
                          <w:sz w:val="16"/>
                          <w:szCs w:val="16"/>
                        </w:rPr>
                        <w:t>CBR = Case-Based-Reasoning</w:t>
                      </w:r>
                    </w:p>
                  </w:txbxContent>
                </v:textbox>
                <w10:wrap type="square" anchorx="margin"/>
              </v:shape>
            </w:pict>
          </mc:Fallback>
        </mc:AlternateContent>
      </w:r>
      <w:r w:rsidR="00681ED3" w:rsidRPr="00681ED3">
        <w:rPr>
          <w:noProof/>
          <w:lang w:eastAsia="en-GB"/>
        </w:rPr>
        <w:drawing>
          <wp:anchor distT="0" distB="0" distL="114300" distR="114300" simplePos="0" relativeHeight="251663872" behindDoc="0" locked="0" layoutInCell="1" allowOverlap="1" wp14:anchorId="3A78F821" wp14:editId="7E0CC543">
            <wp:simplePos x="0" y="0"/>
            <wp:positionH relativeFrom="margin">
              <wp:posOffset>326670</wp:posOffset>
            </wp:positionH>
            <wp:positionV relativeFrom="paragraph">
              <wp:posOffset>274879</wp:posOffset>
            </wp:positionV>
            <wp:extent cx="7976464" cy="4486547"/>
            <wp:effectExtent l="19050" t="19050" r="24765" b="28575"/>
            <wp:wrapNone/>
            <wp:docPr id="3" name="Picture 3"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7976464" cy="448654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D3C9F8E" w14:textId="5099C42B" w:rsidR="0011549D" w:rsidRPr="00FA7F1C" w:rsidRDefault="00681ED3" w:rsidP="00ED4890">
      <w:r w:rsidRPr="00FA7F1C">
        <w:rPr>
          <w:b/>
          <w:bCs/>
        </w:rPr>
        <w:lastRenderedPageBreak/>
        <w:t>Figure 2.</w:t>
      </w:r>
      <w:r w:rsidR="00FA7F1C">
        <w:rPr>
          <w:b/>
          <w:bCs/>
        </w:rPr>
        <w:t xml:space="preserve"> </w:t>
      </w:r>
      <w:r w:rsidR="00FA7F1C">
        <w:t>Comparison of prescriber and Case-Based Reasoning prescriptions using the WHO Access, Watch, Reserve classification system</w:t>
      </w:r>
    </w:p>
    <w:p w14:paraId="0C15FA1D" w14:textId="4228D518" w:rsidR="00681ED3" w:rsidRDefault="00681ED3" w:rsidP="00ED4890"/>
    <w:p w14:paraId="3383DA27" w14:textId="40622686" w:rsidR="00681ED3" w:rsidRPr="001A403E" w:rsidRDefault="00681ED3" w:rsidP="00ED4890"/>
    <w:p w14:paraId="49C209E4" w14:textId="106CBB40" w:rsidR="00330802" w:rsidRPr="00E72D91" w:rsidRDefault="00681ED3" w:rsidP="00ED4890">
      <w:pPr>
        <w:rPr>
          <w:b/>
        </w:rPr>
      </w:pPr>
      <w:r>
        <w:rPr>
          <w:noProof/>
          <w:lang w:eastAsia="en-GB"/>
        </w:rPr>
        <w:drawing>
          <wp:anchor distT="0" distB="0" distL="114300" distR="114300" simplePos="0" relativeHeight="251665920" behindDoc="0" locked="0" layoutInCell="1" allowOverlap="1" wp14:anchorId="0A20A73D" wp14:editId="7732E1EE">
            <wp:simplePos x="0" y="0"/>
            <wp:positionH relativeFrom="column">
              <wp:posOffset>1038047</wp:posOffset>
            </wp:positionH>
            <wp:positionV relativeFrom="paragraph">
              <wp:posOffset>102031</wp:posOffset>
            </wp:positionV>
            <wp:extent cx="6810451" cy="4939027"/>
            <wp:effectExtent l="0" t="0" r="0" b="0"/>
            <wp:wrapNone/>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WARE plot.tiff"/>
                    <pic:cNvPicPr/>
                  </pic:nvPicPr>
                  <pic:blipFill>
                    <a:blip r:embed="rId11">
                      <a:extLst>
                        <a:ext uri="{28A0092B-C50C-407E-A947-70E740481C1C}">
                          <a14:useLocalDpi xmlns:a14="http://schemas.microsoft.com/office/drawing/2010/main" val="0"/>
                        </a:ext>
                      </a:extLst>
                    </a:blip>
                    <a:stretch>
                      <a:fillRect/>
                    </a:stretch>
                  </pic:blipFill>
                  <pic:spPr>
                    <a:xfrm>
                      <a:off x="0" y="0"/>
                      <a:ext cx="6810451" cy="4939027"/>
                    </a:xfrm>
                    <a:prstGeom prst="rect">
                      <a:avLst/>
                    </a:prstGeom>
                  </pic:spPr>
                </pic:pic>
              </a:graphicData>
            </a:graphic>
            <wp14:sizeRelH relativeFrom="page">
              <wp14:pctWidth>0</wp14:pctWidth>
            </wp14:sizeRelH>
            <wp14:sizeRelV relativeFrom="page">
              <wp14:pctHeight>0</wp14:pctHeight>
            </wp14:sizeRelV>
          </wp:anchor>
        </w:drawing>
      </w:r>
    </w:p>
    <w:sectPr w:rsidR="00330802" w:rsidRPr="00E72D91" w:rsidSect="00B600A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1C540" w14:textId="77777777" w:rsidR="00147EC5" w:rsidRDefault="00147EC5">
      <w:r>
        <w:separator/>
      </w:r>
    </w:p>
  </w:endnote>
  <w:endnote w:type="continuationSeparator" w:id="0">
    <w:p w14:paraId="041CC11E" w14:textId="77777777" w:rsidR="00147EC5" w:rsidRDefault="00147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566550"/>
      <w:docPartObj>
        <w:docPartGallery w:val="Page Numbers (Bottom of Page)"/>
        <w:docPartUnique/>
      </w:docPartObj>
    </w:sdtPr>
    <w:sdtEndPr>
      <w:rPr>
        <w:noProof/>
      </w:rPr>
    </w:sdtEndPr>
    <w:sdtContent>
      <w:p w14:paraId="03A85659" w14:textId="540B2C25" w:rsidR="00021E8A" w:rsidRDefault="00021E8A">
        <w:pPr>
          <w:pStyle w:val="Footer"/>
          <w:jc w:val="right"/>
        </w:pPr>
        <w:r>
          <w:fldChar w:fldCharType="begin"/>
        </w:r>
        <w:r>
          <w:instrText xml:space="preserve"> PAGE   \* MERGEFORMAT </w:instrText>
        </w:r>
        <w:r>
          <w:fldChar w:fldCharType="separate"/>
        </w:r>
        <w:r w:rsidR="00D81624">
          <w:rPr>
            <w:noProof/>
          </w:rPr>
          <w:t>3</w:t>
        </w:r>
        <w:r>
          <w:rPr>
            <w:noProof/>
          </w:rPr>
          <w:fldChar w:fldCharType="end"/>
        </w:r>
      </w:p>
    </w:sdtContent>
  </w:sdt>
  <w:p w14:paraId="6C054C73" w14:textId="77777777" w:rsidR="00021E8A" w:rsidRDefault="00021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9003F" w14:textId="77777777" w:rsidR="00147EC5" w:rsidRDefault="00147EC5">
      <w:r>
        <w:separator/>
      </w:r>
    </w:p>
  </w:footnote>
  <w:footnote w:type="continuationSeparator" w:id="0">
    <w:p w14:paraId="04D1E518" w14:textId="77777777" w:rsidR="00147EC5" w:rsidRDefault="00147E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1249"/>
    <w:multiLevelType w:val="multilevel"/>
    <w:tmpl w:val="3DC03B80"/>
    <w:lvl w:ilvl="0">
      <w:start w:val="1"/>
      <w:numFmt w:val="decimal"/>
      <w:lvlText w:val="%1."/>
      <w:lvlJc w:val="left"/>
      <w:pPr>
        <w:ind w:left="-703" w:hanging="360"/>
      </w:pPr>
      <w:rPr>
        <w:rFonts w:hint="default"/>
      </w:rPr>
    </w:lvl>
    <w:lvl w:ilvl="1">
      <w:start w:val="5"/>
      <w:numFmt w:val="decimal"/>
      <w:isLgl/>
      <w:lvlText w:val="%1.%2"/>
      <w:lvlJc w:val="left"/>
      <w:pPr>
        <w:ind w:left="23" w:hanging="555"/>
      </w:pPr>
      <w:rPr>
        <w:rFonts w:hint="default"/>
      </w:rPr>
    </w:lvl>
    <w:lvl w:ilvl="2">
      <w:start w:val="2"/>
      <w:numFmt w:val="decimal"/>
      <w:isLgl/>
      <w:lvlText w:val="%1.%2.%3"/>
      <w:lvlJc w:val="left"/>
      <w:pPr>
        <w:ind w:left="719" w:hanging="720"/>
      </w:pPr>
      <w:rPr>
        <w:rFonts w:hint="default"/>
      </w:rPr>
    </w:lvl>
    <w:lvl w:ilvl="3">
      <w:start w:val="1"/>
      <w:numFmt w:val="decimal"/>
      <w:isLgl/>
      <w:lvlText w:val="%1.%2.%3.%4"/>
      <w:lvlJc w:val="left"/>
      <w:pPr>
        <w:ind w:left="1250" w:hanging="720"/>
      </w:pPr>
      <w:rPr>
        <w:rFonts w:hint="default"/>
      </w:rPr>
    </w:lvl>
    <w:lvl w:ilvl="4">
      <w:start w:val="1"/>
      <w:numFmt w:val="decimal"/>
      <w:isLgl/>
      <w:lvlText w:val="%1.%2.%3.%4.%5"/>
      <w:lvlJc w:val="left"/>
      <w:pPr>
        <w:ind w:left="2141" w:hanging="1080"/>
      </w:pPr>
      <w:rPr>
        <w:rFonts w:hint="default"/>
      </w:rPr>
    </w:lvl>
    <w:lvl w:ilvl="5">
      <w:start w:val="1"/>
      <w:numFmt w:val="decimal"/>
      <w:isLgl/>
      <w:lvlText w:val="%1.%2.%3.%4.%5.%6"/>
      <w:lvlJc w:val="left"/>
      <w:pPr>
        <w:ind w:left="2672" w:hanging="1080"/>
      </w:pPr>
      <w:rPr>
        <w:rFonts w:hint="default"/>
      </w:rPr>
    </w:lvl>
    <w:lvl w:ilvl="6">
      <w:start w:val="1"/>
      <w:numFmt w:val="decimal"/>
      <w:isLgl/>
      <w:lvlText w:val="%1.%2.%3.%4.%5.%6.%7"/>
      <w:lvlJc w:val="left"/>
      <w:pPr>
        <w:ind w:left="3563" w:hanging="1440"/>
      </w:pPr>
      <w:rPr>
        <w:rFonts w:hint="default"/>
      </w:rPr>
    </w:lvl>
    <w:lvl w:ilvl="7">
      <w:start w:val="1"/>
      <w:numFmt w:val="decimal"/>
      <w:isLgl/>
      <w:lvlText w:val="%1.%2.%3.%4.%5.%6.%7.%8"/>
      <w:lvlJc w:val="left"/>
      <w:pPr>
        <w:ind w:left="4094" w:hanging="1440"/>
      </w:pPr>
      <w:rPr>
        <w:rFonts w:hint="default"/>
      </w:rPr>
    </w:lvl>
    <w:lvl w:ilvl="8">
      <w:start w:val="1"/>
      <w:numFmt w:val="decimal"/>
      <w:isLgl/>
      <w:lvlText w:val="%1.%2.%3.%4.%5.%6.%7.%8.%9"/>
      <w:lvlJc w:val="left"/>
      <w:pPr>
        <w:ind w:left="4625" w:hanging="1440"/>
      </w:pPr>
      <w:rPr>
        <w:rFonts w:hint="default"/>
      </w:rPr>
    </w:lvl>
  </w:abstractNum>
  <w:abstractNum w:abstractNumId="1" w15:restartNumberingAfterBreak="0">
    <w:nsid w:val="05041CAE"/>
    <w:multiLevelType w:val="hybridMultilevel"/>
    <w:tmpl w:val="4524F814"/>
    <w:lvl w:ilvl="0" w:tplc="0809001B">
      <w:start w:val="1"/>
      <w:numFmt w:val="lowerRoman"/>
      <w:lvlText w:val="%1."/>
      <w:lvlJc w:val="right"/>
      <w:pPr>
        <w:ind w:left="502"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097462"/>
    <w:multiLevelType w:val="hybridMultilevel"/>
    <w:tmpl w:val="BB68116C"/>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F1390"/>
    <w:multiLevelType w:val="hybridMultilevel"/>
    <w:tmpl w:val="BB68116C"/>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85E9B"/>
    <w:multiLevelType w:val="hybridMultilevel"/>
    <w:tmpl w:val="8A9018B0"/>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A048BF"/>
    <w:multiLevelType w:val="hybridMultilevel"/>
    <w:tmpl w:val="38D6CA28"/>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D03CE3"/>
    <w:multiLevelType w:val="hybridMultilevel"/>
    <w:tmpl w:val="D8304CD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25FC77B0"/>
    <w:multiLevelType w:val="hybridMultilevel"/>
    <w:tmpl w:val="11A44162"/>
    <w:lvl w:ilvl="0" w:tplc="0809001B">
      <w:start w:val="1"/>
      <w:numFmt w:val="lowerRoman"/>
      <w:lvlText w:val="%1."/>
      <w:lvlJc w:val="right"/>
      <w:pPr>
        <w:ind w:left="502"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BFF0443"/>
    <w:multiLevelType w:val="hybridMultilevel"/>
    <w:tmpl w:val="F654B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200763"/>
    <w:multiLevelType w:val="hybridMultilevel"/>
    <w:tmpl w:val="8A9018B0"/>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1C5750"/>
    <w:multiLevelType w:val="hybridMultilevel"/>
    <w:tmpl w:val="38D6CA28"/>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2C3464"/>
    <w:multiLevelType w:val="hybridMultilevel"/>
    <w:tmpl w:val="11A44162"/>
    <w:lvl w:ilvl="0" w:tplc="0809001B">
      <w:start w:val="1"/>
      <w:numFmt w:val="lowerRoman"/>
      <w:lvlText w:val="%1."/>
      <w:lvlJc w:val="right"/>
      <w:pPr>
        <w:ind w:left="502"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6E0483"/>
    <w:multiLevelType w:val="multilevel"/>
    <w:tmpl w:val="75DE30CC"/>
    <w:lvl w:ilvl="0">
      <w:start w:val="1"/>
      <w:numFmt w:val="decimal"/>
      <w:lvlText w:val="%1."/>
      <w:lvlJc w:val="left"/>
      <w:pPr>
        <w:ind w:left="720" w:hanging="360"/>
      </w:pPr>
      <w:rPr>
        <w:rFonts w:hint="default"/>
      </w:rPr>
    </w:lvl>
    <w:lvl w:ilvl="1">
      <w:start w:val="6"/>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8436884"/>
    <w:multiLevelType w:val="hybridMultilevel"/>
    <w:tmpl w:val="A13AB944"/>
    <w:lvl w:ilvl="0" w:tplc="C9E8463C">
      <w:start w:val="1"/>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FB66F0"/>
    <w:multiLevelType w:val="hybridMultilevel"/>
    <w:tmpl w:val="81726F8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3A7F48"/>
    <w:multiLevelType w:val="hybridMultilevel"/>
    <w:tmpl w:val="38D6CA28"/>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3A1936"/>
    <w:multiLevelType w:val="hybridMultilevel"/>
    <w:tmpl w:val="5302EC72"/>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EC4226"/>
    <w:multiLevelType w:val="hybridMultilevel"/>
    <w:tmpl w:val="38D6CA28"/>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50225E"/>
    <w:multiLevelType w:val="hybridMultilevel"/>
    <w:tmpl w:val="38D6CA28"/>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CA4A78"/>
    <w:multiLevelType w:val="hybridMultilevel"/>
    <w:tmpl w:val="38D6CA28"/>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2479E7"/>
    <w:multiLevelType w:val="hybridMultilevel"/>
    <w:tmpl w:val="B9BE3A56"/>
    <w:lvl w:ilvl="0" w:tplc="1A2A2138">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D24E3B"/>
    <w:multiLevelType w:val="multilevel"/>
    <w:tmpl w:val="FAE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C525BE"/>
    <w:multiLevelType w:val="hybridMultilevel"/>
    <w:tmpl w:val="BB68116C"/>
    <w:lvl w:ilvl="0" w:tplc="0809001B">
      <w:start w:val="1"/>
      <w:numFmt w:val="lowerRoman"/>
      <w:lvlText w:val="%1."/>
      <w:lvlJc w:val="righ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8E1E73"/>
    <w:multiLevelType w:val="hybridMultilevel"/>
    <w:tmpl w:val="C10C9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2"/>
  </w:num>
  <w:num w:numId="4">
    <w:abstractNumId w:val="14"/>
  </w:num>
  <w:num w:numId="5">
    <w:abstractNumId w:val="8"/>
  </w:num>
  <w:num w:numId="6">
    <w:abstractNumId w:val="0"/>
  </w:num>
  <w:num w:numId="7">
    <w:abstractNumId w:val="1"/>
  </w:num>
  <w:num w:numId="8">
    <w:abstractNumId w:val="11"/>
  </w:num>
  <w:num w:numId="9">
    <w:abstractNumId w:val="7"/>
  </w:num>
  <w:num w:numId="10">
    <w:abstractNumId w:val="16"/>
  </w:num>
  <w:num w:numId="11">
    <w:abstractNumId w:val="9"/>
  </w:num>
  <w:num w:numId="12">
    <w:abstractNumId w:val="4"/>
  </w:num>
  <w:num w:numId="13">
    <w:abstractNumId w:val="19"/>
  </w:num>
  <w:num w:numId="14">
    <w:abstractNumId w:val="22"/>
  </w:num>
  <w:num w:numId="15">
    <w:abstractNumId w:val="5"/>
  </w:num>
  <w:num w:numId="16">
    <w:abstractNumId w:val="18"/>
  </w:num>
  <w:num w:numId="17">
    <w:abstractNumId w:val="17"/>
  </w:num>
  <w:num w:numId="18">
    <w:abstractNumId w:val="2"/>
  </w:num>
  <w:num w:numId="19">
    <w:abstractNumId w:val="15"/>
  </w:num>
  <w:num w:numId="20">
    <w:abstractNumId w:val="10"/>
  </w:num>
  <w:num w:numId="21">
    <w:abstractNumId w:val="3"/>
  </w:num>
  <w:num w:numId="22">
    <w:abstractNumId w:val="13"/>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118"/>
    <w:rsid w:val="00012BFE"/>
    <w:rsid w:val="00013A14"/>
    <w:rsid w:val="00014A4B"/>
    <w:rsid w:val="000159EB"/>
    <w:rsid w:val="00021E8A"/>
    <w:rsid w:val="00044BFB"/>
    <w:rsid w:val="0005692C"/>
    <w:rsid w:val="00071B88"/>
    <w:rsid w:val="000760A2"/>
    <w:rsid w:val="00080E34"/>
    <w:rsid w:val="00087F36"/>
    <w:rsid w:val="00091243"/>
    <w:rsid w:val="000A0813"/>
    <w:rsid w:val="000B46EE"/>
    <w:rsid w:val="000C348B"/>
    <w:rsid w:val="000D490D"/>
    <w:rsid w:val="000D5F53"/>
    <w:rsid w:val="000D7739"/>
    <w:rsid w:val="000E2245"/>
    <w:rsid w:val="000E7DE4"/>
    <w:rsid w:val="000F0997"/>
    <w:rsid w:val="000F4374"/>
    <w:rsid w:val="001029EC"/>
    <w:rsid w:val="0011348B"/>
    <w:rsid w:val="0011549D"/>
    <w:rsid w:val="001236F5"/>
    <w:rsid w:val="0013032D"/>
    <w:rsid w:val="00131CDE"/>
    <w:rsid w:val="001359F1"/>
    <w:rsid w:val="00147EC5"/>
    <w:rsid w:val="00163263"/>
    <w:rsid w:val="001A3BC4"/>
    <w:rsid w:val="001A403E"/>
    <w:rsid w:val="001B0534"/>
    <w:rsid w:val="001B0CCE"/>
    <w:rsid w:val="001B0EF4"/>
    <w:rsid w:val="001B1191"/>
    <w:rsid w:val="001B1CA7"/>
    <w:rsid w:val="001B1E74"/>
    <w:rsid w:val="001B2CC7"/>
    <w:rsid w:val="001D7334"/>
    <w:rsid w:val="001E319D"/>
    <w:rsid w:val="001E531A"/>
    <w:rsid w:val="001E7A17"/>
    <w:rsid w:val="00201B38"/>
    <w:rsid w:val="00204EF7"/>
    <w:rsid w:val="0022151E"/>
    <w:rsid w:val="002570E4"/>
    <w:rsid w:val="00260443"/>
    <w:rsid w:val="002673AB"/>
    <w:rsid w:val="0028239E"/>
    <w:rsid w:val="00282B20"/>
    <w:rsid w:val="002A2B1B"/>
    <w:rsid w:val="002A4319"/>
    <w:rsid w:val="002B06B7"/>
    <w:rsid w:val="002C2EFD"/>
    <w:rsid w:val="002E128D"/>
    <w:rsid w:val="002E5A15"/>
    <w:rsid w:val="002F2B2C"/>
    <w:rsid w:val="00330802"/>
    <w:rsid w:val="00345AAD"/>
    <w:rsid w:val="0035263C"/>
    <w:rsid w:val="00356112"/>
    <w:rsid w:val="00363FD7"/>
    <w:rsid w:val="00366FFB"/>
    <w:rsid w:val="003A6AC1"/>
    <w:rsid w:val="003C3C90"/>
    <w:rsid w:val="003C754A"/>
    <w:rsid w:val="003F2ABB"/>
    <w:rsid w:val="00405DEB"/>
    <w:rsid w:val="004159BC"/>
    <w:rsid w:val="00424458"/>
    <w:rsid w:val="00426253"/>
    <w:rsid w:val="00441160"/>
    <w:rsid w:val="0044562D"/>
    <w:rsid w:val="0048010F"/>
    <w:rsid w:val="00493F92"/>
    <w:rsid w:val="004A280E"/>
    <w:rsid w:val="004B21ED"/>
    <w:rsid w:val="004B29D7"/>
    <w:rsid w:val="004C2D62"/>
    <w:rsid w:val="004C330A"/>
    <w:rsid w:val="004E2E25"/>
    <w:rsid w:val="004F631C"/>
    <w:rsid w:val="004F67A4"/>
    <w:rsid w:val="00506E30"/>
    <w:rsid w:val="0051026B"/>
    <w:rsid w:val="00511594"/>
    <w:rsid w:val="005160D0"/>
    <w:rsid w:val="0052419D"/>
    <w:rsid w:val="005362C0"/>
    <w:rsid w:val="005479E6"/>
    <w:rsid w:val="0055703F"/>
    <w:rsid w:val="00566AEA"/>
    <w:rsid w:val="005808A3"/>
    <w:rsid w:val="005909FF"/>
    <w:rsid w:val="00597B27"/>
    <w:rsid w:val="005C05EE"/>
    <w:rsid w:val="005D03B4"/>
    <w:rsid w:val="005D3781"/>
    <w:rsid w:val="005D76F8"/>
    <w:rsid w:val="005D7B84"/>
    <w:rsid w:val="005E05F1"/>
    <w:rsid w:val="005E5A5C"/>
    <w:rsid w:val="00601ECE"/>
    <w:rsid w:val="00610D85"/>
    <w:rsid w:val="00627163"/>
    <w:rsid w:val="006305D0"/>
    <w:rsid w:val="0063471F"/>
    <w:rsid w:val="006411CD"/>
    <w:rsid w:val="0064178C"/>
    <w:rsid w:val="00657281"/>
    <w:rsid w:val="00663617"/>
    <w:rsid w:val="006658E4"/>
    <w:rsid w:val="0066786E"/>
    <w:rsid w:val="00681656"/>
    <w:rsid w:val="00681ED3"/>
    <w:rsid w:val="006838D1"/>
    <w:rsid w:val="006934D1"/>
    <w:rsid w:val="006A48F7"/>
    <w:rsid w:val="006D040C"/>
    <w:rsid w:val="006E04E9"/>
    <w:rsid w:val="006E3D2B"/>
    <w:rsid w:val="00703F3B"/>
    <w:rsid w:val="00720501"/>
    <w:rsid w:val="007229AA"/>
    <w:rsid w:val="007307CD"/>
    <w:rsid w:val="007346BE"/>
    <w:rsid w:val="0073681F"/>
    <w:rsid w:val="00753579"/>
    <w:rsid w:val="00763847"/>
    <w:rsid w:val="00773B12"/>
    <w:rsid w:val="00776376"/>
    <w:rsid w:val="00777D51"/>
    <w:rsid w:val="00785054"/>
    <w:rsid w:val="0079590E"/>
    <w:rsid w:val="007A1D13"/>
    <w:rsid w:val="007A62E1"/>
    <w:rsid w:val="007B23B1"/>
    <w:rsid w:val="007B595B"/>
    <w:rsid w:val="007D6C89"/>
    <w:rsid w:val="007E525B"/>
    <w:rsid w:val="007F78F7"/>
    <w:rsid w:val="0080233E"/>
    <w:rsid w:val="00817EFF"/>
    <w:rsid w:val="00820CD3"/>
    <w:rsid w:val="00850826"/>
    <w:rsid w:val="00853D42"/>
    <w:rsid w:val="00855D63"/>
    <w:rsid w:val="008579A9"/>
    <w:rsid w:val="008767C1"/>
    <w:rsid w:val="0088219A"/>
    <w:rsid w:val="008A1780"/>
    <w:rsid w:val="008C27C7"/>
    <w:rsid w:val="008D1101"/>
    <w:rsid w:val="008D58DE"/>
    <w:rsid w:val="008D5DF9"/>
    <w:rsid w:val="008E6733"/>
    <w:rsid w:val="008F4C7B"/>
    <w:rsid w:val="0092253F"/>
    <w:rsid w:val="00922A4B"/>
    <w:rsid w:val="009248DC"/>
    <w:rsid w:val="009441F5"/>
    <w:rsid w:val="00953A02"/>
    <w:rsid w:val="009549EE"/>
    <w:rsid w:val="009849FE"/>
    <w:rsid w:val="009A59D6"/>
    <w:rsid w:val="009B2DF0"/>
    <w:rsid w:val="009B41F1"/>
    <w:rsid w:val="009C5653"/>
    <w:rsid w:val="00A050A5"/>
    <w:rsid w:val="00A05324"/>
    <w:rsid w:val="00A05C20"/>
    <w:rsid w:val="00A17746"/>
    <w:rsid w:val="00A22787"/>
    <w:rsid w:val="00A4747F"/>
    <w:rsid w:val="00A54CAC"/>
    <w:rsid w:val="00A55E75"/>
    <w:rsid w:val="00A62C05"/>
    <w:rsid w:val="00A66698"/>
    <w:rsid w:val="00A8657A"/>
    <w:rsid w:val="00A9565F"/>
    <w:rsid w:val="00A9676D"/>
    <w:rsid w:val="00AA59A9"/>
    <w:rsid w:val="00AC2364"/>
    <w:rsid w:val="00AD38B3"/>
    <w:rsid w:val="00B011AC"/>
    <w:rsid w:val="00B048CB"/>
    <w:rsid w:val="00B262D2"/>
    <w:rsid w:val="00B51A37"/>
    <w:rsid w:val="00B5452F"/>
    <w:rsid w:val="00B5498C"/>
    <w:rsid w:val="00B57118"/>
    <w:rsid w:val="00B600A1"/>
    <w:rsid w:val="00B800F8"/>
    <w:rsid w:val="00B825D9"/>
    <w:rsid w:val="00B96B54"/>
    <w:rsid w:val="00B97B49"/>
    <w:rsid w:val="00B97FAA"/>
    <w:rsid w:val="00BB1187"/>
    <w:rsid w:val="00BB6B5F"/>
    <w:rsid w:val="00BC4EEA"/>
    <w:rsid w:val="00BC5853"/>
    <w:rsid w:val="00BD1DFD"/>
    <w:rsid w:val="00BD501C"/>
    <w:rsid w:val="00BE4E67"/>
    <w:rsid w:val="00BF4986"/>
    <w:rsid w:val="00BF6F5D"/>
    <w:rsid w:val="00BF7FF3"/>
    <w:rsid w:val="00C022B3"/>
    <w:rsid w:val="00C17109"/>
    <w:rsid w:val="00C1795D"/>
    <w:rsid w:val="00C41242"/>
    <w:rsid w:val="00C47E42"/>
    <w:rsid w:val="00C6043E"/>
    <w:rsid w:val="00C86967"/>
    <w:rsid w:val="00CA5EE2"/>
    <w:rsid w:val="00CA79B5"/>
    <w:rsid w:val="00CA7B77"/>
    <w:rsid w:val="00CC1D0A"/>
    <w:rsid w:val="00CD6E1C"/>
    <w:rsid w:val="00CF0E7D"/>
    <w:rsid w:val="00CF57B7"/>
    <w:rsid w:val="00CF71A7"/>
    <w:rsid w:val="00D063F3"/>
    <w:rsid w:val="00D17280"/>
    <w:rsid w:val="00D254C4"/>
    <w:rsid w:val="00D43E71"/>
    <w:rsid w:val="00D4792A"/>
    <w:rsid w:val="00D52741"/>
    <w:rsid w:val="00D56013"/>
    <w:rsid w:val="00D5771E"/>
    <w:rsid w:val="00D65FAE"/>
    <w:rsid w:val="00D708C4"/>
    <w:rsid w:val="00D72B4D"/>
    <w:rsid w:val="00D73E08"/>
    <w:rsid w:val="00D75813"/>
    <w:rsid w:val="00D81624"/>
    <w:rsid w:val="00D81DBD"/>
    <w:rsid w:val="00DB330F"/>
    <w:rsid w:val="00DD1FDD"/>
    <w:rsid w:val="00DD4499"/>
    <w:rsid w:val="00DD7BF7"/>
    <w:rsid w:val="00DF1793"/>
    <w:rsid w:val="00E06C34"/>
    <w:rsid w:val="00E32D67"/>
    <w:rsid w:val="00E36934"/>
    <w:rsid w:val="00E37AED"/>
    <w:rsid w:val="00E52E6E"/>
    <w:rsid w:val="00E55BF7"/>
    <w:rsid w:val="00E61C56"/>
    <w:rsid w:val="00E7095A"/>
    <w:rsid w:val="00E72D91"/>
    <w:rsid w:val="00E77EEF"/>
    <w:rsid w:val="00E824B7"/>
    <w:rsid w:val="00E9417E"/>
    <w:rsid w:val="00EA719B"/>
    <w:rsid w:val="00EB25F1"/>
    <w:rsid w:val="00EB603F"/>
    <w:rsid w:val="00EB7A20"/>
    <w:rsid w:val="00EC151B"/>
    <w:rsid w:val="00ED4890"/>
    <w:rsid w:val="00ED72E4"/>
    <w:rsid w:val="00EF50CE"/>
    <w:rsid w:val="00F416F1"/>
    <w:rsid w:val="00F46F43"/>
    <w:rsid w:val="00F5137B"/>
    <w:rsid w:val="00F621DE"/>
    <w:rsid w:val="00F875E4"/>
    <w:rsid w:val="00FA7F1C"/>
    <w:rsid w:val="00FB0075"/>
    <w:rsid w:val="00FD684F"/>
    <w:rsid w:val="00FE18FB"/>
    <w:rsid w:val="00FF3E70"/>
    <w:rsid w:val="00FF7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25790"/>
  <w15:docId w15:val="{552EC1B9-A957-4848-9472-0776EBF78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118"/>
    <w:pPr>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118"/>
    <w:pPr>
      <w:autoSpaceDE/>
      <w:autoSpaceDN/>
      <w:adjustRightInd/>
      <w:spacing w:after="200" w:line="276" w:lineRule="auto"/>
      <w:ind w:left="720"/>
      <w:contextualSpacing/>
    </w:pPr>
    <w:rPr>
      <w:rFonts w:asciiTheme="minorHAnsi" w:eastAsiaTheme="minorEastAsia" w:hAnsiTheme="minorHAnsi" w:cstheme="minorBidi"/>
      <w:sz w:val="22"/>
      <w:szCs w:val="22"/>
      <w:lang w:eastAsia="en-GB"/>
    </w:rPr>
  </w:style>
  <w:style w:type="paragraph" w:styleId="Footer">
    <w:name w:val="footer"/>
    <w:basedOn w:val="Normal"/>
    <w:link w:val="FooterChar"/>
    <w:uiPriority w:val="99"/>
    <w:unhideWhenUsed/>
    <w:rsid w:val="00B57118"/>
    <w:pPr>
      <w:tabs>
        <w:tab w:val="center" w:pos="4513"/>
        <w:tab w:val="right" w:pos="9026"/>
      </w:tabs>
    </w:pPr>
  </w:style>
  <w:style w:type="character" w:customStyle="1" w:styleId="FooterChar">
    <w:name w:val="Footer Char"/>
    <w:basedOn w:val="DefaultParagraphFont"/>
    <w:link w:val="Footer"/>
    <w:uiPriority w:val="99"/>
    <w:rsid w:val="00B57118"/>
    <w:rPr>
      <w:rFonts w:ascii="Arial" w:hAnsi="Arial" w:cs="Arial"/>
      <w:sz w:val="20"/>
      <w:szCs w:val="20"/>
    </w:rPr>
  </w:style>
  <w:style w:type="character" w:styleId="Hyperlink">
    <w:name w:val="Hyperlink"/>
    <w:basedOn w:val="DefaultParagraphFont"/>
    <w:uiPriority w:val="99"/>
    <w:unhideWhenUsed/>
    <w:rsid w:val="00DD1FDD"/>
    <w:rPr>
      <w:color w:val="0563C1" w:themeColor="hyperlink"/>
      <w:u w:val="single"/>
    </w:rPr>
  </w:style>
  <w:style w:type="table" w:styleId="MediumShading1-Accent1">
    <w:name w:val="Medium Shading 1 Accent 1"/>
    <w:basedOn w:val="TableNormal"/>
    <w:uiPriority w:val="63"/>
    <w:rsid w:val="0011549D"/>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PlainTable51">
    <w:name w:val="Plain Table 51"/>
    <w:basedOn w:val="TableNormal"/>
    <w:uiPriority w:val="45"/>
    <w:rsid w:val="0066786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uiPriority w:val="99"/>
    <w:semiHidden/>
    <w:unhideWhenUsed/>
    <w:rsid w:val="00E61C56"/>
    <w:rPr>
      <w:sz w:val="16"/>
      <w:szCs w:val="16"/>
    </w:rPr>
  </w:style>
  <w:style w:type="paragraph" w:styleId="CommentText">
    <w:name w:val="annotation text"/>
    <w:basedOn w:val="Normal"/>
    <w:link w:val="CommentTextChar"/>
    <w:uiPriority w:val="99"/>
    <w:semiHidden/>
    <w:unhideWhenUsed/>
    <w:rsid w:val="00E61C56"/>
    <w:pPr>
      <w:autoSpaceDE/>
      <w:autoSpaceDN/>
      <w:adjustRightInd/>
      <w:spacing w:after="200"/>
    </w:pPr>
    <w:rPr>
      <w:rFonts w:ascii="Calibri" w:eastAsia="Calibri" w:hAnsi="Calibri" w:cs="Times New Roman"/>
    </w:rPr>
  </w:style>
  <w:style w:type="character" w:customStyle="1" w:styleId="CommentTextChar">
    <w:name w:val="Comment Text Char"/>
    <w:basedOn w:val="DefaultParagraphFont"/>
    <w:link w:val="CommentText"/>
    <w:uiPriority w:val="99"/>
    <w:semiHidden/>
    <w:rsid w:val="00E61C56"/>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E61C56"/>
    <w:rPr>
      <w:rFonts w:ascii="Tahoma" w:hAnsi="Tahoma" w:cs="Tahoma"/>
      <w:sz w:val="16"/>
      <w:szCs w:val="16"/>
    </w:rPr>
  </w:style>
  <w:style w:type="character" w:customStyle="1" w:styleId="BalloonTextChar">
    <w:name w:val="Balloon Text Char"/>
    <w:basedOn w:val="DefaultParagraphFont"/>
    <w:link w:val="BalloonText"/>
    <w:uiPriority w:val="99"/>
    <w:semiHidden/>
    <w:rsid w:val="00E61C56"/>
    <w:rPr>
      <w:rFonts w:ascii="Tahoma" w:hAnsi="Tahoma" w:cs="Tahoma"/>
      <w:sz w:val="16"/>
      <w:szCs w:val="16"/>
    </w:rPr>
  </w:style>
  <w:style w:type="character" w:customStyle="1" w:styleId="UnresolvedMention1">
    <w:name w:val="Unresolved Mention1"/>
    <w:basedOn w:val="DefaultParagraphFont"/>
    <w:uiPriority w:val="99"/>
    <w:semiHidden/>
    <w:unhideWhenUsed/>
    <w:rsid w:val="00DF1793"/>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C1795D"/>
    <w:pPr>
      <w:autoSpaceDE w:val="0"/>
      <w:autoSpaceDN w:val="0"/>
      <w:adjustRightInd w:val="0"/>
      <w:spacing w:after="0"/>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C1795D"/>
    <w:rPr>
      <w:rFonts w:ascii="Arial" w:eastAsia="Calibri" w:hAnsi="Arial" w:cs="Arial"/>
      <w:b/>
      <w:bCs/>
      <w:sz w:val="20"/>
      <w:szCs w:val="20"/>
    </w:rPr>
  </w:style>
  <w:style w:type="table" w:styleId="GridTable2">
    <w:name w:val="Grid Table 2"/>
    <w:basedOn w:val="TableNormal"/>
    <w:uiPriority w:val="47"/>
    <w:rsid w:val="007F78F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4F6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236845">
      <w:bodyDiv w:val="1"/>
      <w:marLeft w:val="0"/>
      <w:marRight w:val="0"/>
      <w:marTop w:val="0"/>
      <w:marBottom w:val="0"/>
      <w:divBdr>
        <w:top w:val="none" w:sz="0" w:space="0" w:color="auto"/>
        <w:left w:val="none" w:sz="0" w:space="0" w:color="auto"/>
        <w:bottom w:val="none" w:sz="0" w:space="0" w:color="auto"/>
        <w:right w:val="none" w:sz="0" w:space="0" w:color="auto"/>
      </w:divBdr>
    </w:div>
    <w:div w:id="1615287788">
      <w:bodyDiv w:val="1"/>
      <w:marLeft w:val="0"/>
      <w:marRight w:val="0"/>
      <w:marTop w:val="0"/>
      <w:marBottom w:val="0"/>
      <w:divBdr>
        <w:top w:val="none" w:sz="0" w:space="0" w:color="auto"/>
        <w:left w:val="none" w:sz="0" w:space="0" w:color="auto"/>
        <w:bottom w:val="none" w:sz="0" w:space="0" w:color="auto"/>
        <w:right w:val="none" w:sz="0" w:space="0" w:color="auto"/>
      </w:divBdr>
    </w:div>
    <w:div w:id="1745908808">
      <w:bodyDiv w:val="1"/>
      <w:marLeft w:val="0"/>
      <w:marRight w:val="0"/>
      <w:marTop w:val="0"/>
      <w:marBottom w:val="0"/>
      <w:divBdr>
        <w:top w:val="none" w:sz="0" w:space="0" w:color="auto"/>
        <w:left w:val="none" w:sz="0" w:space="0" w:color="auto"/>
        <w:bottom w:val="none" w:sz="0" w:space="0" w:color="auto"/>
        <w:right w:val="none" w:sz="0" w:space="0" w:color="auto"/>
      </w:divBdr>
    </w:div>
    <w:div w:id="199853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on.holmes@imperial.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A79DC-8851-44E5-90DF-1395FB423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40335</Words>
  <Characters>229912</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Miles Rawson</dc:creator>
  <cp:lastModifiedBy>Rawson, Timothy Miles</cp:lastModifiedBy>
  <cp:revision>2</cp:revision>
  <dcterms:created xsi:type="dcterms:W3CDTF">2020-03-20T15:53:00Z</dcterms:created>
  <dcterms:modified xsi:type="dcterms:W3CDTF">2020-03-20T15:53:00Z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http://www.zotero.org/styles/bmj-quality-and-safety</vt:lpwstr>
  </property>
  <property fmtid="{D5CDD505-2E9C-101B-9397-08002B2CF9AE}" pid="7" name="Mendeley Recent Style Name 2_1">
    <vt:lpwstr>BMJ Quality &amp; Safety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http://www.zotero.org/styles/clinical-infectious-diseases</vt:lpwstr>
  </property>
  <property fmtid="{D5CDD505-2E9C-101B-9397-08002B2CF9AE}" pid="13" name="Mendeley Recent Style Name 5_1">
    <vt:lpwstr>Clinical Infectious Diseases</vt:lpwstr>
  </property>
  <property fmtid="{D5CDD505-2E9C-101B-9397-08002B2CF9AE}" pid="14" name="Mendeley Recent Style Id 6_1">
    <vt:lpwstr>http://www.zotero.org/styles/frontiers-in-pharmacology</vt:lpwstr>
  </property>
  <property fmtid="{D5CDD505-2E9C-101B-9397-08002B2CF9AE}" pid="15" name="Mendeley Recent Style Name 6_1">
    <vt:lpwstr>Frontiers in Pharmacology</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http://www.zotero.org/styles/plos-medicine</vt:lpwstr>
  </property>
  <property fmtid="{D5CDD505-2E9C-101B-9397-08002B2CF9AE}" pid="21" name="Mendeley Recent Style Name 9_1">
    <vt:lpwstr>PLOS Medicine</vt:lpwstr>
  </property>
  <property fmtid="{D5CDD505-2E9C-101B-9397-08002B2CF9AE}" pid="22" name="Mendeley Document_1">
    <vt:lpwstr>True</vt:lpwstr>
  </property>
  <property fmtid="{D5CDD505-2E9C-101B-9397-08002B2CF9AE}" pid="23" name="Mendeley Unique User Id_1">
    <vt:lpwstr>a6dd4a13-b161-308a-a590-1f5e1aeda804</vt:lpwstr>
  </property>
  <property fmtid="{D5CDD505-2E9C-101B-9397-08002B2CF9AE}" pid="24" name="Mendeley Citation Style_1">
    <vt:lpwstr>http://www.zotero.org/styles/clinical-infectious-diseases</vt:lpwstr>
  </property>
</Properties>
</file>