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63D6" w14:textId="29AC3A3F" w:rsidR="00292D86" w:rsidRDefault="00292D86" w:rsidP="00292D86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SUPPLEMENTARY DATA</w:t>
      </w:r>
    </w:p>
    <w:p w14:paraId="31C3EBD4" w14:textId="77777777" w:rsid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47476D2" w14:textId="5EF642FA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92D86">
        <w:rPr>
          <w:rFonts w:ascii="Arial" w:eastAsia="Calibri" w:hAnsi="Arial" w:cs="Arial"/>
          <w:b/>
          <w:bCs/>
          <w:sz w:val="24"/>
          <w:szCs w:val="24"/>
        </w:rPr>
        <w:t xml:space="preserve">Pharmacogenomics: </w:t>
      </w:r>
      <w:proofErr w:type="gramStart"/>
      <w:r w:rsidRPr="00292D86">
        <w:rPr>
          <w:rFonts w:ascii="Arial" w:eastAsia="Calibri" w:hAnsi="Arial" w:cs="Arial"/>
          <w:b/>
          <w:bCs/>
          <w:sz w:val="24"/>
          <w:szCs w:val="24"/>
        </w:rPr>
        <w:t>current status</w:t>
      </w:r>
      <w:proofErr w:type="gramEnd"/>
      <w:r w:rsidRPr="00292D86">
        <w:rPr>
          <w:rFonts w:ascii="Arial" w:eastAsia="Calibri" w:hAnsi="Arial" w:cs="Arial"/>
          <w:b/>
          <w:bCs/>
          <w:sz w:val="24"/>
          <w:szCs w:val="24"/>
        </w:rPr>
        <w:t xml:space="preserve"> and future perspectives</w:t>
      </w:r>
    </w:p>
    <w:p w14:paraId="62FF3ED0" w14:textId="77777777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n-US"/>
        </w:rPr>
      </w:pPr>
      <w:r w:rsidRPr="00292D86">
        <w:rPr>
          <w:rFonts w:ascii="Arial" w:eastAsia="Calibri" w:hAnsi="Arial" w:cs="Arial"/>
          <w:bCs/>
          <w:sz w:val="24"/>
          <w:szCs w:val="24"/>
          <w:lang w:val="en-US"/>
        </w:rPr>
        <w:t>Munir Pirmohamed</w:t>
      </w:r>
    </w:p>
    <w:p w14:paraId="75199A4F" w14:textId="77777777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7241C65A" w14:textId="77777777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92D86">
        <w:rPr>
          <w:rFonts w:ascii="Arial" w:eastAsia="Calibri" w:hAnsi="Arial" w:cs="Arial"/>
          <w:sz w:val="24"/>
          <w:szCs w:val="24"/>
          <w:lang w:val="en-US"/>
        </w:rPr>
        <w:t xml:space="preserve">The Wolfson Centre for </w:t>
      </w:r>
      <w:proofErr w:type="spellStart"/>
      <w:r w:rsidRPr="00292D86">
        <w:rPr>
          <w:rFonts w:ascii="Arial" w:eastAsia="Calibri" w:hAnsi="Arial" w:cs="Arial"/>
          <w:sz w:val="24"/>
          <w:szCs w:val="24"/>
          <w:lang w:val="en-US"/>
        </w:rPr>
        <w:t>Personalised</w:t>
      </w:r>
      <w:proofErr w:type="spellEnd"/>
      <w:r w:rsidRPr="00292D86">
        <w:rPr>
          <w:rFonts w:ascii="Arial" w:eastAsia="Calibri" w:hAnsi="Arial" w:cs="Arial"/>
          <w:sz w:val="24"/>
          <w:szCs w:val="24"/>
          <w:lang w:val="en-US"/>
        </w:rPr>
        <w:t xml:space="preserve"> Medicine and Centre for Drug Safety Science, Institute of Systems, Molecular and Integrative Biology, Faculty of Health &amp; Life Sciences, University of Liverpool, Liverpool, UK</w:t>
      </w:r>
    </w:p>
    <w:p w14:paraId="60635C0F" w14:textId="77777777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5ECFA4E8" w14:textId="77777777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92D86">
        <w:rPr>
          <w:rFonts w:ascii="Arial" w:eastAsia="Calibri" w:hAnsi="Arial" w:cs="Arial"/>
          <w:bCs/>
          <w:sz w:val="24"/>
          <w:szCs w:val="24"/>
        </w:rPr>
        <w:t>e-mail:</w:t>
      </w:r>
      <w:r w:rsidRPr="00292D8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hyperlink r:id="rId4" w:history="1">
        <w:r w:rsidRPr="00292D86">
          <w:rPr>
            <w:rFonts w:ascii="Arial" w:eastAsia="Calibri" w:hAnsi="Arial" w:cs="Arial"/>
            <w:color w:val="00267F"/>
            <w:sz w:val="24"/>
            <w:szCs w:val="24"/>
          </w:rPr>
          <w:t>munirp@liverpool.ac.uk</w:t>
        </w:r>
      </w:hyperlink>
      <w:r w:rsidRPr="00292D8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1789D54" w14:textId="4F433C0E" w:rsidR="00F771D8" w:rsidRDefault="00F771D8"/>
    <w:p w14:paraId="6163D5A0" w14:textId="4E075495" w:rsidR="00292D86" w:rsidRDefault="00292D86">
      <w:r>
        <w:br w:type="page"/>
      </w:r>
    </w:p>
    <w:p w14:paraId="2BFAE326" w14:textId="30F33D44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292D86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Table </w:t>
      </w:r>
      <w:r>
        <w:rPr>
          <w:rFonts w:ascii="Arial" w:eastAsia="Calibri" w:hAnsi="Arial" w:cs="Arial"/>
          <w:b/>
          <w:bCs/>
          <w:sz w:val="24"/>
          <w:szCs w:val="24"/>
        </w:rPr>
        <w:t>S1</w:t>
      </w:r>
      <w:r w:rsidRPr="00292D86">
        <w:rPr>
          <w:rFonts w:ascii="Arial" w:eastAsia="Calibri" w:hAnsi="Arial" w:cs="Arial"/>
          <w:b/>
          <w:bCs/>
          <w:sz w:val="24"/>
          <w:szCs w:val="24"/>
        </w:rPr>
        <w:t>. Gene mutations in different types of malignancy which have resulted in the development of targeted agents</w:t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2774"/>
        <w:gridCol w:w="4041"/>
        <w:gridCol w:w="2201"/>
      </w:tblGrid>
      <w:tr w:rsidR="00292D86" w:rsidRPr="00292D86" w14:paraId="1F9B1475" w14:textId="77777777" w:rsidTr="00292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8FE12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Genes or alterations</w:t>
            </w:r>
          </w:p>
        </w:tc>
        <w:tc>
          <w:tcPr>
            <w:tcW w:w="0" w:type="auto"/>
          </w:tcPr>
          <w:p w14:paraId="4F67ED80" w14:textId="77777777" w:rsidR="00292D86" w:rsidRPr="00292D86" w:rsidRDefault="00292D86" w:rsidP="00292D8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Type of malignancy</w:t>
            </w:r>
          </w:p>
        </w:tc>
        <w:tc>
          <w:tcPr>
            <w:tcW w:w="0" w:type="auto"/>
          </w:tcPr>
          <w:p w14:paraId="610F3618" w14:textId="77777777" w:rsidR="00292D86" w:rsidRPr="00292D86" w:rsidRDefault="00292D86" w:rsidP="00292D8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Examples of drugs targeting the mutations*</w:t>
            </w:r>
          </w:p>
        </w:tc>
      </w:tr>
      <w:tr w:rsidR="00292D86" w:rsidRPr="00292D86" w14:paraId="6BA21BA1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6C88E6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ABL1</w:t>
            </w:r>
          </w:p>
        </w:tc>
        <w:tc>
          <w:tcPr>
            <w:tcW w:w="0" w:type="auto"/>
          </w:tcPr>
          <w:p w14:paraId="2DCCA278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B-lymphoblastic leukaemia, Chronic myeloid leukaemia</w:t>
            </w:r>
          </w:p>
        </w:tc>
        <w:tc>
          <w:tcPr>
            <w:tcW w:w="0" w:type="auto"/>
          </w:tcPr>
          <w:p w14:paraId="1E8190F0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Imatinib,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dasatinib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nilotinib, bosutinib, ponatinib,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asciminib</w:t>
            </w:r>
            <w:proofErr w:type="spellEnd"/>
          </w:p>
        </w:tc>
      </w:tr>
      <w:tr w:rsidR="00292D86" w:rsidRPr="00292D86" w14:paraId="06AB57A1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0AE487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ALK</w:t>
            </w:r>
          </w:p>
        </w:tc>
        <w:tc>
          <w:tcPr>
            <w:tcW w:w="0" w:type="auto"/>
          </w:tcPr>
          <w:p w14:paraId="4DEDDE64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Anaplastic Large-Cell Lymphoma, Inflammatory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Myofibroblastic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Tumor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, Non-Small Cell Lung Cancer</w:t>
            </w:r>
          </w:p>
        </w:tc>
        <w:tc>
          <w:tcPr>
            <w:tcW w:w="0" w:type="auto"/>
          </w:tcPr>
          <w:p w14:paraId="397989E1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Crizotinib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alectinib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brigatinib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ceritinib</w:t>
            </w:r>
            <w:proofErr w:type="spellEnd"/>
          </w:p>
        </w:tc>
      </w:tr>
      <w:tr w:rsidR="00292D86" w:rsidRPr="00292D86" w14:paraId="5B5A3090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4D7BA0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BRAF</w:t>
            </w:r>
          </w:p>
        </w:tc>
        <w:tc>
          <w:tcPr>
            <w:tcW w:w="0" w:type="auto"/>
          </w:tcPr>
          <w:p w14:paraId="158C958D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Melanoma, anaplastic thyroid cancer, colorectal cancer, non-small cell lung cancer,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Erdheim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-Chester Disease</w:t>
            </w:r>
          </w:p>
        </w:tc>
        <w:tc>
          <w:tcPr>
            <w:tcW w:w="0" w:type="auto"/>
          </w:tcPr>
          <w:p w14:paraId="4D51EF67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Vemurafenib, Dabrafenib, Trametinib,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Encorafenib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Encorafenib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Binimetinib</w:t>
            </w:r>
            <w:proofErr w:type="spellEnd"/>
          </w:p>
        </w:tc>
      </w:tr>
      <w:tr w:rsidR="00292D86" w:rsidRPr="00292D86" w14:paraId="53C7EB94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05DE9A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EGFR</w:t>
            </w:r>
          </w:p>
        </w:tc>
        <w:tc>
          <w:tcPr>
            <w:tcW w:w="0" w:type="auto"/>
          </w:tcPr>
          <w:p w14:paraId="32398F11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Non-Small Cell Lung Cancer</w:t>
            </w:r>
          </w:p>
        </w:tc>
        <w:tc>
          <w:tcPr>
            <w:tcW w:w="0" w:type="auto"/>
          </w:tcPr>
          <w:p w14:paraId="65323FD6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Afatinib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dacomitinib, erlotinib, gefitinib,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osimertinib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Amivantamab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Mobocertinib</w:t>
            </w:r>
            <w:proofErr w:type="spellEnd"/>
          </w:p>
        </w:tc>
      </w:tr>
      <w:tr w:rsidR="00292D86" w:rsidRPr="00292D86" w14:paraId="04D77D26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A569C1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ERBB2</w:t>
            </w:r>
          </w:p>
        </w:tc>
        <w:tc>
          <w:tcPr>
            <w:tcW w:w="0" w:type="auto"/>
          </w:tcPr>
          <w:p w14:paraId="5FD6D48C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Breast cancer, esophagogastric cancer</w:t>
            </w:r>
          </w:p>
        </w:tc>
        <w:tc>
          <w:tcPr>
            <w:tcW w:w="0" w:type="auto"/>
          </w:tcPr>
          <w:p w14:paraId="4FA4EAFB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Trastuzumab, </w:t>
            </w: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Ado-Trastuzumab Emtansine, Lapatinib,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Margetuximab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Trastuzumab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Deruxtecan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Sacituzumab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govitecan</w:t>
            </w:r>
            <w:proofErr w:type="spellEnd"/>
          </w:p>
        </w:tc>
      </w:tr>
      <w:tr w:rsidR="00292D86" w:rsidRPr="00292D86" w14:paraId="663DCBE4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E8C5BD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EZH2</w:t>
            </w:r>
          </w:p>
        </w:tc>
        <w:tc>
          <w:tcPr>
            <w:tcW w:w="0" w:type="auto"/>
          </w:tcPr>
          <w:p w14:paraId="51F6C092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Follicular Lymphoma</w:t>
            </w:r>
          </w:p>
        </w:tc>
        <w:tc>
          <w:tcPr>
            <w:tcW w:w="0" w:type="auto"/>
          </w:tcPr>
          <w:p w14:paraId="024683E0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Tazemetostat</w:t>
            </w:r>
            <w:proofErr w:type="spellEnd"/>
          </w:p>
        </w:tc>
      </w:tr>
      <w:tr w:rsidR="00292D86" w:rsidRPr="00292D86" w14:paraId="0F2A2C63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C3C76A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FGFR2</w:t>
            </w:r>
          </w:p>
        </w:tc>
        <w:tc>
          <w:tcPr>
            <w:tcW w:w="0" w:type="auto"/>
          </w:tcPr>
          <w:p w14:paraId="50C61954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Bladder cancer, cholangiocarcinoma</w:t>
            </w:r>
          </w:p>
        </w:tc>
        <w:tc>
          <w:tcPr>
            <w:tcW w:w="0" w:type="auto"/>
          </w:tcPr>
          <w:p w14:paraId="5AC6940A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Erdafitinib,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Infigratinib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Pemigatinib</w:t>
            </w:r>
            <w:proofErr w:type="spellEnd"/>
          </w:p>
        </w:tc>
      </w:tr>
      <w:tr w:rsidR="00292D86" w:rsidRPr="00292D86" w14:paraId="5E3977E9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F582E4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FGFR3</w:t>
            </w:r>
          </w:p>
        </w:tc>
        <w:tc>
          <w:tcPr>
            <w:tcW w:w="0" w:type="auto"/>
          </w:tcPr>
          <w:p w14:paraId="68AB561E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>Bladder cancer</w:t>
            </w:r>
          </w:p>
        </w:tc>
        <w:tc>
          <w:tcPr>
            <w:tcW w:w="0" w:type="auto"/>
          </w:tcPr>
          <w:p w14:paraId="1013AF51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Erdafitinib</w:t>
            </w:r>
          </w:p>
        </w:tc>
      </w:tr>
      <w:tr w:rsidR="00292D86" w:rsidRPr="00292D86" w14:paraId="56AD074A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BA1C68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FLT3</w:t>
            </w:r>
          </w:p>
        </w:tc>
        <w:tc>
          <w:tcPr>
            <w:tcW w:w="0" w:type="auto"/>
          </w:tcPr>
          <w:p w14:paraId="47E097CC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Acute Myeloid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Leukemia</w:t>
            </w:r>
            <w:proofErr w:type="spellEnd"/>
          </w:p>
        </w:tc>
        <w:tc>
          <w:tcPr>
            <w:tcW w:w="0" w:type="auto"/>
          </w:tcPr>
          <w:p w14:paraId="0E2C5B08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Gilteritinib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Midostaurin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</w:p>
        </w:tc>
      </w:tr>
      <w:tr w:rsidR="00292D86" w:rsidRPr="00292D86" w14:paraId="37AC22E5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FD835D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IDH1</w:t>
            </w:r>
          </w:p>
        </w:tc>
        <w:tc>
          <w:tcPr>
            <w:tcW w:w="0" w:type="auto"/>
          </w:tcPr>
          <w:p w14:paraId="06A56CB1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Cholangiocarcinoma; Acute Myeloid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Leukemia</w:t>
            </w:r>
            <w:proofErr w:type="spellEnd"/>
          </w:p>
        </w:tc>
        <w:tc>
          <w:tcPr>
            <w:tcW w:w="0" w:type="auto"/>
          </w:tcPr>
          <w:p w14:paraId="134776FA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Ivosidenib</w:t>
            </w:r>
            <w:proofErr w:type="spellEnd"/>
          </w:p>
        </w:tc>
      </w:tr>
      <w:tr w:rsidR="00292D86" w:rsidRPr="00292D86" w14:paraId="4BA850BD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C38F5E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IDH2</w:t>
            </w:r>
          </w:p>
        </w:tc>
        <w:tc>
          <w:tcPr>
            <w:tcW w:w="0" w:type="auto"/>
          </w:tcPr>
          <w:p w14:paraId="266003BC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Acute Myeloid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Leukemia</w:t>
            </w:r>
            <w:proofErr w:type="spellEnd"/>
          </w:p>
        </w:tc>
        <w:tc>
          <w:tcPr>
            <w:tcW w:w="0" w:type="auto"/>
          </w:tcPr>
          <w:p w14:paraId="4C7BFD11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Enasidenib</w:t>
            </w:r>
            <w:proofErr w:type="spellEnd"/>
          </w:p>
        </w:tc>
      </w:tr>
      <w:tr w:rsidR="00292D86" w:rsidRPr="00292D86" w14:paraId="777AC686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2E3B27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KIT</w:t>
            </w:r>
          </w:p>
        </w:tc>
        <w:tc>
          <w:tcPr>
            <w:tcW w:w="0" w:type="auto"/>
          </w:tcPr>
          <w:p w14:paraId="6FA00E7F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Gastrointestinal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tumor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mastocytosis</w:t>
            </w:r>
            <w:proofErr w:type="spellEnd"/>
          </w:p>
        </w:tc>
        <w:tc>
          <w:tcPr>
            <w:tcW w:w="0" w:type="auto"/>
          </w:tcPr>
          <w:p w14:paraId="6A591B57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Imatinib, Regorafenib,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Ripretinib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Sunitinib,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Ripretinib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Avapritinib</w:t>
            </w:r>
            <w:proofErr w:type="spellEnd"/>
          </w:p>
        </w:tc>
      </w:tr>
      <w:tr w:rsidR="00292D86" w:rsidRPr="00292D86" w14:paraId="0D7A2672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1EEE6D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KRAS</w:t>
            </w:r>
          </w:p>
        </w:tc>
        <w:tc>
          <w:tcPr>
            <w:tcW w:w="0" w:type="auto"/>
          </w:tcPr>
          <w:p w14:paraId="09ADAD3C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Non-Small Cell Lung Cancer, Colorectal Cancer</w:t>
            </w:r>
          </w:p>
        </w:tc>
        <w:tc>
          <w:tcPr>
            <w:tcW w:w="0" w:type="auto"/>
          </w:tcPr>
          <w:p w14:paraId="66DB7DE8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Sotorasib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, Cetuximab, Panitumumab</w:t>
            </w:r>
          </w:p>
        </w:tc>
      </w:tr>
      <w:tr w:rsidR="00292D86" w:rsidRPr="00292D86" w14:paraId="67D14065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218BE1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MET</w:t>
            </w:r>
          </w:p>
        </w:tc>
        <w:tc>
          <w:tcPr>
            <w:tcW w:w="0" w:type="auto"/>
          </w:tcPr>
          <w:p w14:paraId="7BFFED82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Non-Small Cell Lung Cancer</w:t>
            </w:r>
          </w:p>
        </w:tc>
        <w:tc>
          <w:tcPr>
            <w:tcW w:w="0" w:type="auto"/>
          </w:tcPr>
          <w:p w14:paraId="24478BF7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Capmatinib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Tepotinib</w:t>
            </w:r>
            <w:proofErr w:type="spellEnd"/>
          </w:p>
        </w:tc>
      </w:tr>
      <w:tr w:rsidR="00292D86" w:rsidRPr="00292D86" w14:paraId="6D834D26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A04F56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NTRK1</w:t>
            </w:r>
            <w:r w:rsidRPr="00292D86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NTRK2</w:t>
            </w:r>
            <w:r w:rsidRPr="00292D86">
              <w:rPr>
                <w:rFonts w:ascii="Arial" w:eastAsia="Calibri" w:hAnsi="Arial" w:cs="Arial"/>
                <w:sz w:val="24"/>
                <w:szCs w:val="24"/>
              </w:rPr>
              <w:t>/</w:t>
            </w: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NTRK3</w:t>
            </w:r>
          </w:p>
        </w:tc>
        <w:tc>
          <w:tcPr>
            <w:tcW w:w="0" w:type="auto"/>
          </w:tcPr>
          <w:p w14:paraId="5E107E9E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All Solid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0" w:type="auto"/>
          </w:tcPr>
          <w:p w14:paraId="39D64E36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Entrectinib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, Larotrectinib</w:t>
            </w:r>
          </w:p>
        </w:tc>
      </w:tr>
      <w:tr w:rsidR="00292D86" w:rsidRPr="00292D86" w14:paraId="4FAE7C0B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339B58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Microsatellite instability - high</w:t>
            </w:r>
          </w:p>
        </w:tc>
        <w:tc>
          <w:tcPr>
            <w:tcW w:w="0" w:type="auto"/>
          </w:tcPr>
          <w:p w14:paraId="13DB7895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sz w:val="24"/>
                <w:szCs w:val="24"/>
              </w:rPr>
              <w:t xml:space="preserve">All solid </w:t>
            </w:r>
            <w:proofErr w:type="spellStart"/>
            <w:r w:rsidRPr="00292D86">
              <w:rPr>
                <w:rFonts w:ascii="Arial" w:eastAsia="Calibri" w:hAnsi="Arial" w:cs="Arial"/>
                <w:sz w:val="24"/>
                <w:szCs w:val="24"/>
              </w:rPr>
              <w:t>tumors</w:t>
            </w:r>
            <w:proofErr w:type="spellEnd"/>
            <w:r w:rsidRPr="00292D86">
              <w:rPr>
                <w:rFonts w:ascii="Arial" w:eastAsia="Calibri" w:hAnsi="Arial" w:cs="Arial"/>
                <w:sz w:val="24"/>
                <w:szCs w:val="24"/>
              </w:rPr>
              <w:t>, colorectal cancer</w:t>
            </w:r>
          </w:p>
        </w:tc>
        <w:tc>
          <w:tcPr>
            <w:tcW w:w="0" w:type="auto"/>
          </w:tcPr>
          <w:p w14:paraId="65AD9809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Pembrolizumab, </w:t>
            </w:r>
            <w:proofErr w:type="gram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Ipilimumab ,</w:t>
            </w:r>
            <w:proofErr w:type="gram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 Nivolumab</w:t>
            </w:r>
          </w:p>
        </w:tc>
      </w:tr>
      <w:tr w:rsidR="00292D86" w:rsidRPr="00292D86" w14:paraId="465305E5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D9859D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Tumor</w:t>
            </w:r>
            <w:proofErr w:type="spellEnd"/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 xml:space="preserve"> mutational burden - high</w:t>
            </w:r>
          </w:p>
        </w:tc>
        <w:tc>
          <w:tcPr>
            <w:tcW w:w="0" w:type="auto"/>
          </w:tcPr>
          <w:p w14:paraId="7AE7CD25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All Solid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Tumors</w:t>
            </w:r>
            <w:proofErr w:type="spellEnd"/>
          </w:p>
        </w:tc>
        <w:tc>
          <w:tcPr>
            <w:tcW w:w="0" w:type="auto"/>
          </w:tcPr>
          <w:p w14:paraId="29B6010D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Pembrolizumab</w:t>
            </w:r>
          </w:p>
        </w:tc>
      </w:tr>
      <w:tr w:rsidR="00292D86" w:rsidRPr="00292D86" w14:paraId="26E4997E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16088A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PDGFB</w:t>
            </w:r>
          </w:p>
        </w:tc>
        <w:tc>
          <w:tcPr>
            <w:tcW w:w="0" w:type="auto"/>
          </w:tcPr>
          <w:p w14:paraId="3A529AFB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Dermatofibrosarcoma Protuberans</w:t>
            </w:r>
          </w:p>
        </w:tc>
        <w:tc>
          <w:tcPr>
            <w:tcW w:w="0" w:type="auto"/>
          </w:tcPr>
          <w:p w14:paraId="0E106AF9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Imatinib</w:t>
            </w:r>
          </w:p>
        </w:tc>
      </w:tr>
      <w:tr w:rsidR="00292D86" w:rsidRPr="00292D86" w14:paraId="32246321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E131BE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PDGFRA</w:t>
            </w:r>
          </w:p>
        </w:tc>
        <w:tc>
          <w:tcPr>
            <w:tcW w:w="0" w:type="auto"/>
          </w:tcPr>
          <w:p w14:paraId="1C3E1DFE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Gastrointestinal Stromal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Tumor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Chronic Eosinophilic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Leukemia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, Myelodysplastic/Myeloproliferative Neoplasms</w:t>
            </w:r>
          </w:p>
        </w:tc>
        <w:tc>
          <w:tcPr>
            <w:tcW w:w="0" w:type="auto"/>
          </w:tcPr>
          <w:p w14:paraId="16115631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Avapritinib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, Imatinib</w:t>
            </w:r>
          </w:p>
        </w:tc>
      </w:tr>
      <w:tr w:rsidR="00292D86" w:rsidRPr="00292D86" w14:paraId="0C91F0F8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BADD9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PDGFRB</w:t>
            </w:r>
          </w:p>
        </w:tc>
        <w:tc>
          <w:tcPr>
            <w:tcW w:w="0" w:type="auto"/>
          </w:tcPr>
          <w:p w14:paraId="2A4934E6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Myelodysplastic/Myeloproliferative Neoplasms</w:t>
            </w:r>
          </w:p>
        </w:tc>
        <w:tc>
          <w:tcPr>
            <w:tcW w:w="0" w:type="auto"/>
          </w:tcPr>
          <w:p w14:paraId="557F37F1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imatinib</w:t>
            </w:r>
          </w:p>
        </w:tc>
      </w:tr>
      <w:tr w:rsidR="00292D86" w:rsidRPr="00292D86" w14:paraId="7C917253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D61A75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PIK3CA</w:t>
            </w:r>
          </w:p>
        </w:tc>
        <w:tc>
          <w:tcPr>
            <w:tcW w:w="0" w:type="auto"/>
          </w:tcPr>
          <w:p w14:paraId="11C1D578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Breast Cancer</w:t>
            </w:r>
          </w:p>
        </w:tc>
        <w:tc>
          <w:tcPr>
            <w:tcW w:w="0" w:type="auto"/>
          </w:tcPr>
          <w:p w14:paraId="542723B3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Alpelisib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Fulvestrant</w:t>
            </w:r>
            <w:proofErr w:type="spellEnd"/>
          </w:p>
        </w:tc>
      </w:tr>
      <w:tr w:rsidR="00292D86" w:rsidRPr="00292D86" w14:paraId="7A80D0FD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DBD45C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RET</w:t>
            </w:r>
          </w:p>
        </w:tc>
        <w:tc>
          <w:tcPr>
            <w:tcW w:w="0" w:type="auto"/>
          </w:tcPr>
          <w:p w14:paraId="766EB126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Non-Small Cell Lung Cancer, Thyroid Cancer, Medullary Thyroid Cancer</w:t>
            </w:r>
          </w:p>
        </w:tc>
        <w:tc>
          <w:tcPr>
            <w:tcW w:w="0" w:type="auto"/>
          </w:tcPr>
          <w:p w14:paraId="0F8EF605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Pralsetinib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Selpercatinib</w:t>
            </w:r>
            <w:proofErr w:type="spellEnd"/>
          </w:p>
        </w:tc>
      </w:tr>
      <w:tr w:rsidR="00292D86" w:rsidRPr="00292D86" w14:paraId="109DD03D" w14:textId="77777777" w:rsidTr="0029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DE7C70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ROS1</w:t>
            </w:r>
          </w:p>
        </w:tc>
        <w:tc>
          <w:tcPr>
            <w:tcW w:w="0" w:type="auto"/>
          </w:tcPr>
          <w:p w14:paraId="0458985A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Non-Small Cell Lung Cancer</w:t>
            </w:r>
          </w:p>
        </w:tc>
        <w:tc>
          <w:tcPr>
            <w:tcW w:w="0" w:type="auto"/>
          </w:tcPr>
          <w:p w14:paraId="55D968FF" w14:textId="77777777" w:rsidR="00292D86" w:rsidRPr="00292D86" w:rsidRDefault="00292D86" w:rsidP="00292D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Crizotinib</w:t>
            </w:r>
            <w:proofErr w:type="spellEnd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 xml:space="preserve">, </w:t>
            </w: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Entrectinib</w:t>
            </w:r>
            <w:proofErr w:type="spellEnd"/>
          </w:p>
        </w:tc>
      </w:tr>
      <w:tr w:rsidR="00292D86" w:rsidRPr="00292D86" w14:paraId="166E95DD" w14:textId="77777777" w:rsidTr="00373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4A6039" w14:textId="77777777" w:rsidR="00292D86" w:rsidRPr="00292D86" w:rsidRDefault="00292D86" w:rsidP="00292D86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i/>
                <w:sz w:val="24"/>
                <w:szCs w:val="24"/>
              </w:rPr>
              <w:t>SMARCB1</w:t>
            </w:r>
          </w:p>
        </w:tc>
        <w:tc>
          <w:tcPr>
            <w:tcW w:w="0" w:type="auto"/>
          </w:tcPr>
          <w:p w14:paraId="6D5A16B0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Epithelioid Sarcoma</w:t>
            </w:r>
          </w:p>
        </w:tc>
        <w:tc>
          <w:tcPr>
            <w:tcW w:w="0" w:type="auto"/>
          </w:tcPr>
          <w:p w14:paraId="34254FAE" w14:textId="77777777" w:rsidR="00292D86" w:rsidRPr="00292D86" w:rsidRDefault="00292D86" w:rsidP="00292D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212529"/>
                <w:sz w:val="24"/>
                <w:szCs w:val="24"/>
              </w:rPr>
            </w:pPr>
            <w:proofErr w:type="spellStart"/>
            <w:r w:rsidRPr="00292D86">
              <w:rPr>
                <w:rFonts w:ascii="Arial" w:eastAsia="Calibri" w:hAnsi="Arial" w:cs="Arial"/>
                <w:color w:val="212529"/>
                <w:sz w:val="24"/>
                <w:szCs w:val="24"/>
              </w:rPr>
              <w:t>Tazemetostat</w:t>
            </w:r>
            <w:proofErr w:type="spellEnd"/>
          </w:p>
        </w:tc>
      </w:tr>
    </w:tbl>
    <w:p w14:paraId="2B77F5FC" w14:textId="77777777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92D86">
        <w:rPr>
          <w:rFonts w:ascii="Arial" w:eastAsia="Calibri" w:hAnsi="Arial" w:cs="Arial"/>
          <w:sz w:val="24"/>
          <w:szCs w:val="24"/>
        </w:rPr>
        <w:t>*The list of drugs is not exhaustive, and some drugs may be used in combination, including with conventional chemotherapeutic agents or immune checkpoint inhibitors.</w:t>
      </w:r>
    </w:p>
    <w:p w14:paraId="34248EF4" w14:textId="3A4BED0F" w:rsidR="00292D86" w:rsidRPr="00292D86" w:rsidRDefault="00292D86" w:rsidP="00292D8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92D86">
        <w:rPr>
          <w:rFonts w:ascii="Arial" w:eastAsia="Calibri" w:hAnsi="Arial" w:cs="Arial"/>
          <w:sz w:val="24"/>
          <w:szCs w:val="24"/>
        </w:rPr>
        <w:t xml:space="preserve">Adapted from the Oncology Knowledge Base (https://www.oncokb.org/actionableGenes#levels=1&amp;sections=Tx) and from </w:t>
      </w:r>
      <w:r w:rsidRPr="00292D86">
        <w:rPr>
          <w:rFonts w:ascii="Arial" w:eastAsia="Calibri" w:hAnsi="Arial" w:cs="Arial"/>
          <w:noProof/>
          <w:sz w:val="24"/>
          <w:szCs w:val="24"/>
        </w:rPr>
        <w:t xml:space="preserve">Chakravarty </w:t>
      </w:r>
      <w:r w:rsidRPr="00292D86">
        <w:rPr>
          <w:rFonts w:ascii="Arial" w:eastAsia="Calibri" w:hAnsi="Arial" w:cs="Arial"/>
          <w:i/>
          <w:iCs/>
          <w:noProof/>
          <w:sz w:val="24"/>
          <w:szCs w:val="24"/>
        </w:rPr>
        <w:t>et al</w:t>
      </w:r>
      <w:r>
        <w:rPr>
          <w:rFonts w:ascii="Arial" w:eastAsia="Calibri" w:hAnsi="Arial" w:cs="Arial"/>
          <w:noProof/>
          <w:sz w:val="24"/>
          <w:szCs w:val="24"/>
        </w:rPr>
        <w:t xml:space="preserve"> (</w:t>
      </w:r>
      <w:r w:rsidRPr="00292D86">
        <w:rPr>
          <w:rFonts w:ascii="Arial" w:eastAsia="Calibri" w:hAnsi="Arial" w:cs="Arial"/>
          <w:noProof/>
          <w:sz w:val="24"/>
          <w:szCs w:val="24"/>
        </w:rPr>
        <w:t xml:space="preserve">OncoKB: A Precision Oncology Knowledge Base. </w:t>
      </w:r>
      <w:r w:rsidRPr="00292D86">
        <w:rPr>
          <w:rFonts w:ascii="Arial" w:eastAsia="Calibri" w:hAnsi="Arial" w:cs="Arial"/>
          <w:i/>
          <w:noProof/>
          <w:sz w:val="24"/>
          <w:szCs w:val="24"/>
        </w:rPr>
        <w:t>JCO Precision Oncology</w:t>
      </w:r>
      <w:r w:rsidRPr="00292D86">
        <w:rPr>
          <w:rFonts w:ascii="Arial" w:eastAsia="Calibri" w:hAnsi="Arial" w:cs="Arial"/>
          <w:noProof/>
          <w:sz w:val="24"/>
          <w:szCs w:val="24"/>
        </w:rPr>
        <w:t>, 1-16 (2017)</w:t>
      </w:r>
      <w:r>
        <w:rPr>
          <w:rFonts w:ascii="Arial" w:eastAsia="Calibri" w:hAnsi="Arial" w:cs="Arial"/>
          <w:noProof/>
          <w:sz w:val="24"/>
          <w:szCs w:val="24"/>
        </w:rPr>
        <w:t>).</w:t>
      </w:r>
      <w:r w:rsidRPr="00292D86">
        <w:rPr>
          <w:rFonts w:ascii="Arial" w:eastAsia="Calibri" w:hAnsi="Arial" w:cs="Arial"/>
          <w:sz w:val="24"/>
          <w:szCs w:val="24"/>
        </w:rPr>
        <w:br w:type="page"/>
      </w:r>
    </w:p>
    <w:p w14:paraId="2CC3A7BF" w14:textId="6F37231A" w:rsidR="009D7FA9" w:rsidRPr="00171F57" w:rsidRDefault="009D7FA9" w:rsidP="009D7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1F57">
        <w:rPr>
          <w:rFonts w:ascii="Arial" w:hAnsi="Arial" w:cs="Arial"/>
          <w:b/>
          <w:bCs/>
          <w:sz w:val="24"/>
          <w:szCs w:val="24"/>
        </w:rPr>
        <w:lastRenderedPageBreak/>
        <w:t xml:space="preserve">Figure </w:t>
      </w:r>
      <w:r>
        <w:rPr>
          <w:rFonts w:ascii="Arial" w:hAnsi="Arial" w:cs="Arial"/>
          <w:b/>
          <w:bCs/>
          <w:sz w:val="24"/>
          <w:szCs w:val="24"/>
        </w:rPr>
        <w:t>S1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171F57">
        <w:rPr>
          <w:rFonts w:ascii="Arial" w:hAnsi="Arial" w:cs="Arial"/>
          <w:b/>
          <w:bCs/>
          <w:sz w:val="24"/>
          <w:szCs w:val="24"/>
        </w:rPr>
        <w:t>Factors to be considered in the development of multifactorial algorithms to enable personalisation of drug choice and drug dose.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1F57">
        <w:rPr>
          <w:rFonts w:ascii="Arial" w:hAnsi="Arial" w:cs="Arial"/>
          <w:sz w:val="24"/>
          <w:szCs w:val="24"/>
        </w:rPr>
        <w:t>The response to a drug, be it efficacy or safety, is dependent on many factors</w:t>
      </w:r>
      <w:r>
        <w:rPr>
          <w:rFonts w:ascii="Arial" w:hAnsi="Arial" w:cs="Arial"/>
          <w:sz w:val="24"/>
          <w:szCs w:val="24"/>
        </w:rPr>
        <w:t>,</w:t>
      </w:r>
      <w:r w:rsidRPr="00171F57">
        <w:rPr>
          <w:rFonts w:ascii="Arial" w:hAnsi="Arial" w:cs="Arial"/>
          <w:sz w:val="24"/>
          <w:szCs w:val="24"/>
        </w:rPr>
        <w:t xml:space="preserve"> including genomic factors.</w:t>
      </w:r>
      <w:r>
        <w:rPr>
          <w:rFonts w:ascii="Arial" w:hAnsi="Arial" w:cs="Arial"/>
          <w:sz w:val="24"/>
          <w:szCs w:val="24"/>
        </w:rPr>
        <w:t xml:space="preserve"> </w:t>
      </w:r>
      <w:r w:rsidRPr="00171F57">
        <w:rPr>
          <w:rFonts w:ascii="Arial" w:hAnsi="Arial" w:cs="Arial"/>
          <w:sz w:val="24"/>
          <w:szCs w:val="24"/>
        </w:rPr>
        <w:t xml:space="preserve">The contribution of each of these factors will vary </w:t>
      </w:r>
      <w:r>
        <w:rPr>
          <w:rFonts w:ascii="Arial" w:hAnsi="Arial" w:cs="Arial"/>
          <w:sz w:val="24"/>
          <w:szCs w:val="24"/>
        </w:rPr>
        <w:t xml:space="preserve">for different </w:t>
      </w:r>
      <w:r w:rsidRPr="00171F57">
        <w:rPr>
          <w:rFonts w:ascii="Arial" w:hAnsi="Arial" w:cs="Arial"/>
          <w:sz w:val="24"/>
          <w:szCs w:val="24"/>
        </w:rPr>
        <w:t>drug</w:t>
      </w:r>
      <w:r>
        <w:rPr>
          <w:rFonts w:ascii="Arial" w:hAnsi="Arial" w:cs="Arial"/>
          <w:sz w:val="24"/>
          <w:szCs w:val="24"/>
        </w:rPr>
        <w:t>s</w:t>
      </w:r>
      <w:r w:rsidRPr="00171F5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between </w:t>
      </w:r>
      <w:proofErr w:type="gramStart"/>
      <w:r w:rsidRPr="00171F57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>s</w:t>
      </w:r>
      <w:r w:rsidRPr="00171F57">
        <w:rPr>
          <w:rFonts w:ascii="Arial" w:hAnsi="Arial" w:cs="Arial"/>
          <w:sz w:val="24"/>
          <w:szCs w:val="24"/>
        </w:rPr>
        <w:t>, and</w:t>
      </w:r>
      <w:proofErr w:type="gramEnd"/>
      <w:r w:rsidRPr="00171F57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s</w:t>
      </w:r>
      <w:r w:rsidRPr="00171F57">
        <w:rPr>
          <w:rFonts w:ascii="Arial" w:hAnsi="Arial" w:cs="Arial"/>
          <w:sz w:val="24"/>
          <w:szCs w:val="24"/>
        </w:rPr>
        <w:t xml:space="preserve"> to considered in the develo</w:t>
      </w:r>
      <w:r>
        <w:rPr>
          <w:rFonts w:ascii="Arial" w:hAnsi="Arial" w:cs="Arial"/>
          <w:sz w:val="24"/>
          <w:szCs w:val="24"/>
        </w:rPr>
        <w:t>pment of multimodal algorithms.</w:t>
      </w:r>
    </w:p>
    <w:p w14:paraId="21496276" w14:textId="77777777" w:rsidR="00292D86" w:rsidRDefault="00292D86"/>
    <w:p w14:paraId="6808F239" w14:textId="62304434" w:rsidR="00292D86" w:rsidRDefault="009D7FA9">
      <w:r w:rsidRPr="009D7FA9">
        <w:drawing>
          <wp:inline distT="0" distB="0" distL="0" distR="0" wp14:anchorId="70B56324" wp14:editId="1F93367F">
            <wp:extent cx="5731510" cy="4100195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C2D5" w14:textId="2F11682A" w:rsidR="00292D86" w:rsidRDefault="00292D86"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292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9v52axv2p59skeaeza5d5vepww5saat9pa0&quot;&gt;PDF2&lt;record-ids&gt;&lt;item&gt;3307&lt;/item&gt;&lt;/record-ids&gt;&lt;/item&gt;&lt;/Libraries&gt;"/>
  </w:docVars>
  <w:rsids>
    <w:rsidRoot w:val="00292D86"/>
    <w:rsid w:val="00292D86"/>
    <w:rsid w:val="007A7348"/>
    <w:rsid w:val="009D7FA9"/>
    <w:rsid w:val="00F7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DFF5"/>
  <w15:chartTrackingRefBased/>
  <w15:docId w15:val="{F9FC6451-1338-42BE-88D8-F997068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D86"/>
    <w:rPr>
      <w:color w:val="605E5C"/>
      <w:shd w:val="clear" w:color="auto" w:fill="E1DFDD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292D8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292D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92D8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2D8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92D86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92D8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unirp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Pirmohamed, Munir</dc:creator>
  <cp:keywords/>
  <dc:description/>
  <cp:lastModifiedBy>Pirmohamed, Munir</cp:lastModifiedBy>
  <cp:revision>1</cp:revision>
  <dcterms:created xsi:type="dcterms:W3CDTF">2022-12-04T22:23:00Z</dcterms:created>
  <dcterms:modified xsi:type="dcterms:W3CDTF">2022-12-04T23:03:00Z</dcterms:modified>
</cp:coreProperties>
</file>