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A33F" w14:textId="4E8CFF3B" w:rsidR="00C60C22" w:rsidRPr="004476F3" w:rsidRDefault="005E194D" w:rsidP="00C60C22">
      <w:pPr>
        <w:jc w:val="center"/>
        <w:rPr>
          <w:rFonts w:ascii="MinionPro" w:eastAsia="Times New Roman" w:hAnsi="MinionPro" w:cs="Times New Roman"/>
          <w:b/>
          <w:sz w:val="28"/>
          <w:szCs w:val="28"/>
          <w:lang w:eastAsia="es-ES_tradnl"/>
        </w:rPr>
      </w:pPr>
      <w:bookmarkStart w:id="0" w:name="_GoBack"/>
      <w:bookmarkEnd w:id="0"/>
      <w:proofErr w:type="spellStart"/>
      <w:r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Doravirine</w:t>
      </w:r>
      <w:proofErr w:type="spellEnd"/>
      <w:r w:rsidR="004273FE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 </w:t>
      </w:r>
      <w:r w:rsidR="00036803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A</w:t>
      </w:r>
      <w:r w:rsidR="00C60C22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chieves </w:t>
      </w:r>
      <w:r w:rsidR="00036803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H</w:t>
      </w:r>
      <w:r w:rsidR="00C60C22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igh </w:t>
      </w:r>
      <w:r w:rsidR="00036803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CSF E</w:t>
      </w:r>
      <w:r w:rsidR="00C60C22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xposure and </w:t>
      </w:r>
      <w:r w:rsidR="004273FE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is </w:t>
      </w:r>
      <w:r w:rsidR="00036803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M</w:t>
      </w:r>
      <w:r w:rsidR="004273FE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ostly </w:t>
      </w:r>
      <w:r w:rsidR="00036803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U</w:t>
      </w:r>
      <w:r w:rsidR="004273FE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nbound</w:t>
      </w:r>
      <w:r w:rsidR="00C60C22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 xml:space="preserve"> </w:t>
      </w:r>
      <w:r w:rsidR="00036803" w:rsidRPr="004476F3">
        <w:rPr>
          <w:rFonts w:ascii="MinionPro" w:eastAsia="Times New Roman" w:hAnsi="MinionPro" w:cs="Times New Roman"/>
          <w:b/>
          <w:sz w:val="28"/>
          <w:szCs w:val="28"/>
          <w:lang w:eastAsia="es-ES_tradnl"/>
        </w:rPr>
        <w:t>to Proteins</w:t>
      </w:r>
    </w:p>
    <w:p w14:paraId="0099595D" w14:textId="32615A17" w:rsidR="00800C46" w:rsidRPr="004476F3" w:rsidRDefault="005E194D" w:rsidP="00C60C22">
      <w:pPr>
        <w:jc w:val="center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(Spanish HIV/AIDS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ResearchNetwork</w:t>
      </w:r>
      <w:proofErr w:type="spellEnd"/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PreEC</w:t>
      </w:r>
      <w:proofErr w:type="spellEnd"/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/RIS65)</w:t>
      </w:r>
    </w:p>
    <w:p w14:paraId="1606047A" w14:textId="52A7BF7D" w:rsidR="005E194D" w:rsidRPr="004476F3" w:rsidRDefault="005E194D" w:rsidP="00036803">
      <w:pPr>
        <w:jc w:val="center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Tiraboschi JM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, Scévola S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, Penchala SD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2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, Else L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2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, Prieto P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, Saumoy M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="00C5425B"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Imaz A</w:t>
      </w:r>
      <w:r w:rsidR="00C5425B"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  <w:r w:rsidR="00C5425B"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="00DA217F">
        <w:rPr>
          <w:rFonts w:ascii="MinionPro" w:eastAsia="Times New Roman" w:hAnsi="MinionPro" w:cs="Times New Roman"/>
          <w:sz w:val="20"/>
          <w:szCs w:val="20"/>
          <w:lang w:eastAsia="es-ES_tradnl"/>
        </w:rPr>
        <w:t>Silva A.</w:t>
      </w:r>
      <w:r w:rsidR="00DA217F"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 xml:space="preserve"> 1</w:t>
      </w:r>
      <w:r w:rsidR="00DA217F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Niubó</w:t>
      </w:r>
      <w:proofErr w:type="spellEnd"/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J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3</w:t>
      </w:r>
      <w:r w:rsidR="00DA217F">
        <w:rPr>
          <w:rFonts w:ascii="MinionPro" w:eastAsia="Times New Roman" w:hAnsi="MinionPro" w:cs="Times New Roman"/>
          <w:sz w:val="20"/>
          <w:szCs w:val="20"/>
          <w:lang w:eastAsia="es-ES_tradnl"/>
        </w:rPr>
        <w:t>, Soriano I.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, Khoo S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2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="009D46B7">
        <w:rPr>
          <w:rFonts w:ascii="MinionPro" w:eastAsia="Times New Roman" w:hAnsi="MinionPro" w:cs="Times New Roman"/>
          <w:sz w:val="20"/>
          <w:szCs w:val="20"/>
          <w:lang w:eastAsia="es-ES_tradnl"/>
        </w:rPr>
        <w:t>Rigo-Bonin R.</w:t>
      </w:r>
      <w:r w:rsidR="009D46B7" w:rsidRPr="009D46B7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4</w:t>
      </w:r>
      <w:r w:rsidR="009D46B7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Pr="004476F3">
        <w:rPr>
          <w:rFonts w:ascii="MinionPro" w:eastAsia="Times New Roman" w:hAnsi="MinionPro" w:cs="Times New Roman"/>
          <w:sz w:val="20"/>
          <w:szCs w:val="20"/>
          <w:lang w:eastAsia="es-ES_tradnl"/>
        </w:rPr>
        <w:t>Podzamczer D</w:t>
      </w:r>
      <w:r w:rsidRPr="00DA217F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1</w:t>
      </w:r>
    </w:p>
    <w:p w14:paraId="7FE67EEE" w14:textId="634466AA" w:rsidR="005E194D" w:rsidRPr="004476F3" w:rsidRDefault="005E194D" w:rsidP="0054172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MinionPro" w:eastAsia="Times New Roman" w:hAnsi="MinionPro" w:cs="Times New Roman"/>
          <w:sz w:val="20"/>
          <w:szCs w:val="20"/>
          <w:lang w:val="en-US" w:eastAsia="es-ES_tradnl"/>
        </w:rPr>
      </w:pPr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HIV</w:t>
      </w:r>
      <w:r w:rsidR="009D46B7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</w:t>
      </w:r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and STI Unit. Infectious Disease Service. </w:t>
      </w:r>
      <w:r w:rsidRPr="00DA217F">
        <w:rPr>
          <w:rFonts w:ascii="MinionPro" w:eastAsia="Times New Roman" w:hAnsi="MinionPro" w:cs="Times New Roman"/>
          <w:sz w:val="20"/>
          <w:szCs w:val="20"/>
          <w:lang w:val="es-AR" w:eastAsia="es-ES_tradnl"/>
        </w:rPr>
        <w:t xml:space="preserve">Hospital Universitari de Bellvitge-IDIBELL. Universitat de Barcelona.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L’Hospitalet</w:t>
      </w:r>
      <w:proofErr w:type="spellEnd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de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Llobregat</w:t>
      </w:r>
      <w:proofErr w:type="spellEnd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( Barcelona, Spain) </w:t>
      </w:r>
    </w:p>
    <w:p w14:paraId="48A06829" w14:textId="77777777" w:rsidR="005E194D" w:rsidRPr="004476F3" w:rsidRDefault="005E194D" w:rsidP="0054172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MinionPro" w:eastAsia="Times New Roman" w:hAnsi="MinionPro" w:cs="Times New Roman"/>
          <w:sz w:val="20"/>
          <w:szCs w:val="20"/>
          <w:lang w:val="en-US" w:eastAsia="es-ES_tradnl"/>
        </w:rPr>
      </w:pPr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University of Liverpool, Liverpool, UK</w:t>
      </w:r>
    </w:p>
    <w:p w14:paraId="77B82C99" w14:textId="77777777" w:rsidR="008E4A70" w:rsidRPr="004476F3" w:rsidRDefault="005E194D" w:rsidP="0054172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MinionPro" w:eastAsia="Times New Roman" w:hAnsi="MinionPro" w:cs="Times New Roman"/>
          <w:sz w:val="20"/>
          <w:szCs w:val="20"/>
          <w:lang w:val="en-US" w:eastAsia="es-ES_tradnl"/>
        </w:rPr>
      </w:pPr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Microbiology Service. Hospital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Universitari</w:t>
      </w:r>
      <w:proofErr w:type="spellEnd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de </w:t>
      </w:r>
      <w:proofErr w:type="spellStart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Bellvit</w:t>
      </w:r>
      <w:r w:rsidR="00541726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ge</w:t>
      </w:r>
      <w:proofErr w:type="spellEnd"/>
      <w:r w:rsidR="00541726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. </w:t>
      </w:r>
      <w:proofErr w:type="spellStart"/>
      <w:r w:rsidR="00541726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L’Hospitalet</w:t>
      </w:r>
      <w:proofErr w:type="spellEnd"/>
      <w:r w:rsidR="00541726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de </w:t>
      </w:r>
      <w:proofErr w:type="spellStart"/>
      <w:r w:rsidR="00541726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Llobregat</w:t>
      </w:r>
      <w:proofErr w:type="spellEnd"/>
      <w:r w:rsidR="00541726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</w:t>
      </w:r>
    </w:p>
    <w:p w14:paraId="7035CD8C" w14:textId="458B1AAE" w:rsidR="009D46B7" w:rsidRDefault="00541726" w:rsidP="009D46B7">
      <w:pPr>
        <w:pStyle w:val="ListParagraph"/>
        <w:spacing w:line="480" w:lineRule="auto"/>
        <w:ind w:left="714"/>
        <w:jc w:val="both"/>
        <w:rPr>
          <w:rFonts w:ascii="MinionPro" w:eastAsia="Times New Roman" w:hAnsi="MinionPro" w:cs="Times New Roman"/>
          <w:sz w:val="20"/>
          <w:szCs w:val="20"/>
          <w:lang w:val="en-US" w:eastAsia="es-ES_tradnl"/>
        </w:rPr>
      </w:pPr>
      <w:proofErr w:type="gramStart"/>
      <w:r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( </w:t>
      </w:r>
      <w:r w:rsidR="005E194D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Barcelona</w:t>
      </w:r>
      <w:proofErr w:type="gramEnd"/>
      <w:r w:rsidR="005E194D" w:rsidRPr="004476F3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, Spain)</w:t>
      </w:r>
    </w:p>
    <w:p w14:paraId="3B7CB81D" w14:textId="7B909E62" w:rsidR="009D46B7" w:rsidRPr="009D46B7" w:rsidRDefault="009D46B7" w:rsidP="009D46B7">
      <w:pPr>
        <w:pStyle w:val="ListParagraph"/>
        <w:numPr>
          <w:ilvl w:val="0"/>
          <w:numId w:val="1"/>
        </w:numPr>
        <w:spacing w:after="0" w:line="240" w:lineRule="auto"/>
        <w:rPr>
          <w:rFonts w:ascii="MinionPro" w:eastAsia="Times New Roman" w:hAnsi="MinionPro" w:cs="Times New Roman"/>
          <w:sz w:val="20"/>
          <w:szCs w:val="20"/>
          <w:lang w:val="en-US" w:eastAsia="es-ES_tradnl"/>
        </w:rPr>
      </w:pPr>
      <w:r w:rsidRPr="009D46B7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Pharmacology Service, </w:t>
      </w:r>
      <w:proofErr w:type="spellStart"/>
      <w:r w:rsidRPr="009D46B7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Bellvitge</w:t>
      </w:r>
      <w:proofErr w:type="spellEnd"/>
      <w:r w:rsidRPr="009D46B7"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 xml:space="preserve"> University Hospital, Barcelona, Spain</w:t>
      </w:r>
      <w:r>
        <w:rPr>
          <w:rFonts w:ascii="MinionPro" w:eastAsia="Times New Roman" w:hAnsi="MinionPro" w:cs="Times New Roman"/>
          <w:sz w:val="20"/>
          <w:szCs w:val="20"/>
          <w:lang w:val="en-US" w:eastAsia="es-ES_tradnl"/>
        </w:rPr>
        <w:t>.</w:t>
      </w:r>
    </w:p>
    <w:p w14:paraId="048B6470" w14:textId="009E6D54" w:rsidR="009D46B7" w:rsidRPr="009D46B7" w:rsidRDefault="009D46B7" w:rsidP="009D46B7">
      <w:pPr>
        <w:pStyle w:val="ListParagraph"/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</w:p>
    <w:p w14:paraId="0FDA8FDF" w14:textId="77777777" w:rsidR="009D46B7" w:rsidRPr="009D46B7" w:rsidRDefault="009D46B7" w:rsidP="009D46B7">
      <w:pPr>
        <w:pStyle w:val="ListParagraph"/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</w:p>
    <w:p w14:paraId="63FE0593" w14:textId="77777777" w:rsidR="009D46B7" w:rsidRPr="004476F3" w:rsidRDefault="009D46B7" w:rsidP="008E4A70">
      <w:pPr>
        <w:pStyle w:val="ListParagraph"/>
        <w:spacing w:line="480" w:lineRule="auto"/>
        <w:ind w:left="714"/>
        <w:jc w:val="both"/>
        <w:rPr>
          <w:rFonts w:ascii="MinionPro" w:eastAsia="Times New Roman" w:hAnsi="MinionPro" w:cs="Times New Roman"/>
          <w:sz w:val="20"/>
          <w:szCs w:val="20"/>
          <w:lang w:val="en-US" w:eastAsia="es-ES_tradnl"/>
        </w:rPr>
      </w:pPr>
    </w:p>
    <w:p w14:paraId="4B9A01B2" w14:textId="560BB7D4" w:rsidR="00786684" w:rsidRPr="004273FE" w:rsidRDefault="00C74A45" w:rsidP="00A556EC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C92298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Abstract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br/>
        <w:t xml:space="preserve">We determined total and unbound concentrations of </w:t>
      </w:r>
      <w:proofErr w:type="spellStart"/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(DOR) in cerebrospinal fluid (CSF) in 15 asymptomatic,</w:t>
      </w:r>
      <w:r w:rsidR="00391AD7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HIV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virologically suppressed patients. The median (range) plasma and CSF total DOR conce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ntrations were 417.6 ng/mL (169.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5–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942.2) and 58,6 ng/mL (23.2–127.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3), respectively. Median (range) plasma and CSF un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bound DOR concentration were 53.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5 ng/mL (21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.3–115.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5)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 44.6 ng/mL (14.</w:t>
      </w:r>
      <w:r w:rsidR="00A556E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9-1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05.</w:t>
      </w:r>
      <w:r w:rsidR="00A556E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0)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 Total and unbound DOR concentrations in CSF exceeded the EC</w:t>
      </w:r>
      <w:r w:rsidR="00786684" w:rsidRPr="00DA217F">
        <w:rPr>
          <w:rFonts w:ascii="MinionPro" w:eastAsia="Times New Roman" w:hAnsi="MinionPro" w:cs="Times New Roman"/>
          <w:sz w:val="20"/>
          <w:szCs w:val="20"/>
          <w:vertAlign w:val="subscript"/>
          <w:lang w:eastAsia="es-ES_tradnl"/>
        </w:rPr>
        <w:t>50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value against wild-type virus (5.1 ng/mL) in all subjects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78668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suggesting that DOR may contribute to inhibit viral replication in this compartment.</w:t>
      </w:r>
    </w:p>
    <w:p w14:paraId="6E3FE4D9" w14:textId="4ED6B3C5" w:rsidR="00786684" w:rsidRPr="004273FE" w:rsidRDefault="00786684" w:rsidP="00786684">
      <w:pPr>
        <w:spacing w:line="480" w:lineRule="auto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866390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 xml:space="preserve">Keywords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br/>
      </w:r>
      <w:proofErr w:type="spell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; CNS; </w:t>
      </w:r>
      <w:r w:rsidR="00C92298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CSF;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concentrations; unbound</w:t>
      </w:r>
      <w:r w:rsidR="009C639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; HIV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</w:p>
    <w:p w14:paraId="243B5B36" w14:textId="77777777" w:rsidR="00C74A45" w:rsidRPr="004273FE" w:rsidRDefault="00C74A45" w:rsidP="005E194D">
      <w:pPr>
        <w:spacing w:line="480" w:lineRule="auto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br/>
      </w:r>
    </w:p>
    <w:p w14:paraId="1426DC32" w14:textId="18568232" w:rsidR="00786684" w:rsidRPr="004273FE" w:rsidRDefault="009D46B7" w:rsidP="005E194D">
      <w:pPr>
        <w:spacing w:line="480" w:lineRule="auto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proofErr w:type="spellStart"/>
      <w:r>
        <w:rPr>
          <w:rFonts w:ascii="MinionPro" w:eastAsia="Times New Roman" w:hAnsi="MinionPro" w:cs="Times New Roman"/>
          <w:sz w:val="20"/>
          <w:szCs w:val="20"/>
          <w:lang w:eastAsia="es-ES_tradnl"/>
        </w:rPr>
        <w:t>Correspondance</w:t>
      </w:r>
      <w:proofErr w:type="spellEnd"/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to: </w:t>
      </w:r>
      <w:hyperlink r:id="rId5" w:history="1">
        <w:r w:rsidRPr="00FA0379">
          <w:rPr>
            <w:rStyle w:val="Hyperlink"/>
            <w:rFonts w:ascii="MinionPro" w:eastAsia="Times New Roman" w:hAnsi="MinionPro" w:cs="Times New Roman"/>
            <w:sz w:val="20"/>
            <w:szCs w:val="20"/>
            <w:lang w:eastAsia="es-ES_tradnl"/>
          </w:rPr>
          <w:t>jmtiraboschi@bellvitgehospital.cat</w:t>
        </w:r>
      </w:hyperlink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</w:p>
    <w:p w14:paraId="31DA18C5" w14:textId="77777777" w:rsidR="00C74A45" w:rsidRPr="006B1EE7" w:rsidRDefault="00C74A45" w:rsidP="00D833BB">
      <w:pPr>
        <w:spacing w:line="480" w:lineRule="auto"/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</w:pPr>
      <w:r w:rsidRPr="006B1EE7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lastRenderedPageBreak/>
        <w:t>Background</w:t>
      </w:r>
    </w:p>
    <w:p w14:paraId="01A08BE2" w14:textId="1F383EC2" w:rsidR="007833CE" w:rsidRPr="004273FE" w:rsidRDefault="00335E90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Curren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antiretroviral therapy (</w:t>
      </w:r>
      <w:proofErr w:type="spellStart"/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ART</w:t>
      </w:r>
      <w:proofErr w:type="spellEnd"/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) has demonstrated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to be 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high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ly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effectiv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 safe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for the treatment of people living with </w:t>
      </w:r>
      <w:r w:rsidR="0013576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human immunodeficiency virus and/or acquired immunodeficiency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13576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syndrome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(PLWHA)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Available </w:t>
      </w:r>
      <w:proofErr w:type="spellStart"/>
      <w:r w:rsidR="0065234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ART</w:t>
      </w:r>
      <w:proofErr w:type="spellEnd"/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combinations m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aintain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HIV 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viral load suppressed </w:t>
      </w:r>
      <w:r w:rsidR="005417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 blood plasma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in almost all situations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This has contributed 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to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reduce morbidity and mortality rates as well as 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improve people's quality of life. However, even in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well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treated patients,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limited diffusion of some antiretrovirals through the natural barriers (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such as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the blood-brain barrier) may allow HIV to persist and replicate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within these </w:t>
      </w:r>
      <w:proofErr w:type="gramStart"/>
      <w:r w:rsidR="007833CE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compartments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>[</w:t>
      </w:r>
      <w:proofErr w:type="gramEnd"/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>1]</w:t>
      </w:r>
      <w:r w:rsidR="007833CE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</w:p>
    <w:p w14:paraId="50879206" w14:textId="79482D44" w:rsidR="0065234A" w:rsidRPr="004273FE" w:rsidRDefault="00C74A45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proofErr w:type="spell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(DOR)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is a new HIV-1 non-nucleoside reverse transcriptase inhibitor (NNRTI) that has demonstrated a good efficacy and safety profile in clinical trials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[2]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  <w:proofErr w:type="gramStart"/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DOR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inhibit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</w:t>
      </w:r>
      <w:proofErr w:type="gramEnd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viral replication of both wild-type virus a</w:t>
      </w:r>
      <w:r w:rsidR="0048270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nd most common NNRTI variants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Initial pharmacokinetic studies demonstrated a time to maximal 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oncentration of 1–5 h, not extensive binding to plasma proteins (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76%)</w:t>
      </w:r>
      <w:r w:rsidR="0065234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poor solubility in </w:t>
      </w:r>
      <w:r w:rsidR="0065234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water.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 animal models, the tissue distribution was assessed using 14C-labelled DOR. Low levels of radioactivity were observed in the brain suggesting that D</w:t>
      </w:r>
      <w:r w:rsidR="009E4BD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OR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does not readily cross the blood-brain</w:t>
      </w:r>
      <w:r w:rsidR="00022A6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proofErr w:type="gramStart"/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barrier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>[</w:t>
      </w:r>
      <w:proofErr w:type="gramEnd"/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>3]</w:t>
      </w:r>
      <w:r w:rsidR="009B7DE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</w:p>
    <w:p w14:paraId="16F516A9" w14:textId="6AC00BC0" w:rsidR="00C74A45" w:rsidRPr="004273FE" w:rsidRDefault="009B7DE7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 this study, we sought to evaluate the</w:t>
      </w:r>
      <w:r w:rsidR="00D03B75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pharmacokinetics of DOR in cerebrospinal fluid (CSF)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of HIV-infected individuals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and its relationship with CSF vi</w:t>
      </w:r>
      <w:r w:rsidR="0065234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r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al suppression</w:t>
      </w:r>
      <w:r w:rsidR="00B21D6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</w:p>
    <w:p w14:paraId="537303BF" w14:textId="58186C86" w:rsidR="008C3538" w:rsidRPr="005E1413" w:rsidRDefault="00360C90" w:rsidP="00D833BB">
      <w:pPr>
        <w:spacing w:line="480" w:lineRule="auto"/>
        <w:rPr>
          <w:rFonts w:ascii="MinionPro" w:eastAsia="Times New Roman" w:hAnsi="MinionPro" w:cs="Times New Roman"/>
          <w:b/>
          <w:bCs/>
          <w:sz w:val="20"/>
          <w:szCs w:val="20"/>
          <w:lang w:val="es-ES" w:eastAsia="es-ES_tradnl"/>
        </w:rPr>
      </w:pPr>
      <w:proofErr w:type="spellStart"/>
      <w:r w:rsidRPr="005E1413">
        <w:rPr>
          <w:rFonts w:ascii="MinionPro" w:eastAsia="Times New Roman" w:hAnsi="MinionPro" w:cs="Times New Roman"/>
          <w:b/>
          <w:bCs/>
          <w:sz w:val="20"/>
          <w:szCs w:val="20"/>
          <w:lang w:val="es-ES" w:eastAsia="es-ES_tradnl"/>
        </w:rPr>
        <w:t>Methods</w:t>
      </w:r>
      <w:proofErr w:type="spellEnd"/>
    </w:p>
    <w:p w14:paraId="0C41B2CE" w14:textId="35F501B1" w:rsidR="00A2213C" w:rsidRPr="00AC2339" w:rsidRDefault="008C3538" w:rsidP="00A2213C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This is a single-arm, open-label, single-cent</w:t>
      </w:r>
      <w:r w:rsidR="007833CE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re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study. 15 asymptomatic HIV-infected virologically suppressed adult patients were selected and enrolled from our HIV outpatient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clinic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All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participant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witched from stable ART to DOR plus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Emtricitabine (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FTC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)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/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Tenofovir Alafenamide (TAF).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After 4 weeks, total and unbound </w:t>
      </w:r>
      <w:r w:rsidR="0014178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DOR concentrations in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blood 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plasma, as well as C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F, were measured 24 hours </w:t>
      </w:r>
      <w:proofErr w:type="spellStart"/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postdose</w:t>
      </w:r>
      <w:proofErr w:type="spellEnd"/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Total DOR concentrations in plasma were determined using a liquid-liquid extraction (TBME) method, with a calibration range </w:t>
      </w:r>
      <w:r w:rsidR="007833CE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intaiintai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2-2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000 ng/mL (linear 1/x2) in drug-free plasma, while total DOR concentrations in CSF were determined using a protein precipitation (acetonitrile) method, with a calibration range 0.2-200 ng/mL (linear 1/x2) in artificial CSF. 13C6 D</w:t>
      </w:r>
      <w:r w:rsidR="00723BA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OR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was used as an internal </w:t>
      </w:r>
      <w:r w:rsidR="00D235A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lastRenderedPageBreak/>
        <w:t xml:space="preserve">standard. </w:t>
      </w:r>
      <w:r w:rsidR="0013576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HIV-1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RNA </w:t>
      </w:r>
      <w:r w:rsidR="0013576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was 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quantified</w:t>
      </w:r>
      <w:r w:rsidR="0013576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in plasma and C</w:t>
      </w:r>
      <w:r w:rsidR="00360C9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SF</w:t>
      </w:r>
      <w:r w:rsidR="0013576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by real-time polymerase chain reaction technique (RT-PCR; Abbot Molecular, Des Plaines, IL)</w:t>
      </w:r>
      <w:r w:rsidR="0014178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performed according to the manufacturer’s recommendations (lower limit of quantification, 20 copies/mL). The study was approved by the hospital ethics committee and the Spanish Agency of Medicines and medical devices, and patients gave written informed consent to participate (EudraCT Number: 2018-003915-24)</w:t>
      </w:r>
    </w:p>
    <w:p w14:paraId="182A22F7" w14:textId="77777777" w:rsidR="00560E17" w:rsidRPr="004273FE" w:rsidRDefault="00560E17" w:rsidP="00D833BB">
      <w:pPr>
        <w:spacing w:line="480" w:lineRule="auto"/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Results</w:t>
      </w:r>
    </w:p>
    <w:p w14:paraId="238C23A4" w14:textId="79A045FB" w:rsidR="00560E17" w:rsidRPr="004273FE" w:rsidRDefault="006450C7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 total of 15 plasma and 15 CSF samples were collected. Most subjects were male (86%), with a median age of 46 years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27-66) 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and body mass index (BMI) of 24.1 Kg/m2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18.5-33.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8). </w:t>
      </w:r>
      <w:r w:rsidR="0048270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The median nadir CD4 count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was 315 cell/mL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min-max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24-513)</w:t>
      </w:r>
      <w:r w:rsidR="004C501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,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median </w:t>
      </w:r>
      <w:r w:rsidR="0048270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RNA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HIV viral load</w:t>
      </w:r>
      <w:r w:rsidR="004C501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(VL)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at the moment of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HIV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diagnosis</w:t>
      </w:r>
      <w:r w:rsidR="0048270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,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was 28.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923 cop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ies/mL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2.340-10.681.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306)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 O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nly 5 participants (33%)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had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 history of AIDS-stage disease (CDC Classification)</w:t>
      </w:r>
      <w:r w:rsidR="004309E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 Current median CD4 count was 704 cell/mL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min-max </w:t>
      </w:r>
      <w:r w:rsidR="004309E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365-1744)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4C501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All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patients</w:t>
      </w:r>
      <w:r w:rsidR="004C501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were in stable ART for </w:t>
      </w:r>
      <w:r w:rsidR="00D079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at l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east</w:t>
      </w:r>
      <w:r w:rsidR="00D079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6 months [median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108 months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="00D07926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23-268)]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HIV had been 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suppress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ed</w:t>
      </w:r>
      <w:r w:rsidR="004C501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(RNA HIV-1 &lt; 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2</w:t>
      </w:r>
      <w:r w:rsidR="004C501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0 copies/mL)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during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the last 3 months,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in all participa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n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ts.</w:t>
      </w:r>
      <w:r w:rsidR="00DB1C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4309E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ost </w:t>
      </w:r>
      <w:r w:rsidR="004309E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patients swi</w:t>
      </w:r>
      <w:r w:rsidR="009B04A7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</w:t>
      </w:r>
      <w:r w:rsidR="004309E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ched from Integrase Strand Transfer Inhibitor (INSTI)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-</w:t>
      </w:r>
      <w:r w:rsidR="004309E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based regimens (80%)</w:t>
      </w:r>
      <w:r w:rsidR="002649C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</w:p>
    <w:p w14:paraId="18CC964E" w14:textId="0D1A6EB9" w:rsidR="00983D48" w:rsidRPr="004273FE" w:rsidRDefault="009B04A7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Median t</w:t>
      </w:r>
      <w:r w:rsidR="002649C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otal and unbound DOR concentrations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in blood plasma</w:t>
      </w:r>
      <w:r w:rsidR="002649C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were 417.6 ng/ml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169.5-942.2) and 53.5 ng/ml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21.3-115.5) respectively</w:t>
      </w:r>
      <w:r w:rsidR="00D03B75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(free plasma fraction 12,7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%)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;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while in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SF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were 58.6 ng/ml (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23.2-127.3)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 44.6 ng/ml (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14.9-105)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(free CSF fraction 7</w:t>
      </w:r>
      <w:r w:rsidR="00D03B75">
        <w:rPr>
          <w:rFonts w:ascii="MinionPro" w:eastAsia="Times New Roman" w:hAnsi="MinionPro" w:cs="Times New Roman"/>
          <w:sz w:val="20"/>
          <w:szCs w:val="20"/>
          <w:lang w:eastAsia="es-ES_tradnl"/>
        </w:rPr>
        <w:t>5.9</w:t>
      </w:r>
      <w:proofErr w:type="gramStart"/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%)</w:t>
      </w:r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(</w:t>
      </w:r>
      <w:proofErr w:type="gramEnd"/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Figures 1 </w:t>
      </w:r>
      <w:proofErr w:type="spellStart"/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a&amp;b</w:t>
      </w:r>
      <w:proofErr w:type="spellEnd"/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)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Total 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DOR CSF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concentrations to 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total plasma ratio</w:t>
      </w:r>
      <w:r w:rsidR="00077C8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was 0.12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 DOR total CSF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to 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unbound plasma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ratio 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was 0.99.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Only one non-adherent patient presented with detectable viral load in blood plasma</w:t>
      </w:r>
      <w:r w:rsidR="00D03B75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(76 copies/mL)</w:t>
      </w:r>
      <w:r w:rsidR="004B7CB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, undetectable viral load was confirmed in a further control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On the other hand, one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subject </w:t>
      </w:r>
      <w:r w:rsidR="00A2213C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presented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with asymptomatic low-level viral replication in CSF (32 copies/ml) while undetectable in plasma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[Table 1]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Median 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CSF cell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count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, glucose, and proteins were 0.001 × 10</w:t>
      </w:r>
      <w:r w:rsidR="00983D48" w:rsidRPr="004273FE">
        <w:rPr>
          <w:rFonts w:ascii="MinionPro" w:eastAsia="Times New Roman" w:hAnsi="MinionPro" w:cs="Times New Roman"/>
          <w:sz w:val="20"/>
          <w:szCs w:val="20"/>
          <w:vertAlign w:val="superscript"/>
          <w:lang w:eastAsia="es-ES_tradnl"/>
        </w:rPr>
        <w:t>9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/L (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0.001</w:t>
      </w:r>
      <w:r w:rsidR="00EE0AEF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-0.159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), 3.7 mmol/L (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min-max 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2.8–6.8), and 0.29 g/L (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min-max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0.14–0.68), respectively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Median CSF/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plasma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albumin ratio was </w:t>
      </w:r>
      <w:r w:rsidR="0077630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3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77630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96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</w:t>
      </w:r>
      <w:r w:rsidR="0077630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range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="0077630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1.95-9.17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) suggesting</w:t>
      </w:r>
      <w:r w:rsidR="0077630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1142C9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no increased blood-brain barrier permeability</w:t>
      </w:r>
      <w:r w:rsidR="00BE3B2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</w:p>
    <w:p w14:paraId="5240101C" w14:textId="767CC9E3" w:rsidR="00D97895" w:rsidRPr="004273FE" w:rsidRDefault="009152BF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lastRenderedPageBreak/>
        <w:t xml:space="preserve">Of note, 2 patients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wrongly </w:t>
      </w:r>
      <w:proofErr w:type="gramStart"/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maintained 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their</w:t>
      </w:r>
      <w:proofErr w:type="gramEnd"/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previous treatment (</w:t>
      </w:r>
      <w:r w:rsidR="00E67CD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BIC/TAF/FTC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)</w:t>
      </w:r>
      <w:r w:rsidR="00CF6AF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while receiving DOR. No </w:t>
      </w:r>
      <w:r w:rsidR="00F10A9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adverse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events or side effects were reported. T</w:t>
      </w:r>
      <w:r w:rsidR="00F10A9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otal and unbound DOR concentrations in plasma and CSF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remained</w:t>
      </w:r>
      <w:r w:rsidR="00F10A9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similar to the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rest of</w:t>
      </w:r>
      <w:r w:rsidR="00F10A9D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participants.</w:t>
      </w:r>
      <w:r w:rsidR="008451C4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proofErr w:type="gramStart"/>
      <w:r w:rsidR="00D978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We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also</w:t>
      </w:r>
      <w:proofErr w:type="gramEnd"/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D978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measure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d</w:t>
      </w:r>
      <w:r w:rsidR="00D978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BIC concentrations in these patients </w:t>
      </w:r>
      <w:r w:rsidR="00983D48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(week 4 visit)</w:t>
      </w:r>
      <w:r w:rsidR="00D978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 </w:t>
      </w:r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we found adequate </w:t>
      </w:r>
      <w:proofErr w:type="spellStart"/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conentrations</w:t>
      </w:r>
      <w:proofErr w:type="spellEnd"/>
      <w:r w:rsidR="005E141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which suggest no significant drug-drug (DOR-BIC) interactions. </w:t>
      </w:r>
      <w:r w:rsidR="00BE3B23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 general, DOR + FTC/TAF was well tolerated and no significant AEs were reported.</w:t>
      </w:r>
    </w:p>
    <w:p w14:paraId="7EB6F196" w14:textId="77777777" w:rsidR="0048270D" w:rsidRPr="005E1413" w:rsidRDefault="0048270D" w:rsidP="00D833BB">
      <w:pPr>
        <w:spacing w:line="480" w:lineRule="auto"/>
        <w:jc w:val="both"/>
        <w:rPr>
          <w:rFonts w:ascii="MinionPro" w:eastAsia="Times New Roman" w:hAnsi="MinionPro" w:cs="Times New Roman"/>
          <w:b/>
          <w:bCs/>
          <w:sz w:val="20"/>
          <w:szCs w:val="20"/>
          <w:lang w:val="es-ES" w:eastAsia="es-ES_tradnl"/>
        </w:rPr>
      </w:pPr>
      <w:proofErr w:type="spellStart"/>
      <w:r w:rsidRPr="005E1413">
        <w:rPr>
          <w:rFonts w:ascii="MinionPro" w:eastAsia="Times New Roman" w:hAnsi="MinionPro" w:cs="Times New Roman"/>
          <w:b/>
          <w:bCs/>
          <w:sz w:val="20"/>
          <w:szCs w:val="20"/>
          <w:lang w:val="es-ES" w:eastAsia="es-ES_tradnl"/>
        </w:rPr>
        <w:t>Discussion</w:t>
      </w:r>
      <w:proofErr w:type="spellEnd"/>
    </w:p>
    <w:p w14:paraId="67684F29" w14:textId="3DA7640B" w:rsidR="00200920" w:rsidRPr="004273FE" w:rsidRDefault="00C95D65" w:rsidP="00D833BB">
      <w:pPr>
        <w:spacing w:line="480" w:lineRule="auto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We conducted a pilot, cross-sectional study, looking at </w:t>
      </w:r>
      <w:proofErr w:type="gram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DOR </w:t>
      </w:r>
      <w:r w:rsidR="00F72D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plasma</w:t>
      </w:r>
      <w:proofErr w:type="gramEnd"/>
      <w:r w:rsidR="00F72D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and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CSF exposure and viral suppression. </w:t>
      </w:r>
      <w:r w:rsidR="00F72D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Eighty seven percent of DOR was bound to plasma proteins. </w:t>
      </w:r>
      <w:r w:rsidR="00F72D95" w:rsidRPr="00F72D95">
        <w:rPr>
          <w:rFonts w:ascii="MinionPro" w:eastAsia="Times New Roman" w:hAnsi="MinionPro" w:cs="Times New Roman"/>
          <w:sz w:val="20"/>
          <w:szCs w:val="20"/>
          <w:lang w:eastAsia="es-ES_tradnl"/>
        </w:rPr>
        <w:t>T</w:t>
      </w:r>
      <w:r w:rsidR="00602E6A" w:rsidRPr="00F72D95">
        <w:rPr>
          <w:rFonts w:ascii="MinionPro" w:eastAsia="Times New Roman" w:hAnsi="MinionPro" w:cs="Times New Roman"/>
          <w:sz w:val="20"/>
          <w:szCs w:val="20"/>
          <w:lang w:eastAsia="es-ES_tradnl"/>
        </w:rPr>
        <w:t>we</w:t>
      </w:r>
      <w:r w:rsidR="00071B05" w:rsidRPr="00F72D95">
        <w:rPr>
          <w:rFonts w:ascii="MinionPro" w:eastAsia="Times New Roman" w:hAnsi="MinionPro" w:cs="Times New Roman"/>
          <w:sz w:val="20"/>
          <w:szCs w:val="20"/>
          <w:lang w:eastAsia="es-ES_tradnl"/>
        </w:rPr>
        <w:t>lve</w:t>
      </w:r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percent</w:t>
      </w:r>
      <w:r w:rsidR="00DB3A8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of total plasma DOR was found in CSF, moreover </w:t>
      </w:r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76% </w:t>
      </w:r>
      <w:r w:rsidR="00DB3A8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of 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it</w:t>
      </w:r>
      <w:r w:rsidR="00DB3A8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</w:t>
      </w:r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as</w:t>
      </w:r>
      <w:r w:rsidR="00DB3A8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protein</w:t>
      </w:r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-</w:t>
      </w:r>
      <w:r w:rsidR="00DB3A8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free.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Total and unbound DOR concentrations in CSF exceeded the half-maximal effective concentration (EC</w:t>
      </w:r>
      <w:r w:rsidRPr="004273FE">
        <w:rPr>
          <w:rFonts w:ascii="MinionPro" w:eastAsia="Times New Roman" w:hAnsi="MinionPro" w:cs="Times New Roman"/>
          <w:sz w:val="20"/>
          <w:szCs w:val="20"/>
          <w:vertAlign w:val="subscript"/>
          <w:lang w:eastAsia="es-ES_tradnl"/>
        </w:rPr>
        <w:t>50</w:t>
      </w:r>
      <w:r w:rsidR="00071B05" w:rsidRPr="004273FE">
        <w:rPr>
          <w:rFonts w:ascii="MinionPro" w:eastAsia="Times New Roman" w:hAnsi="MinionPro" w:cs="Times New Roman"/>
          <w:sz w:val="20"/>
          <w:szCs w:val="20"/>
          <w:vertAlign w:val="subscript"/>
          <w:lang w:eastAsia="es-ES_tradnl"/>
        </w:rPr>
        <w:t xml:space="preserve"> </w:t>
      </w:r>
      <w:r w:rsidR="00071B05">
        <w:t xml:space="preserve">5.1 ng/mL)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value against wild type (WT) virus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,</w:t>
      </w:r>
      <w:r w:rsidR="001C6131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ma</w:t>
      </w:r>
      <w:r w:rsidR="007833CE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intai</w:t>
      </w:r>
      <w:r w:rsidR="001C6131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ning viral suppression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1C6131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in this compartment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in all but one participant. </w:t>
      </w:r>
    </w:p>
    <w:p w14:paraId="35F6C1B3" w14:textId="5972929F" w:rsidR="00200920" w:rsidRPr="004273FE" w:rsidRDefault="000E4895" w:rsidP="007D7650">
      <w:pPr>
        <w:spacing w:line="480" w:lineRule="auto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Asymptomatic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HIV replication may occur within the CNS in the absence of systemic HIV replication. 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In these cases HIV RNA 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can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be detected in cerebrospinal fluid (CSF) but not in blood. This discordance between the CSF and the blood is kno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n as “CSF viral </w:t>
      </w:r>
      <w:proofErr w:type="spellStart"/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escape”and</w:t>
      </w:r>
      <w:proofErr w:type="spellEnd"/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it has been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extensively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reported in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the literature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n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 large cohort study published recently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authors reported CSF viral escape as prevalent as 4.4%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[4]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We found no evidence of suboptimal antiretroviral levels in this case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</w:t>
      </w:r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proofErr w:type="gram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Moreover</w:t>
      </w:r>
      <w:proofErr w:type="gramEnd"/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this patient was concomitantly receiving DOR plus BIC/FTC/TAF, which suggests that viral escape may occur regardless of </w:t>
      </w:r>
      <w:proofErr w:type="spellStart"/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adecuate</w:t>
      </w:r>
      <w:proofErr w:type="spellEnd"/>
      <w:r w:rsidR="0020092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antiretroviral treatment. </w:t>
      </w:r>
    </w:p>
    <w:p w14:paraId="32AC6A8A" w14:textId="30537249" w:rsidR="007833CE" w:rsidRPr="004273FE" w:rsidRDefault="00200920" w:rsidP="00D833BB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Achieving HIV suppression in blood plasma seems to be the main goal of ART, however </w:t>
      </w:r>
      <w:r w:rsidR="00602E6A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several studies 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suggest that the CNS may act as an independ</w:t>
      </w:r>
      <w:r w:rsidR="00071B0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ent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compartment and severe complications su</w:t>
      </w:r>
      <w:r w:rsidR="000E48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h as HIV-encephalitis have been </w:t>
      </w:r>
      <w:r w:rsidR="000E4895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previously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reported. Moreover asymptomatic low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-</w:t>
      </w:r>
      <w:proofErr w:type="gram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level  viral</w:t>
      </w:r>
      <w:proofErr w:type="gramEnd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replication may result in persistent low level </w:t>
      </w:r>
      <w:proofErr w:type="spell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immflamation</w:t>
      </w:r>
      <w:proofErr w:type="spellEnd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within the CNS and consequent neuronal damage and neurocognitive impairment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[5]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. Hence ac</w:t>
      </w:r>
      <w:r w:rsidR="0038637C">
        <w:rPr>
          <w:rFonts w:ascii="MinionPro" w:eastAsia="Times New Roman" w:hAnsi="MinionPro" w:cs="Times New Roman"/>
          <w:sz w:val="20"/>
          <w:szCs w:val="20"/>
          <w:lang w:eastAsia="es-ES_tradnl"/>
        </w:rPr>
        <w:t>h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ieving therapeutic concentrations within this </w:t>
      </w:r>
      <w:proofErr w:type="spell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compartiment</w:t>
      </w:r>
      <w:proofErr w:type="spellEnd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may help to </w:t>
      </w:r>
      <w:r w:rsidR="007D7650"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prevent</w:t>
      </w:r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proofErr w:type="gramStart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>this complications</w:t>
      </w:r>
      <w:proofErr w:type="gramEnd"/>
      <w:r w:rsidRPr="004273FE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</w:p>
    <w:p w14:paraId="6CA47827" w14:textId="0CC7F195" w:rsidR="00602E6A" w:rsidRPr="004273FE" w:rsidRDefault="006041D0" w:rsidP="00D833BB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4273FE">
        <w:rPr>
          <w:rFonts w:ascii="MinionPro" w:hAnsi="MinionPro"/>
          <w:sz w:val="20"/>
          <w:szCs w:val="20"/>
          <w:lang w:val="en-US"/>
        </w:rPr>
        <w:lastRenderedPageBreak/>
        <w:t>ARV drugs penetrate</w:t>
      </w:r>
      <w:r w:rsidR="0066504D" w:rsidRPr="004273FE">
        <w:rPr>
          <w:rFonts w:ascii="MinionPro" w:hAnsi="MinionPro"/>
          <w:sz w:val="20"/>
          <w:szCs w:val="20"/>
          <w:lang w:val="en-US"/>
        </w:rPr>
        <w:t xml:space="preserve"> into the CNS </w:t>
      </w:r>
      <w:r w:rsidR="00200920" w:rsidRPr="004273FE">
        <w:rPr>
          <w:rFonts w:ascii="MinionPro" w:hAnsi="MinionPro"/>
          <w:sz w:val="20"/>
          <w:szCs w:val="20"/>
          <w:lang w:val="en-US"/>
        </w:rPr>
        <w:t>differently</w:t>
      </w:r>
      <w:r w:rsidRPr="004273FE">
        <w:rPr>
          <w:rFonts w:ascii="MinionPro" w:hAnsi="MinionPro"/>
          <w:sz w:val="20"/>
          <w:szCs w:val="20"/>
          <w:lang w:val="en-US"/>
        </w:rPr>
        <w:t>. In absence of conditions that alter the permeability of th</w:t>
      </w:r>
      <w:r w:rsidR="000E4895" w:rsidRPr="004273FE">
        <w:rPr>
          <w:rFonts w:ascii="MinionPro" w:hAnsi="MinionPro"/>
          <w:sz w:val="20"/>
          <w:szCs w:val="20"/>
          <w:lang w:val="en-US"/>
        </w:rPr>
        <w:t>e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 blood brain barrier</w:t>
      </w:r>
      <w:r w:rsidRPr="004273FE">
        <w:rPr>
          <w:rFonts w:ascii="MinionPro" w:hAnsi="MinionPro"/>
          <w:sz w:val="20"/>
          <w:szCs w:val="20"/>
          <w:lang w:val="en-US"/>
        </w:rPr>
        <w:t xml:space="preserve">, drug </w:t>
      </w:r>
      <w:r w:rsidR="000E4895" w:rsidRPr="004273FE">
        <w:rPr>
          <w:rFonts w:ascii="MinionPro" w:hAnsi="MinionPro"/>
          <w:sz w:val="20"/>
          <w:szCs w:val="20"/>
          <w:lang w:val="en-US"/>
        </w:rPr>
        <w:t>concentrations</w:t>
      </w:r>
      <w:r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0E4895" w:rsidRPr="004273FE">
        <w:rPr>
          <w:rFonts w:ascii="MinionPro" w:hAnsi="MinionPro"/>
          <w:sz w:val="20"/>
          <w:szCs w:val="20"/>
          <w:lang w:val="en-US"/>
        </w:rPr>
        <w:t>are</w:t>
      </w:r>
      <w:r w:rsidRPr="004273FE">
        <w:rPr>
          <w:rFonts w:ascii="MinionPro" w:hAnsi="MinionPro"/>
          <w:sz w:val="20"/>
          <w:szCs w:val="20"/>
          <w:lang w:val="en-US"/>
        </w:rPr>
        <w:t xml:space="preserve"> usually</w:t>
      </w:r>
      <w:r w:rsidR="00B220BE" w:rsidRPr="004273FE">
        <w:rPr>
          <w:rFonts w:ascii="MinionPro" w:hAnsi="MinionPro"/>
          <w:sz w:val="20"/>
          <w:szCs w:val="20"/>
          <w:lang w:val="en-US"/>
        </w:rPr>
        <w:t xml:space="preserve"> influenced by several factors,</w:t>
      </w:r>
      <w:r w:rsidR="0066504D" w:rsidRPr="004273FE">
        <w:rPr>
          <w:rFonts w:ascii="MinionPro" w:hAnsi="MinionPro"/>
          <w:sz w:val="20"/>
          <w:szCs w:val="20"/>
          <w:lang w:val="en-US"/>
        </w:rPr>
        <w:t xml:space="preserve"> including molecular size, lipophilicity, plasma protein binding</w:t>
      </w:r>
      <w:r w:rsidR="007F591B" w:rsidRPr="004273FE">
        <w:rPr>
          <w:rFonts w:ascii="MinionPro" w:hAnsi="MinionPro"/>
          <w:sz w:val="20"/>
          <w:szCs w:val="20"/>
          <w:lang w:val="en-US"/>
        </w:rPr>
        <w:t xml:space="preserve"> and </w:t>
      </w:r>
      <w:r w:rsidR="0066504D" w:rsidRPr="004273FE">
        <w:rPr>
          <w:rFonts w:ascii="MinionPro" w:hAnsi="MinionPro"/>
          <w:sz w:val="20"/>
          <w:szCs w:val="20"/>
          <w:lang w:val="en-US"/>
        </w:rPr>
        <w:t xml:space="preserve">active transport. </w:t>
      </w:r>
      <w:r w:rsidR="00022A65" w:rsidRPr="004273FE">
        <w:rPr>
          <w:rFonts w:ascii="MinionPro" w:hAnsi="MinionPro"/>
          <w:sz w:val="20"/>
          <w:szCs w:val="20"/>
          <w:lang w:val="en-US"/>
        </w:rPr>
        <w:t>Nevirapine (NVP)</w:t>
      </w:r>
      <w:r w:rsidRPr="004273FE">
        <w:rPr>
          <w:rFonts w:ascii="MinionPro" w:hAnsi="MinionPro"/>
          <w:sz w:val="20"/>
          <w:szCs w:val="20"/>
          <w:lang w:val="en-US"/>
        </w:rPr>
        <w:t xml:space="preserve"> the first NNRTI to be </w:t>
      </w:r>
      <w:proofErr w:type="spellStart"/>
      <w:r w:rsidRPr="004273FE">
        <w:rPr>
          <w:rFonts w:ascii="MinionPro" w:hAnsi="MinionPro"/>
          <w:sz w:val="20"/>
          <w:szCs w:val="20"/>
          <w:lang w:val="en-US"/>
        </w:rPr>
        <w:t>licenced</w:t>
      </w:r>
      <w:proofErr w:type="spellEnd"/>
      <w:r w:rsidRPr="004273FE">
        <w:rPr>
          <w:rFonts w:ascii="MinionPro" w:hAnsi="MinionPro"/>
          <w:sz w:val="20"/>
          <w:szCs w:val="20"/>
          <w:lang w:val="en-US"/>
        </w:rPr>
        <w:t xml:space="preserve"> (still widely used worldwide)</w:t>
      </w:r>
      <w:r w:rsidR="000E4895" w:rsidRPr="004273FE">
        <w:rPr>
          <w:rFonts w:ascii="MinionPro" w:hAnsi="MinionPro"/>
          <w:sz w:val="20"/>
          <w:szCs w:val="20"/>
          <w:lang w:val="en-US"/>
        </w:rPr>
        <w:t>,</w:t>
      </w:r>
      <w:r w:rsidR="00022A65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is poorly bound to </w:t>
      </w:r>
      <w:proofErr w:type="gramStart"/>
      <w:r w:rsidR="000E4895" w:rsidRPr="004273FE">
        <w:rPr>
          <w:rFonts w:ascii="MinionPro" w:hAnsi="MinionPro"/>
          <w:sz w:val="20"/>
          <w:szCs w:val="20"/>
          <w:lang w:val="en-US"/>
        </w:rPr>
        <w:t>plasma</w:t>
      </w:r>
      <w:r w:rsidR="00022A65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EE0AEF" w:rsidRPr="004273FE">
        <w:rPr>
          <w:rFonts w:ascii="MinionPro" w:hAnsi="MinionPro"/>
          <w:sz w:val="20"/>
          <w:szCs w:val="20"/>
          <w:lang w:val="en-US"/>
        </w:rPr>
        <w:t xml:space="preserve"> protein</w:t>
      </w:r>
      <w:r w:rsidR="000E4895" w:rsidRPr="004273FE">
        <w:rPr>
          <w:rFonts w:ascii="MinionPro" w:hAnsi="MinionPro"/>
          <w:sz w:val="20"/>
          <w:szCs w:val="20"/>
          <w:lang w:val="en-US"/>
        </w:rPr>
        <w:t>s</w:t>
      </w:r>
      <w:proofErr w:type="gramEnd"/>
      <w:r w:rsidR="00EE0AEF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(60%) </w:t>
      </w:r>
      <w:r w:rsidR="00EE0AEF" w:rsidRPr="004273FE">
        <w:rPr>
          <w:rFonts w:ascii="MinionPro" w:hAnsi="MinionPro"/>
          <w:sz w:val="20"/>
          <w:szCs w:val="20"/>
          <w:lang w:val="en-US"/>
        </w:rPr>
        <w:t xml:space="preserve">and </w:t>
      </w:r>
      <w:r w:rsidRPr="004273FE">
        <w:rPr>
          <w:rFonts w:ascii="MinionPro" w:hAnsi="MinionPro"/>
          <w:sz w:val="20"/>
          <w:szCs w:val="20"/>
          <w:lang w:val="en-US"/>
        </w:rPr>
        <w:t xml:space="preserve">its CSF exposure 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remains </w:t>
      </w:r>
      <w:r w:rsidRPr="004273FE">
        <w:rPr>
          <w:rFonts w:ascii="MinionPro" w:hAnsi="MinionPro"/>
          <w:sz w:val="20"/>
          <w:szCs w:val="20"/>
          <w:lang w:val="en-US"/>
        </w:rPr>
        <w:t xml:space="preserve">high </w:t>
      </w:r>
      <w:r w:rsidR="00102F02" w:rsidRPr="004273FE">
        <w:rPr>
          <w:rFonts w:ascii="MinionPro" w:hAnsi="MinionPro"/>
          <w:sz w:val="20"/>
          <w:szCs w:val="20"/>
          <w:lang w:val="en-US"/>
        </w:rPr>
        <w:t>(</w:t>
      </w:r>
      <w:r w:rsidRPr="004273FE">
        <w:rPr>
          <w:rFonts w:ascii="MinionPro" w:hAnsi="MinionPro"/>
          <w:sz w:val="20"/>
          <w:szCs w:val="20"/>
          <w:lang w:val="en-US"/>
        </w:rPr>
        <w:t>CSF to plasma ratio: 28-45%</w:t>
      </w:r>
      <w:r w:rsidR="00102F02" w:rsidRPr="004273FE">
        <w:rPr>
          <w:rFonts w:ascii="MinionPro" w:hAnsi="MinionPro"/>
          <w:sz w:val="20"/>
          <w:szCs w:val="20"/>
          <w:lang w:val="en-US"/>
        </w:rPr>
        <w:t>)</w:t>
      </w:r>
      <w:r w:rsidRPr="004273FE">
        <w:rPr>
          <w:rFonts w:ascii="MinionPro" w:hAnsi="MinionPro"/>
          <w:sz w:val="20"/>
          <w:szCs w:val="20"/>
          <w:lang w:val="en-US"/>
        </w:rPr>
        <w:t xml:space="preserve">. 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Contrary, other NNRTIs such as Efavirenz (EFV), Etravirine (ETR) and </w:t>
      </w:r>
      <w:proofErr w:type="spellStart"/>
      <w:r w:rsidR="00200920" w:rsidRPr="004273FE">
        <w:rPr>
          <w:rFonts w:ascii="MinionPro" w:hAnsi="MinionPro"/>
          <w:sz w:val="20"/>
          <w:szCs w:val="20"/>
          <w:lang w:val="en-US"/>
        </w:rPr>
        <w:t>Rilpivirine</w:t>
      </w:r>
      <w:proofErr w:type="spellEnd"/>
      <w:r w:rsidR="00200920" w:rsidRPr="004273FE">
        <w:rPr>
          <w:rFonts w:ascii="MinionPro" w:hAnsi="MinionPro"/>
          <w:sz w:val="20"/>
          <w:szCs w:val="20"/>
          <w:lang w:val="en-US"/>
        </w:rPr>
        <w:t xml:space="preserve"> (RPV) do not </w:t>
      </w:r>
      <w:proofErr w:type="spellStart"/>
      <w:r w:rsidR="00200920" w:rsidRPr="004273FE">
        <w:rPr>
          <w:rFonts w:ascii="MinionPro" w:hAnsi="MinionPro"/>
          <w:sz w:val="20"/>
          <w:szCs w:val="20"/>
          <w:lang w:val="en-US"/>
        </w:rPr>
        <w:t>readly</w:t>
      </w:r>
      <w:proofErr w:type="spellEnd"/>
      <w:r w:rsidR="00200920" w:rsidRPr="004273FE">
        <w:rPr>
          <w:rFonts w:ascii="MinionPro" w:hAnsi="MinionPro"/>
          <w:sz w:val="20"/>
          <w:szCs w:val="20"/>
          <w:lang w:val="en-US"/>
        </w:rPr>
        <w:t xml:space="preserve"> cross the blood brain barrier (0,5%; 1% and 1.4% respectively), </w:t>
      </w:r>
      <w:r w:rsidR="00602E6A" w:rsidRPr="004273FE">
        <w:rPr>
          <w:rFonts w:ascii="MinionPro" w:hAnsi="MinionPro"/>
          <w:sz w:val="20"/>
          <w:szCs w:val="20"/>
          <w:lang w:val="en-US"/>
        </w:rPr>
        <w:t>however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 they achieve sufficient concentrations to maintain viral suppression in this compartment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 when compared to </w:t>
      </w:r>
      <w:r w:rsidR="00602E6A" w:rsidRPr="004273FE">
        <w:rPr>
          <w:rFonts w:ascii="MinionPro" w:hAnsi="MinionPro"/>
          <w:sz w:val="20"/>
          <w:szCs w:val="20"/>
          <w:lang w:val="en-US"/>
        </w:rPr>
        <w:t>E</w:t>
      </w:r>
      <w:r w:rsidR="000E4895" w:rsidRPr="004273FE">
        <w:rPr>
          <w:rFonts w:ascii="MinionPro" w:hAnsi="MinionPro"/>
          <w:sz w:val="20"/>
          <w:szCs w:val="20"/>
          <w:lang w:val="en-US"/>
        </w:rPr>
        <w:t>C</w:t>
      </w:r>
      <w:r w:rsidR="000E4895" w:rsidRPr="004273FE">
        <w:rPr>
          <w:rFonts w:ascii="MinionPro" w:hAnsi="MinionPro"/>
          <w:sz w:val="20"/>
          <w:szCs w:val="20"/>
          <w:vertAlign w:val="subscript"/>
          <w:lang w:val="en-US"/>
        </w:rPr>
        <w:t>50-90</w:t>
      </w:r>
      <w:r w:rsidR="0038637C">
        <w:rPr>
          <w:rFonts w:ascii="MinionPro" w:hAnsi="MinionPro"/>
          <w:sz w:val="20"/>
          <w:szCs w:val="20"/>
          <w:lang w:val="en-US"/>
        </w:rPr>
        <w:t>[6].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 </w:t>
      </w:r>
    </w:p>
    <w:p w14:paraId="6291AB73" w14:textId="6D8B8BB0" w:rsidR="00F72D95" w:rsidRPr="004273FE" w:rsidRDefault="00F72D95" w:rsidP="00D833BB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4273FE">
        <w:rPr>
          <w:rFonts w:ascii="MinionPro" w:hAnsi="MinionPro"/>
          <w:sz w:val="20"/>
          <w:szCs w:val="20"/>
          <w:lang w:val="en-US"/>
        </w:rPr>
        <w:t>Contrary to what was described</w:t>
      </w:r>
      <w:r w:rsidR="004273FE">
        <w:rPr>
          <w:rFonts w:ascii="MinionPro" w:hAnsi="MinionPro"/>
          <w:sz w:val="20"/>
          <w:szCs w:val="20"/>
          <w:lang w:val="en-US"/>
        </w:rPr>
        <w:t xml:space="preserve"> in the literature</w:t>
      </w:r>
      <w:r w:rsidRPr="004273FE">
        <w:rPr>
          <w:rFonts w:ascii="MinionPro" w:hAnsi="MinionPro"/>
          <w:sz w:val="20"/>
          <w:szCs w:val="20"/>
          <w:lang w:val="en-US"/>
        </w:rPr>
        <w:t>, we found that DOR was 87% bound to plasma proteins (previously reported 76%). Similar data was recently presented at an international conference</w:t>
      </w:r>
      <w:r w:rsidR="0038637C">
        <w:rPr>
          <w:rFonts w:ascii="MinionPro" w:hAnsi="MinionPro"/>
          <w:sz w:val="20"/>
          <w:szCs w:val="20"/>
          <w:lang w:val="en-US"/>
        </w:rPr>
        <w:t xml:space="preserve"> [7]</w:t>
      </w:r>
      <w:r w:rsidRPr="004273FE">
        <w:rPr>
          <w:rFonts w:ascii="MinionPro" w:hAnsi="MinionPro"/>
          <w:sz w:val="20"/>
          <w:szCs w:val="20"/>
          <w:lang w:val="en-US"/>
        </w:rPr>
        <w:t xml:space="preserve">. These discrepancies may </w:t>
      </w:r>
      <w:proofErr w:type="gramStart"/>
      <w:r w:rsidRPr="004273FE">
        <w:rPr>
          <w:rFonts w:ascii="MinionPro" w:hAnsi="MinionPro"/>
          <w:sz w:val="20"/>
          <w:szCs w:val="20"/>
          <w:lang w:val="en-US"/>
        </w:rPr>
        <w:t xml:space="preserve">lay </w:t>
      </w:r>
      <w:r w:rsidR="004273FE">
        <w:rPr>
          <w:rFonts w:ascii="MinionPro" w:hAnsi="MinionPro"/>
          <w:sz w:val="20"/>
          <w:szCs w:val="20"/>
          <w:lang w:val="en-US"/>
        </w:rPr>
        <w:t xml:space="preserve"> in</w:t>
      </w:r>
      <w:proofErr w:type="gramEnd"/>
      <w:r w:rsidR="004273FE">
        <w:rPr>
          <w:rFonts w:ascii="MinionPro" w:hAnsi="MinionPro"/>
          <w:sz w:val="20"/>
          <w:szCs w:val="20"/>
          <w:lang w:val="en-US"/>
        </w:rPr>
        <w:t xml:space="preserve"> methodological  differences (e.g. </w:t>
      </w:r>
      <w:r w:rsidR="004273FE" w:rsidRPr="004273FE">
        <w:rPr>
          <w:rFonts w:ascii="MinionPro" w:hAnsi="MinionPro"/>
          <w:sz w:val="20"/>
          <w:szCs w:val="20"/>
          <w:lang w:val="en-US"/>
        </w:rPr>
        <w:t>in-vitro experiments using plasma spiked with [3H]</w:t>
      </w:r>
      <w:proofErr w:type="spellStart"/>
      <w:r w:rsidR="004273FE" w:rsidRPr="004273FE">
        <w:rPr>
          <w:rFonts w:ascii="MinionPro" w:hAnsi="MinionPro"/>
          <w:sz w:val="20"/>
          <w:szCs w:val="20"/>
          <w:lang w:val="en-US"/>
        </w:rPr>
        <w:t>doravirine</w:t>
      </w:r>
      <w:proofErr w:type="spellEnd"/>
      <w:r w:rsidR="004273FE" w:rsidRPr="004273FE">
        <w:rPr>
          <w:rFonts w:ascii="MinionPro" w:hAnsi="MinionPro"/>
          <w:sz w:val="20"/>
          <w:szCs w:val="20"/>
          <w:lang w:val="en-US"/>
        </w:rPr>
        <w:t xml:space="preserve"> and measured using liquid scintillation counting). To our knowledge, there are currently no data on the extent of </w:t>
      </w:r>
      <w:proofErr w:type="spellStart"/>
      <w:r w:rsidR="004273FE" w:rsidRPr="004273FE">
        <w:rPr>
          <w:rFonts w:ascii="MinionPro" w:hAnsi="MinionPro"/>
          <w:sz w:val="20"/>
          <w:szCs w:val="20"/>
          <w:lang w:val="en-US"/>
        </w:rPr>
        <w:t>doravirine</w:t>
      </w:r>
      <w:proofErr w:type="spellEnd"/>
      <w:r w:rsidR="004273FE" w:rsidRPr="004273FE">
        <w:rPr>
          <w:rFonts w:ascii="MinionPro" w:hAnsi="MinionPro"/>
          <w:sz w:val="20"/>
          <w:szCs w:val="20"/>
          <w:lang w:val="en-US"/>
        </w:rPr>
        <w:t xml:space="preserve"> binding in PLWH.</w:t>
      </w:r>
    </w:p>
    <w:p w14:paraId="3CBC17CE" w14:textId="1D7ABF5F" w:rsidR="007D7650" w:rsidRPr="004273FE" w:rsidRDefault="006B1EE7" w:rsidP="00D833BB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>
        <w:rPr>
          <w:rFonts w:ascii="MinionPro" w:hAnsi="MinionPro"/>
          <w:sz w:val="20"/>
          <w:szCs w:val="20"/>
          <w:lang w:val="en-US"/>
        </w:rPr>
        <w:t>I</w:t>
      </w:r>
      <w:r w:rsidR="006041D0" w:rsidRPr="004273FE">
        <w:rPr>
          <w:rFonts w:ascii="MinionPro" w:hAnsi="MinionPro"/>
          <w:sz w:val="20"/>
          <w:szCs w:val="20"/>
          <w:lang w:val="en-US"/>
        </w:rPr>
        <w:t>n our study we found that DOR concentration was 12% of that in blood plasma</w:t>
      </w:r>
      <w:r w:rsidR="000E4895" w:rsidRPr="004273FE">
        <w:rPr>
          <w:rFonts w:ascii="MinionPro" w:hAnsi="MinionPro"/>
          <w:sz w:val="20"/>
          <w:szCs w:val="20"/>
          <w:lang w:val="en-US"/>
        </w:rPr>
        <w:t>,</w:t>
      </w:r>
      <w:r w:rsidR="006041D0" w:rsidRPr="004273FE">
        <w:rPr>
          <w:rFonts w:ascii="MinionPro" w:hAnsi="MinionPro"/>
          <w:sz w:val="20"/>
          <w:szCs w:val="20"/>
          <w:lang w:val="en-US"/>
        </w:rPr>
        <w:t xml:space="preserve"> and that the CSF concentration was almost similar to the unbound fraction in plasma (total CSF/unbound plasma </w:t>
      </w:r>
      <w:r w:rsidR="00102F02" w:rsidRPr="004273FE">
        <w:rPr>
          <w:rFonts w:ascii="MinionPro" w:hAnsi="MinionPro"/>
          <w:sz w:val="20"/>
          <w:szCs w:val="20"/>
          <w:lang w:val="en-US"/>
        </w:rPr>
        <w:t xml:space="preserve">ratio </w:t>
      </w:r>
      <w:r w:rsidR="006041D0" w:rsidRPr="004273FE">
        <w:rPr>
          <w:rFonts w:ascii="MinionPro" w:hAnsi="MinionPro"/>
          <w:sz w:val="20"/>
          <w:szCs w:val="20"/>
          <w:lang w:val="en-US"/>
        </w:rPr>
        <w:t xml:space="preserve">was 0.9) which suggest that DOR crosses the </w:t>
      </w:r>
      <w:r w:rsidR="00102F02" w:rsidRPr="004273FE">
        <w:rPr>
          <w:rFonts w:ascii="MinionPro" w:hAnsi="MinionPro"/>
          <w:sz w:val="20"/>
          <w:szCs w:val="20"/>
          <w:lang w:val="en-US"/>
        </w:rPr>
        <w:t>blood-br</w:t>
      </w:r>
      <w:r w:rsidR="00602E6A" w:rsidRPr="004273FE">
        <w:rPr>
          <w:rFonts w:ascii="MinionPro" w:hAnsi="MinionPro"/>
          <w:sz w:val="20"/>
          <w:szCs w:val="20"/>
          <w:lang w:val="en-US"/>
        </w:rPr>
        <w:t>ain</w:t>
      </w:r>
      <w:r w:rsidR="00102F02" w:rsidRPr="004273FE">
        <w:rPr>
          <w:rFonts w:ascii="MinionPro" w:hAnsi="MinionPro"/>
          <w:sz w:val="20"/>
          <w:szCs w:val="20"/>
          <w:lang w:val="en-US"/>
        </w:rPr>
        <w:t xml:space="preserve"> barrier</w:t>
      </w:r>
      <w:r w:rsidR="006041D0" w:rsidRPr="004273FE">
        <w:rPr>
          <w:rFonts w:ascii="MinionPro" w:hAnsi="MinionPro"/>
          <w:sz w:val="20"/>
          <w:szCs w:val="20"/>
          <w:lang w:val="en-US"/>
        </w:rPr>
        <w:t xml:space="preserve"> by </w:t>
      </w:r>
      <w:r w:rsidR="00780383" w:rsidRPr="004273FE">
        <w:rPr>
          <w:rFonts w:ascii="MinionPro" w:hAnsi="MinionPro"/>
          <w:sz w:val="20"/>
          <w:szCs w:val="20"/>
          <w:lang w:val="en-US"/>
        </w:rPr>
        <w:t xml:space="preserve">passive </w:t>
      </w:r>
      <w:r w:rsidR="006041D0" w:rsidRPr="004273FE">
        <w:rPr>
          <w:rFonts w:ascii="MinionPro" w:hAnsi="MinionPro"/>
          <w:sz w:val="20"/>
          <w:szCs w:val="20"/>
          <w:lang w:val="en-US"/>
        </w:rPr>
        <w:t>diffusion.</w:t>
      </w:r>
      <w:r w:rsidR="00780383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7D7650" w:rsidRPr="004273FE">
        <w:rPr>
          <w:rFonts w:ascii="MinionPro" w:hAnsi="MinionPro"/>
          <w:sz w:val="20"/>
          <w:szCs w:val="20"/>
          <w:lang w:val="en-US"/>
        </w:rPr>
        <w:t xml:space="preserve">Interestingly </w:t>
      </w:r>
      <w:r w:rsidR="00200920" w:rsidRPr="004273FE">
        <w:rPr>
          <w:rFonts w:ascii="MinionPro" w:hAnsi="MinionPro"/>
          <w:sz w:val="20"/>
          <w:szCs w:val="20"/>
          <w:lang w:val="en-US"/>
        </w:rPr>
        <w:t>Darunavir (</w:t>
      </w:r>
      <w:r w:rsidR="00102F02" w:rsidRPr="004273FE">
        <w:rPr>
          <w:rFonts w:ascii="MinionPro" w:hAnsi="MinionPro"/>
          <w:sz w:val="20"/>
          <w:szCs w:val="20"/>
          <w:lang w:val="en-US"/>
        </w:rPr>
        <w:t>DRV</w:t>
      </w:r>
      <w:r w:rsidR="00200920" w:rsidRPr="004273FE">
        <w:rPr>
          <w:rFonts w:ascii="MinionPro" w:hAnsi="MinionPro"/>
          <w:sz w:val="20"/>
          <w:szCs w:val="20"/>
          <w:lang w:val="en-US"/>
        </w:rPr>
        <w:t>),</w:t>
      </w:r>
      <w:r w:rsidR="00102F02" w:rsidRPr="004273FE">
        <w:rPr>
          <w:rFonts w:ascii="MinionPro" w:hAnsi="MinionPro"/>
          <w:sz w:val="20"/>
          <w:szCs w:val="20"/>
          <w:lang w:val="en-US"/>
        </w:rPr>
        <w:t xml:space="preserve"> the most widely used protease inhibitor, </w:t>
      </w:r>
      <w:r w:rsidR="00200920" w:rsidRPr="004273FE">
        <w:rPr>
          <w:rFonts w:ascii="MinionPro" w:hAnsi="MinionPro"/>
          <w:sz w:val="20"/>
          <w:szCs w:val="20"/>
          <w:lang w:val="en-US"/>
        </w:rPr>
        <w:t>is</w:t>
      </w:r>
      <w:r w:rsidR="00102F02" w:rsidRPr="004273FE">
        <w:rPr>
          <w:rFonts w:ascii="MinionPro" w:hAnsi="MinionPro"/>
          <w:sz w:val="20"/>
          <w:szCs w:val="20"/>
          <w:lang w:val="en-US"/>
        </w:rPr>
        <w:t xml:space="preserve"> high</w:t>
      </w:r>
      <w:r w:rsidR="00200920" w:rsidRPr="004273FE">
        <w:rPr>
          <w:rFonts w:ascii="MinionPro" w:hAnsi="MinionPro"/>
          <w:sz w:val="20"/>
          <w:szCs w:val="20"/>
          <w:lang w:val="en-US"/>
        </w:rPr>
        <w:t>ly</w:t>
      </w:r>
      <w:r w:rsidR="00102F02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200920" w:rsidRPr="004273FE">
        <w:rPr>
          <w:rFonts w:ascii="MinionPro" w:hAnsi="MinionPro"/>
          <w:sz w:val="20"/>
          <w:szCs w:val="20"/>
          <w:lang w:val="en-US"/>
        </w:rPr>
        <w:t xml:space="preserve">bound to plasma </w:t>
      </w:r>
      <w:r w:rsidR="00102F02" w:rsidRPr="004273FE">
        <w:rPr>
          <w:rFonts w:ascii="MinionPro" w:hAnsi="MinionPro"/>
          <w:sz w:val="20"/>
          <w:szCs w:val="20"/>
          <w:lang w:val="en-US"/>
        </w:rPr>
        <w:t>protein</w:t>
      </w:r>
      <w:r w:rsidR="00200920" w:rsidRPr="004273FE">
        <w:rPr>
          <w:rFonts w:ascii="MinionPro" w:hAnsi="MinionPro"/>
          <w:sz w:val="20"/>
          <w:szCs w:val="20"/>
          <w:lang w:val="en-US"/>
        </w:rPr>
        <w:t>s but is predominantly unbound to protein in cerebrospinal fluid</w:t>
      </w:r>
      <w:r w:rsidR="0038637C">
        <w:rPr>
          <w:rFonts w:ascii="MinionPro" w:hAnsi="MinionPro"/>
          <w:sz w:val="20"/>
          <w:szCs w:val="20"/>
          <w:lang w:val="en-US"/>
        </w:rPr>
        <w:t xml:space="preserve"> [8]</w:t>
      </w:r>
      <w:r w:rsidR="000E4895" w:rsidRPr="004273FE">
        <w:rPr>
          <w:rFonts w:ascii="MinionPro" w:hAnsi="MinionPro"/>
          <w:sz w:val="20"/>
          <w:szCs w:val="20"/>
          <w:lang w:val="en-US"/>
        </w:rPr>
        <w:t>.</w:t>
      </w:r>
      <w:r w:rsidR="004F6DFB" w:rsidRPr="004273FE">
        <w:rPr>
          <w:rFonts w:ascii="MinionPro" w:hAnsi="MinionPro"/>
          <w:sz w:val="20"/>
          <w:szCs w:val="20"/>
          <w:lang w:val="en-US"/>
        </w:rPr>
        <w:t xml:space="preserve"> </w:t>
      </w:r>
    </w:p>
    <w:p w14:paraId="7AABA808" w14:textId="090C70AA" w:rsidR="00DB3A80" w:rsidRPr="004273FE" w:rsidRDefault="004F6DFB" w:rsidP="00D833BB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4273FE">
        <w:rPr>
          <w:rFonts w:ascii="MinionPro" w:hAnsi="MinionPro"/>
          <w:sz w:val="20"/>
          <w:szCs w:val="20"/>
          <w:lang w:val="en-US"/>
        </w:rPr>
        <w:t xml:space="preserve"> INSTIs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 based regimens</w:t>
      </w:r>
      <w:r w:rsidRPr="004273FE">
        <w:rPr>
          <w:rFonts w:ascii="MinionPro" w:hAnsi="MinionPro"/>
          <w:sz w:val="20"/>
          <w:szCs w:val="20"/>
          <w:lang w:val="en-US"/>
        </w:rPr>
        <w:t xml:space="preserve"> are 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currently </w:t>
      </w:r>
      <w:r w:rsidRPr="004273FE">
        <w:rPr>
          <w:rFonts w:ascii="MinionPro" w:hAnsi="MinionPro"/>
          <w:sz w:val="20"/>
          <w:szCs w:val="20"/>
          <w:lang w:val="en-US"/>
        </w:rPr>
        <w:t xml:space="preserve">the first choice in all </w:t>
      </w:r>
      <w:r w:rsidR="004A593F" w:rsidRPr="004273FE">
        <w:rPr>
          <w:rFonts w:ascii="MinionPro" w:hAnsi="MinionPro"/>
          <w:sz w:val="20"/>
          <w:szCs w:val="20"/>
          <w:lang w:val="en-US"/>
        </w:rPr>
        <w:t xml:space="preserve">international </w:t>
      </w:r>
      <w:r w:rsidRPr="004273FE">
        <w:rPr>
          <w:rFonts w:ascii="MinionPro" w:hAnsi="MinionPro"/>
          <w:sz w:val="20"/>
          <w:szCs w:val="20"/>
          <w:lang w:val="en-US"/>
        </w:rPr>
        <w:t>guidelines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.  </w:t>
      </w:r>
      <w:r w:rsidR="000E7E5F" w:rsidRPr="004273FE">
        <w:rPr>
          <w:rFonts w:ascii="MinionPro" w:hAnsi="MinionPro"/>
          <w:sz w:val="20"/>
          <w:szCs w:val="20"/>
          <w:lang w:val="en-US"/>
        </w:rPr>
        <w:t>A</w:t>
      </w:r>
      <w:r w:rsidR="0069541D" w:rsidRPr="004273FE">
        <w:rPr>
          <w:rFonts w:ascii="MinionPro" w:hAnsi="MinionPro"/>
          <w:sz w:val="20"/>
          <w:szCs w:val="20"/>
          <w:lang w:val="en-US"/>
        </w:rPr>
        <w:t xml:space="preserve">round 5% of </w:t>
      </w:r>
      <w:proofErr w:type="spellStart"/>
      <w:r w:rsidR="0069541D" w:rsidRPr="004273FE">
        <w:rPr>
          <w:rFonts w:ascii="MinionPro" w:hAnsi="MinionPro"/>
          <w:sz w:val="20"/>
          <w:szCs w:val="20"/>
          <w:lang w:val="en-US"/>
        </w:rPr>
        <w:t>Raltegravir</w:t>
      </w:r>
      <w:proofErr w:type="spellEnd"/>
      <w:r w:rsidR="0069541D" w:rsidRPr="004273FE">
        <w:rPr>
          <w:rFonts w:ascii="MinionPro" w:hAnsi="MinionPro"/>
          <w:sz w:val="20"/>
          <w:szCs w:val="20"/>
          <w:lang w:val="en-US"/>
        </w:rPr>
        <w:t xml:space="preserve"> concentrations in blood plasma are found in </w:t>
      </w:r>
      <w:r w:rsidR="000E4895" w:rsidRPr="004273FE">
        <w:rPr>
          <w:rFonts w:ascii="MinionPro" w:hAnsi="MinionPro"/>
          <w:sz w:val="20"/>
          <w:szCs w:val="20"/>
          <w:lang w:val="en-US"/>
        </w:rPr>
        <w:t>CSF</w:t>
      </w:r>
      <w:r w:rsidR="0069541D" w:rsidRPr="004273FE">
        <w:rPr>
          <w:rFonts w:ascii="MinionPro" w:hAnsi="MinionPro"/>
          <w:sz w:val="20"/>
          <w:szCs w:val="20"/>
          <w:lang w:val="en-US"/>
        </w:rPr>
        <w:t>.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0E7E5F" w:rsidRPr="004273FE">
        <w:rPr>
          <w:rFonts w:ascii="MinionPro" w:hAnsi="MinionPro"/>
          <w:sz w:val="20"/>
          <w:szCs w:val="20"/>
          <w:lang w:val="en-US"/>
        </w:rPr>
        <w:t>CSF concentrations exceed the IC</w:t>
      </w:r>
      <w:r w:rsidR="000E7E5F" w:rsidRPr="004273FE">
        <w:rPr>
          <w:rFonts w:ascii="MinionPro" w:hAnsi="MinionPro"/>
          <w:sz w:val="20"/>
          <w:szCs w:val="20"/>
          <w:vertAlign w:val="subscript"/>
          <w:lang w:val="en-US"/>
        </w:rPr>
        <w:t>95</w:t>
      </w:r>
      <w:r w:rsidR="000E7E5F" w:rsidRPr="004273FE">
        <w:rPr>
          <w:rFonts w:ascii="MinionPro" w:hAnsi="MinionPro"/>
          <w:sz w:val="20"/>
          <w:szCs w:val="20"/>
          <w:lang w:val="en-US"/>
        </w:rPr>
        <w:t xml:space="preserve"> and i</w:t>
      </w:r>
      <w:r w:rsidR="00602E6A" w:rsidRPr="004273FE">
        <w:rPr>
          <w:rFonts w:ascii="MinionPro" w:hAnsi="MinionPro"/>
          <w:sz w:val="20"/>
          <w:szCs w:val="20"/>
          <w:lang w:val="en-US"/>
        </w:rPr>
        <w:t>t</w:t>
      </w:r>
      <w:r w:rsidR="000E7E5F" w:rsidRPr="004273FE">
        <w:rPr>
          <w:rFonts w:ascii="MinionPro" w:hAnsi="MinionPro"/>
          <w:sz w:val="20"/>
          <w:szCs w:val="20"/>
          <w:lang w:val="en-US"/>
        </w:rPr>
        <w:t xml:space="preserve"> used</w:t>
      </w:r>
      <w:r w:rsidR="00602E6A" w:rsidRPr="004273FE">
        <w:rPr>
          <w:rFonts w:ascii="MinionPro" w:hAnsi="MinionPro"/>
          <w:sz w:val="20"/>
          <w:szCs w:val="20"/>
          <w:lang w:val="en-US"/>
        </w:rPr>
        <w:t xml:space="preserve"> to be included</w:t>
      </w:r>
      <w:r w:rsidR="000E7E5F" w:rsidRPr="004273FE">
        <w:rPr>
          <w:rFonts w:ascii="MinionPro" w:hAnsi="MinionPro"/>
          <w:sz w:val="20"/>
          <w:szCs w:val="20"/>
          <w:lang w:val="en-US"/>
        </w:rPr>
        <w:t xml:space="preserve"> in regimens designed for improved CSF penetration. </w:t>
      </w:r>
      <w:r w:rsidR="0069541D" w:rsidRPr="004273FE">
        <w:rPr>
          <w:rFonts w:ascii="MinionPro" w:hAnsi="MinionPro"/>
          <w:sz w:val="20"/>
          <w:szCs w:val="20"/>
          <w:lang w:val="en-US"/>
        </w:rPr>
        <w:t>V</w:t>
      </w:r>
      <w:r w:rsidR="000E4895" w:rsidRPr="004273FE">
        <w:rPr>
          <w:rFonts w:ascii="MinionPro" w:hAnsi="MinionPro"/>
          <w:sz w:val="20"/>
          <w:szCs w:val="20"/>
          <w:lang w:val="en-US"/>
        </w:rPr>
        <w:t>iral suppression</w:t>
      </w:r>
      <w:r w:rsidR="0069541D" w:rsidRPr="004273FE">
        <w:rPr>
          <w:rFonts w:ascii="MinionPro" w:hAnsi="MinionPro"/>
          <w:sz w:val="20"/>
          <w:szCs w:val="20"/>
          <w:lang w:val="en-US"/>
        </w:rPr>
        <w:t xml:space="preserve"> as well as CSF exposure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 with</w:t>
      </w:r>
      <w:r w:rsidR="0069541D" w:rsidRPr="004273FE">
        <w:rPr>
          <w:rFonts w:ascii="MinionPro" w:hAnsi="MinionPro"/>
          <w:sz w:val="20"/>
          <w:szCs w:val="20"/>
          <w:lang w:val="en-US"/>
        </w:rPr>
        <w:t xml:space="preserve"> second generation </w:t>
      </w:r>
      <w:r w:rsidR="000E4895" w:rsidRPr="004273FE">
        <w:rPr>
          <w:rFonts w:ascii="MinionPro" w:hAnsi="MinionPro"/>
          <w:sz w:val="20"/>
          <w:szCs w:val="20"/>
          <w:lang w:val="en-US"/>
        </w:rPr>
        <w:t>INSTI</w:t>
      </w:r>
      <w:r w:rsidR="0069541D" w:rsidRPr="004273FE">
        <w:rPr>
          <w:rFonts w:ascii="MinionPro" w:hAnsi="MinionPro"/>
          <w:sz w:val="20"/>
          <w:szCs w:val="20"/>
          <w:lang w:val="en-US"/>
        </w:rPr>
        <w:t xml:space="preserve"> drugs </w:t>
      </w:r>
      <w:r w:rsidR="000E4895" w:rsidRPr="004273FE">
        <w:rPr>
          <w:rFonts w:ascii="MinionPro" w:hAnsi="MinionPro"/>
          <w:sz w:val="20"/>
          <w:szCs w:val="20"/>
          <w:lang w:val="en-US"/>
        </w:rPr>
        <w:t>ha</w:t>
      </w:r>
      <w:r w:rsidR="0069541D" w:rsidRPr="004273FE">
        <w:rPr>
          <w:rFonts w:ascii="MinionPro" w:hAnsi="MinionPro"/>
          <w:sz w:val="20"/>
          <w:szCs w:val="20"/>
          <w:lang w:val="en-US"/>
        </w:rPr>
        <w:t>ve</w:t>
      </w:r>
      <w:r w:rsidR="000E4895" w:rsidRPr="004273FE">
        <w:rPr>
          <w:rFonts w:ascii="MinionPro" w:hAnsi="MinionPro"/>
          <w:sz w:val="20"/>
          <w:szCs w:val="20"/>
          <w:lang w:val="en-US"/>
        </w:rPr>
        <w:t xml:space="preserve"> been recently studied by our group</w:t>
      </w:r>
      <w:r w:rsidR="007D7650" w:rsidRPr="004273FE">
        <w:rPr>
          <w:rFonts w:ascii="MinionPro" w:hAnsi="MinionPro"/>
          <w:sz w:val="20"/>
          <w:szCs w:val="20"/>
          <w:lang w:val="en-US"/>
        </w:rPr>
        <w:t xml:space="preserve"> and others</w:t>
      </w:r>
      <w:r w:rsidRPr="004273FE">
        <w:rPr>
          <w:rFonts w:ascii="MinionPro" w:hAnsi="MinionPro"/>
          <w:sz w:val="20"/>
          <w:szCs w:val="20"/>
          <w:lang w:val="en-US"/>
        </w:rPr>
        <w:t xml:space="preserve">. </w:t>
      </w:r>
      <w:r w:rsidR="00DB3A80" w:rsidRPr="004273FE">
        <w:rPr>
          <w:rFonts w:ascii="MinionPro" w:hAnsi="MinionPro"/>
          <w:sz w:val="20"/>
          <w:szCs w:val="20"/>
          <w:lang w:val="en-US"/>
        </w:rPr>
        <w:t xml:space="preserve">Dolutegravir and </w:t>
      </w:r>
      <w:proofErr w:type="spellStart"/>
      <w:r w:rsidR="00DB3A80" w:rsidRPr="004273FE">
        <w:rPr>
          <w:rFonts w:ascii="MinionPro" w:hAnsi="MinionPro"/>
          <w:sz w:val="20"/>
          <w:szCs w:val="20"/>
          <w:lang w:val="en-US"/>
        </w:rPr>
        <w:t>Bictegravir</w:t>
      </w:r>
      <w:proofErr w:type="spellEnd"/>
      <w:r w:rsidR="00DB3A80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0E7E5F" w:rsidRPr="004273FE">
        <w:rPr>
          <w:rFonts w:ascii="MinionPro" w:hAnsi="MinionPro"/>
          <w:sz w:val="20"/>
          <w:szCs w:val="20"/>
          <w:lang w:val="en-US"/>
        </w:rPr>
        <w:t>reach effective concentrations in the CSF. However</w:t>
      </w:r>
      <w:r w:rsidR="004A593F" w:rsidRPr="004273FE">
        <w:rPr>
          <w:rFonts w:ascii="MinionPro" w:hAnsi="MinionPro"/>
          <w:sz w:val="20"/>
          <w:szCs w:val="20"/>
          <w:lang w:val="en-US"/>
        </w:rPr>
        <w:t>,</w:t>
      </w:r>
      <w:r w:rsidR="000E7E5F" w:rsidRPr="004273FE">
        <w:rPr>
          <w:rFonts w:ascii="MinionPro" w:hAnsi="MinionPro"/>
          <w:sz w:val="20"/>
          <w:szCs w:val="20"/>
          <w:lang w:val="en-US"/>
        </w:rPr>
        <w:t xml:space="preserve"> unbound DTG and BIC concentrations in CSF are only 23% and 35% of total drug in CSF respectively</w:t>
      </w:r>
      <w:r w:rsidR="0038637C">
        <w:rPr>
          <w:rFonts w:ascii="MinionPro" w:hAnsi="MinionPro"/>
          <w:sz w:val="20"/>
          <w:szCs w:val="20"/>
          <w:lang w:val="en-US"/>
        </w:rPr>
        <w:t xml:space="preserve"> [9-10]</w:t>
      </w:r>
      <w:r w:rsidR="000E7E5F" w:rsidRPr="004273FE">
        <w:rPr>
          <w:rFonts w:ascii="MinionPro" w:hAnsi="MinionPro"/>
          <w:sz w:val="20"/>
          <w:szCs w:val="20"/>
          <w:lang w:val="en-US"/>
        </w:rPr>
        <w:t>.</w:t>
      </w:r>
      <w:r w:rsidR="00DB3A80" w:rsidRPr="004273FE">
        <w:rPr>
          <w:rFonts w:ascii="MinionPro" w:hAnsi="MinionPro"/>
          <w:sz w:val="20"/>
          <w:szCs w:val="20"/>
          <w:lang w:val="en-US"/>
        </w:rPr>
        <w:t xml:space="preserve"> </w:t>
      </w:r>
    </w:p>
    <w:p w14:paraId="7C176C94" w14:textId="5ECDC14F" w:rsidR="00DB3A80" w:rsidRPr="004273FE" w:rsidRDefault="00DB3A80" w:rsidP="00D833BB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4273FE">
        <w:rPr>
          <w:rFonts w:ascii="MinionPro" w:hAnsi="MinionPro"/>
          <w:sz w:val="20"/>
          <w:szCs w:val="20"/>
          <w:lang w:val="en-US"/>
        </w:rPr>
        <w:lastRenderedPageBreak/>
        <w:t xml:space="preserve">The ratio of drug concentration </w:t>
      </w:r>
      <w:proofErr w:type="gramStart"/>
      <w:r w:rsidRPr="004273FE">
        <w:rPr>
          <w:rFonts w:ascii="MinionPro" w:hAnsi="MinionPro"/>
          <w:sz w:val="20"/>
          <w:szCs w:val="20"/>
          <w:lang w:val="en-US"/>
        </w:rPr>
        <w:t>achieved  in</w:t>
      </w:r>
      <w:proofErr w:type="gramEnd"/>
      <w:r w:rsidRPr="004273FE">
        <w:rPr>
          <w:rFonts w:ascii="MinionPro" w:hAnsi="MinionPro"/>
          <w:sz w:val="20"/>
          <w:szCs w:val="20"/>
          <w:lang w:val="en-US"/>
        </w:rPr>
        <w:t xml:space="preserve"> the CSF to the known EC</w:t>
      </w:r>
      <w:r w:rsidRPr="004273FE">
        <w:rPr>
          <w:rFonts w:ascii="MinionPro" w:hAnsi="MinionPro"/>
          <w:sz w:val="20"/>
          <w:szCs w:val="20"/>
          <w:vertAlign w:val="subscript"/>
          <w:lang w:val="en-US"/>
        </w:rPr>
        <w:t>50</w:t>
      </w:r>
      <w:r w:rsidR="007D7650" w:rsidRPr="004273FE">
        <w:rPr>
          <w:rFonts w:ascii="MinionPro" w:hAnsi="MinionPro"/>
          <w:sz w:val="20"/>
          <w:szCs w:val="20"/>
          <w:vertAlign w:val="subscript"/>
          <w:lang w:val="en-US"/>
        </w:rPr>
        <w:t>-95</w:t>
      </w:r>
      <w:r w:rsidRPr="004273FE">
        <w:rPr>
          <w:rFonts w:ascii="MinionPro" w:hAnsi="MinionPro"/>
          <w:sz w:val="20"/>
          <w:szCs w:val="20"/>
          <w:vertAlign w:val="subscript"/>
          <w:lang w:val="en-US"/>
        </w:rPr>
        <w:t xml:space="preserve"> </w:t>
      </w:r>
      <w:r w:rsidRPr="004273FE">
        <w:rPr>
          <w:rFonts w:ascii="MinionPro" w:hAnsi="MinionPro"/>
          <w:sz w:val="20"/>
          <w:szCs w:val="20"/>
          <w:lang w:val="en-US"/>
        </w:rPr>
        <w:t>refers to the CSF inhibitory quotient (IQ). This a useful concept to estimate antiviral activity and can be used to compare different antiretroviral drugs</w:t>
      </w:r>
      <w:r w:rsidR="007D7650" w:rsidRPr="004273FE">
        <w:rPr>
          <w:rFonts w:ascii="MinionPro" w:hAnsi="MinionPro"/>
          <w:sz w:val="20"/>
          <w:szCs w:val="20"/>
          <w:lang w:val="en-US"/>
        </w:rPr>
        <w:t xml:space="preserve"> activity within the CNS</w:t>
      </w:r>
      <w:r w:rsidRPr="004273FE">
        <w:rPr>
          <w:rFonts w:ascii="MinionPro" w:hAnsi="MinionPro"/>
          <w:sz w:val="20"/>
          <w:szCs w:val="20"/>
          <w:lang w:val="en-US"/>
        </w:rPr>
        <w:t xml:space="preserve">. </w:t>
      </w:r>
      <w:r w:rsidR="007D7650" w:rsidRPr="004273FE">
        <w:rPr>
          <w:rFonts w:ascii="MinionPro" w:hAnsi="MinionPro"/>
          <w:sz w:val="20"/>
          <w:szCs w:val="20"/>
          <w:lang w:val="en-US"/>
        </w:rPr>
        <w:t xml:space="preserve">Because only protein-free </w:t>
      </w:r>
      <w:proofErr w:type="gramStart"/>
      <w:r w:rsidR="007D7650" w:rsidRPr="004273FE">
        <w:rPr>
          <w:rFonts w:ascii="MinionPro" w:hAnsi="MinionPro"/>
          <w:sz w:val="20"/>
          <w:szCs w:val="20"/>
          <w:lang w:val="en-US"/>
        </w:rPr>
        <w:t>drug  is</w:t>
      </w:r>
      <w:proofErr w:type="gramEnd"/>
      <w:r w:rsidR="007D7650" w:rsidRPr="004273FE">
        <w:rPr>
          <w:rFonts w:ascii="MinionPro" w:hAnsi="MinionPro"/>
          <w:sz w:val="20"/>
          <w:szCs w:val="20"/>
          <w:lang w:val="en-US"/>
        </w:rPr>
        <w:t xml:space="preserve"> active, </w:t>
      </w:r>
      <w:r w:rsidRPr="004273FE">
        <w:rPr>
          <w:rFonts w:ascii="MinionPro" w:hAnsi="MinionPro"/>
          <w:sz w:val="20"/>
          <w:szCs w:val="20"/>
          <w:lang w:val="en-US"/>
        </w:rPr>
        <w:t>when the CSF unbound fraction is known</w:t>
      </w:r>
      <w:r w:rsidR="007D7650" w:rsidRPr="004273FE">
        <w:rPr>
          <w:rFonts w:ascii="MinionPro" w:hAnsi="MinionPro"/>
          <w:sz w:val="20"/>
          <w:szCs w:val="20"/>
          <w:lang w:val="en-US"/>
        </w:rPr>
        <w:t>,</w:t>
      </w:r>
      <w:r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4A593F" w:rsidRPr="004273FE">
        <w:rPr>
          <w:rFonts w:ascii="MinionPro" w:hAnsi="MinionPro"/>
          <w:sz w:val="20"/>
          <w:szCs w:val="20"/>
          <w:lang w:val="en-US"/>
        </w:rPr>
        <w:t xml:space="preserve">a new approach, the </w:t>
      </w:r>
      <w:r w:rsidR="004A593F" w:rsidRPr="004273FE">
        <w:rPr>
          <w:rFonts w:ascii="MinionPro" w:hAnsi="MinionPro"/>
          <w:i/>
          <w:iCs/>
          <w:sz w:val="20"/>
          <w:szCs w:val="20"/>
          <w:lang w:val="en-US"/>
        </w:rPr>
        <w:t>“</w:t>
      </w:r>
      <w:proofErr w:type="spellStart"/>
      <w:r w:rsidRPr="004273FE">
        <w:rPr>
          <w:rFonts w:ascii="MinionPro" w:hAnsi="MinionPro"/>
          <w:i/>
          <w:iCs/>
          <w:sz w:val="20"/>
          <w:szCs w:val="20"/>
          <w:lang w:val="en-US"/>
        </w:rPr>
        <w:t>freeCSF</w:t>
      </w:r>
      <w:proofErr w:type="spellEnd"/>
      <w:r w:rsidRPr="004273FE">
        <w:rPr>
          <w:rFonts w:ascii="MinionPro" w:hAnsi="MinionPro"/>
          <w:i/>
          <w:iCs/>
          <w:sz w:val="20"/>
          <w:szCs w:val="20"/>
          <w:lang w:val="en-US"/>
        </w:rPr>
        <w:t xml:space="preserve"> IQ</w:t>
      </w:r>
      <w:r w:rsidR="004A593F" w:rsidRPr="004273FE">
        <w:rPr>
          <w:rFonts w:ascii="MinionPro" w:hAnsi="MinionPro"/>
          <w:i/>
          <w:iCs/>
          <w:sz w:val="20"/>
          <w:szCs w:val="20"/>
          <w:lang w:val="en-US"/>
        </w:rPr>
        <w:t>”</w:t>
      </w:r>
      <w:r w:rsidRPr="004273FE">
        <w:rPr>
          <w:rFonts w:ascii="MinionPro" w:hAnsi="MinionPro"/>
          <w:sz w:val="20"/>
          <w:szCs w:val="20"/>
          <w:lang w:val="en-US"/>
        </w:rPr>
        <w:t xml:space="preserve"> (</w:t>
      </w:r>
      <w:r w:rsidRPr="004273FE">
        <w:rPr>
          <w:rFonts w:ascii="MinionPro" w:hAnsi="MinionPro"/>
          <w:sz w:val="20"/>
          <w:szCs w:val="20"/>
          <w:vertAlign w:val="subscript"/>
          <w:lang w:val="en-US"/>
        </w:rPr>
        <w:t>free</w:t>
      </w:r>
      <w:r w:rsidR="004A593F" w:rsidRPr="004273FE">
        <w:rPr>
          <w:rFonts w:ascii="MinionPro" w:hAnsi="MinionPro"/>
          <w:sz w:val="20"/>
          <w:szCs w:val="20"/>
          <w:vertAlign w:val="subscript"/>
          <w:lang w:val="en-US"/>
        </w:rPr>
        <w:t>[ ]</w:t>
      </w:r>
      <w:r w:rsidRPr="004273FE">
        <w:rPr>
          <w:rFonts w:ascii="MinionPro" w:hAnsi="MinionPro"/>
          <w:sz w:val="20"/>
          <w:szCs w:val="20"/>
          <w:lang w:val="en-US"/>
        </w:rPr>
        <w:t>CSF/EC</w:t>
      </w:r>
      <w:r w:rsidRPr="004273FE">
        <w:rPr>
          <w:rFonts w:ascii="MinionPro" w:hAnsi="MinionPro"/>
          <w:sz w:val="20"/>
          <w:szCs w:val="20"/>
          <w:vertAlign w:val="subscript"/>
          <w:lang w:val="en-US"/>
        </w:rPr>
        <w:t>50-95</w:t>
      </w:r>
      <w:r w:rsidRPr="004273FE">
        <w:rPr>
          <w:rFonts w:ascii="MinionPro" w:hAnsi="MinionPro"/>
          <w:sz w:val="20"/>
          <w:szCs w:val="20"/>
          <w:lang w:val="en-US"/>
        </w:rPr>
        <w:t>) may be more accurate</w:t>
      </w:r>
      <w:r w:rsidR="007D7650" w:rsidRPr="004273FE">
        <w:rPr>
          <w:rFonts w:ascii="MinionPro" w:hAnsi="MinionPro"/>
          <w:sz w:val="20"/>
          <w:szCs w:val="20"/>
          <w:lang w:val="en-US"/>
        </w:rPr>
        <w:t>.</w:t>
      </w:r>
      <w:r w:rsidRPr="004273FE">
        <w:rPr>
          <w:rFonts w:ascii="MinionPro" w:hAnsi="MinionPro"/>
          <w:sz w:val="20"/>
          <w:szCs w:val="20"/>
          <w:lang w:val="en-US"/>
        </w:rPr>
        <w:t xml:space="preserve"> The known greater potency of BIC and DTG result in a high </w:t>
      </w:r>
      <w:proofErr w:type="spellStart"/>
      <w:r w:rsidRPr="004273FE">
        <w:rPr>
          <w:rFonts w:ascii="MinionPro" w:hAnsi="MinionPro"/>
          <w:i/>
          <w:iCs/>
          <w:sz w:val="20"/>
          <w:szCs w:val="20"/>
          <w:lang w:val="en-US"/>
        </w:rPr>
        <w:t>freeCSF</w:t>
      </w:r>
      <w:proofErr w:type="spellEnd"/>
      <w:r w:rsidRPr="004273FE">
        <w:rPr>
          <w:rFonts w:ascii="MinionPro" w:hAnsi="MinionPro"/>
          <w:i/>
          <w:iCs/>
          <w:sz w:val="20"/>
          <w:szCs w:val="20"/>
          <w:lang w:val="en-US"/>
        </w:rPr>
        <w:t xml:space="preserve"> IQ</w:t>
      </w:r>
      <w:r w:rsidR="0038637C">
        <w:rPr>
          <w:rFonts w:ascii="MinionPro" w:hAnsi="MinionPro"/>
          <w:sz w:val="20"/>
          <w:szCs w:val="20"/>
          <w:lang w:val="en-US"/>
        </w:rPr>
        <w:t>, BIC</w:t>
      </w:r>
      <w:r w:rsidRPr="004273FE">
        <w:rPr>
          <w:rFonts w:ascii="MinionPro" w:hAnsi="MinionPro"/>
          <w:sz w:val="20"/>
          <w:szCs w:val="20"/>
          <w:lang w:val="en-US"/>
        </w:rPr>
        <w:t xml:space="preserve"> 2.2</w:t>
      </w:r>
      <w:r w:rsidR="00602E6A"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38637C">
        <w:rPr>
          <w:rFonts w:ascii="MinionPro" w:hAnsi="MinionPro"/>
          <w:sz w:val="20"/>
          <w:szCs w:val="20"/>
          <w:lang w:val="en-US"/>
        </w:rPr>
        <w:t>and DTG</w:t>
      </w:r>
      <w:r w:rsidRPr="004273FE">
        <w:rPr>
          <w:rFonts w:ascii="MinionPro" w:hAnsi="MinionPro"/>
          <w:sz w:val="20"/>
          <w:szCs w:val="20"/>
          <w:lang w:val="en-US"/>
        </w:rPr>
        <w:t xml:space="preserve"> 8.5. However as most of the CSF DOR is unbound we found that DOR </w:t>
      </w:r>
      <w:proofErr w:type="spellStart"/>
      <w:r w:rsidRPr="004273FE">
        <w:rPr>
          <w:rFonts w:ascii="MinionPro" w:hAnsi="MinionPro"/>
          <w:i/>
          <w:iCs/>
          <w:sz w:val="20"/>
          <w:szCs w:val="20"/>
          <w:lang w:val="en-US"/>
        </w:rPr>
        <w:t>freeCSF</w:t>
      </w:r>
      <w:proofErr w:type="spellEnd"/>
      <w:r w:rsidRPr="004273FE">
        <w:rPr>
          <w:rFonts w:ascii="MinionPro" w:hAnsi="MinionPro"/>
          <w:i/>
          <w:iCs/>
          <w:sz w:val="20"/>
          <w:szCs w:val="20"/>
          <w:lang w:val="en-US"/>
        </w:rPr>
        <w:t xml:space="preserve"> IQ</w:t>
      </w:r>
      <w:r w:rsidRPr="004273FE">
        <w:rPr>
          <w:rFonts w:ascii="MinionPro" w:hAnsi="MinionPro"/>
          <w:sz w:val="20"/>
          <w:szCs w:val="20"/>
          <w:lang w:val="en-US"/>
        </w:rPr>
        <w:t xml:space="preserve"> </w:t>
      </w:r>
      <w:r w:rsidR="004A593F" w:rsidRPr="004273FE">
        <w:rPr>
          <w:rFonts w:ascii="MinionPro" w:hAnsi="MinionPro"/>
          <w:sz w:val="20"/>
          <w:szCs w:val="20"/>
          <w:lang w:val="en-US"/>
        </w:rPr>
        <w:t xml:space="preserve">is higher </w:t>
      </w:r>
      <w:proofErr w:type="spellStart"/>
      <w:r w:rsidR="004A593F" w:rsidRPr="004273FE">
        <w:rPr>
          <w:rFonts w:ascii="MinionPro" w:hAnsi="MinionPro"/>
          <w:sz w:val="20"/>
          <w:szCs w:val="20"/>
          <w:lang w:val="en-US"/>
        </w:rPr>
        <w:t>tan</w:t>
      </w:r>
      <w:proofErr w:type="spellEnd"/>
      <w:r w:rsidR="004A593F" w:rsidRPr="004273FE">
        <w:rPr>
          <w:rFonts w:ascii="MinionPro" w:hAnsi="MinionPro"/>
          <w:sz w:val="20"/>
          <w:szCs w:val="20"/>
          <w:lang w:val="en-US"/>
        </w:rPr>
        <w:t xml:space="preserve"> BIC and similar to DTG </w:t>
      </w:r>
      <w:r w:rsidR="00D833BB" w:rsidRPr="004273FE">
        <w:rPr>
          <w:rFonts w:ascii="MinionPro" w:hAnsi="MinionPro"/>
          <w:sz w:val="20"/>
          <w:szCs w:val="20"/>
          <w:lang w:val="en-US"/>
        </w:rPr>
        <w:t>(</w:t>
      </w:r>
      <w:r w:rsidRPr="004273FE">
        <w:rPr>
          <w:rFonts w:ascii="MinionPro" w:hAnsi="MinionPro"/>
          <w:sz w:val="20"/>
          <w:szCs w:val="20"/>
          <w:lang w:val="en-US"/>
        </w:rPr>
        <w:t>8.6</w:t>
      </w:r>
      <w:r w:rsidR="00D833BB" w:rsidRPr="004273FE">
        <w:rPr>
          <w:rFonts w:ascii="MinionPro" w:hAnsi="MinionPro"/>
          <w:sz w:val="20"/>
          <w:szCs w:val="20"/>
          <w:lang w:val="en-US"/>
        </w:rPr>
        <w:t>)</w:t>
      </w:r>
      <w:r w:rsidRPr="004273FE">
        <w:rPr>
          <w:rFonts w:ascii="MinionPro" w:hAnsi="MinionPro"/>
          <w:sz w:val="20"/>
          <w:szCs w:val="20"/>
          <w:lang w:val="en-US"/>
        </w:rPr>
        <w:t>.</w:t>
      </w:r>
    </w:p>
    <w:p w14:paraId="6E1ABE4C" w14:textId="132F6E57" w:rsidR="00D833BB" w:rsidRDefault="00D833BB" w:rsidP="00D833BB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4273FE">
        <w:rPr>
          <w:rFonts w:ascii="MinionPro" w:hAnsi="MinionPro"/>
          <w:sz w:val="20"/>
          <w:szCs w:val="20"/>
          <w:lang w:val="en-US"/>
        </w:rPr>
        <w:t>In conclusion DOR exposure is high as well as its protein-free concentrations in CSF. Th</w:t>
      </w:r>
      <w:r w:rsidR="007D7650" w:rsidRPr="004273FE">
        <w:rPr>
          <w:rFonts w:ascii="MinionPro" w:hAnsi="MinionPro"/>
          <w:sz w:val="20"/>
          <w:szCs w:val="20"/>
          <w:lang w:val="en-US"/>
        </w:rPr>
        <w:t xml:space="preserve">ese </w:t>
      </w:r>
      <w:r w:rsidRPr="004273FE">
        <w:rPr>
          <w:rFonts w:ascii="MinionPro" w:hAnsi="MinionPro"/>
          <w:sz w:val="20"/>
          <w:szCs w:val="20"/>
          <w:lang w:val="en-US"/>
        </w:rPr>
        <w:t>results suggest that DOR, in combination with other ARV drugs</w:t>
      </w:r>
      <w:r w:rsidR="000E76AF" w:rsidRPr="004273FE">
        <w:rPr>
          <w:rFonts w:ascii="MinionPro" w:hAnsi="MinionPro"/>
          <w:sz w:val="20"/>
          <w:szCs w:val="20"/>
          <w:lang w:val="en-US"/>
        </w:rPr>
        <w:t xml:space="preserve"> with known antiviral activity within the </w:t>
      </w:r>
      <w:proofErr w:type="gramStart"/>
      <w:r w:rsidR="000E76AF" w:rsidRPr="004273FE">
        <w:rPr>
          <w:rFonts w:ascii="MinionPro" w:hAnsi="MinionPro"/>
          <w:sz w:val="20"/>
          <w:szCs w:val="20"/>
          <w:lang w:val="en-US"/>
        </w:rPr>
        <w:t xml:space="preserve">CNS </w:t>
      </w:r>
      <w:r w:rsidRPr="004273FE">
        <w:rPr>
          <w:rFonts w:ascii="MinionPro" w:hAnsi="MinionPro"/>
          <w:sz w:val="20"/>
          <w:szCs w:val="20"/>
          <w:lang w:val="en-US"/>
        </w:rPr>
        <w:t>,</w:t>
      </w:r>
      <w:proofErr w:type="gramEnd"/>
      <w:r w:rsidRPr="004273FE">
        <w:rPr>
          <w:rFonts w:ascii="MinionPro" w:hAnsi="MinionPro"/>
          <w:sz w:val="20"/>
          <w:szCs w:val="20"/>
          <w:lang w:val="en-US"/>
        </w:rPr>
        <w:t xml:space="preserve"> should be used in those patients with HIV</w:t>
      </w:r>
      <w:r w:rsidR="007D7650" w:rsidRPr="004273FE">
        <w:rPr>
          <w:rFonts w:ascii="MinionPro" w:hAnsi="MinionPro"/>
          <w:sz w:val="20"/>
          <w:szCs w:val="20"/>
          <w:lang w:val="en-US"/>
        </w:rPr>
        <w:t>-</w:t>
      </w:r>
      <w:r w:rsidRPr="004273FE">
        <w:rPr>
          <w:rFonts w:ascii="MinionPro" w:hAnsi="MinionPro"/>
          <w:sz w:val="20"/>
          <w:szCs w:val="20"/>
          <w:lang w:val="en-US"/>
        </w:rPr>
        <w:t>associated neurologic complications.</w:t>
      </w:r>
      <w:r w:rsidR="007D7650" w:rsidRPr="004273FE">
        <w:rPr>
          <w:rFonts w:ascii="MinionPro" w:hAnsi="MinionPro"/>
          <w:sz w:val="20"/>
          <w:szCs w:val="20"/>
          <w:lang w:val="en-US"/>
        </w:rPr>
        <w:t xml:space="preserve"> </w:t>
      </w:r>
    </w:p>
    <w:p w14:paraId="066EB1FE" w14:textId="43C33443" w:rsidR="00DA217F" w:rsidRDefault="00DA217F" w:rsidP="00DA217F">
      <w:pPr>
        <w:spacing w:line="480" w:lineRule="auto"/>
        <w:jc w:val="both"/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</w:pPr>
      <w:r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Notes</w:t>
      </w:r>
    </w:p>
    <w:p w14:paraId="7E182489" w14:textId="31851B38" w:rsidR="00DA217F" w:rsidRPr="00DA217F" w:rsidRDefault="00DA217F" w:rsidP="00DA217F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9D46B7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Disclaimer.</w:t>
      </w:r>
      <w:r w:rsidRPr="00DA217F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Merck Sharp &amp; Dome (MSD) was given the opportunity to review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DA217F">
        <w:rPr>
          <w:rFonts w:ascii="MinionPro" w:eastAsia="Times New Roman" w:hAnsi="MinionPro" w:cs="Times New Roman"/>
          <w:sz w:val="20"/>
          <w:szCs w:val="20"/>
          <w:lang w:eastAsia="es-ES_tradnl"/>
        </w:rPr>
        <w:t>a preliminary version of this article for factual accuracy.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DA217F">
        <w:rPr>
          <w:rFonts w:ascii="MinionPro" w:eastAsia="Times New Roman" w:hAnsi="MinionPro" w:cs="Times New Roman"/>
          <w:sz w:val="20"/>
          <w:szCs w:val="20"/>
          <w:lang w:eastAsia="es-ES_tradnl"/>
        </w:rPr>
        <w:t>The authors are solely responsible for the study design, interpretation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DA217F">
        <w:rPr>
          <w:rFonts w:ascii="MinionPro" w:eastAsia="Times New Roman" w:hAnsi="MinionPro" w:cs="Times New Roman"/>
          <w:sz w:val="20"/>
          <w:szCs w:val="20"/>
          <w:lang w:eastAsia="es-ES_tradnl"/>
        </w:rPr>
        <w:t>of results, and final content of the article.</w:t>
      </w:r>
    </w:p>
    <w:p w14:paraId="65736F99" w14:textId="78EA1D09" w:rsidR="00AC2339" w:rsidRPr="00AC2339" w:rsidRDefault="00DA217F" w:rsidP="00AC2339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9D46B7">
        <w:rPr>
          <w:rFonts w:ascii="MinionPro" w:hAnsi="MinionPro"/>
          <w:b/>
          <w:bCs/>
          <w:sz w:val="20"/>
          <w:szCs w:val="20"/>
          <w:lang w:val="en-US"/>
        </w:rPr>
        <w:t>Financial support.</w:t>
      </w:r>
      <w:r w:rsidRPr="00DA217F">
        <w:rPr>
          <w:rFonts w:ascii="MinionPro" w:hAnsi="MinionPro"/>
          <w:sz w:val="20"/>
          <w:szCs w:val="20"/>
          <w:lang w:val="en-US"/>
        </w:rPr>
        <w:t xml:space="preserve"> Spanish centers and Spanish investigators</w:t>
      </w:r>
      <w:r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="00AC2339">
        <w:rPr>
          <w:rFonts w:ascii="MinionPro" w:hAnsi="MinionPro"/>
          <w:sz w:val="20"/>
          <w:szCs w:val="20"/>
          <w:lang w:val="en-US"/>
        </w:rPr>
        <w:t xml:space="preserve">were partially funded by the </w:t>
      </w:r>
      <w:proofErr w:type="spellStart"/>
      <w:r w:rsidRPr="00AC2339">
        <w:rPr>
          <w:rFonts w:ascii="MinionPro" w:hAnsi="MinionPro"/>
          <w:sz w:val="20"/>
          <w:szCs w:val="20"/>
          <w:lang w:val="en-US"/>
        </w:rPr>
        <w:t>PreEC</w:t>
      </w:r>
      <w:proofErr w:type="spellEnd"/>
      <w:r w:rsidRPr="00AC2339">
        <w:rPr>
          <w:rFonts w:ascii="MinionPro" w:hAnsi="MinionPro"/>
          <w:sz w:val="20"/>
          <w:szCs w:val="20"/>
          <w:lang w:val="en-US"/>
        </w:rPr>
        <w:t xml:space="preserve">/RIS65 </w:t>
      </w:r>
      <w:r w:rsidRPr="00DA217F">
        <w:rPr>
          <w:rFonts w:ascii="MinionPro" w:hAnsi="MinionPro"/>
          <w:sz w:val="20"/>
          <w:szCs w:val="20"/>
          <w:lang w:val="en-US"/>
        </w:rPr>
        <w:t>integrated</w:t>
      </w:r>
      <w:r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="00AC2339" w:rsidRPr="00AC2339">
        <w:rPr>
          <w:rFonts w:ascii="MinionPro" w:hAnsi="MinionPro"/>
          <w:sz w:val="20"/>
          <w:szCs w:val="20"/>
          <w:lang w:val="en-US"/>
        </w:rPr>
        <w:t xml:space="preserve">in the </w:t>
      </w:r>
      <w:r w:rsidRPr="00DA217F">
        <w:rPr>
          <w:rFonts w:ascii="MinionPro" w:hAnsi="MinionPro"/>
          <w:sz w:val="20"/>
          <w:szCs w:val="20"/>
          <w:lang w:val="en-US"/>
        </w:rPr>
        <w:t xml:space="preserve">Plan Nacional 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I+D+i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 and 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cofunded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 by the Spanish</w:t>
      </w:r>
      <w:r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 xml:space="preserve">Instituto de 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Salud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 Carlos III (ISCIII)-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Subdireccion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 General de</w:t>
      </w:r>
      <w:r w:rsidRPr="00AC2339">
        <w:rPr>
          <w:rFonts w:ascii="MinionPro" w:hAnsi="MinionPro"/>
          <w:sz w:val="20"/>
          <w:szCs w:val="20"/>
          <w:lang w:val="en-US"/>
        </w:rPr>
        <w:t xml:space="preserve"> 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Evaluacion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 and European Regional Development Fund. </w:t>
      </w:r>
      <w:r w:rsidRPr="00AC2339">
        <w:rPr>
          <w:rFonts w:ascii="MinionPro" w:hAnsi="MinionPro"/>
          <w:sz w:val="20"/>
          <w:szCs w:val="20"/>
          <w:lang w:val="en-US"/>
        </w:rPr>
        <w:t>MSD</w:t>
      </w:r>
      <w:r w:rsid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>provided financial support to this work.</w:t>
      </w:r>
      <w:r w:rsidR="00AC2339" w:rsidRPr="00AC2339">
        <w:rPr>
          <w:rFonts w:ascii="MinionPro" w:hAnsi="MinionPro"/>
          <w:sz w:val="20"/>
          <w:szCs w:val="20"/>
          <w:lang w:val="en-US"/>
        </w:rPr>
        <w:t xml:space="preserve"> </w:t>
      </w:r>
    </w:p>
    <w:p w14:paraId="1B49F0CC" w14:textId="7A0FF5C6" w:rsidR="00DA217F" w:rsidRPr="00DA217F" w:rsidRDefault="00DA217F" w:rsidP="00AC2339">
      <w:pPr>
        <w:pStyle w:val="NormalWeb"/>
        <w:spacing w:line="480" w:lineRule="auto"/>
        <w:rPr>
          <w:rFonts w:ascii="MinionPro" w:hAnsi="MinionPro"/>
          <w:sz w:val="20"/>
          <w:szCs w:val="20"/>
          <w:lang w:val="en-US"/>
        </w:rPr>
      </w:pPr>
      <w:r w:rsidRPr="009D46B7">
        <w:rPr>
          <w:rFonts w:ascii="MinionPro" w:hAnsi="MinionPro"/>
          <w:b/>
          <w:bCs/>
          <w:sz w:val="20"/>
          <w:szCs w:val="20"/>
          <w:lang w:val="en-US"/>
        </w:rPr>
        <w:t>Potential conflicts of interest.</w:t>
      </w:r>
      <w:r w:rsidRPr="00DA217F">
        <w:rPr>
          <w:rFonts w:ascii="MinionPro" w:hAnsi="MinionPro"/>
          <w:sz w:val="20"/>
          <w:szCs w:val="20"/>
          <w:lang w:val="en-US"/>
        </w:rPr>
        <w:t xml:space="preserve"> J. T., </w:t>
      </w:r>
      <w:r w:rsidRPr="00AC2339">
        <w:rPr>
          <w:rFonts w:ascii="MinionPro" w:hAnsi="MinionPro"/>
          <w:sz w:val="20"/>
          <w:szCs w:val="20"/>
          <w:lang w:val="en-US"/>
        </w:rPr>
        <w:t xml:space="preserve">S. S., </w:t>
      </w:r>
      <w:r w:rsidRPr="00DA217F">
        <w:rPr>
          <w:rFonts w:ascii="MinionPro" w:hAnsi="MinionPro"/>
          <w:sz w:val="20"/>
          <w:szCs w:val="20"/>
          <w:lang w:val="en-US"/>
        </w:rPr>
        <w:t>A. I., P. P.</w:t>
      </w:r>
      <w:r w:rsidRPr="00AC2339">
        <w:rPr>
          <w:rFonts w:ascii="MinionPro" w:hAnsi="MinionPro"/>
          <w:sz w:val="20"/>
          <w:szCs w:val="20"/>
          <w:lang w:val="en-US"/>
        </w:rPr>
        <w:t>, S. A.</w:t>
      </w:r>
      <w:r w:rsidRPr="00DA217F">
        <w:rPr>
          <w:rFonts w:ascii="MinionPro" w:hAnsi="MinionPro"/>
          <w:sz w:val="20"/>
          <w:szCs w:val="20"/>
          <w:lang w:val="en-US"/>
        </w:rPr>
        <w:t>, and M. S. have</w:t>
      </w:r>
      <w:r w:rsidR="00AC2339"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>received financial compensation for lectures, consultancies,</w:t>
      </w:r>
      <w:r w:rsidR="00AC2339"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>and educational activities, as well as research funding for from</w:t>
      </w:r>
      <w:r w:rsid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>Gilead Sciences, Janssen-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Cilag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, </w:t>
      </w:r>
      <w:r w:rsidRPr="00AC2339">
        <w:rPr>
          <w:rFonts w:ascii="MinionPro" w:hAnsi="MinionPro"/>
          <w:sz w:val="20"/>
          <w:szCs w:val="20"/>
          <w:lang w:val="en-US"/>
        </w:rPr>
        <w:t>MSD</w:t>
      </w:r>
      <w:r w:rsidRPr="00DA217F">
        <w:rPr>
          <w:rFonts w:ascii="MinionPro" w:hAnsi="MinionPro"/>
          <w:sz w:val="20"/>
          <w:szCs w:val="20"/>
          <w:lang w:val="en-US"/>
        </w:rPr>
        <w:t xml:space="preserve">, and 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ViiV</w:t>
      </w:r>
      <w:proofErr w:type="spellEnd"/>
      <w:r w:rsidR="00AC2339"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>Healthcare. D. P. has received research grants and/or honoraria</w:t>
      </w:r>
      <w:r w:rsidR="00AC2339" w:rsidRPr="00AC2339">
        <w:rPr>
          <w:rFonts w:ascii="MinionPro" w:hAnsi="MinionPro"/>
          <w:sz w:val="20"/>
          <w:szCs w:val="20"/>
          <w:lang w:val="en-US"/>
        </w:rPr>
        <w:t xml:space="preserve"> </w:t>
      </w:r>
      <w:r w:rsidRPr="00DA217F">
        <w:rPr>
          <w:rFonts w:ascii="MinionPro" w:hAnsi="MinionPro"/>
          <w:sz w:val="20"/>
          <w:szCs w:val="20"/>
          <w:lang w:val="en-US"/>
        </w:rPr>
        <w:t>for advisories and/or conferences from Gilead Sci</w:t>
      </w:r>
      <w:r w:rsidR="00AC2339" w:rsidRPr="00AC2339">
        <w:rPr>
          <w:rFonts w:ascii="MinionPro" w:hAnsi="MinionPro"/>
          <w:sz w:val="20"/>
          <w:szCs w:val="20"/>
          <w:lang w:val="en-US"/>
        </w:rPr>
        <w:t>ences, Janssen-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Cilag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, </w:t>
      </w:r>
      <w:r w:rsidRPr="00AC2339">
        <w:rPr>
          <w:rFonts w:ascii="MinionPro" w:hAnsi="MinionPro"/>
          <w:sz w:val="20"/>
          <w:szCs w:val="20"/>
          <w:lang w:val="en-US"/>
        </w:rPr>
        <w:t>MSD</w:t>
      </w:r>
      <w:r w:rsidRPr="00DA217F">
        <w:rPr>
          <w:rFonts w:ascii="MinionPro" w:hAnsi="MinionPro"/>
          <w:sz w:val="20"/>
          <w:szCs w:val="20"/>
          <w:lang w:val="en-US"/>
        </w:rPr>
        <w:t xml:space="preserve">, and </w:t>
      </w:r>
      <w:proofErr w:type="spellStart"/>
      <w:r w:rsidRPr="00DA217F">
        <w:rPr>
          <w:rFonts w:ascii="MinionPro" w:hAnsi="MinionPro"/>
          <w:sz w:val="20"/>
          <w:szCs w:val="20"/>
          <w:lang w:val="en-US"/>
        </w:rPr>
        <w:t>ViiV</w:t>
      </w:r>
      <w:proofErr w:type="spellEnd"/>
      <w:r w:rsidRPr="00DA217F">
        <w:rPr>
          <w:rFonts w:ascii="MinionPro" w:hAnsi="MinionPro"/>
          <w:sz w:val="20"/>
          <w:szCs w:val="20"/>
          <w:lang w:val="en-US"/>
        </w:rPr>
        <w:t xml:space="preserve"> Healthcare. </w:t>
      </w:r>
    </w:p>
    <w:p w14:paraId="7C24A104" w14:textId="579566F4" w:rsidR="00313C59" w:rsidRDefault="00BD49AD" w:rsidP="00DA217F">
      <w:pPr>
        <w:pStyle w:val="Heading3"/>
        <w:shd w:val="clear" w:color="auto" w:fill="FFFFFF"/>
        <w:spacing w:line="306" w:lineRule="atLeast"/>
        <w:textAlignment w:val="baseline"/>
        <w:rPr>
          <w:rFonts w:ascii="MinionPro" w:hAnsi="MinionPro"/>
          <w:sz w:val="20"/>
          <w:szCs w:val="20"/>
          <w:lang w:val="en-US" w:eastAsia="es-ES_tradnl"/>
        </w:rPr>
      </w:pPr>
      <w:r w:rsidRPr="00DA217F">
        <w:rPr>
          <w:rFonts w:ascii="MinionPro" w:hAnsi="MinionPro"/>
          <w:sz w:val="20"/>
          <w:szCs w:val="20"/>
          <w:lang w:val="en-US" w:eastAsia="es-ES_tradnl"/>
        </w:rPr>
        <w:t>Acknowledgments</w:t>
      </w:r>
    </w:p>
    <w:p w14:paraId="199B958F" w14:textId="4A21968B" w:rsidR="00DA217F" w:rsidRPr="00AC2339" w:rsidRDefault="00DA217F" w:rsidP="00DA217F">
      <w:pPr>
        <w:pStyle w:val="Heading3"/>
        <w:shd w:val="clear" w:color="auto" w:fill="FFFFFF"/>
        <w:spacing w:line="306" w:lineRule="atLeast"/>
        <w:textAlignment w:val="baseline"/>
        <w:rPr>
          <w:rFonts w:ascii="MinionPro" w:hAnsi="MinionPro"/>
          <w:b w:val="0"/>
          <w:bCs w:val="0"/>
          <w:sz w:val="20"/>
          <w:szCs w:val="20"/>
          <w:lang w:val="en-US" w:eastAsia="es-ES_tradnl"/>
        </w:rPr>
      </w:pPr>
      <w:r w:rsidRPr="00AC2339">
        <w:rPr>
          <w:rFonts w:ascii="MinionPro" w:hAnsi="MinionPro"/>
          <w:b w:val="0"/>
          <w:bCs w:val="0"/>
          <w:sz w:val="20"/>
          <w:szCs w:val="20"/>
          <w:lang w:val="en-US" w:eastAsia="es-ES_tradnl"/>
        </w:rPr>
        <w:t>Special thanks to the patients who participated in the context of the SARS-Cov-2 pandemic</w:t>
      </w:r>
      <w:r w:rsidR="00AC2339">
        <w:rPr>
          <w:rFonts w:ascii="MinionPro" w:hAnsi="MinionPro"/>
          <w:b w:val="0"/>
          <w:bCs w:val="0"/>
          <w:sz w:val="20"/>
          <w:szCs w:val="20"/>
          <w:lang w:val="en-US" w:eastAsia="es-ES_tradnl"/>
        </w:rPr>
        <w:t>.</w:t>
      </w:r>
    </w:p>
    <w:p w14:paraId="077BFBD9" w14:textId="77777777" w:rsidR="00BD49AD" w:rsidRPr="00DA217F" w:rsidRDefault="00BD49AD" w:rsidP="00BD49AD">
      <w:pPr>
        <w:pStyle w:val="Heading3"/>
        <w:shd w:val="clear" w:color="auto" w:fill="FFFFFF"/>
        <w:spacing w:line="306" w:lineRule="atLeast"/>
        <w:textAlignment w:val="baseline"/>
        <w:rPr>
          <w:rFonts w:ascii="MinionPro" w:hAnsi="MinionPro"/>
          <w:sz w:val="20"/>
          <w:szCs w:val="20"/>
          <w:lang w:val="en-US" w:eastAsia="es-ES_tradnl"/>
        </w:rPr>
      </w:pPr>
      <w:r w:rsidRPr="00DA217F">
        <w:rPr>
          <w:rFonts w:ascii="MinionPro" w:hAnsi="MinionPro"/>
          <w:sz w:val="20"/>
          <w:szCs w:val="20"/>
          <w:lang w:val="en-US" w:eastAsia="es-ES_tradnl"/>
        </w:rPr>
        <w:lastRenderedPageBreak/>
        <w:t>References</w:t>
      </w:r>
    </w:p>
    <w:p w14:paraId="2876631A" w14:textId="2CB9D9B1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hAnsi="MinionPro"/>
          <w:sz w:val="20"/>
          <w:szCs w:val="20"/>
          <w:lang w:val="es-ES" w:eastAsia="es-ES_tradnl"/>
        </w:rPr>
        <w:t xml:space="preserve">1. </w:t>
      </w:r>
      <w:r w:rsidRPr="00DA217F">
        <w:rPr>
          <w:rFonts w:ascii="MinionPro" w:eastAsia="Times New Roman" w:hAnsi="MinionPro" w:cs="Times New Roman"/>
          <w:sz w:val="20"/>
          <w:szCs w:val="20"/>
          <w:lang w:val="es-AR" w:eastAsia="es-ES_tradnl"/>
        </w:rPr>
        <w:t xml:space="preserve">Edén A, Fuchs D, Hagberg L, et al.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HIV-1 viral e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scape in cerebrospinal fluid of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subjects on suppressive antiretroviral treatment. 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J Infect Dis, </w:t>
      </w:r>
      <w:proofErr w:type="gramStart"/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2010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;</w:t>
      </w:r>
      <w:proofErr w:type="gramEnd"/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202: 1819–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1825. </w:t>
      </w:r>
    </w:p>
    <w:p w14:paraId="714211DA" w14:textId="60F1EB60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2. Molina J, Squires K, Sax PE, et al.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versus ritonavir-boosted darunavir in antiretroviral-naïve adults with HIV-1 (DRIVE-FORWARD): 48-week results of a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randomised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double-blind, phase 3, noninferiority trial. Lancet HIV, </w:t>
      </w:r>
      <w:proofErr w:type="gramStart"/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2018</w:t>
      </w:r>
      <w:r w:rsidR="00313C59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;</w:t>
      </w:r>
      <w:proofErr w:type="gramEnd"/>
      <w:r w:rsidR="00313C59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5: e211–220.</w:t>
      </w:r>
    </w:p>
    <w:p w14:paraId="0EB3BB2E" w14:textId="77777777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3. Sanchez R,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Fillgrove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K, Yee K, et al. Characterization of the absorption, distribution, metabolism, excretion and mass balance of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a non-nucleoside reverse transcriptase inhibitor in humans.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Xenobiotica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,</w:t>
      </w:r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 xml:space="preserve"> </w:t>
      </w:r>
      <w:proofErr w:type="gramStart"/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2019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;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49: 422-432</w:t>
      </w:r>
    </w:p>
    <w:p w14:paraId="2020853E" w14:textId="77777777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4. Pérez-Valero I, Ellis R, Heaton R, et al. CSF Viral Escape in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Aviremic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HIV-Infected Patients Receiving ART: Prevalence, Risk Factors and Neurocognitive Effects AIDS,</w:t>
      </w:r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 xml:space="preserve"> 2019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; 33: 475–481.</w:t>
      </w:r>
    </w:p>
    <w:p w14:paraId="1AA45179" w14:textId="77777777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5. Nightingale </w:t>
      </w:r>
      <w:proofErr w:type="gram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S,  Dreyer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A, Saylor D, et al.  Moving on from HAND: why we need new criteria for cognitive impairment in people with HIV and a proposed way forward. CID, </w:t>
      </w:r>
      <w:proofErr w:type="gramStart"/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2021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: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ciab366.</w:t>
      </w:r>
    </w:p>
    <w:p w14:paraId="2CD66068" w14:textId="77777777" w:rsidR="00BD49AD" w:rsidRPr="00DA217F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val="es-AR"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6.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Avedissian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S,  Ravi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Dyavar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S,  Fox F,  Fletcher C, Pharmacologic approaches to HIV-associated neurocognitive disorders. </w:t>
      </w:r>
      <w:r w:rsidRPr="00DA217F">
        <w:rPr>
          <w:rFonts w:ascii="MinionPro" w:eastAsia="Times New Roman" w:hAnsi="MinionPro" w:cs="Times New Roman"/>
          <w:sz w:val="20"/>
          <w:szCs w:val="20"/>
          <w:lang w:val="es-AR" w:eastAsia="es-ES_tradnl"/>
        </w:rPr>
        <w:t xml:space="preserve">Curr Opin Pharmacol, </w:t>
      </w:r>
      <w:r w:rsidRPr="00DA217F">
        <w:rPr>
          <w:rFonts w:ascii="MinionPro" w:eastAsia="Times New Roman" w:hAnsi="MinionPro" w:cs="Times New Roman"/>
          <w:b/>
          <w:sz w:val="20"/>
          <w:szCs w:val="20"/>
          <w:lang w:val="es-AR" w:eastAsia="es-ES_tradnl"/>
        </w:rPr>
        <w:t>2020</w:t>
      </w:r>
      <w:r w:rsidRPr="00DA217F">
        <w:rPr>
          <w:rFonts w:ascii="MinionPro" w:eastAsia="Times New Roman" w:hAnsi="MinionPro" w:cs="Times New Roman"/>
          <w:sz w:val="20"/>
          <w:szCs w:val="20"/>
          <w:lang w:val="es-AR" w:eastAsia="es-ES_tradnl"/>
        </w:rPr>
        <w:t xml:space="preserve"> ; 54: 102-108.</w:t>
      </w:r>
    </w:p>
    <w:p w14:paraId="373D3A44" w14:textId="15A194E4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val="es-AR" w:eastAsia="es-ES_tradnl"/>
        </w:rPr>
        <w:t xml:space="preserve">7. Scévola S., Imaz A., Cottrell M., et al. </w:t>
      </w:r>
      <w:proofErr w:type="spellStart"/>
      <w:r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concentrations and HIV-1 RNA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suppression in m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ale and female genital </w:t>
      </w:r>
      <w:proofErr w:type="gramStart"/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fluids 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(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Abstract 362) 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In: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Program and abstracts of the 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Virtual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Conference on Retroviruses and Opportunistic Infections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, </w:t>
      </w:r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2021</w:t>
      </w:r>
      <w:r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. </w:t>
      </w:r>
    </w:p>
    <w:p w14:paraId="42F11D4B" w14:textId="77777777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8. Croteau D, Rossi </w:t>
      </w:r>
      <w:proofErr w:type="gram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S,  Best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B, et al and on behalf of the CHARTER Group. Darunavir is predominantly unbound to protein in cerebrospinal fluid and concentrations exceed the wild-type HIV-1 median 90% inhibitory concentration.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Antimicrob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Chemother. </w:t>
      </w:r>
      <w:proofErr w:type="gramStart"/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2013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;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68: 684–689.</w:t>
      </w:r>
    </w:p>
    <w:p w14:paraId="36FD90E0" w14:textId="77777777" w:rsidR="00BD49AD" w:rsidRPr="00BD49AD" w:rsidRDefault="00BD49AD" w:rsidP="00BD49AD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9. Tiraboschi JM, Rojas J, Zetterberg H, et al. No changes in HIV suppression and inflammatory markers in CSF in patients randomly switched to DTG + 3TC (Spanish HIV/AIDS Research Network,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PreEC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/RIS 62). J Infect Dis, </w:t>
      </w:r>
      <w:proofErr w:type="gramStart"/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2020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;</w:t>
      </w:r>
      <w:proofErr w:type="gram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13: jiaa645. </w:t>
      </w:r>
    </w:p>
    <w:p w14:paraId="0372D80C" w14:textId="43EF49E0" w:rsidR="00F51111" w:rsidRPr="00F51111" w:rsidRDefault="00BD49AD" w:rsidP="00B005C1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lastRenderedPageBreak/>
        <w:t xml:space="preserve">10. Tiraboschi JM, Imaz I, Khoo S, et al. Total and Unbound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Bictegravir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Concentrations and Viral Suppression in Cerebrospinal Fluid of Human Immunodeficiency Virus-Infected Patients (Spanish HIV/AIDS Research Network,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PreEC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/RIS 56) J Infect Dis, </w:t>
      </w:r>
      <w:r w:rsidRPr="00BD49AD">
        <w:rPr>
          <w:rFonts w:ascii="MinionPro" w:eastAsia="Times New Roman" w:hAnsi="MinionPro" w:cs="Times New Roman"/>
          <w:b/>
          <w:sz w:val="20"/>
          <w:szCs w:val="20"/>
          <w:lang w:eastAsia="es-ES_tradnl"/>
        </w:rPr>
        <w:t>2020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; 221: 1425-1428.</w:t>
      </w:r>
    </w:p>
    <w:p w14:paraId="4689D24C" w14:textId="5BB7807D" w:rsidR="006F06A5" w:rsidRPr="00866390" w:rsidRDefault="006B1EE7" w:rsidP="00866390">
      <w:pPr>
        <w:pStyle w:val="Heading3"/>
        <w:shd w:val="clear" w:color="auto" w:fill="FFFFFF"/>
        <w:spacing w:line="306" w:lineRule="atLeast"/>
        <w:textAlignment w:val="baseline"/>
        <w:rPr>
          <w:rFonts w:ascii="MinionPro" w:hAnsi="MinionPro"/>
          <w:sz w:val="20"/>
          <w:szCs w:val="20"/>
          <w:lang w:val="en-US" w:eastAsia="es-ES_tradnl"/>
        </w:rPr>
      </w:pPr>
      <w:r w:rsidRPr="00866390">
        <w:rPr>
          <w:rFonts w:ascii="MinionPro" w:hAnsi="MinionPro"/>
          <w:sz w:val="20"/>
          <w:szCs w:val="20"/>
          <w:lang w:val="en-US" w:eastAsia="es-ES_tradnl"/>
        </w:rPr>
        <w:t>T</w:t>
      </w:r>
      <w:r w:rsidR="00F84E77" w:rsidRPr="00866390">
        <w:rPr>
          <w:rFonts w:ascii="MinionPro" w:hAnsi="MinionPro"/>
          <w:sz w:val="20"/>
          <w:szCs w:val="20"/>
          <w:lang w:val="en-US" w:eastAsia="es-ES_tradnl"/>
        </w:rPr>
        <w:t xml:space="preserve">able </w:t>
      </w:r>
      <w:r w:rsidR="004B7CBA" w:rsidRPr="00866390">
        <w:rPr>
          <w:rFonts w:ascii="MinionPro" w:hAnsi="MinionPro"/>
          <w:sz w:val="20"/>
          <w:szCs w:val="20"/>
          <w:lang w:val="en-US" w:eastAsia="es-ES_tradnl"/>
        </w:rPr>
        <w:t>1</w:t>
      </w:r>
      <w:r w:rsidR="00F84E77" w:rsidRPr="00866390">
        <w:rPr>
          <w:rFonts w:ascii="MinionPro" w:hAnsi="MinionPro"/>
          <w:sz w:val="20"/>
          <w:szCs w:val="20"/>
          <w:lang w:val="en-US" w:eastAsia="es-ES_tradnl"/>
        </w:rPr>
        <w:t xml:space="preserve">: </w:t>
      </w:r>
      <w:r w:rsidR="004B7CBA" w:rsidRPr="00866390">
        <w:rPr>
          <w:rFonts w:ascii="MinionPro" w:hAnsi="MinionPro"/>
          <w:sz w:val="20"/>
          <w:szCs w:val="20"/>
          <w:lang w:val="en-US" w:eastAsia="es-ES_tradnl"/>
        </w:rPr>
        <w:t xml:space="preserve">Patient’s Characteristics: CSF and Plasma Results </w:t>
      </w:r>
    </w:p>
    <w:tbl>
      <w:tblPr>
        <w:tblStyle w:val="TableGrid"/>
        <w:tblW w:w="13354" w:type="dxa"/>
        <w:tblInd w:w="-1127" w:type="dxa"/>
        <w:tblLook w:val="04A0" w:firstRow="1" w:lastRow="0" w:firstColumn="1" w:lastColumn="0" w:noHBand="0" w:noVBand="1"/>
      </w:tblPr>
      <w:tblGrid>
        <w:gridCol w:w="1132"/>
        <w:gridCol w:w="1258"/>
        <w:gridCol w:w="733"/>
        <w:gridCol w:w="700"/>
        <w:gridCol w:w="882"/>
        <w:gridCol w:w="1080"/>
        <w:gridCol w:w="1080"/>
        <w:gridCol w:w="877"/>
        <w:gridCol w:w="777"/>
        <w:gridCol w:w="1006"/>
        <w:gridCol w:w="1006"/>
        <w:gridCol w:w="1223"/>
        <w:gridCol w:w="1600"/>
      </w:tblGrid>
      <w:tr w:rsidR="00F84E77" w:rsidRPr="00BD49AD" w14:paraId="4B29D253" w14:textId="77777777" w:rsidTr="009D46B7">
        <w:trPr>
          <w:trHeight w:val="340"/>
        </w:trPr>
        <w:tc>
          <w:tcPr>
            <w:tcW w:w="1132" w:type="dxa"/>
            <w:noWrap/>
            <w:vAlign w:val="center"/>
            <w:hideMark/>
          </w:tcPr>
          <w:p w14:paraId="76BFCCC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PATIENT#</w:t>
            </w:r>
          </w:p>
        </w:tc>
        <w:tc>
          <w:tcPr>
            <w:tcW w:w="1258" w:type="dxa"/>
            <w:noWrap/>
            <w:vAlign w:val="center"/>
            <w:hideMark/>
          </w:tcPr>
          <w:p w14:paraId="371FA3F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Gender/Age (years)</w:t>
            </w:r>
          </w:p>
        </w:tc>
        <w:tc>
          <w:tcPr>
            <w:tcW w:w="733" w:type="dxa"/>
            <w:noWrap/>
            <w:vAlign w:val="center"/>
            <w:hideMark/>
          </w:tcPr>
          <w:p w14:paraId="53E1307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BMI</w:t>
            </w:r>
          </w:p>
        </w:tc>
        <w:tc>
          <w:tcPr>
            <w:tcW w:w="700" w:type="dxa"/>
            <w:noWrap/>
            <w:vAlign w:val="center"/>
            <w:hideMark/>
          </w:tcPr>
          <w:p w14:paraId="010E006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 xml:space="preserve">Nadir </w:t>
            </w:r>
          </w:p>
          <w:p w14:paraId="1131625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CD4</w:t>
            </w:r>
          </w:p>
        </w:tc>
        <w:tc>
          <w:tcPr>
            <w:tcW w:w="882" w:type="dxa"/>
            <w:noWrap/>
            <w:vAlign w:val="center"/>
            <w:hideMark/>
          </w:tcPr>
          <w:p w14:paraId="2E96093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Current CD4</w:t>
            </w:r>
          </w:p>
        </w:tc>
        <w:tc>
          <w:tcPr>
            <w:tcW w:w="1080" w:type="dxa"/>
            <w:noWrap/>
            <w:vAlign w:val="center"/>
            <w:hideMark/>
          </w:tcPr>
          <w:p w14:paraId="4CED042C" w14:textId="77777777" w:rsidR="00F84E77" w:rsidRPr="00DA217F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val="es-AR" w:eastAsia="es-ES_tradnl"/>
              </w:rPr>
            </w:pPr>
            <w:r w:rsidRPr="00DA217F">
              <w:rPr>
                <w:rFonts w:ascii="MinionPro" w:hAnsi="MinionPro"/>
                <w:sz w:val="20"/>
                <w:szCs w:val="20"/>
                <w:lang w:val="es-AR" w:eastAsia="es-ES_tradnl"/>
              </w:rPr>
              <w:t>CSF HIV RNA copies/ml</w:t>
            </w:r>
          </w:p>
        </w:tc>
        <w:tc>
          <w:tcPr>
            <w:tcW w:w="1080" w:type="dxa"/>
            <w:noWrap/>
            <w:vAlign w:val="center"/>
            <w:hideMark/>
          </w:tcPr>
          <w:p w14:paraId="3BC5E51D" w14:textId="77777777" w:rsidR="00F84E77" w:rsidRPr="00DA217F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val="es-AR" w:eastAsia="es-ES_tradnl"/>
              </w:rPr>
            </w:pPr>
            <w:r w:rsidRPr="00DA217F">
              <w:rPr>
                <w:rFonts w:ascii="MinionPro" w:hAnsi="MinionPro"/>
                <w:sz w:val="20"/>
                <w:szCs w:val="20"/>
                <w:lang w:val="es-AR" w:eastAsia="es-ES_tradnl"/>
              </w:rPr>
              <w:t>Plasma HIV RNA copies/ml</w:t>
            </w:r>
          </w:p>
        </w:tc>
        <w:tc>
          <w:tcPr>
            <w:tcW w:w="877" w:type="dxa"/>
            <w:noWrap/>
            <w:vAlign w:val="center"/>
            <w:hideMark/>
          </w:tcPr>
          <w:p w14:paraId="31F3528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Plasma DOR ng/ml</w:t>
            </w:r>
          </w:p>
        </w:tc>
        <w:tc>
          <w:tcPr>
            <w:tcW w:w="777" w:type="dxa"/>
            <w:noWrap/>
            <w:vAlign w:val="center"/>
            <w:hideMark/>
          </w:tcPr>
          <w:p w14:paraId="5EB168A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CSF DOR ng/ml</w:t>
            </w:r>
          </w:p>
        </w:tc>
        <w:tc>
          <w:tcPr>
            <w:tcW w:w="1006" w:type="dxa"/>
          </w:tcPr>
          <w:p w14:paraId="570861D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Unbound Plasma DOR  ng/ml</w:t>
            </w:r>
          </w:p>
        </w:tc>
        <w:tc>
          <w:tcPr>
            <w:tcW w:w="1006" w:type="dxa"/>
            <w:noWrap/>
            <w:vAlign w:val="center"/>
            <w:hideMark/>
          </w:tcPr>
          <w:p w14:paraId="779EAED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Unbound CSF DOR  ng/ml</w:t>
            </w:r>
          </w:p>
        </w:tc>
        <w:tc>
          <w:tcPr>
            <w:tcW w:w="769" w:type="dxa"/>
            <w:noWrap/>
            <w:vAlign w:val="center"/>
            <w:hideMark/>
          </w:tcPr>
          <w:p w14:paraId="1DA6C60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DOR totalCSF/</w:t>
            </w:r>
          </w:p>
          <w:p w14:paraId="2208A71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totalplasma ratio</w:t>
            </w:r>
          </w:p>
        </w:tc>
        <w:tc>
          <w:tcPr>
            <w:tcW w:w="2054" w:type="dxa"/>
          </w:tcPr>
          <w:p w14:paraId="40FE999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 xml:space="preserve">DOR </w:t>
            </w:r>
          </w:p>
          <w:p w14:paraId="0257CC5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totalCSF/</w:t>
            </w:r>
          </w:p>
          <w:p w14:paraId="7D47EBB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unboundplasma ratio</w:t>
            </w:r>
          </w:p>
        </w:tc>
      </w:tr>
      <w:tr w:rsidR="00F84E77" w:rsidRPr="00BD49AD" w14:paraId="4170715A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1E768FA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258" w:type="dxa"/>
            <w:noWrap/>
            <w:vAlign w:val="center"/>
            <w:hideMark/>
          </w:tcPr>
          <w:p w14:paraId="4571907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M/38</w:t>
            </w:r>
          </w:p>
        </w:tc>
        <w:tc>
          <w:tcPr>
            <w:tcW w:w="733" w:type="dxa"/>
            <w:noWrap/>
            <w:vAlign w:val="center"/>
            <w:hideMark/>
          </w:tcPr>
          <w:p w14:paraId="30BF47A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33,8</w:t>
            </w:r>
          </w:p>
        </w:tc>
        <w:tc>
          <w:tcPr>
            <w:tcW w:w="700" w:type="dxa"/>
            <w:noWrap/>
            <w:vAlign w:val="center"/>
            <w:hideMark/>
          </w:tcPr>
          <w:p w14:paraId="352C63C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882" w:type="dxa"/>
            <w:noWrap/>
            <w:vAlign w:val="center"/>
            <w:hideMark/>
          </w:tcPr>
          <w:p w14:paraId="02FD87A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686</w:t>
            </w:r>
          </w:p>
        </w:tc>
        <w:tc>
          <w:tcPr>
            <w:tcW w:w="1080" w:type="dxa"/>
            <w:noWrap/>
            <w:vAlign w:val="center"/>
            <w:hideMark/>
          </w:tcPr>
          <w:p w14:paraId="534A569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65E8531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1CC89CB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385,9</w:t>
            </w:r>
          </w:p>
        </w:tc>
        <w:tc>
          <w:tcPr>
            <w:tcW w:w="777" w:type="dxa"/>
            <w:noWrap/>
            <w:vAlign w:val="bottom"/>
            <w:hideMark/>
          </w:tcPr>
          <w:p w14:paraId="57308F3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38,7</w:t>
            </w:r>
          </w:p>
        </w:tc>
        <w:tc>
          <w:tcPr>
            <w:tcW w:w="1006" w:type="dxa"/>
            <w:vAlign w:val="bottom"/>
          </w:tcPr>
          <w:p w14:paraId="7CF2108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37,8</w:t>
            </w:r>
          </w:p>
        </w:tc>
        <w:tc>
          <w:tcPr>
            <w:tcW w:w="1006" w:type="dxa"/>
            <w:noWrap/>
            <w:vAlign w:val="bottom"/>
            <w:hideMark/>
          </w:tcPr>
          <w:p w14:paraId="6D721BE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24,7</w:t>
            </w:r>
          </w:p>
        </w:tc>
        <w:tc>
          <w:tcPr>
            <w:tcW w:w="769" w:type="dxa"/>
            <w:noWrap/>
            <w:vAlign w:val="bottom"/>
            <w:hideMark/>
          </w:tcPr>
          <w:p w14:paraId="4DA58B1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0,10</w:t>
            </w:r>
          </w:p>
        </w:tc>
        <w:tc>
          <w:tcPr>
            <w:tcW w:w="2054" w:type="dxa"/>
            <w:vAlign w:val="bottom"/>
          </w:tcPr>
          <w:p w14:paraId="62D5DC4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1,02</w:t>
            </w:r>
          </w:p>
        </w:tc>
      </w:tr>
      <w:tr w:rsidR="00F84E77" w:rsidRPr="00BD49AD" w14:paraId="3FC29F86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11B9503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258" w:type="dxa"/>
            <w:noWrap/>
            <w:vAlign w:val="center"/>
            <w:hideMark/>
          </w:tcPr>
          <w:p w14:paraId="0D46B1D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M/60</w:t>
            </w:r>
          </w:p>
        </w:tc>
        <w:tc>
          <w:tcPr>
            <w:tcW w:w="733" w:type="dxa"/>
            <w:noWrap/>
            <w:vAlign w:val="center"/>
            <w:hideMark/>
          </w:tcPr>
          <w:p w14:paraId="6C2020A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25,6</w:t>
            </w:r>
          </w:p>
        </w:tc>
        <w:tc>
          <w:tcPr>
            <w:tcW w:w="700" w:type="dxa"/>
            <w:noWrap/>
            <w:vAlign w:val="center"/>
            <w:hideMark/>
          </w:tcPr>
          <w:p w14:paraId="279160F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882" w:type="dxa"/>
            <w:noWrap/>
            <w:vAlign w:val="center"/>
            <w:hideMark/>
          </w:tcPr>
          <w:p w14:paraId="0F41A37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1144</w:t>
            </w:r>
          </w:p>
        </w:tc>
        <w:tc>
          <w:tcPr>
            <w:tcW w:w="1080" w:type="dxa"/>
            <w:noWrap/>
            <w:vAlign w:val="center"/>
            <w:hideMark/>
          </w:tcPr>
          <w:p w14:paraId="642A08B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3B9D3C8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1A28F8E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942,2</w:t>
            </w:r>
          </w:p>
        </w:tc>
        <w:tc>
          <w:tcPr>
            <w:tcW w:w="777" w:type="dxa"/>
            <w:noWrap/>
            <w:vAlign w:val="bottom"/>
            <w:hideMark/>
          </w:tcPr>
          <w:p w14:paraId="30E10C7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127,3</w:t>
            </w:r>
          </w:p>
        </w:tc>
        <w:tc>
          <w:tcPr>
            <w:tcW w:w="1006" w:type="dxa"/>
            <w:vAlign w:val="bottom"/>
          </w:tcPr>
          <w:p w14:paraId="44A8B9B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104,7</w:t>
            </w:r>
          </w:p>
        </w:tc>
        <w:tc>
          <w:tcPr>
            <w:tcW w:w="1006" w:type="dxa"/>
            <w:noWrap/>
            <w:vAlign w:val="bottom"/>
            <w:hideMark/>
          </w:tcPr>
          <w:p w14:paraId="17E9F5C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105,0</w:t>
            </w:r>
          </w:p>
        </w:tc>
        <w:tc>
          <w:tcPr>
            <w:tcW w:w="769" w:type="dxa"/>
            <w:noWrap/>
            <w:vAlign w:val="bottom"/>
            <w:hideMark/>
          </w:tcPr>
          <w:p w14:paraId="0585B72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0,14</w:t>
            </w:r>
          </w:p>
        </w:tc>
        <w:tc>
          <w:tcPr>
            <w:tcW w:w="2054" w:type="dxa"/>
            <w:vAlign w:val="bottom"/>
          </w:tcPr>
          <w:p w14:paraId="75CFCB9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1,22</w:t>
            </w:r>
          </w:p>
        </w:tc>
      </w:tr>
      <w:tr w:rsidR="00F84E77" w:rsidRPr="00BD49AD" w14:paraId="603E7D53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286EA3B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258" w:type="dxa"/>
            <w:noWrap/>
            <w:vAlign w:val="center"/>
            <w:hideMark/>
          </w:tcPr>
          <w:p w14:paraId="378C24C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M/46</w:t>
            </w:r>
          </w:p>
        </w:tc>
        <w:tc>
          <w:tcPr>
            <w:tcW w:w="733" w:type="dxa"/>
            <w:noWrap/>
            <w:vAlign w:val="center"/>
            <w:hideMark/>
          </w:tcPr>
          <w:p w14:paraId="166C036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0" w:type="dxa"/>
            <w:noWrap/>
            <w:vAlign w:val="center"/>
            <w:hideMark/>
          </w:tcPr>
          <w:p w14:paraId="48CBF5E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192</w:t>
            </w:r>
          </w:p>
        </w:tc>
        <w:tc>
          <w:tcPr>
            <w:tcW w:w="882" w:type="dxa"/>
            <w:noWrap/>
            <w:vAlign w:val="center"/>
            <w:hideMark/>
          </w:tcPr>
          <w:p w14:paraId="53A4F36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636</w:t>
            </w:r>
          </w:p>
        </w:tc>
        <w:tc>
          <w:tcPr>
            <w:tcW w:w="1080" w:type="dxa"/>
            <w:noWrap/>
            <w:vAlign w:val="center"/>
            <w:hideMark/>
          </w:tcPr>
          <w:p w14:paraId="7A19E25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4E0D51D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70087E8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281,7</w:t>
            </w:r>
          </w:p>
        </w:tc>
        <w:tc>
          <w:tcPr>
            <w:tcW w:w="777" w:type="dxa"/>
            <w:noWrap/>
            <w:vAlign w:val="bottom"/>
            <w:hideMark/>
          </w:tcPr>
          <w:p w14:paraId="10EB562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37,2</w:t>
            </w:r>
          </w:p>
        </w:tc>
        <w:tc>
          <w:tcPr>
            <w:tcW w:w="1006" w:type="dxa"/>
            <w:vAlign w:val="bottom"/>
          </w:tcPr>
          <w:p w14:paraId="2F546D0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36,0</w:t>
            </w:r>
          </w:p>
        </w:tc>
        <w:tc>
          <w:tcPr>
            <w:tcW w:w="1006" w:type="dxa"/>
            <w:noWrap/>
            <w:vAlign w:val="bottom"/>
            <w:hideMark/>
          </w:tcPr>
          <w:p w14:paraId="54E7B07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25,8</w:t>
            </w:r>
          </w:p>
        </w:tc>
        <w:tc>
          <w:tcPr>
            <w:tcW w:w="769" w:type="dxa"/>
            <w:noWrap/>
            <w:vAlign w:val="bottom"/>
            <w:hideMark/>
          </w:tcPr>
          <w:p w14:paraId="57696F9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0,13</w:t>
            </w:r>
          </w:p>
        </w:tc>
        <w:tc>
          <w:tcPr>
            <w:tcW w:w="2054" w:type="dxa"/>
            <w:vAlign w:val="bottom"/>
          </w:tcPr>
          <w:p w14:paraId="02E9D93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1,03</w:t>
            </w:r>
          </w:p>
        </w:tc>
      </w:tr>
      <w:tr w:rsidR="00F84E77" w:rsidRPr="00BD49AD" w14:paraId="431556F3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585AC66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258" w:type="dxa"/>
            <w:noWrap/>
            <w:vAlign w:val="center"/>
            <w:hideMark/>
          </w:tcPr>
          <w:p w14:paraId="2D7A217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M/28</w:t>
            </w:r>
          </w:p>
        </w:tc>
        <w:tc>
          <w:tcPr>
            <w:tcW w:w="733" w:type="dxa"/>
            <w:noWrap/>
            <w:vAlign w:val="center"/>
            <w:hideMark/>
          </w:tcPr>
          <w:p w14:paraId="4162364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27,8</w:t>
            </w:r>
          </w:p>
        </w:tc>
        <w:tc>
          <w:tcPr>
            <w:tcW w:w="700" w:type="dxa"/>
            <w:noWrap/>
            <w:vAlign w:val="center"/>
            <w:hideMark/>
          </w:tcPr>
          <w:p w14:paraId="6FC94B8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409</w:t>
            </w:r>
          </w:p>
        </w:tc>
        <w:tc>
          <w:tcPr>
            <w:tcW w:w="882" w:type="dxa"/>
            <w:noWrap/>
            <w:vAlign w:val="center"/>
            <w:hideMark/>
          </w:tcPr>
          <w:p w14:paraId="1862B4E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869</w:t>
            </w:r>
          </w:p>
        </w:tc>
        <w:tc>
          <w:tcPr>
            <w:tcW w:w="1080" w:type="dxa"/>
            <w:noWrap/>
            <w:vAlign w:val="center"/>
            <w:hideMark/>
          </w:tcPr>
          <w:p w14:paraId="1DC22948" w14:textId="55F3381A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3CB6673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3CA20AA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535,7</w:t>
            </w:r>
          </w:p>
        </w:tc>
        <w:tc>
          <w:tcPr>
            <w:tcW w:w="777" w:type="dxa"/>
            <w:noWrap/>
            <w:vAlign w:val="bottom"/>
            <w:hideMark/>
          </w:tcPr>
          <w:p w14:paraId="2F7ED36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66,2</w:t>
            </w:r>
          </w:p>
        </w:tc>
        <w:tc>
          <w:tcPr>
            <w:tcW w:w="1006" w:type="dxa"/>
            <w:vAlign w:val="bottom"/>
          </w:tcPr>
          <w:p w14:paraId="2F80D52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89,2</w:t>
            </w:r>
          </w:p>
        </w:tc>
        <w:tc>
          <w:tcPr>
            <w:tcW w:w="1006" w:type="dxa"/>
            <w:noWrap/>
            <w:vAlign w:val="bottom"/>
            <w:hideMark/>
          </w:tcPr>
          <w:p w14:paraId="7C7D547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50,8</w:t>
            </w:r>
          </w:p>
        </w:tc>
        <w:tc>
          <w:tcPr>
            <w:tcW w:w="769" w:type="dxa"/>
            <w:noWrap/>
            <w:vAlign w:val="bottom"/>
            <w:hideMark/>
          </w:tcPr>
          <w:p w14:paraId="6F1E2E4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0,12</w:t>
            </w:r>
          </w:p>
        </w:tc>
        <w:tc>
          <w:tcPr>
            <w:tcW w:w="2054" w:type="dxa"/>
            <w:vAlign w:val="bottom"/>
          </w:tcPr>
          <w:p w14:paraId="73E2138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0,74</w:t>
            </w:r>
          </w:p>
        </w:tc>
      </w:tr>
      <w:tr w:rsidR="00F84E77" w:rsidRPr="00BD49AD" w14:paraId="1B36338A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24B587D0" w14:textId="1029FEF5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258" w:type="dxa"/>
            <w:noWrap/>
            <w:vAlign w:val="center"/>
            <w:hideMark/>
          </w:tcPr>
          <w:p w14:paraId="632800B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M/55</w:t>
            </w:r>
          </w:p>
        </w:tc>
        <w:tc>
          <w:tcPr>
            <w:tcW w:w="733" w:type="dxa"/>
            <w:noWrap/>
            <w:vAlign w:val="center"/>
            <w:hideMark/>
          </w:tcPr>
          <w:p w14:paraId="10B14C1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27,2</w:t>
            </w:r>
          </w:p>
        </w:tc>
        <w:tc>
          <w:tcPr>
            <w:tcW w:w="700" w:type="dxa"/>
            <w:noWrap/>
            <w:vAlign w:val="center"/>
            <w:hideMark/>
          </w:tcPr>
          <w:p w14:paraId="7CC2059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432</w:t>
            </w:r>
          </w:p>
        </w:tc>
        <w:tc>
          <w:tcPr>
            <w:tcW w:w="882" w:type="dxa"/>
            <w:noWrap/>
            <w:vAlign w:val="center"/>
            <w:hideMark/>
          </w:tcPr>
          <w:p w14:paraId="3A5D8B3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640</w:t>
            </w:r>
          </w:p>
        </w:tc>
        <w:tc>
          <w:tcPr>
            <w:tcW w:w="1080" w:type="dxa"/>
            <w:noWrap/>
            <w:vAlign w:val="center"/>
            <w:hideMark/>
          </w:tcPr>
          <w:p w14:paraId="31B34FB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32</w:t>
            </w:r>
          </w:p>
        </w:tc>
        <w:tc>
          <w:tcPr>
            <w:tcW w:w="1080" w:type="dxa"/>
            <w:noWrap/>
            <w:vAlign w:val="center"/>
            <w:hideMark/>
          </w:tcPr>
          <w:p w14:paraId="470708C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73E8DBE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546,4</w:t>
            </w:r>
          </w:p>
        </w:tc>
        <w:tc>
          <w:tcPr>
            <w:tcW w:w="777" w:type="dxa"/>
            <w:noWrap/>
            <w:vAlign w:val="bottom"/>
            <w:hideMark/>
          </w:tcPr>
          <w:p w14:paraId="4749722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79,4</w:t>
            </w:r>
          </w:p>
        </w:tc>
        <w:tc>
          <w:tcPr>
            <w:tcW w:w="1006" w:type="dxa"/>
            <w:vAlign w:val="bottom"/>
          </w:tcPr>
          <w:p w14:paraId="67AC38D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61,2</w:t>
            </w:r>
          </w:p>
        </w:tc>
        <w:tc>
          <w:tcPr>
            <w:tcW w:w="1006" w:type="dxa"/>
            <w:noWrap/>
            <w:vAlign w:val="bottom"/>
            <w:hideMark/>
          </w:tcPr>
          <w:p w14:paraId="550CD28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60,3</w:t>
            </w:r>
          </w:p>
        </w:tc>
        <w:tc>
          <w:tcPr>
            <w:tcW w:w="769" w:type="dxa"/>
            <w:noWrap/>
            <w:vAlign w:val="bottom"/>
            <w:hideMark/>
          </w:tcPr>
          <w:p w14:paraId="67F4DFF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0,15</w:t>
            </w:r>
          </w:p>
        </w:tc>
        <w:tc>
          <w:tcPr>
            <w:tcW w:w="2054" w:type="dxa"/>
            <w:vAlign w:val="bottom"/>
          </w:tcPr>
          <w:p w14:paraId="384070D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1,30</w:t>
            </w:r>
          </w:p>
        </w:tc>
      </w:tr>
      <w:tr w:rsidR="00F84E77" w:rsidRPr="00BD49AD" w14:paraId="2D269517" w14:textId="77777777" w:rsidTr="009D46B7">
        <w:trPr>
          <w:trHeight w:val="301"/>
        </w:trPr>
        <w:tc>
          <w:tcPr>
            <w:tcW w:w="1132" w:type="dxa"/>
            <w:noWrap/>
            <w:vAlign w:val="center"/>
            <w:hideMark/>
          </w:tcPr>
          <w:p w14:paraId="0963EE8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258" w:type="dxa"/>
            <w:noWrap/>
            <w:vAlign w:val="center"/>
            <w:hideMark/>
          </w:tcPr>
          <w:p w14:paraId="59C2902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M/65</w:t>
            </w:r>
          </w:p>
        </w:tc>
        <w:tc>
          <w:tcPr>
            <w:tcW w:w="733" w:type="dxa"/>
            <w:noWrap/>
            <w:vAlign w:val="center"/>
            <w:hideMark/>
          </w:tcPr>
          <w:p w14:paraId="182008B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24,1</w:t>
            </w:r>
          </w:p>
        </w:tc>
        <w:tc>
          <w:tcPr>
            <w:tcW w:w="700" w:type="dxa"/>
            <w:noWrap/>
            <w:vAlign w:val="center"/>
            <w:hideMark/>
          </w:tcPr>
          <w:p w14:paraId="1FFB66A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468</w:t>
            </w:r>
          </w:p>
        </w:tc>
        <w:tc>
          <w:tcPr>
            <w:tcW w:w="882" w:type="dxa"/>
            <w:noWrap/>
            <w:vAlign w:val="center"/>
            <w:hideMark/>
          </w:tcPr>
          <w:p w14:paraId="0A9E703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704</w:t>
            </w:r>
          </w:p>
        </w:tc>
        <w:tc>
          <w:tcPr>
            <w:tcW w:w="1080" w:type="dxa"/>
            <w:noWrap/>
            <w:vAlign w:val="center"/>
            <w:hideMark/>
          </w:tcPr>
          <w:p w14:paraId="7B43830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6806CBA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67C0C32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912,9</w:t>
            </w:r>
          </w:p>
        </w:tc>
        <w:tc>
          <w:tcPr>
            <w:tcW w:w="777" w:type="dxa"/>
            <w:noWrap/>
            <w:vAlign w:val="bottom"/>
            <w:hideMark/>
          </w:tcPr>
          <w:p w14:paraId="690A988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102,8</w:t>
            </w:r>
          </w:p>
        </w:tc>
        <w:tc>
          <w:tcPr>
            <w:tcW w:w="1006" w:type="dxa"/>
            <w:vAlign w:val="bottom"/>
          </w:tcPr>
          <w:p w14:paraId="568BA26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115,5</w:t>
            </w:r>
          </w:p>
        </w:tc>
        <w:tc>
          <w:tcPr>
            <w:tcW w:w="1006" w:type="dxa"/>
            <w:noWrap/>
            <w:vAlign w:val="bottom"/>
            <w:hideMark/>
          </w:tcPr>
          <w:p w14:paraId="45E23E4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80,6</w:t>
            </w:r>
          </w:p>
        </w:tc>
        <w:tc>
          <w:tcPr>
            <w:tcW w:w="769" w:type="dxa"/>
            <w:noWrap/>
            <w:vAlign w:val="bottom"/>
            <w:hideMark/>
          </w:tcPr>
          <w:p w14:paraId="137D1DF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0,11</w:t>
            </w:r>
          </w:p>
        </w:tc>
        <w:tc>
          <w:tcPr>
            <w:tcW w:w="2054" w:type="dxa"/>
            <w:vAlign w:val="bottom"/>
          </w:tcPr>
          <w:p w14:paraId="41F3483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0,89</w:t>
            </w:r>
          </w:p>
        </w:tc>
      </w:tr>
      <w:tr w:rsidR="00F84E77" w:rsidRPr="00BD49AD" w14:paraId="1C15100E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3C3259C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258" w:type="dxa"/>
            <w:noWrap/>
            <w:vAlign w:val="center"/>
            <w:hideMark/>
          </w:tcPr>
          <w:p w14:paraId="72AB6A5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M/66</w:t>
            </w:r>
          </w:p>
        </w:tc>
        <w:tc>
          <w:tcPr>
            <w:tcW w:w="733" w:type="dxa"/>
            <w:noWrap/>
            <w:vAlign w:val="center"/>
            <w:hideMark/>
          </w:tcPr>
          <w:p w14:paraId="351B117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24,4</w:t>
            </w:r>
          </w:p>
        </w:tc>
        <w:tc>
          <w:tcPr>
            <w:tcW w:w="700" w:type="dxa"/>
            <w:noWrap/>
            <w:vAlign w:val="center"/>
            <w:hideMark/>
          </w:tcPr>
          <w:p w14:paraId="6A79493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83</w:t>
            </w:r>
          </w:p>
        </w:tc>
        <w:tc>
          <w:tcPr>
            <w:tcW w:w="882" w:type="dxa"/>
            <w:noWrap/>
            <w:vAlign w:val="center"/>
            <w:hideMark/>
          </w:tcPr>
          <w:p w14:paraId="49FA6DB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667</w:t>
            </w:r>
          </w:p>
        </w:tc>
        <w:tc>
          <w:tcPr>
            <w:tcW w:w="1080" w:type="dxa"/>
            <w:noWrap/>
            <w:vAlign w:val="center"/>
            <w:hideMark/>
          </w:tcPr>
          <w:p w14:paraId="274EE74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190C8A8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112B4C2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447,1</w:t>
            </w:r>
          </w:p>
        </w:tc>
        <w:tc>
          <w:tcPr>
            <w:tcW w:w="777" w:type="dxa"/>
            <w:noWrap/>
            <w:vAlign w:val="bottom"/>
            <w:hideMark/>
          </w:tcPr>
          <w:p w14:paraId="4515A90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40,9</w:t>
            </w:r>
          </w:p>
        </w:tc>
        <w:tc>
          <w:tcPr>
            <w:tcW w:w="1006" w:type="dxa"/>
            <w:vAlign w:val="bottom"/>
          </w:tcPr>
          <w:p w14:paraId="6B02F74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60,5</w:t>
            </w:r>
          </w:p>
        </w:tc>
        <w:tc>
          <w:tcPr>
            <w:tcW w:w="1006" w:type="dxa"/>
            <w:noWrap/>
            <w:vAlign w:val="bottom"/>
            <w:hideMark/>
          </w:tcPr>
          <w:p w14:paraId="6BD4D79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29,0</w:t>
            </w:r>
          </w:p>
        </w:tc>
        <w:tc>
          <w:tcPr>
            <w:tcW w:w="769" w:type="dxa"/>
            <w:noWrap/>
            <w:vAlign w:val="bottom"/>
            <w:hideMark/>
          </w:tcPr>
          <w:p w14:paraId="5F5FF80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0,09</w:t>
            </w:r>
          </w:p>
        </w:tc>
        <w:tc>
          <w:tcPr>
            <w:tcW w:w="2054" w:type="dxa"/>
            <w:vAlign w:val="bottom"/>
          </w:tcPr>
          <w:p w14:paraId="7FB9F5B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0,68</w:t>
            </w:r>
          </w:p>
        </w:tc>
      </w:tr>
      <w:tr w:rsidR="00F84E77" w:rsidRPr="00BD49AD" w14:paraId="08B5A408" w14:textId="77777777" w:rsidTr="009D46B7">
        <w:trPr>
          <w:trHeight w:val="301"/>
        </w:trPr>
        <w:tc>
          <w:tcPr>
            <w:tcW w:w="1132" w:type="dxa"/>
            <w:noWrap/>
            <w:vAlign w:val="center"/>
            <w:hideMark/>
          </w:tcPr>
          <w:p w14:paraId="6F15AC2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258" w:type="dxa"/>
            <w:noWrap/>
            <w:vAlign w:val="center"/>
            <w:hideMark/>
          </w:tcPr>
          <w:p w14:paraId="2D79F71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M/33</w:t>
            </w:r>
          </w:p>
        </w:tc>
        <w:tc>
          <w:tcPr>
            <w:tcW w:w="733" w:type="dxa"/>
            <w:noWrap/>
            <w:vAlign w:val="center"/>
            <w:hideMark/>
          </w:tcPr>
          <w:p w14:paraId="3B08D35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22,9</w:t>
            </w:r>
          </w:p>
        </w:tc>
        <w:tc>
          <w:tcPr>
            <w:tcW w:w="700" w:type="dxa"/>
            <w:noWrap/>
            <w:vAlign w:val="center"/>
            <w:hideMark/>
          </w:tcPr>
          <w:p w14:paraId="5CA0B45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315</w:t>
            </w:r>
          </w:p>
        </w:tc>
        <w:tc>
          <w:tcPr>
            <w:tcW w:w="882" w:type="dxa"/>
            <w:noWrap/>
            <w:vAlign w:val="center"/>
            <w:hideMark/>
          </w:tcPr>
          <w:p w14:paraId="1C32E0C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1077</w:t>
            </w:r>
          </w:p>
        </w:tc>
        <w:tc>
          <w:tcPr>
            <w:tcW w:w="1080" w:type="dxa"/>
            <w:noWrap/>
            <w:vAlign w:val="center"/>
            <w:hideMark/>
          </w:tcPr>
          <w:p w14:paraId="66E6A34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3912212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078F7B0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313,9</w:t>
            </w:r>
          </w:p>
        </w:tc>
        <w:tc>
          <w:tcPr>
            <w:tcW w:w="777" w:type="dxa"/>
            <w:noWrap/>
            <w:vAlign w:val="bottom"/>
            <w:hideMark/>
          </w:tcPr>
          <w:p w14:paraId="266FF13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38,0</w:t>
            </w:r>
          </w:p>
        </w:tc>
        <w:tc>
          <w:tcPr>
            <w:tcW w:w="1006" w:type="dxa"/>
            <w:vAlign w:val="bottom"/>
          </w:tcPr>
          <w:p w14:paraId="2F86C3B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39,7</w:t>
            </w:r>
          </w:p>
        </w:tc>
        <w:tc>
          <w:tcPr>
            <w:tcW w:w="1006" w:type="dxa"/>
            <w:noWrap/>
            <w:vAlign w:val="bottom"/>
            <w:hideMark/>
          </w:tcPr>
          <w:p w14:paraId="600F4EC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26,8</w:t>
            </w:r>
          </w:p>
        </w:tc>
        <w:tc>
          <w:tcPr>
            <w:tcW w:w="769" w:type="dxa"/>
            <w:noWrap/>
            <w:vAlign w:val="bottom"/>
            <w:hideMark/>
          </w:tcPr>
          <w:p w14:paraId="464DCF1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0,12</w:t>
            </w:r>
          </w:p>
        </w:tc>
        <w:tc>
          <w:tcPr>
            <w:tcW w:w="2054" w:type="dxa"/>
            <w:vAlign w:val="bottom"/>
          </w:tcPr>
          <w:p w14:paraId="320F1C1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0,96</w:t>
            </w:r>
          </w:p>
        </w:tc>
      </w:tr>
      <w:tr w:rsidR="00F84E77" w:rsidRPr="00BD49AD" w14:paraId="5E122208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3B627C2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258" w:type="dxa"/>
            <w:noWrap/>
            <w:vAlign w:val="center"/>
            <w:hideMark/>
          </w:tcPr>
          <w:p w14:paraId="4C42D02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M/49</w:t>
            </w:r>
          </w:p>
        </w:tc>
        <w:tc>
          <w:tcPr>
            <w:tcW w:w="733" w:type="dxa"/>
            <w:noWrap/>
            <w:vAlign w:val="center"/>
            <w:hideMark/>
          </w:tcPr>
          <w:p w14:paraId="3A38EB3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25,4</w:t>
            </w:r>
          </w:p>
        </w:tc>
        <w:tc>
          <w:tcPr>
            <w:tcW w:w="700" w:type="dxa"/>
            <w:noWrap/>
            <w:vAlign w:val="center"/>
            <w:hideMark/>
          </w:tcPr>
          <w:p w14:paraId="34A3B46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254</w:t>
            </w:r>
          </w:p>
        </w:tc>
        <w:tc>
          <w:tcPr>
            <w:tcW w:w="882" w:type="dxa"/>
            <w:noWrap/>
            <w:vAlign w:val="center"/>
            <w:hideMark/>
          </w:tcPr>
          <w:p w14:paraId="074BD79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633</w:t>
            </w:r>
          </w:p>
        </w:tc>
        <w:tc>
          <w:tcPr>
            <w:tcW w:w="1080" w:type="dxa"/>
            <w:noWrap/>
            <w:vAlign w:val="center"/>
            <w:hideMark/>
          </w:tcPr>
          <w:p w14:paraId="03997F7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32BC9F8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0940AB9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527,8</w:t>
            </w:r>
          </w:p>
        </w:tc>
        <w:tc>
          <w:tcPr>
            <w:tcW w:w="777" w:type="dxa"/>
            <w:noWrap/>
            <w:vAlign w:val="bottom"/>
            <w:hideMark/>
          </w:tcPr>
          <w:p w14:paraId="1103F73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58,6</w:t>
            </w:r>
          </w:p>
        </w:tc>
        <w:tc>
          <w:tcPr>
            <w:tcW w:w="1006" w:type="dxa"/>
            <w:vAlign w:val="bottom"/>
          </w:tcPr>
          <w:p w14:paraId="602F71F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71,5</w:t>
            </w:r>
          </w:p>
        </w:tc>
        <w:tc>
          <w:tcPr>
            <w:tcW w:w="1006" w:type="dxa"/>
            <w:noWrap/>
            <w:vAlign w:val="bottom"/>
            <w:hideMark/>
          </w:tcPr>
          <w:p w14:paraId="1732DB2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44,6</w:t>
            </w:r>
          </w:p>
        </w:tc>
        <w:tc>
          <w:tcPr>
            <w:tcW w:w="769" w:type="dxa"/>
            <w:noWrap/>
            <w:vAlign w:val="bottom"/>
            <w:hideMark/>
          </w:tcPr>
          <w:p w14:paraId="150F492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0,11</w:t>
            </w:r>
          </w:p>
        </w:tc>
        <w:tc>
          <w:tcPr>
            <w:tcW w:w="2054" w:type="dxa"/>
            <w:vAlign w:val="bottom"/>
          </w:tcPr>
          <w:p w14:paraId="0675538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0,82</w:t>
            </w:r>
          </w:p>
        </w:tc>
      </w:tr>
      <w:tr w:rsidR="00F84E77" w:rsidRPr="00BD49AD" w14:paraId="44DC9372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78B06B63" w14:textId="4BA4E675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258" w:type="dxa"/>
            <w:noWrap/>
            <w:vAlign w:val="center"/>
            <w:hideMark/>
          </w:tcPr>
          <w:p w14:paraId="2314B70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M/27</w:t>
            </w:r>
          </w:p>
        </w:tc>
        <w:tc>
          <w:tcPr>
            <w:tcW w:w="733" w:type="dxa"/>
            <w:noWrap/>
            <w:vAlign w:val="center"/>
            <w:hideMark/>
          </w:tcPr>
          <w:p w14:paraId="6CBEE10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18,5</w:t>
            </w:r>
          </w:p>
        </w:tc>
        <w:tc>
          <w:tcPr>
            <w:tcW w:w="700" w:type="dxa"/>
            <w:noWrap/>
            <w:vAlign w:val="center"/>
            <w:hideMark/>
          </w:tcPr>
          <w:p w14:paraId="71CCE1E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513</w:t>
            </w:r>
          </w:p>
        </w:tc>
        <w:tc>
          <w:tcPr>
            <w:tcW w:w="882" w:type="dxa"/>
            <w:noWrap/>
            <w:vAlign w:val="center"/>
            <w:hideMark/>
          </w:tcPr>
          <w:p w14:paraId="5C0332A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937</w:t>
            </w:r>
          </w:p>
        </w:tc>
        <w:tc>
          <w:tcPr>
            <w:tcW w:w="1080" w:type="dxa"/>
            <w:noWrap/>
            <w:vAlign w:val="center"/>
            <w:hideMark/>
          </w:tcPr>
          <w:p w14:paraId="01BB4BD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09597E2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76</w:t>
            </w:r>
          </w:p>
        </w:tc>
        <w:tc>
          <w:tcPr>
            <w:tcW w:w="877" w:type="dxa"/>
            <w:noWrap/>
            <w:vAlign w:val="bottom"/>
            <w:hideMark/>
          </w:tcPr>
          <w:p w14:paraId="4948779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169,5</w:t>
            </w:r>
          </w:p>
        </w:tc>
        <w:tc>
          <w:tcPr>
            <w:tcW w:w="777" w:type="dxa"/>
            <w:noWrap/>
            <w:vAlign w:val="bottom"/>
            <w:hideMark/>
          </w:tcPr>
          <w:p w14:paraId="7C2147F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26,1</w:t>
            </w:r>
          </w:p>
        </w:tc>
        <w:tc>
          <w:tcPr>
            <w:tcW w:w="1006" w:type="dxa"/>
            <w:vAlign w:val="bottom"/>
          </w:tcPr>
          <w:p w14:paraId="23D1E6E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21,3</w:t>
            </w:r>
          </w:p>
        </w:tc>
        <w:tc>
          <w:tcPr>
            <w:tcW w:w="1006" w:type="dxa"/>
            <w:noWrap/>
            <w:vAlign w:val="bottom"/>
            <w:hideMark/>
          </w:tcPr>
          <w:p w14:paraId="4693292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17,9</w:t>
            </w:r>
          </w:p>
        </w:tc>
        <w:tc>
          <w:tcPr>
            <w:tcW w:w="769" w:type="dxa"/>
            <w:noWrap/>
            <w:vAlign w:val="bottom"/>
            <w:hideMark/>
          </w:tcPr>
          <w:p w14:paraId="169F31E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0,15</w:t>
            </w:r>
          </w:p>
        </w:tc>
        <w:tc>
          <w:tcPr>
            <w:tcW w:w="2054" w:type="dxa"/>
            <w:vAlign w:val="bottom"/>
          </w:tcPr>
          <w:p w14:paraId="74498E1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1,22</w:t>
            </w:r>
          </w:p>
        </w:tc>
      </w:tr>
      <w:tr w:rsidR="00F84E77" w:rsidRPr="00BD49AD" w14:paraId="33DB7E32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5D1151C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1258" w:type="dxa"/>
            <w:noWrap/>
            <w:vAlign w:val="center"/>
            <w:hideMark/>
          </w:tcPr>
          <w:p w14:paraId="7C7A550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M/47</w:t>
            </w:r>
          </w:p>
        </w:tc>
        <w:tc>
          <w:tcPr>
            <w:tcW w:w="733" w:type="dxa"/>
            <w:noWrap/>
            <w:vAlign w:val="center"/>
            <w:hideMark/>
          </w:tcPr>
          <w:p w14:paraId="7C1D717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28,2</w:t>
            </w:r>
          </w:p>
        </w:tc>
        <w:tc>
          <w:tcPr>
            <w:tcW w:w="700" w:type="dxa"/>
            <w:noWrap/>
            <w:vAlign w:val="center"/>
            <w:hideMark/>
          </w:tcPr>
          <w:p w14:paraId="1096E6C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882" w:type="dxa"/>
            <w:noWrap/>
            <w:vAlign w:val="center"/>
            <w:hideMark/>
          </w:tcPr>
          <w:p w14:paraId="0820469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773</w:t>
            </w:r>
          </w:p>
        </w:tc>
        <w:tc>
          <w:tcPr>
            <w:tcW w:w="1080" w:type="dxa"/>
            <w:noWrap/>
            <w:vAlign w:val="center"/>
            <w:hideMark/>
          </w:tcPr>
          <w:p w14:paraId="5940268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0D13F56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51BAEFE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535,1</w:t>
            </w:r>
          </w:p>
        </w:tc>
        <w:tc>
          <w:tcPr>
            <w:tcW w:w="777" w:type="dxa"/>
            <w:noWrap/>
            <w:vAlign w:val="bottom"/>
            <w:hideMark/>
          </w:tcPr>
          <w:p w14:paraId="0B9319B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59,1</w:t>
            </w:r>
          </w:p>
        </w:tc>
        <w:tc>
          <w:tcPr>
            <w:tcW w:w="1006" w:type="dxa"/>
            <w:vAlign w:val="bottom"/>
          </w:tcPr>
          <w:p w14:paraId="254E20F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58,0</w:t>
            </w:r>
          </w:p>
        </w:tc>
        <w:tc>
          <w:tcPr>
            <w:tcW w:w="1006" w:type="dxa"/>
            <w:noWrap/>
            <w:vAlign w:val="bottom"/>
            <w:hideMark/>
          </w:tcPr>
          <w:p w14:paraId="4152EF3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48,7</w:t>
            </w:r>
          </w:p>
        </w:tc>
        <w:tc>
          <w:tcPr>
            <w:tcW w:w="769" w:type="dxa"/>
            <w:noWrap/>
            <w:vAlign w:val="bottom"/>
            <w:hideMark/>
          </w:tcPr>
          <w:p w14:paraId="25AF916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0,11</w:t>
            </w:r>
          </w:p>
        </w:tc>
        <w:tc>
          <w:tcPr>
            <w:tcW w:w="2054" w:type="dxa"/>
            <w:vAlign w:val="bottom"/>
          </w:tcPr>
          <w:p w14:paraId="5B6B063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1,02</w:t>
            </w:r>
          </w:p>
        </w:tc>
      </w:tr>
      <w:tr w:rsidR="00F84E77" w:rsidRPr="00BD49AD" w14:paraId="595AA1F3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06851FC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1258" w:type="dxa"/>
            <w:noWrap/>
            <w:vAlign w:val="center"/>
            <w:hideMark/>
          </w:tcPr>
          <w:p w14:paraId="3C21DAE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M/31</w:t>
            </w:r>
          </w:p>
        </w:tc>
        <w:tc>
          <w:tcPr>
            <w:tcW w:w="733" w:type="dxa"/>
            <w:noWrap/>
            <w:vAlign w:val="center"/>
            <w:hideMark/>
          </w:tcPr>
          <w:p w14:paraId="79D8C60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22,7</w:t>
            </w:r>
          </w:p>
        </w:tc>
        <w:tc>
          <w:tcPr>
            <w:tcW w:w="700" w:type="dxa"/>
            <w:noWrap/>
            <w:vAlign w:val="center"/>
            <w:hideMark/>
          </w:tcPr>
          <w:p w14:paraId="0C321E7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233</w:t>
            </w:r>
          </w:p>
        </w:tc>
        <w:tc>
          <w:tcPr>
            <w:tcW w:w="882" w:type="dxa"/>
            <w:noWrap/>
            <w:vAlign w:val="center"/>
            <w:hideMark/>
          </w:tcPr>
          <w:p w14:paraId="79C8655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372</w:t>
            </w:r>
          </w:p>
        </w:tc>
        <w:tc>
          <w:tcPr>
            <w:tcW w:w="1080" w:type="dxa"/>
            <w:noWrap/>
            <w:vAlign w:val="center"/>
            <w:hideMark/>
          </w:tcPr>
          <w:p w14:paraId="17E5BDB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63AACA3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2A1BE86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181,6</w:t>
            </w:r>
          </w:p>
        </w:tc>
        <w:tc>
          <w:tcPr>
            <w:tcW w:w="777" w:type="dxa"/>
            <w:noWrap/>
            <w:vAlign w:val="bottom"/>
            <w:hideMark/>
          </w:tcPr>
          <w:p w14:paraId="0BAED9F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23,2</w:t>
            </w:r>
          </w:p>
        </w:tc>
        <w:tc>
          <w:tcPr>
            <w:tcW w:w="1006" w:type="dxa"/>
            <w:vAlign w:val="bottom"/>
          </w:tcPr>
          <w:p w14:paraId="4DED5EF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24,7</w:t>
            </w:r>
          </w:p>
        </w:tc>
        <w:tc>
          <w:tcPr>
            <w:tcW w:w="1006" w:type="dxa"/>
            <w:noWrap/>
            <w:vAlign w:val="bottom"/>
            <w:hideMark/>
          </w:tcPr>
          <w:p w14:paraId="2661932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14,9</w:t>
            </w:r>
          </w:p>
        </w:tc>
        <w:tc>
          <w:tcPr>
            <w:tcW w:w="769" w:type="dxa"/>
            <w:noWrap/>
            <w:vAlign w:val="bottom"/>
            <w:hideMark/>
          </w:tcPr>
          <w:p w14:paraId="085651E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0,13</w:t>
            </w:r>
          </w:p>
        </w:tc>
        <w:tc>
          <w:tcPr>
            <w:tcW w:w="2054" w:type="dxa"/>
            <w:vAlign w:val="bottom"/>
          </w:tcPr>
          <w:p w14:paraId="7291AB0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0,94</w:t>
            </w:r>
          </w:p>
        </w:tc>
      </w:tr>
      <w:tr w:rsidR="00F84E77" w:rsidRPr="00BD49AD" w14:paraId="3B5B030A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0503DDE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1258" w:type="dxa"/>
            <w:noWrap/>
            <w:vAlign w:val="center"/>
            <w:hideMark/>
          </w:tcPr>
          <w:p w14:paraId="00643BE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F/46</w:t>
            </w:r>
          </w:p>
        </w:tc>
        <w:tc>
          <w:tcPr>
            <w:tcW w:w="733" w:type="dxa"/>
            <w:noWrap/>
            <w:vAlign w:val="center"/>
            <w:hideMark/>
          </w:tcPr>
          <w:p w14:paraId="205B297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21,7</w:t>
            </w:r>
          </w:p>
        </w:tc>
        <w:tc>
          <w:tcPr>
            <w:tcW w:w="700" w:type="dxa"/>
            <w:noWrap/>
            <w:vAlign w:val="center"/>
            <w:hideMark/>
          </w:tcPr>
          <w:p w14:paraId="6451BF0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456</w:t>
            </w:r>
          </w:p>
        </w:tc>
        <w:tc>
          <w:tcPr>
            <w:tcW w:w="882" w:type="dxa"/>
            <w:noWrap/>
            <w:vAlign w:val="center"/>
            <w:hideMark/>
          </w:tcPr>
          <w:p w14:paraId="2F1B264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1744</w:t>
            </w:r>
          </w:p>
        </w:tc>
        <w:tc>
          <w:tcPr>
            <w:tcW w:w="1080" w:type="dxa"/>
            <w:noWrap/>
            <w:vAlign w:val="center"/>
            <w:hideMark/>
          </w:tcPr>
          <w:p w14:paraId="3F98090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469EEA7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5996D04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230,3</w:t>
            </w:r>
          </w:p>
        </w:tc>
        <w:tc>
          <w:tcPr>
            <w:tcW w:w="777" w:type="dxa"/>
            <w:noWrap/>
            <w:vAlign w:val="bottom"/>
            <w:hideMark/>
          </w:tcPr>
          <w:p w14:paraId="09C0C18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28,8</w:t>
            </w:r>
          </w:p>
        </w:tc>
        <w:tc>
          <w:tcPr>
            <w:tcW w:w="1006" w:type="dxa"/>
            <w:vAlign w:val="bottom"/>
          </w:tcPr>
          <w:p w14:paraId="42CC54EB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36,7</w:t>
            </w:r>
          </w:p>
        </w:tc>
        <w:tc>
          <w:tcPr>
            <w:tcW w:w="1006" w:type="dxa"/>
            <w:noWrap/>
            <w:vAlign w:val="bottom"/>
            <w:hideMark/>
          </w:tcPr>
          <w:p w14:paraId="33E29A2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17,8</w:t>
            </w:r>
          </w:p>
        </w:tc>
        <w:tc>
          <w:tcPr>
            <w:tcW w:w="769" w:type="dxa"/>
            <w:noWrap/>
            <w:vAlign w:val="bottom"/>
            <w:hideMark/>
          </w:tcPr>
          <w:p w14:paraId="1740C1C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0,12</w:t>
            </w:r>
          </w:p>
        </w:tc>
        <w:tc>
          <w:tcPr>
            <w:tcW w:w="2054" w:type="dxa"/>
            <w:vAlign w:val="bottom"/>
          </w:tcPr>
          <w:p w14:paraId="2A55DF0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0,78</w:t>
            </w:r>
          </w:p>
        </w:tc>
      </w:tr>
      <w:tr w:rsidR="00F84E77" w:rsidRPr="00BD49AD" w14:paraId="3B23B61D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2D90602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1258" w:type="dxa"/>
            <w:noWrap/>
            <w:vAlign w:val="center"/>
            <w:hideMark/>
          </w:tcPr>
          <w:p w14:paraId="16C4FFD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M/57</w:t>
            </w:r>
          </w:p>
        </w:tc>
        <w:tc>
          <w:tcPr>
            <w:tcW w:w="733" w:type="dxa"/>
            <w:noWrap/>
            <w:vAlign w:val="center"/>
            <w:hideMark/>
          </w:tcPr>
          <w:p w14:paraId="1E9704B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23,4</w:t>
            </w:r>
          </w:p>
        </w:tc>
        <w:tc>
          <w:tcPr>
            <w:tcW w:w="700" w:type="dxa"/>
            <w:noWrap/>
            <w:vAlign w:val="center"/>
            <w:hideMark/>
          </w:tcPr>
          <w:p w14:paraId="229CA9C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170</w:t>
            </w:r>
          </w:p>
        </w:tc>
        <w:tc>
          <w:tcPr>
            <w:tcW w:w="882" w:type="dxa"/>
            <w:noWrap/>
            <w:vAlign w:val="center"/>
            <w:hideMark/>
          </w:tcPr>
          <w:p w14:paraId="6F296A0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1296</w:t>
            </w:r>
          </w:p>
        </w:tc>
        <w:tc>
          <w:tcPr>
            <w:tcW w:w="1080" w:type="dxa"/>
            <w:noWrap/>
            <w:vAlign w:val="center"/>
            <w:hideMark/>
          </w:tcPr>
          <w:p w14:paraId="22D5F76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0581B26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5BA57D1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 N/D</w:t>
            </w:r>
          </w:p>
        </w:tc>
        <w:tc>
          <w:tcPr>
            <w:tcW w:w="777" w:type="dxa"/>
            <w:noWrap/>
            <w:vAlign w:val="bottom"/>
            <w:hideMark/>
          </w:tcPr>
          <w:p w14:paraId="76BCE89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85,5</w:t>
            </w:r>
          </w:p>
        </w:tc>
        <w:tc>
          <w:tcPr>
            <w:tcW w:w="1006" w:type="dxa"/>
            <w:vAlign w:val="bottom"/>
          </w:tcPr>
          <w:p w14:paraId="4833F81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 N/A</w:t>
            </w:r>
          </w:p>
        </w:tc>
        <w:tc>
          <w:tcPr>
            <w:tcW w:w="1006" w:type="dxa"/>
            <w:noWrap/>
            <w:vAlign w:val="bottom"/>
            <w:hideMark/>
          </w:tcPr>
          <w:p w14:paraId="0CC27C2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72,1</w:t>
            </w:r>
          </w:p>
        </w:tc>
        <w:tc>
          <w:tcPr>
            <w:tcW w:w="769" w:type="dxa"/>
            <w:noWrap/>
            <w:vAlign w:val="bottom"/>
            <w:hideMark/>
          </w:tcPr>
          <w:p w14:paraId="1C20C0AD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N/A</w:t>
            </w:r>
          </w:p>
        </w:tc>
        <w:tc>
          <w:tcPr>
            <w:tcW w:w="2054" w:type="dxa"/>
            <w:vAlign w:val="bottom"/>
          </w:tcPr>
          <w:p w14:paraId="2F8C79A7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N/A</w:t>
            </w:r>
          </w:p>
        </w:tc>
      </w:tr>
      <w:tr w:rsidR="00F84E77" w:rsidRPr="00BD49AD" w14:paraId="2014E457" w14:textId="77777777" w:rsidTr="009D46B7">
        <w:trPr>
          <w:trHeight w:val="292"/>
        </w:trPr>
        <w:tc>
          <w:tcPr>
            <w:tcW w:w="1132" w:type="dxa"/>
            <w:noWrap/>
            <w:vAlign w:val="center"/>
            <w:hideMark/>
          </w:tcPr>
          <w:p w14:paraId="640E441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1258" w:type="dxa"/>
            <w:noWrap/>
            <w:vAlign w:val="center"/>
            <w:hideMark/>
          </w:tcPr>
          <w:p w14:paraId="1256D9C2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F/31</w:t>
            </w:r>
          </w:p>
        </w:tc>
        <w:tc>
          <w:tcPr>
            <w:tcW w:w="733" w:type="dxa"/>
            <w:noWrap/>
            <w:vAlign w:val="center"/>
            <w:hideMark/>
          </w:tcPr>
          <w:p w14:paraId="28ECB22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20,5</w:t>
            </w:r>
          </w:p>
        </w:tc>
        <w:tc>
          <w:tcPr>
            <w:tcW w:w="700" w:type="dxa"/>
            <w:noWrap/>
            <w:vAlign w:val="center"/>
            <w:hideMark/>
          </w:tcPr>
          <w:p w14:paraId="1B7C6C3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360</w:t>
            </w:r>
          </w:p>
        </w:tc>
        <w:tc>
          <w:tcPr>
            <w:tcW w:w="882" w:type="dxa"/>
            <w:noWrap/>
            <w:vAlign w:val="center"/>
            <w:hideMark/>
          </w:tcPr>
          <w:p w14:paraId="0F50949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379</w:t>
            </w:r>
          </w:p>
        </w:tc>
        <w:tc>
          <w:tcPr>
            <w:tcW w:w="1080" w:type="dxa"/>
            <w:noWrap/>
            <w:vAlign w:val="center"/>
            <w:hideMark/>
          </w:tcPr>
          <w:p w14:paraId="2160013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7B1BC84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bottom"/>
            <w:hideMark/>
          </w:tcPr>
          <w:p w14:paraId="73DF9DE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388,1</w:t>
            </w:r>
          </w:p>
        </w:tc>
        <w:tc>
          <w:tcPr>
            <w:tcW w:w="777" w:type="dxa"/>
            <w:noWrap/>
            <w:vAlign w:val="bottom"/>
            <w:hideMark/>
          </w:tcPr>
          <w:p w14:paraId="64B919F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75,0</w:t>
            </w:r>
          </w:p>
        </w:tc>
        <w:tc>
          <w:tcPr>
            <w:tcW w:w="1006" w:type="dxa"/>
            <w:vAlign w:val="bottom"/>
          </w:tcPr>
          <w:p w14:paraId="2C2595A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49,0</w:t>
            </w:r>
          </w:p>
        </w:tc>
        <w:tc>
          <w:tcPr>
            <w:tcW w:w="1006" w:type="dxa"/>
            <w:noWrap/>
            <w:vAlign w:val="bottom"/>
            <w:hideMark/>
          </w:tcPr>
          <w:p w14:paraId="38EB3D1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64,6</w:t>
            </w:r>
          </w:p>
        </w:tc>
        <w:tc>
          <w:tcPr>
            <w:tcW w:w="769" w:type="dxa"/>
            <w:noWrap/>
            <w:vAlign w:val="bottom"/>
            <w:hideMark/>
          </w:tcPr>
          <w:p w14:paraId="3392E31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0,19</w:t>
            </w:r>
          </w:p>
        </w:tc>
        <w:tc>
          <w:tcPr>
            <w:tcW w:w="2054" w:type="dxa"/>
            <w:vAlign w:val="bottom"/>
          </w:tcPr>
          <w:p w14:paraId="251E8D06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1,53</w:t>
            </w:r>
          </w:p>
        </w:tc>
      </w:tr>
      <w:tr w:rsidR="00F84E77" w:rsidRPr="00BD49AD" w14:paraId="04A7EDEC" w14:textId="77777777" w:rsidTr="009D46B7">
        <w:trPr>
          <w:trHeight w:val="1023"/>
        </w:trPr>
        <w:tc>
          <w:tcPr>
            <w:tcW w:w="1132" w:type="dxa"/>
            <w:noWrap/>
            <w:vAlign w:val="center"/>
            <w:hideMark/>
          </w:tcPr>
          <w:p w14:paraId="5C88AA2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Median</w:t>
            </w:r>
          </w:p>
          <w:p w14:paraId="01F598FB" w14:textId="33BA7536" w:rsidR="00F84E77" w:rsidRPr="00BD49AD" w:rsidRDefault="00D03B75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(Min-Max</w:t>
            </w:r>
            <w:r w:rsidR="00F84E77" w:rsidRPr="00BD49AD">
              <w:rPr>
                <w:rFonts w:ascii="MinionPro" w:hAnsi="MinionPro"/>
                <w:sz w:val="20"/>
                <w:szCs w:val="20"/>
                <w:lang w:eastAsia="es-ES_tradnl"/>
              </w:rPr>
              <w:t>)</w:t>
            </w:r>
          </w:p>
        </w:tc>
        <w:tc>
          <w:tcPr>
            <w:tcW w:w="1258" w:type="dxa"/>
            <w:noWrap/>
            <w:vAlign w:val="center"/>
            <w:hideMark/>
          </w:tcPr>
          <w:p w14:paraId="45FA88B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46</w:t>
            </w:r>
          </w:p>
          <w:p w14:paraId="375C6CF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(27-66)</w:t>
            </w:r>
          </w:p>
        </w:tc>
        <w:tc>
          <w:tcPr>
            <w:tcW w:w="733" w:type="dxa"/>
            <w:noWrap/>
            <w:vAlign w:val="center"/>
            <w:hideMark/>
          </w:tcPr>
          <w:p w14:paraId="6FCC1F75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24,1</w:t>
            </w:r>
          </w:p>
          <w:p w14:paraId="04DFB76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(18,5-33,8)</w:t>
            </w:r>
          </w:p>
        </w:tc>
        <w:tc>
          <w:tcPr>
            <w:tcW w:w="700" w:type="dxa"/>
            <w:noWrap/>
            <w:vAlign w:val="center"/>
            <w:hideMark/>
          </w:tcPr>
          <w:p w14:paraId="158BB37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315</w:t>
            </w:r>
          </w:p>
          <w:p w14:paraId="2B71069E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(24-513)</w:t>
            </w:r>
          </w:p>
        </w:tc>
        <w:tc>
          <w:tcPr>
            <w:tcW w:w="882" w:type="dxa"/>
            <w:noWrap/>
            <w:vAlign w:val="center"/>
            <w:hideMark/>
          </w:tcPr>
          <w:p w14:paraId="2A17B73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704</w:t>
            </w:r>
          </w:p>
          <w:p w14:paraId="6ADB7378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(365-1744)</w:t>
            </w:r>
          </w:p>
        </w:tc>
        <w:tc>
          <w:tcPr>
            <w:tcW w:w="1080" w:type="dxa"/>
            <w:noWrap/>
            <w:vAlign w:val="center"/>
            <w:hideMark/>
          </w:tcPr>
          <w:p w14:paraId="7FE9A3E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1080" w:type="dxa"/>
            <w:noWrap/>
            <w:vAlign w:val="center"/>
            <w:hideMark/>
          </w:tcPr>
          <w:p w14:paraId="4142932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&lt;20</w:t>
            </w:r>
          </w:p>
        </w:tc>
        <w:tc>
          <w:tcPr>
            <w:tcW w:w="877" w:type="dxa"/>
            <w:noWrap/>
            <w:vAlign w:val="center"/>
            <w:hideMark/>
          </w:tcPr>
          <w:p w14:paraId="3213900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417,6</w:t>
            </w:r>
          </w:p>
          <w:p w14:paraId="33899FC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(169,5– 942,2)</w:t>
            </w:r>
          </w:p>
        </w:tc>
        <w:tc>
          <w:tcPr>
            <w:tcW w:w="777" w:type="dxa"/>
            <w:noWrap/>
            <w:vAlign w:val="center"/>
            <w:hideMark/>
          </w:tcPr>
          <w:p w14:paraId="41C4895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58,6</w:t>
            </w:r>
          </w:p>
          <w:p w14:paraId="2BD495FC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(23,2 – 127,3)</w:t>
            </w:r>
          </w:p>
        </w:tc>
        <w:tc>
          <w:tcPr>
            <w:tcW w:w="1006" w:type="dxa"/>
          </w:tcPr>
          <w:p w14:paraId="158AA8CF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53,5 (21,3-115,5)</w:t>
            </w:r>
          </w:p>
        </w:tc>
        <w:tc>
          <w:tcPr>
            <w:tcW w:w="1006" w:type="dxa"/>
            <w:noWrap/>
            <w:vAlign w:val="center"/>
            <w:hideMark/>
          </w:tcPr>
          <w:p w14:paraId="037AD2E3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44,6</w:t>
            </w:r>
          </w:p>
          <w:p w14:paraId="19F8FF1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(14,9-105,0)</w:t>
            </w:r>
          </w:p>
        </w:tc>
        <w:tc>
          <w:tcPr>
            <w:tcW w:w="769" w:type="dxa"/>
            <w:noWrap/>
            <w:vAlign w:val="center"/>
            <w:hideMark/>
          </w:tcPr>
          <w:p w14:paraId="005F1124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0,12</w:t>
            </w:r>
          </w:p>
          <w:p w14:paraId="5A214840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(0,09 – 0,19)</w:t>
            </w:r>
          </w:p>
        </w:tc>
        <w:tc>
          <w:tcPr>
            <w:tcW w:w="2054" w:type="dxa"/>
          </w:tcPr>
          <w:p w14:paraId="49DDA59A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</w:p>
          <w:p w14:paraId="5726F1D1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>0,99</w:t>
            </w:r>
          </w:p>
          <w:p w14:paraId="0C17B5D9" w14:textId="77777777" w:rsidR="00F84E77" w:rsidRPr="00BD49AD" w:rsidRDefault="00F84E77" w:rsidP="00F84E77">
            <w:pPr>
              <w:spacing w:after="200" w:line="276" w:lineRule="auto"/>
              <w:jc w:val="center"/>
              <w:rPr>
                <w:rFonts w:ascii="MinionPro" w:hAnsi="MinionPro"/>
                <w:sz w:val="20"/>
                <w:szCs w:val="20"/>
                <w:lang w:eastAsia="es-ES_tradnl"/>
              </w:rPr>
            </w:pPr>
            <w:r w:rsidRPr="00BD49AD">
              <w:rPr>
                <w:rFonts w:ascii="MinionPro" w:hAnsi="MinionPro"/>
                <w:sz w:val="20"/>
                <w:szCs w:val="20"/>
                <w:lang w:eastAsia="es-ES_tradnl"/>
              </w:rPr>
              <w:t xml:space="preserve"> (0,68-1,53)</w:t>
            </w:r>
          </w:p>
        </w:tc>
      </w:tr>
    </w:tbl>
    <w:p w14:paraId="31399AA4" w14:textId="0E4DCFCE" w:rsidR="00F84E77" w:rsidRPr="00BD49AD" w:rsidRDefault="00F84E77" w:rsidP="00F84E77">
      <w:pPr>
        <w:spacing w:line="480" w:lineRule="auto"/>
        <w:jc w:val="both"/>
        <w:rPr>
          <w:rFonts w:ascii="MinionPro" w:eastAsia="Times New Roman" w:hAnsi="MinionPro" w:cs="Times New Roman"/>
          <w:sz w:val="20"/>
          <w:szCs w:val="20"/>
          <w:lang w:eastAsia="es-ES_tradnl"/>
        </w:rPr>
      </w:pP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lastRenderedPageBreak/>
        <w:t xml:space="preserve">Abbreviations: BMI, body mass index; CSF, cerebrospinal fluid; DOR, </w:t>
      </w:r>
      <w:proofErr w:type="spellStart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Doravirine</w:t>
      </w:r>
      <w:proofErr w:type="spellEnd"/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; HIV, human</w:t>
      </w:r>
      <w:r w:rsid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immunodeficiency virus; </w:t>
      </w:r>
      <w:r w:rsidR="00614BF4">
        <w:rPr>
          <w:rFonts w:ascii="MinionPro" w:eastAsia="Times New Roman" w:hAnsi="MinionPro" w:cs="Times New Roman"/>
          <w:sz w:val="20"/>
          <w:szCs w:val="20"/>
          <w:lang w:eastAsia="es-ES_tradnl"/>
        </w:rPr>
        <w:t xml:space="preserve">F, female; M, male; Min, minimum; Max, maximum; </w:t>
      </w:r>
      <w:r w:rsidRPr="00BD49AD">
        <w:rPr>
          <w:rFonts w:ascii="MinionPro" w:eastAsia="Times New Roman" w:hAnsi="MinionPro" w:cs="Times New Roman"/>
          <w:sz w:val="20"/>
          <w:szCs w:val="20"/>
          <w:lang w:eastAsia="es-ES_tradnl"/>
        </w:rPr>
        <w:t>N/A, not applicable; RNA, ribonucleic acid</w:t>
      </w:r>
    </w:p>
    <w:p w14:paraId="32C3F43D" w14:textId="77777777" w:rsidR="006B1EE7" w:rsidRDefault="006B1EE7" w:rsidP="007833CE">
      <w:pPr>
        <w:spacing w:line="480" w:lineRule="auto"/>
        <w:jc w:val="both"/>
        <w:rPr>
          <w:iCs/>
          <w:lang w:val="en-GB"/>
        </w:rPr>
      </w:pPr>
    </w:p>
    <w:p w14:paraId="5136EC25" w14:textId="06F977B0" w:rsidR="007833CE" w:rsidRPr="00866390" w:rsidRDefault="00F84E77" w:rsidP="007833CE">
      <w:pPr>
        <w:spacing w:line="480" w:lineRule="auto"/>
        <w:jc w:val="both"/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</w:pPr>
      <w:r w:rsidRPr="00866390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Figure 1</w:t>
      </w:r>
      <w:r w:rsidR="0038637C" w:rsidRPr="00866390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 xml:space="preserve"> </w:t>
      </w:r>
      <w:proofErr w:type="spellStart"/>
      <w:r w:rsidR="0038637C" w:rsidRPr="00866390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a&amp;b</w:t>
      </w:r>
      <w:proofErr w:type="spellEnd"/>
      <w:r w:rsidRPr="00866390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: Total and unbound DOR concentration in blood plasma</w:t>
      </w:r>
      <w:r w:rsidR="0038637C" w:rsidRPr="00866390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 xml:space="preserve"> and CSF</w:t>
      </w:r>
      <w:r w:rsidRPr="00866390">
        <w:rPr>
          <w:rFonts w:ascii="MinionPro" w:eastAsia="Times New Roman" w:hAnsi="MinionPro" w:cs="Times New Roman"/>
          <w:b/>
          <w:bCs/>
          <w:sz w:val="20"/>
          <w:szCs w:val="20"/>
          <w:lang w:eastAsia="es-ES_tradnl"/>
        </w:rPr>
        <w:t>.</w:t>
      </w:r>
    </w:p>
    <w:p w14:paraId="2B715B3A" w14:textId="54CE1B67" w:rsidR="0038637C" w:rsidRPr="0038637C" w:rsidRDefault="0038637C" w:rsidP="007833CE">
      <w:pPr>
        <w:spacing w:line="48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es-ES_tradn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s-AR" w:eastAsia="es-AR"/>
        </w:rPr>
        <w:drawing>
          <wp:inline distT="0" distB="0" distL="0" distR="0" wp14:anchorId="01FE2659" wp14:editId="52A7CC3F">
            <wp:extent cx="6484299" cy="301615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ACENES_PLASMA_CS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914" cy="302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7F207" w14:textId="13B5F469" w:rsidR="00F84E77" w:rsidRPr="0038637C" w:rsidRDefault="00F84E77" w:rsidP="007833CE">
      <w:pPr>
        <w:spacing w:line="480" w:lineRule="auto"/>
        <w:jc w:val="both"/>
      </w:pPr>
    </w:p>
    <w:p w14:paraId="3D0D683D" w14:textId="7491D096" w:rsidR="00F84E77" w:rsidRPr="0038637C" w:rsidRDefault="00F84E77" w:rsidP="007833CE">
      <w:pPr>
        <w:spacing w:line="480" w:lineRule="auto"/>
        <w:jc w:val="both"/>
      </w:pPr>
    </w:p>
    <w:p w14:paraId="227D95B7" w14:textId="77777777" w:rsidR="006B1EE7" w:rsidRPr="0038637C" w:rsidRDefault="006B1EE7" w:rsidP="007833CE">
      <w:pPr>
        <w:spacing w:line="480" w:lineRule="auto"/>
        <w:jc w:val="both"/>
      </w:pPr>
    </w:p>
    <w:p w14:paraId="58CC15A1" w14:textId="4991817E" w:rsidR="007833CE" w:rsidRPr="0038637C" w:rsidRDefault="007833CE" w:rsidP="007833CE">
      <w:pPr>
        <w:spacing w:line="480" w:lineRule="auto"/>
        <w:jc w:val="both"/>
      </w:pPr>
    </w:p>
    <w:p w14:paraId="68B26A49" w14:textId="28669EDA" w:rsidR="007833CE" w:rsidRPr="0038637C" w:rsidRDefault="007833CE" w:rsidP="007833CE">
      <w:pPr>
        <w:spacing w:line="480" w:lineRule="auto"/>
        <w:jc w:val="both"/>
      </w:pPr>
    </w:p>
    <w:p w14:paraId="4B5F0B84" w14:textId="1FA45414" w:rsidR="00C95D65" w:rsidRPr="00C95D65" w:rsidRDefault="00C95D65" w:rsidP="00C95D65">
      <w:pPr>
        <w:spacing w:line="480" w:lineRule="auto"/>
        <w:jc w:val="both"/>
      </w:pPr>
    </w:p>
    <w:p w14:paraId="1849A2E5" w14:textId="77777777" w:rsidR="0048270D" w:rsidRPr="0048270D" w:rsidRDefault="0048270D" w:rsidP="00621A01">
      <w:pPr>
        <w:spacing w:line="480" w:lineRule="auto"/>
        <w:jc w:val="both"/>
      </w:pPr>
    </w:p>
    <w:p w14:paraId="5BFAD9CC" w14:textId="77777777" w:rsidR="0048270D" w:rsidRPr="00621A01" w:rsidRDefault="0048270D" w:rsidP="00621A01">
      <w:pPr>
        <w:spacing w:line="480" w:lineRule="auto"/>
        <w:jc w:val="both"/>
      </w:pPr>
    </w:p>
    <w:p w14:paraId="41824033" w14:textId="77777777" w:rsidR="002649C5" w:rsidRDefault="002649C5" w:rsidP="00E67CD5">
      <w:pPr>
        <w:spacing w:line="480" w:lineRule="auto"/>
        <w:jc w:val="both"/>
      </w:pPr>
    </w:p>
    <w:p w14:paraId="3CE5BD3E" w14:textId="77777777" w:rsidR="00F10A9D" w:rsidRPr="00E67CD5" w:rsidRDefault="00F10A9D" w:rsidP="00E67CD5">
      <w:pPr>
        <w:spacing w:line="480" w:lineRule="auto"/>
        <w:jc w:val="both"/>
      </w:pPr>
    </w:p>
    <w:p w14:paraId="5499CFC2" w14:textId="77777777" w:rsidR="00E67CD5" w:rsidRDefault="00E67CD5" w:rsidP="00E67CD5">
      <w:pPr>
        <w:spacing w:line="480" w:lineRule="auto"/>
        <w:jc w:val="both"/>
      </w:pPr>
    </w:p>
    <w:p w14:paraId="2BC43652" w14:textId="77777777" w:rsidR="00E67CD5" w:rsidRPr="00E67CD5" w:rsidRDefault="00E67CD5" w:rsidP="00E67CD5">
      <w:pPr>
        <w:spacing w:line="480" w:lineRule="auto"/>
        <w:jc w:val="both"/>
      </w:pPr>
    </w:p>
    <w:p w14:paraId="2164B066" w14:textId="77777777" w:rsidR="00D235AF" w:rsidRDefault="00D235AF" w:rsidP="00D235AF">
      <w:pPr>
        <w:spacing w:line="480" w:lineRule="auto"/>
      </w:pPr>
      <w:r>
        <w:tab/>
      </w:r>
    </w:p>
    <w:p w14:paraId="2ECFECE8" w14:textId="77777777" w:rsidR="00D235AF" w:rsidRDefault="00D235AF" w:rsidP="00D235A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C04E6E" w14:textId="77777777" w:rsidR="00D235AF" w:rsidRDefault="00D235AF" w:rsidP="00D235A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DBD1B" w14:textId="77777777" w:rsidR="00D235AF" w:rsidRDefault="00D235AF" w:rsidP="00D235A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9CAB6C" w14:textId="77777777" w:rsidR="00D235AF" w:rsidRDefault="00D235AF" w:rsidP="00D235A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91651" w14:textId="77777777" w:rsidR="00D235AF" w:rsidRPr="00D235AF" w:rsidRDefault="00D235AF" w:rsidP="00D235A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89F139" w14:textId="77777777" w:rsidR="008C3538" w:rsidRPr="008C3538" w:rsidRDefault="008C3538" w:rsidP="009B7DE7">
      <w:pPr>
        <w:spacing w:line="480" w:lineRule="auto"/>
      </w:pPr>
    </w:p>
    <w:p w14:paraId="5EF802B4" w14:textId="77777777" w:rsidR="005E194D" w:rsidRPr="005E194D" w:rsidRDefault="005E194D" w:rsidP="005E194D"/>
    <w:sectPr w:rsidR="005E194D" w:rsidRPr="005E1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C84"/>
    <w:multiLevelType w:val="hybridMultilevel"/>
    <w:tmpl w:val="9DC63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EF1"/>
    <w:multiLevelType w:val="multilevel"/>
    <w:tmpl w:val="EAEC1A6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25763"/>
    <w:multiLevelType w:val="hybridMultilevel"/>
    <w:tmpl w:val="838E5E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7E4E"/>
    <w:multiLevelType w:val="hybridMultilevel"/>
    <w:tmpl w:val="8D429774"/>
    <w:lvl w:ilvl="0" w:tplc="040A000F">
      <w:start w:val="1"/>
      <w:numFmt w:val="decimal"/>
      <w:lvlText w:val="%1."/>
      <w:lvlJc w:val="left"/>
      <w:pPr>
        <w:ind w:left="1434" w:hanging="360"/>
      </w:pPr>
    </w:lvl>
    <w:lvl w:ilvl="1" w:tplc="040A0019" w:tentative="1">
      <w:start w:val="1"/>
      <w:numFmt w:val="lowerLetter"/>
      <w:lvlText w:val="%2."/>
      <w:lvlJc w:val="left"/>
      <w:pPr>
        <w:ind w:left="2154" w:hanging="360"/>
      </w:pPr>
    </w:lvl>
    <w:lvl w:ilvl="2" w:tplc="040A001B" w:tentative="1">
      <w:start w:val="1"/>
      <w:numFmt w:val="lowerRoman"/>
      <w:lvlText w:val="%3."/>
      <w:lvlJc w:val="right"/>
      <w:pPr>
        <w:ind w:left="2874" w:hanging="180"/>
      </w:pPr>
    </w:lvl>
    <w:lvl w:ilvl="3" w:tplc="040A000F" w:tentative="1">
      <w:start w:val="1"/>
      <w:numFmt w:val="decimal"/>
      <w:lvlText w:val="%4."/>
      <w:lvlJc w:val="left"/>
      <w:pPr>
        <w:ind w:left="3594" w:hanging="360"/>
      </w:pPr>
    </w:lvl>
    <w:lvl w:ilvl="4" w:tplc="040A0019" w:tentative="1">
      <w:start w:val="1"/>
      <w:numFmt w:val="lowerLetter"/>
      <w:lvlText w:val="%5."/>
      <w:lvlJc w:val="left"/>
      <w:pPr>
        <w:ind w:left="4314" w:hanging="360"/>
      </w:pPr>
    </w:lvl>
    <w:lvl w:ilvl="5" w:tplc="040A001B" w:tentative="1">
      <w:start w:val="1"/>
      <w:numFmt w:val="lowerRoman"/>
      <w:lvlText w:val="%6."/>
      <w:lvlJc w:val="right"/>
      <w:pPr>
        <w:ind w:left="5034" w:hanging="180"/>
      </w:pPr>
    </w:lvl>
    <w:lvl w:ilvl="6" w:tplc="040A000F" w:tentative="1">
      <w:start w:val="1"/>
      <w:numFmt w:val="decimal"/>
      <w:lvlText w:val="%7."/>
      <w:lvlJc w:val="left"/>
      <w:pPr>
        <w:ind w:left="5754" w:hanging="360"/>
      </w:pPr>
    </w:lvl>
    <w:lvl w:ilvl="7" w:tplc="040A0019" w:tentative="1">
      <w:start w:val="1"/>
      <w:numFmt w:val="lowerLetter"/>
      <w:lvlText w:val="%8."/>
      <w:lvlJc w:val="left"/>
      <w:pPr>
        <w:ind w:left="6474" w:hanging="360"/>
      </w:pPr>
    </w:lvl>
    <w:lvl w:ilvl="8" w:tplc="0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3FB3E06"/>
    <w:multiLevelType w:val="multilevel"/>
    <w:tmpl w:val="5FF80D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ExNDaxtDSzNDBU0lEKTi0uzszPAykwNK4FAHr/3kktAAAA"/>
  </w:docVars>
  <w:rsids>
    <w:rsidRoot w:val="005E194D"/>
    <w:rsid w:val="00022A65"/>
    <w:rsid w:val="00036803"/>
    <w:rsid w:val="00037AC7"/>
    <w:rsid w:val="00040AD1"/>
    <w:rsid w:val="000429BA"/>
    <w:rsid w:val="00071B05"/>
    <w:rsid w:val="00077C8D"/>
    <w:rsid w:val="000E4895"/>
    <w:rsid w:val="000E76AF"/>
    <w:rsid w:val="000E7E5F"/>
    <w:rsid w:val="00102F02"/>
    <w:rsid w:val="001100FC"/>
    <w:rsid w:val="001142C9"/>
    <w:rsid w:val="00135769"/>
    <w:rsid w:val="00141787"/>
    <w:rsid w:val="001700C4"/>
    <w:rsid w:val="00183A53"/>
    <w:rsid w:val="00194F4F"/>
    <w:rsid w:val="001B1850"/>
    <w:rsid w:val="001C6131"/>
    <w:rsid w:val="001E5123"/>
    <w:rsid w:val="00200920"/>
    <w:rsid w:val="002649C5"/>
    <w:rsid w:val="00294CC9"/>
    <w:rsid w:val="002F2138"/>
    <w:rsid w:val="00312E2E"/>
    <w:rsid w:val="00313C59"/>
    <w:rsid w:val="00335737"/>
    <w:rsid w:val="00335E90"/>
    <w:rsid w:val="003564BD"/>
    <w:rsid w:val="00360C90"/>
    <w:rsid w:val="0038637C"/>
    <w:rsid w:val="00391AD7"/>
    <w:rsid w:val="003A1ED4"/>
    <w:rsid w:val="003C4B63"/>
    <w:rsid w:val="00415607"/>
    <w:rsid w:val="004273FE"/>
    <w:rsid w:val="004309E4"/>
    <w:rsid w:val="00434633"/>
    <w:rsid w:val="004476F3"/>
    <w:rsid w:val="004564CE"/>
    <w:rsid w:val="0048270D"/>
    <w:rsid w:val="004A593F"/>
    <w:rsid w:val="004B7CBA"/>
    <w:rsid w:val="004C37B5"/>
    <w:rsid w:val="004C501A"/>
    <w:rsid w:val="004F08C5"/>
    <w:rsid w:val="004F6DFB"/>
    <w:rsid w:val="00510AF5"/>
    <w:rsid w:val="005156BC"/>
    <w:rsid w:val="00523392"/>
    <w:rsid w:val="00541726"/>
    <w:rsid w:val="00560E17"/>
    <w:rsid w:val="0056639C"/>
    <w:rsid w:val="005C111D"/>
    <w:rsid w:val="005D6090"/>
    <w:rsid w:val="005E1413"/>
    <w:rsid w:val="005E194D"/>
    <w:rsid w:val="00602E6A"/>
    <w:rsid w:val="006041D0"/>
    <w:rsid w:val="006137C4"/>
    <w:rsid w:val="00614BF4"/>
    <w:rsid w:val="00621A01"/>
    <w:rsid w:val="006450C7"/>
    <w:rsid w:val="0065234A"/>
    <w:rsid w:val="0066504D"/>
    <w:rsid w:val="00686FCF"/>
    <w:rsid w:val="00687469"/>
    <w:rsid w:val="0069541D"/>
    <w:rsid w:val="006B1EE7"/>
    <w:rsid w:val="006B2942"/>
    <w:rsid w:val="006B5D30"/>
    <w:rsid w:val="006E22CF"/>
    <w:rsid w:val="006F06A5"/>
    <w:rsid w:val="00723BAC"/>
    <w:rsid w:val="00765C2F"/>
    <w:rsid w:val="0077079C"/>
    <w:rsid w:val="007730A0"/>
    <w:rsid w:val="0077630A"/>
    <w:rsid w:val="00780383"/>
    <w:rsid w:val="007833CE"/>
    <w:rsid w:val="00786684"/>
    <w:rsid w:val="007D7650"/>
    <w:rsid w:val="007F591B"/>
    <w:rsid w:val="00800C46"/>
    <w:rsid w:val="008451C4"/>
    <w:rsid w:val="00860D42"/>
    <w:rsid w:val="00866390"/>
    <w:rsid w:val="008679C9"/>
    <w:rsid w:val="008A18D6"/>
    <w:rsid w:val="008C3538"/>
    <w:rsid w:val="008E4A70"/>
    <w:rsid w:val="008F2C31"/>
    <w:rsid w:val="00914B56"/>
    <w:rsid w:val="009152BF"/>
    <w:rsid w:val="00921DF7"/>
    <w:rsid w:val="00951C16"/>
    <w:rsid w:val="00983D48"/>
    <w:rsid w:val="00992D68"/>
    <w:rsid w:val="009B04A7"/>
    <w:rsid w:val="009B7DE7"/>
    <w:rsid w:val="009C639C"/>
    <w:rsid w:val="009D3062"/>
    <w:rsid w:val="009D46B7"/>
    <w:rsid w:val="009E4BD4"/>
    <w:rsid w:val="00A2213C"/>
    <w:rsid w:val="00A556EC"/>
    <w:rsid w:val="00A70469"/>
    <w:rsid w:val="00AC2339"/>
    <w:rsid w:val="00AF36BA"/>
    <w:rsid w:val="00AF7AF4"/>
    <w:rsid w:val="00B005C1"/>
    <w:rsid w:val="00B21D67"/>
    <w:rsid w:val="00B220BE"/>
    <w:rsid w:val="00B912F7"/>
    <w:rsid w:val="00BB607F"/>
    <w:rsid w:val="00BC6447"/>
    <w:rsid w:val="00BD49AD"/>
    <w:rsid w:val="00BE3B23"/>
    <w:rsid w:val="00C26ED1"/>
    <w:rsid w:val="00C5138E"/>
    <w:rsid w:val="00C5425B"/>
    <w:rsid w:val="00C60C22"/>
    <w:rsid w:val="00C662D3"/>
    <w:rsid w:val="00C74A45"/>
    <w:rsid w:val="00C92298"/>
    <w:rsid w:val="00C95D65"/>
    <w:rsid w:val="00CA75DB"/>
    <w:rsid w:val="00CF6AFA"/>
    <w:rsid w:val="00D03B75"/>
    <w:rsid w:val="00D07926"/>
    <w:rsid w:val="00D1475E"/>
    <w:rsid w:val="00D235AF"/>
    <w:rsid w:val="00D6049B"/>
    <w:rsid w:val="00D833BB"/>
    <w:rsid w:val="00D87A34"/>
    <w:rsid w:val="00D97895"/>
    <w:rsid w:val="00DA217F"/>
    <w:rsid w:val="00DA3FB1"/>
    <w:rsid w:val="00DB1C13"/>
    <w:rsid w:val="00DB3A80"/>
    <w:rsid w:val="00E027F8"/>
    <w:rsid w:val="00E37B70"/>
    <w:rsid w:val="00E513FC"/>
    <w:rsid w:val="00E67CD5"/>
    <w:rsid w:val="00E93802"/>
    <w:rsid w:val="00E95379"/>
    <w:rsid w:val="00EE0AEF"/>
    <w:rsid w:val="00EF2EF6"/>
    <w:rsid w:val="00F00650"/>
    <w:rsid w:val="00F10A9D"/>
    <w:rsid w:val="00F51111"/>
    <w:rsid w:val="00F72D95"/>
    <w:rsid w:val="00F82AE2"/>
    <w:rsid w:val="00F84E77"/>
    <w:rsid w:val="00FD3E41"/>
    <w:rsid w:val="00FE61E7"/>
    <w:rsid w:val="00FF06C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48C3"/>
  <w15:docId w15:val="{D318A7BE-CB17-7948-841D-4EF9849A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BD4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4D"/>
    <w:pPr>
      <w:ind w:left="720"/>
      <w:contextualSpacing/>
    </w:pPr>
    <w:rPr>
      <w:rFonts w:eastAsiaTheme="minorEastAsia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D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DE7"/>
    <w:rPr>
      <w:rFonts w:ascii="Consolas" w:hAnsi="Consolas" w:cs="Consola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84E7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0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38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8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80383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FF5271"/>
    <w:rPr>
      <w:i/>
      <w:iCs/>
    </w:rPr>
  </w:style>
  <w:style w:type="character" w:styleId="Hyperlink">
    <w:name w:val="Hyperlink"/>
    <w:basedOn w:val="DefaultParagraphFont"/>
    <w:uiPriority w:val="99"/>
    <w:unhideWhenUsed/>
    <w:rsid w:val="004F6DFB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F6D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FC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09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SubtleReference">
    <w:name w:val="Subtle Reference"/>
    <w:basedOn w:val="DefaultParagraphFont"/>
    <w:uiPriority w:val="31"/>
    <w:qFormat/>
    <w:rsid w:val="00F72D95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BD49A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UnresolvedMention">
    <w:name w:val="Unresolved Mention"/>
    <w:basedOn w:val="DefaultParagraphFont"/>
    <w:uiPriority w:val="99"/>
    <w:semiHidden/>
    <w:unhideWhenUsed/>
    <w:rsid w:val="009D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0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80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7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35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957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81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0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452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16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mtiraboschi@bellvitgehospital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2450</Words>
  <Characters>13971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Fujitsu UTELT2B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Scevola</dc:creator>
  <cp:lastModifiedBy>Khoo, Saye</cp:lastModifiedBy>
  <cp:revision>2</cp:revision>
  <cp:lastPrinted>2021-05-13T12:38:00Z</cp:lastPrinted>
  <dcterms:created xsi:type="dcterms:W3CDTF">2023-05-25T16:49:00Z</dcterms:created>
  <dcterms:modified xsi:type="dcterms:W3CDTF">2023-05-25T16:49:00Z</dcterms:modified>
</cp:coreProperties>
</file>